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FA52" w14:textId="77777777" w:rsidR="00BF4F98" w:rsidRPr="00B324D5" w:rsidRDefault="00BF4F98" w:rsidP="00BF4F98">
      <w:pPr>
        <w:rPr>
          <w:rStyle w:val="Strong"/>
          <w:rtl/>
        </w:rPr>
      </w:pPr>
      <w:r w:rsidRPr="00294F74">
        <w:rPr>
          <w:rStyle w:val="Strong"/>
        </w:rPr>
        <w:t xml:space="preserve">Chapter 9 </w:t>
      </w:r>
      <w:r>
        <w:rPr>
          <w:rStyle w:val="Strong"/>
        </w:rPr>
        <w:t>Pre-Marital Relationships</w:t>
      </w:r>
    </w:p>
    <w:p w14:paraId="3C3EF30D" w14:textId="77777777" w:rsidR="00BF4F98" w:rsidRPr="00D25363" w:rsidRDefault="00BF4F98" w:rsidP="00897402">
      <w:pPr>
        <w:pStyle w:val="Heading1"/>
        <w:rPr>
          <w:rStyle w:val="Strong"/>
          <w:bCs w:val="0"/>
        </w:rPr>
      </w:pPr>
      <w:r w:rsidRPr="00897402">
        <w:rPr>
          <w:rStyle w:val="Strong"/>
          <w:b/>
          <w:bCs w:val="0"/>
        </w:rPr>
        <w:t>Introduction</w:t>
      </w:r>
    </w:p>
    <w:p w14:paraId="55FF064C" w14:textId="61AD69BD" w:rsidR="00BF4F98" w:rsidRDefault="00BF4F98" w:rsidP="00BF4F98">
      <w:r>
        <w:t xml:space="preserve">According to halakhic norms, touch between the sexes outside the context of marriage is prohibited under nearly all circumstances. </w:t>
      </w:r>
      <w:r>
        <w:rPr>
          <w:lang w:bidi="he-IL"/>
        </w:rPr>
        <w:t>A person who abides by this norm is referred to as “</w:t>
      </w:r>
      <w:r w:rsidRPr="00E13AB2">
        <w:rPr>
          <w:i/>
          <w:iCs/>
          <w:lang w:bidi="he-IL"/>
        </w:rPr>
        <w:t>shomer negiah</w:t>
      </w:r>
      <w:r>
        <w:rPr>
          <w:lang w:bidi="he-IL"/>
        </w:rPr>
        <w:t>,” literally “</w:t>
      </w:r>
      <w:r>
        <w:t xml:space="preserve">one who observes [the prohibition of] touching.” I am often asked where the mandate to be </w:t>
      </w:r>
      <w:r w:rsidRPr="00E92409">
        <w:rPr>
          <w:i/>
          <w:iCs/>
        </w:rPr>
        <w:t>shomer negiah</w:t>
      </w:r>
      <w:r>
        <w:t xml:space="preserve"> is found in the Torah. It isn’t, although the answer is more complicated than that, as will be explained below. This pseudo-halakhic term was coined in the 20th century</w:t>
      </w:r>
      <w:r>
        <w:rPr>
          <w:rFonts w:hint="cs"/>
          <w:rtl/>
          <w:lang w:bidi="he-IL"/>
        </w:rPr>
        <w:t xml:space="preserve"> </w:t>
      </w:r>
      <w:r>
        <w:rPr>
          <w:lang w:bidi="he-IL"/>
        </w:rPr>
        <w:t>in the wake of</w:t>
      </w:r>
      <w:r>
        <w:t xml:space="preserve"> vast changes in society, </w:t>
      </w:r>
      <w:proofErr w:type="gramStart"/>
      <w:r>
        <w:t>that</w:t>
      </w:r>
      <w:proofErr w:type="gramEnd"/>
      <w:r>
        <w:t xml:space="preserve"> included increasingly casual interaction between males and females, and the growing exposure of Orthodox young people to the expectations in secular culture that they be sexually active. Thus, </w:t>
      </w:r>
      <w:r>
        <w:rPr>
          <w:i/>
          <w:iCs/>
        </w:rPr>
        <w:t>sh</w:t>
      </w:r>
      <w:r w:rsidRPr="004951AA">
        <w:rPr>
          <w:i/>
          <w:iCs/>
        </w:rPr>
        <w:t>omer negiah</w:t>
      </w:r>
      <w:r>
        <w:t xml:space="preserve"> became a useful (if somewhat vague) platform meant to encapsulate all that Orthodox Judaism wishes to impart regarding physical interaction between men and women before marriage. It describes a Torah lifestyle that demands abstinence before marriage as an essential tenet of</w:t>
      </w:r>
      <w:r w:rsidRPr="00294F74">
        <w:t xml:space="preserve"> religious morality and commitment to </w:t>
      </w:r>
      <w:r w:rsidR="00897402" w:rsidRPr="00897402">
        <w:rPr>
          <w:i/>
          <w:iCs/>
        </w:rPr>
        <w:t>halakhah</w:t>
      </w:r>
      <w:r>
        <w:t xml:space="preserve">. While it sends </w:t>
      </w:r>
      <w:proofErr w:type="gramStart"/>
      <w:r>
        <w:t>a very clear</w:t>
      </w:r>
      <w:proofErr w:type="gramEnd"/>
      <w:r>
        <w:t xml:space="preserve"> and concise message, it also tends to shut down any deeper conversation on the topic of sexuality and limit people’s opportunities to receive halakhic information or direction. Rarely is an actual textual source cited when the subject is addressed.</w:t>
      </w:r>
    </w:p>
    <w:p w14:paraId="33A183E0" w14:textId="4C643549" w:rsidR="00BF4F98" w:rsidRDefault="00897402" w:rsidP="00897402">
      <w:r>
        <w:rPr>
          <w:i/>
          <w:iCs/>
        </w:rPr>
        <w:t>S</w:t>
      </w:r>
      <w:r w:rsidRPr="00096E74">
        <w:rPr>
          <w:i/>
          <w:iCs/>
        </w:rPr>
        <w:t>homer negiah</w:t>
      </w:r>
      <w:r>
        <w:t xml:space="preserve"> based education is based on emphasizing the severity of the prohibitions involved in pre-marital sexual contact, alongside the communication of romantic notions of the rewards that the couple will reap for their abstinence, including the promise of a magical sexual life after marriage that is not plagued with any difficulties. The emphasis on halakhic violation and sin automatically infuses any infractions</w:t>
      </w:r>
      <w:r>
        <w:t xml:space="preserve"> </w:t>
      </w:r>
      <w:r w:rsidR="00BF4F98">
        <w:t xml:space="preserve">with shame and guilt. While this tactic might be educationally effective for young people in middle or high school, it fails to address the </w:t>
      </w:r>
      <w:bookmarkStart w:id="0" w:name="_Hlk124780853"/>
      <w:r w:rsidR="00BF4F98">
        <w:t xml:space="preserve">complexities that religious adults encounter in the sometimes long years before marriage. </w:t>
      </w:r>
      <w:bookmarkEnd w:id="0"/>
      <w:r>
        <w:t xml:space="preserve">A </w:t>
      </w:r>
      <w:commentRangeStart w:id="1"/>
      <w:r>
        <w:t xml:space="preserve">“one size fits all” </w:t>
      </w:r>
      <w:commentRangeEnd w:id="1"/>
      <w:r>
        <w:rPr>
          <w:rStyle w:val="CommentReference"/>
        </w:rPr>
        <w:commentReference w:id="1"/>
      </w:r>
      <w:r>
        <w:t xml:space="preserve">model cannot address the acute differences in dating environments and expectations between different groups. In particular, the experiences of teenagers </w:t>
      </w:r>
      <w:r>
        <w:rPr>
          <w:rStyle w:val="CommentReference"/>
        </w:rPr>
        <w:annotationRef/>
      </w:r>
      <w:r>
        <w:t>and young adults cannot be compared to those of older singles and formerly married men and women.</w:t>
      </w:r>
      <w:r>
        <w:t xml:space="preserve"> </w:t>
      </w:r>
      <w:r w:rsidR="00BF4F98">
        <w:t>Having grown up in the Orthodox world and spent the better part of the last 20 years talking to young adults about religion and sexuality, it is increasingly clear to me that t</w:t>
      </w:r>
      <w:r w:rsidR="00BF4F98" w:rsidRPr="00294F74">
        <w:t xml:space="preserve">he educational religious responses must </w:t>
      </w:r>
      <w:r w:rsidR="00BF4F98" w:rsidRPr="00294F74">
        <w:lastRenderedPageBreak/>
        <w:t xml:space="preserve">be more nuanced to counsel and respond to the </w:t>
      </w:r>
      <w:r w:rsidR="00BF4F98">
        <w:t>diverse</w:t>
      </w:r>
      <w:r w:rsidR="00BF4F98" w:rsidRPr="00294F74">
        <w:t xml:space="preserve"> situations that emerge at different </w:t>
      </w:r>
      <w:r w:rsidR="00BF4F98">
        <w:t>stages</w:t>
      </w:r>
      <w:r w:rsidR="00BF4F98" w:rsidRPr="00294F74">
        <w:t xml:space="preserve"> in people’s lives.</w:t>
      </w:r>
    </w:p>
    <w:p w14:paraId="564D024A" w14:textId="2609D900" w:rsidR="00BF4F98" w:rsidRPr="0007100D" w:rsidRDefault="00BF4F98" w:rsidP="00BF4F98">
      <w:commentRangeStart w:id="2"/>
      <w:r>
        <w:rPr>
          <w:color w:val="222222"/>
          <w:sz w:val="22"/>
          <w:szCs w:val="22"/>
        </w:rPr>
        <w:t>My</w:t>
      </w:r>
      <w:r>
        <w:t xml:space="preserve"> experience in pastoral counseling and sexual education has taught me that many teenagers and adults are struggling to balance sexual attraction, sexual identity, and sexual boundaries with their Orthodox way of life and their commitment to </w:t>
      </w:r>
      <w:r w:rsidR="00897402" w:rsidRPr="00897402">
        <w:rPr>
          <w:i/>
          <w:iCs/>
        </w:rPr>
        <w:t>halakhah</w:t>
      </w:r>
      <w:r>
        <w:t>. They want to understand more precisely where the halakhic restrictions come from and what they include. For those who make non-halakhic decisions, the dissonance sometimes leads to religious fallout, with no direction or guidance as to how to conduct themselves once halakhic boundaries are crossed.</w:t>
      </w:r>
      <w:commentRangeEnd w:id="2"/>
      <w:r>
        <w:rPr>
          <w:rStyle w:val="CommentReference"/>
        </w:rPr>
        <w:commentReference w:id="2"/>
      </w:r>
    </w:p>
    <w:p w14:paraId="1B3D4EF3" w14:textId="77777777" w:rsidR="00BF4F98" w:rsidRPr="001F0D58" w:rsidRDefault="00BF4F98" w:rsidP="00BF4F98">
      <w:r>
        <w:t xml:space="preserve">Much of the chapter is directed at a Modern Orthodox community for whom years of casual dating and/or a long courtship often precede the decision to marry. However, I am increasingly made aware of expectations of pre-marital touch among people dating in the </w:t>
      </w:r>
      <w:r w:rsidRPr="003F30A8">
        <w:rPr>
          <w:i/>
          <w:iCs/>
        </w:rPr>
        <w:t>yeshiva</w:t>
      </w:r>
      <w:r>
        <w:t xml:space="preserve"> world, especially previously married men and women. Many complain that it is hard to find sensitive rabbinic authorities willing to acknowledge the realities of what some of them – both men and women – are confronting when they embark on dating particularly for those who remain single for many long years.</w:t>
      </w:r>
    </w:p>
    <w:p w14:paraId="1A0A8EE1" w14:textId="77777777" w:rsidR="00BF4F98" w:rsidRDefault="00BF4F98" w:rsidP="00BF4F98">
      <w:commentRangeStart w:id="3"/>
      <w:r>
        <w:t xml:space="preserve">There is some awakening in the Modern Orthodox sphere, where male and female rabbinic/halakhic authorities, are offering sympathetic, realistic religious guidance to couples who incorporate emotional and sexual touch </w:t>
      </w:r>
      <w:r>
        <w:rPr>
          <w:rStyle w:val="CommentReference"/>
        </w:rPr>
        <w:annotationRef/>
      </w:r>
      <w:r>
        <w:t>in their developing relationships despite the prohibition. The existence of pastoral counselors who are willing and can give guidance in such situations is a welcome and important change. I believe that allowing people the opportunity to openly talk to educators, rabbis, or parents about their sexual behavior will reinforce their commitment to other values in interpersonal relationships, and help avoid dissociative and irresponsible behavior. Most of these couples are not able or willing to completely refrain from physical or sexual interaction.</w:t>
      </w:r>
      <w:commentRangeEnd w:id="3"/>
      <w:r>
        <w:rPr>
          <w:rStyle w:val="CommentReference"/>
        </w:rPr>
        <w:commentReference w:id="3"/>
      </w:r>
    </w:p>
    <w:p w14:paraId="221815F9" w14:textId="77777777" w:rsidR="00BF4F98" w:rsidRDefault="00BF4F98" w:rsidP="00BF4F98">
      <w:pPr>
        <w:pStyle w:val="Heading1"/>
        <w:rPr>
          <w:lang w:val="nl-NL"/>
        </w:rPr>
      </w:pPr>
      <w:r w:rsidRPr="00A63A7C">
        <w:rPr>
          <w:lang w:val="nl-NL"/>
        </w:rPr>
        <w:t>Forbidden Touch</w:t>
      </w:r>
      <w:r>
        <w:rPr>
          <w:rStyle w:val="FootnoteReference"/>
          <w:bCs/>
          <w:lang w:val="nl-NL"/>
        </w:rPr>
        <w:footnoteReference w:id="1"/>
      </w:r>
    </w:p>
    <w:p w14:paraId="6BF394B0" w14:textId="77777777" w:rsidR="00897402" w:rsidRDefault="00897402" w:rsidP="00897402">
      <w:pPr>
        <w:pStyle w:val="Heading2"/>
      </w:pPr>
      <w:bookmarkStart w:id="4" w:name="_Hlk125044062"/>
      <w:r>
        <w:t xml:space="preserve">Do Not Come </w:t>
      </w:r>
      <w:commentRangeStart w:id="5"/>
      <w:r>
        <w:t>Near</w:t>
      </w:r>
      <w:commentRangeEnd w:id="5"/>
      <w:r>
        <w:rPr>
          <w:rStyle w:val="CommentReference"/>
          <w:i w:val="0"/>
          <w:iCs w:val="0"/>
        </w:rPr>
        <w:commentReference w:id="5"/>
      </w:r>
    </w:p>
    <w:bookmarkEnd w:id="4"/>
    <w:p w14:paraId="110FA8D5" w14:textId="2E3615EB" w:rsidR="00BF4F98" w:rsidRPr="008729B8" w:rsidRDefault="00897402" w:rsidP="00897402">
      <w:r>
        <w:t xml:space="preserve">While the </w:t>
      </w:r>
      <w:r w:rsidRPr="00C80932">
        <w:rPr>
          <w:i/>
          <w:iCs/>
        </w:rPr>
        <w:t>shomer negiah</w:t>
      </w:r>
      <w:r>
        <w:t xml:space="preserve"> rhetoric conflates all touch into a single prohibition, there are significant halakhic differences between sexual, emotional, and casual types of touch that should </w:t>
      </w:r>
      <w:r>
        <w:lastRenderedPageBreak/>
        <w:t xml:space="preserve">be made clear to those in a relationship with the potential for physical contact. </w:t>
      </w:r>
      <w:r w:rsidR="00BF4F98" w:rsidRPr="003B423A">
        <w:t xml:space="preserve">The prohibition of physical touch between unmarried men and women rests on the </w:t>
      </w:r>
      <w:r w:rsidR="00BF4F98" w:rsidRPr="00C65A47">
        <w:rPr>
          <w:i/>
          <w:iCs/>
        </w:rPr>
        <w:t xml:space="preserve">niddah </w:t>
      </w:r>
      <w:r w:rsidR="00BF4F98" w:rsidRPr="003B423A">
        <w:t>status of women from the onset of their first menstruation.</w:t>
      </w:r>
      <w:r w:rsidR="00BF4F98">
        <w:t xml:space="preserve"> </w:t>
      </w:r>
      <w:r w:rsidR="00BF4F98" w:rsidRPr="008729B8">
        <w:t xml:space="preserve">All rabbinic authorities agree that sexual touch is prohibited </w:t>
      </w:r>
      <w:r w:rsidR="00BF4F98">
        <w:t xml:space="preserve">when the woman is a </w:t>
      </w:r>
      <w:r w:rsidR="00BF4F98" w:rsidRPr="00712019">
        <w:rPr>
          <w:i/>
          <w:iCs/>
        </w:rPr>
        <w:t>niddah</w:t>
      </w:r>
      <w:r w:rsidR="00BF4F98">
        <w:t xml:space="preserve">, meaning she has not completed seven clean days after menstruation and immersed in the </w:t>
      </w:r>
      <w:r w:rsidR="00BF4F98" w:rsidRPr="00DB2EAE">
        <w:rPr>
          <w:i/>
          <w:iCs/>
        </w:rPr>
        <w:t>mikvah</w:t>
      </w:r>
      <w:r w:rsidR="00BF4F98" w:rsidRPr="008729B8">
        <w:t>.</w:t>
      </w:r>
      <w:r w:rsidR="00BF4F98" w:rsidRPr="008729B8">
        <w:rPr>
          <w:rStyle w:val="FootnoteReference"/>
        </w:rPr>
        <w:footnoteReference w:id="2"/>
      </w:r>
      <w:r w:rsidR="00BF4F98">
        <w:t xml:space="preserve"> </w:t>
      </w:r>
      <w:r w:rsidR="00BF4F98" w:rsidRPr="008729B8">
        <w:t xml:space="preserve">However, there is disagreement, in the early rabbinic sources as to whether sexual touch is prohibited on a </w:t>
      </w:r>
      <w:r w:rsidR="00BF4F98" w:rsidRPr="008729B8">
        <w:rPr>
          <w:i/>
          <w:iCs/>
        </w:rPr>
        <w:t>d’orayta</w:t>
      </w:r>
      <w:r w:rsidR="00BF4F98" w:rsidRPr="008729B8">
        <w:t xml:space="preserve"> (biblical) or a rabbinic level based on </w:t>
      </w:r>
      <w:r w:rsidR="00BF4F98">
        <w:t xml:space="preserve">the </w:t>
      </w:r>
      <w:r w:rsidR="00BF4F98" w:rsidRPr="008729B8">
        <w:t xml:space="preserve">interpretation of the relevant verses in </w:t>
      </w:r>
      <w:r w:rsidR="00BF4F98">
        <w:t xml:space="preserve">the </w:t>
      </w:r>
      <w:r w:rsidR="00BF4F98" w:rsidRPr="008729B8">
        <w:t xml:space="preserve">Torah. </w:t>
      </w:r>
      <w:r w:rsidR="00BF4F98">
        <w:t>The main source for the prohibition is the following verse in Leviticus.</w:t>
      </w:r>
    </w:p>
    <w:tbl>
      <w:tblPr>
        <w:tblStyle w:val="TableGrid"/>
        <w:tblW w:w="0" w:type="auto"/>
        <w:tblLook w:val="04A0" w:firstRow="1" w:lastRow="0" w:firstColumn="1" w:lastColumn="0" w:noHBand="0" w:noVBand="1"/>
      </w:tblPr>
      <w:tblGrid>
        <w:gridCol w:w="4675"/>
        <w:gridCol w:w="4675"/>
      </w:tblGrid>
      <w:tr w:rsidR="00BF4F98" w:rsidRPr="00FF383B" w14:paraId="242EC167" w14:textId="77777777" w:rsidTr="00B02799">
        <w:tc>
          <w:tcPr>
            <w:tcW w:w="4675" w:type="dxa"/>
          </w:tcPr>
          <w:p w14:paraId="20CCAFC6" w14:textId="77777777" w:rsidR="00BF4F98" w:rsidRPr="00096E74" w:rsidRDefault="00BF4F98" w:rsidP="00B02799">
            <w:pPr>
              <w:pStyle w:val="Source"/>
            </w:pPr>
            <w:r w:rsidRPr="00096E74">
              <w:t>Leviticus 18:19</w:t>
            </w:r>
          </w:p>
          <w:p w14:paraId="678001D7" w14:textId="77777777" w:rsidR="00BF4F98" w:rsidRPr="00096E74" w:rsidRDefault="00BF4F98" w:rsidP="00B02799">
            <w:pPr>
              <w:pStyle w:val="Body"/>
              <w:spacing w:line="360" w:lineRule="auto"/>
              <w:ind w:hanging="2"/>
              <w:rPr>
                <w:rFonts w:ascii="Times New Roman" w:hAnsi="Times New Roman" w:cs="Times New Roman"/>
              </w:rPr>
            </w:pPr>
            <w:r w:rsidRPr="00096E74">
              <w:rPr>
                <w:rFonts w:ascii="Times New Roman" w:hAnsi="Times New Roman" w:cs="Times New Roman"/>
                <w:lang w:val="en"/>
              </w:rPr>
              <w:t xml:space="preserve">Do not come near a woman during her period of uncleanness to uncover her nakedness. </w:t>
            </w:r>
          </w:p>
        </w:tc>
        <w:tc>
          <w:tcPr>
            <w:tcW w:w="4675" w:type="dxa"/>
          </w:tcPr>
          <w:p w14:paraId="34D376D0" w14:textId="77777777" w:rsidR="00BF4F98" w:rsidRPr="00096E74" w:rsidRDefault="00BF4F98" w:rsidP="00B02799">
            <w:pPr>
              <w:pStyle w:val="Source"/>
              <w:bidi/>
            </w:pPr>
            <w:r w:rsidRPr="00096E74">
              <w:rPr>
                <w:rtl/>
              </w:rPr>
              <w:t>ויקרא פרק יח</w:t>
            </w:r>
          </w:p>
          <w:p w14:paraId="2F81DE02" w14:textId="77777777" w:rsidR="00BF4F98" w:rsidRPr="00096E74" w:rsidRDefault="00BF4F98" w:rsidP="00B02799">
            <w:pPr>
              <w:pStyle w:val="Body"/>
              <w:bidi/>
              <w:spacing w:line="360" w:lineRule="auto"/>
              <w:ind w:hanging="2"/>
              <w:rPr>
                <w:rFonts w:ascii="Times New Roman" w:hAnsi="Times New Roman" w:cs="Times New Roman"/>
              </w:rPr>
            </w:pPr>
            <w:r w:rsidRPr="00096E74">
              <w:rPr>
                <w:rFonts w:ascii="Times New Roman" w:hAnsi="Times New Roman" w:cs="Times New Roman" w:hint="eastAsia"/>
                <w:b/>
                <w:bCs/>
                <w:rtl/>
              </w:rPr>
              <w:t>יט</w:t>
            </w:r>
            <w:r w:rsidRPr="00096E74">
              <w:rPr>
                <w:rFonts w:ascii="Times New Roman" w:hAnsi="Times New Roman" w:cs="Times New Roman"/>
                <w:rtl/>
              </w:rPr>
              <w:t xml:space="preserve"> וְאֶל </w:t>
            </w:r>
            <w:r w:rsidRPr="00096E74">
              <w:rPr>
                <w:rFonts w:ascii="Times New Roman" w:hAnsi="Times New Roman" w:cs="Times New Roman" w:hint="eastAsia"/>
                <w:rtl/>
              </w:rPr>
              <w:t>אִשָּׁה</w:t>
            </w:r>
            <w:r w:rsidRPr="00096E74">
              <w:rPr>
                <w:rFonts w:ascii="Times New Roman" w:hAnsi="Times New Roman" w:cs="Times New Roman"/>
                <w:rtl/>
                <w:lang w:bidi="ar-SA"/>
              </w:rPr>
              <w:t xml:space="preserve"> </w:t>
            </w:r>
            <w:r w:rsidRPr="00096E74">
              <w:rPr>
                <w:rFonts w:ascii="Times New Roman" w:hAnsi="Times New Roman" w:cs="Times New Roman" w:hint="eastAsia"/>
                <w:rtl/>
              </w:rPr>
              <w:t>בְּנִדַּת</w:t>
            </w:r>
            <w:r w:rsidRPr="00096E74">
              <w:rPr>
                <w:rFonts w:ascii="Times New Roman" w:hAnsi="Times New Roman" w:cs="Times New Roman"/>
                <w:rtl/>
                <w:lang w:bidi="ar-SA"/>
              </w:rPr>
              <w:t xml:space="preserve"> </w:t>
            </w:r>
            <w:r w:rsidRPr="00096E74">
              <w:rPr>
                <w:rFonts w:ascii="Times New Roman" w:hAnsi="Times New Roman" w:cs="Times New Roman" w:hint="eastAsia"/>
                <w:rtl/>
              </w:rPr>
              <w:t>טֻמְאָתָהּ</w:t>
            </w:r>
            <w:r w:rsidRPr="00096E74">
              <w:rPr>
                <w:rFonts w:ascii="Times New Roman" w:hAnsi="Times New Roman" w:cs="Times New Roman"/>
                <w:rtl/>
              </w:rPr>
              <w:t xml:space="preserve"> </w:t>
            </w:r>
            <w:r w:rsidRPr="00096E74">
              <w:rPr>
                <w:rFonts w:ascii="Times New Roman" w:hAnsi="Times New Roman" w:cs="Times New Roman" w:hint="eastAsia"/>
                <w:rtl/>
              </w:rPr>
              <w:t>לֹא</w:t>
            </w:r>
            <w:r w:rsidRPr="00096E74">
              <w:rPr>
                <w:rFonts w:ascii="Times New Roman" w:hAnsi="Times New Roman" w:cs="Times New Roman"/>
                <w:rtl/>
                <w:lang w:bidi="ar-SA"/>
              </w:rPr>
              <w:t xml:space="preserve"> </w:t>
            </w:r>
            <w:r w:rsidRPr="00096E74">
              <w:rPr>
                <w:rFonts w:ascii="Times New Roman" w:hAnsi="Times New Roman" w:cs="Times New Roman" w:hint="eastAsia"/>
                <w:rtl/>
              </w:rPr>
              <w:t>תִקְרַב</w:t>
            </w:r>
            <w:r w:rsidRPr="00096E74">
              <w:rPr>
                <w:rFonts w:ascii="Times New Roman" w:hAnsi="Times New Roman" w:cs="Times New Roman"/>
                <w:rtl/>
                <w:lang w:bidi="ar-SA"/>
              </w:rPr>
              <w:t xml:space="preserve"> </w:t>
            </w:r>
            <w:r w:rsidRPr="00096E74">
              <w:rPr>
                <w:rFonts w:ascii="Times New Roman" w:hAnsi="Times New Roman" w:cs="Times New Roman" w:hint="eastAsia"/>
                <w:rtl/>
              </w:rPr>
              <w:t>לְגַלּוֹת</w:t>
            </w:r>
            <w:r w:rsidRPr="00096E74">
              <w:rPr>
                <w:rFonts w:ascii="Times New Roman" w:hAnsi="Times New Roman" w:cs="Times New Roman"/>
                <w:rtl/>
                <w:lang w:bidi="ar-SA"/>
              </w:rPr>
              <w:t xml:space="preserve"> </w:t>
            </w:r>
            <w:r w:rsidRPr="00096E74">
              <w:rPr>
                <w:rFonts w:ascii="Times New Roman" w:hAnsi="Times New Roman" w:cs="Times New Roman" w:hint="eastAsia"/>
                <w:rtl/>
              </w:rPr>
              <w:t>עֶרְוָתָהּ</w:t>
            </w:r>
            <w:r w:rsidRPr="00096E74">
              <w:rPr>
                <w:rFonts w:ascii="Times New Roman" w:hAnsi="Times New Roman" w:cs="Times New Roman"/>
              </w:rPr>
              <w:t>.</w:t>
            </w:r>
          </w:p>
        </w:tc>
      </w:tr>
    </w:tbl>
    <w:p w14:paraId="30BE5B9E" w14:textId="429DA63C" w:rsidR="00BF4F98" w:rsidRPr="00096E74" w:rsidRDefault="00BF4F98" w:rsidP="00BF4F98">
      <w:pPr>
        <w:pStyle w:val="Body"/>
        <w:spacing w:before="120" w:after="0" w:line="360" w:lineRule="auto"/>
        <w:rPr>
          <w:rFonts w:ascii="Times New Roman" w:hAnsi="Times New Roman" w:cs="Times New Roman"/>
          <w:sz w:val="24"/>
          <w:szCs w:val="24"/>
        </w:rPr>
      </w:pPr>
      <w:r w:rsidRPr="00096E74">
        <w:rPr>
          <w:rFonts w:ascii="Times New Roman" w:hAnsi="Times New Roman" w:cs="Times New Roman"/>
          <w:sz w:val="24"/>
          <w:szCs w:val="24"/>
        </w:rPr>
        <w:t xml:space="preserve">Based on early rabbinic interpretation of this verse, Maimonides prohibited sexual touch as violating </w:t>
      </w:r>
      <w:r w:rsidRPr="00096E74">
        <w:rPr>
          <w:rFonts w:ascii="Times New Roman" w:hAnsi="Times New Roman" w:cs="Times New Roman"/>
          <w:i/>
          <w:iCs/>
          <w:sz w:val="24"/>
          <w:szCs w:val="24"/>
        </w:rPr>
        <w:t>d’orayta</w:t>
      </w:r>
      <w:r w:rsidRPr="00096E74">
        <w:rPr>
          <w:rFonts w:ascii="Times New Roman" w:hAnsi="Times New Roman" w:cs="Times New Roman"/>
          <w:sz w:val="24"/>
          <w:szCs w:val="24"/>
        </w:rPr>
        <w:t xml:space="preserve"> (biblical) law in both </w:t>
      </w:r>
      <w:r w:rsidRPr="00B02799">
        <w:rPr>
          <w:rFonts w:ascii="Times New Roman" w:hAnsi="Times New Roman" w:cs="Times New Roman"/>
          <w:i/>
          <w:iCs/>
          <w:sz w:val="24"/>
          <w:szCs w:val="24"/>
        </w:rPr>
        <w:t>Sefer Hamitzvot</w:t>
      </w:r>
      <w:r w:rsidRPr="00096E74">
        <w:rPr>
          <w:rFonts w:ascii="Times New Roman" w:hAnsi="Times New Roman" w:cs="Times New Roman"/>
          <w:sz w:val="24"/>
          <w:szCs w:val="24"/>
        </w:rPr>
        <w:t xml:space="preserve"> and </w:t>
      </w:r>
      <w:r w:rsidRPr="00B02799">
        <w:rPr>
          <w:rFonts w:ascii="Times New Roman" w:hAnsi="Times New Roman" w:cs="Times New Roman"/>
          <w:i/>
          <w:iCs/>
          <w:sz w:val="24"/>
          <w:szCs w:val="24"/>
        </w:rPr>
        <w:t>Mishneh Torah</w:t>
      </w:r>
      <w:r w:rsidRPr="00096E74">
        <w:rPr>
          <w:rFonts w:ascii="Times New Roman" w:hAnsi="Times New Roman" w:cs="Times New Roman"/>
          <w:sz w:val="24"/>
          <w:szCs w:val="24"/>
        </w:rPr>
        <w:t>. Subsequently, this became the dominant halakhic position and the one that is almost exclusively cited. However, Maimonides writes that</w:t>
      </w:r>
      <w:r w:rsidR="00897402">
        <w:rPr>
          <w:rFonts w:ascii="Times New Roman" w:hAnsi="Times New Roman" w:cs="Times New Roman"/>
          <w:sz w:val="24"/>
          <w:szCs w:val="24"/>
        </w:rPr>
        <w:t xml:space="preserve"> </w:t>
      </w:r>
      <w:r w:rsidR="00897402">
        <w:rPr>
          <w:rFonts w:ascii="Times New Roman" w:hAnsi="Times New Roman" w:cs="Times New Roman"/>
          <w:sz w:val="24"/>
          <w:szCs w:val="24"/>
        </w:rPr>
        <w:t>any sort of sexual contact</w:t>
      </w:r>
      <w:commentRangeStart w:id="6"/>
      <w:commentRangeEnd w:id="6"/>
      <w:r w:rsidR="00897402">
        <w:rPr>
          <w:rStyle w:val="CommentReference"/>
          <w:rFonts w:ascii="Times New Roman" w:eastAsia="Calibri" w:hAnsi="Times New Roman" w:cs="Times New Roman"/>
          <w:color w:val="auto"/>
          <w:lang w:bidi="ar-SA"/>
        </w:rPr>
        <w:commentReference w:id="6"/>
      </w:r>
      <w:commentRangeStart w:id="7"/>
      <w:commentRangeEnd w:id="7"/>
      <w:r w:rsidR="00897402">
        <w:rPr>
          <w:rStyle w:val="CommentReference"/>
          <w:rFonts w:ascii="Times New Roman" w:eastAsia="Calibri" w:hAnsi="Times New Roman" w:cs="Times New Roman"/>
          <w:color w:val="auto"/>
          <w:lang w:bidi="ar-SA"/>
        </w:rPr>
        <w:commentReference w:id="7"/>
      </w:r>
      <w:r w:rsidR="00897402">
        <w:rPr>
          <w:rFonts w:ascii="Times New Roman" w:hAnsi="Times New Roman" w:cs="Times New Roman"/>
          <w:sz w:val="24"/>
          <w:szCs w:val="24"/>
        </w:rPr>
        <w:t xml:space="preserve"> with a prohibited woman is a violation of a biblical</w:t>
      </w:r>
      <w:r w:rsidRPr="00096E74">
        <w:rPr>
          <w:rFonts w:ascii="Times New Roman" w:hAnsi="Times New Roman" w:cs="Times New Roman"/>
          <w:sz w:val="24"/>
          <w:szCs w:val="24"/>
        </w:rPr>
        <w:t xml:space="preserve"> prohibition</w:t>
      </w:r>
      <w:r w:rsidR="00897402">
        <w:rPr>
          <w:rFonts w:ascii="Times New Roman" w:hAnsi="Times New Roman" w:cs="Times New Roman"/>
          <w:sz w:val="24"/>
          <w:szCs w:val="24"/>
        </w:rPr>
        <w:t>.</w:t>
      </w:r>
    </w:p>
    <w:p w14:paraId="11CD9604" w14:textId="1583E2F6" w:rsidR="00BF4F98" w:rsidRPr="00096E74" w:rsidRDefault="00BF4F98" w:rsidP="00BF4F98">
      <w:pPr>
        <w:pStyle w:val="Body"/>
        <w:spacing w:after="0" w:line="360" w:lineRule="auto"/>
        <w:ind w:left="2" w:hangingChars="1" w:hanging="2"/>
        <w:rPr>
          <w:rFonts w:ascii="Times New Roman" w:hAnsi="Times New Roman" w:cs="Times New Roman"/>
          <w:sz w:val="24"/>
          <w:szCs w:val="24"/>
        </w:rPr>
      </w:pPr>
      <w:r w:rsidRPr="00096E74">
        <w:rPr>
          <w:rFonts w:ascii="Times New Roman" w:hAnsi="Times New Roman" w:cs="Times New Roman"/>
          <w:sz w:val="24"/>
          <w:szCs w:val="24"/>
        </w:rPr>
        <w:t>Other early post-Talmudic authorities took issue with Maimonides on this subject, the most well-known being Nahmanides</w:t>
      </w:r>
      <w:r w:rsidR="00897402">
        <w:rPr>
          <w:rFonts w:ascii="Times New Roman" w:hAnsi="Times New Roman" w:cs="Times New Roman"/>
          <w:sz w:val="24"/>
          <w:szCs w:val="24"/>
        </w:rPr>
        <w:t>,</w:t>
      </w:r>
      <w:r w:rsidRPr="00096E74">
        <w:rPr>
          <w:rFonts w:ascii="Times New Roman" w:hAnsi="Times New Roman" w:cs="Times New Roman"/>
          <w:sz w:val="24"/>
          <w:szCs w:val="24"/>
        </w:rPr>
        <w:t xml:space="preserve"> who understood that sexually touching a prohibited woman violated a rabbinic prohibition and only the “uncovering of nakedness” (the biblical euphemism for intercourse) violates a biblical commandment. He concluded that sexual touching was rabbinically prohibited, serving as a </w:t>
      </w:r>
      <w:r w:rsidRPr="00096E74">
        <w:rPr>
          <w:rFonts w:ascii="Times New Roman" w:hAnsi="Times New Roman" w:cs="Times New Roman"/>
          <w:sz w:val="24"/>
          <w:szCs w:val="24"/>
          <w:rtl/>
          <w:lang w:val="ar-SA" w:bidi="ar-SA"/>
        </w:rPr>
        <w:t>“</w:t>
      </w:r>
      <w:r w:rsidRPr="00096E74">
        <w:rPr>
          <w:rFonts w:ascii="Times New Roman" w:hAnsi="Times New Roman" w:cs="Times New Roman"/>
          <w:sz w:val="24"/>
          <w:szCs w:val="24"/>
        </w:rPr>
        <w:t>fence</w:t>
      </w:r>
      <w:r>
        <w:rPr>
          <w:rFonts w:ascii="Times New Roman" w:hAnsi="Times New Roman" w:cs="Times New Roman"/>
          <w:sz w:val="24"/>
          <w:szCs w:val="24"/>
        </w:rPr>
        <w:t xml:space="preserve">,” </w:t>
      </w:r>
      <w:r w:rsidRPr="00096E74">
        <w:rPr>
          <w:rFonts w:ascii="Times New Roman" w:hAnsi="Times New Roman" w:cs="Times New Roman"/>
          <w:sz w:val="24"/>
          <w:szCs w:val="24"/>
        </w:rPr>
        <w:t xml:space="preserve">a </w:t>
      </w:r>
      <w:r>
        <w:rPr>
          <w:rFonts w:ascii="Times New Roman" w:hAnsi="Times New Roman" w:cs="Times New Roman"/>
          <w:sz w:val="24"/>
          <w:szCs w:val="24"/>
        </w:rPr>
        <w:t>safeguard against transgressing</w:t>
      </w:r>
      <w:r w:rsidRPr="00096E74">
        <w:rPr>
          <w:rFonts w:ascii="Times New Roman" w:hAnsi="Times New Roman" w:cs="Times New Roman"/>
          <w:sz w:val="24"/>
          <w:szCs w:val="24"/>
        </w:rPr>
        <w:t xml:space="preserve"> the biblical law</w:t>
      </w:r>
      <w:r>
        <w:rPr>
          <w:rFonts w:ascii="Times New Roman" w:hAnsi="Times New Roman" w:cs="Times New Roman"/>
          <w:sz w:val="24"/>
          <w:szCs w:val="24"/>
        </w:rPr>
        <w:t>,</w:t>
      </w:r>
      <w:r w:rsidRPr="00096E74">
        <w:rPr>
          <w:rFonts w:ascii="Times New Roman" w:hAnsi="Times New Roman" w:cs="Times New Roman"/>
          <w:sz w:val="24"/>
          <w:szCs w:val="24"/>
        </w:rPr>
        <w:t xml:space="preserve"> in order to prevent a situation that might ultimately lead to sexual relations.</w:t>
      </w:r>
    </w:p>
    <w:p w14:paraId="1700D439" w14:textId="77A3ACDA" w:rsidR="00BF4F98" w:rsidRDefault="00897402" w:rsidP="00BF4F98">
      <w:pPr>
        <w:pStyle w:val="Body"/>
        <w:spacing w:after="0" w:line="360" w:lineRule="auto"/>
        <w:ind w:left="2" w:hangingChars="1" w:hanging="2"/>
        <w:rPr>
          <w:rFonts w:ascii="Times New Roman" w:hAnsi="Times New Roman" w:cs="Times New Roman"/>
          <w:sz w:val="24"/>
          <w:szCs w:val="24"/>
        </w:rPr>
      </w:pPr>
      <w:r>
        <w:rPr>
          <w:rFonts w:ascii="Times New Roman" w:hAnsi="Times New Roman" w:cs="Times New Roman"/>
          <w:sz w:val="24"/>
          <w:szCs w:val="24"/>
        </w:rPr>
        <w:t xml:space="preserve">The </w:t>
      </w:r>
      <w:r w:rsidRPr="00897402">
        <w:rPr>
          <w:rFonts w:ascii="Times New Roman" w:hAnsi="Times New Roman" w:cs="Times New Roman"/>
          <w:i/>
          <w:iCs/>
          <w:sz w:val="24"/>
          <w:szCs w:val="24"/>
        </w:rPr>
        <w:t>Shulhan Arukh</w:t>
      </w:r>
      <w:r w:rsidR="00BF4F98" w:rsidRPr="00096E74">
        <w:rPr>
          <w:rFonts w:ascii="Times New Roman" w:hAnsi="Times New Roman" w:cs="Times New Roman"/>
          <w:sz w:val="24"/>
          <w:szCs w:val="24"/>
        </w:rPr>
        <w:t xml:space="preserve"> codified </w:t>
      </w:r>
      <w:r w:rsidR="00BF4F98">
        <w:rPr>
          <w:rFonts w:ascii="Times New Roman" w:hAnsi="Times New Roman" w:cs="Times New Roman"/>
          <w:sz w:val="24"/>
          <w:szCs w:val="24"/>
        </w:rPr>
        <w:t>the</w:t>
      </w:r>
      <w:r w:rsidR="00BF4F98" w:rsidRPr="00096E74">
        <w:rPr>
          <w:rFonts w:ascii="Times New Roman" w:hAnsi="Times New Roman" w:cs="Times New Roman"/>
          <w:sz w:val="24"/>
          <w:szCs w:val="24"/>
        </w:rPr>
        <w:t xml:space="preserve"> </w:t>
      </w:r>
      <w:r w:rsidR="00BF4F98">
        <w:rPr>
          <w:rFonts w:ascii="Times New Roman" w:hAnsi="Times New Roman" w:cs="Times New Roman"/>
          <w:sz w:val="24"/>
          <w:szCs w:val="24"/>
        </w:rPr>
        <w:t xml:space="preserve">prohibition </w:t>
      </w:r>
      <w:r w:rsidR="00BF4F98">
        <w:rPr>
          <w:rFonts w:ascii="Times New Roman" w:hAnsi="Times New Roman" w:cs="Times New Roman"/>
          <w:sz w:val="24"/>
          <w:szCs w:val="24"/>
        </w:rPr>
        <w:t>o</w:t>
      </w:r>
      <w:r w:rsidR="00BF4F98">
        <w:rPr>
          <w:rFonts w:ascii="Times New Roman" w:hAnsi="Times New Roman" w:cs="Times New Roman"/>
          <w:sz w:val="24"/>
          <w:szCs w:val="24"/>
        </w:rPr>
        <w:t>f</w:t>
      </w:r>
      <w:r w:rsidR="00BF4F98">
        <w:rPr>
          <w:rFonts w:ascii="Times New Roman" w:hAnsi="Times New Roman" w:cs="Times New Roman"/>
          <w:sz w:val="24"/>
          <w:szCs w:val="24"/>
        </w:rPr>
        <w:t xml:space="preserve"> </w:t>
      </w:r>
      <w:r w:rsidR="00BF4F98">
        <w:rPr>
          <w:rFonts w:ascii="Times New Roman" w:hAnsi="Times New Roman" w:cs="Times New Roman"/>
          <w:sz w:val="24"/>
          <w:szCs w:val="24"/>
        </w:rPr>
        <w:t xml:space="preserve">sexual touch as a </w:t>
      </w:r>
      <w:r w:rsidR="00BF4F98" w:rsidRPr="00096E74">
        <w:rPr>
          <w:rFonts w:ascii="Times New Roman" w:hAnsi="Times New Roman" w:cs="Times New Roman"/>
          <w:i/>
          <w:iCs/>
          <w:sz w:val="24"/>
          <w:szCs w:val="24"/>
        </w:rPr>
        <w:t>d’orayta</w:t>
      </w:r>
      <w:r w:rsidR="00BF4F98">
        <w:rPr>
          <w:rFonts w:ascii="Times New Roman" w:hAnsi="Times New Roman" w:cs="Times New Roman"/>
          <w:sz w:val="24"/>
          <w:szCs w:val="24"/>
        </w:rPr>
        <w:t xml:space="preserve"> (biblical) prohibition </w:t>
      </w:r>
      <w:r w:rsidR="00BF4F98" w:rsidRPr="00096E74">
        <w:rPr>
          <w:rFonts w:ascii="Times New Roman" w:hAnsi="Times New Roman" w:cs="Times New Roman"/>
          <w:sz w:val="24"/>
          <w:szCs w:val="24"/>
        </w:rPr>
        <w:t>like Maimonides</w:t>
      </w:r>
      <w:r w:rsidR="00BF4F98">
        <w:rPr>
          <w:rFonts w:ascii="Times New Roman" w:hAnsi="Times New Roman" w:cs="Times New Roman"/>
          <w:sz w:val="24"/>
          <w:szCs w:val="24"/>
        </w:rPr>
        <w:t>.</w:t>
      </w:r>
      <w:r w:rsidR="00BF4F98" w:rsidRPr="00096E74">
        <w:rPr>
          <w:rFonts w:ascii="Times New Roman" w:hAnsi="Times New Roman" w:cs="Times New Roman"/>
          <w:sz w:val="24"/>
          <w:szCs w:val="24"/>
        </w:rPr>
        <w:t xml:space="preserve"> </w:t>
      </w:r>
      <w:r w:rsidR="00BF4F98" w:rsidRPr="00096E74">
        <w:rPr>
          <w:rFonts w:ascii="Times New Roman" w:eastAsia="Calibri" w:hAnsi="Times New Roman" w:cs="Times New Roman"/>
          <w:sz w:val="24"/>
          <w:szCs w:val="24"/>
        </w:rPr>
        <w:t xml:space="preserve">Rabbi Shabtai Cohen Rapoport, known as </w:t>
      </w:r>
      <w:r w:rsidR="00BF4F98">
        <w:rPr>
          <w:rFonts w:ascii="Times New Roman" w:eastAsia="Calibri" w:hAnsi="Times New Roman" w:cs="Times New Roman"/>
          <w:sz w:val="24"/>
          <w:szCs w:val="24"/>
        </w:rPr>
        <w:t xml:space="preserve">the </w:t>
      </w:r>
      <w:r w:rsidRPr="00897402">
        <w:rPr>
          <w:rFonts w:ascii="Times New Roman" w:eastAsia="Calibri" w:hAnsi="Times New Roman" w:cs="Times New Roman"/>
          <w:i/>
          <w:iCs/>
          <w:sz w:val="24"/>
          <w:szCs w:val="24"/>
        </w:rPr>
        <w:t>Shakh</w:t>
      </w:r>
      <w:commentRangeStart w:id="8"/>
      <w:commentRangeEnd w:id="8"/>
      <w:r w:rsidR="00BF4F98">
        <w:rPr>
          <w:rStyle w:val="CommentReference"/>
          <w:rFonts w:ascii="Times New Roman" w:eastAsia="Times New Roman" w:hAnsi="Times New Roman" w:cs="Times New Roman"/>
          <w:color w:val="auto"/>
          <w:lang w:bidi="ar-SA"/>
        </w:rPr>
        <w:commentReference w:id="8"/>
      </w:r>
      <w:r w:rsidR="00BF4F98">
        <w:rPr>
          <w:rFonts w:ascii="Times New Roman" w:eastAsia="Calibri" w:hAnsi="Times New Roman" w:cs="Times New Roman"/>
          <w:sz w:val="24"/>
          <w:szCs w:val="24"/>
        </w:rPr>
        <w:t xml:space="preserve"> (an acronym of the title of his commentary on the </w:t>
      </w:r>
      <w:r w:rsidRPr="00897402">
        <w:rPr>
          <w:rFonts w:ascii="Times New Roman" w:eastAsia="Calibri" w:hAnsi="Times New Roman" w:cs="Times New Roman"/>
          <w:i/>
          <w:iCs/>
          <w:sz w:val="24"/>
          <w:szCs w:val="24"/>
        </w:rPr>
        <w:t>Shulhan Arukh</w:t>
      </w:r>
      <w:r w:rsidR="00BF4F98">
        <w:rPr>
          <w:rFonts w:ascii="Times New Roman" w:eastAsia="Calibri" w:hAnsi="Times New Roman" w:cs="Times New Roman"/>
          <w:sz w:val="24"/>
          <w:szCs w:val="24"/>
        </w:rPr>
        <w:t xml:space="preserve">, </w:t>
      </w:r>
      <w:r w:rsidR="00BF4F98" w:rsidRPr="00B02799">
        <w:rPr>
          <w:rFonts w:ascii="Times New Roman" w:eastAsia="Calibri" w:hAnsi="Times New Roman" w:cs="Times New Roman"/>
          <w:i/>
          <w:iCs/>
          <w:sz w:val="24"/>
          <w:szCs w:val="24"/>
        </w:rPr>
        <w:t>Siftei Kohen</w:t>
      </w:r>
      <w:r w:rsidR="00BF4F98">
        <w:rPr>
          <w:rFonts w:ascii="Times New Roman" w:eastAsia="Calibri" w:hAnsi="Times New Roman" w:cs="Times New Roman"/>
          <w:sz w:val="24"/>
          <w:szCs w:val="24"/>
        </w:rPr>
        <w:t>)</w:t>
      </w:r>
      <w:r w:rsidR="00BF4F98" w:rsidRPr="00096E74">
        <w:rPr>
          <w:rFonts w:ascii="Times New Roman" w:eastAsia="Calibri" w:hAnsi="Times New Roman" w:cs="Times New Roman"/>
          <w:sz w:val="24"/>
          <w:szCs w:val="24"/>
        </w:rPr>
        <w:t xml:space="preserve">, </w:t>
      </w:r>
      <w:r w:rsidR="00BF4F98">
        <w:rPr>
          <w:rFonts w:ascii="Times New Roman" w:eastAsia="Calibri" w:hAnsi="Times New Roman" w:cs="Times New Roman"/>
          <w:sz w:val="24"/>
          <w:szCs w:val="24"/>
        </w:rPr>
        <w:t>in his</w:t>
      </w:r>
      <w:r w:rsidR="00BF4F98" w:rsidRPr="00096E74">
        <w:rPr>
          <w:rFonts w:ascii="Times New Roman" w:eastAsia="Calibri" w:hAnsi="Times New Roman" w:cs="Times New Roman"/>
          <w:sz w:val="24"/>
          <w:szCs w:val="24"/>
        </w:rPr>
        <w:t xml:space="preserve"> </w:t>
      </w:r>
      <w:r w:rsidR="00BF4F98" w:rsidRPr="00096E74">
        <w:rPr>
          <w:rFonts w:ascii="Times New Roman" w:eastAsia="Calibri" w:hAnsi="Times New Roman" w:cs="Times New Roman"/>
          <w:sz w:val="24"/>
          <w:szCs w:val="24"/>
        </w:rPr>
        <w:t>17</w:t>
      </w:r>
      <w:r w:rsidR="00BF4F98" w:rsidRPr="00096E74">
        <w:rPr>
          <w:rFonts w:ascii="Times New Roman" w:eastAsia="Calibri" w:hAnsi="Times New Roman" w:cs="Times New Roman"/>
          <w:sz w:val="24"/>
          <w:szCs w:val="24"/>
          <w:vertAlign w:val="superscript"/>
        </w:rPr>
        <w:t>th</w:t>
      </w:r>
      <w:r w:rsidR="00BF4F98">
        <w:rPr>
          <w:rFonts w:ascii="Times New Roman" w:eastAsia="Calibri" w:hAnsi="Times New Roman" w:cs="Times New Roman"/>
          <w:sz w:val="24"/>
          <w:szCs w:val="24"/>
        </w:rPr>
        <w:t>-</w:t>
      </w:r>
      <w:r w:rsidR="00BF4F98" w:rsidRPr="00096E74">
        <w:rPr>
          <w:rFonts w:ascii="Times New Roman" w:eastAsia="Calibri" w:hAnsi="Times New Roman" w:cs="Times New Roman"/>
          <w:sz w:val="24"/>
          <w:szCs w:val="24"/>
        </w:rPr>
        <w:t xml:space="preserve">century commentary on </w:t>
      </w:r>
      <w:r w:rsidR="00BF4F98">
        <w:rPr>
          <w:rFonts w:ascii="Times New Roman" w:eastAsia="Calibri" w:hAnsi="Times New Roman" w:cs="Times New Roman"/>
          <w:sz w:val="24"/>
          <w:szCs w:val="24"/>
        </w:rPr>
        <w:t xml:space="preserve">the </w:t>
      </w:r>
      <w:r w:rsidRPr="00897402">
        <w:rPr>
          <w:rFonts w:ascii="Times New Roman" w:eastAsia="Calibri" w:hAnsi="Times New Roman" w:cs="Times New Roman"/>
          <w:i/>
          <w:iCs/>
          <w:sz w:val="24"/>
          <w:szCs w:val="24"/>
        </w:rPr>
        <w:t>Shulhan Arukh</w:t>
      </w:r>
      <w:r w:rsidR="00BF4F98" w:rsidRPr="00096E74">
        <w:rPr>
          <w:rFonts w:ascii="Times New Roman" w:eastAsia="Calibri" w:hAnsi="Times New Roman" w:cs="Times New Roman"/>
          <w:sz w:val="24"/>
          <w:szCs w:val="24"/>
        </w:rPr>
        <w:t xml:space="preserve">, </w:t>
      </w:r>
      <w:r>
        <w:rPr>
          <w:rFonts w:ascii="Times New Roman" w:eastAsia="Calibri" w:hAnsi="Times New Roman" w:cs="Times New Roman"/>
          <w:sz w:val="24"/>
          <w:szCs w:val="24"/>
        </w:rPr>
        <w:t>pointed out</w:t>
      </w:r>
      <w:r w:rsidR="00BF4F98" w:rsidRPr="00096E74">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 xml:space="preserve">even according to the Rambam, </w:t>
      </w:r>
      <w:r w:rsidR="00BF4F98" w:rsidRPr="00096E74">
        <w:rPr>
          <w:rFonts w:ascii="Times New Roman" w:eastAsia="Calibri" w:hAnsi="Times New Roman" w:cs="Times New Roman"/>
          <w:sz w:val="24"/>
          <w:szCs w:val="24"/>
        </w:rPr>
        <w:t xml:space="preserve">only </w:t>
      </w:r>
      <w:r>
        <w:rPr>
          <w:rFonts w:ascii="Times New Roman" w:eastAsia="Calibri" w:hAnsi="Times New Roman" w:cs="Times New Roman"/>
          <w:sz w:val="24"/>
          <w:szCs w:val="24"/>
        </w:rPr>
        <w:t>sexual touch</w:t>
      </w:r>
      <w:r w:rsidR="00BF4F98" w:rsidRPr="00096E74">
        <w:rPr>
          <w:rFonts w:ascii="Times New Roman" w:eastAsia="Calibri" w:hAnsi="Times New Roman" w:cs="Times New Roman"/>
          <w:sz w:val="24"/>
          <w:szCs w:val="24"/>
        </w:rPr>
        <w:t xml:space="preserve"> prohibited by Torah law</w:t>
      </w:r>
      <w:r>
        <w:rPr>
          <w:rFonts w:ascii="Times New Roman" w:eastAsia="Calibri" w:hAnsi="Times New Roman" w:cs="Times New Roman"/>
          <w:sz w:val="24"/>
          <w:szCs w:val="24"/>
        </w:rPr>
        <w:t xml:space="preserve"> and that touch that is not explicitly sexual</w:t>
      </w:r>
      <w:r w:rsidR="00BF4F98" w:rsidRPr="00096E74">
        <w:rPr>
          <w:rFonts w:ascii="Times New Roman" w:eastAsia="Calibri" w:hAnsi="Times New Roman" w:cs="Times New Roman"/>
          <w:sz w:val="24"/>
          <w:szCs w:val="24"/>
        </w:rPr>
        <w:t xml:space="preserve"> </w:t>
      </w:r>
      <w:r w:rsidR="00BF4F98">
        <w:rPr>
          <w:rFonts w:ascii="Times New Roman" w:eastAsia="Calibri" w:hAnsi="Times New Roman" w:cs="Times New Roman"/>
          <w:sz w:val="24"/>
          <w:szCs w:val="24"/>
        </w:rPr>
        <w:t>is</w:t>
      </w:r>
      <w:r w:rsidR="00BF4F98" w:rsidRPr="00096E74">
        <w:rPr>
          <w:rFonts w:ascii="Times New Roman" w:eastAsia="Calibri" w:hAnsi="Times New Roman" w:cs="Times New Roman"/>
          <w:sz w:val="24"/>
          <w:szCs w:val="24"/>
        </w:rPr>
        <w:t xml:space="preserve"> rabbinically prohibited. </w:t>
      </w:r>
      <w:r w:rsidR="00BF4F98" w:rsidRPr="003B423A">
        <w:rPr>
          <w:rFonts w:ascii="Times New Roman" w:hAnsi="Times New Roman" w:cs="Times New Roman"/>
          <w:sz w:val="24"/>
          <w:szCs w:val="24"/>
        </w:rPr>
        <w:t xml:space="preserve">This </w:t>
      </w:r>
      <w:r w:rsidR="00BF4F98">
        <w:rPr>
          <w:rFonts w:ascii="Times New Roman" w:hAnsi="Times New Roman" w:cs="Times New Roman"/>
          <w:sz w:val="24"/>
          <w:szCs w:val="24"/>
        </w:rPr>
        <w:t>does</w:t>
      </w:r>
      <w:r w:rsidR="00BF4F98" w:rsidRPr="003B423A">
        <w:rPr>
          <w:rFonts w:ascii="Times New Roman" w:hAnsi="Times New Roman" w:cs="Times New Roman"/>
          <w:sz w:val="24"/>
          <w:szCs w:val="24"/>
        </w:rPr>
        <w:t xml:space="preserve"> not imply that Nahmanides </w:t>
      </w:r>
      <w:r w:rsidR="00BF4F98">
        <w:rPr>
          <w:rFonts w:ascii="Times New Roman" w:hAnsi="Times New Roman" w:cs="Times New Roman"/>
          <w:sz w:val="24"/>
          <w:szCs w:val="24"/>
        </w:rPr>
        <w:t xml:space="preserve">or the </w:t>
      </w:r>
      <w:r w:rsidRPr="00897402">
        <w:rPr>
          <w:rFonts w:ascii="Times New Roman" w:hAnsi="Times New Roman" w:cs="Times New Roman"/>
          <w:i/>
          <w:iCs/>
          <w:sz w:val="24"/>
          <w:szCs w:val="24"/>
        </w:rPr>
        <w:t>Shakh</w:t>
      </w:r>
      <w:r w:rsidR="00BF4F98">
        <w:rPr>
          <w:rFonts w:ascii="Times New Roman" w:hAnsi="Times New Roman" w:cs="Times New Roman"/>
          <w:sz w:val="24"/>
          <w:szCs w:val="24"/>
        </w:rPr>
        <w:t xml:space="preserve"> </w:t>
      </w:r>
      <w:r w:rsidR="00BF4F98" w:rsidRPr="003B423A">
        <w:rPr>
          <w:rFonts w:ascii="Times New Roman" w:hAnsi="Times New Roman" w:cs="Times New Roman"/>
          <w:sz w:val="24"/>
          <w:szCs w:val="24"/>
        </w:rPr>
        <w:t xml:space="preserve">would be casually permissive about </w:t>
      </w:r>
      <w:r>
        <w:rPr>
          <w:rFonts w:ascii="Times New Roman" w:hAnsi="Times New Roman" w:cs="Times New Roman"/>
          <w:sz w:val="24"/>
          <w:szCs w:val="24"/>
        </w:rPr>
        <w:t>non</w:t>
      </w:r>
      <w:r w:rsidR="00BF4F98" w:rsidRPr="003B423A">
        <w:rPr>
          <w:rFonts w:ascii="Times New Roman" w:hAnsi="Times New Roman" w:cs="Times New Roman"/>
          <w:sz w:val="24"/>
          <w:szCs w:val="24"/>
        </w:rPr>
        <w:t>sexual touch</w:t>
      </w:r>
      <w:r w:rsidR="00BF4F98">
        <w:rPr>
          <w:rFonts w:ascii="Times New Roman" w:hAnsi="Times New Roman" w:cs="Times New Roman"/>
          <w:sz w:val="24"/>
          <w:szCs w:val="24"/>
        </w:rPr>
        <w:t xml:space="preserve">, but </w:t>
      </w:r>
      <w:r w:rsidR="00BF4F98">
        <w:rPr>
          <w:rFonts w:ascii="Times New Roman" w:hAnsi="Times New Roman" w:cs="Times New Roman"/>
          <w:sz w:val="24"/>
          <w:szCs w:val="24"/>
        </w:rPr>
        <w:lastRenderedPageBreak/>
        <w:t xml:space="preserve">this distinction nevertheless has significant halakhic implications. </w:t>
      </w:r>
      <w:commentRangeStart w:id="9"/>
      <w:r w:rsidR="00BF4F98" w:rsidRPr="00735E79">
        <w:rPr>
          <w:rFonts w:ascii="Times New Roman" w:hAnsi="Times New Roman" w:cs="Times New Roman"/>
          <w:sz w:val="24"/>
          <w:szCs w:val="24"/>
        </w:rPr>
        <w:t>Emotional touch does not fall into the same “transgressive” category as sexual touch.</w:t>
      </w:r>
      <w:commentRangeEnd w:id="9"/>
      <w:r w:rsidR="00BF4F98">
        <w:rPr>
          <w:rStyle w:val="CommentReference"/>
          <w:rFonts w:ascii="Times New Roman" w:eastAsia="Times New Roman" w:hAnsi="Times New Roman" w:cs="Times New Roman"/>
          <w:color w:val="auto"/>
          <w:lang w:bidi="ar-SA"/>
        </w:rPr>
        <w:commentReference w:id="9"/>
      </w:r>
      <w:r w:rsidR="00BF4F98" w:rsidRPr="00735E79">
        <w:rPr>
          <w:rFonts w:ascii="Times New Roman" w:hAnsi="Times New Roman" w:cs="Times New Roman"/>
          <w:sz w:val="24"/>
          <w:szCs w:val="24"/>
        </w:rPr>
        <w:t xml:space="preserve"> </w:t>
      </w:r>
      <w:r>
        <w:rPr>
          <w:rFonts w:ascii="Times New Roman" w:hAnsi="Times New Roman" w:cs="Times New Roman"/>
          <w:sz w:val="24"/>
          <w:szCs w:val="24"/>
        </w:rPr>
        <w:t>At the end of the discussio, I will present a review of the various types of touch and their status</w:t>
      </w:r>
    </w:p>
    <w:p w14:paraId="15DA4E19" w14:textId="77777777" w:rsidR="00BF4F98" w:rsidRPr="00096E74" w:rsidRDefault="00BF4F98" w:rsidP="00897402">
      <w:pPr>
        <w:pStyle w:val="Heading2"/>
        <w:rPr>
          <w:lang w:val="fr-FR"/>
        </w:rPr>
      </w:pPr>
      <w:commentRangeStart w:id="10"/>
      <w:r w:rsidRPr="00096E74">
        <w:rPr>
          <w:lang w:val="fr-FR"/>
        </w:rPr>
        <w:t>Emotional Touch</w:t>
      </w:r>
      <w:commentRangeEnd w:id="10"/>
      <w:r>
        <w:rPr>
          <w:rStyle w:val="CommentReference"/>
          <w:rFonts w:eastAsia="Times New Roman"/>
        </w:rPr>
        <w:commentReference w:id="10"/>
      </w:r>
    </w:p>
    <w:p w14:paraId="72F2E22E" w14:textId="13115C8E" w:rsidR="00BF4F98" w:rsidRDefault="00BF4F98" w:rsidP="00BF4F98">
      <w:r w:rsidRPr="00DD3C6C">
        <w:rPr>
          <w:lang w:val="fr-FR"/>
        </w:rPr>
        <w:t xml:space="preserve">Much of the focus in </w:t>
      </w:r>
      <w:r w:rsidRPr="00096E74">
        <w:rPr>
          <w:i/>
          <w:iCs/>
          <w:lang w:val="fr-FR"/>
        </w:rPr>
        <w:t>negiah</w:t>
      </w:r>
      <w:r w:rsidR="00F326D1">
        <w:rPr>
          <w:lang w:val="fr-FR"/>
        </w:rPr>
        <w:t xml:space="preserve"> </w:t>
      </w:r>
      <w:r w:rsidRPr="00DD3C6C">
        <w:rPr>
          <w:lang w:val="fr-FR"/>
        </w:rPr>
        <w:t xml:space="preserve">based conversation is around sexual touch and the slippery slope that </w:t>
      </w:r>
      <w:r w:rsidR="00897402">
        <w:rPr>
          <w:lang w:val="fr-FR"/>
        </w:rPr>
        <w:t>even casual touch might lead to forbidden sexual touch and even s</w:t>
      </w:r>
      <w:r w:rsidRPr="00DD3C6C">
        <w:rPr>
          <w:lang w:val="fr-FR"/>
        </w:rPr>
        <w:t>exual relations</w:t>
      </w:r>
      <w:r w:rsidR="00897402">
        <w:rPr>
          <w:lang w:val="fr-FR"/>
        </w:rPr>
        <w:t>.</w:t>
      </w:r>
      <w:r w:rsidRPr="00DD3C6C">
        <w:rPr>
          <w:lang w:val="fr-FR"/>
        </w:rPr>
        <w:t xml:space="preserve"> </w:t>
      </w:r>
      <w:r w:rsidRPr="002405B4">
        <w:t xml:space="preserve">This is certainly </w:t>
      </w:r>
      <w:r>
        <w:t>a greater concern</w:t>
      </w:r>
      <w:r w:rsidRPr="002405B4">
        <w:t xml:space="preserve"> today </w:t>
      </w:r>
      <w:r>
        <w:t>than in the past as</w:t>
      </w:r>
      <w:r w:rsidRPr="002405B4">
        <w:t xml:space="preserve"> </w:t>
      </w:r>
      <w:r w:rsidRPr="002405B4">
        <w:t>secular society</w:t>
      </w:r>
      <w:r>
        <w:t xml:space="preserve"> today</w:t>
      </w:r>
      <w:r w:rsidRPr="002405B4">
        <w:t xml:space="preserve"> no longer attaches any stigma to </w:t>
      </w:r>
      <w:r>
        <w:t>non-marital and casual</w:t>
      </w:r>
      <w:r w:rsidRPr="002405B4">
        <w:t xml:space="preserve"> sexual</w:t>
      </w:r>
      <w:r>
        <w:t xml:space="preserve"> relations</w:t>
      </w:r>
      <w:r w:rsidRPr="002405B4">
        <w:t>. On the contrary, sexual relations before marriage is the norm, and sexual experimentation is regarded as healthy.</w:t>
      </w:r>
    </w:p>
    <w:p w14:paraId="09CD068B" w14:textId="18B82DEA" w:rsidR="00897402" w:rsidRPr="002405B4" w:rsidRDefault="00897402" w:rsidP="00897402">
      <w:r w:rsidRPr="00473B77">
        <w:rPr>
          <w:u w:color="333333"/>
        </w:rPr>
        <w:t xml:space="preserve">The </w:t>
      </w:r>
      <w:r>
        <w:rPr>
          <w:u w:color="333333"/>
        </w:rPr>
        <w:t xml:space="preserve">halakhic discussion of touch is almost entirely preoccupied with the </w:t>
      </w:r>
      <w:r w:rsidRPr="00473B77">
        <w:rPr>
          <w:u w:color="333333"/>
        </w:rPr>
        <w:t xml:space="preserve">concern that touch can, and </w:t>
      </w:r>
      <w:r>
        <w:rPr>
          <w:u w:color="333333"/>
        </w:rPr>
        <w:t>perhaps</w:t>
      </w:r>
      <w:r w:rsidRPr="00473B77">
        <w:rPr>
          <w:u w:color="333333"/>
        </w:rPr>
        <w:t xml:space="preserve"> almost inevitably will, become sexual. </w:t>
      </w:r>
      <w:r>
        <w:t xml:space="preserve">The </w:t>
      </w:r>
      <w:r w:rsidRPr="00897402">
        <w:rPr>
          <w:i/>
          <w:iCs/>
        </w:rPr>
        <w:t>halakhah</w:t>
      </w:r>
      <w:r>
        <w:t xml:space="preserve"> as it stands </w:t>
      </w:r>
      <w:r>
        <w:rPr>
          <w:lang w:val="fr-FR"/>
        </w:rPr>
        <w:t xml:space="preserve">does not acknowledge how </w:t>
      </w:r>
      <w:r>
        <w:t xml:space="preserve">central </w:t>
      </w:r>
      <w:r>
        <w:rPr>
          <w:lang w:val="fr-FR"/>
        </w:rPr>
        <w:t xml:space="preserve">emotional touch </w:t>
      </w:r>
      <w:r>
        <w:t>can be in fostering the growth of</w:t>
      </w:r>
      <w:r>
        <w:rPr>
          <w:lang w:val="fr-FR"/>
        </w:rPr>
        <w:t xml:space="preserve"> </w:t>
      </w:r>
      <w:r>
        <w:t xml:space="preserve">a </w:t>
      </w:r>
      <w:r>
        <w:rPr>
          <w:lang w:val="fr-FR"/>
        </w:rPr>
        <w:t xml:space="preserve">relationship. </w:t>
      </w:r>
      <w:r>
        <w:rPr>
          <w:u w:color="333333"/>
        </w:rPr>
        <w:t>It plays a role</w:t>
      </w:r>
      <w:r w:rsidRPr="00B02799">
        <w:rPr>
          <w:u w:color="333333"/>
        </w:rPr>
        <w:t xml:space="preserve"> in conveying love, affection</w:t>
      </w:r>
      <w:r>
        <w:rPr>
          <w:u w:color="333333"/>
        </w:rPr>
        <w:t>,</w:t>
      </w:r>
      <w:r w:rsidRPr="00B02799">
        <w:rPr>
          <w:u w:color="333333"/>
        </w:rPr>
        <w:t xml:space="preserve"> and support </w:t>
      </w:r>
      <w:r>
        <w:rPr>
          <w:u w:color="333333"/>
        </w:rPr>
        <w:t>and is an important means of communication</w:t>
      </w:r>
      <w:r w:rsidRPr="00B02799">
        <w:rPr>
          <w:u w:color="333333"/>
        </w:rPr>
        <w:t>.</w:t>
      </w:r>
      <w:r>
        <w:rPr>
          <w:u w:color="333333"/>
        </w:rPr>
        <w:t xml:space="preserve"> It is important to be aware that while a</w:t>
      </w:r>
      <w:r w:rsidRPr="00EE4582">
        <w:t>bstinence from any form of physical interaction while dating</w:t>
      </w:r>
      <w:r>
        <w:t xml:space="preserve"> ensures that the </w:t>
      </w:r>
      <w:proofErr w:type="gramStart"/>
      <w:r>
        <w:t>men and women</w:t>
      </w:r>
      <w:proofErr w:type="gramEnd"/>
      <w:r>
        <w:t xml:space="preserve"> do not transgress, this comes at a cost. Moreover, relationships that</w:t>
      </w:r>
      <w:r w:rsidRPr="00EE4582">
        <w:t xml:space="preserve"> </w:t>
      </w:r>
      <w:r>
        <w:t xml:space="preserve">extend for </w:t>
      </w:r>
      <w:r w:rsidRPr="00EE4582">
        <w:t>weeks, months</w:t>
      </w:r>
      <w:r>
        <w:t>,</w:t>
      </w:r>
      <w:r w:rsidRPr="00EE4582">
        <w:t xml:space="preserve"> and sometimes years can be extremely challenging and for some, practically impossible</w:t>
      </w:r>
      <w:r>
        <w:t>.</w:t>
      </w:r>
    </w:p>
    <w:p w14:paraId="6ADBFB64" w14:textId="77777777" w:rsidR="00BF4F98" w:rsidRDefault="00BF4F98" w:rsidP="00BF4F98">
      <w:r>
        <w:t xml:space="preserve">Gila Manolson’s popular book, </w:t>
      </w:r>
      <w:r>
        <w:rPr>
          <w:i/>
        </w:rPr>
        <w:t>The Magic Touch,</w:t>
      </w:r>
      <w:r>
        <w:rPr>
          <w:vertAlign w:val="superscript"/>
        </w:rPr>
        <w:footnoteReference w:id="3"/>
      </w:r>
      <w:r>
        <w:t xml:space="preserve"> published in the 1980’s, promoted the notion that refraining from all touch before marriage promises something magical afterward. She reiterated over and over the potency of touch and the ease with which it can be abused, cheapened, or trivialized. The book, primarily directed at an audience of young people in high school and college, aimed to discourage them from </w:t>
      </w:r>
      <w:r w:rsidRPr="000931D1">
        <w:t>using</w:t>
      </w:r>
      <w:r>
        <w:t xml:space="preserve"> one another for purely physical release, encouraging readers to date and marry young and to avoid sexual experimentation, saving the sanctity of touch for marriage.</w:t>
      </w:r>
    </w:p>
    <w:p w14:paraId="14480EC3" w14:textId="6CBBBF4E" w:rsidR="00BF4F98" w:rsidRDefault="00897402" w:rsidP="00897402">
      <w:r w:rsidRPr="00096E74">
        <w:t xml:space="preserve">Manolson is on point in recognizing that the promiscuity of secular culture puts pressure on young men and women to </w:t>
      </w:r>
      <w:r>
        <w:t xml:space="preserve">engage in sexual contact that is forbidden by the </w:t>
      </w:r>
      <w:r w:rsidRPr="00897402">
        <w:rPr>
          <w:i/>
          <w:iCs/>
        </w:rPr>
        <w:t>halakhah</w:t>
      </w:r>
      <w:r>
        <w:t xml:space="preserve">. Moreover, I believe she is correct that such meaningless sexuality </w:t>
      </w:r>
      <w:r w:rsidRPr="00096E74">
        <w:t xml:space="preserve">can ultimately stunt their ability to develop </w:t>
      </w:r>
      <w:r>
        <w:t>deep</w:t>
      </w:r>
      <w:r w:rsidRPr="00096E74">
        <w:t xml:space="preserve"> intimacy</w:t>
      </w:r>
      <w:r>
        <w:t xml:space="preserve">. </w:t>
      </w:r>
      <w:r>
        <w:rPr>
          <w:rStyle w:val="CommentReference"/>
          <w:rFonts w:eastAsia="Times New Roman"/>
        </w:rPr>
        <w:annotationRef/>
      </w:r>
      <w:r w:rsidR="00BF4F98">
        <w:t>The alternative she promotes has been adopted by m</w:t>
      </w:r>
      <w:r w:rsidR="00BF4F98" w:rsidRPr="00096E74">
        <w:t xml:space="preserve">any </w:t>
      </w:r>
      <w:proofErr w:type="gramStart"/>
      <w:r w:rsidR="00BF4F98" w:rsidRPr="00096E74">
        <w:t>men and women</w:t>
      </w:r>
      <w:proofErr w:type="gramEnd"/>
      <w:r w:rsidR="00BF4F98" w:rsidRPr="00096E74">
        <w:t xml:space="preserve"> </w:t>
      </w:r>
      <w:r w:rsidR="00BF4F98">
        <w:lastRenderedPageBreak/>
        <w:t xml:space="preserve">who </w:t>
      </w:r>
      <w:r w:rsidR="00BF4F98" w:rsidRPr="00096E74">
        <w:t>exert enormous effort</w:t>
      </w:r>
      <w:r w:rsidR="00BF4F98">
        <w:t>s</w:t>
      </w:r>
      <w:r w:rsidR="00BF4F98" w:rsidRPr="00096E74">
        <w:t xml:space="preserve"> </w:t>
      </w:r>
      <w:r w:rsidR="00BF4F98">
        <w:t>to</w:t>
      </w:r>
      <w:r w:rsidR="00BF4F98" w:rsidRPr="00096E74">
        <w:t xml:space="preserve"> remain steadfastly committed to </w:t>
      </w:r>
      <w:r w:rsidRPr="00897402">
        <w:rPr>
          <w:i/>
          <w:iCs/>
        </w:rPr>
        <w:t>halakhah</w:t>
      </w:r>
      <w:r w:rsidR="00BF4F98" w:rsidRPr="00096E74">
        <w:t xml:space="preserve"> </w:t>
      </w:r>
      <w:r w:rsidR="00BF4F98">
        <w:t>while</w:t>
      </w:r>
      <w:r w:rsidR="00BF4F98" w:rsidRPr="00096E74">
        <w:t xml:space="preserve"> dating. They accept that physical intimacy will begin only after marriage. </w:t>
      </w:r>
      <w:commentRangeStart w:id="11"/>
      <w:r w:rsidR="00BF4F98" w:rsidRPr="00096E74">
        <w:t>In many cases, this commitment</w:t>
      </w:r>
      <w:r w:rsidR="00BF4F98">
        <w:t xml:space="preserve"> </w:t>
      </w:r>
      <w:r w:rsidR="00BF4F98" w:rsidRPr="008D0434">
        <w:rPr>
          <w:u w:color="333333"/>
        </w:rPr>
        <w:t>to avoid</w:t>
      </w:r>
      <w:r w:rsidR="00BF4F98">
        <w:rPr>
          <w:u w:color="333333"/>
        </w:rPr>
        <w:t>ing</w:t>
      </w:r>
      <w:r w:rsidR="00BF4F98" w:rsidRPr="008D0434">
        <w:rPr>
          <w:u w:color="333333"/>
        </w:rPr>
        <w:t xml:space="preserve"> sexual impropriety </w:t>
      </w:r>
      <w:r w:rsidR="00BF4F98" w:rsidRPr="00096E74">
        <w:t xml:space="preserve">and the inevitable sexual tension </w:t>
      </w:r>
      <w:r w:rsidR="00BF4F98">
        <w:t xml:space="preserve">that results </w:t>
      </w:r>
      <w:proofErr w:type="gramStart"/>
      <w:r w:rsidR="00BF4F98" w:rsidRPr="00096E74">
        <w:t>spurs</w:t>
      </w:r>
      <w:proofErr w:type="gramEnd"/>
      <w:r w:rsidR="00BF4F98" w:rsidRPr="00096E74">
        <w:t xml:space="preserve"> them more quickly toward </w:t>
      </w:r>
      <w:r w:rsidR="00BF4F98">
        <w:t>marriage.</w:t>
      </w:r>
      <w:r w:rsidR="00BF4F98" w:rsidRPr="00096E74">
        <w:t xml:space="preserve"> </w:t>
      </w:r>
      <w:commentRangeEnd w:id="11"/>
      <w:r w:rsidR="00BF4F98">
        <w:rPr>
          <w:rStyle w:val="CommentReference"/>
        </w:rPr>
        <w:commentReference w:id="11"/>
      </w:r>
    </w:p>
    <w:p w14:paraId="437E2C83" w14:textId="626EBCC2" w:rsidR="00BF4F98" w:rsidRDefault="00BF4F98" w:rsidP="00BF4F98">
      <w:r>
        <w:t xml:space="preserve">The reality of modern relationships, unfortunately, does not always correspond to the ideal presented in </w:t>
      </w:r>
      <w:r w:rsidRPr="00D53993">
        <w:rPr>
          <w:i/>
          <w:iCs/>
        </w:rPr>
        <w:t>The Magic Touch</w:t>
      </w:r>
      <w:r>
        <w:t xml:space="preserve">. Sometimes the lack of touch represses intimacy, acting as an impediment rather than an impetus to move quickly toward </w:t>
      </w:r>
      <w:commentRangeStart w:id="12"/>
      <w:r>
        <w:t>marriage</w:t>
      </w:r>
      <w:commentRangeEnd w:id="12"/>
      <w:r>
        <w:rPr>
          <w:rStyle w:val="CommentReference"/>
        </w:rPr>
        <w:commentReference w:id="12"/>
      </w:r>
      <w:r>
        <w:t>. Manolson also does not address the reality that despite her exhortations, touch is frequently either expected or inevitable as the relationship unfolds. For couples embarking on dating following divorce or the death of a spouse the absolute ban on touch before marriage may raise other difficulties. If their previous sexual relationship was problematic, lack of physical intimacy may act as a significant deterrent to their willingness to commit a second.</w:t>
      </w:r>
    </w:p>
    <w:p w14:paraId="39B03096" w14:textId="3ADBE619" w:rsidR="00897402" w:rsidRDefault="00897402" w:rsidP="00897402">
      <w:pPr>
        <w:pStyle w:val="Heading2"/>
      </w:pPr>
      <w:r>
        <w:t>S</w:t>
      </w:r>
      <w:r>
        <w:t xml:space="preserve">ummary of </w:t>
      </w:r>
      <w:r>
        <w:t>the D</w:t>
      </w:r>
      <w:r>
        <w:t xml:space="preserve">ifferent </w:t>
      </w:r>
      <w:r>
        <w:t>T</w:t>
      </w:r>
      <w:r>
        <w:t xml:space="preserve">ypes of </w:t>
      </w:r>
      <w:r>
        <w:t>T</w:t>
      </w:r>
      <w:r>
        <w:t xml:space="preserve">ouch and </w:t>
      </w:r>
      <w:r w:rsidR="00F326D1">
        <w:t>T</w:t>
      </w:r>
      <w:r>
        <w:t xml:space="preserve">heir </w:t>
      </w:r>
      <w:r>
        <w:t>H</w:t>
      </w:r>
      <w:r>
        <w:t xml:space="preserve">alakhic </w:t>
      </w:r>
      <w:r>
        <w:t>R</w:t>
      </w:r>
      <w:r>
        <w:t>amifications:</w:t>
      </w:r>
    </w:p>
    <w:p w14:paraId="6BFE10C3" w14:textId="5F1361A7" w:rsidR="00897402" w:rsidRDefault="00897402" w:rsidP="00897402">
      <w:r w:rsidRPr="00C80932">
        <w:rPr>
          <w:b/>
          <w:bCs/>
        </w:rPr>
        <w:t xml:space="preserve">Sexual touch </w:t>
      </w:r>
      <w:r>
        <w:t xml:space="preserve">with a woman who is </w:t>
      </w:r>
      <w:r w:rsidRPr="00C65A47">
        <w:rPr>
          <w:i/>
          <w:iCs/>
        </w:rPr>
        <w:t>niddah</w:t>
      </w:r>
      <w:r>
        <w:t xml:space="preserve">. This includes all types of sexual touch short of penetration. According to Maimonides, such touch violates a </w:t>
      </w:r>
      <w:r>
        <w:t>biblical</w:t>
      </w:r>
      <w:r>
        <w:t xml:space="preserve"> prohibition</w:t>
      </w:r>
      <w:r>
        <w:t>.</w:t>
      </w:r>
      <w:r>
        <w:t xml:space="preserve"> According to the school of Nahmanides, all sexual touch violates a rabbinic rather than biblical prohibition.</w:t>
      </w:r>
    </w:p>
    <w:p w14:paraId="05C1CF3D" w14:textId="593CA3DC" w:rsidR="00897402" w:rsidRDefault="00897402" w:rsidP="00897402">
      <w:r w:rsidRPr="00C80932">
        <w:rPr>
          <w:b/>
          <w:bCs/>
        </w:rPr>
        <w:t>Emotional touch</w:t>
      </w:r>
      <w:r>
        <w:t xml:space="preserve">, for instance, a hug, holding hands, </w:t>
      </w:r>
      <w:proofErr w:type="gramStart"/>
      <w:r>
        <w:t>sitting</w:t>
      </w:r>
      <w:proofErr w:type="gramEnd"/>
      <w:r>
        <w:t xml:space="preserve"> or walking arm in arm, falls into a grey area. If it remains non</w:t>
      </w:r>
      <w:r w:rsidR="00F326D1">
        <w:t>sexual</w:t>
      </w:r>
      <w:r>
        <w:t xml:space="preserve">, according to the more stringent approach of Maimonides, </w:t>
      </w:r>
      <w:commentRangeStart w:id="13"/>
      <w:r>
        <w:t xml:space="preserve">it violates a rabbinic safeguard established to prevent touch from becoming sexual. </w:t>
      </w:r>
      <w:commentRangeEnd w:id="13"/>
      <w:r>
        <w:rPr>
          <w:rStyle w:val="CommentReference"/>
        </w:rPr>
        <w:commentReference w:id="13"/>
      </w:r>
      <w:r>
        <w:t>The extreme caution for this kind of touch is due to rabbinic awareness that the emotional can quickly veer into the sexual at times of heightened emotion or simply because two people are attracted to one another.</w:t>
      </w:r>
    </w:p>
    <w:p w14:paraId="4D4C3C83" w14:textId="5DFA97E0" w:rsidR="00897402" w:rsidRDefault="00897402" w:rsidP="00897402">
      <w:commentRangeStart w:id="14"/>
      <w:r w:rsidRPr="00C80932">
        <w:rPr>
          <w:b/>
          <w:bCs/>
        </w:rPr>
        <w:t>Casual and</w:t>
      </w:r>
      <w:r>
        <w:rPr>
          <w:b/>
          <w:bCs/>
        </w:rPr>
        <w:t xml:space="preserve"> </w:t>
      </w:r>
      <w:r w:rsidRPr="00C80932">
        <w:rPr>
          <w:b/>
          <w:bCs/>
        </w:rPr>
        <w:t>service</w:t>
      </w:r>
      <w:r>
        <w:rPr>
          <w:b/>
          <w:bCs/>
        </w:rPr>
        <w:t>-</w:t>
      </w:r>
      <w:r w:rsidRPr="00C80932">
        <w:rPr>
          <w:b/>
          <w:bCs/>
        </w:rPr>
        <w:t>based touch</w:t>
      </w:r>
      <w:r>
        <w:t xml:space="preserve"> are not prohibited based on the halakhic criteria analyzed above</w:t>
      </w:r>
      <w:commentRangeEnd w:id="14"/>
      <w:r>
        <w:rPr>
          <w:rStyle w:val="CommentReference"/>
        </w:rPr>
        <w:commentReference w:id="14"/>
      </w:r>
      <w:r>
        <w:t xml:space="preserve">. Tapping someone on the shoulder or professionally shaking someone’s hand does not violate any halakhic prohibition. Medical professionals are always permitted to treat members of the opposite sex. However, </w:t>
      </w:r>
      <w:proofErr w:type="gramStart"/>
      <w:r>
        <w:t>men and women</w:t>
      </w:r>
      <w:proofErr w:type="gramEnd"/>
      <w:r>
        <w:t xml:space="preserve"> within the Orthodox community often decide to avoid any sort of physical contact, including handshaking, outside of service or medical touch as a religious safeguard and a way of clarifying for themselves and others a strict no-touch policy.</w:t>
      </w:r>
    </w:p>
    <w:p w14:paraId="3FCCD33D" w14:textId="4BF8C671" w:rsidR="00BF4F98" w:rsidRDefault="00BF4F98" w:rsidP="00BF4F98">
      <w:pPr>
        <w:pStyle w:val="Heading1"/>
      </w:pPr>
      <w:r>
        <w:lastRenderedPageBreak/>
        <w:t>The Halakhic Prohibitions Relating to Non-Marital Sexual Relations</w:t>
      </w:r>
    </w:p>
    <w:p w14:paraId="69942D1F" w14:textId="77777777" w:rsidR="00897402" w:rsidRDefault="00897402" w:rsidP="00897402">
      <w:pPr>
        <w:pStyle w:val="Heading2"/>
      </w:pPr>
      <w:r>
        <w:t>Kadesh/Kadeshah</w:t>
      </w:r>
    </w:p>
    <w:p w14:paraId="6976D0DA" w14:textId="79D79E71" w:rsidR="00897402" w:rsidRDefault="00897402" w:rsidP="00897402">
      <w:r>
        <w:t>In this section, the halakhic differences between promiscuous and committed non-marital sexual relations will be considered.</w:t>
      </w:r>
      <w:r>
        <w:t xml:space="preserve"> </w:t>
      </w:r>
      <w:r>
        <w:t>Interestingly, there is no outright prohibition in the Torah against engaging in consensual sexual relations when a woman is unmarried. There is however a specific Torah prohibition against sexual promiscuity which can be found in Deuteronomy 23:18.</w:t>
      </w:r>
    </w:p>
    <w:tbl>
      <w:tblPr>
        <w:tblStyle w:val="5"/>
        <w:bidiVisual/>
        <w:tblW w:w="9198"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58"/>
        <w:gridCol w:w="4940"/>
      </w:tblGrid>
      <w:tr w:rsidR="00897402" w14:paraId="4B5B676F" w14:textId="77777777" w:rsidTr="00B02799">
        <w:trPr>
          <w:trHeight w:val="778"/>
          <w:jc w:val="right"/>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735B5" w14:textId="77777777" w:rsidR="00897402" w:rsidRPr="00FD1641" w:rsidRDefault="00897402" w:rsidP="00B02799">
            <w:pPr>
              <w:pStyle w:val="Source"/>
              <w:bidi/>
              <w:rPr>
                <w:rFonts w:ascii="Carlito" w:eastAsia="Carlito" w:hAnsi="Carlito" w:cs="Carlito"/>
              </w:rPr>
            </w:pPr>
            <w:r w:rsidRPr="00FD1641">
              <w:rPr>
                <w:rtl/>
              </w:rPr>
              <w:t>דברים פרק כג פסוק יח</w:t>
            </w:r>
          </w:p>
          <w:p w14:paraId="7714138D" w14:textId="77777777" w:rsidR="00897402" w:rsidRDefault="00897402" w:rsidP="00B02799">
            <w:pPr>
              <w:bidi/>
            </w:pPr>
            <w:r w:rsidRPr="00CF6E22">
              <w:rPr>
                <w:rtl/>
              </w:rPr>
              <w:t>לֹא־תִהְיֶ֥ה קְדֵשָׁ֖ה מִבְּנ֣וֹת יִשְׂרָאֵ֑ל וְלֹֽא־יִהְיֶ֥ה קָדֵ֖שׁ מִבְּנֵ֥י יִשְׂרָאֵֽל</w:t>
            </w:r>
            <w:r w:rsidRPr="00CF6E22">
              <w:t>:</w:t>
            </w:r>
          </w:p>
          <w:p w14:paraId="583F0E45" w14:textId="77777777" w:rsidR="00897402" w:rsidRDefault="00897402" w:rsidP="00B02799">
            <w:pPr>
              <w:bidi/>
            </w:pP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34543" w14:textId="77777777" w:rsidR="00897402" w:rsidRPr="00BB50F6" w:rsidRDefault="00897402" w:rsidP="00B02799">
            <w:pPr>
              <w:pStyle w:val="Source"/>
            </w:pPr>
            <w:r w:rsidRPr="00FD1641">
              <w:t>Deuteronomy</w:t>
            </w:r>
            <w:r w:rsidRPr="00BB50F6">
              <w:t xml:space="preserve"> 23:18</w:t>
            </w:r>
          </w:p>
          <w:p w14:paraId="2C54C6CD" w14:textId="77777777" w:rsidR="00897402" w:rsidRDefault="00897402" w:rsidP="00B02799">
            <w:pPr>
              <w:rPr>
                <w:sz w:val="22"/>
                <w:szCs w:val="22"/>
              </w:rPr>
            </w:pPr>
            <w:r w:rsidRPr="00FA5BF3">
              <w:t xml:space="preserve">No Israelite woman shall be a </w:t>
            </w:r>
            <w:commentRangeStart w:id="15"/>
            <w:r w:rsidRPr="00FA5BF3">
              <w:t>cult prostitute</w:t>
            </w:r>
            <w:r>
              <w:t xml:space="preserve"> [</w:t>
            </w:r>
            <w:r w:rsidRPr="00B02799">
              <w:rPr>
                <w:i/>
                <w:iCs/>
              </w:rPr>
              <w:t>kadesha</w:t>
            </w:r>
            <w:r>
              <w:rPr>
                <w:i/>
                <w:iCs/>
              </w:rPr>
              <w:t>h</w:t>
            </w:r>
            <w:r>
              <w:t>]</w:t>
            </w:r>
            <w:r w:rsidRPr="00FA5BF3">
              <w:t>, nor shall any Israelite man be a cult prostitute</w:t>
            </w:r>
            <w:r>
              <w:t xml:space="preserve"> [</w:t>
            </w:r>
            <w:r w:rsidRPr="00B02799">
              <w:rPr>
                <w:i/>
                <w:iCs/>
              </w:rPr>
              <w:t>kadesh</w:t>
            </w:r>
            <w:r>
              <w:t>]</w:t>
            </w:r>
            <w:r w:rsidRPr="00FA5BF3">
              <w:t>.</w:t>
            </w:r>
            <w:commentRangeEnd w:id="15"/>
            <w:r>
              <w:rPr>
                <w:rStyle w:val="CommentReference"/>
              </w:rPr>
              <w:commentReference w:id="15"/>
            </w:r>
          </w:p>
        </w:tc>
      </w:tr>
    </w:tbl>
    <w:p w14:paraId="0C9BF9AD" w14:textId="77777777" w:rsidR="00897402" w:rsidRDefault="00897402" w:rsidP="00897402"/>
    <w:p w14:paraId="56C607FC" w14:textId="77777777" w:rsidR="00897402" w:rsidRDefault="00897402" w:rsidP="00897402">
      <w:commentRangeStart w:id="16"/>
      <w:r>
        <w:t xml:space="preserve">Who are the </w:t>
      </w:r>
      <w:r w:rsidRPr="00B02799">
        <w:rPr>
          <w:i/>
          <w:iCs/>
        </w:rPr>
        <w:t>kadesha</w:t>
      </w:r>
      <w:r>
        <w:rPr>
          <w:i/>
          <w:iCs/>
        </w:rPr>
        <w:t>h</w:t>
      </w:r>
      <w:r>
        <w:t xml:space="preserve"> and the </w:t>
      </w:r>
      <w:r w:rsidRPr="00B02799">
        <w:rPr>
          <w:i/>
          <w:iCs/>
        </w:rPr>
        <w:t>kadesh</w:t>
      </w:r>
      <w:r>
        <w:t xml:space="preserve"> according to the </w:t>
      </w:r>
      <w:r w:rsidRPr="00897402">
        <w:rPr>
          <w:i/>
          <w:iCs/>
        </w:rPr>
        <w:t>halakhah</w:t>
      </w:r>
      <w:r>
        <w:t>?</w:t>
      </w:r>
      <w:commentRangeEnd w:id="16"/>
      <w:r>
        <w:rPr>
          <w:rStyle w:val="CommentReference"/>
        </w:rPr>
        <w:commentReference w:id="16"/>
      </w:r>
      <w:r>
        <w:t xml:space="preserve"> It is interesting to note that the words</w:t>
      </w:r>
      <w:r>
        <w:rPr>
          <w:i/>
          <w:iCs/>
        </w:rPr>
        <w:t xml:space="preserve"> k</w:t>
      </w:r>
      <w:r w:rsidRPr="001C24BB">
        <w:rPr>
          <w:i/>
          <w:iCs/>
        </w:rPr>
        <w:t>adesh</w:t>
      </w:r>
      <w:r>
        <w:t xml:space="preserve"> and </w:t>
      </w:r>
      <w:r>
        <w:rPr>
          <w:i/>
          <w:iCs/>
        </w:rPr>
        <w:t>k</w:t>
      </w:r>
      <w:r w:rsidRPr="001C24BB">
        <w:rPr>
          <w:i/>
          <w:iCs/>
        </w:rPr>
        <w:t>adesha</w:t>
      </w:r>
      <w:r>
        <w:rPr>
          <w:i/>
          <w:iCs/>
        </w:rPr>
        <w:t>h</w:t>
      </w:r>
      <w:r>
        <w:t xml:space="preserve"> come from the Hebrew root </w:t>
      </w:r>
      <w:r w:rsidRPr="00B02799">
        <w:rPr>
          <w:i/>
          <w:iCs/>
        </w:rPr>
        <w:t>k.d.sh</w:t>
      </w:r>
      <w:r>
        <w:t xml:space="preserve"> meaning holy, reflecting the ancient practice of sexual rituals as a form of worship in other religions.</w:t>
      </w:r>
      <w:r>
        <w:rPr>
          <w:vertAlign w:val="superscript"/>
        </w:rPr>
        <w:footnoteReference w:id="4"/>
      </w:r>
      <w:r>
        <w:t xml:space="preserve"> </w:t>
      </w:r>
      <w:commentRangeStart w:id="17"/>
      <w:r>
        <w:t>Rashi and Rashbam ignore the cultic aspect but disagree regarding who is included in these categories:</w:t>
      </w:r>
    </w:p>
    <w:tbl>
      <w:tblPr>
        <w:tblStyle w:val="4"/>
        <w:bidiVisual/>
        <w:tblW w:w="9916" w:type="dxa"/>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983"/>
        <w:gridCol w:w="4933"/>
      </w:tblGrid>
      <w:tr w:rsidR="00897402" w:rsidRPr="00294F74" w14:paraId="64B62192" w14:textId="77777777" w:rsidTr="00B02799">
        <w:trPr>
          <w:trHeight w:val="630"/>
          <w:jc w:val="right"/>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39D9" w14:textId="77777777" w:rsidR="00897402" w:rsidRPr="00294F74" w:rsidRDefault="00897402" w:rsidP="00B02799">
            <w:pPr>
              <w:pStyle w:val="Source"/>
              <w:bidi/>
              <w:rPr>
                <w:rFonts w:eastAsia="Carlito"/>
              </w:rPr>
            </w:pPr>
            <w:r w:rsidRPr="00294F74">
              <w:rPr>
                <w:rFonts w:hint="cs"/>
                <w:rtl/>
              </w:rPr>
              <w:t>רש</w:t>
            </w:r>
            <w:r w:rsidRPr="00294F74">
              <w:t>"</w:t>
            </w:r>
            <w:r w:rsidRPr="00294F74">
              <w:rPr>
                <w:rFonts w:hint="cs"/>
                <w:rtl/>
              </w:rPr>
              <w:t>י</w:t>
            </w:r>
            <w:r w:rsidRPr="00294F74">
              <w:rPr>
                <w:rtl/>
              </w:rPr>
              <w:t xml:space="preserve"> </w:t>
            </w:r>
            <w:r w:rsidRPr="00294F74">
              <w:rPr>
                <w:rFonts w:hint="cs"/>
                <w:rtl/>
              </w:rPr>
              <w:t>דברים</w:t>
            </w:r>
            <w:r w:rsidRPr="00294F74">
              <w:rPr>
                <w:rtl/>
              </w:rPr>
              <w:t xml:space="preserve"> </w:t>
            </w:r>
            <w:r w:rsidRPr="00294F74">
              <w:rPr>
                <w:rFonts w:hint="cs"/>
                <w:rtl/>
              </w:rPr>
              <w:t>פרשת</w:t>
            </w:r>
            <w:r w:rsidRPr="00294F74">
              <w:rPr>
                <w:rtl/>
              </w:rPr>
              <w:t xml:space="preserve"> </w:t>
            </w:r>
            <w:r w:rsidRPr="00294F74">
              <w:rPr>
                <w:rFonts w:hint="cs"/>
                <w:rtl/>
              </w:rPr>
              <w:t>כי</w:t>
            </w:r>
            <w:r w:rsidRPr="00294F74">
              <w:rPr>
                <w:rtl/>
              </w:rPr>
              <w:t xml:space="preserve"> </w:t>
            </w:r>
            <w:r w:rsidRPr="00294F74">
              <w:rPr>
                <w:rFonts w:hint="cs"/>
                <w:rtl/>
              </w:rPr>
              <w:t>תצא</w:t>
            </w:r>
            <w:r w:rsidRPr="00294F74">
              <w:rPr>
                <w:rtl/>
              </w:rPr>
              <w:t xml:space="preserve"> </w:t>
            </w:r>
            <w:r w:rsidRPr="00294F74">
              <w:rPr>
                <w:rFonts w:hint="cs"/>
                <w:rtl/>
              </w:rPr>
              <w:t>פרק</w:t>
            </w:r>
            <w:r w:rsidRPr="00294F74">
              <w:rPr>
                <w:rtl/>
              </w:rPr>
              <w:t xml:space="preserve"> </w:t>
            </w:r>
            <w:r w:rsidRPr="00294F74">
              <w:rPr>
                <w:rFonts w:hint="cs"/>
                <w:rtl/>
              </w:rPr>
              <w:t>כג</w:t>
            </w:r>
            <w:r w:rsidRPr="00294F74">
              <w:rPr>
                <w:rtl/>
              </w:rPr>
              <w:t xml:space="preserve"> </w:t>
            </w:r>
            <w:r w:rsidRPr="00294F74">
              <w:rPr>
                <w:rFonts w:hint="cs"/>
                <w:rtl/>
              </w:rPr>
              <w:t>פסוק</w:t>
            </w:r>
            <w:r w:rsidRPr="00294F74">
              <w:rPr>
                <w:rtl/>
              </w:rPr>
              <w:t xml:space="preserve"> </w:t>
            </w:r>
            <w:r w:rsidRPr="00294F74">
              <w:rPr>
                <w:rFonts w:hint="cs"/>
                <w:rtl/>
              </w:rPr>
              <w:t>יח</w:t>
            </w:r>
          </w:p>
          <w:p w14:paraId="1010F182" w14:textId="77777777" w:rsidR="00897402" w:rsidRPr="00294F74" w:rsidRDefault="00897402" w:rsidP="00B02799">
            <w:pPr>
              <w:bidi/>
            </w:pPr>
            <w:r w:rsidRPr="00294F74">
              <w:rPr>
                <w:rFonts w:hint="cs"/>
                <w:rtl/>
              </w:rPr>
              <w:t>לא</w:t>
            </w:r>
            <w:r w:rsidRPr="00294F74">
              <w:rPr>
                <w:rtl/>
              </w:rPr>
              <w:t xml:space="preserve"> </w:t>
            </w:r>
            <w:r w:rsidRPr="00294F74">
              <w:rPr>
                <w:rFonts w:hint="cs"/>
                <w:rtl/>
              </w:rPr>
              <w:t>תהיה</w:t>
            </w:r>
            <w:r w:rsidRPr="00294F74">
              <w:rPr>
                <w:rtl/>
              </w:rPr>
              <w:t xml:space="preserve"> </w:t>
            </w:r>
            <w:r w:rsidRPr="00294F74">
              <w:rPr>
                <w:rFonts w:hint="cs"/>
                <w:rtl/>
              </w:rPr>
              <w:t>קדשה</w:t>
            </w:r>
            <w:r w:rsidRPr="00294F74">
              <w:rPr>
                <w:rtl/>
              </w:rPr>
              <w:t xml:space="preserve"> </w:t>
            </w:r>
            <w:r w:rsidRPr="005418A6">
              <w:t xml:space="preserve">– </w:t>
            </w:r>
            <w:r w:rsidRPr="00294F74">
              <w:rPr>
                <w:rFonts w:hint="cs"/>
                <w:rtl/>
              </w:rPr>
              <w:t>מופקרת</w:t>
            </w:r>
            <w:r w:rsidRPr="005418A6">
              <w:t xml:space="preserve">, </w:t>
            </w:r>
            <w:r w:rsidRPr="00294F74">
              <w:rPr>
                <w:rFonts w:hint="cs"/>
                <w:rtl/>
              </w:rPr>
              <w:t>מקודשת</w:t>
            </w:r>
            <w:r w:rsidRPr="00294F74">
              <w:rPr>
                <w:rtl/>
              </w:rPr>
              <w:t xml:space="preserve"> </w:t>
            </w:r>
            <w:r w:rsidRPr="00294F74">
              <w:rPr>
                <w:rFonts w:hint="cs"/>
                <w:rtl/>
              </w:rPr>
              <w:t>ומזומנת</w:t>
            </w:r>
            <w:r w:rsidRPr="00294F74">
              <w:rPr>
                <w:rtl/>
              </w:rPr>
              <w:t xml:space="preserve"> </w:t>
            </w:r>
            <w:r w:rsidRPr="00294F74">
              <w:rPr>
                <w:rFonts w:hint="cs"/>
                <w:rtl/>
              </w:rPr>
              <w:t>לזנות</w:t>
            </w:r>
            <w:r w:rsidRPr="005418A6">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DBA20" w14:textId="77777777" w:rsidR="00897402" w:rsidRPr="00294F74" w:rsidRDefault="00897402" w:rsidP="00B02799">
            <w:pPr>
              <w:pStyle w:val="Source"/>
            </w:pPr>
            <w:r w:rsidRPr="00294F74">
              <w:t>Rashi Deuteronomy 23:18</w:t>
            </w:r>
          </w:p>
          <w:p w14:paraId="2AAA5CC8" w14:textId="77777777" w:rsidR="00897402" w:rsidRPr="00294F74" w:rsidRDefault="00897402" w:rsidP="00B02799">
            <w:r w:rsidRPr="00294F74">
              <w:t xml:space="preserve">There shall be no </w:t>
            </w:r>
            <w:r w:rsidRPr="00294F74">
              <w:rPr>
                <w:i/>
                <w:iCs/>
              </w:rPr>
              <w:t>kadesha</w:t>
            </w:r>
            <w:r w:rsidRPr="00294F74">
              <w:t xml:space="preserve"> — </w:t>
            </w:r>
            <w:r>
              <w:t>a woman who is promiscuous, dedicated</w:t>
            </w:r>
            <w:r w:rsidRPr="00294F74">
              <w:t xml:space="preserve"> for harlotry.</w:t>
            </w:r>
          </w:p>
        </w:tc>
      </w:tr>
      <w:tr w:rsidR="00897402" w:rsidRPr="00294F74" w14:paraId="4309C295" w14:textId="77777777" w:rsidTr="00B02799">
        <w:trPr>
          <w:trHeight w:val="1070"/>
          <w:jc w:val="right"/>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2D1BB" w14:textId="77777777" w:rsidR="00897402" w:rsidRPr="00294F74" w:rsidRDefault="00897402" w:rsidP="00B02799">
            <w:pPr>
              <w:pStyle w:val="Source"/>
              <w:bidi/>
              <w:rPr>
                <w:rFonts w:eastAsia="Carlito"/>
              </w:rPr>
            </w:pPr>
            <w:r w:rsidRPr="00294F74">
              <w:rPr>
                <w:rFonts w:hint="cs"/>
                <w:rtl/>
              </w:rPr>
              <w:t>רשב</w:t>
            </w:r>
            <w:r w:rsidRPr="00294F74">
              <w:t>"</w:t>
            </w:r>
            <w:r w:rsidRPr="00294F74">
              <w:rPr>
                <w:rFonts w:hint="cs"/>
                <w:rtl/>
              </w:rPr>
              <w:t>ם</w:t>
            </w:r>
            <w:r w:rsidRPr="00294F74">
              <w:rPr>
                <w:rtl/>
              </w:rPr>
              <w:t xml:space="preserve"> </w:t>
            </w:r>
            <w:r w:rsidRPr="00294F74">
              <w:rPr>
                <w:rFonts w:hint="cs"/>
                <w:rtl/>
              </w:rPr>
              <w:t>דברים</w:t>
            </w:r>
            <w:r w:rsidRPr="00294F74">
              <w:rPr>
                <w:rtl/>
              </w:rPr>
              <w:t xml:space="preserve"> </w:t>
            </w:r>
            <w:r w:rsidRPr="00294F74">
              <w:rPr>
                <w:rFonts w:hint="cs"/>
                <w:rtl/>
              </w:rPr>
              <w:t>פרשת</w:t>
            </w:r>
            <w:r w:rsidRPr="00294F74">
              <w:rPr>
                <w:rtl/>
              </w:rPr>
              <w:t xml:space="preserve"> </w:t>
            </w:r>
            <w:r w:rsidRPr="00294F74">
              <w:rPr>
                <w:rFonts w:hint="cs"/>
                <w:rtl/>
              </w:rPr>
              <w:t>כי</w:t>
            </w:r>
            <w:r w:rsidRPr="00294F74">
              <w:rPr>
                <w:rtl/>
              </w:rPr>
              <w:t xml:space="preserve"> </w:t>
            </w:r>
            <w:r w:rsidRPr="00294F74">
              <w:rPr>
                <w:rFonts w:hint="cs"/>
                <w:rtl/>
              </w:rPr>
              <w:t>תצא</w:t>
            </w:r>
            <w:r w:rsidRPr="00294F74">
              <w:rPr>
                <w:rtl/>
              </w:rPr>
              <w:t xml:space="preserve"> </w:t>
            </w:r>
            <w:r w:rsidRPr="00294F74">
              <w:rPr>
                <w:rFonts w:hint="cs"/>
                <w:rtl/>
              </w:rPr>
              <w:t>פרק</w:t>
            </w:r>
            <w:r w:rsidRPr="00294F74">
              <w:rPr>
                <w:rtl/>
              </w:rPr>
              <w:t xml:space="preserve"> </w:t>
            </w:r>
            <w:r w:rsidRPr="00294F74">
              <w:rPr>
                <w:rFonts w:hint="cs"/>
                <w:rtl/>
              </w:rPr>
              <w:t>כג</w:t>
            </w:r>
            <w:r w:rsidRPr="00294F74">
              <w:rPr>
                <w:rtl/>
              </w:rPr>
              <w:t xml:space="preserve"> </w:t>
            </w:r>
            <w:r w:rsidRPr="00294F74">
              <w:rPr>
                <w:rFonts w:hint="cs"/>
                <w:rtl/>
              </w:rPr>
              <w:t>פסוק</w:t>
            </w:r>
            <w:r w:rsidRPr="00294F74">
              <w:rPr>
                <w:rtl/>
              </w:rPr>
              <w:t xml:space="preserve"> </w:t>
            </w:r>
            <w:r w:rsidRPr="00294F74">
              <w:rPr>
                <w:rFonts w:hint="cs"/>
                <w:rtl/>
              </w:rPr>
              <w:t>יח</w:t>
            </w:r>
          </w:p>
          <w:p w14:paraId="4AA4B7CB" w14:textId="77777777" w:rsidR="00897402" w:rsidRPr="00294F74" w:rsidRDefault="00897402" w:rsidP="00B02799">
            <w:pPr>
              <w:bidi/>
            </w:pPr>
            <w:r w:rsidRPr="00294F74">
              <w:rPr>
                <w:rFonts w:hint="cs"/>
                <w:rtl/>
              </w:rPr>
              <w:t>קדשה</w:t>
            </w:r>
            <w:r w:rsidRPr="00294F74">
              <w:rPr>
                <w:rtl/>
              </w:rPr>
              <w:t xml:space="preserve"> </w:t>
            </w:r>
            <w:r w:rsidRPr="005418A6">
              <w:t xml:space="preserve">- </w:t>
            </w:r>
            <w:r w:rsidRPr="00294F74">
              <w:rPr>
                <w:rFonts w:hint="cs"/>
                <w:rtl/>
              </w:rPr>
              <w:t>זונה</w:t>
            </w:r>
            <w:r w:rsidRPr="005418A6">
              <w:t xml:space="preserve">, </w:t>
            </w:r>
            <w:r w:rsidRPr="00294F74">
              <w:rPr>
                <w:rFonts w:hint="cs"/>
                <w:rtl/>
              </w:rPr>
              <w:t>פנויה</w:t>
            </w:r>
            <w:r w:rsidRPr="00294F74">
              <w:rPr>
                <w:rtl/>
              </w:rPr>
              <w:t xml:space="preserve"> </w:t>
            </w:r>
            <w:r w:rsidRPr="00294F74">
              <w:rPr>
                <w:rFonts w:hint="cs"/>
                <w:rtl/>
              </w:rPr>
              <w:t>מנאפת</w:t>
            </w:r>
            <w:r w:rsidRPr="005418A6">
              <w:t>:</w:t>
            </w:r>
          </w:p>
          <w:p w14:paraId="2C2BBDD0" w14:textId="77777777" w:rsidR="00897402" w:rsidRPr="00294F74" w:rsidRDefault="00897402" w:rsidP="00B02799">
            <w:pPr>
              <w:bidi/>
            </w:pPr>
            <w:r w:rsidRPr="00294F74">
              <w:rPr>
                <w:rFonts w:hint="cs"/>
                <w:rtl/>
              </w:rPr>
              <w:t>קדש</w:t>
            </w:r>
            <w:r w:rsidRPr="00294F74">
              <w:rPr>
                <w:rtl/>
              </w:rPr>
              <w:t xml:space="preserve"> </w:t>
            </w:r>
            <w:r w:rsidRPr="005418A6">
              <w:t xml:space="preserve">- </w:t>
            </w:r>
            <w:r w:rsidRPr="00294F74">
              <w:rPr>
                <w:rFonts w:hint="cs"/>
                <w:rtl/>
              </w:rPr>
              <w:t>בא</w:t>
            </w:r>
            <w:r w:rsidRPr="00294F74">
              <w:rPr>
                <w:rtl/>
              </w:rPr>
              <w:t xml:space="preserve"> </w:t>
            </w:r>
            <w:r w:rsidRPr="00294F74">
              <w:rPr>
                <w:rFonts w:hint="cs"/>
                <w:rtl/>
              </w:rPr>
              <w:t>על</w:t>
            </w:r>
            <w:r w:rsidRPr="00294F74">
              <w:rPr>
                <w:rtl/>
              </w:rPr>
              <w:t xml:space="preserve"> </w:t>
            </w:r>
            <w:r w:rsidRPr="00294F74">
              <w:rPr>
                <w:rFonts w:hint="cs"/>
                <w:rtl/>
              </w:rPr>
              <w:t>פנויות</w:t>
            </w:r>
            <w:r w:rsidRPr="00294F74">
              <w:rPr>
                <w:rtl/>
              </w:rPr>
              <w:t xml:space="preserve"> </w:t>
            </w:r>
            <w:r w:rsidRPr="00294F74">
              <w:rPr>
                <w:rFonts w:hint="cs"/>
                <w:rtl/>
              </w:rPr>
              <w:t>בלא</w:t>
            </w:r>
            <w:r w:rsidRPr="00294F74">
              <w:rPr>
                <w:rtl/>
              </w:rPr>
              <w:t xml:space="preserve"> </w:t>
            </w:r>
            <w:r w:rsidRPr="00294F74">
              <w:rPr>
                <w:rFonts w:hint="cs"/>
                <w:rtl/>
              </w:rPr>
              <w:t>כתובה</w:t>
            </w:r>
            <w:r w:rsidRPr="00294F74">
              <w:rPr>
                <w:rtl/>
              </w:rPr>
              <w:t xml:space="preserve"> </w:t>
            </w:r>
            <w:r w:rsidRPr="00294F74">
              <w:rPr>
                <w:rFonts w:hint="cs"/>
                <w:rtl/>
              </w:rPr>
              <w:t>וקידושין</w:t>
            </w:r>
            <w:r w:rsidRPr="00294F74">
              <w:rPr>
                <w:rtl/>
              </w:rPr>
              <w:t xml:space="preserve"> </w:t>
            </w:r>
            <w:r w:rsidRPr="00294F74">
              <w:rPr>
                <w:rFonts w:hint="cs"/>
                <w:rtl/>
              </w:rPr>
              <w:t>ולא</w:t>
            </w:r>
            <w:r w:rsidRPr="00294F74">
              <w:rPr>
                <w:rtl/>
              </w:rPr>
              <w:t xml:space="preserve"> </w:t>
            </w:r>
            <w:r w:rsidRPr="00294F74">
              <w:rPr>
                <w:rFonts w:hint="cs"/>
                <w:rtl/>
              </w:rPr>
              <w:t>מיוחדת</w:t>
            </w:r>
            <w:r w:rsidRPr="00294F74">
              <w:rPr>
                <w:rtl/>
              </w:rPr>
              <w:t xml:space="preserve"> </w:t>
            </w:r>
            <w:r w:rsidRPr="00294F74">
              <w:rPr>
                <w:rFonts w:hint="cs"/>
                <w:rtl/>
              </w:rPr>
              <w:t>לו</w:t>
            </w:r>
            <w:r w:rsidRPr="00294F74">
              <w:rPr>
                <w:rtl/>
              </w:rPr>
              <w:t xml:space="preserve"> </w:t>
            </w:r>
            <w:r w:rsidRPr="00294F74">
              <w:rPr>
                <w:rFonts w:hint="cs"/>
                <w:rtl/>
              </w:rPr>
              <w:t>כפלגשים</w:t>
            </w:r>
            <w:r w:rsidRPr="005418A6">
              <w:t>:</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DB0F3" w14:textId="77777777" w:rsidR="00897402" w:rsidRPr="00294F74" w:rsidRDefault="00897402" w:rsidP="00B02799">
            <w:pPr>
              <w:pStyle w:val="Source"/>
            </w:pPr>
            <w:r w:rsidRPr="00294F74">
              <w:t xml:space="preserve">Rashbam </w:t>
            </w:r>
            <w:r>
              <w:t>Deuteronomy 23:18</w:t>
            </w:r>
          </w:p>
          <w:p w14:paraId="7F1A32B0" w14:textId="77777777" w:rsidR="00897402" w:rsidRPr="00294F74" w:rsidRDefault="00897402" w:rsidP="00B02799">
            <w:r w:rsidRPr="00B02799">
              <w:rPr>
                <w:i/>
                <w:iCs/>
              </w:rPr>
              <w:t>Kadesha</w:t>
            </w:r>
            <w:r>
              <w:t xml:space="preserve"> – </w:t>
            </w:r>
            <w:r w:rsidRPr="00294F74">
              <w:t xml:space="preserve">an unmarried woman who </w:t>
            </w:r>
            <w:r>
              <w:t>has sexual relations.</w:t>
            </w:r>
          </w:p>
          <w:p w14:paraId="2B179707" w14:textId="77777777" w:rsidR="00897402" w:rsidRPr="00294F74" w:rsidRDefault="00897402" w:rsidP="00B02799">
            <w:r w:rsidRPr="00294F74">
              <w:rPr>
                <w:i/>
                <w:iCs/>
              </w:rPr>
              <w:t>Kadesh</w:t>
            </w:r>
            <w:r w:rsidRPr="00294F74">
              <w:t xml:space="preserve"> – </w:t>
            </w:r>
            <w:commentRangeStart w:id="18"/>
            <w:r w:rsidRPr="00294F74">
              <w:t xml:space="preserve">one who has sex with unmarried women without marriage and </w:t>
            </w:r>
            <w:r w:rsidRPr="00294F74">
              <w:rPr>
                <w:i/>
                <w:iCs/>
              </w:rPr>
              <w:t>ketubah</w:t>
            </w:r>
            <w:r w:rsidRPr="00294F74">
              <w:t xml:space="preserve"> or without making them his concubines</w:t>
            </w:r>
            <w:commentRangeEnd w:id="18"/>
            <w:r>
              <w:rPr>
                <w:rStyle w:val="CommentReference"/>
              </w:rPr>
              <w:commentReference w:id="18"/>
            </w:r>
            <w:r w:rsidRPr="00294F74">
              <w:t>.</w:t>
            </w:r>
          </w:p>
        </w:tc>
      </w:tr>
    </w:tbl>
    <w:p w14:paraId="687A9C34" w14:textId="77777777" w:rsidR="00897402" w:rsidRDefault="00897402" w:rsidP="00897402"/>
    <w:p w14:paraId="42C75B12" w14:textId="77777777" w:rsidR="00897402" w:rsidRDefault="00897402" w:rsidP="00897402">
      <w:r>
        <w:t xml:space="preserve">While Rashi seems to regard the </w:t>
      </w:r>
      <w:r w:rsidRPr="00B02799">
        <w:rPr>
          <w:i/>
          <w:iCs/>
        </w:rPr>
        <w:t>kadesh/kadesha</w:t>
      </w:r>
      <w:r>
        <w:t xml:space="preserve"> to be limited to people who engage in a promiscuous lifestyle, perhaps only those who are professional prostitutes, Rashbam extends the </w:t>
      </w:r>
      <w:r>
        <w:lastRenderedPageBreak/>
        <w:t>category to anyone who engages in sexual relations outside of marriage.</w:t>
      </w:r>
      <w:commentRangeEnd w:id="17"/>
      <w:r>
        <w:rPr>
          <w:rStyle w:val="CommentReference"/>
        </w:rPr>
        <w:commentReference w:id="17"/>
      </w:r>
      <w:r>
        <w:t xml:space="preserve"> These two positions are explicit in the halakhic dispute between the Rambam and the Raavad:</w:t>
      </w:r>
    </w:p>
    <w:p w14:paraId="74FD95C1" w14:textId="77777777" w:rsidR="00897402" w:rsidRDefault="00897402" w:rsidP="00897402"/>
    <w:tbl>
      <w:tblPr>
        <w:tblStyle w:val="3"/>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362"/>
        <w:gridCol w:w="2988"/>
      </w:tblGrid>
      <w:tr w:rsidR="00897402" w14:paraId="0054644A" w14:textId="77777777" w:rsidTr="00B02799">
        <w:trPr>
          <w:trHeight w:val="2810"/>
        </w:trPr>
        <w:tc>
          <w:tcPr>
            <w:tcW w:w="6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7139C" w14:textId="77777777" w:rsidR="00897402" w:rsidRPr="00294F74" w:rsidRDefault="00897402" w:rsidP="00B02799">
            <w:pPr>
              <w:pStyle w:val="Source"/>
            </w:pPr>
            <w:r w:rsidRPr="00294F74">
              <w:t>Maimonides</w:t>
            </w:r>
            <w:r>
              <w:t xml:space="preserve">, </w:t>
            </w:r>
            <w:r w:rsidRPr="00B02799">
              <w:rPr>
                <w:i/>
                <w:iCs/>
              </w:rPr>
              <w:t>Hilkhot Ishut</w:t>
            </w:r>
            <w:r w:rsidRPr="00294F74">
              <w:t xml:space="preserve"> Chapter 1:4</w:t>
            </w:r>
          </w:p>
          <w:p w14:paraId="7068234E" w14:textId="77777777" w:rsidR="00897402" w:rsidRPr="00294F74" w:rsidRDefault="00897402" w:rsidP="00B02799">
            <w:r w:rsidRPr="00294F74">
              <w:t>Before the Torah was given, a man would meet a woman in the marketplace and</w:t>
            </w:r>
            <w:r>
              <w:t xml:space="preserve"> if both</w:t>
            </w:r>
            <w:r w:rsidRPr="00294F74">
              <w:t xml:space="preserve"> he and she desired, he could give her payment, engage in relations with her wherever and then depart. Such a woman is referred to as a harlot.</w:t>
            </w:r>
          </w:p>
          <w:p w14:paraId="661F6D28" w14:textId="77777777" w:rsidR="00897402" w:rsidRDefault="00897402" w:rsidP="00B02799">
            <w:r w:rsidRPr="00294F74">
              <w:t xml:space="preserve">When the Torah was given, relations with a </w:t>
            </w:r>
            <w:r w:rsidRPr="00294F74">
              <w:rPr>
                <w:i/>
                <w:iCs/>
              </w:rPr>
              <w:t>kadesha</w:t>
            </w:r>
            <w:r w:rsidRPr="00294F74">
              <w:t xml:space="preserve"> became forbidden as it is stated, “There shall not be </w:t>
            </w:r>
            <w:r w:rsidRPr="00294F74">
              <w:rPr>
                <w:i/>
                <w:iCs/>
              </w:rPr>
              <w:t>kadesha</w:t>
            </w:r>
            <w:r w:rsidRPr="00294F74">
              <w:t xml:space="preserve"> among the daughters of Israel.” </w:t>
            </w:r>
            <w:r w:rsidRPr="005852D6">
              <w:rPr>
                <w:rFonts w:eastAsia="Carlito"/>
              </w:rPr>
              <w:t xml:space="preserve">Therefore, a person who has </w:t>
            </w:r>
            <w:r>
              <w:rPr>
                <w:rFonts w:eastAsia="Carlito"/>
              </w:rPr>
              <w:t xml:space="preserve">sexual </w:t>
            </w:r>
            <w:r w:rsidRPr="005852D6">
              <w:rPr>
                <w:rFonts w:eastAsia="Carlito"/>
              </w:rPr>
              <w:t xml:space="preserve">relations with a woman </w:t>
            </w:r>
            <w:r>
              <w:rPr>
                <w:rFonts w:eastAsia="Carlito"/>
              </w:rPr>
              <w:t>for fornication</w:t>
            </w:r>
            <w:r w:rsidRPr="005852D6">
              <w:rPr>
                <w:rFonts w:eastAsia="Carlito"/>
              </w:rPr>
              <w:t xml:space="preserve">, without </w:t>
            </w:r>
            <w:r>
              <w:rPr>
                <w:rFonts w:eastAsia="Carlito"/>
              </w:rPr>
              <w:t>matrimony,</w:t>
            </w:r>
            <w:r w:rsidRPr="005852D6">
              <w:rPr>
                <w:rFonts w:eastAsia="Carlito"/>
              </w:rPr>
              <w:t xml:space="preserve"> receives lashes as prescribed by the Torah, because he had relations with a </w:t>
            </w:r>
            <w:r w:rsidRPr="005852D6">
              <w:rPr>
                <w:rFonts w:eastAsia="Carlito"/>
                <w:i/>
                <w:iCs/>
              </w:rPr>
              <w:t>kadesha</w:t>
            </w:r>
            <w:r w:rsidRPr="005852D6">
              <w:rPr>
                <w:rFonts w:eastAsia="Carlito"/>
              </w:rPr>
              <w:t>.</w:t>
            </w:r>
          </w:p>
        </w:tc>
        <w:tc>
          <w:tcPr>
            <w:tcW w:w="2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B8141" w14:textId="77777777" w:rsidR="00897402" w:rsidRPr="00294F74" w:rsidRDefault="00897402" w:rsidP="00B02799">
            <w:pPr>
              <w:pStyle w:val="Source"/>
              <w:bidi/>
            </w:pPr>
            <w:r w:rsidRPr="00294F74">
              <w:rPr>
                <w:rFonts w:hint="cs"/>
                <w:rtl/>
              </w:rPr>
              <w:t>רמב</w:t>
            </w:r>
            <w:r w:rsidRPr="00294F74">
              <w:rPr>
                <w:rFonts w:eastAsia="Arial"/>
              </w:rPr>
              <w:t>"</w:t>
            </w:r>
            <w:r w:rsidRPr="00294F74">
              <w:rPr>
                <w:rFonts w:hint="cs"/>
                <w:rtl/>
              </w:rPr>
              <w:t>ם</w:t>
            </w:r>
            <w:r w:rsidRPr="00294F74">
              <w:rPr>
                <w:rtl/>
              </w:rPr>
              <w:t xml:space="preserve"> </w:t>
            </w:r>
            <w:r w:rsidRPr="00294F74">
              <w:rPr>
                <w:rFonts w:hint="cs"/>
                <w:rtl/>
              </w:rPr>
              <w:t>הלכות</w:t>
            </w:r>
            <w:r w:rsidRPr="00294F74">
              <w:rPr>
                <w:rtl/>
              </w:rPr>
              <w:t xml:space="preserve"> </w:t>
            </w:r>
            <w:r w:rsidRPr="00294F74">
              <w:rPr>
                <w:rFonts w:hint="cs"/>
                <w:rtl/>
              </w:rPr>
              <w:t>אישות</w:t>
            </w:r>
            <w:r w:rsidRPr="00294F74">
              <w:rPr>
                <w:rtl/>
              </w:rPr>
              <w:t xml:space="preserve"> </w:t>
            </w:r>
            <w:r w:rsidRPr="00294F74">
              <w:rPr>
                <w:rFonts w:hint="cs"/>
                <w:rtl/>
              </w:rPr>
              <w:t>פרק</w:t>
            </w:r>
            <w:r w:rsidRPr="00294F74">
              <w:rPr>
                <w:rtl/>
              </w:rPr>
              <w:t xml:space="preserve"> </w:t>
            </w:r>
            <w:r w:rsidRPr="00294F74">
              <w:rPr>
                <w:rFonts w:hint="cs"/>
                <w:rtl/>
              </w:rPr>
              <w:t>א</w:t>
            </w:r>
            <w:r w:rsidRPr="00294F74">
              <w:rPr>
                <w:rtl/>
              </w:rPr>
              <w:t xml:space="preserve"> </w:t>
            </w:r>
            <w:r w:rsidRPr="00294F74">
              <w:rPr>
                <w:rFonts w:hint="cs"/>
                <w:rtl/>
              </w:rPr>
              <w:t>הלכה</w:t>
            </w:r>
            <w:r w:rsidRPr="00294F74">
              <w:rPr>
                <w:rtl/>
              </w:rPr>
              <w:t xml:space="preserve"> </w:t>
            </w:r>
            <w:r w:rsidRPr="00294F74">
              <w:rPr>
                <w:rFonts w:hint="cs"/>
                <w:rtl/>
              </w:rPr>
              <w:t>ד</w:t>
            </w:r>
          </w:p>
          <w:p w14:paraId="748A7FC3" w14:textId="77777777" w:rsidR="00897402" w:rsidRDefault="00897402" w:rsidP="00B02799">
            <w:pPr>
              <w:bidi/>
              <w:rPr>
                <w:rFonts w:ascii="Calibri" w:hAnsi="Calibri" w:cs="Calibri"/>
                <w:sz w:val="22"/>
                <w:szCs w:val="22"/>
              </w:rPr>
            </w:pPr>
            <w:r w:rsidRPr="00294F74">
              <w:rPr>
                <w:rFonts w:hint="cs"/>
                <w:rtl/>
              </w:rPr>
              <w:t>קודם</w:t>
            </w:r>
            <w:r w:rsidRPr="00294F74">
              <w:rPr>
                <w:rtl/>
              </w:rPr>
              <w:t xml:space="preserve"> </w:t>
            </w:r>
            <w:r w:rsidRPr="00294F74">
              <w:rPr>
                <w:rFonts w:hint="cs"/>
                <w:rtl/>
              </w:rPr>
              <w:t>מתן</w:t>
            </w:r>
            <w:r w:rsidRPr="00294F74">
              <w:rPr>
                <w:rtl/>
              </w:rPr>
              <w:t xml:space="preserve"> </w:t>
            </w:r>
            <w:r w:rsidRPr="00294F74">
              <w:rPr>
                <w:rFonts w:hint="cs"/>
                <w:rtl/>
              </w:rPr>
              <w:t>תורה</w:t>
            </w:r>
            <w:r w:rsidRPr="00294F74">
              <w:rPr>
                <w:rtl/>
              </w:rPr>
              <w:t xml:space="preserve"> </w:t>
            </w:r>
            <w:r w:rsidRPr="00294F74">
              <w:rPr>
                <w:rFonts w:hint="cs"/>
                <w:rtl/>
              </w:rPr>
              <w:t>היה</w:t>
            </w:r>
            <w:r w:rsidRPr="00294F74">
              <w:rPr>
                <w:rtl/>
              </w:rPr>
              <w:t xml:space="preserve"> </w:t>
            </w:r>
            <w:r w:rsidRPr="00294F74">
              <w:rPr>
                <w:rFonts w:hint="cs"/>
                <w:rtl/>
              </w:rPr>
              <w:t>אדם</w:t>
            </w:r>
            <w:r w:rsidRPr="00294F74">
              <w:rPr>
                <w:rtl/>
              </w:rPr>
              <w:t xml:space="preserve"> </w:t>
            </w:r>
            <w:r w:rsidRPr="00294F74">
              <w:rPr>
                <w:rFonts w:hint="cs"/>
                <w:rtl/>
              </w:rPr>
              <w:t>פוגע</w:t>
            </w:r>
            <w:r w:rsidRPr="00294F74">
              <w:rPr>
                <w:rtl/>
              </w:rPr>
              <w:t xml:space="preserve"> </w:t>
            </w:r>
            <w:r w:rsidRPr="00294F74">
              <w:rPr>
                <w:rFonts w:hint="cs"/>
                <w:rtl/>
              </w:rPr>
              <w:t>אשה</w:t>
            </w:r>
            <w:r w:rsidRPr="00294F74">
              <w:rPr>
                <w:rtl/>
              </w:rPr>
              <w:t xml:space="preserve"> </w:t>
            </w:r>
            <w:r w:rsidRPr="00294F74">
              <w:rPr>
                <w:rFonts w:hint="cs"/>
                <w:rtl/>
              </w:rPr>
              <w:t>בשוק</w:t>
            </w:r>
            <w:r w:rsidRPr="00294F74">
              <w:rPr>
                <w:rtl/>
              </w:rPr>
              <w:t xml:space="preserve"> </w:t>
            </w:r>
            <w:r w:rsidRPr="00294F74">
              <w:rPr>
                <w:rFonts w:hint="cs"/>
                <w:rtl/>
              </w:rPr>
              <w:t>אם</w:t>
            </w:r>
            <w:r w:rsidRPr="00294F74">
              <w:rPr>
                <w:rtl/>
              </w:rPr>
              <w:t xml:space="preserve"> </w:t>
            </w:r>
            <w:r w:rsidRPr="00294F74">
              <w:rPr>
                <w:rFonts w:hint="cs"/>
                <w:rtl/>
              </w:rPr>
              <w:t>רצה</w:t>
            </w:r>
            <w:r w:rsidRPr="00294F74">
              <w:rPr>
                <w:rtl/>
              </w:rPr>
              <w:t xml:space="preserve"> </w:t>
            </w:r>
            <w:r w:rsidRPr="00294F74">
              <w:rPr>
                <w:rFonts w:hint="cs"/>
                <w:rtl/>
              </w:rPr>
              <w:t>הוא</w:t>
            </w:r>
            <w:r w:rsidRPr="00294F74">
              <w:rPr>
                <w:rtl/>
              </w:rPr>
              <w:t xml:space="preserve"> </w:t>
            </w:r>
            <w:r w:rsidRPr="00294F74">
              <w:rPr>
                <w:rFonts w:hint="cs"/>
                <w:rtl/>
              </w:rPr>
              <w:t>והיא</w:t>
            </w:r>
            <w:r w:rsidRPr="00294F74">
              <w:rPr>
                <w:rtl/>
              </w:rPr>
              <w:t xml:space="preserve"> </w:t>
            </w:r>
            <w:r w:rsidRPr="00294F74">
              <w:rPr>
                <w:rFonts w:hint="cs"/>
                <w:rtl/>
              </w:rPr>
              <w:t>נותן</w:t>
            </w:r>
            <w:r w:rsidRPr="00294F74">
              <w:rPr>
                <w:rtl/>
              </w:rPr>
              <w:t xml:space="preserve"> </w:t>
            </w:r>
            <w:r w:rsidRPr="00294F74">
              <w:rPr>
                <w:rFonts w:hint="cs"/>
                <w:rtl/>
              </w:rPr>
              <w:t>לה</w:t>
            </w:r>
            <w:r w:rsidRPr="00294F74">
              <w:rPr>
                <w:rtl/>
              </w:rPr>
              <w:t xml:space="preserve"> </w:t>
            </w:r>
            <w:r w:rsidRPr="00294F74">
              <w:rPr>
                <w:rFonts w:hint="cs"/>
                <w:rtl/>
              </w:rPr>
              <w:t>שכרה</w:t>
            </w:r>
            <w:r w:rsidRPr="00294F74">
              <w:rPr>
                <w:rtl/>
              </w:rPr>
              <w:t xml:space="preserve"> </w:t>
            </w:r>
            <w:r w:rsidRPr="00294F74">
              <w:rPr>
                <w:rFonts w:hint="cs"/>
                <w:rtl/>
              </w:rPr>
              <w:t>ובועל</w:t>
            </w:r>
            <w:r w:rsidRPr="00294F74">
              <w:rPr>
                <w:rtl/>
              </w:rPr>
              <w:t xml:space="preserve"> </w:t>
            </w:r>
            <w:r w:rsidRPr="00294F74">
              <w:rPr>
                <w:rFonts w:hint="cs"/>
                <w:rtl/>
              </w:rPr>
              <w:t>אותה</w:t>
            </w:r>
            <w:r w:rsidRPr="00294F74">
              <w:rPr>
                <w:rtl/>
              </w:rPr>
              <w:t xml:space="preserve"> </w:t>
            </w:r>
            <w:r w:rsidRPr="00294F74">
              <w:rPr>
                <w:rFonts w:hint="cs"/>
                <w:rtl/>
              </w:rPr>
              <w:t>על</w:t>
            </w:r>
            <w:r w:rsidRPr="00294F74">
              <w:rPr>
                <w:rtl/>
              </w:rPr>
              <w:t xml:space="preserve"> </w:t>
            </w:r>
            <w:r w:rsidRPr="00294F74">
              <w:rPr>
                <w:rFonts w:hint="cs"/>
                <w:rtl/>
              </w:rPr>
              <w:t>אם</w:t>
            </w:r>
            <w:r w:rsidRPr="00294F74">
              <w:rPr>
                <w:rtl/>
              </w:rPr>
              <w:t xml:space="preserve"> </w:t>
            </w:r>
            <w:r w:rsidRPr="00294F74">
              <w:rPr>
                <w:rFonts w:hint="cs"/>
                <w:rtl/>
              </w:rPr>
              <w:t>הדרך</w:t>
            </w:r>
            <w:r w:rsidRPr="00294F74">
              <w:rPr>
                <w:rtl/>
              </w:rPr>
              <w:t xml:space="preserve"> </w:t>
            </w:r>
            <w:r w:rsidRPr="00294F74">
              <w:rPr>
                <w:rFonts w:hint="cs"/>
                <w:rtl/>
              </w:rPr>
              <w:t>והולך</w:t>
            </w:r>
            <w:r w:rsidRPr="00294F74">
              <w:rPr>
                <w:rtl/>
              </w:rPr>
              <w:t xml:space="preserve"> </w:t>
            </w:r>
            <w:r w:rsidRPr="00294F74">
              <w:rPr>
                <w:rFonts w:hint="cs"/>
                <w:rtl/>
              </w:rPr>
              <w:t>לו</w:t>
            </w:r>
            <w:r w:rsidRPr="00294F74">
              <w:rPr>
                <w:rFonts w:eastAsia="Arial"/>
              </w:rPr>
              <w:t xml:space="preserve">, </w:t>
            </w:r>
            <w:r w:rsidRPr="00294F74">
              <w:rPr>
                <w:rFonts w:hint="cs"/>
                <w:rtl/>
              </w:rPr>
              <w:t>וזו</w:t>
            </w:r>
            <w:r w:rsidRPr="00294F74">
              <w:rPr>
                <w:rtl/>
              </w:rPr>
              <w:t xml:space="preserve"> </w:t>
            </w:r>
            <w:r w:rsidRPr="00294F74">
              <w:rPr>
                <w:rFonts w:hint="cs"/>
                <w:rtl/>
              </w:rPr>
              <w:t>היא</w:t>
            </w:r>
            <w:r w:rsidRPr="00294F74">
              <w:rPr>
                <w:rtl/>
              </w:rPr>
              <w:t xml:space="preserve"> </w:t>
            </w:r>
            <w:r w:rsidRPr="00294F74">
              <w:rPr>
                <w:rFonts w:hint="cs"/>
                <w:rtl/>
              </w:rPr>
              <w:t>הנקראת</w:t>
            </w:r>
            <w:r w:rsidRPr="00294F74">
              <w:rPr>
                <w:rtl/>
              </w:rPr>
              <w:t xml:space="preserve"> </w:t>
            </w:r>
            <w:r w:rsidRPr="00294F74">
              <w:rPr>
                <w:rFonts w:hint="cs"/>
                <w:rtl/>
              </w:rPr>
              <w:t>קדשה</w:t>
            </w:r>
            <w:r w:rsidRPr="00294F74">
              <w:rPr>
                <w:rFonts w:eastAsia="Arial"/>
              </w:rPr>
              <w:t xml:space="preserve">, </w:t>
            </w:r>
            <w:r w:rsidRPr="00294F74">
              <w:rPr>
                <w:rFonts w:hint="cs"/>
                <w:rtl/>
              </w:rPr>
              <w:t>משנתנה</w:t>
            </w:r>
            <w:r w:rsidRPr="00294F74">
              <w:rPr>
                <w:rtl/>
              </w:rPr>
              <w:t xml:space="preserve"> </w:t>
            </w:r>
            <w:r w:rsidRPr="00294F74">
              <w:rPr>
                <w:rFonts w:hint="cs"/>
                <w:rtl/>
              </w:rPr>
              <w:t>התורה</w:t>
            </w:r>
            <w:r w:rsidRPr="00294F74">
              <w:rPr>
                <w:rtl/>
              </w:rPr>
              <w:t xml:space="preserve"> </w:t>
            </w:r>
            <w:r w:rsidRPr="00294F74">
              <w:rPr>
                <w:rFonts w:hint="cs"/>
                <w:rtl/>
              </w:rPr>
              <w:t>נאסרה</w:t>
            </w:r>
            <w:r w:rsidRPr="00294F74">
              <w:rPr>
                <w:rtl/>
              </w:rPr>
              <w:t xml:space="preserve"> </w:t>
            </w:r>
            <w:r w:rsidRPr="00294F74">
              <w:rPr>
                <w:rFonts w:hint="cs"/>
                <w:rtl/>
              </w:rPr>
              <w:t>הקדשה</w:t>
            </w:r>
            <w:r w:rsidRPr="00294F74">
              <w:rPr>
                <w:rtl/>
              </w:rPr>
              <w:t xml:space="preserve"> </w:t>
            </w:r>
            <w:r w:rsidRPr="00294F74">
              <w:rPr>
                <w:rFonts w:hint="cs"/>
                <w:rtl/>
              </w:rPr>
              <w:t>שנאמר</w:t>
            </w:r>
            <w:r w:rsidRPr="00294F74">
              <w:rPr>
                <w:rtl/>
              </w:rPr>
              <w:t xml:space="preserve"> </w:t>
            </w:r>
            <w:r w:rsidRPr="00294F74">
              <w:rPr>
                <w:rFonts w:eastAsia="Arial"/>
              </w:rPr>
              <w:t>+</w:t>
            </w:r>
            <w:r w:rsidRPr="00294F74">
              <w:rPr>
                <w:rFonts w:hint="cs"/>
                <w:rtl/>
              </w:rPr>
              <w:t>דברים</w:t>
            </w:r>
            <w:r w:rsidRPr="00294F74">
              <w:rPr>
                <w:rtl/>
              </w:rPr>
              <w:t xml:space="preserve"> </w:t>
            </w:r>
            <w:r w:rsidRPr="00294F74">
              <w:rPr>
                <w:rFonts w:hint="cs"/>
                <w:rtl/>
              </w:rPr>
              <w:t>כ</w:t>
            </w:r>
            <w:r w:rsidRPr="00294F74">
              <w:rPr>
                <w:rFonts w:eastAsia="Arial"/>
              </w:rPr>
              <w:t>"</w:t>
            </w:r>
            <w:r w:rsidRPr="00294F74">
              <w:rPr>
                <w:rFonts w:hint="cs"/>
                <w:rtl/>
              </w:rPr>
              <w:t>ג</w:t>
            </w:r>
            <w:r w:rsidRPr="00294F74">
              <w:rPr>
                <w:rFonts w:eastAsia="Arial"/>
              </w:rPr>
              <w:t xml:space="preserve">+ </w:t>
            </w:r>
            <w:r w:rsidRPr="00294F74">
              <w:rPr>
                <w:rFonts w:hint="cs"/>
                <w:rtl/>
              </w:rPr>
              <w:t>לא</w:t>
            </w:r>
            <w:r w:rsidRPr="00294F74">
              <w:rPr>
                <w:rtl/>
              </w:rPr>
              <w:t xml:space="preserve"> </w:t>
            </w:r>
            <w:r w:rsidRPr="00294F74">
              <w:rPr>
                <w:rFonts w:hint="cs"/>
                <w:rtl/>
              </w:rPr>
              <w:t>תהיה</w:t>
            </w:r>
            <w:r w:rsidRPr="00294F74">
              <w:rPr>
                <w:rtl/>
              </w:rPr>
              <w:t xml:space="preserve"> </w:t>
            </w:r>
            <w:r w:rsidRPr="00294F74">
              <w:rPr>
                <w:rFonts w:hint="cs"/>
                <w:rtl/>
              </w:rPr>
              <w:t>קדשה</w:t>
            </w:r>
            <w:r w:rsidRPr="00294F74">
              <w:rPr>
                <w:rtl/>
              </w:rPr>
              <w:t xml:space="preserve"> </w:t>
            </w:r>
            <w:r w:rsidRPr="00294F74">
              <w:rPr>
                <w:rFonts w:hint="cs"/>
                <w:rtl/>
              </w:rPr>
              <w:t>מבנות</w:t>
            </w:r>
            <w:r w:rsidRPr="00294F74">
              <w:rPr>
                <w:rtl/>
              </w:rPr>
              <w:t xml:space="preserve"> </w:t>
            </w:r>
            <w:r w:rsidRPr="00294F74">
              <w:rPr>
                <w:rFonts w:hint="cs"/>
                <w:rtl/>
              </w:rPr>
              <w:t>ישראל</w:t>
            </w:r>
            <w:r w:rsidRPr="00294F74">
              <w:rPr>
                <w:rFonts w:eastAsia="Arial"/>
              </w:rPr>
              <w:t xml:space="preserve">, </w:t>
            </w:r>
            <w:r w:rsidRPr="00294F74">
              <w:rPr>
                <w:rFonts w:hint="cs"/>
                <w:rtl/>
              </w:rPr>
              <w:t>לפיכך</w:t>
            </w:r>
            <w:r w:rsidRPr="00294F74">
              <w:rPr>
                <w:rtl/>
              </w:rPr>
              <w:t xml:space="preserve"> </w:t>
            </w:r>
            <w:r w:rsidRPr="00294F74">
              <w:rPr>
                <w:rFonts w:hint="cs"/>
                <w:rtl/>
              </w:rPr>
              <w:t>כל</w:t>
            </w:r>
            <w:r w:rsidRPr="00294F74">
              <w:rPr>
                <w:rtl/>
              </w:rPr>
              <w:t xml:space="preserve"> </w:t>
            </w:r>
            <w:r w:rsidRPr="00294F74">
              <w:rPr>
                <w:rFonts w:hint="cs"/>
                <w:rtl/>
              </w:rPr>
              <w:t>הבועל</w:t>
            </w:r>
            <w:r w:rsidRPr="00294F74">
              <w:rPr>
                <w:rtl/>
              </w:rPr>
              <w:t xml:space="preserve"> </w:t>
            </w:r>
            <w:r w:rsidRPr="00294F74">
              <w:rPr>
                <w:rFonts w:hint="cs"/>
                <w:rtl/>
              </w:rPr>
              <w:t>אשה</w:t>
            </w:r>
            <w:r w:rsidRPr="00294F74">
              <w:rPr>
                <w:rtl/>
              </w:rPr>
              <w:t xml:space="preserve"> </w:t>
            </w:r>
            <w:r w:rsidRPr="00294F74">
              <w:rPr>
                <w:rFonts w:hint="cs"/>
                <w:rtl/>
              </w:rPr>
              <w:t>לשם</w:t>
            </w:r>
            <w:r w:rsidRPr="00294F74">
              <w:rPr>
                <w:rtl/>
              </w:rPr>
              <w:t xml:space="preserve"> </w:t>
            </w:r>
            <w:r w:rsidRPr="00294F74">
              <w:rPr>
                <w:rFonts w:hint="cs"/>
                <w:rtl/>
              </w:rPr>
              <w:t>זנות</w:t>
            </w:r>
            <w:r w:rsidRPr="00294F74">
              <w:rPr>
                <w:rtl/>
              </w:rPr>
              <w:t xml:space="preserve"> </w:t>
            </w:r>
            <w:r w:rsidRPr="00294F74">
              <w:rPr>
                <w:rFonts w:hint="cs"/>
                <w:rtl/>
              </w:rPr>
              <w:t>בלא</w:t>
            </w:r>
            <w:r w:rsidRPr="00294F74">
              <w:rPr>
                <w:rtl/>
              </w:rPr>
              <w:t xml:space="preserve"> </w:t>
            </w:r>
            <w:r w:rsidRPr="00294F74">
              <w:rPr>
                <w:rFonts w:hint="cs"/>
                <w:rtl/>
              </w:rPr>
              <w:t>קידושין</w:t>
            </w:r>
            <w:r w:rsidRPr="00294F74">
              <w:rPr>
                <w:rtl/>
              </w:rPr>
              <w:t xml:space="preserve"> </w:t>
            </w:r>
            <w:r w:rsidRPr="00294F74">
              <w:rPr>
                <w:rFonts w:hint="cs"/>
                <w:rtl/>
              </w:rPr>
              <w:t>לוקה</w:t>
            </w:r>
            <w:r w:rsidRPr="00294F74">
              <w:rPr>
                <w:rtl/>
              </w:rPr>
              <w:t xml:space="preserve"> </w:t>
            </w:r>
            <w:r w:rsidRPr="00294F74">
              <w:rPr>
                <w:rFonts w:hint="cs"/>
                <w:rtl/>
              </w:rPr>
              <w:t>מן</w:t>
            </w:r>
            <w:r w:rsidRPr="00294F74">
              <w:rPr>
                <w:rtl/>
              </w:rPr>
              <w:t xml:space="preserve"> </w:t>
            </w:r>
            <w:r w:rsidRPr="00294F74">
              <w:rPr>
                <w:rFonts w:hint="cs"/>
                <w:rtl/>
              </w:rPr>
              <w:t>התורה</w:t>
            </w:r>
            <w:r w:rsidRPr="00294F74">
              <w:rPr>
                <w:rtl/>
              </w:rPr>
              <w:t xml:space="preserve"> </w:t>
            </w:r>
            <w:r w:rsidRPr="00294F74">
              <w:rPr>
                <w:rFonts w:hint="cs"/>
                <w:rtl/>
              </w:rPr>
              <w:t>מפני</w:t>
            </w:r>
            <w:r w:rsidRPr="00294F74">
              <w:rPr>
                <w:rtl/>
              </w:rPr>
              <w:t xml:space="preserve"> </w:t>
            </w:r>
            <w:r w:rsidRPr="00294F74">
              <w:rPr>
                <w:rFonts w:hint="cs"/>
                <w:rtl/>
              </w:rPr>
              <w:t>שבעל</w:t>
            </w:r>
            <w:r w:rsidRPr="00294F74">
              <w:rPr>
                <w:rtl/>
              </w:rPr>
              <w:t xml:space="preserve"> </w:t>
            </w:r>
            <w:r w:rsidRPr="00294F74">
              <w:rPr>
                <w:rFonts w:hint="cs"/>
                <w:rtl/>
              </w:rPr>
              <w:t>קדשה</w:t>
            </w:r>
            <w:r w:rsidRPr="00294F74">
              <w:rPr>
                <w:rFonts w:eastAsia="Arial"/>
              </w:rPr>
              <w:t>.</w:t>
            </w:r>
          </w:p>
        </w:tc>
      </w:tr>
      <w:tr w:rsidR="00897402" w14:paraId="50E8416C" w14:textId="77777777" w:rsidTr="00B027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31"/>
        </w:trPr>
        <w:tc>
          <w:tcPr>
            <w:tcW w:w="6362" w:type="dxa"/>
          </w:tcPr>
          <w:p w14:paraId="40981584" w14:textId="77777777" w:rsidR="00897402" w:rsidRPr="00BA3144" w:rsidRDefault="00897402" w:rsidP="00B02799">
            <w:pPr>
              <w:pStyle w:val="Source"/>
            </w:pPr>
            <w:r>
              <w:t xml:space="preserve">Comment of </w:t>
            </w:r>
            <w:r w:rsidRPr="00BA3144">
              <w:t>Raavad:</w:t>
            </w:r>
          </w:p>
          <w:p w14:paraId="257E505C" w14:textId="77777777" w:rsidR="00897402" w:rsidRPr="00294F74" w:rsidRDefault="00897402" w:rsidP="00B02799">
            <w:pPr>
              <w:rPr>
                <w:sz w:val="22"/>
                <w:szCs w:val="22"/>
              </w:rPr>
            </w:pPr>
            <w:r w:rsidRPr="00294F74">
              <w:t xml:space="preserve">A woman does not become a </w:t>
            </w:r>
            <w:r w:rsidRPr="00294F74">
              <w:rPr>
                <w:i/>
                <w:iCs/>
              </w:rPr>
              <w:t>kadesha</w:t>
            </w:r>
            <w:r w:rsidRPr="00294F74">
              <w:t xml:space="preserve"> unless</w:t>
            </w:r>
            <w:r>
              <w:t xml:space="preserve"> she is dedicated [to promiscuity, i.e.]</w:t>
            </w:r>
            <w:r w:rsidRPr="00294F74">
              <w:t xml:space="preserve"> she abandons herself to everyone</w:t>
            </w:r>
            <w:r>
              <w:t>. However,</w:t>
            </w:r>
            <w:r w:rsidRPr="005852D6">
              <w:t xml:space="preserve"> if she designates herself for one man</w:t>
            </w:r>
            <w:r>
              <w:t>,</w:t>
            </w:r>
            <w:r w:rsidRPr="005852D6">
              <w:t xml:space="preserve"> she does not incur lashes nor </w:t>
            </w:r>
            <w:r>
              <w:t xml:space="preserve">is there </w:t>
            </w:r>
            <w:r w:rsidRPr="005852D6">
              <w:t>a prohibition and she is the concubine that is described in the scripture.</w:t>
            </w:r>
          </w:p>
        </w:tc>
        <w:tc>
          <w:tcPr>
            <w:tcW w:w="2988" w:type="dxa"/>
          </w:tcPr>
          <w:p w14:paraId="79DD8E65" w14:textId="77777777" w:rsidR="00897402" w:rsidRPr="00294F74" w:rsidRDefault="00897402" w:rsidP="00B02799">
            <w:pPr>
              <w:pStyle w:val="Source"/>
              <w:bidi/>
              <w:rPr>
                <w:rFonts w:eastAsia="Arial"/>
              </w:rPr>
            </w:pPr>
            <w:r w:rsidRPr="00294F74">
              <w:rPr>
                <w:rFonts w:hint="cs"/>
                <w:rtl/>
              </w:rPr>
              <w:t>השגת</w:t>
            </w:r>
            <w:r w:rsidRPr="00294F74">
              <w:rPr>
                <w:rtl/>
              </w:rPr>
              <w:t xml:space="preserve"> </w:t>
            </w:r>
            <w:r w:rsidRPr="00294F74">
              <w:rPr>
                <w:rFonts w:hint="cs"/>
                <w:rtl/>
              </w:rPr>
              <w:t>הראב</w:t>
            </w:r>
            <w:r w:rsidRPr="00294F74">
              <w:rPr>
                <w:rFonts w:eastAsia="Arial"/>
              </w:rPr>
              <w:t>"</w:t>
            </w:r>
            <w:r w:rsidRPr="00294F74">
              <w:rPr>
                <w:rFonts w:hint="cs"/>
                <w:rtl/>
              </w:rPr>
              <w:t>ד</w:t>
            </w:r>
            <w:r>
              <w:rPr>
                <w:rFonts w:eastAsia="Arial"/>
              </w:rPr>
              <w:t>:</w:t>
            </w:r>
          </w:p>
          <w:p w14:paraId="43ACA2A4" w14:textId="77777777" w:rsidR="00897402" w:rsidRPr="00294F74" w:rsidRDefault="00897402" w:rsidP="00B02799">
            <w:pPr>
              <w:bidi/>
              <w:rPr>
                <w:rFonts w:ascii="Calibri" w:hAnsi="Calibri" w:cs="Calibri"/>
              </w:rPr>
            </w:pPr>
            <w:r w:rsidRPr="00294F74">
              <w:rPr>
                <w:rFonts w:hint="cs"/>
                <w:rtl/>
              </w:rPr>
              <w:t>א</w:t>
            </w:r>
            <w:r w:rsidRPr="00294F74">
              <w:rPr>
                <w:rFonts w:eastAsia="Arial"/>
              </w:rPr>
              <w:t>"</w:t>
            </w:r>
            <w:r w:rsidRPr="00294F74">
              <w:rPr>
                <w:rFonts w:hint="cs"/>
                <w:rtl/>
              </w:rPr>
              <w:t>א</w:t>
            </w:r>
            <w:r w:rsidRPr="00294F74">
              <w:rPr>
                <w:rtl/>
              </w:rPr>
              <w:t xml:space="preserve"> </w:t>
            </w:r>
            <w:r w:rsidRPr="00294F74">
              <w:rPr>
                <w:rFonts w:hint="cs"/>
                <w:rtl/>
              </w:rPr>
              <w:t>אין</w:t>
            </w:r>
            <w:r w:rsidRPr="00294F74">
              <w:rPr>
                <w:rtl/>
              </w:rPr>
              <w:t xml:space="preserve"> </w:t>
            </w:r>
            <w:r w:rsidRPr="00294F74">
              <w:rPr>
                <w:rFonts w:hint="cs"/>
                <w:rtl/>
              </w:rPr>
              <w:t>קדשה</w:t>
            </w:r>
            <w:r w:rsidRPr="00294F74">
              <w:rPr>
                <w:rtl/>
              </w:rPr>
              <w:t xml:space="preserve"> </w:t>
            </w:r>
            <w:r w:rsidRPr="00294F74">
              <w:rPr>
                <w:rFonts w:hint="cs"/>
                <w:rtl/>
              </w:rPr>
              <w:t>אלא</w:t>
            </w:r>
            <w:r w:rsidRPr="00294F74">
              <w:rPr>
                <w:rtl/>
              </w:rPr>
              <w:t xml:space="preserve"> </w:t>
            </w:r>
            <w:r w:rsidRPr="00294F74">
              <w:rPr>
                <w:rFonts w:hint="cs"/>
                <w:rtl/>
              </w:rPr>
              <w:t>מזומנת</w:t>
            </w:r>
            <w:r w:rsidRPr="00294F74">
              <w:rPr>
                <w:rtl/>
              </w:rPr>
              <w:t xml:space="preserve"> </w:t>
            </w:r>
            <w:r w:rsidRPr="00294F74">
              <w:rPr>
                <w:rFonts w:hint="cs"/>
                <w:rtl/>
              </w:rPr>
              <w:t>והיא</w:t>
            </w:r>
            <w:r w:rsidRPr="00294F74">
              <w:rPr>
                <w:rtl/>
              </w:rPr>
              <w:t xml:space="preserve"> </w:t>
            </w:r>
            <w:r w:rsidRPr="00294F74">
              <w:rPr>
                <w:rFonts w:hint="cs"/>
                <w:rtl/>
              </w:rPr>
              <w:t>המופקרת</w:t>
            </w:r>
            <w:r w:rsidRPr="00294F74">
              <w:rPr>
                <w:rtl/>
              </w:rPr>
              <w:t xml:space="preserve"> </w:t>
            </w:r>
            <w:r w:rsidRPr="00294F74">
              <w:rPr>
                <w:rFonts w:hint="cs"/>
                <w:rtl/>
              </w:rPr>
              <w:t>לכל</w:t>
            </w:r>
            <w:r w:rsidRPr="00294F74">
              <w:rPr>
                <w:rtl/>
              </w:rPr>
              <w:t xml:space="preserve"> </w:t>
            </w:r>
            <w:r w:rsidRPr="00294F74">
              <w:rPr>
                <w:rFonts w:hint="cs"/>
                <w:rtl/>
              </w:rPr>
              <w:t>אדם</w:t>
            </w:r>
            <w:r w:rsidRPr="00294F74">
              <w:rPr>
                <w:rtl/>
              </w:rPr>
              <w:t xml:space="preserve"> </w:t>
            </w:r>
            <w:r w:rsidRPr="00294F74">
              <w:rPr>
                <w:rFonts w:hint="cs"/>
                <w:rtl/>
              </w:rPr>
              <w:t>אבל</w:t>
            </w:r>
            <w:r w:rsidRPr="00294F74">
              <w:rPr>
                <w:rtl/>
              </w:rPr>
              <w:t xml:space="preserve"> </w:t>
            </w:r>
            <w:r w:rsidRPr="00294F74">
              <w:rPr>
                <w:rFonts w:hint="cs"/>
                <w:rtl/>
              </w:rPr>
              <w:t>המייחדת</w:t>
            </w:r>
            <w:r w:rsidRPr="00294F74">
              <w:rPr>
                <w:rtl/>
              </w:rPr>
              <w:t xml:space="preserve"> </w:t>
            </w:r>
            <w:r w:rsidRPr="00294F74">
              <w:rPr>
                <w:rFonts w:hint="cs"/>
                <w:rtl/>
              </w:rPr>
              <w:t>עצמה</w:t>
            </w:r>
            <w:r w:rsidRPr="00294F74">
              <w:rPr>
                <w:rtl/>
              </w:rPr>
              <w:t xml:space="preserve"> </w:t>
            </w:r>
            <w:r w:rsidRPr="00294F74">
              <w:rPr>
                <w:rFonts w:hint="cs"/>
                <w:rtl/>
              </w:rPr>
              <w:t>לאיש</w:t>
            </w:r>
            <w:r w:rsidRPr="00294F74">
              <w:rPr>
                <w:rtl/>
              </w:rPr>
              <w:t xml:space="preserve"> </w:t>
            </w:r>
            <w:r w:rsidRPr="00294F74">
              <w:rPr>
                <w:rFonts w:hint="cs"/>
                <w:rtl/>
              </w:rPr>
              <w:t>אחד</w:t>
            </w:r>
            <w:r w:rsidRPr="00294F74">
              <w:rPr>
                <w:rtl/>
              </w:rPr>
              <w:t xml:space="preserve"> </w:t>
            </w:r>
            <w:r w:rsidRPr="00294F74">
              <w:rPr>
                <w:rFonts w:hint="cs"/>
                <w:rtl/>
              </w:rPr>
              <w:t>אין</w:t>
            </w:r>
            <w:r w:rsidRPr="00294F74">
              <w:rPr>
                <w:rtl/>
              </w:rPr>
              <w:t xml:space="preserve"> </w:t>
            </w:r>
            <w:r w:rsidRPr="00294F74">
              <w:rPr>
                <w:rFonts w:hint="cs"/>
                <w:rtl/>
              </w:rPr>
              <w:t>בה</w:t>
            </w:r>
            <w:r w:rsidRPr="00294F74">
              <w:rPr>
                <w:rtl/>
              </w:rPr>
              <w:t xml:space="preserve"> </w:t>
            </w:r>
            <w:r w:rsidRPr="00294F74">
              <w:rPr>
                <w:rFonts w:hint="cs"/>
                <w:rtl/>
              </w:rPr>
              <w:t>לא</w:t>
            </w:r>
            <w:r w:rsidRPr="00294F74">
              <w:rPr>
                <w:rtl/>
              </w:rPr>
              <w:t xml:space="preserve"> </w:t>
            </w:r>
            <w:r w:rsidRPr="00294F74">
              <w:rPr>
                <w:rFonts w:hint="cs"/>
                <w:rtl/>
              </w:rPr>
              <w:t>מלקות</w:t>
            </w:r>
            <w:r w:rsidRPr="00294F74">
              <w:rPr>
                <w:rtl/>
              </w:rPr>
              <w:t xml:space="preserve"> </w:t>
            </w:r>
            <w:r w:rsidRPr="00294F74">
              <w:rPr>
                <w:rFonts w:hint="cs"/>
                <w:rtl/>
              </w:rPr>
              <w:t>ולא</w:t>
            </w:r>
            <w:r w:rsidRPr="00294F74">
              <w:rPr>
                <w:rtl/>
              </w:rPr>
              <w:t xml:space="preserve"> </w:t>
            </w:r>
            <w:r w:rsidRPr="00294F74">
              <w:rPr>
                <w:rFonts w:hint="cs"/>
                <w:rtl/>
              </w:rPr>
              <w:t>איסור</w:t>
            </w:r>
            <w:r w:rsidRPr="00294F74">
              <w:rPr>
                <w:rtl/>
              </w:rPr>
              <w:t xml:space="preserve"> </w:t>
            </w:r>
            <w:r w:rsidRPr="00294F74">
              <w:rPr>
                <w:rFonts w:hint="cs"/>
                <w:rtl/>
              </w:rPr>
              <w:t>לאו</w:t>
            </w:r>
            <w:r w:rsidRPr="00294F74">
              <w:rPr>
                <w:rtl/>
              </w:rPr>
              <w:t xml:space="preserve"> </w:t>
            </w:r>
            <w:r w:rsidRPr="00294F74">
              <w:rPr>
                <w:rFonts w:hint="cs"/>
                <w:rtl/>
              </w:rPr>
              <w:t>והיא</w:t>
            </w:r>
            <w:r w:rsidRPr="00294F74">
              <w:rPr>
                <w:rtl/>
              </w:rPr>
              <w:t xml:space="preserve"> </w:t>
            </w:r>
            <w:r w:rsidRPr="00294F74">
              <w:rPr>
                <w:rFonts w:hint="cs"/>
                <w:rtl/>
              </w:rPr>
              <w:t>הפילגש</w:t>
            </w:r>
            <w:r w:rsidRPr="00294F74">
              <w:rPr>
                <w:rtl/>
              </w:rPr>
              <w:t xml:space="preserve"> </w:t>
            </w:r>
            <w:r w:rsidRPr="00294F74">
              <w:rPr>
                <w:rFonts w:hint="cs"/>
                <w:rtl/>
              </w:rPr>
              <w:t>הכתובה</w:t>
            </w:r>
            <w:r w:rsidRPr="00294F74">
              <w:t>.</w:t>
            </w:r>
          </w:p>
        </w:tc>
      </w:tr>
    </w:tbl>
    <w:p w14:paraId="7922AFE3" w14:textId="77777777" w:rsidR="00897402" w:rsidRDefault="00897402" w:rsidP="00897402"/>
    <w:p w14:paraId="42C287A2" w14:textId="77777777" w:rsidR="00897402" w:rsidRPr="00096E74" w:rsidRDefault="00897402" w:rsidP="00897402">
      <w:r>
        <w:t xml:space="preserve">While Maimonides takes a hard line against all sexual relations outside of marriage, anchoring his position in the prohibition of </w:t>
      </w:r>
      <w:r w:rsidRPr="00F85E1D">
        <w:rPr>
          <w:i/>
          <w:iCs/>
        </w:rPr>
        <w:t>kadesha</w:t>
      </w:r>
      <w:r>
        <w:t xml:space="preserve">, the medieval commentator on Maimonides’ Mishneh Torah, Rabbi Abraham son of David known as Raavad, </w:t>
      </w:r>
      <w:commentRangeStart w:id="20"/>
      <w:r>
        <w:t>disagrees with this approach since it conflicts with the straightforward meaning of the Biblical passage.</w:t>
      </w:r>
      <w:commentRangeEnd w:id="20"/>
      <w:r>
        <w:rPr>
          <w:rStyle w:val="CommentReference"/>
        </w:rPr>
        <w:commentReference w:id="20"/>
      </w:r>
      <w:r>
        <w:t xml:space="preserve"> He argues that only a promiscuous woman who is available to any man is a </w:t>
      </w:r>
      <w:r w:rsidRPr="000E6E28">
        <w:rPr>
          <w:i/>
          <w:iCs/>
        </w:rPr>
        <w:t>kadesha</w:t>
      </w:r>
      <w:r>
        <w:t xml:space="preserve">. If the woman is monogamous, designating herself to one man, there is no prohibition, even if they are not formally married. He identifies this type of relationship as that of a man with a concubine which he believes is </w:t>
      </w:r>
      <w:commentRangeStart w:id="21"/>
      <w:r>
        <w:t>permitted</w:t>
      </w:r>
      <w:commentRangeEnd w:id="21"/>
      <w:r>
        <w:rPr>
          <w:rStyle w:val="CommentReference"/>
        </w:rPr>
        <w:commentReference w:id="21"/>
      </w:r>
      <w:r>
        <w:t>.</w:t>
      </w:r>
    </w:p>
    <w:p w14:paraId="3BDA288B" w14:textId="77777777" w:rsidR="00897402" w:rsidRDefault="00897402" w:rsidP="00897402">
      <w:commentRangeStart w:id="22"/>
      <w:r>
        <w:lastRenderedPageBreak/>
        <w:t>This disagreement continues to reverberate in the centuries following Maimonides’ codification of law</w:t>
      </w:r>
      <w:commentRangeEnd w:id="22"/>
      <w:r>
        <w:rPr>
          <w:rStyle w:val="CommentReference"/>
        </w:rPr>
        <w:commentReference w:id="22"/>
      </w:r>
      <w:r>
        <w:t xml:space="preserve">. One school of interpretation defines all sex outside of marriage as promiscuous. The other school defines only women who engage in multiple non-committed sexual encounters as violating the prohibition of </w:t>
      </w:r>
      <w:r w:rsidRPr="00CB7573">
        <w:rPr>
          <w:i/>
          <w:iCs/>
        </w:rPr>
        <w:t>kadesha</w:t>
      </w:r>
      <w:r>
        <w:t>, to the exclusion of a non-marital but monogamous relationship.</w:t>
      </w:r>
    </w:p>
    <w:p w14:paraId="5CE42870" w14:textId="77777777" w:rsidR="00897402" w:rsidRPr="009979CE" w:rsidRDefault="00897402" w:rsidP="00897402">
      <w:r w:rsidRPr="00E13AB2">
        <w:t>I</w:t>
      </w:r>
      <w:r>
        <w:t>t is remarkable to note that in</w:t>
      </w:r>
      <w:r w:rsidRPr="00E13AB2">
        <w:t xml:space="preserve"> the </w:t>
      </w:r>
      <w:r>
        <w:t>18th</w:t>
      </w:r>
      <w:r w:rsidRPr="00E13AB2">
        <w:t xml:space="preserve"> century, </w:t>
      </w:r>
      <w:r w:rsidRPr="00F03A74">
        <w:t>Rabbi Jacob Emden</w:t>
      </w:r>
      <w:r w:rsidRPr="00E13AB2">
        <w:t xml:space="preserve"> sought to reintroduce </w:t>
      </w:r>
      <w:r>
        <w:t xml:space="preserve">the institution of the concubine, </w:t>
      </w:r>
      <w:r w:rsidRPr="00E13AB2">
        <w:t xml:space="preserve">in </w:t>
      </w:r>
      <w:r>
        <w:t>response to</w:t>
      </w:r>
      <w:r w:rsidRPr="00E13AB2">
        <w:t xml:space="preserve"> the sexual immorality of his own da</w:t>
      </w:r>
      <w:r>
        <w:t xml:space="preserve">y. In </w:t>
      </w:r>
      <w:proofErr w:type="gramStart"/>
      <w:r>
        <w:t>a very long</w:t>
      </w:r>
      <w:proofErr w:type="gramEnd"/>
      <w:r>
        <w:t xml:space="preserve"> </w:t>
      </w:r>
      <w:r>
        <w:t>respons</w:t>
      </w:r>
      <w:r>
        <w:t xml:space="preserve">um, he analyzes many of the sources brought earlier in this chapter and concluded that there is room to permit a man to take a woman as a concubine in order to avoid greater promiscuity. Among other things, he </w:t>
      </w:r>
      <w:r w:rsidRPr="00E13AB2">
        <w:t xml:space="preserve">insisted that </w:t>
      </w:r>
      <w:r>
        <w:t>a</w:t>
      </w:r>
      <w:r w:rsidRPr="00E13AB2">
        <w:t xml:space="preserve"> couple </w:t>
      </w:r>
      <w:r>
        <w:t xml:space="preserve">committing to this non-marital framework </w:t>
      </w:r>
      <w:r w:rsidRPr="00E13AB2">
        <w:t xml:space="preserve">observe </w:t>
      </w:r>
      <w:r>
        <w:t xml:space="preserve">the </w:t>
      </w:r>
      <w:r w:rsidRPr="00E13AB2">
        <w:t xml:space="preserve">laws of </w:t>
      </w:r>
      <w:r w:rsidRPr="00DB2EAE">
        <w:rPr>
          <w:i/>
          <w:iCs/>
        </w:rPr>
        <w:t>mikvah</w:t>
      </w:r>
      <w:r w:rsidRPr="00E13AB2">
        <w:t xml:space="preserve">, </w:t>
      </w:r>
      <w:r>
        <w:t>practice</w:t>
      </w:r>
      <w:r w:rsidRPr="00E13AB2">
        <w:t xml:space="preserve"> monogamy for the duration of the relationship</w:t>
      </w:r>
      <w:r>
        <w:t>,</w:t>
      </w:r>
      <w:r w:rsidRPr="00E13AB2">
        <w:t xml:space="preserve"> and act in consultation with </w:t>
      </w:r>
      <w:r>
        <w:t>a</w:t>
      </w:r>
      <w:r w:rsidRPr="00E13AB2">
        <w:t xml:space="preserve"> rabbi.</w:t>
      </w:r>
    </w:p>
    <w:tbl>
      <w:tblPr>
        <w:tblStyle w:val="TableGrid"/>
        <w:tblW w:w="0" w:type="auto"/>
        <w:tblLook w:val="04A0" w:firstRow="1" w:lastRow="0" w:firstColumn="1" w:lastColumn="0" w:noHBand="0" w:noVBand="1"/>
      </w:tblPr>
      <w:tblGrid>
        <w:gridCol w:w="6340"/>
        <w:gridCol w:w="3010"/>
      </w:tblGrid>
      <w:tr w:rsidR="00897402" w14:paraId="4D84C97F" w14:textId="77777777" w:rsidTr="00B02799">
        <w:tc>
          <w:tcPr>
            <w:tcW w:w="6498" w:type="dxa"/>
          </w:tcPr>
          <w:p w14:paraId="37F0358B" w14:textId="77777777" w:rsidR="00897402" w:rsidRPr="002A29DB" w:rsidRDefault="00897402" w:rsidP="00B02799">
            <w:pPr>
              <w:pStyle w:val="Source"/>
            </w:pPr>
            <w:r w:rsidRPr="002A29DB">
              <w:t>She’elat Yaavetz Pt. 2 No. 15 (Translation Rabbi Michael Gold and Nechama Goldman Barash)</w:t>
            </w:r>
          </w:p>
          <w:p w14:paraId="1542DBB5" w14:textId="77777777" w:rsidR="00897402" w:rsidRPr="002A29DB" w:rsidRDefault="00897402" w:rsidP="00B02799">
            <w:r w:rsidRPr="002A29DB">
              <w:t xml:space="preserve">I further attest that one who wishes to rely on my instructions should nonetheless not do so unless he </w:t>
            </w:r>
            <w:r>
              <w:t>consults with</w:t>
            </w:r>
            <w:r w:rsidRPr="002A29DB">
              <w:t xml:space="preserve"> a </w:t>
            </w:r>
            <w:r>
              <w:t>r</w:t>
            </w:r>
            <w:r w:rsidRPr="002A29DB">
              <w:t xml:space="preserve">abbi and </w:t>
            </w:r>
            <w:r>
              <w:t>a halakhic decisor of his community w</w:t>
            </w:r>
            <w:r w:rsidRPr="002A29DB">
              <w:t xml:space="preserve">ho will arrange the </w:t>
            </w:r>
            <w:r>
              <w:t>permitted relationship [ensuring that the woman] is exclusively dedicated to him</w:t>
            </w:r>
            <w:r w:rsidRPr="002A29DB">
              <w:t xml:space="preserve"> </w:t>
            </w:r>
            <w:r>
              <w:t xml:space="preserve">[in a manner] </w:t>
            </w:r>
            <w:r w:rsidRPr="002A29DB">
              <w:t>safeguarded from mishap</w:t>
            </w:r>
            <w:r>
              <w:t>. That is</w:t>
            </w:r>
            <w:r w:rsidRPr="002A29DB">
              <w:t xml:space="preserve">, to designate a room in his house and warn her from seclusion from all other men. And if he finds that she has transgressed and not been careful </w:t>
            </w:r>
            <w:r>
              <w:t>[about interactions</w:t>
            </w:r>
            <w:r w:rsidRPr="002A29DB">
              <w:t xml:space="preserve"> with other me</w:t>
            </w:r>
            <w:r>
              <w:t>n]</w:t>
            </w:r>
            <w:r w:rsidRPr="002A29DB">
              <w:t xml:space="preserve">, he will send her immediately from his house. </w:t>
            </w:r>
            <w:r>
              <w:t>H</w:t>
            </w:r>
            <w:r w:rsidRPr="002A29DB">
              <w:t>e should</w:t>
            </w:r>
            <w:r>
              <w:t xml:space="preserve"> also</w:t>
            </w:r>
            <w:r w:rsidRPr="002A29DB">
              <w:t xml:space="preserve"> ensure that she immerses at the proper time and inform her that there is no shame </w:t>
            </w:r>
            <w:r>
              <w:t>in this</w:t>
            </w:r>
            <w:r w:rsidRPr="002A29DB">
              <w:t xml:space="preserve"> at all. And explain to her as well that children who will be born to her from him are fully accepted (</w:t>
            </w:r>
            <w:r w:rsidRPr="002A29DB">
              <w:rPr>
                <w:i/>
                <w:iCs/>
              </w:rPr>
              <w:t>kosher</w:t>
            </w:r>
            <w:r w:rsidRPr="002A29DB">
              <w:t>) as with all those who have proper lineage when she holds up the agreement and remains faithful to this man. However</w:t>
            </w:r>
            <w:r>
              <w:t>,</w:t>
            </w:r>
            <w:r w:rsidRPr="002A29DB">
              <w:t xml:space="preserve"> if she betrays him, then the children are children of promiscuity and she would be violating the prohibition of </w:t>
            </w:r>
            <w:r w:rsidRPr="002A29DB">
              <w:rPr>
                <w:i/>
                <w:iCs/>
              </w:rPr>
              <w:t>kadesha</w:t>
            </w:r>
            <w:r w:rsidRPr="002A29DB">
              <w:t xml:space="preserve"> for every sexual intercourse she engages </w:t>
            </w:r>
            <w:r w:rsidRPr="002A29DB">
              <w:lastRenderedPageBreak/>
              <w:t xml:space="preserve">in, whether with him or any other man. And in this way, if they listen and follow all that was said, then there is no concern for </w:t>
            </w:r>
            <w:r>
              <w:t>faltering</w:t>
            </w:r>
            <w:r w:rsidRPr="002A29DB">
              <w:t xml:space="preserve"> in sin….</w:t>
            </w:r>
          </w:p>
          <w:p w14:paraId="40F369CC" w14:textId="77777777" w:rsidR="00897402" w:rsidRPr="002A29DB" w:rsidRDefault="00897402" w:rsidP="00B02799">
            <w:r w:rsidRPr="002A29DB">
              <w:t xml:space="preserve">And also </w:t>
            </w:r>
            <w:r w:rsidRPr="002A29DB">
              <w:rPr>
                <w:i/>
                <w:iCs/>
              </w:rPr>
              <w:t>talmedei chachamim</w:t>
            </w:r>
            <w:r w:rsidRPr="002A29DB">
              <w:t xml:space="preserve"> (Torah sages) require this even more so, for </w:t>
            </w:r>
            <w:r>
              <w:t>anyone</w:t>
            </w:r>
            <w:r w:rsidRPr="002A29DB">
              <w:t xml:space="preserve"> who is greater than </w:t>
            </w:r>
            <w:r>
              <w:t>another</w:t>
            </w:r>
            <w:r w:rsidRPr="002A29DB">
              <w:t>, his desire is greater [</w:t>
            </w:r>
            <w:r w:rsidRPr="00B02799">
              <w:rPr>
                <w:i/>
                <w:iCs/>
              </w:rPr>
              <w:t>Sukkah</w:t>
            </w:r>
            <w:r w:rsidRPr="002A29DB">
              <w:t xml:space="preserve"> 52a] and it is </w:t>
            </w:r>
            <w:r>
              <w:t>appropriate</w:t>
            </w:r>
            <w:r w:rsidRPr="002A29DB">
              <w:t xml:space="preserve"> that he </w:t>
            </w:r>
            <w:r w:rsidRPr="002A29DB">
              <w:t>ha</w:t>
            </w:r>
            <w:r>
              <w:t>s</w:t>
            </w:r>
            <w:r w:rsidRPr="002A29DB">
              <w:t xml:space="preserve"> </w:t>
            </w:r>
            <w:r w:rsidRPr="002A29DB">
              <w:t>bread in his basket [meaning sexual satiety</w:t>
            </w:r>
            <w:r>
              <w:t xml:space="preserve">, </w:t>
            </w:r>
            <w:r w:rsidRPr="00B02799">
              <w:rPr>
                <w:i/>
                <w:iCs/>
              </w:rPr>
              <w:t>Yoma</w:t>
            </w:r>
            <w:r>
              <w:t xml:space="preserve"> 18b</w:t>
            </w:r>
            <w:r w:rsidRPr="002A29DB">
              <w:t>] and have children if he has not merited to do so from his wife…</w:t>
            </w:r>
            <w:r>
              <w:t>a</w:t>
            </w:r>
            <w:r w:rsidRPr="002A29DB">
              <w:t xml:space="preserve">s long as a person directs his heart to Heaven…and I have already </w:t>
            </w:r>
            <w:r>
              <w:t>gone</w:t>
            </w:r>
            <w:r w:rsidRPr="002A29DB">
              <w:t xml:space="preserve"> on too long </w:t>
            </w:r>
            <w:r>
              <w:t xml:space="preserve">on </w:t>
            </w:r>
            <w:r w:rsidRPr="002A29DB">
              <w:t xml:space="preserve">this topic for those who understand and intuit the matter. </w:t>
            </w:r>
            <w:r>
              <w:t xml:space="preserve">It is because </w:t>
            </w:r>
            <w:r w:rsidRPr="002A29DB">
              <w:t>“</w:t>
            </w:r>
            <w:r w:rsidRPr="002A29DB">
              <w:rPr>
                <w:i/>
                <w:iCs/>
              </w:rPr>
              <w:t>there is time to act on behalf of the Lord</w:t>
            </w:r>
            <w:r>
              <w:rPr>
                <w:i/>
                <w:iCs/>
              </w:rPr>
              <w:t>”</w:t>
            </w:r>
            <w:r w:rsidRPr="002A29DB">
              <w:rPr>
                <w:i/>
                <w:iCs/>
              </w:rPr>
              <w:t xml:space="preserve"> </w:t>
            </w:r>
            <w:r w:rsidRPr="002A29DB">
              <w:t xml:space="preserve">[a principle that is invoked to allow for halakhic </w:t>
            </w:r>
            <w:r>
              <w:t>lenience or even the waiving of a halakhic requirement under emergency circumstances].</w:t>
            </w:r>
          </w:p>
        </w:tc>
        <w:tc>
          <w:tcPr>
            <w:tcW w:w="3078" w:type="dxa"/>
          </w:tcPr>
          <w:p w14:paraId="552E960B" w14:textId="77777777" w:rsidR="00897402" w:rsidRPr="002A29DB" w:rsidRDefault="00897402" w:rsidP="00B02799">
            <w:pPr>
              <w:pStyle w:val="Source"/>
              <w:bidi/>
              <w:rPr>
                <w:rtl/>
              </w:rPr>
            </w:pPr>
            <w:r w:rsidRPr="002A29DB">
              <w:rPr>
                <w:rFonts w:hint="eastAsia"/>
                <w:rtl/>
              </w:rPr>
              <w:lastRenderedPageBreak/>
              <w:t>שאלת</w:t>
            </w:r>
            <w:r w:rsidRPr="002A29DB">
              <w:rPr>
                <w:rtl/>
              </w:rPr>
              <w:t xml:space="preserve"> </w:t>
            </w:r>
            <w:r w:rsidRPr="002A29DB">
              <w:rPr>
                <w:rFonts w:hint="eastAsia"/>
                <w:rtl/>
              </w:rPr>
              <w:t>יעבץ</w:t>
            </w:r>
            <w:r w:rsidRPr="002A29DB">
              <w:rPr>
                <w:rtl/>
              </w:rPr>
              <w:t xml:space="preserve"> חלק </w:t>
            </w:r>
            <w:r w:rsidRPr="002A29DB">
              <w:rPr>
                <w:rFonts w:hint="cs"/>
                <w:rtl/>
              </w:rPr>
              <w:t>ב</w:t>
            </w:r>
            <w:r w:rsidRPr="002A29DB">
              <w:rPr>
                <w:rtl/>
              </w:rPr>
              <w:t xml:space="preserve"> מספר 15</w:t>
            </w:r>
          </w:p>
          <w:p w14:paraId="773F0327" w14:textId="77777777" w:rsidR="00897402" w:rsidRPr="002A29DB" w:rsidRDefault="00897402" w:rsidP="00B02799">
            <w:pPr>
              <w:bidi/>
            </w:pPr>
            <w:r w:rsidRPr="002A29DB">
              <w:rPr>
                <w:rtl/>
              </w:rPr>
              <w:t xml:space="preserve">עוד אני מעיד במי שרוצ' לסמוך על הוראתי זאת עכ"פ לא יעשה כזאת עד שימלך ברב ומור' צדק לעדתו. שיסדר לו ההתר ע"פ יחוד גמור בטוח ממכשול דהיינו לייחד לה חדר בביתו ולהזהיר' מיחוד כל שאר אדם. ושבאם תמצא שעבר' ולא נזהר'. ישלחנ' מיד מביתו. וכן יצוונ' שתטבול בזמנ' ויודיענ' שאין בזה בושה. כלל. ולבאר לה ג"כ שהבנים שתלד ממנו. כשרים כשאר מיוחסים שבישראל כשתשמור בריתה ותהא נאמנת לאיש הזה. משא"כ אם תזנה עליו. אזי בניה בני זנונים וחייבים עליה משום קדשה על כל ביאה וביאה בין איש זה בין אחרים. ובאופן זה </w:t>
            </w:r>
            <w:r w:rsidRPr="002A29DB">
              <w:rPr>
                <w:rtl/>
              </w:rPr>
              <w:lastRenderedPageBreak/>
              <w:t>אם ישמעו ויעשו ככל האמור אזי אין אחריות מכשול עון</w:t>
            </w:r>
            <w:r w:rsidRPr="002A29DB">
              <w:t>…</w:t>
            </w:r>
          </w:p>
          <w:p w14:paraId="4768E33B" w14:textId="77777777" w:rsidR="00897402" w:rsidRPr="002A29DB" w:rsidRDefault="00897402" w:rsidP="00B02799">
            <w:pPr>
              <w:bidi/>
            </w:pPr>
          </w:p>
          <w:p w14:paraId="1DE23636" w14:textId="77777777" w:rsidR="00897402" w:rsidRPr="002A29DB" w:rsidRDefault="00897402" w:rsidP="00B02799">
            <w:pPr>
              <w:bidi/>
            </w:pPr>
            <w:r w:rsidRPr="002A29DB">
              <w:rPr>
                <w:rtl/>
              </w:rPr>
              <w:t xml:space="preserve">וגם ת"ח צריכים לכך ביותר שכל הגדול מחברו יצרו גדול וראוי להיות לו פת בסלו ולקיים זרע אם אינו זוכה לו מאשתו שנפלו בגורלו והכל הולך אחר כוונת הלב. בלבד שיכוין אדם דעתו לשמים. </w:t>
            </w:r>
            <w:r w:rsidRPr="002A29DB">
              <w:t>…</w:t>
            </w:r>
            <w:r w:rsidRPr="002A29DB">
              <w:rPr>
                <w:rtl/>
              </w:rPr>
              <w:t>וכבר הארכתי יותר מדי למבין ומשכיל על דבר. שהוא משום עת לעשות וגו</w:t>
            </w:r>
            <w:r w:rsidRPr="002A29DB">
              <w:t>'.</w:t>
            </w:r>
          </w:p>
          <w:p w14:paraId="0A467F0D" w14:textId="77777777" w:rsidR="00897402" w:rsidRPr="002A29DB" w:rsidRDefault="00897402" w:rsidP="00B02799">
            <w:pPr>
              <w:bidi/>
              <w:rPr>
                <w:highlight w:val="yellow"/>
              </w:rPr>
            </w:pPr>
          </w:p>
        </w:tc>
      </w:tr>
    </w:tbl>
    <w:p w14:paraId="7A32FAAE" w14:textId="77777777" w:rsidR="00897402" w:rsidRDefault="00897402" w:rsidP="00897402">
      <w:pPr>
        <w:rPr>
          <w:highlight w:val="yellow"/>
        </w:rPr>
      </w:pPr>
    </w:p>
    <w:p w14:paraId="10C7D47C" w14:textId="0F078E15" w:rsidR="00897402" w:rsidRDefault="00897402" w:rsidP="00897402">
      <w:r w:rsidRPr="00E13AB2">
        <w:t xml:space="preserve">While Emden’s suggestion was rejected by both rabbis and communities alike, </w:t>
      </w:r>
      <w:commentRangeStart w:id="23"/>
      <w:r w:rsidRPr="00E13AB2">
        <w:t>his approach</w:t>
      </w:r>
      <w:r>
        <w:t xml:space="preserve"> is</w:t>
      </w:r>
      <w:r w:rsidRPr="00E13AB2">
        <w:t xml:space="preserve"> </w:t>
      </w:r>
      <w:r>
        <w:t xml:space="preserve">reflective of an attempt to integrate </w:t>
      </w:r>
      <w:r w:rsidRPr="00897402">
        <w:rPr>
          <w:i/>
          <w:iCs/>
        </w:rPr>
        <w:t>halakhah</w:t>
      </w:r>
      <w:r>
        <w:t xml:space="preserve"> into actual lived lives</w:t>
      </w:r>
      <w:r w:rsidRPr="00E13AB2">
        <w:t>.</w:t>
      </w:r>
      <w:commentRangeEnd w:id="23"/>
      <w:r>
        <w:rPr>
          <w:rStyle w:val="CommentReference"/>
        </w:rPr>
        <w:commentReference w:id="23"/>
      </w:r>
      <w:r w:rsidRPr="00E13AB2">
        <w:t xml:space="preserve"> </w:t>
      </w:r>
      <w:r>
        <w:t xml:space="preserve">He felt it </w:t>
      </w:r>
      <w:r w:rsidRPr="00E13AB2">
        <w:t xml:space="preserve">better for people </w:t>
      </w:r>
      <w:r>
        <w:t xml:space="preserve">to </w:t>
      </w:r>
      <w:r w:rsidRPr="00E13AB2">
        <w:t>engage in sexual activity that ha</w:t>
      </w:r>
      <w:r>
        <w:t>d</w:t>
      </w:r>
      <w:r w:rsidRPr="00E13AB2">
        <w:t xml:space="preserve"> some degree of religious sanction than in totally forbidden activity</w:t>
      </w:r>
      <w:r>
        <w:t xml:space="preserve"> they were engaging in anyway</w:t>
      </w:r>
      <w:r w:rsidRPr="00E13AB2">
        <w:t xml:space="preserve">. Although </w:t>
      </w:r>
      <w:r>
        <w:t>such a</w:t>
      </w:r>
      <w:r w:rsidRPr="00E13AB2">
        <w:t xml:space="preserve"> sexual relationship </w:t>
      </w:r>
      <w:r>
        <w:t>could not be equated with</w:t>
      </w:r>
      <w:r w:rsidRPr="00E13AB2">
        <w:t xml:space="preserve"> marital sexuality, </w:t>
      </w:r>
      <w:r>
        <w:t>at least it</w:t>
      </w:r>
      <w:r w:rsidRPr="00E13AB2">
        <w:t xml:space="preserve"> infus</w:t>
      </w:r>
      <w:r>
        <w:t>ed</w:t>
      </w:r>
      <w:r w:rsidRPr="00E13AB2">
        <w:t xml:space="preserve"> the</w:t>
      </w:r>
      <w:r>
        <w:t>ir</w:t>
      </w:r>
      <w:r w:rsidRPr="00E13AB2">
        <w:t xml:space="preserve"> sexuality with </w:t>
      </w:r>
      <w:r>
        <w:t>some form of commitment and meaningful</w:t>
      </w:r>
      <w:r w:rsidRPr="00E13AB2">
        <w:t xml:space="preserve"> intention. </w:t>
      </w:r>
      <w:r>
        <w:t>The spirit of his</w:t>
      </w:r>
      <w:r w:rsidRPr="00E13AB2">
        <w:t xml:space="preserve"> proposal</w:t>
      </w:r>
      <w:r>
        <w:t xml:space="preserve"> </w:t>
      </w:r>
      <w:r w:rsidRPr="00E13AB2">
        <w:t xml:space="preserve">has been adopted by a small percentage of </w:t>
      </w:r>
      <w:r>
        <w:t xml:space="preserve">religious </w:t>
      </w:r>
      <w:r w:rsidRPr="00E13AB2">
        <w:t xml:space="preserve">couples in committed relationships </w:t>
      </w:r>
      <w:r>
        <w:t xml:space="preserve">who use </w:t>
      </w:r>
      <w:r w:rsidRPr="00DB2EAE">
        <w:rPr>
          <w:i/>
          <w:iCs/>
        </w:rPr>
        <w:t>mikvah</w:t>
      </w:r>
      <w:r>
        <w:t xml:space="preserve"> before marriage (mentioned in greater detail in the previous section) and practice monogamy </w:t>
      </w:r>
      <w:r w:rsidRPr="00E13AB2">
        <w:t xml:space="preserve">but </w:t>
      </w:r>
      <w:r>
        <w:t xml:space="preserve">in contrast to Emden’s required rabbinic direction, </w:t>
      </w:r>
      <w:r w:rsidRPr="00E13AB2">
        <w:t xml:space="preserve">it </w:t>
      </w:r>
      <w:r>
        <w:t>is mostly</w:t>
      </w:r>
      <w:r w:rsidRPr="00E13AB2">
        <w:t xml:space="preserve"> being carried out outside of the framework of </w:t>
      </w:r>
      <w:r>
        <w:t>any sort of rabbinic consultation.</w:t>
      </w:r>
    </w:p>
    <w:p w14:paraId="2FD09D35" w14:textId="77777777" w:rsidR="00BF4F98" w:rsidRPr="007D2F4D" w:rsidRDefault="00BF4F98" w:rsidP="00BF4F98">
      <w:pPr>
        <w:pStyle w:val="Heading2"/>
      </w:pPr>
      <w:r w:rsidRPr="007D2F4D">
        <w:t xml:space="preserve">The </w:t>
      </w:r>
      <w:r w:rsidRPr="00C65A47">
        <w:t xml:space="preserve">Niddah </w:t>
      </w:r>
      <w:r w:rsidRPr="007D2F4D">
        <w:t xml:space="preserve">Prohibition and Single Women Using the </w:t>
      </w:r>
      <w:r w:rsidRPr="00DB2EAE">
        <w:t>Mikvah</w:t>
      </w:r>
    </w:p>
    <w:p w14:paraId="712BD01E" w14:textId="77777777" w:rsidR="00BF4F98" w:rsidRDefault="00BF4F98" w:rsidP="00BF4F98">
      <w:r>
        <w:t xml:space="preserve">It did not escape the notice of Jewish men already 700 years ago that if (Jewish) women, even prostitutes, immersed in the </w:t>
      </w:r>
      <w:r w:rsidRPr="00DB2EAE">
        <w:rPr>
          <w:i/>
          <w:iCs/>
        </w:rPr>
        <w:t>mikvah</w:t>
      </w:r>
      <w:r>
        <w:t xml:space="preserve"> after seven clean days, they would no longer be considered </w:t>
      </w:r>
      <w:r w:rsidRPr="00712019">
        <w:rPr>
          <w:i/>
          <w:iCs/>
        </w:rPr>
        <w:t>niddah</w:t>
      </w:r>
      <w:r>
        <w:t>. Rabbi Isaac ben Sheshet Perfet, known as Rivash, a Spanish Talmudic authority in the 14</w:t>
      </w:r>
      <w:r w:rsidRPr="00481C23">
        <w:rPr>
          <w:vertAlign w:val="superscript"/>
        </w:rPr>
        <w:t>th</w:t>
      </w:r>
      <w:r>
        <w:t xml:space="preserve"> century, was asked by the men of his community whether Jewish prostitutes in town should immerse in order to prevent men who used their services from transgressing the laws of </w:t>
      </w:r>
      <w:r w:rsidRPr="00712019">
        <w:rPr>
          <w:i/>
          <w:iCs/>
        </w:rPr>
        <w:t>niddah</w:t>
      </w:r>
      <w:r>
        <w:t xml:space="preserve">. </w:t>
      </w:r>
      <w:r>
        <w:lastRenderedPageBreak/>
        <w:t xml:space="preserve">Furthermore, they stated, perhaps it would be better for all single women to immerse themselves since it is known that sometimes people transgress. Having single women immerse themselves in a </w:t>
      </w:r>
      <w:r w:rsidRPr="00DB2EAE">
        <w:rPr>
          <w:i/>
          <w:iCs/>
        </w:rPr>
        <w:t>mikvah</w:t>
      </w:r>
      <w:r>
        <w:t xml:space="preserve"> after menstruating would prevent those who had relations with them (and the women from themselves) from receiving </w:t>
      </w:r>
      <w:r w:rsidRPr="00F85E1D">
        <w:rPr>
          <w:i/>
          <w:iCs/>
        </w:rPr>
        <w:t>karet</w:t>
      </w:r>
      <w:r>
        <w:t>.</w:t>
      </w:r>
    </w:p>
    <w:p w14:paraId="38DC153F" w14:textId="77777777" w:rsidR="00BF4F98" w:rsidRDefault="00BF4F98" w:rsidP="00BF4F98">
      <w:r>
        <w:t xml:space="preserve">In a thunderous response, Rivash unequivocally rejected any such policy. First, he clarified that prostitution is prohibited whether the women are </w:t>
      </w:r>
      <w:r w:rsidRPr="00C65A47">
        <w:rPr>
          <w:i/>
          <w:iCs/>
        </w:rPr>
        <w:t xml:space="preserve">niddah </w:t>
      </w:r>
      <w:r>
        <w:t>or not</w:t>
      </w:r>
      <w:commentRangeStart w:id="24"/>
      <w:r>
        <w:t xml:space="preserve">. Second, he affirmed the practice of unmarried women not going to the </w:t>
      </w:r>
      <w:r w:rsidRPr="00DB2EAE">
        <w:rPr>
          <w:i/>
          <w:iCs/>
        </w:rPr>
        <w:t>mikvah</w:t>
      </w:r>
      <w:r>
        <w:t xml:space="preserve"> as means of protecting the daughters of Israel; if unmarried women are always in a state of </w:t>
      </w:r>
      <w:r w:rsidRPr="00712019">
        <w:rPr>
          <w:i/>
          <w:iCs/>
        </w:rPr>
        <w:t>niddah</w:t>
      </w:r>
      <w:r>
        <w:t xml:space="preserve">, the threat of </w:t>
      </w:r>
      <w:r w:rsidRPr="00B02799">
        <w:rPr>
          <w:i/>
          <w:iCs/>
        </w:rPr>
        <w:t>karet</w:t>
      </w:r>
      <w:r>
        <w:t>, he argued, is an important deterrent to sin.</w:t>
      </w:r>
      <w:commentRangeEnd w:id="24"/>
      <w:r>
        <w:rPr>
          <w:rStyle w:val="CommentReference"/>
        </w:rPr>
        <w:commentReference w:id="24"/>
      </w:r>
    </w:p>
    <w:p w14:paraId="6E27DF96" w14:textId="77777777" w:rsidR="00BF4F98" w:rsidRDefault="00BF4F98" w:rsidP="00BF4F98"/>
    <w:tbl>
      <w:tblPr>
        <w:tblStyle w:val="TableGrid"/>
        <w:bidiVisual/>
        <w:tblW w:w="0" w:type="auto"/>
        <w:tblInd w:w="-567" w:type="dxa"/>
        <w:tblLook w:val="04A0" w:firstRow="1" w:lastRow="0" w:firstColumn="1" w:lastColumn="0" w:noHBand="0" w:noVBand="1"/>
      </w:tblPr>
      <w:tblGrid>
        <w:gridCol w:w="3197"/>
        <w:gridCol w:w="6704"/>
      </w:tblGrid>
      <w:tr w:rsidR="00BF4F98" w:rsidRPr="00974645" w14:paraId="423F39C5" w14:textId="77777777" w:rsidTr="00B02799">
        <w:tc>
          <w:tcPr>
            <w:tcW w:w="3197" w:type="dxa"/>
          </w:tcPr>
          <w:p w14:paraId="0AB96532" w14:textId="77777777" w:rsidR="00BF4F98" w:rsidRPr="00FD1641" w:rsidRDefault="00BF4F98" w:rsidP="00B02799">
            <w:pPr>
              <w:pStyle w:val="Source"/>
              <w:bidi/>
            </w:pPr>
            <w:r w:rsidRPr="00FD1641">
              <w:rPr>
                <w:rtl/>
              </w:rPr>
              <w:t>שו"ת הריב"ש סימן תכה</w:t>
            </w:r>
          </w:p>
          <w:p w14:paraId="056BF1A1" w14:textId="77777777" w:rsidR="00BF4F98" w:rsidRPr="00096E74" w:rsidRDefault="00BF4F98" w:rsidP="00B02799">
            <w:pPr>
              <w:bidi/>
            </w:pPr>
            <w:r w:rsidRPr="00096E74">
              <w:rPr>
                <w:rtl/>
              </w:rPr>
              <w:t>שאלת: לבאר לך, מה שכתוב בתורה: ואל אשה בנדת טומאתה, לא תקרב לגלות ערותה. אם נאמר על כל אשה נדה: בין באשתו, בין בפנויה? ואם הוא כן, איך לא הזכירו דבר זה, הרשב"א ז"ל בספר תורת הבית; ולא הראב"ד ז"ל בספר בעלי נפש? כי לפי לשונם, לעולם לא דברו: אלא באשתו של אדם; ואיך מורגל בפי כל אדם: פלונית פנויה מותרת? וחכמים ז"ל, איך הניחו שום קדשה בעולם? כי מסתמא, אינן מטהרות עצמן. ואיך לא תקנו: שום תקון, או שום גדר של טהרה, בפנוי'; כדי שלא יכשלו בה רבים, אחר שהבא עליה ענוש כרת, והנוגע בה באצבע קטנה, חייב מלקות? ואם באשתו בלבד הכתוב מדבר, הוקשה לך לשון הרמב"ם ז"ל, בהרבה מקומות. שנראה מדבריו: שאסור הנדה: בין באשתו בין בפנויה</w:t>
            </w:r>
            <w:r w:rsidRPr="00096E74">
              <w:t>.</w:t>
            </w:r>
          </w:p>
          <w:p w14:paraId="19216563" w14:textId="77777777" w:rsidR="00BF4F98" w:rsidRPr="00096E74" w:rsidRDefault="00BF4F98" w:rsidP="00B02799">
            <w:pPr>
              <w:bidi/>
            </w:pPr>
            <w:r w:rsidRPr="00096E74">
              <w:rPr>
                <w:rtl/>
              </w:rPr>
              <w:lastRenderedPageBreak/>
              <w:t>תשובה: דבר ברור הוא: שאסור ביאת הנדה; לא באשתו בלבד, אלא: בין באשתו, בין באשת חברו, בי</w:t>
            </w:r>
            <w:r>
              <w:rPr>
                <w:rFonts w:hint="cs"/>
                <w:rtl/>
              </w:rPr>
              <w:t>ן בפנויה...</w:t>
            </w:r>
            <w:r w:rsidRPr="00096E74">
              <w:rPr>
                <w:rtl/>
              </w:rPr>
              <w:t xml:space="preserve"> וזה דבר פשוט. ולא נסתפק בו אדם מעולם. והדבור בו מותר. גם הכתוב אמר סתם: ואל אשה בנדת טומאתה. ולא חלק: בין אשתו, לפנויה. שהרי לא אמר: ואל אשתך</w:t>
            </w:r>
            <w:r w:rsidRPr="00096E74">
              <w:t>….</w:t>
            </w:r>
          </w:p>
          <w:p w14:paraId="313B4DC6" w14:textId="77777777" w:rsidR="00BF4F98" w:rsidRPr="00096E74" w:rsidRDefault="00BF4F98" w:rsidP="00B02799">
            <w:pPr>
              <w:bidi/>
            </w:pPr>
          </w:p>
          <w:p w14:paraId="4B23715B" w14:textId="77777777" w:rsidR="00BF4F98" w:rsidRDefault="00BF4F98" w:rsidP="00B02799">
            <w:pPr>
              <w:bidi/>
            </w:pPr>
            <w:r w:rsidRPr="00096E74">
              <w:rPr>
                <w:rtl/>
              </w:rPr>
              <w:t>ומה שהוקשה לך: איך חז"ל הניחו שום קדשה בעולם, שהרי אינן מטהרות עצמן. חלילה שחז"ל יניחו קדשה, ויתירוה! ואף אם תהיינה טובלות לנדותן. והכתוב צווח</w:t>
            </w:r>
            <w:r>
              <w:rPr>
                <w:rFonts w:hint="cs"/>
                <w:rtl/>
              </w:rPr>
              <w:t>:</w:t>
            </w:r>
          </w:p>
          <w:p w14:paraId="29C09464" w14:textId="77777777" w:rsidR="00BF4F98" w:rsidRPr="00096E74" w:rsidRDefault="00BF4F98" w:rsidP="00B02799">
            <w:pPr>
              <w:bidi/>
            </w:pPr>
            <w:r>
              <w:rPr>
                <w:rtl/>
              </w:rPr>
              <w:t>לא תהיה קדשה מבנות ישראל.</w:t>
            </w:r>
            <w:r>
              <w:rPr>
                <w:rFonts w:hint="cs"/>
                <w:rtl/>
              </w:rPr>
              <w:t xml:space="preserve">.. </w:t>
            </w:r>
            <w:r w:rsidRPr="00096E74">
              <w:rPr>
                <w:rtl/>
              </w:rPr>
              <w:t>באו ונצווח על דורנו, שאין דומה יפה. וגדולי הדור, העלם יעלימו את עיניהם, פן יכשלו בני פריצי עמנו, בנכריות, ותצא אש, ומצאה קוצים, ונאכל גדיש. והקדשות שהיו בימי חז"ל, שלא ברצון חכמים היו.</w:t>
            </w:r>
            <w:r>
              <w:rPr>
                <w:rFonts w:hint="cs"/>
                <w:rtl/>
              </w:rPr>
              <w:t>...</w:t>
            </w:r>
          </w:p>
          <w:p w14:paraId="5C097C1F" w14:textId="77777777" w:rsidR="00BF4F98" w:rsidRPr="00096E74" w:rsidRDefault="00BF4F98" w:rsidP="00B02799">
            <w:pPr>
              <w:bidi/>
              <w:rPr>
                <w:rtl/>
              </w:rPr>
            </w:pPr>
            <w:r w:rsidRPr="00096E74">
              <w:rPr>
                <w:rtl/>
              </w:rPr>
              <w:t>ומה שנפלאת: איך לא תקנו טבילה לפנויה, כדי שלא יכשלו בה רבים? ואין כאן מקום תמה! שהרי כיון שהפנויה אסורה, כמש"כ. אדרבה! אם היתה טובלת, היה בה מכשול: שהיו מקילין באסורה; כיון שאין אסורה, אלא מדרבנן.</w:t>
            </w:r>
          </w:p>
        </w:tc>
        <w:tc>
          <w:tcPr>
            <w:tcW w:w="6704" w:type="dxa"/>
          </w:tcPr>
          <w:p w14:paraId="72EB8926" w14:textId="77777777" w:rsidR="00BF4F98" w:rsidRPr="003C41AC" w:rsidRDefault="00BF4F98" w:rsidP="00B02799">
            <w:pPr>
              <w:pStyle w:val="Source"/>
            </w:pPr>
            <w:commentRangeStart w:id="25"/>
            <w:r w:rsidRPr="003C41AC">
              <w:lastRenderedPageBreak/>
              <w:t>Responsa</w:t>
            </w:r>
            <w:commentRangeEnd w:id="25"/>
            <w:r>
              <w:rPr>
                <w:rStyle w:val="CommentReference"/>
                <w:b w:val="0"/>
              </w:rPr>
              <w:commentReference w:id="25"/>
            </w:r>
            <w:r w:rsidRPr="003C41AC">
              <w:t xml:space="preserve"> Rivash 425 (translation: Dr. Jennie Rosenfeld)</w:t>
            </w:r>
          </w:p>
          <w:p w14:paraId="50F9797B" w14:textId="77777777" w:rsidR="00BF4F98" w:rsidRPr="00096E74" w:rsidRDefault="00BF4F98" w:rsidP="00B02799">
            <w:r w:rsidRPr="00096E74">
              <w:t>Question: You asked me to explain to you that which is written in the Torah: “And to a menstruating woman do not come near to uncover her nakedness</w:t>
            </w:r>
            <w:r>
              <w:t>,</w:t>
            </w:r>
            <w:r w:rsidRPr="00096E74">
              <w:t xml:space="preserve">” is it said about every menstruating woman, be it his wife or be it an unmarried woman? And if so, how was this not mentioned in all the laws of </w:t>
            </w:r>
            <w:r w:rsidRPr="00C65A47">
              <w:rPr>
                <w:i/>
                <w:iCs/>
              </w:rPr>
              <w:t xml:space="preserve">niddah </w:t>
            </w:r>
            <w:r w:rsidRPr="00096E74">
              <w:t>discussed in the Rashba</w:t>
            </w:r>
            <w:r>
              <w:t xml:space="preserve"> in the book </w:t>
            </w:r>
            <w:r w:rsidRPr="00B02799">
              <w:rPr>
                <w:i/>
                <w:iCs/>
              </w:rPr>
              <w:t>Torat HaBayit</w:t>
            </w:r>
            <w:r>
              <w:t xml:space="preserve"> and not by the</w:t>
            </w:r>
            <w:r w:rsidRPr="00096E74">
              <w:t xml:space="preserve"> Raavad </w:t>
            </w:r>
            <w:r>
              <w:t xml:space="preserve">in the book </w:t>
            </w:r>
            <w:r w:rsidRPr="00B02799">
              <w:rPr>
                <w:i/>
                <w:iCs/>
              </w:rPr>
              <w:t>Baalei HaNefesh</w:t>
            </w:r>
            <w:r>
              <w:t>?</w:t>
            </w:r>
            <w:r w:rsidRPr="00096E74">
              <w:t xml:space="preserve"> For according to their words, they only talked about married women; and how </w:t>
            </w:r>
            <w:r>
              <w:t>is that everyone says</w:t>
            </w:r>
            <w:r w:rsidRPr="00096E74">
              <w:t xml:space="preserve"> that an unmarried woman is permitted? And our sages, how did </w:t>
            </w:r>
            <w:r>
              <w:t>allow</w:t>
            </w:r>
            <w:r w:rsidRPr="00096E74">
              <w:t xml:space="preserve"> any </w:t>
            </w:r>
            <w:r>
              <w:t>prostitutes to remain</w:t>
            </w:r>
            <w:r w:rsidRPr="00096E74">
              <w:t xml:space="preserve"> in the worl</w:t>
            </w:r>
            <w:r>
              <w:t>d as</w:t>
            </w:r>
            <w:r w:rsidRPr="00096E74">
              <w:t xml:space="preserve"> </w:t>
            </w:r>
            <w:r>
              <w:t>they presumably do</w:t>
            </w:r>
            <w:r w:rsidRPr="00096E74">
              <w:t xml:space="preserve"> not purify themselves</w:t>
            </w:r>
            <w:r>
              <w:t>?</w:t>
            </w:r>
            <w:r w:rsidRPr="00096E74">
              <w:t xml:space="preserve"> And how did they not make a decree</w:t>
            </w:r>
            <w:r>
              <w:t xml:space="preserve">, some corrective </w:t>
            </w:r>
            <w:r w:rsidRPr="00096E74">
              <w:t xml:space="preserve">or </w:t>
            </w:r>
            <w:r>
              <w:t>restriction for the</w:t>
            </w:r>
            <w:r w:rsidRPr="00096E74">
              <w:t xml:space="preserve"> purity </w:t>
            </w:r>
            <w:r>
              <w:t>of</w:t>
            </w:r>
            <w:r w:rsidRPr="00096E74">
              <w:t xml:space="preserve"> single women so that the many not </w:t>
            </w:r>
            <w:r>
              <w:t>falter</w:t>
            </w:r>
            <w:r w:rsidRPr="00096E74">
              <w:t xml:space="preserve"> </w:t>
            </w:r>
            <w:r>
              <w:t xml:space="preserve">as anyone who has relations with her [the umarried woman who has not gone to the </w:t>
            </w:r>
            <w:r w:rsidRPr="006E3A0C">
              <w:rPr>
                <w:i/>
                <w:iCs/>
              </w:rPr>
              <w:t>mikvah</w:t>
            </w:r>
            <w:r>
              <w:t>]</w:t>
            </w:r>
            <w:r w:rsidRPr="00096E74">
              <w:t xml:space="preserve"> </w:t>
            </w:r>
            <w:r>
              <w:t>is punished with</w:t>
            </w:r>
            <w:r w:rsidRPr="00096E74">
              <w:t xml:space="preserve"> </w:t>
            </w:r>
            <w:r>
              <w:rPr>
                <w:i/>
                <w:iCs/>
              </w:rPr>
              <w:t>k</w:t>
            </w:r>
            <w:r w:rsidRPr="00B02799">
              <w:rPr>
                <w:i/>
                <w:iCs/>
              </w:rPr>
              <w:t>aret</w:t>
            </w:r>
            <w:r w:rsidRPr="00096E74">
              <w:t xml:space="preserve">, and one who touches the little finger of a </w:t>
            </w:r>
            <w:r w:rsidRPr="00C65A47">
              <w:rPr>
                <w:i/>
                <w:iCs/>
              </w:rPr>
              <w:t>niddah</w:t>
            </w:r>
            <w:r w:rsidRPr="00096E74">
              <w:t xml:space="preserve"> incurs lashes? And if the Torah was </w:t>
            </w:r>
            <w:r>
              <w:t xml:space="preserve">talking </w:t>
            </w:r>
            <w:r w:rsidRPr="00096E74">
              <w:t xml:space="preserve">only about </w:t>
            </w:r>
            <w:r>
              <w:t>one’s</w:t>
            </w:r>
            <w:r w:rsidRPr="00096E74">
              <w:t xml:space="preserve"> wife</w:t>
            </w:r>
            <w:r>
              <w:t xml:space="preserve"> when she is a </w:t>
            </w:r>
            <w:r w:rsidRPr="00C65A47">
              <w:rPr>
                <w:i/>
                <w:iCs/>
              </w:rPr>
              <w:t>niddah</w:t>
            </w:r>
            <w:r>
              <w:t xml:space="preserve">, </w:t>
            </w:r>
            <w:r w:rsidRPr="00096E74">
              <w:t xml:space="preserve">there is difficulty with the language of the Rambam in many places since </w:t>
            </w:r>
            <w:r>
              <w:t>it is apparent from his words that the</w:t>
            </w:r>
            <w:r w:rsidRPr="00096E74">
              <w:t xml:space="preserve"> prohibition </w:t>
            </w:r>
            <w:r>
              <w:t>of</w:t>
            </w:r>
            <w:r w:rsidRPr="00096E74">
              <w:t xml:space="preserve"> a </w:t>
            </w:r>
            <w:r w:rsidRPr="00C65A47">
              <w:rPr>
                <w:i/>
                <w:iCs/>
              </w:rPr>
              <w:t xml:space="preserve">niddah </w:t>
            </w:r>
            <w:r>
              <w:t>applies both to one’s wife and to an unmarried woman.</w:t>
            </w:r>
          </w:p>
          <w:p w14:paraId="0DB63522" w14:textId="77777777" w:rsidR="00BF4F98" w:rsidRPr="00096E74" w:rsidRDefault="00BF4F98" w:rsidP="00B02799">
            <w:r>
              <w:lastRenderedPageBreak/>
              <w:t xml:space="preserve">Responsum: It is clear that the prohibition of relations with a </w:t>
            </w:r>
            <w:r w:rsidRPr="00C65A47">
              <w:rPr>
                <w:i/>
                <w:iCs/>
              </w:rPr>
              <w:t xml:space="preserve">niddah </w:t>
            </w:r>
            <w:r w:rsidRPr="00096E74">
              <w:t xml:space="preserve">is </w:t>
            </w:r>
            <w:r>
              <w:t>not only with one’s</w:t>
            </w:r>
            <w:r w:rsidRPr="00096E74">
              <w:t xml:space="preserve"> wife</w:t>
            </w:r>
            <w:r>
              <w:t>; rather,</w:t>
            </w:r>
            <w:r w:rsidRPr="00096E74">
              <w:t xml:space="preserve"> whether she </w:t>
            </w:r>
            <w:r>
              <w:t>one’s wife, or another’s</w:t>
            </w:r>
            <w:r w:rsidRPr="00096E74">
              <w:t xml:space="preserve"> wife, </w:t>
            </w:r>
            <w:r>
              <w:t>or</w:t>
            </w:r>
            <w:r w:rsidRPr="00096E74">
              <w:t xml:space="preserve"> </w:t>
            </w:r>
            <w:r>
              <w:t xml:space="preserve">an </w:t>
            </w:r>
            <w:r w:rsidRPr="00096E74">
              <w:t>unmarried</w:t>
            </w:r>
            <w:r>
              <w:t xml:space="preserve"> woman…</w:t>
            </w:r>
            <w:r w:rsidRPr="00096E74">
              <w:t xml:space="preserve"> and this is </w:t>
            </w:r>
            <w:r>
              <w:t>a simple matter</w:t>
            </w:r>
            <w:r w:rsidRPr="00096E74">
              <w:t xml:space="preserve">. And no-one ever doubted it. And even speaking about it is unnecessary. The verse </w:t>
            </w:r>
            <w:r>
              <w:t>also</w:t>
            </w:r>
            <w:r w:rsidRPr="00096E74">
              <w:t xml:space="preserve"> said simply “To a menstruating woman do not come near.</w:t>
            </w:r>
            <w:r>
              <w:t>”</w:t>
            </w:r>
            <w:r w:rsidRPr="00096E74">
              <w:t xml:space="preserve"> And it made no distinction between one’s wife and an unmarried woman for it did not say “to your wife”…..</w:t>
            </w:r>
          </w:p>
          <w:p w14:paraId="22211DD7" w14:textId="77777777" w:rsidR="00BF4F98" w:rsidRPr="00096E74" w:rsidRDefault="00BF4F98" w:rsidP="00B02799"/>
          <w:p w14:paraId="6B827554" w14:textId="77777777" w:rsidR="00BF4F98" w:rsidRPr="00096E74" w:rsidRDefault="00BF4F98" w:rsidP="00B02799">
            <w:r w:rsidRPr="00096E74">
              <w:t xml:space="preserve">And that which you asked: how did </w:t>
            </w:r>
            <w:r>
              <w:t>our sages</w:t>
            </w:r>
            <w:r w:rsidRPr="00096E74">
              <w:t xml:space="preserve"> allow any prostitutes to remain </w:t>
            </w:r>
            <w:r>
              <w:t>the world</w:t>
            </w:r>
            <w:r w:rsidRPr="00096E74">
              <w:t xml:space="preserve"> </w:t>
            </w:r>
            <w:r>
              <w:t xml:space="preserve">as </w:t>
            </w:r>
            <w:r w:rsidRPr="00096E74">
              <w:t xml:space="preserve">they do not purify themselves </w:t>
            </w:r>
            <w:r>
              <w:t>[</w:t>
            </w:r>
            <w:r w:rsidRPr="00096E74">
              <w:t>through immersion</w:t>
            </w:r>
            <w:r>
              <w:t>]</w:t>
            </w:r>
            <w:r w:rsidRPr="00096E74">
              <w:t xml:space="preserve">. Heaven forbid that </w:t>
            </w:r>
            <w:r>
              <w:t>our sages</w:t>
            </w:r>
            <w:r w:rsidRPr="00096E74">
              <w:t xml:space="preserve"> would </w:t>
            </w:r>
            <w:r>
              <w:t>allow</w:t>
            </w:r>
            <w:r w:rsidRPr="00096E74">
              <w:t xml:space="preserve"> prostitution,</w:t>
            </w:r>
            <w:r>
              <w:t xml:space="preserve"> and make her permitted!</w:t>
            </w:r>
            <w:r w:rsidRPr="00096E74">
              <w:t xml:space="preserve"> </w:t>
            </w:r>
            <w:r>
              <w:t xml:space="preserve">And </w:t>
            </w:r>
            <w:r w:rsidRPr="00096E74">
              <w:t>even if the</w:t>
            </w:r>
            <w:r>
              <w:t>y</w:t>
            </w:r>
            <w:r w:rsidRPr="00096E74">
              <w:t xml:space="preserve"> immerse</w:t>
            </w:r>
            <w:r>
              <w:t>d</w:t>
            </w:r>
            <w:r w:rsidRPr="00096E74">
              <w:t xml:space="preserve"> </w:t>
            </w:r>
            <w:r>
              <w:t xml:space="preserve">[to purify themselves] from </w:t>
            </w:r>
            <w:r w:rsidRPr="00B02799">
              <w:rPr>
                <w:i/>
                <w:iCs/>
              </w:rPr>
              <w:t>niddah</w:t>
            </w:r>
            <w:r w:rsidRPr="00096E74">
              <w:t xml:space="preserve">! For the </w:t>
            </w:r>
            <w:r>
              <w:t>verse proclaims</w:t>
            </w:r>
            <w:r w:rsidRPr="00096E74">
              <w:t xml:space="preserve">: “There should not be a prostitute from the daughters of Israel.” ….Come let us reprimand our generation which is not behaving properly. And the leaders of our generation hide their eyes </w:t>
            </w:r>
            <w:r>
              <w:t>[a</w:t>
            </w:r>
            <w:r w:rsidRPr="00096E74">
              <w:t>nd pretend not to notice the Jewish prostitutes</w:t>
            </w:r>
            <w:r>
              <w:t>]</w:t>
            </w:r>
            <w:r w:rsidRPr="00096E74">
              <w:t xml:space="preserve">, lest the promiscuous Jewish men </w:t>
            </w:r>
            <w:r>
              <w:t xml:space="preserve">falter with non-Jewish women, fire will be ignited, and find brambles and the grain pile will be consumed [i.e., it will </w:t>
            </w:r>
            <w:r w:rsidRPr="00096E74">
              <w:t>lead to even worse consequences</w:t>
            </w:r>
            <w:r>
              <w:t>]</w:t>
            </w:r>
            <w:r w:rsidRPr="00096E74">
              <w:t xml:space="preserve">. And the </w:t>
            </w:r>
            <w:r w:rsidRPr="00B02799">
              <w:t>prostitutes</w:t>
            </w:r>
            <w:r w:rsidRPr="00096E74">
              <w:t xml:space="preserve"> that existed in </w:t>
            </w:r>
            <w:r>
              <w:t xml:space="preserve">the </w:t>
            </w:r>
            <w:r w:rsidRPr="00096E74">
              <w:t xml:space="preserve">time </w:t>
            </w:r>
            <w:r>
              <w:t xml:space="preserve">of the sages </w:t>
            </w:r>
            <w:r w:rsidRPr="00096E74">
              <w:t>were against their wishes</w:t>
            </w:r>
            <w:r>
              <w:t>….</w:t>
            </w:r>
          </w:p>
          <w:p w14:paraId="06DC0883" w14:textId="77777777" w:rsidR="00BF4F98" w:rsidRPr="00096E74" w:rsidRDefault="00BF4F98" w:rsidP="00B02799">
            <w:pPr>
              <w:rPr>
                <w:rtl/>
              </w:rPr>
            </w:pPr>
            <w:r w:rsidRPr="00096E74">
              <w:t xml:space="preserve">And that which </w:t>
            </w:r>
            <w:r>
              <w:t>you wondered</w:t>
            </w:r>
            <w:r w:rsidRPr="00096E74">
              <w:t xml:space="preserve">: How did they not establish immersion for the </w:t>
            </w:r>
            <w:r>
              <w:t>unmarried</w:t>
            </w:r>
            <w:r w:rsidRPr="00096E74">
              <w:t xml:space="preserve"> woman, so that people </w:t>
            </w:r>
            <w:r>
              <w:t>not falter with her</w:t>
            </w:r>
            <w:r w:rsidRPr="00096E74">
              <w:t xml:space="preserve">? There is no room for </w:t>
            </w:r>
            <w:r>
              <w:t>wonder</w:t>
            </w:r>
            <w:r w:rsidRPr="00096E74">
              <w:t xml:space="preserve">. </w:t>
            </w:r>
            <w:r>
              <w:t>Since</w:t>
            </w:r>
            <w:r w:rsidRPr="00096E74">
              <w:t xml:space="preserve"> the unmarried woman is prohibited as we explained</w:t>
            </w:r>
            <w:r>
              <w:t xml:space="preserve">, </w:t>
            </w:r>
            <w:r w:rsidRPr="00096E74">
              <w:t xml:space="preserve">it </w:t>
            </w:r>
            <w:r>
              <w:t>is</w:t>
            </w:r>
            <w:r w:rsidRPr="00096E74">
              <w:t xml:space="preserve"> the opposite! For if she would immerse then she would truly be a stumbling block for then people would be lenient </w:t>
            </w:r>
            <w:r>
              <w:t>about</w:t>
            </w:r>
            <w:r w:rsidRPr="00096E74">
              <w:t xml:space="preserve"> the prohibition [of pre</w:t>
            </w:r>
            <w:r>
              <w:t>-marital</w:t>
            </w:r>
            <w:r w:rsidRPr="00096E74">
              <w:t xml:space="preserve"> sex], since the prohibition </w:t>
            </w:r>
            <w:r>
              <w:t xml:space="preserve">is only </w:t>
            </w:r>
            <w:r w:rsidRPr="00096E74">
              <w:t xml:space="preserve">rabbinic [and not </w:t>
            </w:r>
            <w:proofErr w:type="gramStart"/>
            <w:r w:rsidRPr="00096E74">
              <w:t>an</w:t>
            </w:r>
            <w:proofErr w:type="gramEnd"/>
            <w:r w:rsidRPr="00096E74">
              <w:t xml:space="preserve"> </w:t>
            </w:r>
            <w:r>
              <w:t xml:space="preserve">liable for </w:t>
            </w:r>
            <w:r w:rsidRPr="00096E74">
              <w:rPr>
                <w:i/>
                <w:iCs/>
              </w:rPr>
              <w:t>karet</w:t>
            </w:r>
            <w:r w:rsidRPr="00096E74">
              <w:t>]…</w:t>
            </w:r>
          </w:p>
        </w:tc>
      </w:tr>
    </w:tbl>
    <w:p w14:paraId="0E980C8B" w14:textId="77777777" w:rsidR="00BF4F98" w:rsidRDefault="00BF4F98" w:rsidP="00BF4F98"/>
    <w:p w14:paraId="321D3BE2" w14:textId="2FE284E9" w:rsidR="00897402" w:rsidRDefault="00897402" w:rsidP="00897402">
      <w:r>
        <w:lastRenderedPageBreak/>
        <w:t>Rivash</w:t>
      </w:r>
      <w:r>
        <w:t xml:space="preserve"> </w:t>
      </w:r>
      <w:r>
        <w:t>cites Maimonides that sex outside of marriage is a biblical prohibition; furthermore, even those who disagree with Maimonides (i.e., Raavad), agree that non-marital relations violate rabbinic law.</w:t>
      </w:r>
      <w:r>
        <w:rPr>
          <w:rStyle w:val="FootnoteReference"/>
        </w:rPr>
        <w:footnoteReference w:id="5"/>
      </w:r>
      <w:r>
        <w:t xml:space="preserve"> Nonetheless, the fact that such relations were not liable for </w:t>
      </w:r>
      <w:r w:rsidRPr="00B02799">
        <w:rPr>
          <w:i/>
          <w:iCs/>
        </w:rPr>
        <w:t>karet</w:t>
      </w:r>
      <w:r>
        <w:t xml:space="preserve"> and perhaps not a biblical prohibition at all contributed to the policy of preventing single women from immersing in the </w:t>
      </w:r>
      <w:r w:rsidRPr="00DB2EAE">
        <w:rPr>
          <w:i/>
          <w:iCs/>
        </w:rPr>
        <w:t>mikvah</w:t>
      </w:r>
      <w:r>
        <w:rPr>
          <w:i/>
          <w:iCs/>
        </w:rPr>
        <w:t xml:space="preserve">. </w:t>
      </w:r>
      <w:r>
        <w:t xml:space="preserve">Since unmarried women did not immerse in a </w:t>
      </w:r>
      <w:r w:rsidRPr="00B02799">
        <w:rPr>
          <w:i/>
          <w:iCs/>
        </w:rPr>
        <w:t>mikvah</w:t>
      </w:r>
      <w:r>
        <w:t xml:space="preserve">, relations with them would be transgressive relations with a </w:t>
      </w:r>
      <w:r w:rsidRPr="00712019">
        <w:rPr>
          <w:i/>
          <w:iCs/>
        </w:rPr>
        <w:t>niddah</w:t>
      </w:r>
      <w:r>
        <w:t xml:space="preserve">. The severity of the threat of </w:t>
      </w:r>
      <w:r w:rsidRPr="00C80932">
        <w:rPr>
          <w:i/>
          <w:iCs/>
        </w:rPr>
        <w:t>karet</w:t>
      </w:r>
      <w:r>
        <w:t xml:space="preserve"> acted (and continues to act) as a deterrent for religious couples considering sexual relations.</w:t>
      </w:r>
    </w:p>
    <w:p w14:paraId="7A25D907" w14:textId="0CD87C09" w:rsidR="00BF4F98" w:rsidRDefault="00BF4F98" w:rsidP="00BF4F98">
      <w:r>
        <w:t xml:space="preserve">Rivash recognized that if single women were allowed to go to the </w:t>
      </w:r>
      <w:r w:rsidRPr="00DB2EAE">
        <w:rPr>
          <w:i/>
          <w:iCs/>
        </w:rPr>
        <w:t>mikvah</w:t>
      </w:r>
      <w:r>
        <w:rPr>
          <w:i/>
          <w:iCs/>
        </w:rPr>
        <w:t xml:space="preserve">, </w:t>
      </w:r>
      <w:r>
        <w:t xml:space="preserve">it would be easy for people to justify outright promiscuity to themselves. The societal, religious, and halakhic norms of traditional Jewish society in place both before and after the Rivash’s responsum precluded single women from using the </w:t>
      </w:r>
      <w:r w:rsidRPr="00DB2EAE">
        <w:rPr>
          <w:i/>
          <w:iCs/>
        </w:rPr>
        <w:t>mikvah</w:t>
      </w:r>
      <w:r>
        <w:rPr>
          <w:i/>
          <w:iCs/>
        </w:rPr>
        <w:t xml:space="preserve"> </w:t>
      </w:r>
      <w:r>
        <w:t>and</w:t>
      </w:r>
      <w:r>
        <w:rPr>
          <w:i/>
          <w:iCs/>
        </w:rPr>
        <w:t xml:space="preserve"> </w:t>
      </w:r>
      <w:r>
        <w:t xml:space="preserve">his position on the matter essentially became the only one that is cited thereafter in </w:t>
      </w:r>
      <w:r w:rsidRPr="00A92C0E">
        <w:rPr>
          <w:i/>
          <w:iCs/>
        </w:rPr>
        <w:t>Tur</w:t>
      </w:r>
      <w:r>
        <w:t xml:space="preserve"> and </w:t>
      </w:r>
      <w:r w:rsidR="00897402" w:rsidRPr="00897402">
        <w:rPr>
          <w:i/>
          <w:iCs/>
        </w:rPr>
        <w:t>Shulhan Arukh</w:t>
      </w:r>
      <w:r>
        <w:rPr>
          <w:i/>
          <w:iCs/>
        </w:rPr>
        <w:t xml:space="preserve">. </w:t>
      </w:r>
      <w:r>
        <w:t xml:space="preserve">By aggressively enforcing a ban on </w:t>
      </w:r>
      <w:r w:rsidRPr="00DB2EAE">
        <w:rPr>
          <w:i/>
          <w:iCs/>
        </w:rPr>
        <w:t>mikvah</w:t>
      </w:r>
      <w:r>
        <w:t xml:space="preserve"> use before marriage, the severity of the threat of </w:t>
      </w:r>
      <w:r w:rsidRPr="00294F74">
        <w:rPr>
          <w:i/>
          <w:iCs/>
        </w:rPr>
        <w:t>karet</w:t>
      </w:r>
      <w:r>
        <w:t xml:space="preserve"> acted (and continues to act) as a deterrent.</w:t>
      </w:r>
    </w:p>
    <w:p w14:paraId="1903EC03" w14:textId="15EDF19D" w:rsidR="00BF4F98" w:rsidRDefault="00BF4F98" w:rsidP="00BF4F98">
      <w:r>
        <w:t xml:space="preserve">Interestingly, the issue of single women using </w:t>
      </w:r>
      <w:r w:rsidRPr="00DB2EAE">
        <w:rPr>
          <w:i/>
          <w:iCs/>
        </w:rPr>
        <w:t>mikvah</w:t>
      </w:r>
      <w:r>
        <w:t xml:space="preserve"> has re-emerged in the last twenty-five years but with a major difference: Instead of men looking to immerse all women </w:t>
      </w:r>
      <w:commentRangeStart w:id="26"/>
      <w:r>
        <w:t xml:space="preserve">as a spiritual insurance policy against </w:t>
      </w:r>
      <w:r w:rsidRPr="00096E74">
        <w:rPr>
          <w:i/>
          <w:iCs/>
        </w:rPr>
        <w:t>karet</w:t>
      </w:r>
      <w:r>
        <w:t xml:space="preserve">, </w:t>
      </w:r>
      <w:commentRangeEnd w:id="26"/>
      <w:r w:rsidR="00897402">
        <w:rPr>
          <w:rStyle w:val="CommentReference"/>
        </w:rPr>
        <w:commentReference w:id="26"/>
      </w:r>
      <w:r>
        <w:t xml:space="preserve">women are seeking to immerse as a way of rendering their sexual activity more in tune with </w:t>
      </w:r>
      <w:r w:rsidR="00897402" w:rsidRPr="00897402">
        <w:rPr>
          <w:i/>
          <w:iCs/>
        </w:rPr>
        <w:t>halakhah</w:t>
      </w:r>
      <w:r>
        <w:t xml:space="preserve">. They usually come to the decision to go to the </w:t>
      </w:r>
      <w:r w:rsidRPr="006E3A0C">
        <w:rPr>
          <w:i/>
          <w:iCs/>
        </w:rPr>
        <w:t>mikvah</w:t>
      </w:r>
      <w:r>
        <w:t xml:space="preserve"> on their own and rarely in consultation with rabbinic authorities.</w:t>
      </w:r>
    </w:p>
    <w:p w14:paraId="4681FC57" w14:textId="77777777" w:rsidR="00BF4F98" w:rsidRDefault="00BF4F98" w:rsidP="00BF4F98">
      <w:r>
        <w:t xml:space="preserve">I have heard a variety of rabbinic opinions on whether single women should immerse in a </w:t>
      </w:r>
      <w:r w:rsidRPr="00DB2EAE">
        <w:rPr>
          <w:i/>
          <w:iCs/>
        </w:rPr>
        <w:t>mikvah</w:t>
      </w:r>
      <w:r>
        <w:t xml:space="preserve"> when they are sexually active. Some feel that at least </w:t>
      </w:r>
      <w:r w:rsidRPr="00294F74">
        <w:rPr>
          <w:i/>
          <w:iCs/>
        </w:rPr>
        <w:t>karet</w:t>
      </w:r>
      <w:r>
        <w:t xml:space="preserve"> is avoided and perhaps their engagement in the ritual raises the chances of their maintaining a level of commitment to observance and to monogamy. Others, like Rivash, think that it is impossible to sanction non-marital relations. Allowing women to immerse would give these relations a veneer of permissibility. These rabbis argue that couples </w:t>
      </w:r>
      <w:r w:rsidRPr="00B02799">
        <w:rPr>
          <w:i/>
          <w:iCs/>
        </w:rPr>
        <w:t>should</w:t>
      </w:r>
      <w:r>
        <w:t xml:space="preserve"> feel guilt over their transgressive behavior.</w:t>
      </w:r>
    </w:p>
    <w:p w14:paraId="03BA79DD" w14:textId="2D1A06D5" w:rsidR="00BF4F98" w:rsidRDefault="00BF4F98" w:rsidP="00BF4F98">
      <w:pPr>
        <w:rPr>
          <w:rtl/>
        </w:rPr>
      </w:pPr>
      <w:r>
        <w:t xml:space="preserve">The practice of single women using the </w:t>
      </w:r>
      <w:r w:rsidRPr="00DB2EAE">
        <w:rPr>
          <w:i/>
          <w:iCs/>
        </w:rPr>
        <w:t>mikvah</w:t>
      </w:r>
      <w:r>
        <w:t xml:space="preserve"> is unique to a halakhically observant, educated demographic. They know they are violating the religious (and </w:t>
      </w:r>
      <w:r w:rsidRPr="00B02626">
        <w:t>halakhic</w:t>
      </w:r>
      <w:r>
        <w:t xml:space="preserve">) mandate to remain celibate until marriage but are also aware that the severe biblical prohibition of relations with/while a </w:t>
      </w:r>
      <w:r w:rsidRPr="00B02799">
        <w:rPr>
          <w:i/>
          <w:iCs/>
        </w:rPr>
        <w:t>niddah</w:t>
      </w:r>
      <w:r>
        <w:t xml:space="preserve"> (i.e. liability to receive </w:t>
      </w:r>
      <w:r w:rsidRPr="00B02799">
        <w:rPr>
          <w:i/>
          <w:iCs/>
        </w:rPr>
        <w:t>karet</w:t>
      </w:r>
      <w:r>
        <w:t xml:space="preserve">) is neutralized by the woman’s immersion in a </w:t>
      </w:r>
      <w:r w:rsidRPr="00B02799">
        <w:rPr>
          <w:i/>
          <w:iCs/>
        </w:rPr>
        <w:t>mikvah</w:t>
      </w:r>
      <w:r>
        <w:t xml:space="preserve">. This behavior is emblematic of a more relaxed sexual culture combined with these </w:t>
      </w:r>
      <w:r>
        <w:lastRenderedPageBreak/>
        <w:t xml:space="preserve">women’s sense of their own agency. </w:t>
      </w:r>
      <w:r w:rsidR="00897402">
        <w:t>T</w:t>
      </w:r>
      <w:r>
        <w:t xml:space="preserve">hey regard themselves to be entitled to make their own decisions about their personal life and halakhic behavior. In the opinion of some of the couples, while it is not rabbinically sanctioned, engaging in sexual relations after the woman has immersed in a </w:t>
      </w:r>
      <w:r w:rsidRPr="00DB2EAE">
        <w:rPr>
          <w:i/>
          <w:iCs/>
        </w:rPr>
        <w:t>mikvah</w:t>
      </w:r>
      <w:r>
        <w:t xml:space="preserve"> is still within the bounds of their observant lifestyle.</w:t>
      </w:r>
      <w:r w:rsidRPr="00B02799">
        <w:rPr>
          <w:rStyle w:val="FootnoteReference"/>
        </w:rPr>
        <w:footnoteReference w:id="6"/>
      </w:r>
      <w:r>
        <w:t xml:space="preserve"> This practice is one of the ways these couples navigate the conflict inherent in the reality of their lived experience as both Orthodox Jews and sexually active singles.</w:t>
      </w:r>
    </w:p>
    <w:p w14:paraId="23E1C81D" w14:textId="77777777" w:rsidR="00BF4F98" w:rsidRDefault="00BF4F98" w:rsidP="00BF4F98">
      <w:r>
        <w:t xml:space="preserve">I have encountered observant couples who began using </w:t>
      </w:r>
      <w:r w:rsidRPr="00DB2EAE">
        <w:rPr>
          <w:i/>
          <w:iCs/>
        </w:rPr>
        <w:t>mikvah</w:t>
      </w:r>
      <w:r>
        <w:t xml:space="preserve"> before marriage and continued to do so once married and others who were sexually active but deliberately decided to wait before beginning to use the </w:t>
      </w:r>
      <w:r w:rsidRPr="00B02799">
        <w:rPr>
          <w:i/>
          <w:iCs/>
        </w:rPr>
        <w:t>mikvah</w:t>
      </w:r>
      <w:r>
        <w:t xml:space="preserve"> in order to distinguish non-marital from marital sexual relations, using </w:t>
      </w:r>
      <w:r w:rsidRPr="00DB2EAE">
        <w:rPr>
          <w:i/>
          <w:iCs/>
        </w:rPr>
        <w:t>mikvah</w:t>
      </w:r>
      <w:r>
        <w:t xml:space="preserve"> as a frame for their commitment to a Jewish marriage.</w:t>
      </w:r>
    </w:p>
    <w:p w14:paraId="27C6B630" w14:textId="6E51EF81" w:rsidR="00BF4F98" w:rsidRDefault="00BF4F98" w:rsidP="00BF4F98">
      <w:r>
        <w:t xml:space="preserve">Not surprisingly, this practice is most prevalent in cities where there are large clusters of religious singles; this allows more anonymity around </w:t>
      </w:r>
      <w:r w:rsidRPr="00DB2EAE">
        <w:rPr>
          <w:i/>
          <w:iCs/>
        </w:rPr>
        <w:t>mikvah</w:t>
      </w:r>
      <w:r>
        <w:t xml:space="preserve"> use than in smaller communities (and in the past) when the community could monitor closely who was using the </w:t>
      </w:r>
      <w:r w:rsidRPr="00DB2EAE">
        <w:rPr>
          <w:i/>
          <w:iCs/>
        </w:rPr>
        <w:t>mikvah</w:t>
      </w:r>
      <w:r>
        <w:t>.</w:t>
      </w:r>
    </w:p>
    <w:p w14:paraId="56728E7C" w14:textId="77777777" w:rsidR="00897402" w:rsidRDefault="00897402" w:rsidP="00897402">
      <w:pPr>
        <w:rPr>
          <w:b/>
          <w:bCs/>
        </w:rPr>
      </w:pPr>
    </w:p>
    <w:p w14:paraId="1216CE47" w14:textId="0E5FD2E1" w:rsidR="00897402" w:rsidRPr="00897402" w:rsidRDefault="00897402" w:rsidP="00897402">
      <w:pPr>
        <w:pStyle w:val="Heading2"/>
      </w:pPr>
      <w:r w:rsidRPr="00897402">
        <w:t xml:space="preserve">Summary of the Opinions </w:t>
      </w:r>
      <w:r w:rsidR="00F326D1">
        <w:t>A</w:t>
      </w:r>
      <w:r w:rsidRPr="00897402">
        <w:t xml:space="preserve">bout </w:t>
      </w:r>
      <w:r w:rsidRPr="00897402">
        <w:t xml:space="preserve">Non-marital </w:t>
      </w:r>
      <w:r w:rsidRPr="00897402">
        <w:t>S</w:t>
      </w:r>
      <w:r w:rsidRPr="00897402">
        <w:t xml:space="preserve">exual </w:t>
      </w:r>
      <w:r w:rsidRPr="00897402">
        <w:t>R</w:t>
      </w:r>
      <w:r w:rsidRPr="00897402">
        <w:t>elations</w:t>
      </w:r>
    </w:p>
    <w:p w14:paraId="2F56645F" w14:textId="0E61FC70" w:rsidR="00897402" w:rsidRDefault="00897402" w:rsidP="00897402">
      <w:pPr>
        <w:numPr>
          <w:ilvl w:val="0"/>
          <w:numId w:val="24"/>
        </w:numPr>
      </w:pPr>
      <w:r w:rsidRPr="00897402">
        <w:t>Non-</w:t>
      </w:r>
      <w:r w:rsidRPr="00897402">
        <w:t>m</w:t>
      </w:r>
      <w:r w:rsidRPr="00897402">
        <w:t xml:space="preserve">arital </w:t>
      </w:r>
      <w:r w:rsidRPr="00897402">
        <w:t>s</w:t>
      </w:r>
      <w:r w:rsidRPr="00897402">
        <w:t xml:space="preserve">exual </w:t>
      </w:r>
      <w:r w:rsidRPr="00897402">
        <w:t>r</w:t>
      </w:r>
      <w:r w:rsidRPr="00897402">
        <w:t>elations</w:t>
      </w:r>
      <w:r>
        <w:t xml:space="preserve"> </w:t>
      </w:r>
      <w:r>
        <w:t xml:space="preserve">defined as penetrative sex, (anal or vaginal), carry the greatest degree of halakhic consequence if the woman is </w:t>
      </w:r>
      <w:r w:rsidRPr="00C65A47">
        <w:rPr>
          <w:i/>
          <w:iCs/>
        </w:rPr>
        <w:t xml:space="preserve">niddah </w:t>
      </w:r>
      <w:r>
        <w:t xml:space="preserve">since the punishment for such relations is </w:t>
      </w:r>
      <w:r w:rsidRPr="009951F2">
        <w:rPr>
          <w:i/>
          <w:iCs/>
        </w:rPr>
        <w:t>karet</w:t>
      </w:r>
      <w:r>
        <w:t>.</w:t>
      </w:r>
    </w:p>
    <w:p w14:paraId="205565C8" w14:textId="77777777" w:rsidR="00897402" w:rsidRDefault="00897402" w:rsidP="00897402">
      <w:pPr>
        <w:numPr>
          <w:ilvl w:val="0"/>
          <w:numId w:val="24"/>
        </w:numPr>
      </w:pPr>
      <w:r>
        <w:t xml:space="preserve">If one has relations with an unmarried woman who is not </w:t>
      </w:r>
      <w:r w:rsidRPr="00712019">
        <w:rPr>
          <w:i/>
          <w:iCs/>
        </w:rPr>
        <w:t>niddah</w:t>
      </w:r>
      <w:r>
        <w:t xml:space="preserve">, it still violates a biblical transgression of </w:t>
      </w:r>
      <w:r w:rsidRPr="003878DB">
        <w:rPr>
          <w:i/>
          <w:iCs/>
        </w:rPr>
        <w:t>kadesha</w:t>
      </w:r>
      <w:r>
        <w:t xml:space="preserve"> according to Maimonides (as explained above). It would be </w:t>
      </w:r>
      <w:r>
        <w:lastRenderedPageBreak/>
        <w:t>difficult to find public rabbinic sanction</w:t>
      </w:r>
      <w:r w:rsidDel="0003004B">
        <w:t xml:space="preserve"> </w:t>
      </w:r>
      <w:r>
        <w:t>for a committed, monogamous relationship between unmarried people, but there are those throughout halakhic history who have ruled like the Raavad and argued that such a relationship does not violate any explicit prohibitions.</w:t>
      </w:r>
    </w:p>
    <w:p w14:paraId="69D73AFD" w14:textId="77777777" w:rsidR="00BF4F98" w:rsidRDefault="00BF4F98" w:rsidP="00BF4F98">
      <w:pPr>
        <w:pStyle w:val="Heading1"/>
      </w:pPr>
      <w:r>
        <w:t>Other Aspects of Non-Marital Sexuality</w:t>
      </w:r>
    </w:p>
    <w:p w14:paraId="00FEE5DD" w14:textId="77777777" w:rsidR="00BF4F98" w:rsidRDefault="00BF4F98" w:rsidP="00BF4F98">
      <w:pPr>
        <w:pStyle w:val="Heading2"/>
      </w:pPr>
      <w:r w:rsidRPr="00294F74">
        <w:t xml:space="preserve">Expectations of </w:t>
      </w:r>
      <w:r>
        <w:t>V</w:t>
      </w:r>
      <w:r w:rsidRPr="00294F74">
        <w:t>irginity</w:t>
      </w:r>
    </w:p>
    <w:p w14:paraId="4DC4FC9E" w14:textId="7DCE0B15" w:rsidR="00BF4F98" w:rsidRDefault="00BF4F98" w:rsidP="00BF4F98">
      <w:r>
        <w:rPr>
          <w:rFonts w:hint="cs"/>
        </w:rPr>
        <w:t>T</w:t>
      </w:r>
      <w:r>
        <w:t xml:space="preserve">here are </w:t>
      </w:r>
      <w:r>
        <w:rPr>
          <w:lang w:bidi="he-IL"/>
        </w:rPr>
        <w:t>several other</w:t>
      </w:r>
      <w:r>
        <w:t xml:space="preserve"> aspects to consider when thinking about non-marital sexuality that are quasi-halakhic and nonetheless prevalent in the discourse</w:t>
      </w:r>
      <w:r w:rsidRPr="00E95CBC">
        <w:t xml:space="preserve"> </w:t>
      </w:r>
      <w:r>
        <w:t>in the Modern Orthodox community. Virginity, particularly for women, is a religious expectation that is expressed in the Jewish marriage contract (</w:t>
      </w:r>
      <w:r w:rsidRPr="004130F7">
        <w:rPr>
          <w:i/>
          <w:iCs/>
        </w:rPr>
        <w:t>ketubah</w:t>
      </w:r>
      <w:r>
        <w:t xml:space="preserve">). Specifically, </w:t>
      </w:r>
      <w:r w:rsidRPr="002A39C9">
        <w:t>the</w:t>
      </w:r>
      <w:r>
        <w:t xml:space="preserve"> </w:t>
      </w:r>
      <w:r w:rsidR="00897402" w:rsidRPr="00897402">
        <w:rPr>
          <w:i/>
          <w:iCs/>
        </w:rPr>
        <w:t>halakhah</w:t>
      </w:r>
      <w:r>
        <w:t xml:space="preserve"> mandates that the minimal</w:t>
      </w:r>
      <w:r w:rsidRPr="002A39C9">
        <w:t xml:space="preserve"> </w:t>
      </w:r>
      <w:r w:rsidRPr="002A39C9">
        <w:rPr>
          <w:i/>
          <w:iCs/>
        </w:rPr>
        <w:t>ketubah</w:t>
      </w:r>
      <w:r w:rsidRPr="002A39C9">
        <w:t xml:space="preserve"> of a virgin is twice as much as that of a non-virgin</w:t>
      </w:r>
      <w:r>
        <w:t xml:space="preserve">. The language of the </w:t>
      </w:r>
      <w:r w:rsidRPr="00B02799">
        <w:rPr>
          <w:i/>
          <w:iCs/>
        </w:rPr>
        <w:t>ketubah</w:t>
      </w:r>
      <w:r>
        <w:t xml:space="preserve"> of a previously unmarried woman thus refers to the bride as a virgin.</w:t>
      </w:r>
      <w:commentRangeStart w:id="28"/>
      <w:r>
        <w:t xml:space="preserve"> One of the educational tactics used in religious education is to tell young women that the public reading of the </w:t>
      </w:r>
      <w:r w:rsidRPr="00B02799">
        <w:rPr>
          <w:i/>
          <w:iCs/>
        </w:rPr>
        <w:t>ketubah</w:t>
      </w:r>
      <w:r>
        <w:t xml:space="preserve"> at her wedding is a declaration of her chastity and if she is not a virgin, the </w:t>
      </w:r>
      <w:r w:rsidRPr="00B02799">
        <w:rPr>
          <w:i/>
          <w:iCs/>
        </w:rPr>
        <w:t>ketubah</w:t>
      </w:r>
      <w:r>
        <w:t xml:space="preserve"> will be adjusted to reflect that. This is more a scare tactic </w:t>
      </w:r>
      <w:r>
        <w:t>th</w:t>
      </w:r>
      <w:r>
        <w:t>a</w:t>
      </w:r>
      <w:r>
        <w:t xml:space="preserve">n </w:t>
      </w:r>
      <w:r>
        <w:t xml:space="preserve">a true threat since </w:t>
      </w:r>
      <w:r w:rsidRPr="002739B2">
        <w:t xml:space="preserve">the </w:t>
      </w:r>
      <w:r w:rsidRPr="002739B2">
        <w:rPr>
          <w:i/>
          <w:iCs/>
        </w:rPr>
        <w:t>ketubah</w:t>
      </w:r>
      <w:r w:rsidRPr="002739B2">
        <w:t xml:space="preserve"> is a contract between husband and wife</w:t>
      </w:r>
      <w:r>
        <w:t xml:space="preserve"> and if </w:t>
      </w:r>
      <w:r w:rsidRPr="002739B2">
        <w:t xml:space="preserve">the husband </w:t>
      </w:r>
      <w:r>
        <w:t>does not object, the</w:t>
      </w:r>
      <w:r w:rsidRPr="002739B2">
        <w:t xml:space="preserve"> information </w:t>
      </w:r>
      <w:r>
        <w:t xml:space="preserve">in it </w:t>
      </w:r>
      <w:r w:rsidRPr="002739B2">
        <w:t xml:space="preserve">about </w:t>
      </w:r>
      <w:r>
        <w:t xml:space="preserve">the </w:t>
      </w:r>
      <w:r w:rsidRPr="002739B2">
        <w:t xml:space="preserve">woman’s virginity does not have to be factual and her prior sexual experience </w:t>
      </w:r>
      <w:r>
        <w:t xml:space="preserve">need </w:t>
      </w:r>
      <w:r w:rsidRPr="002739B2">
        <w:t xml:space="preserve">not </w:t>
      </w:r>
      <w:r>
        <w:t xml:space="preserve">be </w:t>
      </w:r>
      <w:r w:rsidRPr="002739B2">
        <w:t>a matter of public record.</w:t>
      </w:r>
      <w:r w:rsidRPr="002739B2">
        <w:rPr>
          <w:vertAlign w:val="superscript"/>
        </w:rPr>
        <w:footnoteReference w:id="7"/>
      </w:r>
      <w:r w:rsidRPr="004130F7">
        <w:t xml:space="preserve"> </w:t>
      </w:r>
      <w:r>
        <w:t xml:space="preserve">Since many young women are ignorant of this </w:t>
      </w:r>
      <w:r w:rsidRPr="00DF6B20">
        <w:rPr>
          <w:i/>
          <w:iCs/>
        </w:rPr>
        <w:t>halakhic</w:t>
      </w:r>
      <w:r>
        <w:t xml:space="preserve"> reality, the threat of being exposed in the </w:t>
      </w:r>
      <w:r w:rsidRPr="00DF6B20">
        <w:rPr>
          <w:i/>
          <w:iCs/>
        </w:rPr>
        <w:t>ketubah</w:t>
      </w:r>
      <w:r>
        <w:t xml:space="preserve"> is a real one.</w:t>
      </w:r>
      <w:commentRangeEnd w:id="28"/>
      <w:r>
        <w:rPr>
          <w:rStyle w:val="CommentReference"/>
        </w:rPr>
        <w:commentReference w:id="28"/>
      </w:r>
    </w:p>
    <w:p w14:paraId="191C0F1F" w14:textId="77777777" w:rsidR="00BF4F98" w:rsidRDefault="00BF4F98" w:rsidP="00BF4F98">
      <w:r>
        <w:t>T</w:t>
      </w:r>
      <w:r w:rsidRPr="006146CE">
        <w:t xml:space="preserve">his misconception has </w:t>
      </w:r>
      <w:r>
        <w:t xml:space="preserve">also </w:t>
      </w:r>
      <w:r w:rsidRPr="006146CE">
        <w:t>led to situations where religious couples choose to engage in oral and anal sexual relations to preserve the woman’s virginity</w:t>
      </w:r>
      <w:r>
        <w:t xml:space="preserve"> out of fear that her </w:t>
      </w:r>
      <w:r w:rsidRPr="00DF6B20">
        <w:rPr>
          <w:i/>
          <w:iCs/>
        </w:rPr>
        <w:t>ketubah</w:t>
      </w:r>
      <w:r>
        <w:t xml:space="preserve"> not be compromised, or because they believe that by refraining from vaginal intercourse they escape the punishment of </w:t>
      </w:r>
      <w:r w:rsidRPr="00DF6B20">
        <w:rPr>
          <w:i/>
          <w:iCs/>
        </w:rPr>
        <w:t>karet</w:t>
      </w:r>
      <w:r>
        <w:t xml:space="preserve">, </w:t>
      </w:r>
      <w:commentRangeStart w:id="29"/>
      <w:r>
        <w:t xml:space="preserve">unknowing that also anal intercourse incurs that punishment. </w:t>
      </w:r>
      <w:commentRangeEnd w:id="29"/>
      <w:r>
        <w:rPr>
          <w:rStyle w:val="CommentReference"/>
        </w:rPr>
        <w:commentReference w:id="29"/>
      </w:r>
      <w:commentRangeStart w:id="30"/>
      <w:r>
        <w:t>They may do so considering the broader questions of mutual pleasure and whether this behavior is preferable.</w:t>
      </w:r>
      <w:commentRangeEnd w:id="30"/>
      <w:r>
        <w:rPr>
          <w:rStyle w:val="CommentReference"/>
        </w:rPr>
        <w:commentReference w:id="30"/>
      </w:r>
      <w:r>
        <w:t xml:space="preserve"> </w:t>
      </w:r>
      <w:r>
        <w:lastRenderedPageBreak/>
        <w:t xml:space="preserve">In the last part of this chapter, the question of intentional, consensual </w:t>
      </w:r>
      <w:r>
        <w:t>decision</w:t>
      </w:r>
      <w:r>
        <w:t xml:space="preserve"> making around sexual behavior in light of religious education will be addressed.</w:t>
      </w:r>
    </w:p>
    <w:p w14:paraId="647CCF68" w14:textId="77777777" w:rsidR="00BF4F98" w:rsidRDefault="00BF4F98" w:rsidP="00BF4F98">
      <w:pPr>
        <w:pStyle w:val="Heading2"/>
      </w:pPr>
      <w:r>
        <w:t>Fear of M</w:t>
      </w:r>
      <w:r w:rsidRPr="00096E74">
        <w:t>amzerut</w:t>
      </w:r>
    </w:p>
    <w:p w14:paraId="232DBCFF" w14:textId="14FE117F" w:rsidR="00BF4F98" w:rsidRPr="002739B2" w:rsidRDefault="00BF4F98" w:rsidP="00BF4F98">
      <w:r>
        <w:t>Y</w:t>
      </w:r>
      <w:r w:rsidRPr="002739B2">
        <w:t xml:space="preserve">oung women </w:t>
      </w:r>
      <w:r>
        <w:t xml:space="preserve">are sometimes </w:t>
      </w:r>
      <w:r w:rsidRPr="002739B2">
        <w:t xml:space="preserve">led to believe that if they become pregnant out of wedlock, the child will be stigmatized as </w:t>
      </w:r>
      <w:r w:rsidRPr="002739B2">
        <w:rPr>
          <w:i/>
        </w:rPr>
        <w:t>mamzer</w:t>
      </w:r>
      <w:r w:rsidRPr="002739B2">
        <w:t xml:space="preserve">, inaccurately translated as </w:t>
      </w:r>
      <w:r>
        <w:t>‘</w:t>
      </w:r>
      <w:r w:rsidRPr="002739B2">
        <w:t>bastard</w:t>
      </w:r>
      <w:r>
        <w:t>,’</w:t>
      </w:r>
      <w:r w:rsidRPr="002739B2">
        <w:t xml:space="preserve"> which in English does mean a child born out of wedlock. The threat of</w:t>
      </w:r>
      <w:r>
        <w:t xml:space="preserve"> one’s child being</w:t>
      </w:r>
      <w:r w:rsidRPr="002739B2">
        <w:t xml:space="preserve"> </w:t>
      </w:r>
      <w:r w:rsidRPr="002739B2">
        <w:rPr>
          <w:i/>
          <w:iCs/>
        </w:rPr>
        <w:t>mamzer</w:t>
      </w:r>
      <w:r w:rsidRPr="002739B2">
        <w:t xml:space="preserve"> is </w:t>
      </w:r>
      <w:r>
        <w:t>significant</w:t>
      </w:r>
      <w:r w:rsidRPr="002739B2">
        <w:t xml:space="preserve"> since a child </w:t>
      </w:r>
      <w:r>
        <w:t>categorized as such</w:t>
      </w:r>
      <w:r>
        <w:rPr>
          <w:i/>
          <w:iCs/>
        </w:rPr>
        <w:t xml:space="preserve"> </w:t>
      </w:r>
      <w:r>
        <w:t>is halakhically permitted to marry</w:t>
      </w:r>
      <w:r w:rsidRPr="002739B2">
        <w:t xml:space="preserve"> </w:t>
      </w:r>
      <w:r>
        <w:t xml:space="preserve">only other </w:t>
      </w:r>
      <w:r w:rsidRPr="00B02799">
        <w:rPr>
          <w:i/>
          <w:iCs/>
        </w:rPr>
        <w:t>mamzers</w:t>
      </w:r>
      <w:r>
        <w:t xml:space="preserve"> (or converts) and the children of that marriage will also be </w:t>
      </w:r>
      <w:r w:rsidRPr="002739B2">
        <w:rPr>
          <w:i/>
          <w:iCs/>
        </w:rPr>
        <w:t>mamzers</w:t>
      </w:r>
      <w:r w:rsidRPr="002739B2">
        <w:t xml:space="preserve"> </w:t>
      </w:r>
      <w:r>
        <w:t>with the same strictures, ensuring that the status</w:t>
      </w:r>
      <w:r w:rsidRPr="002739B2">
        <w:t xml:space="preserve"> is forever passed on. </w:t>
      </w:r>
      <w:r>
        <w:t xml:space="preserve">However, in </w:t>
      </w:r>
      <w:r w:rsidR="00897402" w:rsidRPr="00897402">
        <w:rPr>
          <w:i/>
          <w:iCs/>
        </w:rPr>
        <w:t>halakhah</w:t>
      </w:r>
      <w:r>
        <w:t xml:space="preserve">, this tragic status is limited to </w:t>
      </w:r>
      <w:r w:rsidRPr="002739B2">
        <w:t>the child of an adulterous or incestuous sexual relationship</w:t>
      </w:r>
      <w:r>
        <w:t>. T</w:t>
      </w:r>
      <w:r w:rsidRPr="002739B2">
        <w:t xml:space="preserve">he product of a non-marital relationship </w:t>
      </w:r>
      <w:r>
        <w:t>or</w:t>
      </w:r>
      <w:r w:rsidRPr="002739B2">
        <w:t xml:space="preserve"> of a woman who has sexual relations when </w:t>
      </w:r>
      <w:r w:rsidRPr="00712019">
        <w:rPr>
          <w:i/>
          <w:iCs/>
        </w:rPr>
        <w:t>niddah</w:t>
      </w:r>
      <w:r>
        <w:rPr>
          <w:i/>
          <w:iCs/>
        </w:rPr>
        <w:t xml:space="preserve"> </w:t>
      </w:r>
      <w:r>
        <w:t xml:space="preserve">is not a </w:t>
      </w:r>
      <w:r w:rsidRPr="00B02799">
        <w:rPr>
          <w:i/>
          <w:iCs/>
        </w:rPr>
        <w:t>mamzer</w:t>
      </w:r>
      <w:r>
        <w:t>, and the afore-mentioned fear is unfounded</w:t>
      </w:r>
      <w:r w:rsidRPr="002739B2">
        <w:t xml:space="preserve">. Nonetheless, the possibility of giving birth to a </w:t>
      </w:r>
      <w:r w:rsidRPr="002739B2">
        <w:rPr>
          <w:i/>
          <w:iCs/>
        </w:rPr>
        <w:t>mamzer</w:t>
      </w:r>
      <w:r>
        <w:rPr>
          <w:i/>
          <w:iCs/>
        </w:rPr>
        <w:t>,</w:t>
      </w:r>
      <w:r w:rsidRPr="002739B2">
        <w:t xml:space="preserve"> </w:t>
      </w:r>
      <w:r>
        <w:t xml:space="preserve">since it </w:t>
      </w:r>
      <w:r w:rsidRPr="002739B2">
        <w:t>is vaguely associated with all illicit sexual relations</w:t>
      </w:r>
      <w:r>
        <w:t>,</w:t>
      </w:r>
      <w:r w:rsidRPr="002739B2">
        <w:t xml:space="preserve"> adds to the stigma around </w:t>
      </w:r>
      <w:r>
        <w:t>pre-</w:t>
      </w:r>
      <w:r w:rsidRPr="002739B2">
        <w:t>marital sex.</w:t>
      </w:r>
    </w:p>
    <w:p w14:paraId="2CB851EA" w14:textId="77777777" w:rsidR="00BF4F98" w:rsidRPr="006146CE" w:rsidRDefault="00BF4F98" w:rsidP="00BF4F98">
      <w:pPr>
        <w:pStyle w:val="Heading2"/>
      </w:pPr>
      <w:commentRangeStart w:id="31"/>
      <w:r w:rsidRPr="006146CE">
        <w:t>Masturbation</w:t>
      </w:r>
    </w:p>
    <w:p w14:paraId="362B383A" w14:textId="77777777" w:rsidR="00BF4F98" w:rsidRDefault="00BF4F98" w:rsidP="00BF4F98">
      <w:r w:rsidRPr="00E13AB2">
        <w:t xml:space="preserve">A man is prohibited from </w:t>
      </w:r>
      <w:r>
        <w:t>masturbating, especially when that results in ejaculation</w:t>
      </w:r>
      <w:r w:rsidRPr="00E13AB2">
        <w:t xml:space="preserve"> outside</w:t>
      </w:r>
      <w:r>
        <w:t xml:space="preserve"> the context</w:t>
      </w:r>
      <w:r w:rsidRPr="00E13AB2">
        <w:t xml:space="preserve"> of sexual relations</w:t>
      </w:r>
      <w:r>
        <w:t xml:space="preserve"> with his wife.</w:t>
      </w:r>
      <w:r w:rsidRPr="00E13AB2">
        <w:t xml:space="preserve"> </w:t>
      </w:r>
      <w:r>
        <w:t xml:space="preserve">A man who deliberately stimulates himself for sexual pleasure culminating in ejaculation is described as wasting seed. The </w:t>
      </w:r>
      <w:r w:rsidRPr="00E13AB2">
        <w:t>primary source material for this prohibition is vague</w:t>
      </w:r>
      <w:r>
        <w:t>.</w:t>
      </w:r>
      <w:r w:rsidRPr="00E13AB2">
        <w:rPr>
          <w:vertAlign w:val="superscript"/>
        </w:rPr>
        <w:footnoteReference w:id="8"/>
      </w:r>
      <w:r w:rsidRPr="00E13AB2">
        <w:t xml:space="preserve"> </w:t>
      </w:r>
      <w:r>
        <w:t xml:space="preserve">In </w:t>
      </w:r>
      <w:commentRangeStart w:id="32"/>
      <w:r>
        <w:t xml:space="preserve">some later </w:t>
      </w:r>
      <w:commentRangeEnd w:id="32"/>
      <w:r>
        <w:rPr>
          <w:rStyle w:val="CommentReference"/>
        </w:rPr>
        <w:commentReference w:id="32"/>
      </w:r>
      <w:r>
        <w:t xml:space="preserve">religious texts, the avoidance of masturbation is called </w:t>
      </w:r>
      <w:r w:rsidRPr="00E13AB2">
        <w:rPr>
          <w:i/>
          <w:iCs/>
        </w:rPr>
        <w:t>shmirat habrit</w:t>
      </w:r>
      <w:r>
        <w:rPr>
          <w:i/>
          <w:iCs/>
        </w:rPr>
        <w:t>,</w:t>
      </w:r>
      <w:r>
        <w:t xml:space="preserve"> or guarding the covenant. This is meant to reflect a man’s commitment to his covenant with God as expressed through the central rite of circumcision, symbolizing sexual self-control. </w:t>
      </w:r>
      <w:r w:rsidRPr="008411FF">
        <w:t>It is beyond the scope of this book to present an analysis of those sources</w:t>
      </w:r>
      <w:r>
        <w:t>.</w:t>
      </w:r>
      <w:commentRangeStart w:id="33"/>
      <w:r w:rsidRPr="008411FF">
        <w:rPr>
          <w:rStyle w:val="FootnoteReference"/>
        </w:rPr>
        <w:footnoteReference w:id="9"/>
      </w:r>
      <w:commentRangeEnd w:id="33"/>
      <w:r>
        <w:rPr>
          <w:rStyle w:val="CommentReference"/>
        </w:rPr>
        <w:commentReference w:id="33"/>
      </w:r>
      <w:r>
        <w:t xml:space="preserve"> The Zohar’s extreme position, equating masturbation with a transgression worse than all others,</w:t>
      </w:r>
      <w:r w:rsidRPr="00E13AB2">
        <w:t xml:space="preserve"> has had a tremendous impact on attitudes </w:t>
      </w:r>
      <w:r>
        <w:t>toward</w:t>
      </w:r>
      <w:r w:rsidRPr="00E13AB2">
        <w:t xml:space="preserve"> male sexuality and masturbation.</w:t>
      </w:r>
    </w:p>
    <w:p w14:paraId="3318E815" w14:textId="219A5148" w:rsidR="00BF4F98" w:rsidRDefault="00BF4F98" w:rsidP="00BF4F98">
      <w:r w:rsidRPr="002739B2">
        <w:lastRenderedPageBreak/>
        <w:t xml:space="preserve">Female masturbation is sparsely mentioned in rabbinic sources. </w:t>
      </w:r>
      <w:r>
        <w:t>T</w:t>
      </w:r>
      <w:r w:rsidRPr="002739B2">
        <w:t xml:space="preserve">here is a difference of opinion in the Rishonim </w:t>
      </w:r>
      <w:r>
        <w:t>regarding whether it is permitted but it is not mentioned</w:t>
      </w:r>
      <w:r w:rsidRPr="002739B2">
        <w:t xml:space="preserve"> at all in </w:t>
      </w:r>
      <w:r w:rsidR="00897402" w:rsidRPr="00897402">
        <w:rPr>
          <w:i/>
          <w:iCs/>
        </w:rPr>
        <w:t>Shulhan Arukh</w:t>
      </w:r>
      <w:r w:rsidRPr="002739B2">
        <w:t>. The majority opinion is that since a woman experiencing sexual pleasure does not involve wasted seed, female masturbation is not prohibited.</w:t>
      </w:r>
      <w:r>
        <w:t xml:space="preserve"> Nonetheless, there is an air of uncomfortable disapproving silence on the topic, reinforcing the attitude that sexual self-gratification is to be avoided even if not overtly forbidden.</w:t>
      </w:r>
      <w:commentRangeEnd w:id="31"/>
      <w:r>
        <w:rPr>
          <w:rStyle w:val="CommentReference"/>
        </w:rPr>
        <w:commentReference w:id="31"/>
      </w:r>
    </w:p>
    <w:p w14:paraId="5D8C2D64" w14:textId="77777777" w:rsidR="00BF4F98" w:rsidRPr="00096E74" w:rsidRDefault="00BF4F98" w:rsidP="00BF4F98">
      <w:pPr>
        <w:pStyle w:val="Heading2"/>
      </w:pPr>
      <w:r w:rsidRPr="00E73F96">
        <w:t>Unsanctioned Sexual Urges</w:t>
      </w:r>
    </w:p>
    <w:p w14:paraId="65B64545" w14:textId="77777777" w:rsidR="00BF4F98" w:rsidRPr="00E73F96" w:rsidRDefault="00BF4F98" w:rsidP="00BF4F98">
      <w:r>
        <w:t>S</w:t>
      </w:r>
      <w:r w:rsidRPr="00E73F96">
        <w:t>tories about unsanctioned and illicit sexual urges</w:t>
      </w:r>
      <w:r>
        <w:t xml:space="preserve"> appear throughout rabbinic literature</w:t>
      </w:r>
      <w:r w:rsidRPr="00E73F96">
        <w:t xml:space="preserve">. </w:t>
      </w:r>
      <w:commentRangeStart w:id="34"/>
      <w:r w:rsidRPr="00E73F96">
        <w:t>Rarely is a solution</w:t>
      </w:r>
      <w:commentRangeEnd w:id="34"/>
      <w:r>
        <w:rPr>
          <w:rStyle w:val="CommentReference"/>
        </w:rPr>
        <w:commentReference w:id="34"/>
      </w:r>
      <w:r w:rsidRPr="00E73F96">
        <w:t xml:space="preserve"> offered and often, the protagonist shows heroic discipline in refraining from </w:t>
      </w:r>
      <w:r>
        <w:t>sin</w:t>
      </w:r>
      <w:r w:rsidRPr="00E73F96">
        <w:t xml:space="preserve">. However, in the text below, an outlet is sanctioned for a man who </w:t>
      </w:r>
      <w:r>
        <w:t>is</w:t>
      </w:r>
      <w:r w:rsidRPr="00E73F96">
        <w:t xml:space="preserve"> </w:t>
      </w:r>
      <w:r>
        <w:t>overcome by his desire</w:t>
      </w:r>
      <w:r w:rsidRPr="00E73F96">
        <w:t>.</w:t>
      </w:r>
    </w:p>
    <w:p w14:paraId="1C8C5025" w14:textId="77777777" w:rsidR="00BF4F98" w:rsidRPr="00E73F96" w:rsidRDefault="00BF4F98" w:rsidP="00BF4F98"/>
    <w:tbl>
      <w:tblPr>
        <w:tblStyle w:val="TableGrid"/>
        <w:tblW w:w="0" w:type="auto"/>
        <w:tblLook w:val="04A0" w:firstRow="1" w:lastRow="0" w:firstColumn="1" w:lastColumn="0" w:noHBand="0" w:noVBand="1"/>
      </w:tblPr>
      <w:tblGrid>
        <w:gridCol w:w="6075"/>
        <w:gridCol w:w="3275"/>
      </w:tblGrid>
      <w:tr w:rsidR="00BF4F98" w14:paraId="3B310103" w14:textId="77777777" w:rsidTr="00B02799">
        <w:tc>
          <w:tcPr>
            <w:tcW w:w="6228" w:type="dxa"/>
          </w:tcPr>
          <w:p w14:paraId="4DEB5A61" w14:textId="77777777" w:rsidR="00BF4F98" w:rsidRPr="00DF6B20" w:rsidRDefault="00BF4F98" w:rsidP="00B02799">
            <w:pPr>
              <w:pStyle w:val="Source"/>
            </w:pPr>
            <w:commentRangeStart w:id="35"/>
            <w:r>
              <w:t xml:space="preserve">Tractate </w:t>
            </w:r>
            <w:r w:rsidRPr="00DF6B20">
              <w:t>Kiddushin 40a</w:t>
            </w:r>
            <w:commentRangeEnd w:id="35"/>
            <w:r>
              <w:rPr>
                <w:rStyle w:val="CommentReference"/>
                <w:b w:val="0"/>
                <w:bCs w:val="0"/>
                <w:u w:val="none"/>
              </w:rPr>
              <w:commentReference w:id="35"/>
            </w:r>
          </w:p>
          <w:p w14:paraId="58F72B41" w14:textId="77777777" w:rsidR="00BF4F98" w:rsidRPr="00BC58CA" w:rsidRDefault="00BF4F98" w:rsidP="00B02799">
            <w:hyperlink r:id="rId11" w:history="1">
              <w:r w:rsidRPr="00DF6B20">
                <w:rPr>
                  <w:rStyle w:val="Hyperlink"/>
                </w:rPr>
                <w:t>Rabbi Ilai</w:t>
              </w:r>
            </w:hyperlink>
            <w:r w:rsidRPr="00DF6B20">
              <w:t xml:space="preserve"> the Elder says: If a person sees that his</w:t>
            </w:r>
            <w:r w:rsidRPr="00BC58CA">
              <w:t xml:space="preserve"> evil </w:t>
            </w:r>
            <w:r w:rsidRPr="00DF6B20">
              <w:t>inclination is overcoming him, he should go to a place where he is not known and wear black</w:t>
            </w:r>
            <w:r w:rsidRPr="00BC58CA">
              <w:t xml:space="preserve"> clothes, </w:t>
            </w:r>
            <w:r w:rsidRPr="00DF6B20">
              <w:t>and he should cover himself in</w:t>
            </w:r>
            <w:r w:rsidRPr="00BC58CA">
              <w:t xml:space="preserve"> simple </w:t>
            </w:r>
            <w:r w:rsidRPr="00DF6B20">
              <w:t>black</w:t>
            </w:r>
            <w:r w:rsidRPr="00BC58CA">
              <w:t xml:space="preserve"> garments, </w:t>
            </w:r>
            <w:r w:rsidRPr="00DF6B20">
              <w:t>and he should do as his heart desires, but he should not desecrate the name of Heaven in public.</w:t>
            </w:r>
          </w:p>
        </w:tc>
        <w:tc>
          <w:tcPr>
            <w:tcW w:w="3348" w:type="dxa"/>
          </w:tcPr>
          <w:p w14:paraId="1D434BA9" w14:textId="77777777" w:rsidR="00BF4F98" w:rsidRDefault="00BF4F98" w:rsidP="00B02799">
            <w:pPr>
              <w:pStyle w:val="Source"/>
              <w:bidi/>
            </w:pPr>
            <w:r>
              <w:rPr>
                <w:rtl/>
              </w:rPr>
              <w:t>תלמוד בבלי מסכת קידושין דף מ עמוד א</w:t>
            </w:r>
          </w:p>
          <w:p w14:paraId="39BA4D37" w14:textId="77777777" w:rsidR="00BF4F98" w:rsidRDefault="00BF4F98" w:rsidP="00B02799">
            <w:pPr>
              <w:bidi/>
            </w:pPr>
            <w:r>
              <w:rPr>
                <w:rtl/>
              </w:rPr>
              <w:t>אמר רבי אלעאי הזקן: אם רואה אדם שיצרו מתגבר עליו, ילך למקום שאין מכירין אותו, וילבש שחורים ויתכסה שחורים ויעשה כמו שלבו חפץ, ואל יחלל שם שמים בפרהסיא</w:t>
            </w:r>
            <w:r>
              <w:t>.</w:t>
            </w:r>
          </w:p>
        </w:tc>
      </w:tr>
    </w:tbl>
    <w:p w14:paraId="6200953F" w14:textId="77777777" w:rsidR="00BF4F98" w:rsidRDefault="00BF4F98" w:rsidP="00BF4F98"/>
    <w:p w14:paraId="4B6A84D4" w14:textId="0D29AE53" w:rsidR="00BF4F98" w:rsidRPr="004D27CC" w:rsidRDefault="00BF4F98" w:rsidP="00BF4F98">
      <w:r>
        <w:t xml:space="preserve">In this source, Rabbi Ilai, who seems to be </w:t>
      </w:r>
      <w:commentRangeStart w:id="36"/>
      <w:r>
        <w:t xml:space="preserve">addressing fellow members of the Talmudic academy or possibly even himself, </w:t>
      </w:r>
      <w:commentRangeEnd w:id="36"/>
      <w:r>
        <w:rPr>
          <w:rStyle w:val="CommentReference"/>
        </w:rPr>
        <w:commentReference w:id="36"/>
      </w:r>
      <w:commentRangeStart w:id="37"/>
      <w:r>
        <w:t xml:space="preserve">acknowledges the reality of sexual urgency </w:t>
      </w:r>
      <w:commentRangeEnd w:id="37"/>
      <w:r>
        <w:rPr>
          <w:rStyle w:val="CommentReference"/>
        </w:rPr>
        <w:commentReference w:id="37"/>
      </w:r>
      <w:r>
        <w:t xml:space="preserve">and at times its overwhelming presence in a person’s life. He does not condone it, </w:t>
      </w:r>
      <w:commentRangeStart w:id="38"/>
      <w:r>
        <w:t>nor does he demand absolute restraint</w:t>
      </w:r>
      <w:commentRangeEnd w:id="38"/>
      <w:r>
        <w:rPr>
          <w:rStyle w:val="CommentReference"/>
        </w:rPr>
        <w:commentReference w:id="38"/>
      </w:r>
      <w:r>
        <w:t>.</w:t>
      </w:r>
      <w:r w:rsidR="00897402">
        <w:rPr>
          <w:rStyle w:val="CommentReference"/>
        </w:rPr>
        <w:t xml:space="preserve"> </w:t>
      </w:r>
      <w:r>
        <w:t>Rabbi Ilai presents the lesser of the evils in allowing a person to discretely find a way to surrender to his illicit sexual urges without blatantly and publicly flaunting the religious values and practices of the religious community.</w:t>
      </w:r>
    </w:p>
    <w:p w14:paraId="507684EB" w14:textId="77777777" w:rsidR="00BF4F98" w:rsidRPr="000E705C" w:rsidRDefault="00BF4F98" w:rsidP="00BF4F98">
      <w:r>
        <w:t>In the next source, despite the risk to a man’s life, the rabbis forbid any outlet for his illicit sexual desire.</w:t>
      </w:r>
    </w:p>
    <w:tbl>
      <w:tblPr>
        <w:bidiVisual/>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126"/>
      </w:tblGrid>
      <w:tr w:rsidR="00BF4F98" w:rsidRPr="001835EE" w14:paraId="63A2E6AB" w14:textId="77777777" w:rsidTr="00B02799">
        <w:tc>
          <w:tcPr>
            <w:tcW w:w="2610" w:type="dxa"/>
            <w:shd w:val="clear" w:color="auto" w:fill="auto"/>
          </w:tcPr>
          <w:p w14:paraId="6DD60548" w14:textId="77777777" w:rsidR="00BF4F98" w:rsidRPr="00DF6B20" w:rsidRDefault="00BF4F98" w:rsidP="00B02799">
            <w:pPr>
              <w:pStyle w:val="Source"/>
              <w:bidi/>
              <w:rPr>
                <w:rtl/>
              </w:rPr>
            </w:pPr>
            <w:r w:rsidRPr="00DF6B20">
              <w:rPr>
                <w:rFonts w:hint="eastAsia"/>
                <w:rtl/>
              </w:rPr>
              <w:t>סנהדרין</w:t>
            </w:r>
            <w:r w:rsidRPr="00DF6B20">
              <w:rPr>
                <w:rtl/>
              </w:rPr>
              <w:t xml:space="preserve"> </w:t>
            </w:r>
            <w:r w:rsidRPr="00DF6B20">
              <w:rPr>
                <w:rFonts w:hint="eastAsia"/>
                <w:rtl/>
              </w:rPr>
              <w:t>עה</w:t>
            </w:r>
            <w:r w:rsidRPr="00DF6B20">
              <w:rPr>
                <w:rtl/>
              </w:rPr>
              <w:t>.</w:t>
            </w:r>
          </w:p>
          <w:p w14:paraId="46959A29" w14:textId="77777777" w:rsidR="00BF4F98" w:rsidRDefault="00BF4F98" w:rsidP="00B02799">
            <w:pPr>
              <w:jc w:val="right"/>
            </w:pPr>
            <w:r>
              <w:rPr>
                <w:rtl/>
                <w:lang w:bidi="he-IL"/>
              </w:rPr>
              <w:t>תלמוד בבלי מסכת סנהדרין דף עה עמוד א</w:t>
            </w:r>
          </w:p>
          <w:p w14:paraId="7447EC3C" w14:textId="77777777" w:rsidR="00BF4F98" w:rsidRDefault="00BF4F98" w:rsidP="00B02799">
            <w:pPr>
              <w:jc w:val="right"/>
              <w:rPr>
                <w:lang w:bidi="he-IL"/>
              </w:rPr>
            </w:pPr>
            <w:r>
              <w:rPr>
                <w:rtl/>
                <w:lang w:bidi="he-IL"/>
              </w:rPr>
              <w:lastRenderedPageBreak/>
              <w:t>אמר רב יהודה אמר רב: מעשה באדם אחד שנתן עיניו באשה אחת, והעלה לבו טינא. ובאו ושאלו לרופאים, ואמרו: אין לו תקנה עד שתבעל. אמרו חכמים: ימות, ואל תבעל לו. - תעמוד לפניו ערומה? - ימות ואל תעמוד לפניו ערומה. - תספר עמו מאחורי הגדר? - ימות ולא תספר עמו מאחורי הגדר.</w:t>
            </w:r>
          </w:p>
          <w:p w14:paraId="063EB5BB" w14:textId="77777777" w:rsidR="00BF4F98" w:rsidRPr="001835EE" w:rsidRDefault="00BF4F98" w:rsidP="00B02799">
            <w:pPr>
              <w:jc w:val="right"/>
              <w:rPr>
                <w:sz w:val="20"/>
                <w:szCs w:val="20"/>
                <w:rtl/>
              </w:rPr>
            </w:pPr>
            <w:r>
              <w:rPr>
                <w:rtl/>
                <w:lang w:bidi="he-IL"/>
              </w:rPr>
              <w:t xml:space="preserve">פליגי בה רבי יעקב בר אידי ורבי שמואל בר נחמני. חד אמר: אשת איש היתה, וחד אמר: פנויה היתה. בשלמא למאן דאמר אשת איש היתה - שפיר. אלא למאן דאמר פנויה היתה מאי כולי האי? - רב פפא אמר: משום פגם משפחה. רב אחא בריה דרב איקא אמר: כדי שלא יהו בנות ישראל פרוצות בעריות. </w:t>
            </w:r>
          </w:p>
        </w:tc>
        <w:tc>
          <w:tcPr>
            <w:tcW w:w="6219" w:type="dxa"/>
            <w:shd w:val="clear" w:color="auto" w:fill="auto"/>
          </w:tcPr>
          <w:p w14:paraId="2ECE8B32" w14:textId="77777777" w:rsidR="00BF4F98" w:rsidRPr="00DF6B20" w:rsidRDefault="00BF4F98" w:rsidP="00B02799">
            <w:pPr>
              <w:pStyle w:val="Source"/>
            </w:pPr>
            <w:r>
              <w:lastRenderedPageBreak/>
              <w:t xml:space="preserve">Tractate </w:t>
            </w:r>
            <w:r w:rsidRPr="00DF6B20">
              <w:t>Sanhedrin 75a</w:t>
            </w:r>
          </w:p>
          <w:p w14:paraId="44BEC2D9" w14:textId="77777777" w:rsidR="00BF4F98" w:rsidRDefault="00BF4F98" w:rsidP="00B02799">
            <w:pPr>
              <w:pStyle w:val="en"/>
            </w:pPr>
            <w:r w:rsidRPr="00DF6B20">
              <w:t xml:space="preserve">Rav Yehuda says that Rav says: There was an incident involving a certain man who set his eyes upon a certain </w:t>
            </w:r>
            <w:r w:rsidRPr="00DF6B20">
              <w:lastRenderedPageBreak/>
              <w:t>woman and passion rose in his heart, to the point that he became deathly ill. And they came and asked doctors. And the doctors said: He will have no cure until she engages in sexual intercourse</w:t>
            </w:r>
            <w:r>
              <w:t xml:space="preserve"> with him</w:t>
            </w:r>
            <w:r w:rsidRPr="00DF6B20">
              <w:t>.</w:t>
            </w:r>
          </w:p>
          <w:p w14:paraId="6545D5D2" w14:textId="77777777" w:rsidR="00BF4F98" w:rsidRPr="00DF6B20" w:rsidRDefault="00BF4F98" w:rsidP="00B02799">
            <w:pPr>
              <w:pStyle w:val="en"/>
              <w:spacing w:before="0" w:beforeAutospacing="0" w:after="0" w:afterAutospacing="0"/>
            </w:pPr>
            <w:r w:rsidRPr="00DF6B20">
              <w:t>The Sages said: Let him die</w:t>
            </w:r>
            <w:r>
              <w:t>;</w:t>
            </w:r>
            <w:r w:rsidRPr="00DF6B20">
              <w:t xml:space="preserve"> she may not engage in sexual intercourse with him.</w:t>
            </w:r>
          </w:p>
          <w:p w14:paraId="4328D512" w14:textId="77777777" w:rsidR="00BF4F98" w:rsidRPr="00DF6B20" w:rsidRDefault="00BF4F98" w:rsidP="00B02799">
            <w:pPr>
              <w:pStyle w:val="en"/>
              <w:spacing w:before="0" w:beforeAutospacing="0" w:after="0" w:afterAutospacing="0"/>
            </w:pPr>
            <w:r>
              <w:t>May she</w:t>
            </w:r>
            <w:r w:rsidRPr="00DF6B20">
              <w:t> stand naked before him</w:t>
            </w:r>
            <w:r>
              <w:t>?</w:t>
            </w:r>
          </w:p>
          <w:p w14:paraId="1082F014" w14:textId="77777777" w:rsidR="00BF4F98" w:rsidRPr="00DF6B20" w:rsidRDefault="00BF4F98" w:rsidP="00B02799">
            <w:pPr>
              <w:pStyle w:val="en"/>
              <w:spacing w:before="0" w:beforeAutospacing="0" w:after="0" w:afterAutospacing="0"/>
            </w:pPr>
            <w:r w:rsidRPr="00DF6B20">
              <w:t>Let him die</w:t>
            </w:r>
            <w:r>
              <w:t>;</w:t>
            </w:r>
            <w:r w:rsidRPr="00DF6B20">
              <w:t xml:space="preserve"> she may not stand naked before him.</w:t>
            </w:r>
          </w:p>
          <w:p w14:paraId="0A40EF42" w14:textId="77777777" w:rsidR="00BF4F98" w:rsidRPr="00DF6B20" w:rsidRDefault="00BF4F98" w:rsidP="00B02799">
            <w:pPr>
              <w:pStyle w:val="en"/>
              <w:spacing w:before="0" w:beforeAutospacing="0" w:after="0" w:afterAutospacing="0"/>
            </w:pPr>
            <w:r>
              <w:t>May she</w:t>
            </w:r>
            <w:r w:rsidRPr="00DF6B20">
              <w:t> converse with him behind a fence</w:t>
            </w:r>
            <w:r>
              <w:t>?</w:t>
            </w:r>
          </w:p>
          <w:p w14:paraId="78276F18" w14:textId="77777777" w:rsidR="00BF4F98" w:rsidRPr="00DF6B20" w:rsidRDefault="00BF4F98" w:rsidP="00B02799">
            <w:pPr>
              <w:pStyle w:val="en"/>
              <w:spacing w:before="0" w:beforeAutospacing="0" w:after="0" w:afterAutospacing="0"/>
            </w:pPr>
            <w:r w:rsidRPr="00DF6B20">
              <w:t>Let him die</w:t>
            </w:r>
            <w:r>
              <w:t xml:space="preserve"> and</w:t>
            </w:r>
            <w:r w:rsidRPr="00DF6B20">
              <w:t xml:space="preserve"> not converse with him behind a fence.</w:t>
            </w:r>
          </w:p>
          <w:p w14:paraId="1BDDEDCC" w14:textId="77777777" w:rsidR="00BF4F98" w:rsidRPr="00DF6B20" w:rsidRDefault="00BF4F98" w:rsidP="00B02799">
            <w:pPr>
              <w:pStyle w:val="en"/>
              <w:spacing w:before="0" w:beforeAutospacing="0" w:after="0" w:afterAutospacing="0"/>
            </w:pPr>
            <w:r w:rsidRPr="00DF6B20">
              <w:t>Rabbi Ya’akov bar Idi and Rabbi Shmuel bar Naḥmani disagree</w:t>
            </w:r>
            <w:r>
              <w:t>d</w:t>
            </w:r>
            <w:r w:rsidRPr="00DF6B20">
              <w:t xml:space="preserve"> about this issue. One of them says: The woman in question was a married woman, and the other one says: She was unmarried.</w:t>
            </w:r>
          </w:p>
          <w:p w14:paraId="2BF86B2D" w14:textId="77777777" w:rsidR="00BF4F98" w:rsidRPr="00DF6B20" w:rsidRDefault="00BF4F98" w:rsidP="00B02799">
            <w:pPr>
              <w:pStyle w:val="en"/>
              <w:spacing w:before="0" w:beforeAutospacing="0" w:after="0" w:afterAutospacing="0"/>
              <w:rPr>
                <w:rtl/>
              </w:rPr>
            </w:pPr>
            <w:r>
              <w:t>This makes sense</w:t>
            </w:r>
            <w:r w:rsidRPr="00DF6B20">
              <w:t xml:space="preserve"> according to the one who says that she was a married woman. But according to the one who says that she was unmarried, what is</w:t>
            </w:r>
            <w:r w:rsidRPr="00DF6B20">
              <w:rPr>
                <w:rtl/>
              </w:rPr>
              <w:t xml:space="preserve"> </w:t>
            </w:r>
            <w:r w:rsidRPr="00DF6B20">
              <w:t>the reason for all this?</w:t>
            </w:r>
          </w:p>
          <w:p w14:paraId="74345C6F" w14:textId="77777777" w:rsidR="00BF4F98" w:rsidRPr="00DF6B20" w:rsidRDefault="00BF4F98" w:rsidP="00B02799">
            <w:pPr>
              <w:pStyle w:val="en"/>
              <w:spacing w:before="0" w:beforeAutospacing="0" w:after="0" w:afterAutospacing="0"/>
            </w:pPr>
            <w:r w:rsidRPr="00DF6B20">
              <w:t>Rav Pappa says: </w:t>
            </w:r>
            <w:r>
              <w:t>Because of a flaw on the family</w:t>
            </w:r>
            <w:r w:rsidRPr="00DF6B20">
              <w:t>, </w:t>
            </w:r>
            <w:r>
              <w:t>[</w:t>
            </w:r>
            <w:r w:rsidRPr="00DF6B20">
              <w:t>i.e., harm to the family</w:t>
            </w:r>
            <w:r>
              <w:t>’s reputation]</w:t>
            </w:r>
            <w:r w:rsidRPr="00DF6B20">
              <w:t>.</w:t>
            </w:r>
          </w:p>
          <w:p w14:paraId="17CB0C48" w14:textId="77777777" w:rsidR="00BF4F98" w:rsidRPr="001835EE" w:rsidRDefault="00BF4F98" w:rsidP="00B02799">
            <w:pPr>
              <w:pStyle w:val="en"/>
              <w:spacing w:before="0" w:beforeAutospacing="0" w:after="0" w:afterAutospacing="0"/>
              <w:rPr>
                <w:sz w:val="20"/>
                <w:szCs w:val="20"/>
                <w:rtl/>
              </w:rPr>
            </w:pPr>
            <w:r w:rsidRPr="00DF6B20">
              <w:t>Rav Aḥa, son of Rav Ika, says: </w:t>
            </w:r>
            <w:r>
              <w:t>S</w:t>
            </w:r>
            <w:r w:rsidRPr="00DF6B20">
              <w:t>o that the daughters of Israel should not be promiscuous with regard to forbidden sexual relations. </w:t>
            </w:r>
          </w:p>
        </w:tc>
      </w:tr>
    </w:tbl>
    <w:p w14:paraId="7B781704" w14:textId="77777777" w:rsidR="00BF4F98" w:rsidRDefault="00BF4F98" w:rsidP="00BF4F98"/>
    <w:p w14:paraId="4918000B" w14:textId="77777777" w:rsidR="00BF4F98" w:rsidRPr="002405B4" w:rsidRDefault="00BF4F98" w:rsidP="00BF4F98">
      <w:r w:rsidRPr="002405B4">
        <w:t>In</w:t>
      </w:r>
      <w:r>
        <w:t xml:space="preserve"> the scenario described in</w:t>
      </w:r>
      <w:r w:rsidRPr="002405B4">
        <w:t xml:space="preserve"> this text, a man has developed an unnatural desire for a specific woman. The rabbis forbid him to have sexual relations with her, see her naked or, even converse with her behind a fence to assuage this desire, although it may lead to</w:t>
      </w:r>
      <w:r>
        <w:t xml:space="preserve"> the</w:t>
      </w:r>
      <w:r w:rsidRPr="002405B4">
        <w:t xml:space="preserve"> loss of his life.</w:t>
      </w:r>
    </w:p>
    <w:p w14:paraId="38C68F1F" w14:textId="77777777" w:rsidR="00BF4F98" w:rsidRPr="002405B4" w:rsidRDefault="00BF4F98" w:rsidP="00BF4F98">
      <w:r w:rsidRPr="002405B4">
        <w:t>In the Talmudic discussion</w:t>
      </w:r>
      <w:r>
        <w:t>,</w:t>
      </w:r>
      <w:r w:rsidRPr="002405B4">
        <w:t xml:space="preserve"> Rav Pappa and Rav A</w:t>
      </w:r>
      <w:r>
        <w:t>ḥa</w:t>
      </w:r>
      <w:r w:rsidRPr="002405B4">
        <w:t xml:space="preserve"> try to understand why such stringency </w:t>
      </w:r>
      <w:r>
        <w:t>would be</w:t>
      </w:r>
      <w:r w:rsidRPr="002405B4">
        <w:t xml:space="preserve"> necessary for an unmarried woman given that no severe sexual prohibition exists when it comes to an unmarried woman (as compared to adultery or incest). </w:t>
      </w:r>
      <w:r>
        <w:t>Since most prohibitions are overridden for the sake of saving a life, w</w:t>
      </w:r>
      <w:r w:rsidRPr="002405B4">
        <w:t xml:space="preserve">hy </w:t>
      </w:r>
      <w:r>
        <w:t>is that not the case here?</w:t>
      </w:r>
      <w:r w:rsidRPr="002405B4">
        <w:t xml:space="preserve"> Rav Pappa suggests the </w:t>
      </w:r>
      <w:r w:rsidRPr="002405B4">
        <w:lastRenderedPageBreak/>
        <w:t>concern is for her family’s honor</w:t>
      </w:r>
      <w:r>
        <w:t>.</w:t>
      </w:r>
      <w:r w:rsidRPr="002405B4">
        <w:t xml:space="preserve"> Rav A</w:t>
      </w:r>
      <w:r>
        <w:t>ḥa</w:t>
      </w:r>
      <w:r w:rsidRPr="002405B4">
        <w:t xml:space="preserve"> takes the discussion in a different direction: The concern is for the moral character of the daughters of Israel. If we would begin asking women to perform sexual acts for men outside of marriage, it would result in women losing their moral compass regarding sexuality.</w:t>
      </w:r>
    </w:p>
    <w:p w14:paraId="346D6C08" w14:textId="77777777" w:rsidR="00BF4F98" w:rsidRPr="002405B4" w:rsidRDefault="00BF4F98" w:rsidP="00BF4F98">
      <w:r w:rsidRPr="002405B4">
        <w:t>I would add to this that the premise of the story</w:t>
      </w:r>
      <w:r>
        <w:t>, allowing</w:t>
      </w:r>
      <w:r w:rsidRPr="002405B4">
        <w:t xml:space="preserve"> a man to objectify a woman for his own sexual needs without any consideration for her as a partner</w:t>
      </w:r>
      <w:r>
        <w:t>,</w:t>
      </w:r>
      <w:r w:rsidRPr="002405B4">
        <w:t xml:space="preserve"> (not to mention without consideration for her consent!) is antithetical to the moral, social and religious fabric of a Torah</w:t>
      </w:r>
      <w:r>
        <w:t>-</w:t>
      </w:r>
      <w:r w:rsidRPr="002405B4">
        <w:t xml:space="preserve">based society. Regardless of how one reads the story, we see evidence </w:t>
      </w:r>
      <w:r>
        <w:t>that</w:t>
      </w:r>
      <w:r w:rsidRPr="002405B4">
        <w:t xml:space="preserve"> sexual morality within the rabbinic discourse goes beyond the letter of the law</w:t>
      </w:r>
      <w:r>
        <w:t>.</w:t>
      </w:r>
    </w:p>
    <w:p w14:paraId="64D64B97" w14:textId="6172BA81" w:rsidR="00BF4F98" w:rsidRDefault="00BF4F98" w:rsidP="00BF4F98">
      <w:r w:rsidRPr="002405B4">
        <w:t xml:space="preserve">Taken together, the stories </w:t>
      </w:r>
      <w:r>
        <w:t>seem to be</w:t>
      </w:r>
      <w:r w:rsidRPr="002405B4">
        <w:t xml:space="preserve"> polar opposites</w:t>
      </w:r>
      <w:r>
        <w:t xml:space="preserve"> but in fact, I believe they can be read in synergy with one another.</w:t>
      </w:r>
      <w:r w:rsidRPr="002405B4">
        <w:t xml:space="preserve"> In the Rav Ilai text, a man</w:t>
      </w:r>
      <w:r>
        <w:t>’s inability</w:t>
      </w:r>
      <w:r w:rsidRPr="002405B4">
        <w:t xml:space="preserve"> to overcome his evil inclination </w:t>
      </w:r>
      <w:r>
        <w:t xml:space="preserve">is acknowledged and he is advised to </w:t>
      </w:r>
      <w:r w:rsidRPr="002405B4">
        <w:t xml:space="preserve">find a sexual outlet </w:t>
      </w:r>
      <w:r>
        <w:t>in the most discreet way possible</w:t>
      </w:r>
      <w:r w:rsidRPr="002405B4">
        <w:t xml:space="preserve">. </w:t>
      </w:r>
      <w:r>
        <w:t xml:space="preserve">Rabbi </w:t>
      </w:r>
      <w:commentRangeStart w:id="39"/>
      <w:r>
        <w:t>Ilai’s advice is for him to act outside his regular society in order not to threaten societal norms or desecrate God’s name</w:t>
      </w:r>
      <w:commentRangeEnd w:id="39"/>
      <w:r>
        <w:rPr>
          <w:rStyle w:val="CommentReference"/>
        </w:rPr>
        <w:commentReference w:id="39"/>
      </w:r>
      <w:r>
        <w:t xml:space="preserve">. </w:t>
      </w:r>
      <w:r w:rsidRPr="002405B4">
        <w:t xml:space="preserve">In contrast, </w:t>
      </w:r>
      <w:r>
        <w:t xml:space="preserve">the text in </w:t>
      </w:r>
      <w:r w:rsidRPr="002405B4">
        <w:t xml:space="preserve">Sanhedrin </w:t>
      </w:r>
      <w:r>
        <w:t>describes a case in which there is no tolerance for illicit desire</w:t>
      </w:r>
      <w:r w:rsidRPr="002405B4">
        <w:t>. In this story, the woman is known to</w:t>
      </w:r>
      <w:r>
        <w:t xml:space="preserve"> both</w:t>
      </w:r>
      <w:r w:rsidRPr="002405B4">
        <w:t xml:space="preserve"> the man and the rabbis. She is a daughter and a sister. </w:t>
      </w:r>
      <w:r>
        <w:t>Any action on his part will take place publicly and within society. Protecting</w:t>
      </w:r>
      <w:r w:rsidRPr="002405B4">
        <w:t xml:space="preserve"> sexual morality </w:t>
      </w:r>
      <w:r>
        <w:t xml:space="preserve">in this situation is paramount, </w:t>
      </w:r>
      <w:r w:rsidRPr="002405B4">
        <w:t xml:space="preserve">at least for the family’s sake and for </w:t>
      </w:r>
      <w:r>
        <w:t xml:space="preserve">the protection of </w:t>
      </w:r>
      <w:r w:rsidRPr="002405B4">
        <w:t xml:space="preserve">all of the sisters and daughters of Israel in our communities. </w:t>
      </w:r>
      <w:r>
        <w:t>Together, it seems that the stories can be read as reflecting the complexity of evaluating individual situations that have a potential impact on the fabric of religious society. Concerning the broader “</w:t>
      </w:r>
      <w:r w:rsidRPr="00CF6E22">
        <w:rPr>
          <w:i/>
          <w:iCs/>
        </w:rPr>
        <w:t>shomer negiah</w:t>
      </w:r>
      <w:r>
        <w:t>/</w:t>
      </w:r>
      <w:r>
        <w:t>non</w:t>
      </w:r>
      <w:r>
        <w:t xml:space="preserve">-marital sexuality” conversation, providing private guidance to many religious men and women who are engaging in sexual activity of one </w:t>
      </w:r>
      <w:proofErr w:type="gramStart"/>
      <w:r>
        <w:t>sort</w:t>
      </w:r>
      <w:proofErr w:type="gramEnd"/>
      <w:r>
        <w:t xml:space="preserve"> or another is a necessity. However, religious society can and should publicly reinforce its sexual values that are expressed by </w:t>
      </w:r>
      <w:r w:rsidR="00897402" w:rsidRPr="00897402">
        <w:rPr>
          <w:i/>
          <w:iCs/>
        </w:rPr>
        <w:t>halakhah</w:t>
      </w:r>
      <w:r>
        <w:t>.</w:t>
      </w:r>
    </w:p>
    <w:p w14:paraId="0C1ED426" w14:textId="77777777" w:rsidR="00BF4F98" w:rsidRPr="00096E74" w:rsidRDefault="00BF4F98" w:rsidP="00BF4F98">
      <w:r>
        <w:t>In a similar vein, p</w:t>
      </w:r>
      <w:r w:rsidRPr="00096E74">
        <w:t xml:space="preserve">erhaps </w:t>
      </w:r>
      <w:commentRangeStart w:id="40"/>
      <w:r w:rsidRPr="00096E74">
        <w:t xml:space="preserve">it is time to rethink the complete ban </w:t>
      </w:r>
      <w:commentRangeEnd w:id="40"/>
      <w:r>
        <w:rPr>
          <w:rStyle w:val="CommentReference"/>
        </w:rPr>
        <w:commentReference w:id="40"/>
      </w:r>
      <w:r w:rsidRPr="00096E74">
        <w:t xml:space="preserve">on </w:t>
      </w:r>
      <w:r>
        <w:t xml:space="preserve">male </w:t>
      </w:r>
      <w:r w:rsidRPr="00096E74">
        <w:t xml:space="preserve">masturbation or at least weigh it against the other options for sexual release. </w:t>
      </w:r>
      <w:r>
        <w:t>Acknowledging the often overpowering nature of</w:t>
      </w:r>
      <w:r w:rsidRPr="00096E74">
        <w:t xml:space="preserve"> sexual </w:t>
      </w:r>
      <w:r>
        <w:t>urges</w:t>
      </w:r>
      <w:r w:rsidRPr="00096E74">
        <w:t xml:space="preserve"> </w:t>
      </w:r>
      <w:r>
        <w:t xml:space="preserve">and the need to </w:t>
      </w:r>
      <w:r w:rsidRPr="00096E74">
        <w:t xml:space="preserve">redirect </w:t>
      </w:r>
      <w:proofErr w:type="gramStart"/>
      <w:r w:rsidRPr="00096E74">
        <w:t>men and women</w:t>
      </w:r>
      <w:proofErr w:type="gramEnd"/>
      <w:r w:rsidRPr="00096E74">
        <w:t xml:space="preserve"> from sexua</w:t>
      </w:r>
      <w:r>
        <w:t xml:space="preserve">lly experimenting </w:t>
      </w:r>
      <w:r w:rsidRPr="00096E74">
        <w:t>with one another</w:t>
      </w:r>
      <w:r>
        <w:t xml:space="preserve"> opens the possibility of candidly acknowledging</w:t>
      </w:r>
      <w:r w:rsidRPr="00096E74">
        <w:t xml:space="preserve"> </w:t>
      </w:r>
      <w:r>
        <w:t xml:space="preserve">that </w:t>
      </w:r>
      <w:r w:rsidRPr="00096E74">
        <w:t xml:space="preserve">masturbation </w:t>
      </w:r>
      <w:r>
        <w:t xml:space="preserve">may be a preferable </w:t>
      </w:r>
      <w:r w:rsidRPr="00096E74">
        <w:t>alternative</w:t>
      </w:r>
      <w:r>
        <w:t xml:space="preserve">. This is not without precedent. </w:t>
      </w:r>
      <w:r w:rsidRPr="00096E74">
        <w:t>Sefer Hassidim in the 13</w:t>
      </w:r>
      <w:r w:rsidRPr="00096E74">
        <w:rPr>
          <w:vertAlign w:val="superscript"/>
        </w:rPr>
        <w:t>th</w:t>
      </w:r>
      <w:r w:rsidRPr="00096E74">
        <w:t xml:space="preserve"> century writes:</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014"/>
      </w:tblGrid>
      <w:tr w:rsidR="00BF4F98" w:rsidRPr="00C206CF" w14:paraId="642AD8C4" w14:textId="77777777" w:rsidTr="00B02799">
        <w:tc>
          <w:tcPr>
            <w:tcW w:w="5940" w:type="dxa"/>
            <w:shd w:val="clear" w:color="auto" w:fill="auto"/>
          </w:tcPr>
          <w:p w14:paraId="15BD65B0" w14:textId="77777777" w:rsidR="00BF4F98" w:rsidRPr="00DF6B20" w:rsidRDefault="00BF4F98" w:rsidP="00B02799">
            <w:pPr>
              <w:pStyle w:val="Source"/>
              <w:rPr>
                <w:rStyle w:val="Emphasis"/>
                <w:i w:val="0"/>
                <w:iCs w:val="0"/>
              </w:rPr>
            </w:pPr>
            <w:r w:rsidRPr="00DF6B20">
              <w:rPr>
                <w:rStyle w:val="Emphasis"/>
              </w:rPr>
              <w:t>Sefer Ha</w:t>
            </w:r>
            <w:r>
              <w:rPr>
                <w:rStyle w:val="Emphasis"/>
              </w:rPr>
              <w:t>s</w:t>
            </w:r>
            <w:r w:rsidRPr="00DF6B20">
              <w:rPr>
                <w:rStyle w:val="Emphasis"/>
              </w:rPr>
              <w:t>sidim 176</w:t>
            </w:r>
          </w:p>
          <w:p w14:paraId="1DF2C70A" w14:textId="77777777" w:rsidR="00BF4F98" w:rsidRPr="00DF6B20" w:rsidRDefault="00BF4F98" w:rsidP="00B02799">
            <w:pPr>
              <w:rPr>
                <w:rStyle w:val="Emphasis"/>
                <w:i w:val="0"/>
                <w:iCs w:val="0"/>
              </w:rPr>
            </w:pPr>
            <w:r w:rsidRPr="00DF6B20">
              <w:rPr>
                <w:rStyle w:val="Emphasis"/>
              </w:rPr>
              <w:t xml:space="preserve">A person once asked about one who is overcome by desire and </w:t>
            </w:r>
            <w:r>
              <w:rPr>
                <w:rStyle w:val="Emphasis"/>
              </w:rPr>
              <w:t>lest he sin</w:t>
            </w:r>
            <w:r>
              <w:rPr>
                <w:rStyle w:val="Emphasis"/>
                <w:i w:val="0"/>
                <w:iCs w:val="0"/>
              </w:rPr>
              <w:t>s</w:t>
            </w:r>
            <w:r>
              <w:rPr>
                <w:rStyle w:val="Emphasis"/>
              </w:rPr>
              <w:t xml:space="preserve"> and have</w:t>
            </w:r>
            <w:r w:rsidRPr="00DF6B20">
              <w:rPr>
                <w:rStyle w:val="Emphasis"/>
              </w:rPr>
              <w:t xml:space="preserve"> sex with a married woman or </w:t>
            </w:r>
            <w:r w:rsidRPr="00DF6B20">
              <w:rPr>
                <w:rStyle w:val="Emphasis"/>
              </w:rPr>
              <w:lastRenderedPageBreak/>
              <w:t xml:space="preserve">with his </w:t>
            </w:r>
            <w:r w:rsidRPr="00B02799">
              <w:rPr>
                <w:rStyle w:val="Emphasis"/>
                <w:i w:val="0"/>
                <w:iCs w:val="0"/>
              </w:rPr>
              <w:t>niddah</w:t>
            </w:r>
            <w:r w:rsidRPr="00DF6B20">
              <w:rPr>
                <w:rStyle w:val="Emphasis"/>
              </w:rPr>
              <w:t xml:space="preserve"> wife or any of the other sexual prohibitions which are forbidden to him. </w:t>
            </w:r>
            <w:r>
              <w:rPr>
                <w:rStyle w:val="Emphasis"/>
                <w:rFonts w:hint="cs"/>
              </w:rPr>
              <w:t>C</w:t>
            </w:r>
            <w:r>
              <w:rPr>
                <w:rStyle w:val="Emphasis"/>
              </w:rPr>
              <w:t>an</w:t>
            </w:r>
            <w:r w:rsidRPr="00DF6B20">
              <w:rPr>
                <w:rStyle w:val="Emphasis"/>
              </w:rPr>
              <w:t xml:space="preserve"> he masturbate so that he </w:t>
            </w:r>
            <w:r>
              <w:rPr>
                <w:rStyle w:val="Emphasis"/>
                <w:i w:val="0"/>
                <w:iCs w:val="0"/>
              </w:rPr>
              <w:t xml:space="preserve">does </w:t>
            </w:r>
            <w:r w:rsidRPr="00DF6B20">
              <w:rPr>
                <w:rStyle w:val="Emphasis"/>
              </w:rPr>
              <w:t xml:space="preserve">not </w:t>
            </w:r>
            <w:r>
              <w:rPr>
                <w:rStyle w:val="Emphasis"/>
              </w:rPr>
              <w:t>sin</w:t>
            </w:r>
            <w:r w:rsidRPr="00DF6B20">
              <w:rPr>
                <w:rStyle w:val="Emphasis"/>
              </w:rPr>
              <w:t xml:space="preserve">? </w:t>
            </w:r>
            <w:r>
              <w:rPr>
                <w:rStyle w:val="Emphasis"/>
              </w:rPr>
              <w:t>He</w:t>
            </w:r>
            <w:r w:rsidRPr="00DF6B20">
              <w:rPr>
                <w:rStyle w:val="Emphasis"/>
              </w:rPr>
              <w:t xml:space="preserve"> answered him at that time he should masturbate </w:t>
            </w:r>
            <w:r>
              <w:rPr>
                <w:rStyle w:val="Emphasis"/>
              </w:rPr>
              <w:t>since if [the alternative is sex with] a married woman, it</w:t>
            </w:r>
            <w:r w:rsidRPr="00DF6B20">
              <w:rPr>
                <w:rStyle w:val="Emphasis"/>
              </w:rPr>
              <w:t xml:space="preserve"> is preferable to </w:t>
            </w:r>
            <w:r>
              <w:rPr>
                <w:rStyle w:val="Emphasis"/>
              </w:rPr>
              <w:t xml:space="preserve">masturbate and not sin </w:t>
            </w:r>
            <w:r w:rsidRPr="00DF6B20">
              <w:rPr>
                <w:rStyle w:val="Emphasis"/>
              </w:rPr>
              <w:t xml:space="preserve">with a woman. However, he needs atonement and should sit in ice during the </w:t>
            </w:r>
            <w:proofErr w:type="gramStart"/>
            <w:r w:rsidRPr="00DF6B20">
              <w:rPr>
                <w:rStyle w:val="Emphasis"/>
              </w:rPr>
              <w:t>winter</w:t>
            </w:r>
            <w:proofErr w:type="gramEnd"/>
            <w:r w:rsidRPr="00DF6B20">
              <w:rPr>
                <w:rStyle w:val="Emphasis"/>
              </w:rPr>
              <w:t xml:space="preserve"> or he should fast </w:t>
            </w:r>
            <w:r>
              <w:rPr>
                <w:rStyle w:val="Emphasis"/>
                <w:i w:val="0"/>
                <w:iCs w:val="0"/>
              </w:rPr>
              <w:t xml:space="preserve">for </w:t>
            </w:r>
            <w:r w:rsidRPr="00DF6B20">
              <w:rPr>
                <w:rStyle w:val="Emphasis"/>
              </w:rPr>
              <w:t>forty days during the summer.</w:t>
            </w:r>
          </w:p>
        </w:tc>
        <w:tc>
          <w:tcPr>
            <w:tcW w:w="3014" w:type="dxa"/>
            <w:shd w:val="clear" w:color="auto" w:fill="auto"/>
          </w:tcPr>
          <w:p w14:paraId="05CA83A8" w14:textId="77777777" w:rsidR="00BF4F98" w:rsidRPr="00DF6B20" w:rsidRDefault="00BF4F98" w:rsidP="00B02799">
            <w:pPr>
              <w:pStyle w:val="Source"/>
              <w:bidi/>
              <w:rPr>
                <w:rStyle w:val="Emphasis"/>
                <w:i w:val="0"/>
                <w:iCs w:val="0"/>
                <w:rtl/>
              </w:rPr>
            </w:pPr>
            <w:r w:rsidRPr="00DF6B20">
              <w:rPr>
                <w:rStyle w:val="Emphasis"/>
                <w:rtl/>
                <w:lang w:bidi="he-IL"/>
              </w:rPr>
              <w:lastRenderedPageBreak/>
              <w:t>ספר חסידים</w:t>
            </w:r>
            <w:r>
              <w:rPr>
                <w:rStyle w:val="Emphasis"/>
                <w:lang w:bidi="he-IL"/>
              </w:rPr>
              <w:t xml:space="preserve"> </w:t>
            </w:r>
            <w:r>
              <w:rPr>
                <w:rStyle w:val="Emphasis"/>
                <w:rFonts w:hint="cs"/>
                <w:rtl/>
                <w:lang w:bidi="he-IL"/>
              </w:rPr>
              <w:t>קעו</w:t>
            </w:r>
          </w:p>
          <w:p w14:paraId="45298046" w14:textId="77777777" w:rsidR="00BF4F98" w:rsidRPr="00DF6B20" w:rsidRDefault="00BF4F98" w:rsidP="00B02799">
            <w:pPr>
              <w:bidi/>
              <w:rPr>
                <w:rStyle w:val="Emphasis"/>
                <w:i w:val="0"/>
                <w:iCs w:val="0"/>
                <w:rtl/>
              </w:rPr>
            </w:pPr>
            <w:r w:rsidRPr="00DF6B20">
              <w:rPr>
                <w:rStyle w:val="Emphasis"/>
                <w:rtl/>
                <w:lang w:bidi="he-IL"/>
              </w:rPr>
              <w:t xml:space="preserve">מעשה באחד ששאל מי שיצרו מתגבר עליו וירא פן יחטא לישכב </w:t>
            </w:r>
            <w:r>
              <w:rPr>
                <w:rStyle w:val="Emphasis"/>
                <w:rFonts w:hint="cs"/>
                <w:rtl/>
                <w:lang w:bidi="he-IL"/>
              </w:rPr>
              <w:lastRenderedPageBreak/>
              <w:t xml:space="preserve">עם אשת </w:t>
            </w:r>
            <w:r w:rsidRPr="00DF6B20">
              <w:rPr>
                <w:rStyle w:val="Emphasis"/>
                <w:rtl/>
                <w:lang w:bidi="he-IL"/>
              </w:rPr>
              <w:t>איש או עם אשתו נדה או שאר עריות האסורות לו אם יכול להוציא זרעו כדי שלא יחטא והשיב לו באותה שעה יש לו להוציא שאם אשת איש מוטב שיוציא שכבת זרע ואל יחטא באשה</w:t>
            </w:r>
            <w:r w:rsidRPr="00DF6B20">
              <w:rPr>
                <w:rStyle w:val="Emphasis"/>
                <w:rtl/>
              </w:rPr>
              <w:t xml:space="preserve">. </w:t>
            </w:r>
            <w:r w:rsidRPr="00DF6B20">
              <w:rPr>
                <w:rStyle w:val="Emphasis"/>
                <w:rtl/>
                <w:lang w:bidi="he-IL"/>
              </w:rPr>
              <w:t>אבל צריך כפרה ישב בקרח בימי החורף או יתענה ארבעים יום בימי החמה</w:t>
            </w:r>
            <w:r w:rsidRPr="00DF6B20">
              <w:rPr>
                <w:rStyle w:val="Emphasis"/>
                <w:rtl/>
              </w:rPr>
              <w:t>.</w:t>
            </w:r>
          </w:p>
        </w:tc>
      </w:tr>
    </w:tbl>
    <w:p w14:paraId="5ACAC127" w14:textId="77777777" w:rsidR="00BF4F98" w:rsidRPr="002405B4" w:rsidRDefault="00BF4F98" w:rsidP="00BF4F98"/>
    <w:p w14:paraId="2F60C8DD" w14:textId="77777777" w:rsidR="00BF4F98" w:rsidRDefault="00BF4F98" w:rsidP="00BF4F98">
      <w:r>
        <w:t xml:space="preserve">Sefer Hassidim does not want his readers to become casual about masturbation, and the demand that he </w:t>
      </w:r>
      <w:proofErr w:type="gramStart"/>
      <w:r>
        <w:t>perform</w:t>
      </w:r>
      <w:proofErr w:type="gramEnd"/>
      <w:r>
        <w:t xml:space="preserve"> a penance reinforces the </w:t>
      </w:r>
      <w:commentRangeStart w:id="41"/>
      <w:r w:rsidRPr="00C41362">
        <w:rPr>
          <w:i/>
          <w:iCs/>
        </w:rPr>
        <w:t>b’dieved</w:t>
      </w:r>
      <w:commentRangeEnd w:id="41"/>
      <w:r>
        <w:rPr>
          <w:rStyle w:val="CommentReference"/>
        </w:rPr>
        <w:commentReference w:id="41"/>
      </w:r>
      <w:r>
        <w:t xml:space="preserve">, nature of the suggestion. Nonetheless, the question and answer presented are fascinating and reflect a thoughtful awareness of the need for a sexual outlet for men facing enforced abstinence, even in the case of a </w:t>
      </w:r>
      <w:r w:rsidRPr="00C65A47">
        <w:rPr>
          <w:i/>
          <w:iCs/>
        </w:rPr>
        <w:t xml:space="preserve">niddah </w:t>
      </w:r>
      <w:r>
        <w:t>wife where the prohibited period will eventually end!</w:t>
      </w:r>
    </w:p>
    <w:p w14:paraId="2F069C01" w14:textId="4B63797F" w:rsidR="00BF4F98" w:rsidRDefault="00BF4F98" w:rsidP="00BF4F98">
      <w:commentRangeStart w:id="42"/>
      <w:r>
        <w:t xml:space="preserve">Perhaps the possibility of a designated monogamous sexual relationship with </w:t>
      </w:r>
      <w:r w:rsidRPr="00DB2EAE">
        <w:rPr>
          <w:i/>
          <w:iCs/>
        </w:rPr>
        <w:t>mikvah</w:t>
      </w:r>
      <w:r>
        <w:t xml:space="preserve"> immersion could be privately presented to individuals for whom marriage is not a realistic option. </w:t>
      </w:r>
      <w:commentRangeStart w:id="43"/>
      <w:r>
        <w:t xml:space="preserve">Discretion would be needed to </w:t>
      </w:r>
      <w:commentRangeEnd w:id="43"/>
      <w:r>
        <w:rPr>
          <w:rStyle w:val="CommentReference"/>
        </w:rPr>
        <w:commentReference w:id="43"/>
      </w:r>
      <w:r>
        <w:t xml:space="preserve">ensure that it does not become </w:t>
      </w:r>
      <w:proofErr w:type="gramStart"/>
      <w:r>
        <w:t>broadly accepted</w:t>
      </w:r>
      <w:proofErr w:type="gramEnd"/>
      <w:r>
        <w:t xml:space="preserve"> within society</w:t>
      </w:r>
      <w:commentRangeEnd w:id="42"/>
      <w:r>
        <w:rPr>
          <w:rStyle w:val="CommentReference"/>
        </w:rPr>
        <w:commentReference w:id="42"/>
      </w:r>
      <w:r>
        <w:t xml:space="preserve">. This proposal correlates with similarly minded suggestions; Rabbi Jacob Emden’s suggestion of reintroducing the category of concubines to Jewish communities, and the modern practice of some single women using </w:t>
      </w:r>
      <w:r w:rsidRPr="00DB2EAE">
        <w:rPr>
          <w:i/>
          <w:iCs/>
        </w:rPr>
        <w:t>mikvah</w:t>
      </w:r>
      <w:r>
        <w:t>. Both suggestions echo the Talmudic discourse of Rav Ilai, showing a willingness to confront and respond to individuals’ imperfect reality.</w:t>
      </w:r>
    </w:p>
    <w:p w14:paraId="4238CA8A" w14:textId="2556FF67" w:rsidR="00897402" w:rsidRDefault="00897402" w:rsidP="00897402">
      <w:pPr>
        <w:pStyle w:val="Heading1"/>
      </w:pPr>
      <w:bookmarkStart w:id="44" w:name="_Hlk125045517"/>
      <w:r>
        <w:t>Sex Education</w:t>
      </w:r>
    </w:p>
    <w:p w14:paraId="2B9BA469" w14:textId="77777777" w:rsidR="00BF4F98" w:rsidRDefault="00BF4F98" w:rsidP="00897402">
      <w:pPr>
        <w:pStyle w:val="Heading2"/>
      </w:pPr>
      <w:commentRangeStart w:id="45"/>
      <w:r w:rsidRPr="00DF6B20">
        <w:t>Crossing</w:t>
      </w:r>
      <w:commentRangeEnd w:id="45"/>
      <w:r>
        <w:rPr>
          <w:rStyle w:val="CommentReference"/>
        </w:rPr>
        <w:commentReference w:id="45"/>
      </w:r>
      <w:r w:rsidRPr="00DF6B20">
        <w:t xml:space="preserve"> </w:t>
      </w:r>
      <w:r>
        <w:t>t</w:t>
      </w:r>
      <w:r w:rsidRPr="00DF6B20">
        <w:t xml:space="preserve">he </w:t>
      </w:r>
      <w:r w:rsidRPr="003E533E">
        <w:t>Shomer Negiah</w:t>
      </w:r>
      <w:r>
        <w:t xml:space="preserve"> Threshold</w:t>
      </w:r>
    </w:p>
    <w:bookmarkEnd w:id="44"/>
    <w:p w14:paraId="0CFF2604" w14:textId="77777777" w:rsidR="00BF4F98" w:rsidRDefault="00BF4F98" w:rsidP="00BF4F98">
      <w:r>
        <w:t xml:space="preserve">The space in which sexual behavior and religious observance intersect is a fractious one. People who perceive themselves as careful with halakhic observance but nonetheless begin to sexually experiment will often deny that such behavior is taking place. </w:t>
      </w:r>
      <w:commentRangeStart w:id="46"/>
      <w:r>
        <w:t xml:space="preserve">The sinfulness of the encounter </w:t>
      </w:r>
      <w:commentRangeEnd w:id="46"/>
      <w:r>
        <w:rPr>
          <w:rStyle w:val="CommentReference"/>
        </w:rPr>
        <w:commentReference w:id="46"/>
      </w:r>
      <w:r>
        <w:t xml:space="preserve">overpowers conscious awareness, preventing any sort of clear assessment of what they are doing or what is being done to them. This can then potentially contribute to a harmful sense of disassociation from the sexual experience along with the inability to take responsibility or </w:t>
      </w:r>
      <w:r>
        <w:lastRenderedPageBreak/>
        <w:t xml:space="preserve">acknowledge what is happening, which can lead to true objectification or dehumanization of the other during or after the interaction. In certain circles, intense sexual feelings are too often coupled with drinking, social expectations, and an inability to discuss or set boundaries. This is not unique to religious couples sexually exploring. However, once the </w:t>
      </w:r>
      <w:r w:rsidRPr="00D923AB">
        <w:rPr>
          <w:i/>
          <w:iCs/>
        </w:rPr>
        <w:t>shomer negiah</w:t>
      </w:r>
      <w:r>
        <w:t xml:space="preserve"> threshold is</w:t>
      </w:r>
      <w:r w:rsidRPr="00551B2F">
        <w:t xml:space="preserve"> </w:t>
      </w:r>
      <w:r>
        <w:t xml:space="preserve">crossed, there is no direction or framework for thinking about other Jewish standards when sexually touching, or possibly sexually using, another person. To quote </w:t>
      </w:r>
      <w:commentRangeStart w:id="47"/>
      <w:r>
        <w:t xml:space="preserve">Rabbi Michael Gold, </w:t>
      </w:r>
      <w:commentRangeEnd w:id="47"/>
      <w:r>
        <w:rPr>
          <w:rStyle w:val="CommentReference"/>
        </w:rPr>
        <w:commentReference w:id="47"/>
      </w:r>
      <w:r>
        <w:t>“sex as a purely physical act outside of the context of a relationship detracts from holiness…. It is the opposite of holiness or designation – it is sex as purely physical release with no pretense of relationship.”</w:t>
      </w:r>
      <w:r>
        <w:rPr>
          <w:rStyle w:val="FootnoteReference"/>
        </w:rPr>
        <w:footnoteReference w:id="10"/>
      </w:r>
    </w:p>
    <w:p w14:paraId="33622113" w14:textId="77777777" w:rsidR="00BF4F98" w:rsidRDefault="00BF4F98" w:rsidP="00BF4F98">
      <w:r>
        <w:t xml:space="preserve">Nonetheless, especially in such spaces (of meaningless causal sexual interaction), there is a need to encourage people to think </w:t>
      </w:r>
      <w:commentRangeStart w:id="48"/>
      <w:r>
        <w:t>about crafting a Jewish sexual ethic that they can call upon during such encounters.</w:t>
      </w:r>
      <w:commentRangeEnd w:id="48"/>
      <w:r>
        <w:rPr>
          <w:rStyle w:val="CommentReference"/>
        </w:rPr>
        <w:commentReference w:id="48"/>
      </w:r>
      <w:r>
        <w:t xml:space="preserve"> In one of the few resources calling for a Jewish sexual ethic, </w:t>
      </w:r>
      <w:commentRangeStart w:id="49"/>
      <w:commentRangeStart w:id="50"/>
      <w:r>
        <w:t xml:space="preserve">Rabbi Arthur Green </w:t>
      </w:r>
      <w:commentRangeEnd w:id="49"/>
      <w:r>
        <w:rPr>
          <w:rStyle w:val="CommentReference"/>
        </w:rPr>
        <w:commentReference w:id="49"/>
      </w:r>
      <w:commentRangeEnd w:id="50"/>
      <w:r>
        <w:rPr>
          <w:rStyle w:val="CommentReference"/>
        </w:rPr>
        <w:commentReference w:id="50"/>
      </w:r>
      <w:r>
        <w:t xml:space="preserve">writes that sexually active men and women must evolve a sliding scale of sexual values. “At the top of this scale would stand the fully knowing and loving relationship….while rape – fully non-consenting.... sexuality – would stand at the bottom. Somewhere near the middle of the scale, </w:t>
      </w:r>
      <w:commentRangeStart w:id="51"/>
      <w:r>
        <w:t>neither glorified nor condemned, would be the relationship of two consenting persons, treating one another with decency, fulfilling the biological aspects of one another’s love needs, while making no pretense at deeper intimacy</w:t>
      </w:r>
      <w:commentRangeEnd w:id="51"/>
      <w:r>
        <w:rPr>
          <w:rStyle w:val="CommentReference"/>
        </w:rPr>
        <w:commentReference w:id="51"/>
      </w:r>
      <w:r>
        <w:t>. Given such a scale, a Jew might begin to judge his/her own sexual behavior in terms of a series of challenges which s/he might want to address.”</w:t>
      </w:r>
      <w:r>
        <w:rPr>
          <w:rStyle w:val="FootnoteReference"/>
        </w:rPr>
        <w:footnoteReference w:id="11"/>
      </w:r>
    </w:p>
    <w:p w14:paraId="569BA387" w14:textId="77777777" w:rsidR="00BF4F98" w:rsidRDefault="00BF4F98" w:rsidP="00BF4F98">
      <w:r>
        <w:t>Casual non-relational sex does promote holiness. This does not mean, however, that there are no ethical or even religiously motivated considerations for those engaging in such sexual relations. At the very least, people should be proactive in invoking other Jewish values and commandments: To respect a fellow human being, to avoid causing harm to oneself or one’s partner, and to protect oneself and one’s partner. Being honest and intentional about sexual decision making, especially where it runs counter to religious practice, can help people implement other ethical practices and other Jewish values.</w:t>
      </w:r>
    </w:p>
    <w:p w14:paraId="2BDD52C7" w14:textId="77777777" w:rsidR="00BF4F98" w:rsidRDefault="00BF4F98" w:rsidP="00BF4F98">
      <w:r w:rsidRPr="003878DB">
        <w:lastRenderedPageBreak/>
        <w:t xml:space="preserve">Even within the context of a relationship, I have seen how cognitive dissonance between </w:t>
      </w:r>
      <w:r>
        <w:t xml:space="preserve">the </w:t>
      </w:r>
      <w:r w:rsidRPr="003878DB">
        <w:t xml:space="preserve">perception of religious observance levels and prohibited sexual behavior can inhibit emotional closeness that </w:t>
      </w:r>
      <w:r>
        <w:t>might</w:t>
      </w:r>
      <w:r w:rsidRPr="003878DB">
        <w:t xml:space="preserve"> be formed through physical intimacy</w:t>
      </w:r>
      <w:r>
        <w:t xml:space="preserve"> which is happening anyway</w:t>
      </w:r>
      <w:r w:rsidRPr="003878DB">
        <w:t xml:space="preserve">. Shame over sexual exploration becomes detrimental, </w:t>
      </w:r>
      <w:r>
        <w:t>hindering</w:t>
      </w:r>
      <w:r w:rsidRPr="003878DB">
        <w:t xml:space="preserve"> the possibility of touch serving as a conduit for emotional growth and an impetus to move toward marriage.</w:t>
      </w:r>
    </w:p>
    <w:p w14:paraId="64BD62E0" w14:textId="4C0D9952" w:rsidR="00BF4F98" w:rsidRDefault="00BF4F98" w:rsidP="00BF4F98">
      <w:r>
        <w:t xml:space="preserve">Many years ago, a young woman called me to describe a situation in which she and her boyfriend, both aligning themselves with a more “right wing” religious practice and committed to </w:t>
      </w:r>
      <w:r w:rsidRPr="00096E74">
        <w:rPr>
          <w:i/>
          <w:iCs/>
        </w:rPr>
        <w:t>shomer negiah</w:t>
      </w:r>
      <w:r>
        <w:t xml:space="preserve"> behavior, were careful not to be alone with one another indoors. However, they repeatedly found themselves in compromising situations in outdoor spaces hoping not to get caught. Marriage was not a possibility for at least a year given their ages (eventually they did marry). The rabbi’s wife she went to for counsel was kind and told her that while falling in this manner was natural, they should keep picking themselves up and recommitting to </w:t>
      </w:r>
      <w:r w:rsidR="00897402" w:rsidRPr="00897402">
        <w:rPr>
          <w:i/>
          <w:iCs/>
        </w:rPr>
        <w:t>halakhah</w:t>
      </w:r>
      <w:r>
        <w:t xml:space="preserve">. However, the sense of constant failure was crippling her ability to gain control over the situation. Here, the cognitive dissonance created around </w:t>
      </w:r>
      <w:r w:rsidRPr="00DC4985">
        <w:rPr>
          <w:i/>
          <w:iCs/>
        </w:rPr>
        <w:t>shomer</w:t>
      </w:r>
      <w:r>
        <w:rPr>
          <w:i/>
          <w:iCs/>
        </w:rPr>
        <w:t xml:space="preserve"> negiah</w:t>
      </w:r>
      <w:r>
        <w:t xml:space="preserve"> was leading to more extreme sexual behavior rather than toward no touch. I suggested they create safer and more realistic boundaries by acknowledging their behavior and infusing it with mutual respect for one another and a sense of what role physical touch was playing in the relationship in terms of bringing them toward greater emotional intimacy. In other words, they needed to create a Jewish sexual ethic to contain their behavior.</w:t>
      </w:r>
    </w:p>
    <w:p w14:paraId="50870942" w14:textId="77777777" w:rsidR="00BF4F98" w:rsidRPr="00EA1C87" w:rsidRDefault="00BF4F98" w:rsidP="00BF4F98">
      <w:r>
        <w:t xml:space="preserve">What is concerning from a sexual education standpoint is that all that exists is a legalistic </w:t>
      </w:r>
      <w:r w:rsidRPr="00DF6B20">
        <w:rPr>
          <w:i/>
          <w:iCs/>
        </w:rPr>
        <w:t>halakhic</w:t>
      </w:r>
      <w:r>
        <w:t xml:space="preserve"> discourse exists in which the degree of transgression is the only factor considered. We need to also be able to engage in a value-based conversation about consent, intimacy, and the give-and-take inherent in sexual activity. Rarely is there any honest discussion about healthy sexual outlets, whether it is the encouragement to save touch for marriage, or how to set boundaries beyond the strictest </w:t>
      </w:r>
      <w:r w:rsidRPr="00DF6B20">
        <w:rPr>
          <w:i/>
          <w:iCs/>
        </w:rPr>
        <w:t>halakhic</w:t>
      </w:r>
      <w:r>
        <w:t xml:space="preserve"> prohibitions. Since everything is prohibited the possibility of being mindful about setting practical limits is not open. This last piece is not unique to Orthodox Judaism. Secular society, with all of its openness, has the same problem in reverse. There is no permission to set limits because everything is permitted. There too, there is a need to be mindful about limits; thinking, and expressing feelings about consent, pleasure, desire, and need.</w:t>
      </w:r>
    </w:p>
    <w:p w14:paraId="677B19AB" w14:textId="77777777" w:rsidR="00BF4F98" w:rsidRPr="00DF6B20" w:rsidRDefault="00BF4F98" w:rsidP="00897402">
      <w:pPr>
        <w:pStyle w:val="Heading2"/>
      </w:pPr>
      <w:r w:rsidRPr="00DF6B20">
        <w:t xml:space="preserve">An Imperfect World: </w:t>
      </w:r>
      <w:r>
        <w:t>H</w:t>
      </w:r>
      <w:r w:rsidRPr="00DF6B20">
        <w:t xml:space="preserve">ow Should </w:t>
      </w:r>
      <w:r>
        <w:t>w</w:t>
      </w:r>
      <w:r w:rsidRPr="00DF6B20">
        <w:t xml:space="preserve">e </w:t>
      </w:r>
      <w:r>
        <w:t>b</w:t>
      </w:r>
      <w:r w:rsidRPr="00DF6B20">
        <w:t>e Educating?</w:t>
      </w:r>
    </w:p>
    <w:p w14:paraId="78949626" w14:textId="15E70C7E" w:rsidR="00BF4F98" w:rsidRDefault="00BF4F98" w:rsidP="00BF4F98">
      <w:r w:rsidRPr="00BE336D">
        <w:lastRenderedPageBreak/>
        <w:t>To</w:t>
      </w:r>
      <w:r>
        <w:t xml:space="preserve"> reinforce religious values, some form of religious sex education is imperative. While seeking to stay true to our commitment to </w:t>
      </w:r>
      <w:r w:rsidR="00897402" w:rsidRPr="00897402">
        <w:rPr>
          <w:i/>
          <w:iCs/>
        </w:rPr>
        <w:t>halakhah</w:t>
      </w:r>
      <w:r>
        <w:t xml:space="preserve"> is paramount in religious communities, it is also the responsibility of parents and educators to ensure that conversations are held about agency and consent, which must be articulated in even the most religious of spaces, if only to warn against predators or the dangers of drinking in co-ed environments. Especially in the younger years, it is vital that religious education be accompanied by clear information about sexual development and the normality of sexual desire and attraction, for both heterosexual and LGBTQ students. Only then can people take ownership and make room for clear decision making with religious values and/or </w:t>
      </w:r>
      <w:r w:rsidRPr="007373C9">
        <w:t>halakhic</w:t>
      </w:r>
      <w:r>
        <w:t xml:space="preserve"> commitment as guiding factors.</w:t>
      </w:r>
    </w:p>
    <w:p w14:paraId="7751389F" w14:textId="77777777" w:rsidR="00BF4F98" w:rsidRDefault="00BF4F98" w:rsidP="00BF4F98">
      <w:r>
        <w:t>As a religion, we are committed to protecting life. Evading discussions about safe sex can lead to dangerous encounters that can result in pregnancy and abortion, or possibly life-threatening sexually transmitted diseases. Similarly, failure to provide clear definitions of consent concerning touch and sexual behavior runs the distinct risk</w:t>
      </w:r>
      <w:r>
        <w:t xml:space="preserve"> </w:t>
      </w:r>
      <w:r>
        <w:t>of non-consensual interactions when such engagement occurs. If we do not infuse these nuanced conversations about non-halakhic sexual behavior with other Jewish values, like loving one’s partner, along with values of righteousness, justice, and human dignity, all of which are part of a Jewish sexual ethic within marriage, there is a grave danger that no sexual ethic will be implemented</w:t>
      </w:r>
      <w:r>
        <w:rPr>
          <w:sz w:val="16"/>
          <w:szCs w:val="16"/>
        </w:rPr>
        <w:t>.</w:t>
      </w:r>
    </w:p>
    <w:p w14:paraId="01F61FAE" w14:textId="1C18621E" w:rsidR="00BF4F98" w:rsidRDefault="00BF4F98" w:rsidP="00BF4F98">
      <w:r>
        <w:t xml:space="preserve">It is important to me to emphasize that I not calling to halakhically permit the prohibited. The sources reveal that there is nuance in </w:t>
      </w:r>
      <w:r w:rsidR="00897402" w:rsidRPr="00897402">
        <w:rPr>
          <w:i/>
          <w:iCs/>
        </w:rPr>
        <w:t>halakhah</w:t>
      </w:r>
      <w:r>
        <w:t xml:space="preserve"> and distinctions between different kinds of touch and types of sexual behavior. It is certainly within the purview of religious parents, educators, and rabbis to provide resources and offer advice beyond the boundaries of Jewish law. The sages of the Talmud repeatedly recognized that sometimes in matters of sexuality, guidance </w:t>
      </w:r>
      <w:commentRangeStart w:id="53"/>
      <w:r>
        <w:rPr>
          <w:i/>
          <w:iCs/>
        </w:rPr>
        <w:t>b’dieved</w:t>
      </w:r>
      <w:commentRangeEnd w:id="53"/>
      <w:r>
        <w:rPr>
          <w:rStyle w:val="CommentReference"/>
        </w:rPr>
        <w:commentReference w:id="53"/>
      </w:r>
      <w:r>
        <w:t>, is mandated.</w:t>
      </w:r>
    </w:p>
    <w:p w14:paraId="5A2A09AF" w14:textId="77777777" w:rsidR="00BF4F98" w:rsidRPr="002405B4" w:rsidRDefault="00BF4F98" w:rsidP="00BF4F98">
      <w:r>
        <w:t>In my years of teaching and lecturing, I find that many religious single men and women, in heterosexual and LGBTQ</w:t>
      </w:r>
      <w:r>
        <w:rPr>
          <w:rStyle w:val="FootnoteReference"/>
          <w:rFonts w:ascii="Calibri" w:hAnsi="Calibri" w:cs="Calibri"/>
        </w:rPr>
        <w:footnoteReference w:id="12"/>
      </w:r>
      <w:r>
        <w:t xml:space="preserve"> communities, are desperately looking to build a Jewish sexual ethic </w:t>
      </w:r>
      <w:r>
        <w:lastRenderedPageBreak/>
        <w:t xml:space="preserve">and infuse their sexuality with meaning despite making non-halakhic decisions. It is here, at this most critical area of their lives, they find themselves without any sort of religious guidance from educators, rabbis, and mentors. In order to create an authentic religious response to the sexual behavior taking place outside of marriage, we need to intentionally and fully think about the values and vocabulary we can use in a Jewish context outside of a justification framework. This too is </w:t>
      </w:r>
      <w:proofErr w:type="gramStart"/>
      <w:r>
        <w:t>Torah</w:t>
      </w:r>
      <w:proofErr w:type="gramEnd"/>
      <w:r>
        <w:t xml:space="preserve"> and we need to learn it.</w:t>
      </w:r>
    </w:p>
    <w:p w14:paraId="61A7B848" w14:textId="77777777" w:rsidR="00CF7B86" w:rsidRDefault="00CF7B86" w:rsidP="00BF4F98"/>
    <w:sectPr w:rsidR="00CF7B86">
      <w:headerReference w:type="default" r:id="rId12"/>
      <w:footerReference w:type="default" r:id="rId13"/>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3-01-19T17:49:00Z" w:initials="JA">
    <w:p w14:paraId="75A0AC82" w14:textId="77777777" w:rsidR="00897402" w:rsidRDefault="00897402" w:rsidP="00897402">
      <w:pPr>
        <w:pStyle w:val="CommentText"/>
      </w:pPr>
      <w:r>
        <w:rPr>
          <w:rStyle w:val="CommentReference"/>
        </w:rPr>
        <w:annotationRef/>
      </w:r>
      <w:r>
        <w:t xml:space="preserve">I am concerned that you move to quickly here. I understand that you want to argue for a more realistic educational attitude to sexuality that </w:t>
      </w:r>
      <w:proofErr w:type="gramStart"/>
      <w:r>
        <w:t>takes into account</w:t>
      </w:r>
      <w:proofErr w:type="gramEnd"/>
      <w:r>
        <w:t xml:space="preserve"> the fact that many, perhaps most people do not live up to the halakhic standard. However, shouldn’t you make that standard clear first? Once you have done that, shouldn’t you then present an explicit argument why we should change the way we educate. Some might argue that the “everything is assur” approach, while it obviously has its problems, is the best way to stand strong against the sexual promiscuity that is so prevalent in secular culture. At least those who sin will not be able to justify it to themselves. Moreover, “everything is assur” perhaps prevents people from “going all the way.” Because they are aware they are sinning, they will set limits for themselves.</w:t>
      </w:r>
    </w:p>
    <w:p w14:paraId="3006F1F6" w14:textId="77777777" w:rsidR="00897402" w:rsidRDefault="00897402" w:rsidP="00897402">
      <w:pPr>
        <w:pStyle w:val="CommentText"/>
      </w:pPr>
      <w:r>
        <w:t xml:space="preserve">I am interested to read how you would respond to the above and it is missing here. </w:t>
      </w:r>
    </w:p>
    <w:p w14:paraId="157D323A" w14:textId="77777777" w:rsidR="00897402" w:rsidRDefault="00897402" w:rsidP="00897402">
      <w:pPr>
        <w:pStyle w:val="CommentText"/>
      </w:pPr>
    </w:p>
    <w:p w14:paraId="7EFC95F6" w14:textId="77777777" w:rsidR="00897402" w:rsidRDefault="00897402" w:rsidP="00897402">
      <w:pPr>
        <w:pStyle w:val="CommentText"/>
      </w:pPr>
    </w:p>
    <w:p w14:paraId="74634847" w14:textId="10929451" w:rsidR="00897402" w:rsidRDefault="00897402" w:rsidP="00897402">
      <w:pPr>
        <w:pStyle w:val="CommentText"/>
        <w:rPr>
          <w:lang w:bidi="he-IL"/>
        </w:rPr>
      </w:pPr>
      <w:r>
        <w:t xml:space="preserve">Bottom line: I would present the mainstream view, if only in short – that all non-marital sexual contact is assur deoraita </w:t>
      </w:r>
    </w:p>
    <w:p w14:paraId="1FD8B66B" w14:textId="77777777" w:rsidR="00897402" w:rsidRDefault="00897402" w:rsidP="00897402">
      <w:pPr>
        <w:pStyle w:val="CommentText"/>
        <w:bidi/>
        <w:rPr>
          <w:lang w:bidi="he-IL"/>
        </w:rPr>
      </w:pPr>
    </w:p>
    <w:p w14:paraId="57DAECA1" w14:textId="77777777" w:rsidR="00897402" w:rsidRDefault="00897402" w:rsidP="00897402">
      <w:pPr>
        <w:pStyle w:val="CommentText"/>
      </w:pPr>
      <w:r>
        <w:rPr>
          <w:lang w:bidi="he-IL"/>
        </w:rPr>
        <w:t>Only then do I think you should qualify, as you do here. E.g.: As we will see, the halakhot of non-marital sexual contact are far more nuanced than what this story pre</w:t>
      </w:r>
      <w:r>
        <w:t xml:space="preserve">sents. Even if they were not, the reality of unmarried couples and their educational needs demand more than simply the assertion of a blanket prohibition. We need to address: </w:t>
      </w:r>
    </w:p>
    <w:p w14:paraId="04B4BA74" w14:textId="77777777" w:rsidR="00897402" w:rsidRDefault="00897402" w:rsidP="00897402">
      <w:pPr>
        <w:pStyle w:val="CommentText"/>
        <w:numPr>
          <w:ilvl w:val="0"/>
          <w:numId w:val="12"/>
        </w:numPr>
      </w:pPr>
      <w:r w:rsidRPr="0049204C">
        <w:t>complexities that religious adults encounter in the sometimes long years before marriage</w:t>
      </w:r>
      <w:r>
        <w:t>.</w:t>
      </w:r>
    </w:p>
    <w:p w14:paraId="24619F14" w14:textId="77777777" w:rsidR="00897402" w:rsidRDefault="00897402" w:rsidP="00897402">
      <w:pPr>
        <w:pStyle w:val="CommentText"/>
        <w:numPr>
          <w:ilvl w:val="0"/>
          <w:numId w:val="12"/>
        </w:numPr>
      </w:pPr>
      <w:r>
        <w:t xml:space="preserve"> The reality that many people fail to live up to this standard. </w:t>
      </w:r>
    </w:p>
    <w:p w14:paraId="502078D0" w14:textId="77777777" w:rsidR="00897402" w:rsidRDefault="00897402" w:rsidP="00897402">
      <w:pPr>
        <w:pStyle w:val="CommentText"/>
        <w:numPr>
          <w:ilvl w:val="0"/>
          <w:numId w:val="12"/>
        </w:numPr>
      </w:pPr>
      <w:r>
        <w:t>The problems or costs that come from a rigid notion that all touch is prohibited.</w:t>
      </w:r>
    </w:p>
    <w:p w14:paraId="701687EA" w14:textId="08C7A666" w:rsidR="00897402" w:rsidRDefault="00897402">
      <w:pPr>
        <w:pStyle w:val="CommentText"/>
      </w:pPr>
    </w:p>
  </w:comment>
  <w:comment w:id="2" w:author="JA" w:date="2023-01-16T16:00:00Z" w:initials="JA">
    <w:p w14:paraId="6AA59536" w14:textId="77777777" w:rsidR="00BF4F98" w:rsidRDefault="00BF4F98" w:rsidP="00BF4F98">
      <w:pPr>
        <w:pStyle w:val="CommentText"/>
      </w:pPr>
      <w:r>
        <w:rPr>
          <w:rStyle w:val="CommentReference"/>
        </w:rPr>
        <w:annotationRef/>
      </w:r>
      <w:r>
        <w:t>You talk about young people  but not the other groups. Given the opening, I was expecting you to say something about both sides. Maybe add something here?</w:t>
      </w:r>
    </w:p>
  </w:comment>
  <w:comment w:id="3" w:author="JA" w:date="2023-01-16T17:53:00Z" w:initials="JA">
    <w:p w14:paraId="37E6D19C" w14:textId="77777777" w:rsidR="00BF4F98" w:rsidRDefault="00BF4F98" w:rsidP="00BF4F98">
      <w:pPr>
        <w:pStyle w:val="CommentText"/>
      </w:pPr>
      <w:r>
        <w:rPr>
          <w:rStyle w:val="CommentReference"/>
        </w:rPr>
        <w:annotationRef/>
      </w:r>
      <w:r>
        <w:t>I reframed this somewhat</w:t>
      </w:r>
    </w:p>
  </w:comment>
  <w:comment w:id="5" w:author="JA" w:date="2023-01-19T18:07:00Z" w:initials="JA">
    <w:p w14:paraId="5D3AAD2A" w14:textId="30973B93" w:rsidR="00897402" w:rsidRDefault="00897402">
      <w:pPr>
        <w:pStyle w:val="CommentText"/>
      </w:pPr>
      <w:r>
        <w:rPr>
          <w:rStyle w:val="CommentReference"/>
        </w:rPr>
        <w:annotationRef/>
      </w:r>
      <w:r>
        <w:t>I added this</w:t>
      </w:r>
    </w:p>
  </w:comment>
  <w:comment w:id="6" w:author="JA" w:date="2023-01-19T17:53:00Z" w:initials="JA">
    <w:p w14:paraId="249E63F6" w14:textId="77777777" w:rsidR="00897402" w:rsidRDefault="00897402" w:rsidP="00897402">
      <w:pPr>
        <w:pStyle w:val="CommentText"/>
      </w:pPr>
      <w:r>
        <w:rPr>
          <w:rStyle w:val="CommentReference"/>
        </w:rPr>
        <w:annotationRef/>
      </w:r>
    </w:p>
  </w:comment>
  <w:comment w:id="7" w:author="JA" w:date="2023-01-19T17:53:00Z" w:initials="JA">
    <w:p w14:paraId="6B6D9CAC" w14:textId="77777777" w:rsidR="00897402" w:rsidRDefault="00897402" w:rsidP="00897402">
      <w:pPr>
        <w:pStyle w:val="CommentText"/>
      </w:pPr>
      <w:r>
        <w:rPr>
          <w:rStyle w:val="CommentReference"/>
        </w:rPr>
        <w:annotationRef/>
      </w:r>
      <w:r>
        <w:t>Revised according to my understanding of the Rambam</w:t>
      </w:r>
    </w:p>
  </w:comment>
  <w:comment w:id="8" w:author="JA" w:date="2023-01-16T16:10:00Z" w:initials="JA">
    <w:p w14:paraId="02DD2BD9" w14:textId="77777777" w:rsidR="00BF4F98" w:rsidRDefault="00BF4F98" w:rsidP="00BF4F98">
      <w:pPr>
        <w:pStyle w:val="CommentText"/>
      </w:pPr>
      <w:r>
        <w:rPr>
          <w:rStyle w:val="CommentReference"/>
        </w:rPr>
        <w:annotationRef/>
      </w:r>
      <w:r>
        <w:t>You have to say “the Shakh” – it is the acronym for his book Siftei Kohen</w:t>
      </w:r>
    </w:p>
  </w:comment>
  <w:comment w:id="9" w:author="JA" w:date="2023-01-17T10:25:00Z" w:initials="JA">
    <w:p w14:paraId="4D9ACA9D" w14:textId="77777777" w:rsidR="00BF4F98" w:rsidRDefault="00BF4F98" w:rsidP="00BF4F98">
      <w:pPr>
        <w:pStyle w:val="CommentText"/>
      </w:pPr>
      <w:r>
        <w:rPr>
          <w:rStyle w:val="CommentReference"/>
        </w:rPr>
        <w:annotationRef/>
      </w:r>
      <w:r>
        <w:t xml:space="preserve">What does this mean? I think it needs to be explained and elaborated. Emotional touch is not a halakhic category. The question is where it stands in the range between explicitly sexual touch and casual/professional touch.  </w:t>
      </w:r>
    </w:p>
    <w:p w14:paraId="465BDA1A" w14:textId="77777777" w:rsidR="00BF4F98" w:rsidRDefault="00BF4F98" w:rsidP="00BF4F98">
      <w:pPr>
        <w:pStyle w:val="CommentText"/>
        <w:rPr>
          <w:lang w:bidi="he-IL"/>
        </w:rPr>
      </w:pPr>
      <w:r>
        <w:t xml:space="preserve">What is think you are trying to communicate to your readers here is that the halakha here is not black and white and has its own ways of dealing with shades of gray. As is evident, touch between the sexes is very dependent on context. In an explicitly sexual context, it is prohibited outside of marriage, with the issur being lo tikrevu legalot ervah (deoraita according to Rambam, derbanan according to Ramban). At the other end of the spectrum nearly  everyone agrees that nonsexual or professional touch is basically permitted, even though many recommend minimizing it as much as possible and that is the common practice in the Orthodox world (husband and wife when she is a nida might be an exception and more stringent – see </w:t>
      </w:r>
      <w:r>
        <w:rPr>
          <w:rFonts w:hint="cs"/>
          <w:rtl/>
          <w:lang w:bidi="he-IL"/>
        </w:rPr>
        <w:t>יו"ד קצה</w:t>
      </w:r>
      <w:r>
        <w:rPr>
          <w:lang w:bidi="he-IL"/>
        </w:rPr>
        <w:t>)</w:t>
      </w:r>
      <w:r>
        <w:t xml:space="preserve">. The question is how to relate to touch which is not, on the one hand explicitly sexual, but nevertheless contains an emotional valence. Here there are a whole range of situations and also a whole range of halakhic attitudes. The Shulhan Arukh represents one end of the spectrum in his emphasis to men that they distance themselves from women very much and his. The Shakh, citing various Talmudic sources, seems to be slightly more relaxed. In the quote I brought above he argues that the </w:t>
      </w:r>
      <w:r>
        <w:rPr>
          <w:rFonts w:hint="cs"/>
          <w:rtl/>
          <w:lang w:bidi="he-IL"/>
        </w:rPr>
        <w:t>לא תקרבו</w:t>
      </w:r>
      <w:r>
        <w:rPr>
          <w:lang w:bidi="he-IL"/>
        </w:rPr>
        <w:t xml:space="preserve"> is only </w:t>
      </w:r>
      <w:r>
        <w:rPr>
          <w:rFonts w:hint="cs"/>
          <w:rtl/>
          <w:lang w:bidi="he-IL"/>
        </w:rPr>
        <w:t>דרך תאוה</w:t>
      </w:r>
      <w:r>
        <w:rPr>
          <w:lang w:bidi="he-IL"/>
        </w:rPr>
        <w:t xml:space="preserve"> and disagrees with the Shulhan Arukh about checking one’s wife’s pulse when she is nida.</w:t>
      </w:r>
    </w:p>
    <w:p w14:paraId="4CCAF4F5" w14:textId="77777777" w:rsidR="00BF4F98" w:rsidRDefault="00BF4F98" w:rsidP="00BF4F98">
      <w:pPr>
        <w:pStyle w:val="CommentText"/>
        <w:rPr>
          <w:lang w:bidi="he-IL"/>
        </w:rPr>
      </w:pPr>
    </w:p>
    <w:p w14:paraId="212428DB" w14:textId="77777777" w:rsidR="00BF4F98" w:rsidRDefault="00BF4F98" w:rsidP="00BF4F98">
      <w:pPr>
        <w:pStyle w:val="CommentText"/>
        <w:rPr>
          <w:lang w:bidi="he-IL"/>
        </w:rPr>
      </w:pPr>
      <w:r>
        <w:rPr>
          <w:lang w:bidi="he-IL"/>
        </w:rPr>
        <w:t>I think you need to mention here some of the factors that poskim have taken into consideration:</w:t>
      </w:r>
    </w:p>
    <w:p w14:paraId="034028D6" w14:textId="77777777" w:rsidR="00BF4F98" w:rsidRDefault="00BF4F98" w:rsidP="00BF4F98">
      <w:pPr>
        <w:pStyle w:val="CommentText"/>
        <w:numPr>
          <w:ilvl w:val="0"/>
          <w:numId w:val="13"/>
        </w:numPr>
        <w:rPr>
          <w:lang w:bidi="he-IL"/>
        </w:rPr>
      </w:pPr>
      <w:r>
        <w:rPr>
          <w:lang w:bidi="he-IL"/>
        </w:rPr>
        <w:t>Context – in general – even casual touch between a  couple who have a sexual relationship is generally regarded as prohibited – e.g. nida. Presumably because the line between casual and non-casual touch is impossible to draw. In the other direction, casual touch between close relatives is generally looked upon more leniently because the context is desexualized.</w:t>
      </w:r>
    </w:p>
    <w:p w14:paraId="4F6B53F6" w14:textId="77777777" w:rsidR="00BF4F98" w:rsidRDefault="00BF4F98" w:rsidP="00BF4F98">
      <w:pPr>
        <w:pStyle w:val="CommentText"/>
        <w:numPr>
          <w:ilvl w:val="0"/>
          <w:numId w:val="13"/>
        </w:numPr>
        <w:rPr>
          <w:lang w:bidi="he-IL"/>
        </w:rPr>
      </w:pPr>
      <w:r>
        <w:rPr>
          <w:lang w:bidi="he-IL"/>
        </w:rPr>
        <w:t xml:space="preserve"> Severity of the issur – if </w:t>
      </w:r>
      <w:r>
        <w:rPr>
          <w:rFonts w:hint="cs"/>
          <w:rtl/>
          <w:lang w:bidi="he-IL"/>
        </w:rPr>
        <w:t>לא תקרבו</w:t>
      </w:r>
      <w:r>
        <w:rPr>
          <w:lang w:bidi="he-IL"/>
        </w:rPr>
        <w:t xml:space="preserve"> is deoraita, we will tend to be more stringent about it. </w:t>
      </w:r>
    </w:p>
    <w:p w14:paraId="6380E360" w14:textId="77777777" w:rsidR="00BF4F98" w:rsidRDefault="00BF4F98" w:rsidP="00BF4F98">
      <w:pPr>
        <w:pStyle w:val="CommentText"/>
        <w:rPr>
          <w:lang w:bidi="he-IL"/>
        </w:rPr>
      </w:pPr>
      <w:r>
        <w:rPr>
          <w:lang w:bidi="he-IL"/>
        </w:rPr>
        <w:t xml:space="preserve">If you want to distinguish between emotional touch and sexual touch, you need to put it into this context. As it is, you are too quick to make the distinction. </w:t>
      </w:r>
    </w:p>
    <w:p w14:paraId="629FD701" w14:textId="77777777" w:rsidR="00BF4F98" w:rsidRDefault="00BF4F98" w:rsidP="00BF4F98">
      <w:pPr>
        <w:pStyle w:val="CommentText"/>
        <w:rPr>
          <w:lang w:bidi="he-IL"/>
        </w:rPr>
      </w:pPr>
      <w:r>
        <w:rPr>
          <w:lang w:bidi="he-IL"/>
        </w:rPr>
        <w:t xml:space="preserve">Furthermore, if you think it is important that couples be made aware of this spectrum (and I agree) you need to carefully explain why. </w:t>
      </w:r>
    </w:p>
    <w:p w14:paraId="2908283E" w14:textId="77777777" w:rsidR="00BF4F98" w:rsidRDefault="00BF4F98" w:rsidP="00BF4F98">
      <w:pPr>
        <w:pStyle w:val="CommentText"/>
      </w:pPr>
      <w:r>
        <w:t xml:space="preserve"> </w:t>
      </w:r>
    </w:p>
  </w:comment>
  <w:comment w:id="10" w:author="JA" w:date="2023-01-17T12:15:00Z" w:initials="JA">
    <w:p w14:paraId="1250E6E6" w14:textId="77777777" w:rsidR="00BF4F98" w:rsidRDefault="00BF4F98" w:rsidP="00BF4F98">
      <w:pPr>
        <w:pStyle w:val="CommentText"/>
      </w:pPr>
      <w:r>
        <w:rPr>
          <w:rStyle w:val="CommentReference"/>
        </w:rPr>
        <w:annotationRef/>
      </w:r>
      <w:r>
        <w:t xml:space="preserve">I was looking forward to a discussion of the question of emotional touch and whether it can be delineated as non-sexual, at least some of the time (there is a whole discussion about childbirth/ miscarriage, comforting touch in recent halakhic literature as I am sure you are aware). You basically do not discuss that and your discussion does not really have anything to do with emotional touch. </w:t>
      </w:r>
    </w:p>
    <w:p w14:paraId="44B6D25B" w14:textId="77777777" w:rsidR="00BF4F98" w:rsidRDefault="00BF4F98" w:rsidP="00BF4F98">
      <w:pPr>
        <w:pStyle w:val="CommentText"/>
      </w:pPr>
      <w:r>
        <w:t xml:space="preserve">If you want to discuss Manolson’s book, I suggest you do it as part of the the “how should we educate” section and not here. </w:t>
      </w:r>
    </w:p>
  </w:comment>
  <w:comment w:id="11" w:author="JA" w:date="2023-01-17T13:23:00Z" w:initials="JA">
    <w:p w14:paraId="634FF119" w14:textId="77777777" w:rsidR="00BF4F98" w:rsidRDefault="00BF4F98" w:rsidP="00BF4F98">
      <w:pPr>
        <w:pStyle w:val="CommentText"/>
      </w:pPr>
      <w:r>
        <w:rPr>
          <w:rStyle w:val="CommentReference"/>
        </w:rPr>
        <w:annotationRef/>
      </w:r>
      <w:r>
        <w:t>Is this a good thing? I think it is sometimes but it also can result in people marrying too young/soon. Perhaps mention that too.</w:t>
      </w:r>
    </w:p>
  </w:comment>
  <w:comment w:id="12" w:author="JA" w:date="2023-01-17T13:36:00Z" w:initials="JA">
    <w:p w14:paraId="238BEC16" w14:textId="77777777" w:rsidR="00BF4F98" w:rsidRDefault="00BF4F98" w:rsidP="00BF4F98">
      <w:pPr>
        <w:pStyle w:val="CommentText"/>
      </w:pPr>
      <w:r>
        <w:rPr>
          <w:rStyle w:val="CommentReference"/>
        </w:rPr>
        <w:annotationRef/>
      </w:r>
      <w:r>
        <w:t xml:space="preserve">Insert something here about how that lack of intimacy can also be a problem in the marriage. </w:t>
      </w:r>
    </w:p>
  </w:comment>
  <w:comment w:id="13" w:author="JA" w:date="2023-01-19T11:59:00Z" w:initials="JA">
    <w:p w14:paraId="4A7317A4" w14:textId="77777777" w:rsidR="00897402" w:rsidRDefault="00897402" w:rsidP="00897402">
      <w:pPr>
        <w:pStyle w:val="CommentText"/>
      </w:pPr>
      <w:r>
        <w:rPr>
          <w:rStyle w:val="CommentReference"/>
        </w:rPr>
        <w:annotationRef/>
      </w:r>
      <w:r>
        <w:t xml:space="preserve">Source? The Rambam talks about this here: </w:t>
      </w:r>
    </w:p>
    <w:p w14:paraId="3C5EC7D1" w14:textId="77777777" w:rsidR="00897402" w:rsidRDefault="00897402" w:rsidP="00897402">
      <w:pPr>
        <w:pStyle w:val="CommentText"/>
        <w:bidi/>
      </w:pPr>
      <w:r>
        <w:rPr>
          <w:rtl/>
          <w:lang w:bidi="he-IL"/>
        </w:rPr>
        <w:t>רמב"ם הלכות איסורי ביאה פרק כא</w:t>
      </w:r>
    </w:p>
    <w:p w14:paraId="1B248395" w14:textId="77777777" w:rsidR="00897402" w:rsidRDefault="00897402" w:rsidP="00897402">
      <w:pPr>
        <w:pStyle w:val="CommentText"/>
        <w:bidi/>
      </w:pPr>
      <w:r>
        <w:rPr>
          <w:rtl/>
          <w:lang w:bidi="he-IL"/>
        </w:rPr>
        <w:t>הלכה ה</w:t>
      </w:r>
    </w:p>
    <w:p w14:paraId="62D898C2" w14:textId="77777777" w:rsidR="00897402" w:rsidRDefault="00897402" w:rsidP="00897402">
      <w:pPr>
        <w:pStyle w:val="CommentText"/>
        <w:bidi/>
      </w:pPr>
      <w:r>
        <w:rPr>
          <w:rtl/>
          <w:lang w:bidi="he-IL"/>
        </w:rPr>
        <w:t xml:space="preserve">אסור להשתמש באשה כלל בין גדולה בין קטנה בין שפחה בין משוחררת שמא יבוא לידי הרהור, באי זה שמוש אמרו רחיצת פניו ידיו ורגליו והצעת מטה לפניו ומזיגת הכוס שאין עושה לאיש דברים אלו אלא אשתו בלבד, ואין שואלין בשלום אשה כלל ואפילו על ידי שליח. </w:t>
      </w:r>
    </w:p>
    <w:p w14:paraId="2A693C12" w14:textId="77777777" w:rsidR="00897402" w:rsidRDefault="00897402" w:rsidP="00897402">
      <w:pPr>
        <w:pStyle w:val="CommentText"/>
        <w:bidi/>
      </w:pPr>
      <w:r>
        <w:rPr>
          <w:rtl/>
          <w:lang w:bidi="he-IL"/>
        </w:rPr>
        <w:t>הלכה ו</w:t>
      </w:r>
    </w:p>
    <w:p w14:paraId="2232401A" w14:textId="77777777" w:rsidR="00897402" w:rsidRDefault="00897402" w:rsidP="00897402">
      <w:pPr>
        <w:pStyle w:val="CommentText"/>
        <w:bidi/>
        <w:rPr>
          <w:lang w:bidi="he-IL"/>
        </w:rPr>
      </w:pPr>
      <w:r>
        <w:rPr>
          <w:rtl/>
          <w:lang w:bidi="he-IL"/>
        </w:rPr>
        <w:t>המחבק אחת מן העריות שאין לבו של אדם נוקפו עליהן או שנשק לאחת מהן כגון אחותו הגדולה ואחות אמו וכיוצא בהן אף על פי שאין שם תאוה ולא הנאה כלל הרי זה מגונה ביותר ודבר אסור הוא ומעשה טפשים הוא, שאין קריבין לערוה כלל בין גדולה בין קטנה חוץ מהאם לבנה והאב לבתו.</w:t>
      </w:r>
    </w:p>
    <w:p w14:paraId="7CD1FCCF" w14:textId="77777777" w:rsidR="00897402" w:rsidRDefault="00897402" w:rsidP="00897402">
      <w:pPr>
        <w:pStyle w:val="CommentText"/>
      </w:pPr>
      <w:r>
        <w:rPr>
          <w:rFonts w:hint="cs"/>
          <w:lang w:bidi="he-IL"/>
        </w:rPr>
        <w:t>T</w:t>
      </w:r>
      <w:r>
        <w:rPr>
          <w:lang w:bidi="he-IL"/>
        </w:rPr>
        <w:t xml:space="preserve">he issur </w:t>
      </w:r>
      <w:r>
        <w:rPr>
          <w:rFonts w:hint="cs"/>
          <w:rtl/>
          <w:lang w:bidi="he-IL"/>
        </w:rPr>
        <w:t>להשתמש באישה</w:t>
      </w:r>
      <w:r>
        <w:rPr>
          <w:lang w:bidi="he-IL"/>
        </w:rPr>
        <w:t xml:space="preserve"> is Talmudic so I suppose that is a source but then it is not just Maimonides – although that is not really emotional touch. The source for the second halakhah which is </w:t>
      </w:r>
      <w:proofErr w:type="gramStart"/>
      <w:r>
        <w:rPr>
          <w:lang w:bidi="he-IL"/>
        </w:rPr>
        <w:t>more</w:t>
      </w:r>
      <w:proofErr w:type="gramEnd"/>
      <w:r>
        <w:rPr>
          <w:lang w:bidi="he-IL"/>
        </w:rPr>
        <w:t xml:space="preserve"> or less emotional touch is more ambiguous as is apparent from the Rambam’s language. </w:t>
      </w:r>
    </w:p>
  </w:comment>
  <w:comment w:id="14" w:author="JA" w:date="2023-01-19T12:05:00Z" w:initials="JA">
    <w:p w14:paraId="0D923BE0" w14:textId="77777777" w:rsidR="00897402" w:rsidRDefault="00897402" w:rsidP="00897402">
      <w:pPr>
        <w:pStyle w:val="CommentText"/>
      </w:pPr>
      <w:r>
        <w:rPr>
          <w:rStyle w:val="CommentReference"/>
        </w:rPr>
        <w:annotationRef/>
      </w:r>
      <w:r>
        <w:t xml:space="preserve">But see Rambam halakha 5 cited above. Certainly in the case of </w:t>
      </w:r>
      <w:proofErr w:type="gramStart"/>
      <w:r>
        <w:t>a husband and wife</w:t>
      </w:r>
      <w:proofErr w:type="gramEnd"/>
      <w:r>
        <w:t xml:space="preserve"> there is an issue here. I would rephrase more carefully. </w:t>
      </w:r>
    </w:p>
  </w:comment>
  <w:comment w:id="15" w:author="JA" w:date="2023-01-19T09:47:00Z" w:initials="JA">
    <w:p w14:paraId="5D2F427B" w14:textId="77777777" w:rsidR="00897402" w:rsidRDefault="00897402" w:rsidP="00897402">
      <w:pPr>
        <w:pStyle w:val="CommentText"/>
      </w:pPr>
      <w:r>
        <w:rPr>
          <w:rStyle w:val="CommentReference"/>
        </w:rPr>
        <w:annotationRef/>
      </w:r>
      <w:r>
        <w:t>I changed the translation to make it more understandable</w:t>
      </w:r>
    </w:p>
  </w:comment>
  <w:comment w:id="16" w:author="JA" w:date="2023-01-19T10:16:00Z" w:initials="JA">
    <w:p w14:paraId="791653AE" w14:textId="77777777" w:rsidR="00897402" w:rsidRDefault="00897402" w:rsidP="00897402">
      <w:pPr>
        <w:pStyle w:val="CommentText"/>
      </w:pPr>
      <w:r>
        <w:rPr>
          <w:rStyle w:val="CommentReference"/>
        </w:rPr>
        <w:annotationRef/>
      </w:r>
      <w:r>
        <w:t>I added this</w:t>
      </w:r>
    </w:p>
  </w:comment>
  <w:comment w:id="18" w:author="JA" w:date="2023-01-19T10:35:00Z" w:initials="JA">
    <w:p w14:paraId="689522BC" w14:textId="77777777" w:rsidR="00897402" w:rsidRDefault="00897402" w:rsidP="00897402">
      <w:pPr>
        <w:pStyle w:val="CommentText"/>
        <w:rPr>
          <w:lang w:bidi="he-IL"/>
        </w:rPr>
      </w:pPr>
      <w:r>
        <w:rPr>
          <w:rStyle w:val="CommentReference"/>
        </w:rPr>
        <w:annotationRef/>
      </w:r>
      <w:r>
        <w:t xml:space="preserve">I do not think you need to put this in but </w:t>
      </w:r>
      <w:r>
        <w:rPr>
          <w:rFonts w:hint="cs"/>
          <w:rtl/>
          <w:lang w:bidi="he-IL"/>
        </w:rPr>
        <w:t>מדרש תנאים</w:t>
      </w:r>
      <w:r>
        <w:rPr>
          <w:lang w:bidi="he-IL"/>
        </w:rPr>
        <w:t xml:space="preserve"> </w:t>
      </w:r>
      <w:r>
        <w:t xml:space="preserve">supports the Rambam/Rashbam reading and also </w:t>
      </w:r>
      <w:r>
        <w:rPr>
          <w:lang w:bidi="he-IL"/>
        </w:rPr>
        <w:t xml:space="preserve">understands kadesh to be a male prostitute for homosexuals: </w:t>
      </w:r>
    </w:p>
    <w:p w14:paraId="3C626F1F" w14:textId="77777777" w:rsidR="00897402" w:rsidRDefault="00897402" w:rsidP="00897402">
      <w:pPr>
        <w:pStyle w:val="CommentText"/>
        <w:rPr>
          <w:lang w:bidi="he-IL"/>
        </w:rPr>
      </w:pPr>
    </w:p>
    <w:p w14:paraId="274DD686" w14:textId="77777777" w:rsidR="00897402" w:rsidRDefault="00897402" w:rsidP="00897402">
      <w:pPr>
        <w:pStyle w:val="CommentText"/>
        <w:bidi/>
      </w:pPr>
      <w:r>
        <w:rPr>
          <w:rtl/>
          <w:lang w:bidi="he-IL"/>
        </w:rPr>
        <w:t>מדרש תנאים לדברים פרק כג</w:t>
      </w:r>
      <w:r>
        <w:rPr>
          <w:lang w:bidi="he-IL"/>
        </w:rPr>
        <w:t xml:space="preserve"> </w:t>
      </w:r>
      <w:r>
        <w:rPr>
          <w:rtl/>
          <w:lang w:bidi="he-IL"/>
        </w:rPr>
        <w:t>פסוק יח</w:t>
      </w:r>
    </w:p>
    <w:p w14:paraId="702B997C" w14:textId="77777777" w:rsidR="00897402" w:rsidRDefault="00897402" w:rsidP="00897402">
      <w:pPr>
        <w:pStyle w:val="CommentText"/>
        <w:bidi/>
        <w:rPr>
          <w:lang w:bidi="he-IL"/>
        </w:rPr>
      </w:pPr>
      <w:r>
        <w:rPr>
          <w:rtl/>
          <w:lang w:bidi="he-IL"/>
        </w:rPr>
        <w:t>(יח). לא תהיה קדשה מב' יש' הרי זו אזהרה למופנה שנ' (בראשית לח כא) ויאמ' לא היתה בזה קד' (וכל הבועל אשה לשם זנות בלא קידושין לוקה): ולא יהי' קד' מב' יש' זה משכב זכור והוא שנ' להלן (ויק' יח כב) ואת זכר לא תש' משכ' אשה: וה"א (מ"א יד כד) וגם קדש היה בארץ:</w:t>
      </w:r>
    </w:p>
    <w:p w14:paraId="53AC1CD6" w14:textId="77777777" w:rsidR="00897402" w:rsidRDefault="00897402" w:rsidP="00897402">
      <w:pPr>
        <w:pStyle w:val="CommentText"/>
        <w:bidi/>
        <w:rPr>
          <w:lang w:bidi="he-IL"/>
        </w:rPr>
      </w:pPr>
    </w:p>
    <w:p w14:paraId="0CDB2213" w14:textId="77777777" w:rsidR="00897402" w:rsidRDefault="00897402" w:rsidP="00897402">
      <w:pPr>
        <w:pStyle w:val="CommentText"/>
        <w:rPr>
          <w:lang w:bidi="he-IL"/>
        </w:rPr>
      </w:pPr>
      <w:r>
        <w:rPr>
          <w:lang w:bidi="he-IL"/>
        </w:rPr>
        <w:t>I suspect that Rashi and Rashbam both could not really imagine a situation of a woman who has sex outside of marriage who was not promiscuous</w:t>
      </w:r>
    </w:p>
  </w:comment>
  <w:comment w:id="17" w:author="JA" w:date="2023-01-19T18:11:00Z" w:initials="JA">
    <w:p w14:paraId="5FE648AA" w14:textId="73483246" w:rsidR="00897402" w:rsidRDefault="00897402">
      <w:pPr>
        <w:pStyle w:val="CommentText"/>
      </w:pPr>
      <w:r>
        <w:rPr>
          <w:rStyle w:val="CommentReference"/>
        </w:rPr>
        <w:annotationRef/>
      </w:r>
      <w:bookmarkStart w:id="19" w:name="_Hlk125044412"/>
      <w:r>
        <w:t>I think you cansafely leave out the Rashi and Rashbam. They do not add very much and the Rambam/Raavad dispute is much more central.</w:t>
      </w:r>
      <w:bookmarkEnd w:id="19"/>
    </w:p>
  </w:comment>
  <w:comment w:id="20" w:author="JA" w:date="2023-01-19T10:51:00Z" w:initials="JA">
    <w:p w14:paraId="4DB6EEB2" w14:textId="77777777" w:rsidR="00897402" w:rsidRDefault="00897402" w:rsidP="00897402">
      <w:pPr>
        <w:pStyle w:val="CommentText"/>
      </w:pPr>
      <w:r>
        <w:rPr>
          <w:rStyle w:val="CommentReference"/>
        </w:rPr>
        <w:annotationRef/>
      </w:r>
      <w:r>
        <w:t xml:space="preserve">I think there are other reasons as well. I do not think that the heart of the Raavad’s objection is the “straightforward meaning of the Biblical passage” but rather </w:t>
      </w:r>
    </w:p>
  </w:comment>
  <w:comment w:id="21" w:author="JA" w:date="2023-01-19T10:53:00Z" w:initials="JA">
    <w:p w14:paraId="7DEFFA8D" w14:textId="77777777" w:rsidR="00897402" w:rsidRDefault="00897402" w:rsidP="00897402">
      <w:pPr>
        <w:pStyle w:val="CommentText"/>
      </w:pPr>
      <w:r>
        <w:rPr>
          <w:rStyle w:val="CommentReference"/>
        </w:rPr>
        <w:annotationRef/>
      </w:r>
      <w:r>
        <w:t xml:space="preserve">Maybe mention here that according to the Rambam, only kings are allowed concubines: </w:t>
      </w:r>
    </w:p>
    <w:p w14:paraId="7A6BF5E5" w14:textId="77777777" w:rsidR="00897402" w:rsidRDefault="00897402" w:rsidP="00897402">
      <w:pPr>
        <w:pStyle w:val="CommentText"/>
        <w:bidi/>
      </w:pPr>
      <w:r>
        <w:rPr>
          <w:rtl/>
          <w:lang w:bidi="he-IL"/>
        </w:rPr>
        <w:t>רמב"ם הלכות מלכים פרק ד</w:t>
      </w:r>
    </w:p>
    <w:p w14:paraId="1AC54A01" w14:textId="77777777" w:rsidR="00897402" w:rsidRDefault="00897402" w:rsidP="00897402">
      <w:pPr>
        <w:pStyle w:val="CommentText"/>
        <w:bidi/>
      </w:pPr>
      <w:r>
        <w:rPr>
          <w:rtl/>
          <w:lang w:bidi="he-IL"/>
        </w:rPr>
        <w:t>וכן לוקח מכל גבול ישראל נשים ופלגשים, נשים בכתובה וקדושין, ופלגשים בלא כתובה ובלא קידושין אלא ביחוד בלבד קונה אותה ומותרת לו, אבל ההדיוט אסור בפילגש אלא באמה העבריה בלבד אחר ייעוד, ויש לו [רשות] לעשות הפילגשים שלוקח לארמונו טבחות ואופות ורקחות, שנאמר ואת בנותיכם יקח לרקחות ולטבחות ולאופות.</w:t>
      </w:r>
    </w:p>
  </w:comment>
  <w:comment w:id="22" w:author="JA" w:date="2023-01-19T11:05:00Z" w:initials="JA">
    <w:p w14:paraId="1DB4CCED" w14:textId="77777777" w:rsidR="00897402" w:rsidRDefault="00897402" w:rsidP="00897402">
      <w:pPr>
        <w:pStyle w:val="CommentText"/>
        <w:rPr>
          <w:lang w:bidi="he-IL"/>
        </w:rPr>
      </w:pPr>
      <w:r>
        <w:rPr>
          <w:rStyle w:val="CommentReference"/>
        </w:rPr>
        <w:annotationRef/>
      </w:r>
      <w:r>
        <w:t xml:space="preserve">I do not think it reverberated. Until R. Yaakov Emden, I do not think anyone even considered permitting sexual relations outside of marriage. It would have been regarded as a scandalous abandonment of the honor of </w:t>
      </w:r>
      <w:r>
        <w:rPr>
          <w:rFonts w:hint="cs"/>
          <w:rtl/>
          <w:lang w:bidi="he-IL"/>
        </w:rPr>
        <w:t>בנות ישראל</w:t>
      </w:r>
      <w:r>
        <w:rPr>
          <w:lang w:bidi="he-IL"/>
        </w:rPr>
        <w:t xml:space="preserve"> to permit sex outside of marriage. </w:t>
      </w:r>
    </w:p>
    <w:p w14:paraId="3C265B4B" w14:textId="77777777" w:rsidR="00897402" w:rsidRDefault="00897402" w:rsidP="00897402">
      <w:pPr>
        <w:pStyle w:val="CommentText"/>
        <w:rPr>
          <w:lang w:bidi="he-IL"/>
        </w:rPr>
      </w:pPr>
      <w:r>
        <w:rPr>
          <w:lang w:bidi="he-IL"/>
        </w:rPr>
        <w:t xml:space="preserve">It is worth remembering that the confining of sexuality to marriage is historically a way of protecting women. </w:t>
      </w:r>
    </w:p>
    <w:p w14:paraId="268912C1" w14:textId="77777777" w:rsidR="00897402" w:rsidRDefault="00897402" w:rsidP="00897402">
      <w:pPr>
        <w:pStyle w:val="CommentText"/>
        <w:rPr>
          <w:lang w:bidi="he-IL"/>
        </w:rPr>
      </w:pPr>
      <w:r>
        <w:rPr>
          <w:lang w:bidi="he-IL"/>
        </w:rPr>
        <w:t xml:space="preserve">I suggest you delete this paragraph and proceed straight to the Rivash </w:t>
      </w:r>
    </w:p>
  </w:comment>
  <w:comment w:id="23" w:author="JA" w:date="2023-01-19T11:48:00Z" w:initials="JA">
    <w:p w14:paraId="73A14D07" w14:textId="77777777" w:rsidR="00897402" w:rsidRDefault="00897402" w:rsidP="00897402">
      <w:pPr>
        <w:pStyle w:val="CommentText"/>
      </w:pPr>
      <w:r>
        <w:rPr>
          <w:rStyle w:val="CommentReference"/>
        </w:rPr>
        <w:annotationRef/>
      </w:r>
      <w:r>
        <w:t xml:space="preserve">Really? With all due respect, R. Yaakov Emden was a very strange </w:t>
      </w:r>
      <w:proofErr w:type="gramStart"/>
      <w:r>
        <w:t>man</w:t>
      </w:r>
      <w:proofErr w:type="gramEnd"/>
      <w:r>
        <w:t xml:space="preserve"> and his proposal was not taken seriously then or since. When Zvi Zohar tried to revive this idea of pilegesh 15 years ago or so, he was more or less dismissed across the board. I am not sure you want to join that camp. The institution of pilegesh is not one that is favorable to women.</w:t>
      </w:r>
    </w:p>
    <w:p w14:paraId="0E14FA5C" w14:textId="77777777" w:rsidR="00897402" w:rsidRDefault="00897402" w:rsidP="00897402">
      <w:pPr>
        <w:pStyle w:val="CommentText"/>
      </w:pPr>
      <w:r>
        <w:t>I would be careful of viewing R. Emden’s suggestion as a positive contribution.</w:t>
      </w:r>
    </w:p>
  </w:comment>
  <w:comment w:id="24" w:author="JA" w:date="2023-01-18T11:37:00Z" w:initials="JA">
    <w:p w14:paraId="1C47E098" w14:textId="77777777" w:rsidR="00BF4F98" w:rsidRDefault="00BF4F98" w:rsidP="00BF4F98">
      <w:pPr>
        <w:pStyle w:val="CommentText"/>
      </w:pPr>
      <w:r>
        <w:rPr>
          <w:rStyle w:val="CommentReference"/>
        </w:rPr>
        <w:annotationRef/>
      </w:r>
      <w:r>
        <w:t>I made this a bit more explicit</w:t>
      </w:r>
    </w:p>
  </w:comment>
  <w:comment w:id="25" w:author="JA" w:date="2023-01-18T12:10:00Z" w:initials="JA">
    <w:p w14:paraId="0C7FDAB3" w14:textId="77777777" w:rsidR="00BF4F98" w:rsidRDefault="00BF4F98" w:rsidP="00BF4F98">
      <w:pPr>
        <w:pStyle w:val="CommentText"/>
      </w:pPr>
      <w:r>
        <w:rPr>
          <w:rStyle w:val="CommentReference"/>
        </w:rPr>
        <w:annotationRef/>
      </w:r>
      <w:r>
        <w:t>I fixed up the translation a bit</w:t>
      </w:r>
    </w:p>
  </w:comment>
  <w:comment w:id="26" w:author="JA" w:date="2023-01-19T18:17:00Z" w:initials="JA">
    <w:p w14:paraId="681B0CC1" w14:textId="346E35D8" w:rsidR="00897402" w:rsidRDefault="00897402">
      <w:pPr>
        <w:pStyle w:val="CommentText"/>
      </w:pPr>
      <w:r>
        <w:rPr>
          <w:rStyle w:val="CommentReference"/>
        </w:rPr>
        <w:annotationRef/>
      </w:r>
      <w:bookmarkStart w:id="27" w:name="_Hlk125044701"/>
      <w:r>
        <w:t>I would say – as a way for them to be promiscuous without risking karet</w:t>
      </w:r>
      <w:bookmarkEnd w:id="27"/>
    </w:p>
  </w:comment>
  <w:comment w:id="28" w:author="JA" w:date="2023-01-19T12:12:00Z" w:initials="JA">
    <w:p w14:paraId="1C2A9526" w14:textId="77777777" w:rsidR="00BF4F98" w:rsidRDefault="00BF4F98" w:rsidP="00BF4F98">
      <w:pPr>
        <w:pStyle w:val="CommentText"/>
      </w:pPr>
      <w:r>
        <w:rPr>
          <w:rStyle w:val="CommentReference"/>
        </w:rPr>
        <w:annotationRef/>
      </w:r>
      <w:r>
        <w:t>I wonder how serious this is</w:t>
      </w:r>
      <w:proofErr w:type="gramStart"/>
      <w:r>
        <w:t xml:space="preserve">.  </w:t>
      </w:r>
      <w:proofErr w:type="gramEnd"/>
      <w:r>
        <w:t xml:space="preserve">Did anyone ever not have sex out of fear of being exposed in her ketubah? I doubt it. </w:t>
      </w:r>
    </w:p>
  </w:comment>
  <w:comment w:id="29" w:author="JA" w:date="2023-01-19T13:04:00Z" w:initials="JA">
    <w:p w14:paraId="28A881F0" w14:textId="77777777" w:rsidR="00BF4F98" w:rsidRDefault="00BF4F98" w:rsidP="00BF4F98">
      <w:pPr>
        <w:pStyle w:val="CommentText"/>
      </w:pPr>
      <w:r>
        <w:rPr>
          <w:rStyle w:val="CommentReference"/>
        </w:rPr>
        <w:annotationRef/>
      </w:r>
      <w:r>
        <w:t>I added this</w:t>
      </w:r>
    </w:p>
  </w:comment>
  <w:comment w:id="30" w:author="JA" w:date="2023-01-19T13:04:00Z" w:initials="JA">
    <w:p w14:paraId="638D9154" w14:textId="77777777" w:rsidR="00BF4F98" w:rsidRDefault="00BF4F98" w:rsidP="00BF4F98">
      <w:pPr>
        <w:pStyle w:val="CommentText"/>
        <w:rPr>
          <w:lang w:bidi="he-IL"/>
        </w:rPr>
      </w:pPr>
      <w:r>
        <w:rPr>
          <w:rStyle w:val="CommentReference"/>
        </w:rPr>
        <w:annotationRef/>
      </w:r>
      <w:r>
        <w:t xml:space="preserve">It is not clear what you mean here. Do you mean that the man pressures the woman to have anal sex/ pleasure him orally and she agrees to those but not to vaginal intercourse in order to preserve her virginity? That is in fact messed up, but not really for halakhic reasons and their misconceptions about the halakhah are really the least of their problems. I suggest either leaving this paragraph out or dedicating a broader discussion to sexual relations and the differences between </w:t>
      </w:r>
      <w:r>
        <w:rPr>
          <w:rFonts w:hint="cs"/>
          <w:rtl/>
          <w:lang w:bidi="he-IL"/>
        </w:rPr>
        <w:t>ביאה, ביאה שלא כדרכה וביאה דרך אברים</w:t>
      </w:r>
      <w:r>
        <w:rPr>
          <w:lang w:bidi="he-IL"/>
        </w:rPr>
        <w:t>.</w:t>
      </w:r>
    </w:p>
  </w:comment>
  <w:comment w:id="32" w:author="JA" w:date="2023-01-19T13:18:00Z" w:initials="JA">
    <w:p w14:paraId="490D25BF" w14:textId="77777777" w:rsidR="00BF4F98" w:rsidRDefault="00BF4F98" w:rsidP="00BF4F98">
      <w:pPr>
        <w:pStyle w:val="CommentText"/>
      </w:pPr>
      <w:r>
        <w:rPr>
          <w:rStyle w:val="CommentReference"/>
        </w:rPr>
        <w:annotationRef/>
      </w:r>
      <w:r>
        <w:t>added</w:t>
      </w:r>
    </w:p>
  </w:comment>
  <w:comment w:id="33" w:author="JA" w:date="2023-01-19T13:18:00Z" w:initials="JA">
    <w:p w14:paraId="186DEF40" w14:textId="77777777" w:rsidR="00BF4F98" w:rsidRDefault="00BF4F98" w:rsidP="00BF4F98">
      <w:pPr>
        <w:pStyle w:val="CommentText"/>
      </w:pPr>
      <w:r>
        <w:rPr>
          <w:rStyle w:val="CommentReference"/>
        </w:rPr>
        <w:annotationRef/>
      </w:r>
      <w:r>
        <w:t>no footnote</w:t>
      </w:r>
    </w:p>
  </w:comment>
  <w:comment w:id="31" w:author="JA" w:date="2023-01-19T13:20:00Z" w:initials="JA">
    <w:p w14:paraId="4C801C14" w14:textId="77777777" w:rsidR="00BF4F98" w:rsidRDefault="00BF4F98" w:rsidP="00BF4F98">
      <w:pPr>
        <w:pStyle w:val="CommentText"/>
      </w:pPr>
      <w:r>
        <w:rPr>
          <w:rStyle w:val="CommentReference"/>
        </w:rPr>
        <w:annotationRef/>
      </w:r>
      <w:r>
        <w:t>It is unclear why this section is included in the chapter beyond it being general information about sexuality and halakhah. Perhaps add something explaining why it is important to discuss?</w:t>
      </w:r>
    </w:p>
  </w:comment>
  <w:comment w:id="34" w:author="JA" w:date="2023-01-19T13:54:00Z" w:initials="JA">
    <w:p w14:paraId="69C1FD16" w14:textId="77777777" w:rsidR="00BF4F98" w:rsidRDefault="00BF4F98" w:rsidP="00BF4F98">
      <w:pPr>
        <w:pStyle w:val="CommentText"/>
      </w:pPr>
      <w:r>
        <w:rPr>
          <w:rStyle w:val="CommentReference"/>
        </w:rPr>
        <w:annotationRef/>
      </w:r>
      <w:r>
        <w:t xml:space="preserve">Solution? Doesn’t the fact that something is illicit make it inappropriate to offer a solution? I recommend deleting and just say: Often , the </w:t>
      </w:r>
      <w:r w:rsidRPr="00E73F96">
        <w:t xml:space="preserve">protagonist shows heroic discipline in refraining from </w:t>
      </w:r>
      <w:r>
        <w:t>sin.</w:t>
      </w:r>
    </w:p>
  </w:comment>
  <w:comment w:id="35" w:author="JA" w:date="2023-01-19T14:13:00Z" w:initials="JA">
    <w:p w14:paraId="52171C51" w14:textId="77777777" w:rsidR="00BF4F98" w:rsidRDefault="00BF4F98" w:rsidP="00BF4F98">
      <w:pPr>
        <w:pStyle w:val="CommentText"/>
        <w:rPr>
          <w:lang w:bidi="he-IL"/>
        </w:rPr>
      </w:pPr>
      <w:r>
        <w:rPr>
          <w:rStyle w:val="CommentReference"/>
        </w:rPr>
        <w:annotationRef/>
      </w:r>
      <w:r>
        <w:t xml:space="preserve">This oft-cited source is usually mis-interpreted. I do not think it offers anything remotely resembling sanction or even acceptance of illicit behavior. It is about </w:t>
      </w:r>
      <w:r>
        <w:rPr>
          <w:rFonts w:hint="cs"/>
          <w:rtl/>
          <w:lang w:bidi="he-IL"/>
        </w:rPr>
        <w:t>חילול ה'</w:t>
      </w:r>
      <w:r>
        <w:rPr>
          <w:lang w:bidi="he-IL"/>
        </w:rPr>
        <w:t xml:space="preserve"> – that if you are going to fail, at least do so privately so that it is not also a hillul hashem. That is evident also from the line directly preceding it: </w:t>
      </w:r>
    </w:p>
    <w:p w14:paraId="5BA63BC5" w14:textId="77777777" w:rsidR="00BF4F98" w:rsidRDefault="00BF4F98" w:rsidP="00BF4F98">
      <w:pPr>
        <w:pStyle w:val="CommentText"/>
        <w:bidi/>
      </w:pPr>
      <w:r>
        <w:rPr>
          <w:rtl/>
          <w:lang w:bidi="he-IL"/>
        </w:rPr>
        <w:t>תלמוד בבלי מסכת קידושין דף מ עמוד א</w:t>
      </w:r>
    </w:p>
    <w:p w14:paraId="134FE76F" w14:textId="77777777" w:rsidR="00BF4F98" w:rsidRDefault="00BF4F98" w:rsidP="00BF4F98">
      <w:pPr>
        <w:pStyle w:val="CommentText"/>
        <w:bidi/>
        <w:rPr>
          <w:lang w:bidi="he-IL"/>
        </w:rPr>
      </w:pPr>
      <w:r>
        <w:rPr>
          <w:rtl/>
          <w:lang w:bidi="he-IL"/>
        </w:rPr>
        <w:t>אמר רבי אבהו משום רבי חנינא: נוח לו לאדם שיעבור עבירה בסתר ואל יחלל שם שמים בפרהסיא, שנאמר: ואתם בית ישראל כה אמר ה'... איש גילוליו לכו עבדו [ואחר] אם אינכם שומעים אלי ואת שם קדשי לא תחללו.</w:t>
      </w:r>
    </w:p>
  </w:comment>
  <w:comment w:id="36" w:author="JA" w:date="2023-01-19T14:38:00Z" w:initials="JA">
    <w:p w14:paraId="7B6E5241" w14:textId="77777777" w:rsidR="00BF4F98" w:rsidRDefault="00BF4F98" w:rsidP="00BF4F98">
      <w:pPr>
        <w:pStyle w:val="CommentText"/>
      </w:pPr>
      <w:r>
        <w:rPr>
          <w:rStyle w:val="CommentReference"/>
        </w:rPr>
        <w:annotationRef/>
      </w:r>
      <w:r>
        <w:t>How do you know that? Why cast aspersions on Rabbi Ilai or the members of the academy? I would delete</w:t>
      </w:r>
    </w:p>
  </w:comment>
  <w:comment w:id="37" w:author="JA" w:date="2023-01-19T14:39:00Z" w:initials="JA">
    <w:p w14:paraId="52568C03" w14:textId="77777777" w:rsidR="00BF4F98" w:rsidRDefault="00BF4F98" w:rsidP="00BF4F98">
      <w:pPr>
        <w:pStyle w:val="CommentText"/>
      </w:pPr>
      <w:r>
        <w:rPr>
          <w:rStyle w:val="CommentReference"/>
        </w:rPr>
        <w:annotationRef/>
      </w:r>
      <w:r>
        <w:t>Nice phrase!</w:t>
      </w:r>
    </w:p>
  </w:comment>
  <w:comment w:id="38" w:author="JA" w:date="2023-01-19T14:39:00Z" w:initials="JA">
    <w:p w14:paraId="5D46276E" w14:textId="77777777" w:rsidR="00BF4F98" w:rsidRDefault="00BF4F98" w:rsidP="00BF4F98">
      <w:pPr>
        <w:pStyle w:val="CommentText"/>
      </w:pPr>
      <w:r>
        <w:rPr>
          <w:rStyle w:val="CommentReference"/>
        </w:rPr>
        <w:annotationRef/>
      </w:r>
      <w:r>
        <w:t>This sounds like he is OK with it</w:t>
      </w:r>
      <w:proofErr w:type="gramStart"/>
      <w:r>
        <w:t xml:space="preserve">.  </w:t>
      </w:r>
      <w:proofErr w:type="gramEnd"/>
      <w:r>
        <w:t>I do not think that is the point at all.</w:t>
      </w:r>
    </w:p>
  </w:comment>
  <w:comment w:id="39" w:author="JA" w:date="2023-01-19T15:03:00Z" w:initials="JA">
    <w:p w14:paraId="55256736" w14:textId="77777777" w:rsidR="00BF4F98" w:rsidRDefault="00BF4F98" w:rsidP="00BF4F98">
      <w:pPr>
        <w:pStyle w:val="CommentText"/>
      </w:pPr>
      <w:r>
        <w:rPr>
          <w:rStyle w:val="CommentReference"/>
        </w:rPr>
        <w:annotationRef/>
      </w:r>
      <w:r>
        <w:t xml:space="preserve">I adjusted </w:t>
      </w:r>
      <w:proofErr w:type="gramStart"/>
      <w:r>
        <w:t>a</w:t>
      </w:r>
      <w:proofErr w:type="gramEnd"/>
      <w:r>
        <w:t xml:space="preserve"> abit.</w:t>
      </w:r>
    </w:p>
  </w:comment>
  <w:comment w:id="40" w:author="JA" w:date="2023-01-19T15:08:00Z" w:initials="JA">
    <w:p w14:paraId="16F56467" w14:textId="77777777" w:rsidR="00BF4F98" w:rsidRDefault="00BF4F98" w:rsidP="00BF4F98">
      <w:pPr>
        <w:pStyle w:val="CommentText"/>
      </w:pPr>
      <w:r>
        <w:rPr>
          <w:rStyle w:val="CommentReference"/>
        </w:rPr>
        <w:annotationRef/>
      </w:r>
      <w:r>
        <w:t>Is that an option</w:t>
      </w:r>
      <w:proofErr w:type="gramStart"/>
      <w:r>
        <w:t xml:space="preserve">?  </w:t>
      </w:r>
      <w:proofErr w:type="gramEnd"/>
      <w:r>
        <w:t xml:space="preserve">Perhaps make a more modest proposal: </w:t>
      </w:r>
    </w:p>
    <w:p w14:paraId="5F197877" w14:textId="77777777" w:rsidR="00BF4F98" w:rsidRDefault="00BF4F98" w:rsidP="00BF4F98">
      <w:pPr>
        <w:pStyle w:val="CommentText"/>
      </w:pPr>
    </w:p>
    <w:p w14:paraId="6F2F5E25" w14:textId="77777777" w:rsidR="00BF4F98" w:rsidRDefault="00BF4F98" w:rsidP="00BF4F98">
      <w:pPr>
        <w:pStyle w:val="CommentText"/>
      </w:pPr>
      <w:r>
        <w:t>Perhaps it is time to tone down the often overwrought rhetoric about male masturbation and rethink its severity compared to other forms of sexual release.</w:t>
      </w:r>
    </w:p>
  </w:comment>
  <w:comment w:id="41" w:author="JA" w:date="2023-01-19T15:17:00Z" w:initials="JA">
    <w:p w14:paraId="073BA762" w14:textId="77777777" w:rsidR="00BF4F98" w:rsidRDefault="00BF4F98" w:rsidP="00BF4F98">
      <w:pPr>
        <w:pStyle w:val="CommentText"/>
      </w:pPr>
      <w:r>
        <w:rPr>
          <w:rStyle w:val="CommentReference"/>
        </w:rPr>
        <w:annotationRef/>
      </w:r>
      <w:r>
        <w:t>Will you readers understand this? Perhaps:</w:t>
      </w:r>
    </w:p>
    <w:p w14:paraId="16910A7C" w14:textId="77777777" w:rsidR="00BF4F98" w:rsidRDefault="00BF4F98" w:rsidP="00BF4F98">
      <w:pPr>
        <w:pStyle w:val="CommentText"/>
      </w:pPr>
      <w:r>
        <w:t>Reinforces how this recommendation is far from ideal</w:t>
      </w:r>
    </w:p>
  </w:comment>
  <w:comment w:id="43" w:author="JA" w:date="2023-01-19T15:20:00Z" w:initials="JA">
    <w:p w14:paraId="554BED25" w14:textId="77777777" w:rsidR="00BF4F98" w:rsidRDefault="00BF4F98" w:rsidP="00BF4F98">
      <w:pPr>
        <w:pStyle w:val="CommentText"/>
      </w:pPr>
      <w:r>
        <w:rPr>
          <w:rStyle w:val="CommentReference"/>
        </w:rPr>
        <w:annotationRef/>
      </w:r>
      <w:r>
        <w:t>I added this</w:t>
      </w:r>
    </w:p>
  </w:comment>
  <w:comment w:id="42" w:author="JA" w:date="2023-01-19T15:20:00Z" w:initials="JA">
    <w:p w14:paraId="5CD583D3" w14:textId="77777777" w:rsidR="00BF4F98" w:rsidRDefault="00BF4F98" w:rsidP="00BF4F98">
      <w:pPr>
        <w:pStyle w:val="CommentText"/>
      </w:pPr>
      <w:r>
        <w:rPr>
          <w:rStyle w:val="CommentReference"/>
        </w:rPr>
        <w:annotationRef/>
      </w:r>
      <w:r>
        <w:t xml:space="preserve">Do you think this is a reasonable policy in our society where everything is public? </w:t>
      </w:r>
    </w:p>
  </w:comment>
  <w:comment w:id="45" w:author="JA" w:date="2023-01-17T12:04:00Z" w:initials="JA">
    <w:p w14:paraId="062F1843" w14:textId="10C8C6D6" w:rsidR="00BF4F98" w:rsidRDefault="00BF4F98" w:rsidP="00BF4F98">
      <w:pPr>
        <w:pStyle w:val="CommentText"/>
      </w:pPr>
      <w:r>
        <w:rPr>
          <w:rStyle w:val="CommentReference"/>
        </w:rPr>
        <w:annotationRef/>
      </w:r>
      <w:r w:rsidR="00897402">
        <w:t xml:space="preserve">I added a heading “Sex Education and made this and the next section subheadings. Your </w:t>
      </w:r>
      <w:r>
        <w:t xml:space="preserve">main point </w:t>
      </w:r>
      <w:r w:rsidR="00897402">
        <w:t xml:space="preserve">here is </w:t>
      </w:r>
      <w:r>
        <w:t xml:space="preserve">that we need to relate to the reality of pre-marital sexuality and not simply sweep it under the rug. Part of this is the fact that people are not shomer negiah. </w:t>
      </w:r>
    </w:p>
  </w:comment>
  <w:comment w:id="46" w:author="JA" w:date="2023-01-19T15:28:00Z" w:initials="JA">
    <w:p w14:paraId="57C27750" w14:textId="77777777" w:rsidR="00BF4F98" w:rsidRDefault="00BF4F98" w:rsidP="00BF4F98">
      <w:pPr>
        <w:pStyle w:val="CommentText"/>
      </w:pPr>
      <w:r>
        <w:rPr>
          <w:rStyle w:val="CommentReference"/>
        </w:rPr>
        <w:annotationRef/>
      </w:r>
      <w:r>
        <w:t>Is it the sinfulness? I think it is rather the power of desire that overpowers judgment</w:t>
      </w:r>
    </w:p>
  </w:comment>
  <w:comment w:id="47" w:author="JA" w:date="2023-01-19T15:35:00Z" w:initials="JA">
    <w:p w14:paraId="5A682203" w14:textId="77777777" w:rsidR="00BF4F98" w:rsidRDefault="00BF4F98" w:rsidP="00BF4F98">
      <w:pPr>
        <w:pStyle w:val="CommentText"/>
      </w:pPr>
      <w:r>
        <w:rPr>
          <w:rStyle w:val="CommentReference"/>
        </w:rPr>
        <w:annotationRef/>
      </w:r>
      <w:r>
        <w:t>He is a conservative rabbi. I think you need to either not cite him or acknowledge that, since calling him “rabbi” gives him a kind of authority that your readers may not accept.</w:t>
      </w:r>
    </w:p>
  </w:comment>
  <w:comment w:id="48" w:author="JA" w:date="2023-01-19T15:36:00Z" w:initials="JA">
    <w:p w14:paraId="67EDA0C8" w14:textId="77777777" w:rsidR="00BF4F98" w:rsidRDefault="00BF4F98" w:rsidP="00BF4F98">
      <w:pPr>
        <w:pStyle w:val="CommentText"/>
      </w:pPr>
      <w:r>
        <w:rPr>
          <w:rStyle w:val="CommentReference"/>
        </w:rPr>
        <w:annotationRef/>
      </w:r>
      <w:r>
        <w:t>How can you do this in light of what you say above that the guidance needs to be private in order that it not undermine societal norms? These two things are in conflict to my mind</w:t>
      </w:r>
    </w:p>
  </w:comment>
  <w:comment w:id="49" w:author="Dan" w:date="2022-10-21T05:32:00Z" w:initials="DB">
    <w:p w14:paraId="223E14BD" w14:textId="77777777" w:rsidR="00BF4F98" w:rsidRDefault="00BF4F98" w:rsidP="00BF4F98">
      <w:pPr>
        <w:pStyle w:val="CommentText"/>
      </w:pPr>
      <w:r>
        <w:rPr>
          <w:rStyle w:val="CommentReference"/>
        </w:rPr>
        <w:annotationRef/>
      </w:r>
      <w:r>
        <w:t>Are you quoting a reform Rabbi? If so, you should call him out as such, since this is an Orhtodox halakhic book.</w:t>
      </w:r>
    </w:p>
  </w:comment>
  <w:comment w:id="50" w:author="JA" w:date="2023-01-16T16:18:00Z" w:initials="JA">
    <w:p w14:paraId="42AE68B5" w14:textId="77777777" w:rsidR="00BF4F98" w:rsidRDefault="00BF4F98" w:rsidP="00BF4F98">
      <w:pPr>
        <w:pStyle w:val="CommentText"/>
      </w:pPr>
      <w:r>
        <w:rPr>
          <w:rStyle w:val="CommentReference"/>
        </w:rPr>
        <w:annotationRef/>
      </w:r>
      <w:r>
        <w:t xml:space="preserve">He is actually </w:t>
      </w:r>
      <w:proofErr w:type="gramStart"/>
      <w:r>
        <w:t>Reconstructionist</w:t>
      </w:r>
      <w:proofErr w:type="gramEnd"/>
      <w:r>
        <w:t xml:space="preserve"> but Dan’s point is a good one. The sexual ethic he is suggested is one that accepts pre-marital sex as given. I do not think it really fits the context</w:t>
      </w:r>
    </w:p>
  </w:comment>
  <w:comment w:id="51" w:author="JA" w:date="2023-01-19T15:38:00Z" w:initials="JA">
    <w:p w14:paraId="37F3BD9F" w14:textId="634B62F3" w:rsidR="00BF4F98" w:rsidRDefault="00BF4F98" w:rsidP="00BF4F98">
      <w:pPr>
        <w:pStyle w:val="CommentText"/>
      </w:pPr>
      <w:r>
        <w:rPr>
          <w:rStyle w:val="CommentReference"/>
        </w:rPr>
        <w:annotationRef/>
      </w:r>
      <w:r>
        <w:t>Seriously? According to the Rambam this is an issur deoraita</w:t>
      </w:r>
      <w:bookmarkStart w:id="52" w:name="_Hlk125045605"/>
      <w:r>
        <w:t>!</w:t>
      </w:r>
      <w:r w:rsidR="00BF127E">
        <w:t xml:space="preserve"> I think you should delete the quote</w:t>
      </w:r>
    </w:p>
    <w:bookmarkEnd w:id="52"/>
  </w:comment>
  <w:comment w:id="53" w:author="JA" w:date="2023-01-19T15:46:00Z" w:initials="JA">
    <w:p w14:paraId="1CBE5CBF" w14:textId="77777777" w:rsidR="00BF4F98" w:rsidRDefault="00BF4F98" w:rsidP="00BF4F98">
      <w:pPr>
        <w:pStyle w:val="CommentText"/>
      </w:pPr>
      <w:r>
        <w:rPr>
          <w:rStyle w:val="CommentReference"/>
        </w:rPr>
        <w:annotationRef/>
      </w:r>
      <w:r>
        <w:t>See comment above about whether this term will be understood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1687EA" w15:done="0"/>
  <w15:commentEx w15:paraId="6AA59536" w15:done="0"/>
  <w15:commentEx w15:paraId="37E6D19C" w15:done="0"/>
  <w15:commentEx w15:paraId="5D3AAD2A" w15:done="0"/>
  <w15:commentEx w15:paraId="249E63F6" w15:done="0"/>
  <w15:commentEx w15:paraId="6B6D9CAC" w15:paraIdParent="249E63F6" w15:done="0"/>
  <w15:commentEx w15:paraId="02DD2BD9" w15:done="0"/>
  <w15:commentEx w15:paraId="2908283E" w15:done="0"/>
  <w15:commentEx w15:paraId="44B6D25B" w15:done="0"/>
  <w15:commentEx w15:paraId="634FF119" w15:done="0"/>
  <w15:commentEx w15:paraId="238BEC16" w15:done="0"/>
  <w15:commentEx w15:paraId="7CD1FCCF" w15:done="0"/>
  <w15:commentEx w15:paraId="0D923BE0" w15:done="0"/>
  <w15:commentEx w15:paraId="5D2F427B" w15:done="0"/>
  <w15:commentEx w15:paraId="791653AE" w15:done="0"/>
  <w15:commentEx w15:paraId="0CDB2213" w15:done="0"/>
  <w15:commentEx w15:paraId="5FE648AA" w15:done="0"/>
  <w15:commentEx w15:paraId="4DB6EEB2" w15:done="0"/>
  <w15:commentEx w15:paraId="1AC54A01" w15:done="0"/>
  <w15:commentEx w15:paraId="268912C1" w15:done="0"/>
  <w15:commentEx w15:paraId="0E14FA5C" w15:done="0"/>
  <w15:commentEx w15:paraId="1C47E098" w15:done="0"/>
  <w15:commentEx w15:paraId="0C7FDAB3" w15:done="0"/>
  <w15:commentEx w15:paraId="681B0CC1" w15:done="0"/>
  <w15:commentEx w15:paraId="1C2A9526" w15:done="0"/>
  <w15:commentEx w15:paraId="28A881F0" w15:done="0"/>
  <w15:commentEx w15:paraId="638D9154" w15:done="0"/>
  <w15:commentEx w15:paraId="490D25BF" w15:done="0"/>
  <w15:commentEx w15:paraId="186DEF40" w15:done="0"/>
  <w15:commentEx w15:paraId="4C801C14" w15:done="0"/>
  <w15:commentEx w15:paraId="69C1FD16" w15:done="0"/>
  <w15:commentEx w15:paraId="134FE76F" w15:done="0"/>
  <w15:commentEx w15:paraId="7B6E5241" w15:done="0"/>
  <w15:commentEx w15:paraId="52568C03" w15:done="0"/>
  <w15:commentEx w15:paraId="5D46276E" w15:done="0"/>
  <w15:commentEx w15:paraId="55256736" w15:done="0"/>
  <w15:commentEx w15:paraId="6F2F5E25" w15:done="0"/>
  <w15:commentEx w15:paraId="16910A7C" w15:done="0"/>
  <w15:commentEx w15:paraId="554BED25" w15:done="0"/>
  <w15:commentEx w15:paraId="5CD583D3" w15:done="0"/>
  <w15:commentEx w15:paraId="062F1843" w15:done="0"/>
  <w15:commentEx w15:paraId="57C27750" w15:done="0"/>
  <w15:commentEx w15:paraId="5A682203" w15:done="0"/>
  <w15:commentEx w15:paraId="67EDA0C8" w15:done="0"/>
  <w15:commentEx w15:paraId="223E14BD" w15:done="0"/>
  <w15:commentEx w15:paraId="42AE68B5" w15:paraIdParent="223E14BD" w15:done="0"/>
  <w15:commentEx w15:paraId="37F3BD9F" w15:done="0"/>
  <w15:commentEx w15:paraId="1CBE5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0134" w16cex:dateUtc="2023-01-19T15:49:00Z"/>
  <w16cex:commentExtensible w16cex:durableId="276FF300" w16cex:dateUtc="2023-01-16T14:00:00Z"/>
  <w16cex:commentExtensible w16cex:durableId="27700D8D" w16cex:dateUtc="2023-01-16T15:53:00Z"/>
  <w16cex:commentExtensible w16cex:durableId="27740549" w16cex:dateUtc="2023-01-19T16:07:00Z"/>
  <w16cex:commentExtensible w16cex:durableId="27740211" w16cex:dateUtc="2023-01-19T15:53:00Z"/>
  <w16cex:commentExtensible w16cex:durableId="27740212" w16cex:dateUtc="2023-01-19T15:53:00Z"/>
  <w16cex:commentExtensible w16cex:durableId="276FF573" w16cex:dateUtc="2023-01-16T14:10:00Z"/>
  <w16cex:commentExtensible w16cex:durableId="2770F61A" w16cex:dateUtc="2023-01-17T08:25:00Z"/>
  <w16cex:commentExtensible w16cex:durableId="27710FF3" w16cex:dateUtc="2023-01-17T10:15:00Z"/>
  <w16cex:commentExtensible w16cex:durableId="27711FCB" w16cex:dateUtc="2023-01-17T11:23:00Z"/>
  <w16cex:commentExtensible w16cex:durableId="277122CB" w16cex:dateUtc="2023-01-17T11:36:00Z"/>
  <w16cex:commentExtensible w16cex:durableId="2773AF36" w16cex:dateUtc="2023-01-19T09:59:00Z"/>
  <w16cex:commentExtensible w16cex:durableId="2773B099" w16cex:dateUtc="2023-01-19T10:05:00Z"/>
  <w16cex:commentExtensible w16cex:durableId="27739027" w16cex:dateUtc="2023-01-19T07:47:00Z"/>
  <w16cex:commentExtensible w16cex:durableId="277396FF" w16cex:dateUtc="2023-01-19T08:16:00Z"/>
  <w16cex:commentExtensible w16cex:durableId="27739B58" w16cex:dateUtc="2023-01-19T08:35:00Z"/>
  <w16cex:commentExtensible w16cex:durableId="2774064B" w16cex:dateUtc="2023-01-19T16:11:00Z"/>
  <w16cex:commentExtensible w16cex:durableId="27739F15" w16cex:dateUtc="2023-01-19T08:51:00Z"/>
  <w16cex:commentExtensible w16cex:durableId="27739FA0" w16cex:dateUtc="2023-01-19T08:53:00Z"/>
  <w16cex:commentExtensible w16cex:durableId="2773A277" w16cex:dateUtc="2023-01-19T09:05:00Z"/>
  <w16cex:commentExtensible w16cex:durableId="2773AC7A" w16cex:dateUtc="2023-01-19T09:48:00Z"/>
  <w16cex:commentExtensible w16cex:durableId="2772585E" w16cex:dateUtc="2023-01-18T09:37:00Z"/>
  <w16cex:commentExtensible w16cex:durableId="27726036" w16cex:dateUtc="2023-01-18T10:10:00Z"/>
  <w16cex:commentExtensible w16cex:durableId="277407AC" w16cex:dateUtc="2023-01-19T16:17:00Z"/>
  <w16cex:commentExtensible w16cex:durableId="2773B221" w16cex:dateUtc="2023-01-19T10:12:00Z"/>
  <w16cex:commentExtensible w16cex:durableId="2773BE50" w16cex:dateUtc="2023-01-19T11:04:00Z"/>
  <w16cex:commentExtensible w16cex:durableId="2773BE6D" w16cex:dateUtc="2023-01-19T11:04:00Z"/>
  <w16cex:commentExtensible w16cex:durableId="2773C18C" w16cex:dateUtc="2023-01-19T11:18:00Z"/>
  <w16cex:commentExtensible w16cex:durableId="2773C1A6" w16cex:dateUtc="2023-01-19T11:18:00Z"/>
  <w16cex:commentExtensible w16cex:durableId="2773C200" w16cex:dateUtc="2023-01-19T11:20:00Z"/>
  <w16cex:commentExtensible w16cex:durableId="2773CA17" w16cex:dateUtc="2023-01-19T11:54:00Z"/>
  <w16cex:commentExtensible w16cex:durableId="2773CE71" w16cex:dateUtc="2023-01-19T12:13:00Z"/>
  <w16cex:commentExtensible w16cex:durableId="2773D468" w16cex:dateUtc="2023-01-19T12:38:00Z"/>
  <w16cex:commentExtensible w16cex:durableId="2773D4B8" w16cex:dateUtc="2023-01-19T12:39:00Z"/>
  <w16cex:commentExtensible w16cex:durableId="2773D493" w16cex:dateUtc="2023-01-19T12:39:00Z"/>
  <w16cex:commentExtensible w16cex:durableId="2773DA5A" w16cex:dateUtc="2023-01-19T13:03:00Z"/>
  <w16cex:commentExtensible w16cex:durableId="2773DB62" w16cex:dateUtc="2023-01-19T13:08:00Z"/>
  <w16cex:commentExtensible w16cex:durableId="2773DD9A" w16cex:dateUtc="2023-01-19T13:17:00Z"/>
  <w16cex:commentExtensible w16cex:durableId="2773DE49" w16cex:dateUtc="2023-01-19T13:20:00Z"/>
  <w16cex:commentExtensible w16cex:durableId="2773DE53" w16cex:dateUtc="2023-01-19T13:20:00Z"/>
  <w16cex:commentExtensible w16cex:durableId="27710D42" w16cex:dateUtc="2023-01-17T10:04:00Z"/>
  <w16cex:commentExtensible w16cex:durableId="2773E013" w16cex:dateUtc="2023-01-19T13:28:00Z"/>
  <w16cex:commentExtensible w16cex:durableId="2773E1B9" w16cex:dateUtc="2023-01-19T13:35:00Z"/>
  <w16cex:commentExtensible w16cex:durableId="2773E218" w16cex:dateUtc="2023-01-19T13:36:00Z"/>
  <w16cex:commentExtensible w16cex:durableId="276FF73E" w16cex:dateUtc="2023-01-16T14:18:00Z"/>
  <w16cex:commentExtensible w16cex:durableId="2773E260" w16cex:dateUtc="2023-01-19T13:38:00Z"/>
  <w16cex:commentExtensible w16cex:durableId="2773E467" w16cex:dateUtc="2023-01-19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687EA" w16cid:durableId="27740134"/>
  <w16cid:commentId w16cid:paraId="6AA59536" w16cid:durableId="276FF300"/>
  <w16cid:commentId w16cid:paraId="37E6D19C" w16cid:durableId="27700D8D"/>
  <w16cid:commentId w16cid:paraId="5D3AAD2A" w16cid:durableId="27740549"/>
  <w16cid:commentId w16cid:paraId="249E63F6" w16cid:durableId="27740211"/>
  <w16cid:commentId w16cid:paraId="6B6D9CAC" w16cid:durableId="27740212"/>
  <w16cid:commentId w16cid:paraId="02DD2BD9" w16cid:durableId="276FF573"/>
  <w16cid:commentId w16cid:paraId="2908283E" w16cid:durableId="2770F61A"/>
  <w16cid:commentId w16cid:paraId="44B6D25B" w16cid:durableId="27710FF3"/>
  <w16cid:commentId w16cid:paraId="634FF119" w16cid:durableId="27711FCB"/>
  <w16cid:commentId w16cid:paraId="238BEC16" w16cid:durableId="277122CB"/>
  <w16cid:commentId w16cid:paraId="7CD1FCCF" w16cid:durableId="2773AF36"/>
  <w16cid:commentId w16cid:paraId="0D923BE0" w16cid:durableId="2773B099"/>
  <w16cid:commentId w16cid:paraId="5D2F427B" w16cid:durableId="27739027"/>
  <w16cid:commentId w16cid:paraId="791653AE" w16cid:durableId="277396FF"/>
  <w16cid:commentId w16cid:paraId="0CDB2213" w16cid:durableId="27739B58"/>
  <w16cid:commentId w16cid:paraId="5FE648AA" w16cid:durableId="2774064B"/>
  <w16cid:commentId w16cid:paraId="4DB6EEB2" w16cid:durableId="27739F15"/>
  <w16cid:commentId w16cid:paraId="1AC54A01" w16cid:durableId="27739FA0"/>
  <w16cid:commentId w16cid:paraId="268912C1" w16cid:durableId="2773A277"/>
  <w16cid:commentId w16cid:paraId="0E14FA5C" w16cid:durableId="2773AC7A"/>
  <w16cid:commentId w16cid:paraId="1C47E098" w16cid:durableId="2772585E"/>
  <w16cid:commentId w16cid:paraId="0C7FDAB3" w16cid:durableId="27726036"/>
  <w16cid:commentId w16cid:paraId="681B0CC1" w16cid:durableId="277407AC"/>
  <w16cid:commentId w16cid:paraId="1C2A9526" w16cid:durableId="2773B221"/>
  <w16cid:commentId w16cid:paraId="28A881F0" w16cid:durableId="2773BE50"/>
  <w16cid:commentId w16cid:paraId="638D9154" w16cid:durableId="2773BE6D"/>
  <w16cid:commentId w16cid:paraId="490D25BF" w16cid:durableId="2773C18C"/>
  <w16cid:commentId w16cid:paraId="186DEF40" w16cid:durableId="2773C1A6"/>
  <w16cid:commentId w16cid:paraId="4C801C14" w16cid:durableId="2773C200"/>
  <w16cid:commentId w16cid:paraId="69C1FD16" w16cid:durableId="2773CA17"/>
  <w16cid:commentId w16cid:paraId="134FE76F" w16cid:durableId="2773CE71"/>
  <w16cid:commentId w16cid:paraId="7B6E5241" w16cid:durableId="2773D468"/>
  <w16cid:commentId w16cid:paraId="52568C03" w16cid:durableId="2773D4B8"/>
  <w16cid:commentId w16cid:paraId="5D46276E" w16cid:durableId="2773D493"/>
  <w16cid:commentId w16cid:paraId="55256736" w16cid:durableId="2773DA5A"/>
  <w16cid:commentId w16cid:paraId="6F2F5E25" w16cid:durableId="2773DB62"/>
  <w16cid:commentId w16cid:paraId="16910A7C" w16cid:durableId="2773DD9A"/>
  <w16cid:commentId w16cid:paraId="554BED25" w16cid:durableId="2773DE49"/>
  <w16cid:commentId w16cid:paraId="5CD583D3" w16cid:durableId="2773DE53"/>
  <w16cid:commentId w16cid:paraId="062F1843" w16cid:durableId="27710D42"/>
  <w16cid:commentId w16cid:paraId="57C27750" w16cid:durableId="2773E013"/>
  <w16cid:commentId w16cid:paraId="5A682203" w16cid:durableId="2773E1B9"/>
  <w16cid:commentId w16cid:paraId="67EDA0C8" w16cid:durableId="2773E218"/>
  <w16cid:commentId w16cid:paraId="223E14BD" w16cid:durableId="2704B9DD"/>
  <w16cid:commentId w16cid:paraId="42AE68B5" w16cid:durableId="276FF73E"/>
  <w16cid:commentId w16cid:paraId="37F3BD9F" w16cid:durableId="2773E260"/>
  <w16cid:commentId w16cid:paraId="1CBE5CBF" w16cid:durableId="2773E4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8022" w14:textId="77777777" w:rsidR="0026452E" w:rsidRDefault="0026452E" w:rsidP="00BF4F98">
      <w:pPr>
        <w:spacing w:line="240" w:lineRule="auto"/>
      </w:pPr>
      <w:r>
        <w:separator/>
      </w:r>
    </w:p>
  </w:endnote>
  <w:endnote w:type="continuationSeparator" w:id="0">
    <w:p w14:paraId="692DE077" w14:textId="77777777" w:rsidR="0026452E" w:rsidRDefault="0026452E" w:rsidP="00BF4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0532"/>
      <w:docPartObj>
        <w:docPartGallery w:val="Page Numbers (Bottom of Page)"/>
        <w:docPartUnique/>
      </w:docPartObj>
    </w:sdtPr>
    <w:sdtEndPr>
      <w:rPr>
        <w:noProof/>
      </w:rPr>
    </w:sdtEndPr>
    <w:sdtContent>
      <w:p w14:paraId="4418ACFA" w14:textId="77777777" w:rsidR="00E6396F" w:rsidRDefault="00000000" w:rsidP="00B02799">
        <w:pPr>
          <w:pStyle w:val="Footer"/>
        </w:pPr>
        <w:r>
          <w:fldChar w:fldCharType="begin"/>
        </w:r>
        <w:r>
          <w:instrText xml:space="preserve"> PAGE   \* MERGEFORMAT </w:instrText>
        </w:r>
        <w:r>
          <w:fldChar w:fldCharType="separate"/>
        </w:r>
        <w:r>
          <w:rPr>
            <w:noProof/>
          </w:rPr>
          <w:t>2</w:t>
        </w:r>
        <w:r>
          <w:rPr>
            <w:noProof/>
          </w:rPr>
          <w:fldChar w:fldCharType="end"/>
        </w:r>
      </w:p>
    </w:sdtContent>
  </w:sdt>
  <w:p w14:paraId="01B0D641" w14:textId="77777777" w:rsidR="00E6396F" w:rsidRDefault="00000000" w:rsidP="00B027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B41A" w14:textId="77777777" w:rsidR="0026452E" w:rsidRDefault="0026452E" w:rsidP="00BF4F98">
      <w:pPr>
        <w:spacing w:line="240" w:lineRule="auto"/>
      </w:pPr>
      <w:r>
        <w:separator/>
      </w:r>
    </w:p>
  </w:footnote>
  <w:footnote w:type="continuationSeparator" w:id="0">
    <w:p w14:paraId="002FB016" w14:textId="77777777" w:rsidR="0026452E" w:rsidRDefault="0026452E" w:rsidP="00BF4F98">
      <w:pPr>
        <w:spacing w:line="240" w:lineRule="auto"/>
      </w:pPr>
      <w:r>
        <w:continuationSeparator/>
      </w:r>
    </w:p>
  </w:footnote>
  <w:footnote w:id="1">
    <w:p w14:paraId="40ECED3C" w14:textId="77777777" w:rsidR="00BF4F98" w:rsidRDefault="00BF4F98" w:rsidP="00BF4F98">
      <w:pPr>
        <w:pStyle w:val="FootnoteText"/>
      </w:pPr>
      <w:r>
        <w:rPr>
          <w:rStyle w:val="FootnoteReference"/>
        </w:rPr>
        <w:footnoteRef/>
      </w:r>
      <w:r>
        <w:t xml:space="preserve"> The next few paragraphs are excerpted from chapter 8. For a longer analysis of the source material, see there.</w:t>
      </w:r>
    </w:p>
  </w:footnote>
  <w:footnote w:id="2">
    <w:p w14:paraId="5C55F4AE" w14:textId="77777777" w:rsidR="00BF4F98" w:rsidRPr="003B423A" w:rsidRDefault="00BF4F98" w:rsidP="00BF4F98">
      <w:pPr>
        <w:pStyle w:val="FootnoteText"/>
      </w:pPr>
      <w:r w:rsidRPr="003B423A">
        <w:rPr>
          <w:rStyle w:val="FootnoteReference"/>
        </w:rPr>
        <w:footnoteRef/>
      </w:r>
      <w:r w:rsidRPr="003B423A">
        <w:t xml:space="preserve"> The focus will be on a woman who is </w:t>
      </w:r>
      <w:r w:rsidRPr="003B423A">
        <w:rPr>
          <w:i/>
          <w:iCs/>
        </w:rPr>
        <w:t>niddah</w:t>
      </w:r>
      <w:r w:rsidRPr="003B423A">
        <w:t xml:space="preserve"> but the same methodology applies to all sexually forbidden relationships.</w:t>
      </w:r>
      <w:r>
        <w:t xml:space="preserve"> For a detailed analysis of this prohibition </w:t>
      </w:r>
      <w:r w:rsidRPr="00077316">
        <w:t>and</w:t>
      </w:r>
      <w:r>
        <w:t xml:space="preserve"> the halakhic requirements see the previous chapter.</w:t>
      </w:r>
    </w:p>
  </w:footnote>
  <w:footnote w:id="3">
    <w:p w14:paraId="6898A7E7" w14:textId="77777777" w:rsidR="00BF4F98" w:rsidRDefault="00BF4F98" w:rsidP="00BF4F98"/>
    <w:p w14:paraId="436E29F3" w14:textId="77777777" w:rsidR="00BF4F98" w:rsidRDefault="00BF4F98" w:rsidP="00BF4F98"/>
  </w:footnote>
  <w:footnote w:id="4">
    <w:p w14:paraId="55D555CA" w14:textId="77777777" w:rsidR="00897402" w:rsidRDefault="00897402" w:rsidP="00897402">
      <w:r>
        <w:rPr>
          <w:vertAlign w:val="superscript"/>
        </w:rPr>
        <w:footnoteRef/>
      </w:r>
      <w:r>
        <w:t xml:space="preserve"> BDB p. 873.</w:t>
      </w:r>
    </w:p>
  </w:footnote>
  <w:footnote w:id="5">
    <w:p w14:paraId="268F2080" w14:textId="77777777" w:rsidR="00897402" w:rsidRPr="00096E74" w:rsidRDefault="00897402" w:rsidP="00897402">
      <w:pPr>
        <w:pStyle w:val="FootnoteText"/>
      </w:pPr>
      <w:r>
        <w:rPr>
          <w:rStyle w:val="FootnoteReference"/>
        </w:rPr>
        <w:footnoteRef/>
      </w:r>
      <w:r>
        <w:t xml:space="preserve"> This statement is not completely accurate since according to Raavad and his school of thought, when a man designates a woman as his concubine, sexual relations are permitted.</w:t>
      </w:r>
    </w:p>
  </w:footnote>
  <w:footnote w:id="6">
    <w:p w14:paraId="744C31BB" w14:textId="1589DBF4" w:rsidR="00BF4F98" w:rsidRPr="00180E84" w:rsidRDefault="00BF4F98" w:rsidP="00BF4F98">
      <w:r w:rsidRPr="001042BC">
        <w:rPr>
          <w:rStyle w:val="FootnoteReference"/>
        </w:rPr>
        <w:footnoteRef/>
      </w:r>
      <w:r w:rsidRPr="001042BC">
        <w:t xml:space="preserve"> </w:t>
      </w:r>
      <w:r w:rsidRPr="00180E84">
        <w:t>In the early 21</w:t>
      </w:r>
      <w:r w:rsidRPr="00180E84">
        <w:rPr>
          <w:vertAlign w:val="superscript"/>
        </w:rPr>
        <w:t>st</w:t>
      </w:r>
      <w:r w:rsidRPr="00180E84">
        <w:t xml:space="preserve"> century, this practice came to </w:t>
      </w:r>
      <w:r>
        <w:t xml:space="preserve">be a part of </w:t>
      </w:r>
      <w:r w:rsidRPr="00180E84">
        <w:t xml:space="preserve">public discourse </w:t>
      </w:r>
      <w:r>
        <w:t xml:space="preserve">in Israel </w:t>
      </w:r>
      <w:r w:rsidRPr="00180E84">
        <w:t xml:space="preserve">when </w:t>
      </w:r>
      <w:r>
        <w:t xml:space="preserve">questions were raised about state control of </w:t>
      </w:r>
      <w:r w:rsidRPr="00180E84">
        <w:t xml:space="preserve">who was eligible to immerse in publicly funded </w:t>
      </w:r>
      <w:r w:rsidRPr="00096E74">
        <w:rPr>
          <w:i/>
          <w:iCs/>
        </w:rPr>
        <w:t>mikvaot</w:t>
      </w:r>
      <w:r w:rsidRPr="00180E84">
        <w:t xml:space="preserve">. </w:t>
      </w:r>
      <w:r>
        <w:t>It was</w:t>
      </w:r>
      <w:r w:rsidRPr="00180E84">
        <w:t xml:space="preserve"> common practice for </w:t>
      </w:r>
      <w:r w:rsidRPr="00096E74">
        <w:rPr>
          <w:i/>
          <w:iCs/>
        </w:rPr>
        <w:t>mikvah</w:t>
      </w:r>
      <w:r w:rsidRPr="00180E84">
        <w:t xml:space="preserve"> attendants to inquire as to the marital status of women. If a woman hesitated or answered honestly that she was single, she was denied entry and forcibly removed. </w:t>
      </w:r>
      <w:r>
        <w:t xml:space="preserve">Many argued, and continue to argue, that a publicly funded space should be </w:t>
      </w:r>
      <w:r w:rsidRPr="00180E84">
        <w:t xml:space="preserve">accessible to all women. After many years of prolonged </w:t>
      </w:r>
      <w:r>
        <w:t>litigation</w:t>
      </w:r>
      <w:r w:rsidRPr="00180E84">
        <w:t xml:space="preserve"> that eventually made its way to Israel’s High Court, </w:t>
      </w:r>
      <w:r>
        <w:t xml:space="preserve">a “don’t ask, don’t tell” policy </w:t>
      </w:r>
      <w:r w:rsidRPr="00180E84">
        <w:t>was agreed</w:t>
      </w:r>
      <w:r>
        <w:t xml:space="preserve"> upon – explicitly</w:t>
      </w:r>
      <w:r w:rsidRPr="00180E84">
        <w:t xml:space="preserve"> single women </w:t>
      </w:r>
      <w:r>
        <w:t>would not be allowed to</w:t>
      </w:r>
      <w:r w:rsidRPr="00180E84">
        <w:t xml:space="preserve"> immerse, </w:t>
      </w:r>
      <w:r>
        <w:t>however</w:t>
      </w:r>
      <w:r w:rsidR="00897402">
        <w:t>,</w:t>
      </w:r>
      <w:r>
        <w:t xml:space="preserve"> </w:t>
      </w:r>
      <w:r w:rsidRPr="00096E74">
        <w:rPr>
          <w:i/>
          <w:iCs/>
        </w:rPr>
        <w:t>mikvah</w:t>
      </w:r>
      <w:r>
        <w:t xml:space="preserve"> </w:t>
      </w:r>
      <w:r w:rsidRPr="00180E84">
        <w:t>attendants were no longer permitted to ask the marital status of the immersing women</w:t>
      </w:r>
      <w:r>
        <w:t>.</w:t>
      </w:r>
    </w:p>
    <w:p w14:paraId="2A1CC6B3" w14:textId="77777777" w:rsidR="00BF4F98" w:rsidRPr="001042BC" w:rsidRDefault="00BF4F98" w:rsidP="00BF4F98"/>
  </w:footnote>
  <w:footnote w:id="7">
    <w:p w14:paraId="22541B84" w14:textId="77777777" w:rsidR="00BF4F98" w:rsidRPr="00DF6B20" w:rsidRDefault="00BF4F98" w:rsidP="00BF4F98">
      <w:r w:rsidRPr="00DF6B20">
        <w:rPr>
          <w:vertAlign w:val="superscript"/>
        </w:rPr>
        <w:footnoteRef/>
      </w:r>
      <w:r w:rsidRPr="00DF6B20">
        <w:t xml:space="preserve"> </w:t>
      </w:r>
      <w:r w:rsidRPr="00B02799">
        <w:rPr>
          <w:i/>
          <w:iCs/>
        </w:rPr>
        <w:t>Iggerot Moshe Orah Haim</w:t>
      </w:r>
      <w:r w:rsidRPr="00DF6B20">
        <w:t xml:space="preserve"> 4: 118. </w:t>
      </w:r>
      <w:r w:rsidRPr="00DF6B20">
        <w:rPr>
          <w:highlight w:val="white"/>
        </w:rPr>
        <w:t xml:space="preserve">Regarding the writing of the </w:t>
      </w:r>
      <w:r w:rsidRPr="002A3B90">
        <w:rPr>
          <w:i/>
          <w:iCs/>
          <w:highlight w:val="white"/>
        </w:rPr>
        <w:t>ketu</w:t>
      </w:r>
      <w:sdt>
        <w:sdtPr>
          <w:rPr>
            <w:i/>
            <w:iCs/>
          </w:rPr>
          <w:tag w:val="goog_rdk_30"/>
          <w:id w:val="-2138627485"/>
        </w:sdtPr>
        <w:sdtContent>
          <w:r w:rsidRPr="00B02799">
            <w:rPr>
              <w:i/>
              <w:iCs/>
              <w:highlight w:val="white"/>
            </w:rPr>
            <w:t>b</w:t>
          </w:r>
        </w:sdtContent>
      </w:sdt>
      <w:r w:rsidRPr="00B02799">
        <w:rPr>
          <w:i/>
          <w:iCs/>
          <w:highlight w:val="white"/>
        </w:rPr>
        <w:t>a</w:t>
      </w:r>
      <w:r>
        <w:rPr>
          <w:i/>
          <w:iCs/>
          <w:highlight w:val="white"/>
        </w:rPr>
        <w:t>h</w:t>
      </w:r>
      <w:r w:rsidRPr="00DF6B20">
        <w:rPr>
          <w:highlight w:val="white"/>
        </w:rPr>
        <w:t xml:space="preserve">, you need not tell the rabbi who is officiating.  By signing the </w:t>
      </w:r>
      <w:r w:rsidRPr="00BC159E">
        <w:rPr>
          <w:i/>
          <w:iCs/>
          <w:highlight w:val="white"/>
        </w:rPr>
        <w:t>ketu</w:t>
      </w:r>
      <w:sdt>
        <w:sdtPr>
          <w:rPr>
            <w:i/>
            <w:iCs/>
          </w:rPr>
          <w:tag w:val="goog_rdk_32"/>
          <w:id w:val="1863703482"/>
        </w:sdtPr>
        <w:sdtContent>
          <w:r w:rsidRPr="00DF6B20">
            <w:rPr>
              <w:i/>
              <w:iCs/>
              <w:highlight w:val="white"/>
            </w:rPr>
            <w:t>b</w:t>
          </w:r>
        </w:sdtContent>
      </w:sdt>
      <w:r w:rsidRPr="00DF6B20">
        <w:rPr>
          <w:i/>
          <w:iCs/>
          <w:highlight w:val="white"/>
        </w:rPr>
        <w:t>a</w:t>
      </w:r>
      <w:r>
        <w:rPr>
          <w:i/>
          <w:iCs/>
          <w:highlight w:val="white"/>
        </w:rPr>
        <w:t>h</w:t>
      </w:r>
      <w:r w:rsidRPr="00DF6B20">
        <w:rPr>
          <w:highlight w:val="white"/>
        </w:rPr>
        <w:t>, the groom is agreeing to the use of the term "</w:t>
      </w:r>
      <w:r w:rsidRPr="00B02799">
        <w:rPr>
          <w:iCs/>
          <w:highlight w:val="white"/>
        </w:rPr>
        <w:t>virgin</w:t>
      </w:r>
      <w:r w:rsidRPr="00DF6B20">
        <w:rPr>
          <w:highlight w:val="white"/>
        </w:rPr>
        <w:t xml:space="preserve">" - and there is no further concern. He is thereby legally bound to the terms of a virgin’s </w:t>
      </w:r>
      <w:r>
        <w:rPr>
          <w:i/>
          <w:iCs/>
          <w:highlight w:val="white"/>
        </w:rPr>
        <w:t>k</w:t>
      </w:r>
      <w:r w:rsidRPr="00BC159E">
        <w:rPr>
          <w:i/>
          <w:iCs/>
          <w:highlight w:val="white"/>
        </w:rPr>
        <w:t>etuba</w:t>
      </w:r>
      <w:r>
        <w:rPr>
          <w:i/>
          <w:iCs/>
          <w:highlight w:val="white"/>
        </w:rPr>
        <w:t>h</w:t>
      </w:r>
      <w:r w:rsidRPr="00DF6B20">
        <w:rPr>
          <w:highlight w:val="white"/>
        </w:rPr>
        <w:t>, even if in truth the bride is not, so long as she did not mislead him.</w:t>
      </w:r>
    </w:p>
  </w:footnote>
  <w:footnote w:id="8">
    <w:p w14:paraId="0FB06C3A" w14:textId="77777777" w:rsidR="00BF4F98" w:rsidRPr="00DF6B20" w:rsidRDefault="00BF4F98" w:rsidP="00BF4F98">
      <w:r>
        <w:rPr>
          <w:vertAlign w:val="superscript"/>
        </w:rPr>
        <w:footnoteRef/>
      </w:r>
      <w:r>
        <w:rPr>
          <w:rFonts w:ascii="Calibri" w:hAnsi="Calibri" w:cs="Calibri"/>
          <w:sz w:val="16"/>
          <w:szCs w:val="16"/>
        </w:rPr>
        <w:t xml:space="preserve"> </w:t>
      </w:r>
      <w:r w:rsidRPr="00DF6B20">
        <w:t>There is a range of opinions among halakhic authorities on the question of male masturbation. Some view it as a Torah prohibition and others argue that it is a rabbinic prohibition. There are lenient opinions that argue that a married couple may engage in non-penetrative sexual intercourse for the sake of sexual pleasure, even though the man ejaculates outside of the woman’s vagina.</w:t>
      </w:r>
    </w:p>
  </w:footnote>
  <w:footnote w:id="9">
    <w:p w14:paraId="7E34954E" w14:textId="77777777" w:rsidR="00BF4F98" w:rsidRDefault="00BF4F98" w:rsidP="00BF4F98">
      <w:pPr>
        <w:pStyle w:val="FootnoteText"/>
      </w:pPr>
    </w:p>
  </w:footnote>
  <w:footnote w:id="10">
    <w:p w14:paraId="2EDFEB33" w14:textId="77777777" w:rsidR="00BF4F98" w:rsidRDefault="00BF4F98" w:rsidP="00BF4F98">
      <w:pPr>
        <w:pStyle w:val="FootnoteText"/>
      </w:pPr>
      <w:r>
        <w:rPr>
          <w:rStyle w:val="FootnoteReference"/>
        </w:rPr>
        <w:footnoteRef/>
      </w:r>
      <w:r>
        <w:t xml:space="preserve"> Gold, Michael, Does God Belong in the Bedroom?, Jewish Publication Society, 1992, p. 26.</w:t>
      </w:r>
    </w:p>
  </w:footnote>
  <w:footnote w:id="11">
    <w:p w14:paraId="5F4EBFEB" w14:textId="77777777" w:rsidR="00BF4F98" w:rsidRPr="00BC159E" w:rsidRDefault="00BF4F98" w:rsidP="00BF4F98">
      <w:pPr>
        <w:pStyle w:val="FootnoteText"/>
      </w:pPr>
      <w:r w:rsidRPr="00BC159E">
        <w:rPr>
          <w:rStyle w:val="FootnoteReference"/>
        </w:rPr>
        <w:footnoteRef/>
      </w:r>
      <w:r w:rsidRPr="00BC159E">
        <w:t xml:space="preserve"> Green, Arthur, “A Contemporary Approach to Jewish Sexuality,” in The Second Jewish Catalog, edited by Sharon Strassfeld and Michael Strassfeld, JPS, 1976, p. 99.</w:t>
      </w:r>
    </w:p>
  </w:footnote>
  <w:footnote w:id="12">
    <w:p w14:paraId="193832A7" w14:textId="77777777" w:rsidR="00BF4F98" w:rsidRPr="00294F74" w:rsidRDefault="00BF4F98" w:rsidP="00BF4F98">
      <w:r w:rsidRPr="00294F74">
        <w:rPr>
          <w:rStyle w:val="FootnoteReference"/>
        </w:rPr>
        <w:footnoteRef/>
      </w:r>
      <w:r w:rsidRPr="00294F74">
        <w:t xml:space="preserve"> The topic of religious men and women who are LGBTQ and struggling to define their sexual identity within the framework of religious observance </w:t>
      </w:r>
      <w:r>
        <w:t>is complex</w:t>
      </w:r>
      <w:r w:rsidRPr="00294F74">
        <w:t xml:space="preserve">. However, it is impossible to completely ignore a reality that almost every religious community and attendant institutions is confronting. For religious men and women who are LGBTQ there is even less conversation around sexuality. Beyond the </w:t>
      </w:r>
      <w:r w:rsidRPr="00CF6E22">
        <w:rPr>
          <w:i/>
          <w:iCs/>
        </w:rPr>
        <w:t>halakhically</w:t>
      </w:r>
      <w:r w:rsidRPr="00294F74">
        <w:t xml:space="preserve"> mandated abstinence only position, I believe we need to help LGBTQ members of our community reconcile their sexual identity without completely abandoning the hope of meaningful and committed relationships. Furthermore, </w:t>
      </w:r>
      <w:r w:rsidRPr="00CF6E22">
        <w:rPr>
          <w:i/>
          <w:iCs/>
        </w:rPr>
        <w:t>halakhic</w:t>
      </w:r>
      <w:r w:rsidRPr="00294F74">
        <w:t xml:space="preserve"> authorities, religious educators and parents must provide guidelines and direction based on values from within </w:t>
      </w:r>
      <w:r w:rsidRPr="00CF6E22">
        <w:rPr>
          <w:i/>
          <w:iCs/>
        </w:rPr>
        <w:t>halakha</w:t>
      </w:r>
      <w:r w:rsidRPr="00294F74">
        <w:t xml:space="preserve"> as well as defining more clearly gradations of </w:t>
      </w:r>
      <w:r w:rsidRPr="00CF6E22">
        <w:rPr>
          <w:i/>
          <w:iCs/>
        </w:rPr>
        <w:t>halakhic</w:t>
      </w:r>
      <w:r w:rsidRPr="00294F74">
        <w:t xml:space="preserve"> observance for these members.</w:t>
      </w:r>
    </w:p>
    <w:p w14:paraId="1BFBDEC0" w14:textId="77777777" w:rsidR="00BF4F98" w:rsidRDefault="00BF4F98" w:rsidP="00BF4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85FE" w14:textId="77777777" w:rsidR="00E6396F" w:rsidRDefault="00000000" w:rsidP="00B027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C0EF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AA10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C83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3094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FA48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D846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7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9074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FC0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AEC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B2CFD"/>
    <w:multiLevelType w:val="hybridMultilevel"/>
    <w:tmpl w:val="09E62054"/>
    <w:lvl w:ilvl="0" w:tplc="A540F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1727B"/>
    <w:multiLevelType w:val="multilevel"/>
    <w:tmpl w:val="2CE6F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F9B55D5"/>
    <w:multiLevelType w:val="hybridMultilevel"/>
    <w:tmpl w:val="E5D49540"/>
    <w:lvl w:ilvl="0" w:tplc="F9E0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A78C8"/>
    <w:multiLevelType w:val="hybridMultilevel"/>
    <w:tmpl w:val="1AF0EABE"/>
    <w:lvl w:ilvl="0" w:tplc="90E8B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F67DC"/>
    <w:multiLevelType w:val="hybridMultilevel"/>
    <w:tmpl w:val="724C4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C319F"/>
    <w:multiLevelType w:val="hybridMultilevel"/>
    <w:tmpl w:val="4B30C8E6"/>
    <w:lvl w:ilvl="0" w:tplc="CB24A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C5635"/>
    <w:multiLevelType w:val="hybridMultilevel"/>
    <w:tmpl w:val="44783B3E"/>
    <w:lvl w:ilvl="0" w:tplc="8ABE3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15136"/>
    <w:multiLevelType w:val="hybridMultilevel"/>
    <w:tmpl w:val="75F8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61CA5"/>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19" w15:restartNumberingAfterBreak="0">
    <w:nsid w:val="50C557C0"/>
    <w:multiLevelType w:val="hybridMultilevel"/>
    <w:tmpl w:val="747C5918"/>
    <w:lvl w:ilvl="0" w:tplc="E3408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945F1"/>
    <w:multiLevelType w:val="hybridMultilevel"/>
    <w:tmpl w:val="620A80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1E738B"/>
    <w:multiLevelType w:val="multilevel"/>
    <w:tmpl w:val="BCE2CEAA"/>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1"/>
      </w:pPr>
      <w:rPr>
        <w:smallCaps w:val="0"/>
        <w:strike w:val="0"/>
        <w:shd w:val="clear" w:color="auto" w:fill="auto"/>
        <w:vertAlign w:val="baseline"/>
      </w:rPr>
    </w:lvl>
  </w:abstractNum>
  <w:abstractNum w:abstractNumId="22" w15:restartNumberingAfterBreak="0">
    <w:nsid w:val="7DEC1F93"/>
    <w:multiLevelType w:val="multilevel"/>
    <w:tmpl w:val="15D4B98E"/>
    <w:lvl w:ilvl="0">
      <w:start w:val="1"/>
      <w:numFmt w:val="decimal"/>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281"/>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81"/>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81"/>
      </w:pPr>
      <w:rPr>
        <w:smallCaps w:val="0"/>
        <w:strike w:val="0"/>
        <w:shd w:val="clear" w:color="auto" w:fill="auto"/>
        <w:vertAlign w:val="baseline"/>
      </w:rPr>
    </w:lvl>
  </w:abstractNum>
  <w:abstractNum w:abstractNumId="23" w15:restartNumberingAfterBreak="0">
    <w:nsid w:val="7E211EE9"/>
    <w:multiLevelType w:val="hybridMultilevel"/>
    <w:tmpl w:val="33F4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648427">
    <w:abstractNumId w:val="21"/>
  </w:num>
  <w:num w:numId="2" w16cid:durableId="454834729">
    <w:abstractNumId w:val="22"/>
  </w:num>
  <w:num w:numId="3" w16cid:durableId="1913812600">
    <w:abstractNumId w:val="11"/>
  </w:num>
  <w:num w:numId="4" w16cid:durableId="661087425">
    <w:abstractNumId w:val="18"/>
  </w:num>
  <w:num w:numId="5" w16cid:durableId="445468263">
    <w:abstractNumId w:val="16"/>
  </w:num>
  <w:num w:numId="6" w16cid:durableId="318047118">
    <w:abstractNumId w:val="10"/>
  </w:num>
  <w:num w:numId="7" w16cid:durableId="518274065">
    <w:abstractNumId w:val="15"/>
  </w:num>
  <w:num w:numId="8" w16cid:durableId="713776056">
    <w:abstractNumId w:val="19"/>
  </w:num>
  <w:num w:numId="9" w16cid:durableId="1678535572">
    <w:abstractNumId w:val="12"/>
  </w:num>
  <w:num w:numId="10" w16cid:durableId="1742409858">
    <w:abstractNumId w:val="13"/>
  </w:num>
  <w:num w:numId="11" w16cid:durableId="26217933">
    <w:abstractNumId w:val="17"/>
  </w:num>
  <w:num w:numId="12" w16cid:durableId="593589483">
    <w:abstractNumId w:val="20"/>
  </w:num>
  <w:num w:numId="13" w16cid:durableId="856773207">
    <w:abstractNumId w:val="14"/>
  </w:num>
  <w:num w:numId="14" w16cid:durableId="737633588">
    <w:abstractNumId w:val="9"/>
  </w:num>
  <w:num w:numId="15" w16cid:durableId="1007635166">
    <w:abstractNumId w:val="7"/>
  </w:num>
  <w:num w:numId="16" w16cid:durableId="1709797113">
    <w:abstractNumId w:val="6"/>
  </w:num>
  <w:num w:numId="17" w16cid:durableId="279530235">
    <w:abstractNumId w:val="5"/>
  </w:num>
  <w:num w:numId="18" w16cid:durableId="1363170743">
    <w:abstractNumId w:val="4"/>
  </w:num>
  <w:num w:numId="19" w16cid:durableId="167182416">
    <w:abstractNumId w:val="8"/>
  </w:num>
  <w:num w:numId="20" w16cid:durableId="990328844">
    <w:abstractNumId w:val="3"/>
  </w:num>
  <w:num w:numId="21" w16cid:durableId="1891765870">
    <w:abstractNumId w:val="2"/>
  </w:num>
  <w:num w:numId="22" w16cid:durableId="1262765293">
    <w:abstractNumId w:val="1"/>
  </w:num>
  <w:num w:numId="23" w16cid:durableId="1820919806">
    <w:abstractNumId w:val="0"/>
  </w:num>
  <w:num w:numId="24" w16cid:durableId="4437380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zNDM1NTM2MbA0MDZV0lEKTi0uzszPAykwrAUAjHTXzywAAAA="/>
  </w:docVars>
  <w:rsids>
    <w:rsidRoot w:val="00BF4F98"/>
    <w:rsid w:val="0026452E"/>
    <w:rsid w:val="00897402"/>
    <w:rsid w:val="009A4AF3"/>
    <w:rsid w:val="00BF127E"/>
    <w:rsid w:val="00BF4F98"/>
    <w:rsid w:val="00CF7B86"/>
    <w:rsid w:val="00F326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16B8"/>
  <w15:chartTrackingRefBased/>
  <w15:docId w15:val="{FD56CB60-946F-4934-B9AB-8693995D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98"/>
    <w:pPr>
      <w:spacing w:after="0" w:line="36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qFormat/>
    <w:rsid w:val="00BF4F98"/>
    <w:pPr>
      <w:keepNext/>
      <w:keepLines/>
      <w:spacing w:before="480" w:after="120"/>
      <w:outlineLvl w:val="0"/>
    </w:pPr>
    <w:rPr>
      <w:b/>
      <w:i/>
      <w:iCs/>
    </w:rPr>
  </w:style>
  <w:style w:type="paragraph" w:styleId="Heading2">
    <w:name w:val="heading 2"/>
    <w:basedOn w:val="Normal"/>
    <w:next w:val="Normal"/>
    <w:link w:val="Heading2Char"/>
    <w:qFormat/>
    <w:rsid w:val="00BF4F98"/>
    <w:pPr>
      <w:ind w:left="720"/>
      <w:outlineLvl w:val="1"/>
    </w:pPr>
    <w:rPr>
      <w:i/>
      <w:iCs/>
    </w:rPr>
  </w:style>
  <w:style w:type="paragraph" w:styleId="Heading3">
    <w:name w:val="heading 3"/>
    <w:basedOn w:val="Normal"/>
    <w:next w:val="Normal"/>
    <w:link w:val="Heading3Char"/>
    <w:rsid w:val="00BF4F98"/>
    <w:pPr>
      <w:keepNext/>
      <w:keepLines/>
      <w:spacing w:before="280" w:after="80"/>
      <w:outlineLvl w:val="2"/>
    </w:pPr>
    <w:rPr>
      <w:b/>
      <w:sz w:val="28"/>
      <w:szCs w:val="28"/>
    </w:rPr>
  </w:style>
  <w:style w:type="paragraph" w:styleId="Heading4">
    <w:name w:val="heading 4"/>
    <w:basedOn w:val="Normal"/>
    <w:next w:val="Normal"/>
    <w:link w:val="Heading4Char"/>
    <w:rsid w:val="00BF4F98"/>
    <w:pPr>
      <w:keepNext/>
      <w:keepLines/>
      <w:spacing w:before="240" w:after="40"/>
      <w:outlineLvl w:val="3"/>
    </w:pPr>
    <w:rPr>
      <w:b/>
    </w:rPr>
  </w:style>
  <w:style w:type="paragraph" w:styleId="Heading5">
    <w:name w:val="heading 5"/>
    <w:basedOn w:val="Normal"/>
    <w:next w:val="Normal"/>
    <w:link w:val="Heading5Char"/>
    <w:rsid w:val="00BF4F98"/>
    <w:pPr>
      <w:keepNext/>
      <w:keepLines/>
      <w:spacing w:before="220" w:after="40"/>
      <w:outlineLvl w:val="4"/>
    </w:pPr>
    <w:rPr>
      <w:b/>
      <w:sz w:val="22"/>
      <w:szCs w:val="22"/>
    </w:rPr>
  </w:style>
  <w:style w:type="paragraph" w:styleId="Heading6">
    <w:name w:val="heading 6"/>
    <w:basedOn w:val="Normal"/>
    <w:next w:val="Normal"/>
    <w:link w:val="Heading6Char"/>
    <w:rsid w:val="00BF4F9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F98"/>
    <w:rPr>
      <w:rFonts w:ascii="Times New Roman" w:eastAsia="Calibri" w:hAnsi="Times New Roman" w:cs="Times New Roman"/>
      <w:b/>
      <w:i/>
      <w:iCs/>
      <w:sz w:val="24"/>
      <w:szCs w:val="24"/>
      <w:lang w:val="en-US"/>
    </w:rPr>
  </w:style>
  <w:style w:type="character" w:customStyle="1" w:styleId="Heading2Char">
    <w:name w:val="Heading 2 Char"/>
    <w:basedOn w:val="DefaultParagraphFont"/>
    <w:link w:val="Heading2"/>
    <w:rsid w:val="00BF4F98"/>
    <w:rPr>
      <w:rFonts w:ascii="Times New Roman" w:eastAsia="Calibri" w:hAnsi="Times New Roman" w:cs="Times New Roman"/>
      <w:i/>
      <w:iCs/>
      <w:sz w:val="24"/>
      <w:szCs w:val="24"/>
      <w:lang w:val="en-US"/>
    </w:rPr>
  </w:style>
  <w:style w:type="character" w:customStyle="1" w:styleId="Heading3Char">
    <w:name w:val="Heading 3 Char"/>
    <w:basedOn w:val="DefaultParagraphFont"/>
    <w:link w:val="Heading3"/>
    <w:rsid w:val="00BF4F98"/>
    <w:rPr>
      <w:rFonts w:ascii="Times New Roman" w:eastAsia="Calibri" w:hAnsi="Times New Roman" w:cs="Times New Roman"/>
      <w:b/>
      <w:sz w:val="28"/>
      <w:szCs w:val="28"/>
      <w:lang w:val="en-US"/>
    </w:rPr>
  </w:style>
  <w:style w:type="character" w:customStyle="1" w:styleId="Heading4Char">
    <w:name w:val="Heading 4 Char"/>
    <w:basedOn w:val="DefaultParagraphFont"/>
    <w:link w:val="Heading4"/>
    <w:rsid w:val="00BF4F98"/>
    <w:rPr>
      <w:rFonts w:ascii="Times New Roman" w:eastAsia="Calibri" w:hAnsi="Times New Roman" w:cs="Times New Roman"/>
      <w:b/>
      <w:sz w:val="24"/>
      <w:szCs w:val="24"/>
      <w:lang w:val="en-US"/>
    </w:rPr>
  </w:style>
  <w:style w:type="character" w:customStyle="1" w:styleId="Heading5Char">
    <w:name w:val="Heading 5 Char"/>
    <w:basedOn w:val="DefaultParagraphFont"/>
    <w:link w:val="Heading5"/>
    <w:rsid w:val="00BF4F98"/>
    <w:rPr>
      <w:rFonts w:ascii="Times New Roman" w:eastAsia="Calibri" w:hAnsi="Times New Roman" w:cs="Times New Roman"/>
      <w:b/>
      <w:lang w:val="en-US"/>
    </w:rPr>
  </w:style>
  <w:style w:type="character" w:customStyle="1" w:styleId="Heading6Char">
    <w:name w:val="Heading 6 Char"/>
    <w:basedOn w:val="DefaultParagraphFont"/>
    <w:link w:val="Heading6"/>
    <w:rsid w:val="00BF4F98"/>
    <w:rPr>
      <w:rFonts w:ascii="Times New Roman" w:eastAsia="Calibri" w:hAnsi="Times New Roman" w:cs="Times New Roman"/>
      <w:b/>
      <w:sz w:val="20"/>
      <w:szCs w:val="20"/>
      <w:lang w:val="en-US"/>
    </w:rPr>
  </w:style>
  <w:style w:type="table" w:customStyle="1" w:styleId="TableNormal1">
    <w:name w:val="Table Normal1"/>
    <w:rsid w:val="00BF4F98"/>
    <w:pPr>
      <w:spacing w:after="0" w:line="240" w:lineRule="auto"/>
    </w:pPr>
    <w:rPr>
      <w:rFonts w:ascii="Times New Roman" w:eastAsia="Times New Roman" w:hAnsi="Times New Roman" w:cs="Times New Roman"/>
      <w:sz w:val="24"/>
      <w:szCs w:val="24"/>
      <w:lang w:val="en-US" w:bidi="he-IL"/>
    </w:rPr>
    <w:tblPr>
      <w:tblCellMar>
        <w:top w:w="0" w:type="dxa"/>
        <w:left w:w="0" w:type="dxa"/>
        <w:bottom w:w="0" w:type="dxa"/>
        <w:right w:w="0" w:type="dxa"/>
      </w:tblCellMar>
    </w:tblPr>
  </w:style>
  <w:style w:type="paragraph" w:styleId="Title">
    <w:name w:val="Title"/>
    <w:basedOn w:val="Normal"/>
    <w:next w:val="Normal"/>
    <w:link w:val="TitleChar"/>
    <w:rsid w:val="00BF4F98"/>
    <w:pPr>
      <w:keepNext/>
      <w:keepLines/>
      <w:spacing w:before="480" w:after="120"/>
    </w:pPr>
    <w:rPr>
      <w:b/>
      <w:sz w:val="72"/>
      <w:szCs w:val="72"/>
    </w:rPr>
  </w:style>
  <w:style w:type="character" w:customStyle="1" w:styleId="TitleChar">
    <w:name w:val="Title Char"/>
    <w:basedOn w:val="DefaultParagraphFont"/>
    <w:link w:val="Title"/>
    <w:rsid w:val="00BF4F98"/>
    <w:rPr>
      <w:rFonts w:ascii="Times New Roman" w:eastAsia="Calibri" w:hAnsi="Times New Roman" w:cs="Times New Roman"/>
      <w:b/>
      <w:sz w:val="72"/>
      <w:szCs w:val="72"/>
      <w:lang w:val="en-US"/>
    </w:rPr>
  </w:style>
  <w:style w:type="character" w:styleId="Hyperlink">
    <w:name w:val="Hyperlink"/>
    <w:rsid w:val="00BF4F98"/>
    <w:rPr>
      <w:u w:val="single"/>
    </w:rPr>
  </w:style>
  <w:style w:type="table" w:customStyle="1" w:styleId="TableNormal2">
    <w:name w:val="Table Normal2"/>
    <w:rsid w:val="00BF4F98"/>
    <w:pPr>
      <w:spacing w:after="0" w:line="240" w:lineRule="auto"/>
    </w:pPr>
    <w:rPr>
      <w:rFonts w:ascii="Times New Roman" w:eastAsia="Times New Roman" w:hAnsi="Times New Roman" w:cs="Times New Roman"/>
      <w:sz w:val="24"/>
      <w:szCs w:val="24"/>
      <w:lang w:val="en-US" w:bidi="he-IL"/>
    </w:rPr>
    <w:tblPr>
      <w:tblInd w:w="0" w:type="dxa"/>
      <w:tblCellMar>
        <w:top w:w="0" w:type="dxa"/>
        <w:left w:w="0" w:type="dxa"/>
        <w:bottom w:w="0" w:type="dxa"/>
        <w:right w:w="0" w:type="dxa"/>
      </w:tblCellMar>
    </w:tblPr>
  </w:style>
  <w:style w:type="paragraph" w:customStyle="1" w:styleId="HeaderFooter">
    <w:name w:val="Header &amp; Footer"/>
    <w:rsid w:val="00BF4F98"/>
    <w:pPr>
      <w:tabs>
        <w:tab w:val="right" w:pos="9020"/>
      </w:tabs>
      <w:spacing w:after="0" w:line="240" w:lineRule="auto"/>
    </w:pPr>
    <w:rPr>
      <w:rFonts w:ascii="Helvetica Neue" w:eastAsia="Arial Unicode MS" w:hAnsi="Helvetica Neue" w:cs="Arial Unicode MS"/>
      <w:color w:val="000000"/>
      <w:sz w:val="24"/>
      <w:szCs w:val="24"/>
      <w:lang w:val="en-US" w:bidi="he-IL"/>
    </w:rPr>
  </w:style>
  <w:style w:type="paragraph" w:customStyle="1" w:styleId="Body">
    <w:name w:val="Body"/>
    <w:rsid w:val="00BF4F98"/>
    <w:rPr>
      <w:rFonts w:ascii="Calibri" w:eastAsia="Arial Unicode MS" w:hAnsi="Calibri" w:cs="Arial Unicode MS"/>
      <w:color w:val="000000"/>
      <w:u w:color="000000"/>
      <w:lang w:val="en-US" w:bidi="he-IL"/>
    </w:rPr>
  </w:style>
  <w:style w:type="paragraph" w:styleId="ListParagraph">
    <w:name w:val="List Paragraph"/>
    <w:rsid w:val="00BF4F98"/>
    <w:pPr>
      <w:ind w:left="720"/>
    </w:pPr>
    <w:rPr>
      <w:rFonts w:ascii="Calibri" w:eastAsia="Arial Unicode MS" w:hAnsi="Calibri" w:cs="Arial Unicode MS"/>
      <w:color w:val="000000"/>
      <w:u w:color="000000"/>
      <w:lang w:val="en-US" w:bidi="he-IL"/>
    </w:rPr>
  </w:style>
  <w:style w:type="paragraph" w:styleId="FootnoteText">
    <w:name w:val="footnote text"/>
    <w:link w:val="FootnoteTextChar"/>
    <w:rsid w:val="00BF4F98"/>
    <w:pPr>
      <w:spacing w:after="0" w:line="240" w:lineRule="auto"/>
    </w:pPr>
    <w:rPr>
      <w:rFonts w:ascii="Times New Roman" w:eastAsia="Calibri" w:hAnsi="Times New Roman" w:cs="Times New Roman"/>
      <w:color w:val="000000"/>
      <w:sz w:val="20"/>
      <w:szCs w:val="20"/>
      <w:u w:color="000000"/>
      <w:lang w:val="en-US" w:bidi="he-IL"/>
    </w:rPr>
  </w:style>
  <w:style w:type="character" w:customStyle="1" w:styleId="FootnoteTextChar">
    <w:name w:val="Footnote Text Char"/>
    <w:basedOn w:val="DefaultParagraphFont"/>
    <w:link w:val="FootnoteText"/>
    <w:rsid w:val="00BF4F98"/>
    <w:rPr>
      <w:rFonts w:ascii="Times New Roman" w:eastAsia="Calibri" w:hAnsi="Times New Roman" w:cs="Times New Roman"/>
      <w:color w:val="000000"/>
      <w:sz w:val="20"/>
      <w:szCs w:val="20"/>
      <w:u w:color="000000"/>
      <w:lang w:val="en-US" w:bidi="he-IL"/>
    </w:rPr>
  </w:style>
  <w:style w:type="paragraph" w:styleId="NormalWeb">
    <w:name w:val="Normal (Web)"/>
    <w:rsid w:val="00BF4F98"/>
    <w:pPr>
      <w:spacing w:before="100" w:after="100" w:line="240" w:lineRule="auto"/>
    </w:pPr>
    <w:rPr>
      <w:rFonts w:ascii="Times New Roman" w:eastAsia="Arial Unicode MS" w:hAnsi="Times New Roman" w:cs="Arial Unicode MS"/>
      <w:color w:val="000000"/>
      <w:sz w:val="24"/>
      <w:szCs w:val="24"/>
      <w:u w:color="000000"/>
      <w:lang w:val="en-US" w:bidi="he-IL"/>
    </w:rPr>
  </w:style>
  <w:style w:type="paragraph" w:customStyle="1" w:styleId="Default">
    <w:name w:val="Default"/>
    <w:rsid w:val="00BF4F98"/>
    <w:pPr>
      <w:spacing w:before="160" w:after="0" w:line="288" w:lineRule="auto"/>
    </w:pPr>
    <w:rPr>
      <w:rFonts w:ascii="Helvetica Neue" w:eastAsia="Helvetica Neue" w:hAnsi="Helvetica Neue" w:cs="Helvetica Neue"/>
      <w:color w:val="000000"/>
      <w:sz w:val="24"/>
      <w:szCs w:val="24"/>
      <w:lang w:val="en-US" w:bidi="he-IL"/>
    </w:rPr>
  </w:style>
  <w:style w:type="paragraph" w:styleId="Subtitle">
    <w:name w:val="Subtitle"/>
    <w:basedOn w:val="Normal"/>
    <w:next w:val="Normal"/>
    <w:link w:val="SubtitleChar"/>
    <w:rsid w:val="00BF4F9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4F98"/>
    <w:rPr>
      <w:rFonts w:ascii="Georgia" w:eastAsia="Georgia" w:hAnsi="Georgia" w:cs="Georgia"/>
      <w:i/>
      <w:color w:val="666666"/>
      <w:sz w:val="48"/>
      <w:szCs w:val="48"/>
      <w:lang w:val="en-US"/>
    </w:rPr>
  </w:style>
  <w:style w:type="table" w:customStyle="1" w:styleId="5">
    <w:name w:val="5"/>
    <w:basedOn w:val="TableNormal1"/>
    <w:rsid w:val="00BF4F98"/>
    <w:tblPr>
      <w:tblStyleRowBandSize w:val="1"/>
      <w:tblStyleColBandSize w:val="1"/>
      <w:tblCellMar>
        <w:left w:w="115" w:type="dxa"/>
        <w:right w:w="115" w:type="dxa"/>
      </w:tblCellMar>
    </w:tblPr>
  </w:style>
  <w:style w:type="table" w:customStyle="1" w:styleId="4">
    <w:name w:val="4"/>
    <w:basedOn w:val="TableNormal1"/>
    <w:rsid w:val="00BF4F98"/>
    <w:tblPr>
      <w:tblStyleRowBandSize w:val="1"/>
      <w:tblStyleColBandSize w:val="1"/>
      <w:tblCellMar>
        <w:left w:w="115" w:type="dxa"/>
        <w:right w:w="115" w:type="dxa"/>
      </w:tblCellMar>
    </w:tblPr>
  </w:style>
  <w:style w:type="table" w:customStyle="1" w:styleId="3">
    <w:name w:val="3"/>
    <w:basedOn w:val="TableNormal1"/>
    <w:rsid w:val="00BF4F98"/>
    <w:tblPr>
      <w:tblStyleRowBandSize w:val="1"/>
      <w:tblStyleColBandSize w:val="1"/>
      <w:tblCellMar>
        <w:left w:w="115" w:type="dxa"/>
        <w:right w:w="115" w:type="dxa"/>
      </w:tblCellMar>
    </w:tblPr>
  </w:style>
  <w:style w:type="table" w:customStyle="1" w:styleId="2">
    <w:name w:val="2"/>
    <w:basedOn w:val="TableNormal1"/>
    <w:rsid w:val="00BF4F98"/>
    <w:tblPr>
      <w:tblStyleRowBandSize w:val="1"/>
      <w:tblStyleColBandSize w:val="1"/>
      <w:tblCellMar>
        <w:left w:w="115" w:type="dxa"/>
        <w:right w:w="115" w:type="dxa"/>
      </w:tblCellMar>
    </w:tblPr>
  </w:style>
  <w:style w:type="table" w:customStyle="1" w:styleId="1">
    <w:name w:val="1"/>
    <w:basedOn w:val="TableNormal1"/>
    <w:rsid w:val="00BF4F98"/>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BF4F98"/>
    <w:rPr>
      <w:sz w:val="20"/>
      <w:szCs w:val="20"/>
    </w:rPr>
  </w:style>
  <w:style w:type="character" w:customStyle="1" w:styleId="CommentTextChar">
    <w:name w:val="Comment Text Char"/>
    <w:basedOn w:val="DefaultParagraphFont"/>
    <w:link w:val="CommentText"/>
    <w:uiPriority w:val="99"/>
    <w:rsid w:val="00BF4F98"/>
    <w:rPr>
      <w:rFonts w:ascii="Times New Roman" w:eastAsia="Calibri" w:hAnsi="Times New Roman" w:cs="Times New Roman"/>
      <w:sz w:val="20"/>
      <w:szCs w:val="20"/>
      <w:lang w:val="en-US"/>
    </w:rPr>
  </w:style>
  <w:style w:type="character" w:styleId="CommentReference">
    <w:name w:val="annotation reference"/>
    <w:basedOn w:val="DefaultParagraphFont"/>
    <w:uiPriority w:val="99"/>
    <w:semiHidden/>
    <w:unhideWhenUsed/>
    <w:rsid w:val="00BF4F98"/>
    <w:rPr>
      <w:sz w:val="16"/>
      <w:szCs w:val="16"/>
    </w:rPr>
  </w:style>
  <w:style w:type="paragraph" w:styleId="BalloonText">
    <w:name w:val="Balloon Text"/>
    <w:basedOn w:val="Normal"/>
    <w:link w:val="BalloonTextChar"/>
    <w:uiPriority w:val="99"/>
    <w:semiHidden/>
    <w:unhideWhenUsed/>
    <w:rsid w:val="00BF4F98"/>
    <w:rPr>
      <w:rFonts w:ascii="Tahoma" w:hAnsi="Tahoma" w:cs="Tahoma"/>
      <w:sz w:val="16"/>
      <w:szCs w:val="16"/>
    </w:rPr>
  </w:style>
  <w:style w:type="character" w:customStyle="1" w:styleId="BalloonTextChar">
    <w:name w:val="Balloon Text Char"/>
    <w:basedOn w:val="DefaultParagraphFont"/>
    <w:link w:val="BalloonText"/>
    <w:uiPriority w:val="99"/>
    <w:semiHidden/>
    <w:rsid w:val="00BF4F98"/>
    <w:rPr>
      <w:rFonts w:ascii="Tahoma" w:eastAsia="Calibri"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BF4F98"/>
    <w:rPr>
      <w:b/>
      <w:bCs/>
    </w:rPr>
  </w:style>
  <w:style w:type="character" w:customStyle="1" w:styleId="CommentSubjectChar">
    <w:name w:val="Comment Subject Char"/>
    <w:basedOn w:val="CommentTextChar"/>
    <w:link w:val="CommentSubject"/>
    <w:uiPriority w:val="99"/>
    <w:semiHidden/>
    <w:rsid w:val="00BF4F98"/>
    <w:rPr>
      <w:rFonts w:ascii="Times New Roman" w:eastAsia="Calibri" w:hAnsi="Times New Roman" w:cs="Times New Roman"/>
      <w:b/>
      <w:bCs/>
      <w:sz w:val="20"/>
      <w:szCs w:val="20"/>
      <w:lang w:val="en-US"/>
    </w:rPr>
  </w:style>
  <w:style w:type="character" w:styleId="FootnoteReference">
    <w:name w:val="footnote reference"/>
    <w:basedOn w:val="DefaultParagraphFont"/>
    <w:uiPriority w:val="99"/>
    <w:unhideWhenUsed/>
    <w:rsid w:val="00BF4F98"/>
    <w:rPr>
      <w:color w:val="000000"/>
      <w:position w:val="6"/>
      <w:sz w:val="20"/>
      <w:szCs w:val="20"/>
      <w:vertAlign w:val="superscript"/>
      <w14:cntxtAlts/>
    </w:rPr>
  </w:style>
  <w:style w:type="paragraph" w:styleId="Header">
    <w:name w:val="header"/>
    <w:basedOn w:val="Normal"/>
    <w:link w:val="HeaderChar"/>
    <w:uiPriority w:val="99"/>
    <w:unhideWhenUsed/>
    <w:rsid w:val="00BF4F98"/>
    <w:pPr>
      <w:tabs>
        <w:tab w:val="center" w:pos="4153"/>
        <w:tab w:val="right" w:pos="8306"/>
      </w:tabs>
    </w:pPr>
  </w:style>
  <w:style w:type="character" w:customStyle="1" w:styleId="HeaderChar">
    <w:name w:val="Header Char"/>
    <w:basedOn w:val="DefaultParagraphFont"/>
    <w:link w:val="Header"/>
    <w:uiPriority w:val="99"/>
    <w:rsid w:val="00BF4F98"/>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BF4F98"/>
    <w:pPr>
      <w:tabs>
        <w:tab w:val="center" w:pos="4153"/>
        <w:tab w:val="right" w:pos="8306"/>
      </w:tabs>
    </w:pPr>
  </w:style>
  <w:style w:type="character" w:customStyle="1" w:styleId="FooterChar">
    <w:name w:val="Footer Char"/>
    <w:basedOn w:val="DefaultParagraphFont"/>
    <w:link w:val="Footer"/>
    <w:uiPriority w:val="99"/>
    <w:rsid w:val="00BF4F98"/>
    <w:rPr>
      <w:rFonts w:ascii="Times New Roman" w:eastAsia="Calibri" w:hAnsi="Times New Roman" w:cs="Times New Roman"/>
      <w:sz w:val="24"/>
      <w:szCs w:val="24"/>
      <w:lang w:val="en-US"/>
    </w:rPr>
  </w:style>
  <w:style w:type="table" w:styleId="TableGrid">
    <w:name w:val="Table Grid"/>
    <w:basedOn w:val="TableNormal"/>
    <w:unhideWhenUsed/>
    <w:rsid w:val="00BF4F98"/>
    <w:pPr>
      <w:spacing w:after="0" w:line="240" w:lineRule="auto"/>
    </w:pPr>
    <w:rPr>
      <w:rFonts w:ascii="Times New Roman" w:eastAsia="Times New Roman" w:hAnsi="Times New Roman"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F98"/>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F4F98"/>
    <w:rPr>
      <w:b/>
      <w:bCs/>
    </w:rPr>
  </w:style>
  <w:style w:type="paragraph" w:styleId="BodyTextIndent">
    <w:name w:val="Body Text Indent"/>
    <w:basedOn w:val="Normal"/>
    <w:link w:val="BodyTextIndentChar"/>
    <w:rsid w:val="00BF4F98"/>
    <w:pPr>
      <w:bidi/>
      <w:spacing w:line="480" w:lineRule="auto"/>
      <w:ind w:firstLine="720"/>
      <w:jc w:val="both"/>
    </w:pPr>
    <w:rPr>
      <w:rFonts w:cs="David"/>
      <w:lang w:eastAsia="he-IL" w:bidi="he-IL"/>
    </w:rPr>
  </w:style>
  <w:style w:type="character" w:customStyle="1" w:styleId="BodyTextIndentChar">
    <w:name w:val="Body Text Indent Char"/>
    <w:basedOn w:val="DefaultParagraphFont"/>
    <w:link w:val="BodyTextIndent"/>
    <w:rsid w:val="00BF4F98"/>
    <w:rPr>
      <w:rFonts w:ascii="Times New Roman" w:eastAsia="Calibri" w:hAnsi="Times New Roman" w:cs="David"/>
      <w:sz w:val="24"/>
      <w:szCs w:val="24"/>
      <w:lang w:val="en-US" w:eastAsia="he-IL" w:bidi="he-IL"/>
    </w:rPr>
  </w:style>
  <w:style w:type="paragraph" w:customStyle="1" w:styleId="en">
    <w:name w:val="en"/>
    <w:basedOn w:val="Normal"/>
    <w:rsid w:val="00BF4F98"/>
    <w:pPr>
      <w:spacing w:before="100" w:beforeAutospacing="1" w:after="100" w:afterAutospacing="1"/>
    </w:pPr>
    <w:rPr>
      <w:lang w:val="en-GB" w:eastAsia="en-GB" w:bidi="he-IL"/>
    </w:rPr>
  </w:style>
  <w:style w:type="character" w:customStyle="1" w:styleId="apple-converted-space">
    <w:name w:val="apple-converted-space"/>
    <w:basedOn w:val="DefaultParagraphFont"/>
    <w:rsid w:val="00BF4F98"/>
  </w:style>
  <w:style w:type="character" w:customStyle="1" w:styleId="glossaryitem">
    <w:name w:val="glossary_item"/>
    <w:basedOn w:val="DefaultParagraphFont"/>
    <w:rsid w:val="00BF4F98"/>
  </w:style>
  <w:style w:type="character" w:styleId="Emphasis">
    <w:name w:val="Emphasis"/>
    <w:qFormat/>
    <w:rsid w:val="00BF4F98"/>
    <w:rPr>
      <w:i/>
      <w:iCs/>
    </w:rPr>
  </w:style>
  <w:style w:type="paragraph" w:customStyle="1" w:styleId="Source">
    <w:name w:val="Source"/>
    <w:basedOn w:val="Normal"/>
    <w:link w:val="SourceChar"/>
    <w:qFormat/>
    <w:rsid w:val="00BF4F98"/>
    <w:rPr>
      <w:b/>
      <w:bCs/>
      <w:u w:val="single"/>
    </w:rPr>
  </w:style>
  <w:style w:type="character" w:customStyle="1" w:styleId="SourceChar">
    <w:name w:val="Source Char"/>
    <w:basedOn w:val="DefaultParagraphFont"/>
    <w:link w:val="Source"/>
    <w:rsid w:val="00BF4F98"/>
    <w:rPr>
      <w:rFonts w:ascii="Times New Roman" w:eastAsia="Calibri" w:hAnsi="Times New Roman" w:cs="Times New Roman"/>
      <w:b/>
      <w:bCs/>
      <w:sz w:val="24"/>
      <w:szCs w:val="24"/>
      <w:u w:val="single"/>
      <w:lang w:val="en-US"/>
    </w:rPr>
  </w:style>
  <w:style w:type="character" w:styleId="FollowedHyperlink">
    <w:name w:val="FollowedHyperlink"/>
    <w:basedOn w:val="DefaultParagraphFont"/>
    <w:uiPriority w:val="99"/>
    <w:semiHidden/>
    <w:unhideWhenUsed/>
    <w:rsid w:val="00BF4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topics\rabbi-ilai-(ii)"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23</Pages>
  <Words>8490</Words>
  <Characters>43219</Characters>
  <Application>Microsoft Office Word</Application>
  <DocSecurity>0</DocSecurity>
  <Lines>785</Lines>
  <Paragraphs>174</Paragraphs>
  <ScaleCrop>false</ScaleCrop>
  <Company/>
  <LinksUpToDate>false</LinksUpToDate>
  <CharactersWithSpaces>51535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cp:revision>
  <dcterms:created xsi:type="dcterms:W3CDTF">2023-01-19T15:42:00Z</dcterms:created>
  <dcterms:modified xsi:type="dcterms:W3CDTF">2023-01-19T16:41:00Z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dfe65107-fe95-446d-8679-1c3da77f01f2</vt:lpwstr>
  </property>
</Properties>
</file>