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C1C8A8" w14:textId="77777777" w:rsidR="006B57C0" w:rsidRDefault="00000000">
      <w:pPr>
        <w:pBdr>
          <w:bottom w:val="none" w:sz="0" w:space="7" w:color="000000"/>
        </w:pBdr>
        <w:shd w:val="clear" w:color="auto" w:fill="FFFFFF"/>
        <w:spacing w:line="335" w:lineRule="auto"/>
        <w:ind w:right="840"/>
        <w:rPr>
          <w:b/>
          <w:u w:val="single"/>
        </w:rPr>
      </w:pPr>
      <w:r>
        <w:rPr>
          <w:b/>
          <w:u w:val="single"/>
        </w:rPr>
        <w:t>1. Informations de base</w:t>
      </w:r>
    </w:p>
    <w:p w14:paraId="6E3BAECB" w14:textId="77777777" w:rsidR="006B57C0" w:rsidRDefault="00000000">
      <w:pPr>
        <w:pBdr>
          <w:bottom w:val="none" w:sz="0" w:space="7" w:color="000000"/>
        </w:pBdr>
        <w:shd w:val="clear" w:color="auto" w:fill="FFFFFF"/>
        <w:tabs>
          <w:tab w:val="left" w:pos="2542"/>
        </w:tabs>
        <w:spacing w:line="335" w:lineRule="auto"/>
        <w:ind w:right="840"/>
        <w:rPr>
          <w:u w:val="single"/>
        </w:rPr>
      </w:pPr>
      <w:r>
        <w:rPr>
          <w:u w:val="single"/>
        </w:rPr>
        <w:t>Admissibilité</w:t>
      </w:r>
    </w:p>
    <w:p w14:paraId="02AD92D1" w14:textId="77777777" w:rsidR="006B57C0" w:rsidRDefault="00000000">
      <w:pPr>
        <w:pBdr>
          <w:bottom w:val="none" w:sz="0" w:space="10" w:color="000000"/>
        </w:pBdr>
        <w:shd w:val="clear" w:color="auto" w:fill="FFFFFF"/>
        <w:spacing w:line="240" w:lineRule="auto"/>
        <w:ind w:right="30"/>
      </w:pPr>
      <w:r>
        <w:t xml:space="preserve">Le concours est ouvert aux élèves d’enseignement secondaire de </w:t>
      </w:r>
      <w:proofErr w:type="gramStart"/>
      <w:r>
        <w:t>deuxième et troisième degrés</w:t>
      </w:r>
      <w:proofErr w:type="gramEnd"/>
      <w:r>
        <w:t xml:space="preserve">. Les élèves peuvent participer seuls ou en groupes. </w:t>
      </w:r>
    </w:p>
    <w:p w14:paraId="57E61326" w14:textId="77777777" w:rsidR="006B57C0" w:rsidRDefault="00000000">
      <w:pPr>
        <w:pBdr>
          <w:bottom w:val="none" w:sz="0" w:space="7" w:color="000000"/>
        </w:pBdr>
        <w:shd w:val="clear" w:color="auto" w:fill="FFFFFF"/>
        <w:spacing w:line="335" w:lineRule="auto"/>
        <w:ind w:right="840"/>
        <w:rPr>
          <w:u w:val="single"/>
        </w:rPr>
      </w:pPr>
      <w:r>
        <w:rPr>
          <w:u w:val="single"/>
        </w:rPr>
        <w:t>Date limite de soumission</w:t>
      </w:r>
    </w:p>
    <w:p w14:paraId="30796DA1" w14:textId="37A13DC8" w:rsidR="006B57C0" w:rsidRDefault="00000000">
      <w:pPr>
        <w:pBdr>
          <w:bottom w:val="none" w:sz="0" w:space="7" w:color="000000"/>
        </w:pBdr>
        <w:shd w:val="clear" w:color="auto" w:fill="FFFFFF"/>
        <w:spacing w:line="240" w:lineRule="auto"/>
        <w:ind w:right="839"/>
      </w:pPr>
      <w:r>
        <w:t xml:space="preserve">Les dossiers doivent être soumis à la Bibliothèque nationale d’Israël (BNI) avant le </w:t>
      </w:r>
      <w:r w:rsidR="00601C08">
        <w:t xml:space="preserve">Yom </w:t>
      </w:r>
      <w:proofErr w:type="spellStart"/>
      <w:r w:rsidR="00601C08">
        <w:t>Ha’atzmaut</w:t>
      </w:r>
      <w:proofErr w:type="spellEnd"/>
      <w:r w:rsidR="00601C08">
        <w:t xml:space="preserve">, le </w:t>
      </w:r>
      <w:r>
        <w:t>mercredi 26 avril 2023.</w:t>
      </w:r>
    </w:p>
    <w:p w14:paraId="3D6F7548" w14:textId="77777777" w:rsidR="006B57C0" w:rsidRDefault="00000000">
      <w:pPr>
        <w:pBdr>
          <w:bottom w:val="none" w:sz="0" w:space="7" w:color="000000"/>
        </w:pBdr>
        <w:shd w:val="clear" w:color="auto" w:fill="FFFFFF"/>
        <w:spacing w:line="335" w:lineRule="auto"/>
        <w:rPr>
          <w:b/>
        </w:rPr>
      </w:pPr>
      <w:r>
        <w:rPr>
          <w:b/>
          <w:u w:val="single"/>
        </w:rPr>
        <w:t>2. Exigences liées aux affiches</w:t>
      </w:r>
    </w:p>
    <w:p w14:paraId="77F3230B" w14:textId="5988923A" w:rsidR="006B57C0" w:rsidRDefault="00000000">
      <w:pPr>
        <w:numPr>
          <w:ilvl w:val="0"/>
          <w:numId w:val="2"/>
        </w:numPr>
        <w:pBdr>
          <w:top w:val="nil"/>
          <w:left w:val="nil"/>
          <w:bottom w:val="none" w:sz="0" w:space="10" w:color="000000"/>
          <w:right w:val="nil"/>
          <w:between w:val="nil"/>
        </w:pBdr>
        <w:shd w:val="clear" w:color="auto" w:fill="FFFFFF"/>
        <w:spacing w:line="240" w:lineRule="auto"/>
        <w:ind w:left="426" w:hanging="426"/>
        <w:rPr>
          <w:color w:val="000000"/>
        </w:rPr>
      </w:pPr>
      <w:r>
        <w:rPr>
          <w:color w:val="000000"/>
        </w:rPr>
        <w:t xml:space="preserve">Les affiches peuvent être </w:t>
      </w:r>
      <w:r w:rsidR="000804CB">
        <w:rPr>
          <w:color w:val="000000"/>
        </w:rPr>
        <w:t>réalisées sur</w:t>
      </w:r>
      <w:r>
        <w:rPr>
          <w:color w:val="000000"/>
        </w:rPr>
        <w:t xml:space="preserve"> tout support mixte </w:t>
      </w:r>
      <w:r w:rsidR="00601C08">
        <w:rPr>
          <w:color w:val="000000"/>
        </w:rPr>
        <w:t>reproduisible</w:t>
      </w:r>
      <w:r>
        <w:rPr>
          <w:color w:val="000000"/>
        </w:rPr>
        <w:t xml:space="preserve"> </w:t>
      </w:r>
      <w:r w:rsidR="000804CB">
        <w:rPr>
          <w:color w:val="000000"/>
        </w:rPr>
        <w:t>sous forme d’affiche</w:t>
      </w:r>
      <w:r>
        <w:rPr>
          <w:color w:val="000000"/>
        </w:rPr>
        <w:t>, y compris les graphiques générés par ordinateur</w:t>
      </w:r>
      <w:r w:rsidR="00601C08">
        <w:t> </w:t>
      </w:r>
      <w:r>
        <w:t xml:space="preserve">; il est interdit d’utiliser des images ou expressions déposées ou protégées par droit d’auteur. </w:t>
      </w:r>
    </w:p>
    <w:p w14:paraId="45945FAC" w14:textId="5515A0A6" w:rsidR="006B57C0" w:rsidRDefault="00000000">
      <w:pPr>
        <w:numPr>
          <w:ilvl w:val="0"/>
          <w:numId w:val="2"/>
        </w:numPr>
        <w:pBdr>
          <w:top w:val="nil"/>
          <w:left w:val="nil"/>
          <w:bottom w:val="none" w:sz="0" w:space="10" w:color="000000"/>
          <w:right w:val="nil"/>
          <w:between w:val="nil"/>
        </w:pBdr>
        <w:shd w:val="clear" w:color="auto" w:fill="FFFFFF"/>
        <w:spacing w:line="240" w:lineRule="auto"/>
        <w:ind w:left="426" w:hanging="426"/>
        <w:rPr>
          <w:color w:val="000000"/>
        </w:rPr>
      </w:pPr>
      <w:r>
        <w:t xml:space="preserve">Les affiches peuvent également être </w:t>
      </w:r>
      <w:r w:rsidR="000804CB">
        <w:t>fabriquées</w:t>
      </w:r>
      <w:r>
        <w:rPr>
          <w:color w:val="000000"/>
        </w:rPr>
        <w:t xml:space="preserve"> avec des matériaux artistiques (</w:t>
      </w:r>
      <w:r>
        <w:t>papier, tissu, peinture, etc.)</w:t>
      </w:r>
      <w:r>
        <w:rPr>
          <w:color w:val="000000"/>
        </w:rPr>
        <w:t xml:space="preserve"> Dans ce cas, </w:t>
      </w:r>
      <w:r>
        <w:t xml:space="preserve">les participants devront </w:t>
      </w:r>
      <w:r>
        <w:rPr>
          <w:color w:val="000000"/>
        </w:rPr>
        <w:t xml:space="preserve">télécharger une image de bonne qualité du produit physique. </w:t>
      </w:r>
    </w:p>
    <w:p w14:paraId="68271AEE" w14:textId="77777777" w:rsidR="006B57C0" w:rsidRDefault="00000000">
      <w:pPr>
        <w:pBdr>
          <w:bottom w:val="none" w:sz="0" w:space="7" w:color="000000"/>
        </w:pBdr>
        <w:shd w:val="clear" w:color="auto" w:fill="FFFFFF"/>
        <w:spacing w:line="335" w:lineRule="auto"/>
        <w:rPr>
          <w:u w:val="single"/>
        </w:rPr>
      </w:pPr>
      <w:r>
        <w:rPr>
          <w:u w:val="single"/>
        </w:rPr>
        <w:t>Droits</w:t>
      </w:r>
    </w:p>
    <w:p w14:paraId="3F41074F" w14:textId="5822C571" w:rsidR="006B57C0" w:rsidRDefault="00000000">
      <w:pPr>
        <w:numPr>
          <w:ilvl w:val="0"/>
          <w:numId w:val="3"/>
        </w:numPr>
        <w:pBdr>
          <w:top w:val="nil"/>
          <w:left w:val="nil"/>
          <w:bottom w:val="none" w:sz="0" w:space="10" w:color="000000"/>
          <w:right w:val="nil"/>
          <w:between w:val="nil"/>
        </w:pBdr>
        <w:shd w:val="clear" w:color="auto" w:fill="FFFFFF"/>
        <w:spacing w:line="240" w:lineRule="auto"/>
        <w:ind w:left="284" w:hanging="284"/>
        <w:rPr>
          <w:color w:val="000000"/>
        </w:rPr>
      </w:pPr>
      <w:r>
        <w:rPr>
          <w:color w:val="000000"/>
        </w:rPr>
        <w:t>Il est possible que les affiches gagnantes soient affichées à la Bibliothèque nationale d</w:t>
      </w:r>
      <w:r w:rsidR="00601C08">
        <w:rPr>
          <w:color w:val="000000"/>
        </w:rPr>
        <w:t>’</w:t>
      </w:r>
      <w:r>
        <w:rPr>
          <w:color w:val="000000"/>
        </w:rPr>
        <w:t>Israël et reproduites sur le site officiel de la Bibliothèque nationale d</w:t>
      </w:r>
      <w:r w:rsidR="00601C08">
        <w:rPr>
          <w:color w:val="000000"/>
        </w:rPr>
        <w:t>’</w:t>
      </w:r>
      <w:r>
        <w:rPr>
          <w:color w:val="000000"/>
        </w:rPr>
        <w:t>Israël et sur les réseaux sociaux, à la seule discrétion de la Bibliothèque nationale d</w:t>
      </w:r>
      <w:r w:rsidR="00601C08">
        <w:rPr>
          <w:color w:val="000000"/>
        </w:rPr>
        <w:t>’</w:t>
      </w:r>
      <w:r>
        <w:rPr>
          <w:color w:val="000000"/>
        </w:rPr>
        <w:t xml:space="preserve">Israël. </w:t>
      </w:r>
    </w:p>
    <w:p w14:paraId="3CC23C4A" w14:textId="3C205DF9" w:rsidR="006B57C0" w:rsidRDefault="00000000">
      <w:pPr>
        <w:numPr>
          <w:ilvl w:val="0"/>
          <w:numId w:val="3"/>
        </w:numPr>
        <w:pBdr>
          <w:top w:val="nil"/>
          <w:left w:val="nil"/>
          <w:bottom w:val="none" w:sz="0" w:space="10" w:color="000000"/>
          <w:right w:val="nil"/>
          <w:between w:val="nil"/>
        </w:pBdr>
        <w:shd w:val="clear" w:color="auto" w:fill="FFFFFF"/>
        <w:spacing w:line="240" w:lineRule="auto"/>
        <w:ind w:left="284" w:hanging="284"/>
        <w:rPr>
          <w:color w:val="000000"/>
        </w:rPr>
      </w:pPr>
      <w:r>
        <w:rPr>
          <w:color w:val="000000"/>
        </w:rPr>
        <w:t>La pleine propriété du contenu reviendra à la Bibliothèque nationale d</w:t>
      </w:r>
      <w:r w:rsidR="00601C08">
        <w:rPr>
          <w:color w:val="000000"/>
        </w:rPr>
        <w:t>’</w:t>
      </w:r>
      <w:r>
        <w:rPr>
          <w:color w:val="000000"/>
        </w:rPr>
        <w:t xml:space="preserve">Israël. </w:t>
      </w:r>
    </w:p>
    <w:p w14:paraId="028FAD84" w14:textId="0B2F72B4" w:rsidR="006B57C0" w:rsidRDefault="00000000">
      <w:pPr>
        <w:numPr>
          <w:ilvl w:val="0"/>
          <w:numId w:val="3"/>
        </w:numPr>
        <w:pBdr>
          <w:top w:val="nil"/>
          <w:left w:val="nil"/>
          <w:bottom w:val="none" w:sz="0" w:space="10" w:color="000000"/>
          <w:right w:val="nil"/>
          <w:between w:val="nil"/>
        </w:pBdr>
        <w:shd w:val="clear" w:color="auto" w:fill="FFFFFF"/>
        <w:spacing w:line="240" w:lineRule="auto"/>
        <w:ind w:left="284" w:hanging="284"/>
        <w:rPr>
          <w:color w:val="000000"/>
        </w:rPr>
      </w:pPr>
      <w:r>
        <w:rPr>
          <w:color w:val="000000"/>
        </w:rPr>
        <w:t xml:space="preserve">La participation au concours </w:t>
      </w:r>
      <w:r w:rsidR="000804CB">
        <w:rPr>
          <w:color w:val="000000"/>
        </w:rPr>
        <w:t>constitue l’autorisation de</w:t>
      </w:r>
      <w:r>
        <w:rPr>
          <w:color w:val="000000"/>
        </w:rPr>
        <w:t xml:space="preserve"> publier les noms des gagnants.</w:t>
      </w:r>
    </w:p>
    <w:p w14:paraId="5D005121" w14:textId="6A496BAB" w:rsidR="006B57C0" w:rsidRDefault="00000000">
      <w:pPr>
        <w:numPr>
          <w:ilvl w:val="0"/>
          <w:numId w:val="3"/>
        </w:numPr>
        <w:pBdr>
          <w:top w:val="nil"/>
          <w:left w:val="nil"/>
          <w:bottom w:val="none" w:sz="0" w:space="10" w:color="000000"/>
          <w:right w:val="nil"/>
          <w:between w:val="nil"/>
        </w:pBdr>
        <w:shd w:val="clear" w:color="auto" w:fill="FFFFFF"/>
        <w:spacing w:line="240" w:lineRule="auto"/>
        <w:ind w:left="284" w:hanging="284"/>
        <w:rPr>
          <w:color w:val="000000"/>
        </w:rPr>
      </w:pPr>
      <w:r>
        <w:rPr>
          <w:color w:val="000000"/>
        </w:rPr>
        <w:t>L’acceptation des projets soumis et toute interprétation du présent règlement sont à la seule discrétion de la Bibliothèque nationale d</w:t>
      </w:r>
      <w:r w:rsidR="00601C08">
        <w:rPr>
          <w:color w:val="000000"/>
        </w:rPr>
        <w:t>’</w:t>
      </w:r>
      <w:r>
        <w:rPr>
          <w:color w:val="000000"/>
        </w:rPr>
        <w:t>Israël et sont fermes et contraignantes pour tous les participants.</w:t>
      </w:r>
    </w:p>
    <w:p w14:paraId="70355753" w14:textId="3A063F00" w:rsidR="006B57C0" w:rsidRDefault="00000000">
      <w:pPr>
        <w:numPr>
          <w:ilvl w:val="0"/>
          <w:numId w:val="3"/>
        </w:numPr>
        <w:pBdr>
          <w:top w:val="nil"/>
          <w:left w:val="nil"/>
          <w:bottom w:val="none" w:sz="0" w:space="10" w:color="000000"/>
          <w:right w:val="nil"/>
          <w:between w:val="nil"/>
        </w:pBdr>
        <w:shd w:val="clear" w:color="auto" w:fill="FFFFFF"/>
        <w:spacing w:line="240" w:lineRule="auto"/>
        <w:ind w:left="284" w:hanging="284"/>
        <w:rPr>
          <w:color w:val="000000"/>
        </w:rPr>
      </w:pPr>
      <w:r>
        <w:rPr>
          <w:color w:val="000000"/>
        </w:rPr>
        <w:t xml:space="preserve">En participant, les participants acceptent de respecter </w:t>
      </w:r>
      <w:r w:rsidR="000804CB">
        <w:rPr>
          <w:color w:val="000000"/>
        </w:rPr>
        <w:t>le présent</w:t>
      </w:r>
      <w:r>
        <w:rPr>
          <w:color w:val="000000"/>
        </w:rPr>
        <w:t xml:space="preserve"> règlement</w:t>
      </w:r>
      <w:r w:rsidR="000804CB">
        <w:rPr>
          <w:color w:val="000000"/>
        </w:rPr>
        <w:t xml:space="preserve"> et de s’y soumettre</w:t>
      </w:r>
      <w:r>
        <w:rPr>
          <w:color w:val="000000"/>
        </w:rPr>
        <w:t>.</w:t>
      </w:r>
    </w:p>
    <w:p w14:paraId="4963F10E" w14:textId="77777777" w:rsidR="006B57C0" w:rsidRDefault="006B57C0">
      <w:pPr>
        <w:spacing w:line="327" w:lineRule="auto"/>
      </w:pPr>
    </w:p>
    <w:p w14:paraId="1A238120" w14:textId="77777777" w:rsidR="006B57C0" w:rsidRDefault="00000000">
      <w:pPr>
        <w:spacing w:line="327" w:lineRule="auto"/>
        <w:rPr>
          <w:u w:val="single"/>
        </w:rPr>
      </w:pPr>
      <w:r>
        <w:rPr>
          <w:u w:val="single"/>
        </w:rPr>
        <w:t>Plagiat</w:t>
      </w:r>
    </w:p>
    <w:p w14:paraId="5F1D76B3" w14:textId="07B50716" w:rsidR="006B57C0" w:rsidRDefault="00000000">
      <w:pPr>
        <w:spacing w:after="460" w:line="240" w:lineRule="auto"/>
      </w:pPr>
      <w:r>
        <w:t>Les projets soumis ne peuvent pas inclure d</w:t>
      </w:r>
      <w:r w:rsidR="00601C08">
        <w:t>’</w:t>
      </w:r>
      <w:r>
        <w:t>œuvre plagiée. Le plagiat est la copie délibérée</w:t>
      </w:r>
      <w:r w:rsidR="009B5923">
        <w:t xml:space="preserve"> </w:t>
      </w:r>
      <w:r>
        <w:t xml:space="preserve">des pensées, idées, expressions, mots, expressions artistiques ou ouvrages scientifiques d’autrui sans en reconnaître formellement la source. Les projets qui comprennent du contenu plagié seront disqualifiés du concours. </w:t>
      </w:r>
    </w:p>
    <w:p w14:paraId="085F9536" w14:textId="77777777" w:rsidR="006B57C0" w:rsidRDefault="00000000">
      <w:pPr>
        <w:pBdr>
          <w:bottom w:val="none" w:sz="0" w:space="7" w:color="000000"/>
        </w:pBdr>
        <w:shd w:val="clear" w:color="auto" w:fill="FFFFFF"/>
        <w:spacing w:line="240" w:lineRule="auto"/>
        <w:rPr>
          <w:u w:val="single"/>
        </w:rPr>
      </w:pPr>
      <w:r>
        <w:br w:type="page"/>
      </w:r>
    </w:p>
    <w:p w14:paraId="55EBE679" w14:textId="77777777" w:rsidR="006B57C0" w:rsidRDefault="00000000">
      <w:pPr>
        <w:pBdr>
          <w:bottom w:val="none" w:sz="0" w:space="7" w:color="000000"/>
        </w:pBdr>
        <w:shd w:val="clear" w:color="auto" w:fill="FFFFFF"/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3. Délibération</w:t>
      </w:r>
    </w:p>
    <w:p w14:paraId="55F59017" w14:textId="77777777" w:rsidR="006B57C0" w:rsidRDefault="006B57C0">
      <w:pPr>
        <w:pBdr>
          <w:bottom w:val="none" w:sz="0" w:space="7" w:color="000000"/>
        </w:pBdr>
        <w:shd w:val="clear" w:color="auto" w:fill="FFFFFF"/>
        <w:spacing w:line="240" w:lineRule="auto"/>
        <w:rPr>
          <w:b/>
          <w:u w:val="single"/>
        </w:rPr>
      </w:pPr>
    </w:p>
    <w:p w14:paraId="48A59DEB" w14:textId="77777777" w:rsidR="006B57C0" w:rsidRDefault="00000000">
      <w:r>
        <w:rPr>
          <w:color w:val="272727"/>
        </w:rPr>
        <w:t>Les affiches seront jugées selon les critères suivants :</w:t>
      </w:r>
    </w:p>
    <w:tbl>
      <w:tblPr>
        <w:tblStyle w:val="a0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7350"/>
        <w:gridCol w:w="870"/>
      </w:tblGrid>
      <w:tr w:rsidR="006B57C0" w14:paraId="1A8E4A2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18DD" w14:textId="77777777" w:rsidR="006B57C0" w:rsidRDefault="00000000">
            <w:pPr>
              <w:widowControl w:val="0"/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Message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9D9F" w14:textId="41B4E87F" w:rsidR="006B57C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Le message est transmis de manière claire dans les visuels de l</w:t>
            </w:r>
            <w:r w:rsidR="00601C08">
              <w:rPr>
                <w:color w:val="272727"/>
              </w:rPr>
              <w:t>’</w:t>
            </w:r>
            <w:r>
              <w:rPr>
                <w:color w:val="272727"/>
              </w:rPr>
              <w:t>affiche</w:t>
            </w:r>
          </w:p>
          <w:p w14:paraId="04818D3F" w14:textId="77777777" w:rsidR="006B57C0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Le message est ancré dans une (ou plusieurs) des questions essentielles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4B00" w14:textId="77777777" w:rsidR="006B57C0" w:rsidRDefault="00000000">
            <w:pPr>
              <w:widowControl w:val="0"/>
              <w:spacing w:line="240" w:lineRule="auto"/>
              <w:ind w:left="720" w:hanging="360"/>
              <w:rPr>
                <w:color w:val="272727"/>
              </w:rPr>
            </w:pPr>
            <w:r>
              <w:rPr>
                <w:color w:val="272727"/>
              </w:rPr>
              <w:t>3</w:t>
            </w:r>
          </w:p>
        </w:tc>
      </w:tr>
      <w:tr w:rsidR="006B57C0" w14:paraId="78FE2289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2CC1" w14:textId="77777777" w:rsidR="006B57C0" w:rsidRDefault="00000000">
            <w:pPr>
              <w:widowControl w:val="0"/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Conception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4D49C" w14:textId="77777777" w:rsidR="006B57C0" w:rsidRDefault="00000000">
            <w:pPr>
              <w:widowControl w:val="0"/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Les principes de conception apparaissent clairement dans le produit final :</w:t>
            </w:r>
          </w:p>
          <w:p w14:paraId="53FD3F1C" w14:textId="77777777" w:rsidR="006B57C0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Contours et forme</w:t>
            </w:r>
          </w:p>
          <w:p w14:paraId="356AF83A" w14:textId="77777777" w:rsidR="006B57C0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Couleur</w:t>
            </w:r>
          </w:p>
          <w:p w14:paraId="63C1A7DA" w14:textId="77777777" w:rsidR="006B57C0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Intensité</w:t>
            </w:r>
          </w:p>
          <w:p w14:paraId="17514DC9" w14:textId="77777777" w:rsidR="006B57C0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Composition</w:t>
            </w:r>
          </w:p>
          <w:p w14:paraId="2521C79A" w14:textId="77777777" w:rsidR="006B57C0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Mouvement</w:t>
            </w:r>
          </w:p>
          <w:p w14:paraId="1BF31F89" w14:textId="77777777" w:rsidR="006B57C0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Unité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9446" w14:textId="77777777" w:rsidR="006B57C0" w:rsidRDefault="00000000">
            <w:pPr>
              <w:widowControl w:val="0"/>
              <w:spacing w:line="240" w:lineRule="auto"/>
              <w:ind w:left="720" w:hanging="360"/>
              <w:rPr>
                <w:color w:val="272727"/>
              </w:rPr>
            </w:pPr>
            <w:r>
              <w:rPr>
                <w:color w:val="272727"/>
              </w:rPr>
              <w:t>2</w:t>
            </w:r>
          </w:p>
        </w:tc>
      </w:tr>
      <w:tr w:rsidR="006B57C0" w14:paraId="7C938A02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CB32" w14:textId="77777777" w:rsidR="006B57C0" w:rsidRDefault="00000000">
            <w:pPr>
              <w:widowControl w:val="0"/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Créativité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0684" w14:textId="71A434CA" w:rsidR="006B57C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L</w:t>
            </w:r>
            <w:r w:rsidR="00601C08">
              <w:rPr>
                <w:color w:val="272727"/>
              </w:rPr>
              <w:t>’</w:t>
            </w:r>
            <w:r>
              <w:rPr>
                <w:color w:val="272727"/>
              </w:rPr>
              <w:t>affiche captive les spectateurs et pique leur curiosité</w:t>
            </w:r>
          </w:p>
          <w:p w14:paraId="2E3DEF7D" w14:textId="77777777" w:rsidR="006B57C0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L’affiche présente une approche unique et créative du thème choisi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959B7" w14:textId="77777777" w:rsidR="006B57C0" w:rsidRDefault="00000000">
            <w:pPr>
              <w:widowControl w:val="0"/>
              <w:spacing w:line="240" w:lineRule="auto"/>
              <w:ind w:left="720" w:hanging="360"/>
              <w:rPr>
                <w:color w:val="272727"/>
              </w:rPr>
            </w:pPr>
            <w:r>
              <w:rPr>
                <w:color w:val="272727"/>
              </w:rPr>
              <w:t>2</w:t>
            </w:r>
          </w:p>
        </w:tc>
      </w:tr>
      <w:tr w:rsidR="006B57C0" w14:paraId="44F426E3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6856" w14:textId="77777777" w:rsidR="006B57C0" w:rsidRDefault="00000000">
            <w:pPr>
              <w:widowControl w:val="0"/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Démarche artistique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97D97" w14:textId="235F3437" w:rsidR="006B57C0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Brève description et explication des principaux éléments de l</w:t>
            </w:r>
            <w:r w:rsidR="00601C08">
              <w:rPr>
                <w:color w:val="272727"/>
              </w:rPr>
              <w:t>’</w:t>
            </w:r>
            <w:r>
              <w:rPr>
                <w:color w:val="272727"/>
              </w:rPr>
              <w:t>affiche</w:t>
            </w:r>
          </w:p>
          <w:p w14:paraId="7923D53B" w14:textId="69365494" w:rsidR="006B57C0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Déclaration personnelle sur la façon dont le message véhiculé dans l</w:t>
            </w:r>
            <w:r w:rsidR="00601C08">
              <w:rPr>
                <w:color w:val="272727"/>
              </w:rPr>
              <w:t>’</w:t>
            </w:r>
            <w:r>
              <w:rPr>
                <w:color w:val="272727"/>
              </w:rPr>
              <w:t>affiche exprime votre lien avec Israël</w:t>
            </w:r>
          </w:p>
          <w:p w14:paraId="6EB82E4B" w14:textId="1081C93B" w:rsidR="006B57C0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Démonstration de l</w:t>
            </w:r>
            <w:r w:rsidR="00601C08">
              <w:rPr>
                <w:color w:val="272727"/>
              </w:rPr>
              <w:t>’</w:t>
            </w:r>
            <w:r>
              <w:rPr>
                <w:color w:val="272727"/>
              </w:rPr>
              <w:t>impact des principales sources primaires de la BNI sur le produit final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4E8CF" w14:textId="77777777" w:rsidR="006B57C0" w:rsidRDefault="00000000">
            <w:pPr>
              <w:widowControl w:val="0"/>
              <w:spacing w:line="240" w:lineRule="auto"/>
              <w:ind w:left="720" w:hanging="360"/>
              <w:rPr>
                <w:color w:val="272727"/>
              </w:rPr>
            </w:pPr>
            <w:r>
              <w:rPr>
                <w:color w:val="272727"/>
              </w:rPr>
              <w:t>3</w:t>
            </w:r>
          </w:p>
        </w:tc>
      </w:tr>
      <w:tr w:rsidR="006B57C0" w14:paraId="705B851F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BC90" w14:textId="77777777" w:rsidR="006B57C0" w:rsidRDefault="00000000">
            <w:pPr>
              <w:widowControl w:val="0"/>
              <w:spacing w:line="240" w:lineRule="auto"/>
              <w:rPr>
                <w:color w:val="272727"/>
              </w:rPr>
            </w:pPr>
            <w:r>
              <w:rPr>
                <w:color w:val="272727"/>
              </w:rPr>
              <w:t>Total</w:t>
            </w:r>
          </w:p>
        </w:tc>
        <w:tc>
          <w:tcPr>
            <w:tcW w:w="7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C1F2" w14:textId="77777777" w:rsidR="006B57C0" w:rsidRDefault="006B57C0">
            <w:pPr>
              <w:widowControl w:val="0"/>
              <w:spacing w:line="240" w:lineRule="auto"/>
              <w:ind w:left="720" w:hanging="360"/>
              <w:rPr>
                <w:color w:val="272727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2E65" w14:textId="77777777" w:rsidR="006B57C0" w:rsidRDefault="00000000">
            <w:pPr>
              <w:widowControl w:val="0"/>
              <w:spacing w:line="240" w:lineRule="auto"/>
              <w:ind w:left="360"/>
              <w:rPr>
                <w:color w:val="272727"/>
              </w:rPr>
            </w:pPr>
            <w:r>
              <w:rPr>
                <w:color w:val="272727"/>
              </w:rPr>
              <w:t>10</w:t>
            </w:r>
          </w:p>
        </w:tc>
      </w:tr>
    </w:tbl>
    <w:p w14:paraId="020EEB74" w14:textId="77777777" w:rsidR="006B57C0" w:rsidRDefault="006B57C0"/>
    <w:p w14:paraId="116B77EB" w14:textId="77777777" w:rsidR="006B57C0" w:rsidRDefault="00000000">
      <w:pPr>
        <w:pBdr>
          <w:bottom w:val="none" w:sz="0" w:space="7" w:color="000000"/>
        </w:pBdr>
        <w:shd w:val="clear" w:color="auto" w:fill="FFFFFF"/>
        <w:spacing w:line="335" w:lineRule="auto"/>
        <w:rPr>
          <w:u w:val="single"/>
        </w:rPr>
      </w:pPr>
      <w:r>
        <w:rPr>
          <w:u w:val="single"/>
        </w:rPr>
        <w:t>Gagnants</w:t>
      </w:r>
    </w:p>
    <w:p w14:paraId="62E41D61" w14:textId="6282D28C" w:rsidR="006B57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bookmarkStart w:id="0" w:name="_heading=h.gjdgxs"/>
      <w:bookmarkEnd w:id="0"/>
      <w:r>
        <w:rPr>
          <w:color w:val="000000"/>
        </w:rPr>
        <w:t>Un jury composé de membres du personnel de la BNI et de représentants d</w:t>
      </w:r>
      <w:r w:rsidR="00601C08">
        <w:rPr>
          <w:color w:val="000000"/>
        </w:rPr>
        <w:t>’</w:t>
      </w:r>
      <w:r>
        <w:rPr>
          <w:color w:val="000000"/>
        </w:rPr>
        <w:t xml:space="preserve">organisations partenaires sélectionnera trois gagnants. Les gagnants seront annoncés d’ici la fête de </w:t>
      </w:r>
      <w:proofErr w:type="spellStart"/>
      <w:r>
        <w:rPr>
          <w:color w:val="000000"/>
        </w:rPr>
        <w:t>Chavouot</w:t>
      </w:r>
      <w:proofErr w:type="spellEnd"/>
      <w:r>
        <w:rPr>
          <w:color w:val="000000"/>
        </w:rPr>
        <w:t>, le 25 mai 2023.</w:t>
      </w:r>
    </w:p>
    <w:p w14:paraId="64480D1E" w14:textId="77777777" w:rsidR="006B57C0" w:rsidRDefault="006B57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3B2C33E8" w14:textId="77777777" w:rsidR="006B57C0" w:rsidRDefault="00000000">
      <w:pPr>
        <w:spacing w:line="327" w:lineRule="auto"/>
        <w:rPr>
          <w:u w:val="single"/>
        </w:rPr>
      </w:pPr>
      <w:r>
        <w:rPr>
          <w:u w:val="single"/>
        </w:rPr>
        <w:t>Avertissements supplémentaires</w:t>
      </w:r>
    </w:p>
    <w:p w14:paraId="29D0165C" w14:textId="40AEC30D" w:rsidR="006B57C0" w:rsidRDefault="00000000">
      <w:pPr>
        <w:numPr>
          <w:ilvl w:val="0"/>
          <w:numId w:val="4"/>
        </w:numPr>
        <w:spacing w:line="240" w:lineRule="auto"/>
      </w:pPr>
      <w:r>
        <w:t>Il incombe à chaque participant et éducateur de lire le présent règlement pour le Concours « </w:t>
      </w:r>
      <w:proofErr w:type="spellStart"/>
      <w:r>
        <w:t>Curate</w:t>
      </w:r>
      <w:proofErr w:type="spellEnd"/>
      <w:r>
        <w:t xml:space="preserve"> &amp; </w:t>
      </w:r>
      <w:proofErr w:type="spellStart"/>
      <w:r>
        <w:t>Create</w:t>
      </w:r>
      <w:proofErr w:type="spellEnd"/>
      <w:r>
        <w:t xml:space="preserve"> Poster » (</w:t>
      </w:r>
      <w:commentRangeStart w:id="1"/>
      <w:r>
        <w:t>sélection de sources</w:t>
      </w:r>
      <w:commentRangeEnd w:id="1"/>
      <w:r w:rsidR="00601C08">
        <w:rPr>
          <w:rStyle w:val="Marquedecommentaire"/>
        </w:rPr>
        <w:commentReference w:id="1"/>
      </w:r>
      <w:r>
        <w:t xml:space="preserve"> et création d</w:t>
      </w:r>
      <w:r w:rsidR="00601C08">
        <w:t>’</w:t>
      </w:r>
      <w:r>
        <w:t>affiches) de la Bibliothèque nationale d</w:t>
      </w:r>
      <w:r w:rsidR="00601C08">
        <w:t>’</w:t>
      </w:r>
      <w:r>
        <w:t>Israël.</w:t>
      </w:r>
    </w:p>
    <w:p w14:paraId="2EF6A16A" w14:textId="6DC1FF70" w:rsidR="006B57C0" w:rsidRDefault="00000000">
      <w:pPr>
        <w:numPr>
          <w:ilvl w:val="0"/>
          <w:numId w:val="4"/>
        </w:numPr>
        <w:spacing w:line="240" w:lineRule="auto"/>
      </w:pPr>
      <w:r>
        <w:t>La Bibliothèque nationale d</w:t>
      </w:r>
      <w:r w:rsidR="00601C08">
        <w:t>’</w:t>
      </w:r>
      <w:r>
        <w:t>Israël se réserve le droit, à sa seule discrétion, de refuser tout projet pour quelque raison que ce soit et à tout moment.</w:t>
      </w:r>
    </w:p>
    <w:p w14:paraId="469B18C1" w14:textId="73A0E522" w:rsidR="006B57C0" w:rsidRDefault="00000000">
      <w:pPr>
        <w:numPr>
          <w:ilvl w:val="0"/>
          <w:numId w:val="4"/>
        </w:numPr>
        <w:spacing w:line="240" w:lineRule="auto"/>
      </w:pPr>
      <w:r>
        <w:t>La Bibliothèque nationale d</w:t>
      </w:r>
      <w:r w:rsidR="00601C08">
        <w:t>’</w:t>
      </w:r>
      <w:r>
        <w:t>Israël peut refuser d</w:t>
      </w:r>
      <w:r w:rsidR="00601C08">
        <w:t>’</w:t>
      </w:r>
      <w:r>
        <w:t>attribuer un prix si un gagnant n</w:t>
      </w:r>
      <w:r w:rsidR="00601C08">
        <w:t>’</w:t>
      </w:r>
      <w:r>
        <w:t>a pas respecté ce règlement ou les procédures d</w:t>
      </w:r>
      <w:r w:rsidR="00601C08">
        <w:t>’</w:t>
      </w:r>
      <w:r>
        <w:t>inscription et de soumission du projet.</w:t>
      </w:r>
    </w:p>
    <w:sectPr w:rsidR="006B5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ulie Dondi" w:date="2023-01-02T06:31:00Z" w:initials="JD">
    <w:p w14:paraId="1B4371C1" w14:textId="77777777" w:rsidR="00601C08" w:rsidRDefault="00601C08" w:rsidP="00FD1B67">
      <w:pPr>
        <w:pStyle w:val="Commentaire"/>
      </w:pPr>
      <w:r>
        <w:rPr>
          <w:rStyle w:val="Marquedecommentaire"/>
        </w:rPr>
        <w:annotationRef/>
      </w:r>
      <w:r>
        <w:t>The term "curate" is hard to translate as a single term in French in that context. The meaning is "</w:t>
      </w:r>
      <w:hyperlink r:id="rId1" w:history="1">
        <w:r w:rsidRPr="00FD1B67">
          <w:rPr>
            <w:rStyle w:val="Lienhypertexte"/>
          </w:rPr>
          <w:t>The meaning of to curate is to be in charge of selecting objects (for an exposition), films (for a festival) or even such as documents, music, products, or internet content to be included as part of a list or collection, or on a website - Cambridge dictionnary.</w:t>
        </w:r>
      </w:hyperlink>
      <w:r>
        <w:t>" Therefore I choose to define it as a "selection of the resources of the NIL as inspiration to create the poster" according to the NIL webpage.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4371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CF8BB" w16cex:dateUtc="2023-01-02T0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4371C1" w16cid:durableId="275CF8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8A96" w14:textId="77777777" w:rsidR="00C567C7" w:rsidRDefault="00C567C7">
      <w:pPr>
        <w:spacing w:line="240" w:lineRule="auto"/>
      </w:pPr>
      <w:r>
        <w:separator/>
      </w:r>
    </w:p>
  </w:endnote>
  <w:endnote w:type="continuationSeparator" w:id="0">
    <w:p w14:paraId="16E31FBA" w14:textId="77777777" w:rsidR="00C567C7" w:rsidRDefault="00C56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DEA2" w14:textId="77777777" w:rsidR="00E223C2" w:rsidRDefault="00E223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C48" w14:textId="77777777" w:rsidR="00E223C2" w:rsidRDefault="00E223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1D64" w14:textId="77777777" w:rsidR="00E223C2" w:rsidRDefault="00E223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9093" w14:textId="77777777" w:rsidR="00C567C7" w:rsidRDefault="00C567C7">
      <w:pPr>
        <w:spacing w:line="240" w:lineRule="auto"/>
      </w:pPr>
      <w:r>
        <w:separator/>
      </w:r>
    </w:p>
  </w:footnote>
  <w:footnote w:type="continuationSeparator" w:id="0">
    <w:p w14:paraId="7FFBF696" w14:textId="77777777" w:rsidR="00C567C7" w:rsidRDefault="00C56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AA02" w14:textId="77777777" w:rsidR="00E223C2" w:rsidRDefault="00E223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BA55" w14:textId="77777777" w:rsidR="006B57C0" w:rsidRDefault="006B57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FC7E" w14:textId="77777777" w:rsidR="00E223C2" w:rsidRDefault="00E223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34"/>
    <w:multiLevelType w:val="multilevel"/>
    <w:tmpl w:val="442A7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7B07E0"/>
    <w:multiLevelType w:val="multilevel"/>
    <w:tmpl w:val="A2A65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61E5"/>
    <w:multiLevelType w:val="multilevel"/>
    <w:tmpl w:val="C1E64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7306B8"/>
    <w:multiLevelType w:val="multilevel"/>
    <w:tmpl w:val="CB121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366ADB"/>
    <w:multiLevelType w:val="multilevel"/>
    <w:tmpl w:val="59D48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7EB5"/>
    <w:multiLevelType w:val="multilevel"/>
    <w:tmpl w:val="90D855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DC43B8"/>
    <w:multiLevelType w:val="multilevel"/>
    <w:tmpl w:val="75327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580104">
    <w:abstractNumId w:val="6"/>
  </w:num>
  <w:num w:numId="2" w16cid:durableId="880243050">
    <w:abstractNumId w:val="1"/>
  </w:num>
  <w:num w:numId="3" w16cid:durableId="1881435192">
    <w:abstractNumId w:val="4"/>
  </w:num>
  <w:num w:numId="4" w16cid:durableId="806241942">
    <w:abstractNumId w:val="5"/>
  </w:num>
  <w:num w:numId="5" w16cid:durableId="1095591724">
    <w:abstractNumId w:val="0"/>
  </w:num>
  <w:num w:numId="6" w16cid:durableId="1348168709">
    <w:abstractNumId w:val="3"/>
  </w:num>
  <w:num w:numId="7" w16cid:durableId="185356844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Dondi">
    <w15:presenceInfo w15:providerId="Windows Live" w15:userId="f1c7da100f824f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C0"/>
    <w:rsid w:val="0001221C"/>
    <w:rsid w:val="000804CB"/>
    <w:rsid w:val="003162AA"/>
    <w:rsid w:val="00601C08"/>
    <w:rsid w:val="006B57C0"/>
    <w:rsid w:val="009B5923"/>
    <w:rsid w:val="00C567C7"/>
    <w:rsid w:val="00E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AE00"/>
  <w15:docId w15:val="{CF4F7986-8A75-4325-B80A-8A147A42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BE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F645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45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45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5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59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59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2E19"/>
    <w:pPr>
      <w:ind w:left="720"/>
      <w:contextualSpacing/>
    </w:p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223C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3C2"/>
  </w:style>
  <w:style w:type="paragraph" w:styleId="Pieddepage">
    <w:name w:val="footer"/>
    <w:basedOn w:val="Normal"/>
    <w:link w:val="PieddepageCar"/>
    <w:uiPriority w:val="99"/>
    <w:unhideWhenUsed/>
    <w:rsid w:val="00E223C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3C2"/>
  </w:style>
  <w:style w:type="character" w:styleId="Lienhypertexte">
    <w:name w:val="Hyperlink"/>
    <w:basedOn w:val="Policepardfaut"/>
    <w:uiPriority w:val="99"/>
    <w:unhideWhenUsed/>
    <w:rsid w:val="00601C0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ictionary.cambridge.org/fr/dictionnaire/anglais/curat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3qwh8msg+cpAuMJmWZ6P2gNhQw==">AMUW2mW9H45Mx9vLPNUiKx6ntP36tZZu2igDtX0/uo+jM5VinAbbh8sTF+9OInDyCzVnPZgjlyLB2BxTaJaOBmgWQPNs2q6ur56LOQhCPbTJ228br6IEQQNxYkdbCDj7FuzWvIbD6EDo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0556A0-3D27-4A4E-A2AB-B01622BC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littman</dc:creator>
  <cp:lastModifiedBy>Julie Dondi</cp:lastModifiedBy>
  <cp:revision>4</cp:revision>
  <dcterms:created xsi:type="dcterms:W3CDTF">2023-01-02T02:36:00Z</dcterms:created>
  <dcterms:modified xsi:type="dcterms:W3CDTF">2023-01-02T05:35:00Z</dcterms:modified>
</cp:coreProperties>
</file>