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EA61" w14:textId="1CA9FD02" w:rsidR="003E0836" w:rsidRDefault="003E0836" w:rsidP="004505C6">
      <w:pPr>
        <w:pStyle w:val="Title"/>
      </w:pPr>
      <w:r>
        <w:t xml:space="preserve">The Order of the </w:t>
      </w:r>
      <w:r w:rsidR="001729E9">
        <w:t>Daily</w:t>
      </w:r>
      <w:r>
        <w:t xml:space="preserve"> Rites in Tannaitic Literature</w:t>
      </w:r>
    </w:p>
    <w:p w14:paraId="0E1B744B" w14:textId="3C6DB26C" w:rsidR="003E0836" w:rsidRDefault="003E0836" w:rsidP="001C2D90">
      <w:pPr>
        <w:pStyle w:val="Heading1"/>
      </w:pPr>
      <w:r>
        <w:t>Introduction</w:t>
      </w:r>
    </w:p>
    <w:p w14:paraId="4E4907AF" w14:textId="456A836A" w:rsidR="003E0836" w:rsidRDefault="003E0836" w:rsidP="004505C6">
      <w:r>
        <w:t xml:space="preserve">The Torah prescribes five rites to be performed </w:t>
      </w:r>
      <w:proofErr w:type="spellStart"/>
      <w:r w:rsidR="001729E9">
        <w:rPr>
          <w:i/>
          <w:iCs/>
        </w:rPr>
        <w:t>tamid</w:t>
      </w:r>
      <w:proofErr w:type="spellEnd"/>
      <w:r>
        <w:t>, meaning daily or always: three of them are performed within the Sanctuary: arranging the showbread,</w:t>
      </w:r>
      <w:r w:rsidR="002E12FE" w:rsidRPr="003C7A81">
        <w:rPr>
          <w:rStyle w:val="FootnoteReference"/>
        </w:rPr>
        <w:footnoteReference w:id="1"/>
      </w:r>
      <w:r>
        <w:t xml:space="preserve"> </w:t>
      </w:r>
      <w:r w:rsidR="007429F7">
        <w:t xml:space="preserve">cleaning and </w:t>
      </w:r>
      <w:r>
        <w:t xml:space="preserve">lighting the </w:t>
      </w:r>
      <w:r w:rsidR="007429F7">
        <w:t xml:space="preserve">candles of the </w:t>
      </w:r>
      <w:r w:rsidR="001D1117">
        <w:t>M</w:t>
      </w:r>
      <w:r>
        <w:t>enorah,</w:t>
      </w:r>
      <w:r w:rsidR="007429F7">
        <w:rPr>
          <w:rStyle w:val="FootnoteReference"/>
        </w:rPr>
        <w:footnoteReference w:id="2"/>
      </w:r>
      <w:r>
        <w:t xml:space="preserve"> and burning incense on the </w:t>
      </w:r>
      <w:r w:rsidR="001D1117">
        <w:t>I</w:t>
      </w:r>
      <w:r>
        <w:t xml:space="preserve">ncense </w:t>
      </w:r>
      <w:r w:rsidR="001D1117">
        <w:t>A</w:t>
      </w:r>
      <w:r>
        <w:t>ltar;</w:t>
      </w:r>
      <w:r w:rsidR="00355CF1">
        <w:rPr>
          <w:rStyle w:val="FootnoteReference"/>
        </w:rPr>
        <w:footnoteReference w:id="3"/>
      </w:r>
      <w:r>
        <w:t xml:space="preserve"> two of them are performed on the altar in the courtyard: the daily </w:t>
      </w:r>
      <w:r w:rsidR="00DF2111">
        <w:t>offering</w:t>
      </w:r>
      <w:r w:rsidR="0037631C">
        <w:rPr>
          <w:rStyle w:val="FootnoteReference"/>
        </w:rPr>
        <w:footnoteReference w:id="4"/>
      </w:r>
      <w:r>
        <w:t xml:space="preserve"> and maintaining the fire on the altar.</w:t>
      </w:r>
      <w:r w:rsidR="0037631C">
        <w:rPr>
          <w:rStyle w:val="FootnoteReference"/>
        </w:rPr>
        <w:footnoteReference w:id="5"/>
      </w:r>
      <w:r>
        <w:t xml:space="preserve"> </w:t>
      </w:r>
      <w:r w:rsidR="00DF2111">
        <w:t>T</w:t>
      </w:r>
      <w:r>
        <w:t>he showbread differs from the rest of the list in that although it must be on the table</w:t>
      </w:r>
      <w:r w:rsidR="00DF2111" w:rsidRPr="00DF2111">
        <w:t xml:space="preserve"> </w:t>
      </w:r>
      <w:r w:rsidR="00DF2111">
        <w:t>always;</w:t>
      </w:r>
      <w:r>
        <w:t xml:space="preserve"> in practice, it is handled </w:t>
      </w:r>
      <w:r w:rsidR="00DF2111">
        <w:t xml:space="preserve">only </w:t>
      </w:r>
      <w:r>
        <w:t>once a week, on Shabbat</w:t>
      </w:r>
      <w:r>
        <w:rPr>
          <w:rtl/>
        </w:rPr>
        <w:t>.</w:t>
      </w:r>
    </w:p>
    <w:p w14:paraId="7867A7EE" w14:textId="3096A26E" w:rsidR="003E0836" w:rsidRDefault="003E0836" w:rsidP="004505C6">
      <w:r>
        <w:t xml:space="preserve">The Torah commands </w:t>
      </w:r>
      <w:r w:rsidR="00DF2111">
        <w:t xml:space="preserve">that </w:t>
      </w:r>
      <w:r>
        <w:t xml:space="preserve">the daily </w:t>
      </w:r>
      <w:r w:rsidR="00DF2111">
        <w:t>rites</w:t>
      </w:r>
      <w:r>
        <w:t xml:space="preserve"> be performed in the morning</w:t>
      </w:r>
      <w:r w:rsidR="001729E9">
        <w:t>;</w:t>
      </w:r>
      <w:r>
        <w:t xml:space="preserve"> some </w:t>
      </w:r>
      <w:r w:rsidR="00DF2111">
        <w:t>are also performed</w:t>
      </w:r>
      <w:r>
        <w:t xml:space="preserve"> in the afternoon. </w:t>
      </w:r>
      <w:r w:rsidR="00C50C07">
        <w:t>There is no clear instruction in Scripture regarding the order of these rites,</w:t>
      </w:r>
      <w:commentRangeStart w:id="0"/>
      <w:r w:rsidR="00D1220F">
        <w:rPr>
          <w:rStyle w:val="FootnoteReference"/>
        </w:rPr>
        <w:footnoteReference w:id="6"/>
      </w:r>
      <w:commentRangeEnd w:id="0"/>
      <w:r w:rsidR="00BA0F6B">
        <w:rPr>
          <w:rStyle w:val="CommentReference"/>
        </w:rPr>
        <w:commentReference w:id="0"/>
      </w:r>
      <w:r w:rsidR="00C50C07">
        <w:t xml:space="preserve"> with the possible exception of </w:t>
      </w:r>
      <w:r>
        <w:t xml:space="preserve">the commandment in Leviticus 6, </w:t>
      </w:r>
      <w:r w:rsidR="00C50C07">
        <w:t>that the arrangement of the fire on the altar should be done before the sacrificial offering;</w:t>
      </w:r>
      <w:r w:rsidR="004653EF">
        <w:rPr>
          <w:rStyle w:val="FootnoteReference"/>
        </w:rPr>
        <w:footnoteReference w:id="7"/>
      </w:r>
      <w:r w:rsidR="00C50C07">
        <w:t xml:space="preserve"> s</w:t>
      </w:r>
      <w:r>
        <w:t xml:space="preserve">ome </w:t>
      </w:r>
      <w:r w:rsidR="00DF2111">
        <w:t>commentators</w:t>
      </w:r>
      <w:r>
        <w:t xml:space="preserve"> </w:t>
      </w:r>
      <w:r w:rsidR="00C50C07">
        <w:t xml:space="preserve">understand this offering to be </w:t>
      </w:r>
      <w:r>
        <w:t xml:space="preserve">the daily </w:t>
      </w:r>
      <w:r w:rsidR="00DF2111">
        <w:t>offering</w:t>
      </w:r>
      <w:r w:rsidR="00C50C07">
        <w:t>.</w:t>
      </w:r>
      <w:r w:rsidR="00771174">
        <w:rPr>
          <w:rStyle w:val="FootnoteReference"/>
        </w:rPr>
        <w:footnoteReference w:id="8"/>
      </w:r>
    </w:p>
    <w:p w14:paraId="5B7886A1" w14:textId="67C8EA7E" w:rsidR="003E0836" w:rsidRPr="004505C6" w:rsidRDefault="003E0836" w:rsidP="004505C6">
      <w:commentRangeStart w:id="1"/>
      <w:r w:rsidRPr="004505C6">
        <w:lastRenderedPageBreak/>
        <w:t>There is also no direct reference to this matter in pre-Tannaitic Jewish literature. For example,</w:t>
      </w:r>
      <w:commentRangeEnd w:id="1"/>
      <w:r w:rsidR="00A1201D">
        <w:rPr>
          <w:rStyle w:val="CommentReference"/>
        </w:rPr>
        <w:commentReference w:id="1"/>
      </w:r>
      <w:r w:rsidRPr="004505C6">
        <w:t xml:space="preserve"> in </w:t>
      </w:r>
      <w:r w:rsidRPr="004505C6">
        <w:rPr>
          <w:i/>
          <w:iCs/>
        </w:rPr>
        <w:t>Antiquities of the Jews</w:t>
      </w:r>
      <w:r w:rsidR="0067554C" w:rsidRPr="004505C6">
        <w:t>,</w:t>
      </w:r>
      <w:r w:rsidRPr="004505C6">
        <w:t xml:space="preserve"> Book </w:t>
      </w:r>
      <w:r w:rsidR="009A092B" w:rsidRPr="004505C6">
        <w:t>III</w:t>
      </w:r>
      <w:r w:rsidR="0067554C" w:rsidRPr="004505C6">
        <w:t>,</w:t>
      </w:r>
      <w:r w:rsidRPr="004505C6">
        <w:t xml:space="preserve"> </w:t>
      </w:r>
      <w:r w:rsidR="0067554C" w:rsidRPr="004505C6">
        <w:t xml:space="preserve">Josephus </w:t>
      </w:r>
      <w:r w:rsidRPr="004505C6">
        <w:t xml:space="preserve">refers to the daily incense and the </w:t>
      </w:r>
      <w:r w:rsidR="007B1BCD" w:rsidRPr="004505C6">
        <w:t>menorah</w:t>
      </w:r>
      <w:r w:rsidRPr="004505C6">
        <w:t xml:space="preserve"> and writes, </w:t>
      </w:r>
      <w:r w:rsidR="00176550">
        <w:t>“</w:t>
      </w:r>
      <w:commentRangeStart w:id="2"/>
      <w:r w:rsidR="007B1BCD" w:rsidRPr="004505C6">
        <w:t xml:space="preserve">but incense was to be offered </w:t>
      </w:r>
      <w:r w:rsidR="00824101" w:rsidRPr="004505C6">
        <w:t>twice-a-day</w:t>
      </w:r>
      <w:r w:rsidR="007B1BCD" w:rsidRPr="004505C6">
        <w:t>, both before sun-rising and at sun-setting. They were also to keep oil already purified for the lamps;</w:t>
      </w:r>
      <w:r w:rsidR="00176550">
        <w:t>”</w:t>
      </w:r>
      <w:r w:rsidR="009E1C91">
        <w:rPr>
          <w:rStyle w:val="FootnoteReference"/>
        </w:rPr>
        <w:footnoteReference w:id="9"/>
      </w:r>
      <w:r w:rsidRPr="004505C6">
        <w:t xml:space="preserve"> </w:t>
      </w:r>
      <w:commentRangeEnd w:id="2"/>
      <w:r w:rsidR="00CC0CD2" w:rsidRPr="004505C6">
        <w:rPr>
          <w:rStyle w:val="CommentReference"/>
          <w:sz w:val="24"/>
          <w:szCs w:val="23"/>
        </w:rPr>
        <w:commentReference w:id="2"/>
      </w:r>
      <w:r w:rsidRPr="004505C6">
        <w:t xml:space="preserve">Later, he writes concerning the daily sacrifice, </w:t>
      </w:r>
      <w:r w:rsidR="00176550">
        <w:t>“</w:t>
      </w:r>
      <w:r w:rsidR="002C490A" w:rsidRPr="004505C6">
        <w:t xml:space="preserve">The law requires, that out of the public </w:t>
      </w:r>
      <w:proofErr w:type="spellStart"/>
      <w:r w:rsidR="002C490A" w:rsidRPr="00E25440">
        <w:rPr>
          <w:rFonts w:asciiTheme="majorBidi" w:hAnsiTheme="majorBidi" w:cstheme="majorBidi"/>
          <w:rtl/>
        </w:rPr>
        <w:t>expenses</w:t>
      </w:r>
      <w:proofErr w:type="spellEnd"/>
      <w:r w:rsidR="002F0F69" w:rsidRPr="004505C6">
        <w:t>,</w:t>
      </w:r>
      <w:r w:rsidR="002C490A" w:rsidRPr="004505C6">
        <w:t xml:space="preserve"> a lamb of the first year be killed every day; at the beginning, and at the ending of the day</w:t>
      </w:r>
      <w:r w:rsidRPr="004505C6">
        <w:t>.</w:t>
      </w:r>
      <w:r w:rsidR="00176550">
        <w:t>”</w:t>
      </w:r>
      <w:r w:rsidR="00E25440">
        <w:rPr>
          <w:rStyle w:val="FootnoteReference"/>
        </w:rPr>
        <w:footnoteReference w:id="10"/>
      </w:r>
      <w:r w:rsidRPr="004505C6">
        <w:t xml:space="preserve"> </w:t>
      </w:r>
      <w:r w:rsidR="002F0F69" w:rsidRPr="004505C6">
        <w:t>These</w:t>
      </w:r>
      <w:r w:rsidRPr="004505C6">
        <w:t xml:space="preserve"> </w:t>
      </w:r>
      <w:r w:rsidR="00CD1BEC" w:rsidRPr="004505C6">
        <w:t>two quotes taken together</w:t>
      </w:r>
      <w:r w:rsidRPr="004505C6">
        <w:t xml:space="preserve"> </w:t>
      </w:r>
      <w:r w:rsidR="00CD1BEC" w:rsidRPr="004505C6">
        <w:t>might imply that</w:t>
      </w:r>
      <w:r w:rsidRPr="004505C6">
        <w:t xml:space="preserve"> the incense precede</w:t>
      </w:r>
      <w:r w:rsidR="00824101" w:rsidRPr="004505C6">
        <w:t>d</w:t>
      </w:r>
      <w:r w:rsidRPr="004505C6">
        <w:t xml:space="preserve"> the daily sacrifice, as </w:t>
      </w:r>
      <w:r w:rsidR="00CD1BEC" w:rsidRPr="004505C6">
        <w:t>Josephus</w:t>
      </w:r>
      <w:r w:rsidRPr="004505C6">
        <w:t xml:space="preserve"> writes that it </w:t>
      </w:r>
      <w:r w:rsidR="00824101" w:rsidRPr="004505C6">
        <w:t>was</w:t>
      </w:r>
      <w:r w:rsidRPr="004505C6">
        <w:t xml:space="preserve"> burned before sunrise, while the daily offering </w:t>
      </w:r>
      <w:r w:rsidR="00D90014" w:rsidRPr="004505C6">
        <w:t>was brought</w:t>
      </w:r>
      <w:r w:rsidRPr="004505C6">
        <w:t xml:space="preserve"> </w:t>
      </w:r>
      <w:r w:rsidR="00176550">
        <w:t>“</w:t>
      </w:r>
      <w:r w:rsidR="00D90014" w:rsidRPr="004505C6">
        <w:t>at the beginning, and at the ending of the day</w:t>
      </w:r>
      <w:r w:rsidRPr="004505C6">
        <w:t>.</w:t>
      </w:r>
      <w:r w:rsidR="00176550">
        <w:t>”</w:t>
      </w:r>
      <w:r w:rsidRPr="004505C6">
        <w:t xml:space="preserve"> </w:t>
      </w:r>
      <w:r w:rsidR="00B64B0C" w:rsidRPr="004505C6">
        <w:t>However, it</w:t>
      </w:r>
      <w:r w:rsidRPr="004505C6">
        <w:t xml:space="preserve"> is evident that he does not directly address the issue, and it is difficult to determine whether this was indeed his intention</w:t>
      </w:r>
      <w:r w:rsidRPr="004505C6">
        <w:rPr>
          <w:szCs w:val="24"/>
          <w:rtl/>
        </w:rPr>
        <w:t>.</w:t>
      </w:r>
    </w:p>
    <w:p w14:paraId="42F4AA72" w14:textId="2111481D" w:rsidR="000D72B3" w:rsidRDefault="003E0836" w:rsidP="004505C6">
      <w:r>
        <w:t>In contrast, Tannaitic halakha dealt extensively with this matter and sought hints</w:t>
      </w:r>
      <w:r w:rsidR="005A17C2">
        <w:t xml:space="preserve"> in the verses</w:t>
      </w:r>
      <w:r>
        <w:t xml:space="preserve"> </w:t>
      </w:r>
      <w:r w:rsidR="005A17C2">
        <w:t>to</w:t>
      </w:r>
      <w:r>
        <w:t xml:space="preserve"> the exact order in which the daily services should be conducted. </w:t>
      </w:r>
      <w:r w:rsidR="00833C61">
        <w:t>We</w:t>
      </w:r>
      <w:r>
        <w:t xml:space="preserve"> find different approaches in Tannaitic literature concerning the precise order of the </w:t>
      </w:r>
      <w:r w:rsidR="00717D8B">
        <w:t>rites</w:t>
      </w:r>
      <w:r>
        <w:t>,</w:t>
      </w:r>
      <w:r w:rsidR="009B1F07">
        <w:rPr>
          <w:rStyle w:val="FootnoteReference"/>
        </w:rPr>
        <w:footnoteReference w:id="11"/>
      </w:r>
      <w:r>
        <w:t xml:space="preserve"> and an analysis of the sources lead</w:t>
      </w:r>
      <w:r w:rsidR="00717D8B">
        <w:t>s</w:t>
      </w:r>
      <w:r>
        <w:t xml:space="preserve"> to the conclusion that the halakh</w:t>
      </w:r>
      <w:r w:rsidR="00F84705">
        <w:t xml:space="preserve">a </w:t>
      </w:r>
      <w:r>
        <w:t xml:space="preserve">on this matter </w:t>
      </w:r>
      <w:r w:rsidR="00F84705">
        <w:t>was</w:t>
      </w:r>
      <w:r>
        <w:t xml:space="preserve"> derived from a certain conception of the relationship between human service through sacrifices and the Temple as the dwelling place of the </w:t>
      </w:r>
      <w:proofErr w:type="spellStart"/>
      <w:r w:rsidR="00821646">
        <w:rPr>
          <w:i/>
          <w:iCs/>
        </w:rPr>
        <w:t>Shekhinah</w:t>
      </w:r>
      <w:proofErr w:type="spellEnd"/>
      <w:r>
        <w:t>.</w:t>
      </w:r>
    </w:p>
    <w:p w14:paraId="6C9D6C44" w14:textId="414087D6" w:rsidR="00F15285" w:rsidRDefault="00F15285" w:rsidP="001C2D90">
      <w:pPr>
        <w:pStyle w:val="Heading1"/>
      </w:pPr>
      <w:r>
        <w:t>The</w:t>
      </w:r>
      <w:r w:rsidR="006D339E">
        <w:t xml:space="preserve"> </w:t>
      </w:r>
      <w:r w:rsidR="001C2D90">
        <w:t>a</w:t>
      </w:r>
      <w:r w:rsidR="006D339E">
        <w:t xml:space="preserve">pproach of the </w:t>
      </w:r>
      <w:proofErr w:type="spellStart"/>
      <w:r w:rsidRPr="006D339E">
        <w:rPr>
          <w:i/>
          <w:iCs/>
        </w:rPr>
        <w:t>Sifra</w:t>
      </w:r>
      <w:proofErr w:type="spellEnd"/>
      <w:r>
        <w:t xml:space="preserve"> </w:t>
      </w:r>
      <w:r w:rsidR="00110FCC">
        <w:t xml:space="preserve">– </w:t>
      </w:r>
      <w:r>
        <w:t xml:space="preserve">the </w:t>
      </w:r>
      <w:r w:rsidR="00110FCC">
        <w:t>rites performed in the Sanctuary are f</w:t>
      </w:r>
      <w:r w:rsidR="001C2D90">
        <w:t>irst.</w:t>
      </w:r>
    </w:p>
    <w:p w14:paraId="6E4F7119" w14:textId="5E0B26FD" w:rsidR="00F15285" w:rsidRDefault="00F15285" w:rsidP="004505C6">
      <w:r>
        <w:t xml:space="preserve">The expression used by the Torah </w:t>
      </w:r>
      <w:r w:rsidR="004E0285">
        <w:t xml:space="preserve">to </w:t>
      </w:r>
      <w:r w:rsidR="0047743D">
        <w:t>describe when a rite is performed in</w:t>
      </w:r>
      <w:r>
        <w:t xml:space="preserve"> the morning is not identical for all </w:t>
      </w:r>
      <w:r w:rsidR="009269AB">
        <w:t>the different rites</w:t>
      </w:r>
      <w:r>
        <w:t xml:space="preserve">. </w:t>
      </w:r>
      <w:r w:rsidR="00F20F77">
        <w:t>Regarding the</w:t>
      </w:r>
      <w:r>
        <w:t xml:space="preserve"> daily offering</w:t>
      </w:r>
      <w:r w:rsidR="0047743D">
        <w:t>,</w:t>
      </w:r>
      <w:r>
        <w:t xml:space="preserve"> it </w:t>
      </w:r>
      <w:r w:rsidR="008F32FB">
        <w:t>says</w:t>
      </w:r>
      <w:r>
        <w:t xml:space="preserve"> (Exodus 29:</w:t>
      </w:r>
      <w:commentRangeStart w:id="3"/>
      <w:r>
        <w:t>3</w:t>
      </w:r>
      <w:r w:rsidR="00AF47E7">
        <w:t>9</w:t>
      </w:r>
      <w:commentRangeEnd w:id="3"/>
      <w:r w:rsidR="00A56C49">
        <w:rPr>
          <w:rStyle w:val="CommentReference"/>
        </w:rPr>
        <w:commentReference w:id="3"/>
      </w:r>
      <w:r>
        <w:t>):</w:t>
      </w:r>
    </w:p>
    <w:p w14:paraId="78B2CAC8" w14:textId="6121B903" w:rsidR="00F15285" w:rsidRPr="003F6C15" w:rsidRDefault="00E852CF" w:rsidP="003F6C15">
      <w:pPr>
        <w:pStyle w:val="Quote"/>
      </w:pPr>
      <w:r w:rsidRPr="003F6C15">
        <w:lastRenderedPageBreak/>
        <w:t xml:space="preserve">One lamb you shall offer </w:t>
      </w:r>
      <w:r w:rsidRPr="005A4F6C">
        <w:rPr>
          <w:b/>
          <w:bCs/>
        </w:rPr>
        <w:t>in the morning</w:t>
      </w:r>
      <w:r w:rsidRPr="003F6C15">
        <w:t xml:space="preserve">, and the other lamb you shall offer </w:t>
      </w:r>
      <w:r w:rsidR="00F20F77" w:rsidRPr="003F6C15">
        <w:t>in the after</w:t>
      </w:r>
      <w:r w:rsidR="003F6C15">
        <w:t>n</w:t>
      </w:r>
      <w:r w:rsidR="00F20F77" w:rsidRPr="003F6C15">
        <w:t>oon</w:t>
      </w:r>
      <w:r w:rsidR="00F15285" w:rsidRPr="003F6C15">
        <w:t>.</w:t>
      </w:r>
      <w:r w:rsidRPr="003F6C15">
        <w:rPr>
          <w:rStyle w:val="FootnoteReference"/>
        </w:rPr>
        <w:footnoteReference w:id="12"/>
      </w:r>
    </w:p>
    <w:p w14:paraId="55027152" w14:textId="5009366A" w:rsidR="00F15285" w:rsidRDefault="00F15285" w:rsidP="004505C6">
      <w:r>
        <w:t xml:space="preserve">However, </w:t>
      </w:r>
      <w:r w:rsidR="003F6C15">
        <w:t>rega</w:t>
      </w:r>
      <w:r w:rsidR="009C44FE">
        <w:t>rding the lamps of the</w:t>
      </w:r>
      <w:r>
        <w:t xml:space="preserve"> Menorah and the incense, it </w:t>
      </w:r>
      <w:r w:rsidR="009C44FE">
        <w:t>says</w:t>
      </w:r>
      <w:r>
        <w:t xml:space="preserve"> (Exodus 30:7):</w:t>
      </w:r>
    </w:p>
    <w:p w14:paraId="59C246CE" w14:textId="4CE5FF9C" w:rsidR="00F15285" w:rsidRDefault="006418F0" w:rsidP="00484216">
      <w:pPr>
        <w:pStyle w:val="Quote"/>
      </w:pPr>
      <w:r w:rsidRPr="006418F0">
        <w:t xml:space="preserve">Aaron shall burn on it sweet incense </w:t>
      </w:r>
      <w:r w:rsidR="001F6307" w:rsidRPr="005A4F6C">
        <w:rPr>
          <w:b/>
          <w:bCs/>
        </w:rPr>
        <w:t>in the morning</w:t>
      </w:r>
      <w:r w:rsidR="001F6307">
        <w:rPr>
          <w:b/>
          <w:bCs/>
        </w:rPr>
        <w:t xml:space="preserve">, </w:t>
      </w:r>
      <w:r w:rsidR="001F6307" w:rsidRPr="005A4F6C">
        <w:rPr>
          <w:b/>
          <w:bCs/>
        </w:rPr>
        <w:t>in the morning</w:t>
      </w:r>
      <w:r w:rsidR="001F6307" w:rsidRPr="005A4F6C">
        <w:rPr>
          <w:b/>
          <w:bCs/>
        </w:rPr>
        <w:t xml:space="preserve"> </w:t>
      </w:r>
      <w:r w:rsidR="005A4F6C" w:rsidRPr="005A4F6C">
        <w:rPr>
          <w:b/>
          <w:bCs/>
        </w:rPr>
        <w:t>(</w:t>
      </w:r>
      <w:proofErr w:type="spellStart"/>
      <w:r w:rsidR="005A4F6C" w:rsidRPr="005A4F6C">
        <w:rPr>
          <w:b/>
          <w:bCs/>
          <w:i/>
          <w:iCs/>
        </w:rPr>
        <w:t>ba-boqer</w:t>
      </w:r>
      <w:proofErr w:type="spellEnd"/>
      <w:r w:rsidR="005A4F6C" w:rsidRPr="005A4F6C">
        <w:rPr>
          <w:b/>
          <w:bCs/>
          <w:i/>
          <w:iCs/>
        </w:rPr>
        <w:t xml:space="preserve"> </w:t>
      </w:r>
      <w:proofErr w:type="spellStart"/>
      <w:r w:rsidR="005A4F6C" w:rsidRPr="005A4F6C">
        <w:rPr>
          <w:b/>
          <w:bCs/>
          <w:i/>
          <w:iCs/>
        </w:rPr>
        <w:t>ba-boqer</w:t>
      </w:r>
      <w:proofErr w:type="spellEnd"/>
      <w:r w:rsidR="005A4F6C" w:rsidRPr="005A4F6C">
        <w:rPr>
          <w:b/>
          <w:bCs/>
        </w:rPr>
        <w:t>)</w:t>
      </w:r>
      <w:r w:rsidRPr="006418F0">
        <w:t>; when he tends the lamps, he shall burn it</w:t>
      </w:r>
      <w:r w:rsidR="00F15285">
        <w:t>.</w:t>
      </w:r>
    </w:p>
    <w:p w14:paraId="1BBD07EC" w14:textId="0A695C91" w:rsidR="00F15285" w:rsidRDefault="00FE25E9" w:rsidP="004505C6">
      <w:r>
        <w:t>T</w:t>
      </w:r>
      <w:r>
        <w:t>he Torah uses the same expression</w:t>
      </w:r>
      <w:r>
        <w:t xml:space="preserve">, </w:t>
      </w:r>
      <w:r w:rsidRPr="00D77CDF">
        <w:t>every morning (</w:t>
      </w:r>
      <w:proofErr w:type="spellStart"/>
      <w:r w:rsidRPr="00D77CDF">
        <w:rPr>
          <w:i/>
          <w:iCs/>
        </w:rPr>
        <w:t>ba-boqer</w:t>
      </w:r>
      <w:proofErr w:type="spellEnd"/>
      <w:r w:rsidRPr="00D77CDF">
        <w:rPr>
          <w:i/>
          <w:iCs/>
        </w:rPr>
        <w:t xml:space="preserve"> </w:t>
      </w:r>
      <w:proofErr w:type="spellStart"/>
      <w:r w:rsidRPr="00D77CDF">
        <w:rPr>
          <w:i/>
          <w:iCs/>
        </w:rPr>
        <w:t>ba-boqer</w:t>
      </w:r>
      <w:proofErr w:type="spellEnd"/>
      <w:r w:rsidRPr="00D77CDF">
        <w:t>)</w:t>
      </w:r>
      <w:r w:rsidRPr="00D77CDF">
        <w:t>,</w:t>
      </w:r>
      <w:r>
        <w:rPr>
          <w:b/>
          <w:bCs/>
        </w:rPr>
        <w:t xml:space="preserve"> </w:t>
      </w:r>
      <w:r w:rsidR="00D77CDF">
        <w:t>a</w:t>
      </w:r>
      <w:r w:rsidR="00F15285">
        <w:t xml:space="preserve">lso </w:t>
      </w:r>
      <w:r w:rsidR="00D77CDF">
        <w:t>regarding</w:t>
      </w:r>
      <w:r w:rsidR="00F15285">
        <w:t xml:space="preserve"> arranging the wood and keeping the fire burning on the altar, (Leviticus 6:5-6):</w:t>
      </w:r>
    </w:p>
    <w:p w14:paraId="3DE5B2C4" w14:textId="118BD813" w:rsidR="00F15285" w:rsidRPr="00484216" w:rsidRDefault="00484216" w:rsidP="00484216">
      <w:pPr>
        <w:pStyle w:val="Quote"/>
        <w:rPr>
          <w:rFonts w:asciiTheme="majorBidi" w:hAnsiTheme="majorBidi" w:cstheme="majorBidi"/>
        </w:rPr>
      </w:pPr>
      <w:r w:rsidRPr="00484216">
        <w:rPr>
          <w:rStyle w:val="text"/>
          <w:rFonts w:asciiTheme="majorBidi" w:hAnsiTheme="majorBidi" w:cstheme="majorBidi"/>
          <w:color w:val="000000"/>
          <w:shd w:val="clear" w:color="auto" w:fill="FFFFFF"/>
        </w:rPr>
        <w:t xml:space="preserve">And the fire on the altar shall be kept burning on it; it shall not be put out. And the priest shall burn wood on it </w:t>
      </w:r>
      <w:r w:rsidR="002262BB">
        <w:rPr>
          <w:rStyle w:val="text"/>
          <w:rFonts w:asciiTheme="majorBidi" w:hAnsiTheme="majorBidi" w:cstheme="majorBidi"/>
          <w:color w:val="000000"/>
          <w:shd w:val="clear" w:color="auto" w:fill="FFFFFF"/>
        </w:rPr>
        <w:t>in the morning, in the morning</w:t>
      </w:r>
      <w:r>
        <w:rPr>
          <w:rStyle w:val="text"/>
          <w:rFonts w:asciiTheme="majorBidi" w:hAnsiTheme="majorBidi" w:cstheme="majorBidi"/>
          <w:color w:val="000000"/>
          <w:shd w:val="clear" w:color="auto" w:fill="FFFFFF"/>
        </w:rPr>
        <w:t xml:space="preserve"> </w:t>
      </w:r>
      <w:r w:rsidRPr="00D77CDF">
        <w:t>(</w:t>
      </w:r>
      <w:proofErr w:type="spellStart"/>
      <w:r w:rsidRPr="00D77CDF">
        <w:rPr>
          <w:i/>
          <w:iCs/>
        </w:rPr>
        <w:t>ba-boqer</w:t>
      </w:r>
      <w:proofErr w:type="spellEnd"/>
      <w:r w:rsidRPr="00D77CDF">
        <w:rPr>
          <w:i/>
          <w:iCs/>
        </w:rPr>
        <w:t xml:space="preserve"> </w:t>
      </w:r>
      <w:proofErr w:type="spellStart"/>
      <w:r w:rsidRPr="00D77CDF">
        <w:rPr>
          <w:i/>
          <w:iCs/>
        </w:rPr>
        <w:t>ba-boqer</w:t>
      </w:r>
      <w:proofErr w:type="spellEnd"/>
      <w:proofErr w:type="gramStart"/>
      <w:r w:rsidRPr="00D77CDF">
        <w:t>),</w:t>
      </w:r>
      <w:r>
        <w:rPr>
          <w:b/>
          <w:bCs/>
        </w:rPr>
        <w:t xml:space="preserve"> </w:t>
      </w:r>
      <w:r w:rsidRPr="00484216">
        <w:rPr>
          <w:rStyle w:val="text"/>
          <w:rFonts w:asciiTheme="majorBidi" w:hAnsiTheme="majorBidi" w:cstheme="majorBidi"/>
          <w:color w:val="000000"/>
          <w:shd w:val="clear" w:color="auto" w:fill="FFFFFF"/>
        </w:rPr>
        <w:t>and</w:t>
      </w:r>
      <w:proofErr w:type="gramEnd"/>
      <w:r w:rsidRPr="00484216">
        <w:rPr>
          <w:rStyle w:val="text"/>
          <w:rFonts w:asciiTheme="majorBidi" w:hAnsiTheme="majorBidi" w:cstheme="majorBidi"/>
          <w:color w:val="000000"/>
          <w:shd w:val="clear" w:color="auto" w:fill="FFFFFF"/>
        </w:rPr>
        <w:t xml:space="preserve"> lay the burnt offering in order on it; and he shall burn on it the fat of the peace offerings. A fire shall always be burning on the altar; it shall never go out.</w:t>
      </w:r>
    </w:p>
    <w:p w14:paraId="09B2B3EE" w14:textId="63A7E6D8" w:rsidR="009A7F12" w:rsidRDefault="00F15285" w:rsidP="004505C6">
      <w:r>
        <w:t xml:space="preserve">We find the expression </w:t>
      </w:r>
      <w:r w:rsidR="00176550">
        <w:t>“</w:t>
      </w:r>
      <w:r w:rsidR="002262BB" w:rsidRPr="002262BB">
        <w:t>in the morning</w:t>
      </w:r>
      <w:r w:rsidR="00176550">
        <w:t>,</w:t>
      </w:r>
      <w:r w:rsidR="002262BB" w:rsidRPr="002262BB">
        <w:t xml:space="preserve"> in the morning</w:t>
      </w:r>
      <w:r w:rsidR="00176550">
        <w:t>”</w:t>
      </w:r>
      <w:r>
        <w:t xml:space="preserve"> in other places, unrelated to the daily service, in the Torah and</w:t>
      </w:r>
      <w:r w:rsidR="00484216">
        <w:t xml:space="preserve"> elsewhere in</w:t>
      </w:r>
      <w:r>
        <w:t xml:space="preserve"> the Bible.</w:t>
      </w:r>
      <w:r w:rsidR="00563EC7">
        <w:rPr>
          <w:rStyle w:val="FootnoteReference"/>
        </w:rPr>
        <w:footnoteReference w:id="13"/>
      </w:r>
      <w:r>
        <w:t xml:space="preserve"> </w:t>
      </w:r>
      <w:r w:rsidR="005B040D">
        <w:t>C</w:t>
      </w:r>
      <w:r>
        <w:t xml:space="preserve">ommentators have </w:t>
      </w:r>
      <w:r w:rsidR="005B040D">
        <w:t xml:space="preserve">usually </w:t>
      </w:r>
      <w:r>
        <w:t>explained that this double expression means a continuous daily action, as explained by the Sforno</w:t>
      </w:r>
      <w:r w:rsidR="00BF2C50">
        <w:t xml:space="preserve"> (Exodus 30:7)</w:t>
      </w:r>
      <w:r>
        <w:t>:</w:t>
      </w:r>
    </w:p>
    <w:p w14:paraId="3684925D" w14:textId="155ADB83" w:rsidR="00F15285" w:rsidRDefault="00176550" w:rsidP="009A7F12">
      <w:pPr>
        <w:pStyle w:val="Quote"/>
      </w:pPr>
      <w:r>
        <w:t>“</w:t>
      </w:r>
      <w:r w:rsidR="002262BB">
        <w:t>In the morning in the</w:t>
      </w:r>
      <w:r w:rsidR="00F15285">
        <w:t xml:space="preserve"> morning,</w:t>
      </w:r>
      <w:r>
        <w:t>”</w:t>
      </w:r>
      <w:r w:rsidR="00F15285">
        <w:t xml:space="preserve"> like </w:t>
      </w:r>
      <w:r>
        <w:t>“</w:t>
      </w:r>
      <w:r w:rsidR="00F15285">
        <w:t xml:space="preserve">she spoke to Joseph </w:t>
      </w:r>
      <w:r w:rsidR="002B728D">
        <w:t>day by</w:t>
      </w:r>
      <w:r w:rsidR="00BF2C50">
        <w:t xml:space="preserve"> day</w:t>
      </w:r>
      <w:r w:rsidR="001720BE">
        <w:t xml:space="preserve"> (</w:t>
      </w:r>
      <w:proofErr w:type="spellStart"/>
      <w:r w:rsidR="001720BE" w:rsidRPr="001720BE">
        <w:rPr>
          <w:i/>
          <w:iCs/>
        </w:rPr>
        <w:t>yom</w:t>
      </w:r>
      <w:proofErr w:type="spellEnd"/>
      <w:r w:rsidR="001720BE" w:rsidRPr="001720BE">
        <w:rPr>
          <w:i/>
          <w:iCs/>
        </w:rPr>
        <w:t xml:space="preserve"> </w:t>
      </w:r>
      <w:proofErr w:type="spellStart"/>
      <w:r w:rsidR="001720BE" w:rsidRPr="001720BE">
        <w:rPr>
          <w:i/>
          <w:iCs/>
        </w:rPr>
        <w:t>yom</w:t>
      </w:r>
      <w:proofErr w:type="spellEnd"/>
      <w:r w:rsidR="001720BE">
        <w:t>)</w:t>
      </w:r>
      <w:r>
        <w:t>”</w:t>
      </w:r>
      <w:r w:rsidR="00F15285">
        <w:t xml:space="preserve"> (Genesis 39:10) and also </w:t>
      </w:r>
      <w:r>
        <w:t>“</w:t>
      </w:r>
      <w:r w:rsidR="002B728D">
        <w:t>in the morning in the</w:t>
      </w:r>
      <w:r w:rsidR="00806A65">
        <w:t xml:space="preserve"> morning (</w:t>
      </w:r>
      <w:proofErr w:type="spellStart"/>
      <w:r w:rsidR="00806A65" w:rsidRPr="00D77CDF">
        <w:rPr>
          <w:i/>
          <w:iCs/>
        </w:rPr>
        <w:t>ba-boqer</w:t>
      </w:r>
      <w:proofErr w:type="spellEnd"/>
      <w:r w:rsidR="00806A65" w:rsidRPr="00D77CDF">
        <w:rPr>
          <w:i/>
          <w:iCs/>
        </w:rPr>
        <w:t xml:space="preserve"> </w:t>
      </w:r>
      <w:proofErr w:type="spellStart"/>
      <w:r w:rsidR="00806A65" w:rsidRPr="00D77CDF">
        <w:rPr>
          <w:i/>
          <w:iCs/>
        </w:rPr>
        <w:t>ba-boqer</w:t>
      </w:r>
      <w:proofErr w:type="spellEnd"/>
      <w:r w:rsidR="009A7F12">
        <w:rPr>
          <w:i/>
          <w:iCs/>
        </w:rPr>
        <w:t>)</w:t>
      </w:r>
      <w:r w:rsidR="00F15285">
        <w:t>,</w:t>
      </w:r>
      <w:r>
        <w:t>”</w:t>
      </w:r>
      <w:r w:rsidR="00F15285">
        <w:t xml:space="preserve"> when he </w:t>
      </w:r>
      <w:r w:rsidR="009A7F12">
        <w:t>tends</w:t>
      </w:r>
      <w:r w:rsidR="00F15285">
        <w:t xml:space="preserve"> the lamps (Exodus 30:7).</w:t>
      </w:r>
      <w:r w:rsidR="00A4210A">
        <w:rPr>
          <w:rStyle w:val="FootnoteReference"/>
        </w:rPr>
        <w:footnoteReference w:id="14"/>
      </w:r>
    </w:p>
    <w:p w14:paraId="077FCADB" w14:textId="56262E48" w:rsidR="00F15285" w:rsidRDefault="00F15285" w:rsidP="004505C6">
      <w:r>
        <w:lastRenderedPageBreak/>
        <w:t>Ibn Ezra</w:t>
      </w:r>
      <w:r w:rsidR="00176550">
        <w:t>’</w:t>
      </w:r>
      <w:r w:rsidR="00DE4191">
        <w:t>s</w:t>
      </w:r>
      <w:r>
        <w:t xml:space="preserve"> commentary on Exodus 16:21</w:t>
      </w:r>
      <w:r w:rsidR="00DE4191">
        <w:t xml:space="preserve"> regarding</w:t>
      </w:r>
      <w:r>
        <w:t xml:space="preserve"> the manna </w:t>
      </w:r>
      <w:r w:rsidR="0042575A">
        <w:t xml:space="preserve">is an exception. He explains that </w:t>
      </w:r>
      <w:proofErr w:type="spellStart"/>
      <w:r w:rsidR="0042575A" w:rsidRPr="00D77CDF">
        <w:rPr>
          <w:i/>
          <w:iCs/>
        </w:rPr>
        <w:t>ba-boqer</w:t>
      </w:r>
      <w:proofErr w:type="spellEnd"/>
      <w:r w:rsidR="0042575A" w:rsidRPr="00D77CDF">
        <w:rPr>
          <w:i/>
          <w:iCs/>
        </w:rPr>
        <w:t xml:space="preserve"> </w:t>
      </w:r>
      <w:proofErr w:type="spellStart"/>
      <w:r w:rsidR="0042575A" w:rsidRPr="00D77CDF">
        <w:rPr>
          <w:i/>
          <w:iCs/>
        </w:rPr>
        <w:t>ba-boqer</w:t>
      </w:r>
      <w:proofErr w:type="spellEnd"/>
      <w:r w:rsidR="0042575A">
        <w:t xml:space="preserve"> </w:t>
      </w:r>
      <w:r w:rsidR="00A63EE5">
        <w:t xml:space="preserve">means </w:t>
      </w:r>
      <w:r w:rsidR="00176550">
        <w:t>“</w:t>
      </w:r>
      <w:r>
        <w:t>in my opinion, before sunrise.</w:t>
      </w:r>
      <w:r w:rsidR="00176550">
        <w:t>”</w:t>
      </w:r>
      <w:r>
        <w:t xml:space="preserve"> According to his understanding, the double emphasis on the word </w:t>
      </w:r>
      <w:r w:rsidR="00176550">
        <w:t>“</w:t>
      </w:r>
      <w:proofErr w:type="spellStart"/>
      <w:r w:rsidR="00FE0FFA" w:rsidRPr="00FE0FFA">
        <w:rPr>
          <w:i/>
          <w:iCs/>
        </w:rPr>
        <w:t>ba-boqer</w:t>
      </w:r>
      <w:proofErr w:type="spellEnd"/>
      <w:r w:rsidR="00176550">
        <w:t>”</w:t>
      </w:r>
      <w:r>
        <w:t xml:space="preserve"> refers to immediate action at the beginning of the morning, while the </w:t>
      </w:r>
      <w:r w:rsidR="007D4878">
        <w:t xml:space="preserve">single </w:t>
      </w:r>
      <w:r w:rsidR="00176550">
        <w:t>“</w:t>
      </w:r>
      <w:proofErr w:type="spellStart"/>
      <w:r w:rsidR="007D4878" w:rsidRPr="00B55BA0">
        <w:rPr>
          <w:i/>
          <w:iCs/>
        </w:rPr>
        <w:t>ba-boqer</w:t>
      </w:r>
      <w:proofErr w:type="spellEnd"/>
      <w:r w:rsidR="00D333EF">
        <w:t>,</w:t>
      </w:r>
      <w:r w:rsidR="00176550">
        <w:t>”</w:t>
      </w:r>
      <w:r>
        <w:t xml:space="preserve"> </w:t>
      </w:r>
      <w:r w:rsidR="00D333EF">
        <w:t>(</w:t>
      </w:r>
      <w:r>
        <w:t>in the morning</w:t>
      </w:r>
      <w:r w:rsidR="00D333EF">
        <w:t>)</w:t>
      </w:r>
      <w:r>
        <w:t xml:space="preserve"> refers to a later time during the morning. According to this interpretation, </w:t>
      </w:r>
      <w:r w:rsidR="00D333EF">
        <w:t xml:space="preserve">the daily offering is </w:t>
      </w:r>
      <w:r w:rsidR="00B55BA0">
        <w:t>performed</w:t>
      </w:r>
      <w:r w:rsidR="00D333EF">
        <w:t xml:space="preserve"> last</w:t>
      </w:r>
      <w:r w:rsidR="00D333EF">
        <w:t xml:space="preserve"> </w:t>
      </w:r>
      <w:r>
        <w:t xml:space="preserve">among the four daily services, while the other </w:t>
      </w:r>
      <w:r w:rsidR="00D333EF">
        <w:t>rites</w:t>
      </w:r>
      <w:r>
        <w:t xml:space="preserve"> are </w:t>
      </w:r>
      <w:r w:rsidR="00D333EF">
        <w:t>performed</w:t>
      </w:r>
      <w:r>
        <w:t xml:space="preserve"> earlier. This </w:t>
      </w:r>
      <w:r w:rsidR="00C8597A">
        <w:t>is</w:t>
      </w:r>
      <w:r>
        <w:t xml:space="preserve"> the approach of the </w:t>
      </w:r>
      <w:r w:rsidR="00C8597A">
        <w:t>Rabbis</w:t>
      </w:r>
      <w:r>
        <w:t xml:space="preserve">, as found in the </w:t>
      </w:r>
      <w:proofErr w:type="spellStart"/>
      <w:r w:rsidRPr="00C8597A">
        <w:rPr>
          <w:i/>
          <w:iCs/>
        </w:rPr>
        <w:t>Sifra</w:t>
      </w:r>
      <w:proofErr w:type="spellEnd"/>
      <w:r>
        <w:t xml:space="preserve">, Leviticus </w:t>
      </w:r>
      <w:r w:rsidR="00C378BA" w:rsidRPr="00C378BA">
        <w:rPr>
          <w:i/>
          <w:iCs/>
        </w:rPr>
        <w:t>Tzav</w:t>
      </w:r>
      <w:r w:rsidR="00C378BA">
        <w:t xml:space="preserve">, </w:t>
      </w:r>
      <w:r>
        <w:t>1-2,</w:t>
      </w:r>
      <w:r w:rsidR="00C378BA">
        <w:rPr>
          <w:rStyle w:val="FootnoteReference"/>
        </w:rPr>
        <w:footnoteReference w:id="15"/>
      </w:r>
      <w:r>
        <w:t xml:space="preserve"> where a </w:t>
      </w:r>
      <w:r w:rsidR="00B55BA0">
        <w:t>midrash</w:t>
      </w:r>
      <w:r>
        <w:t xml:space="preserve"> about the order of the daily services concludes that the </w:t>
      </w:r>
      <w:r w:rsidR="00B55BA0">
        <w:t>daily</w:t>
      </w:r>
      <w:r>
        <w:t xml:space="preserve"> offering is </w:t>
      </w:r>
      <w:r w:rsidR="00B55BA0">
        <w:t>performed</w:t>
      </w:r>
      <w:r>
        <w:t xml:space="preserve"> last:</w:t>
      </w:r>
    </w:p>
    <w:p w14:paraId="36CB15A2" w14:textId="31FE1475" w:rsidR="00F15285" w:rsidRDefault="00F15285" w:rsidP="00E635A0">
      <w:pPr>
        <w:pStyle w:val="Quote"/>
      </w:pPr>
      <w:r>
        <w:t xml:space="preserve">And the priest shall burn wood on it </w:t>
      </w:r>
      <w:r w:rsidR="00176550">
        <w:t>“</w:t>
      </w:r>
      <w:r w:rsidR="00784728">
        <w:t>in the morning, in the morning</w:t>
      </w:r>
      <w:r w:rsidR="00176550">
        <w:t>”</w:t>
      </w:r>
      <w:r w:rsidR="00784728">
        <w:t xml:space="preserve"> </w:t>
      </w:r>
      <w:r w:rsidR="00E635A0">
        <w:t>(</w:t>
      </w:r>
      <w:proofErr w:type="spellStart"/>
      <w:r w:rsidR="00E635A0" w:rsidRPr="00D77CDF">
        <w:rPr>
          <w:i/>
          <w:iCs/>
        </w:rPr>
        <w:t>ba-boqer</w:t>
      </w:r>
      <w:proofErr w:type="spellEnd"/>
      <w:r w:rsidR="00E635A0" w:rsidRPr="00D77CDF">
        <w:rPr>
          <w:i/>
          <w:iCs/>
        </w:rPr>
        <w:t xml:space="preserve"> </w:t>
      </w:r>
      <w:proofErr w:type="spellStart"/>
      <w:r w:rsidR="00E635A0" w:rsidRPr="00D77CDF">
        <w:rPr>
          <w:i/>
          <w:iCs/>
        </w:rPr>
        <w:t>ba-boqer</w:t>
      </w:r>
      <w:proofErr w:type="spellEnd"/>
      <w:r w:rsidR="00E635A0">
        <w:t>).</w:t>
      </w:r>
      <w:r w:rsidR="00176550">
        <w:t>”</w:t>
      </w:r>
      <w:r>
        <w:t xml:space="preserve"> It is said of the wood</w:t>
      </w:r>
      <w:r w:rsidR="00784728">
        <w:t xml:space="preserve"> </w:t>
      </w:r>
      <w:r w:rsidR="00176550">
        <w:t>“</w:t>
      </w:r>
      <w:r w:rsidR="00784728">
        <w:t>in the morning, in the morning</w:t>
      </w:r>
      <w:r w:rsidR="00176550">
        <w:t>”</w:t>
      </w:r>
      <w:r>
        <w:t xml:space="preserve"> and it is said of the </w:t>
      </w:r>
      <w:r w:rsidR="00784728">
        <w:t>daily offering</w:t>
      </w:r>
      <w:r>
        <w:t xml:space="preserve"> </w:t>
      </w:r>
      <w:r w:rsidR="00176550">
        <w:t>“</w:t>
      </w:r>
      <w:r>
        <w:t>in the morning</w:t>
      </w:r>
      <w:r w:rsidR="007D2542">
        <w:t xml:space="preserve"> (</w:t>
      </w:r>
      <w:proofErr w:type="spellStart"/>
      <w:r w:rsidR="007D2542" w:rsidRPr="007D2542">
        <w:rPr>
          <w:i/>
          <w:iCs/>
        </w:rPr>
        <w:t>ba-boqer</w:t>
      </w:r>
      <w:proofErr w:type="spellEnd"/>
      <w:r w:rsidR="007D2542">
        <w:t>),</w:t>
      </w:r>
      <w:r w:rsidR="00176550">
        <w:t>”</w:t>
      </w:r>
      <w:r>
        <w:t xml:space="preserve"> </w:t>
      </w:r>
      <w:r w:rsidR="007D2542">
        <w:t>and I do not know</w:t>
      </w:r>
      <w:r>
        <w:t xml:space="preserve"> which should come first. The </w:t>
      </w:r>
      <w:r w:rsidR="000D0ABD">
        <w:t>matter</w:t>
      </w:r>
      <w:r>
        <w:t xml:space="preserve"> </w:t>
      </w:r>
      <w:r w:rsidR="000D0ABD">
        <w:t>about</w:t>
      </w:r>
      <w:r>
        <w:t xml:space="preserve"> which </w:t>
      </w:r>
      <w:r w:rsidR="00176550">
        <w:t>“</w:t>
      </w:r>
      <w:r>
        <w:t>in the morning, in the morning</w:t>
      </w:r>
      <w:r w:rsidR="00176550">
        <w:t>”</w:t>
      </w:r>
      <w:r>
        <w:t xml:space="preserve"> is said should </w:t>
      </w:r>
      <w:r w:rsidR="002262BB">
        <w:t xml:space="preserve">precede </w:t>
      </w:r>
      <w:r>
        <w:t xml:space="preserve">the </w:t>
      </w:r>
      <w:r w:rsidR="001F6307">
        <w:t>matter</w:t>
      </w:r>
      <w:r>
        <w:t xml:space="preserve"> in which only </w:t>
      </w:r>
      <w:r w:rsidR="00176550">
        <w:t>“</w:t>
      </w:r>
      <w:r>
        <w:t>in the morning</w:t>
      </w:r>
      <w:r w:rsidR="00176550">
        <w:t>”</w:t>
      </w:r>
      <w:r>
        <w:t xml:space="preserve"> is said. It is said of the wood </w:t>
      </w:r>
      <w:r w:rsidR="00176550">
        <w:t>“</w:t>
      </w:r>
      <w:r>
        <w:t>in the morning, in the morning,</w:t>
      </w:r>
      <w:r w:rsidR="00176550">
        <w:t>”</w:t>
      </w:r>
      <w:r>
        <w:t xml:space="preserve"> and it is said of the incense </w:t>
      </w:r>
      <w:r w:rsidR="00176550">
        <w:t>“</w:t>
      </w:r>
      <w:r>
        <w:t>in the morning, in the morning.</w:t>
      </w:r>
      <w:r w:rsidR="00176550">
        <w:t>”</w:t>
      </w:r>
      <w:r>
        <w:t xml:space="preserve"> I do not know which should come first. Which enables which? The wood enables the incense, so the wood should precede the incense. It is said of the incense </w:t>
      </w:r>
      <w:r w:rsidR="00176550">
        <w:t>“</w:t>
      </w:r>
      <w:r>
        <w:t>in the morning, in the morning</w:t>
      </w:r>
      <w:r w:rsidR="00176550">
        <w:t>”</w:t>
      </w:r>
      <w:r>
        <w:t xml:space="preserve"> and it is said of the lamps </w:t>
      </w:r>
      <w:r w:rsidR="00176550">
        <w:t>“</w:t>
      </w:r>
      <w:r>
        <w:t>in the morning, in the morning,</w:t>
      </w:r>
      <w:r w:rsidR="00176550">
        <w:t>”</w:t>
      </w:r>
      <w:r>
        <w:t xml:space="preserve"> and I do not know which should come first. When it </w:t>
      </w:r>
      <w:proofErr w:type="gramStart"/>
      <w:r>
        <w:t>says</w:t>
      </w:r>
      <w:proofErr w:type="gramEnd"/>
      <w:r>
        <w:t xml:space="preserve"> </w:t>
      </w:r>
      <w:r w:rsidR="00176550">
        <w:t>“</w:t>
      </w:r>
      <w:r>
        <w:t xml:space="preserve">in the morning, in the morning, when he </w:t>
      </w:r>
      <w:r w:rsidR="000978CD">
        <w:t>tends</w:t>
      </w:r>
      <w:r>
        <w:t xml:space="preserve"> the lamps, he shall burn it,</w:t>
      </w:r>
      <w:r w:rsidR="00176550">
        <w:t>”</w:t>
      </w:r>
      <w:r>
        <w:t xml:space="preserve"> </w:t>
      </w:r>
      <w:r w:rsidR="00A671BD">
        <w:t>they juxtaposed</w:t>
      </w:r>
      <w:r w:rsidR="00DC7A74">
        <w:t xml:space="preserve"> a matter to</w:t>
      </w:r>
      <w:r>
        <w:t xml:space="preserve"> the incense, so the lamps should precede the incense...</w:t>
      </w:r>
      <w:r w:rsidR="00DC7A74">
        <w:t xml:space="preserve"> </w:t>
      </w:r>
      <w:r>
        <w:t>From where do we know that nothing should precede the</w:t>
      </w:r>
      <w:r w:rsidR="00682C44">
        <w:t xml:space="preserve"> daily offering of the</w:t>
      </w:r>
      <w:r>
        <w:t xml:space="preserve"> morning? It is taught, </w:t>
      </w:r>
      <w:r w:rsidR="00176550">
        <w:t>“</w:t>
      </w:r>
      <w:r w:rsidR="0059168E">
        <w:t>on</w:t>
      </w:r>
      <w:r>
        <w:t xml:space="preserve"> it, the burnt offering.</w:t>
      </w:r>
      <w:r w:rsidR="00176550">
        <w:t>”</w:t>
      </w:r>
    </w:p>
    <w:p w14:paraId="0C9F0057" w14:textId="06F7ACA4" w:rsidR="000878D3" w:rsidRDefault="000878D3" w:rsidP="00172D57">
      <w:commentRangeStart w:id="4"/>
      <w:r>
        <w:t>Th</w:t>
      </w:r>
      <w:r w:rsidR="00F368DE">
        <w:t xml:space="preserve">is midrash </w:t>
      </w:r>
      <w:r>
        <w:t xml:space="preserve">is based on the difference between </w:t>
      </w:r>
      <w:r w:rsidR="00176550">
        <w:t>“</w:t>
      </w:r>
      <w:r w:rsidR="004B5ACC">
        <w:t>in the morning, in the morning</w:t>
      </w:r>
      <w:r w:rsidR="00176550">
        <w:t>”</w:t>
      </w:r>
      <w:r w:rsidR="004B5ACC">
        <w:t xml:space="preserve"> </w:t>
      </w:r>
      <w:r>
        <w:t xml:space="preserve">and </w:t>
      </w:r>
      <w:r w:rsidR="00176550">
        <w:t>“</w:t>
      </w:r>
      <w:r w:rsidR="004B5ACC">
        <w:t>in the morning</w:t>
      </w:r>
      <w:r w:rsidR="00176550">
        <w:t>”</w:t>
      </w:r>
      <w:r>
        <w:t xml:space="preserve"> and </w:t>
      </w:r>
      <w:r w:rsidR="004B5ACC">
        <w:t>interprets</w:t>
      </w:r>
      <w:r w:rsidR="00890408">
        <w:t xml:space="preserve"> it to mean that every rite that </w:t>
      </w:r>
      <w:r w:rsidR="002B2734">
        <w:t xml:space="preserve">has </w:t>
      </w:r>
      <w:r w:rsidR="00890408">
        <w:t>the double formulation</w:t>
      </w:r>
      <w:r>
        <w:t xml:space="preserve"> </w:t>
      </w:r>
      <w:r w:rsidR="002B2734">
        <w:t xml:space="preserve">precedes those with the single </w:t>
      </w:r>
      <w:r w:rsidR="00F451DF">
        <w:t>formulation</w:t>
      </w:r>
      <w:r>
        <w:t xml:space="preserve">. In light of this, the </w:t>
      </w:r>
      <w:r w:rsidR="002B2734">
        <w:t>midrash</w:t>
      </w:r>
      <w:r>
        <w:t xml:space="preserve"> determines that in principle, the </w:t>
      </w:r>
      <w:r w:rsidR="002B2734">
        <w:t>daily</w:t>
      </w:r>
      <w:r>
        <w:t xml:space="preserve"> offering is later than the </w:t>
      </w:r>
      <w:r w:rsidR="002B2734">
        <w:t>rites</w:t>
      </w:r>
      <w:r>
        <w:t xml:space="preserve"> in which </w:t>
      </w:r>
      <w:r w:rsidR="003A60ED">
        <w:t>the phrase</w:t>
      </w:r>
      <w:r>
        <w:t xml:space="preserve"> </w:t>
      </w:r>
      <w:r w:rsidR="00176550">
        <w:t>“</w:t>
      </w:r>
      <w:r w:rsidR="002B2734">
        <w:t xml:space="preserve">in the morning, </w:t>
      </w:r>
      <w:r w:rsidR="002B2734">
        <w:lastRenderedPageBreak/>
        <w:t>in the morning</w:t>
      </w:r>
      <w:r w:rsidR="00176550">
        <w:t>”</w:t>
      </w:r>
      <w:r w:rsidR="003A60ED">
        <w:t xml:space="preserve"> appears.</w:t>
      </w:r>
      <w:r>
        <w:t xml:space="preserve"> Regarding the other </w:t>
      </w:r>
      <w:r w:rsidR="00C92C04">
        <w:t>rites</w:t>
      </w:r>
      <w:r>
        <w:t xml:space="preserve">, the </w:t>
      </w:r>
      <w:r w:rsidR="00C92C04">
        <w:t>midrash</w:t>
      </w:r>
      <w:r>
        <w:t xml:space="preserve"> </w:t>
      </w:r>
      <w:r w:rsidR="00C92C04">
        <w:t>concludes</w:t>
      </w:r>
      <w:r>
        <w:t xml:space="preserve"> that the arrangement of the fire precedes everything because it </w:t>
      </w:r>
      <w:r w:rsidR="00C92C04">
        <w:t>enables</w:t>
      </w:r>
      <w:r>
        <w:t xml:space="preserve"> the incense </w:t>
      </w:r>
      <w:r w:rsidR="00172D57">
        <w:t xml:space="preserve">– </w:t>
      </w:r>
      <w:r>
        <w:t>without the fire on the altar, it is impossible to take coals for the incense burning.</w:t>
      </w:r>
      <w:r w:rsidR="00CA7BB0">
        <w:rPr>
          <w:rStyle w:val="FootnoteReference"/>
        </w:rPr>
        <w:footnoteReference w:id="16"/>
      </w:r>
      <w:r w:rsidR="00172D57">
        <w:t xml:space="preserve"> </w:t>
      </w:r>
      <w:r w:rsidR="0045506F">
        <w:t>Tending</w:t>
      </w:r>
      <w:r>
        <w:t xml:space="preserve"> the lamps </w:t>
      </w:r>
      <w:r w:rsidR="0045506F">
        <w:t>precedes</w:t>
      </w:r>
      <w:r w:rsidR="0045506F">
        <w:t xml:space="preserve"> </w:t>
      </w:r>
      <w:r>
        <w:t xml:space="preserve">the burning of the incense </w:t>
      </w:r>
      <w:r w:rsidR="003A60ED">
        <w:t>because</w:t>
      </w:r>
      <w:r>
        <w:t xml:space="preserve"> </w:t>
      </w:r>
      <w:r w:rsidR="00F451DF">
        <w:t>burning</w:t>
      </w:r>
      <w:r>
        <w:t xml:space="preserve"> the incense </w:t>
      </w:r>
      <w:r w:rsidR="008D0BEC">
        <w:t xml:space="preserve">is mentioned </w:t>
      </w:r>
      <w:r w:rsidR="008D0BEC">
        <w:t xml:space="preserve">in the verse </w:t>
      </w:r>
      <w:r w:rsidR="008D0BEC">
        <w:t>in the context of tending t</w:t>
      </w:r>
      <w:r>
        <w:t xml:space="preserve">he lamps. </w:t>
      </w:r>
      <w:commentRangeEnd w:id="4"/>
      <w:r w:rsidR="00E736C8">
        <w:rPr>
          <w:rStyle w:val="CommentReference"/>
        </w:rPr>
        <w:commentReference w:id="4"/>
      </w:r>
      <w:r w:rsidR="00E736C8">
        <w:t xml:space="preserve">To sum up, </w:t>
      </w:r>
      <w:r w:rsidR="003240D0">
        <w:t>a</w:t>
      </w:r>
      <w:r>
        <w:t xml:space="preserve">ccording to the </w:t>
      </w:r>
      <w:proofErr w:type="spellStart"/>
      <w:r w:rsidRPr="003240D0">
        <w:rPr>
          <w:i/>
          <w:iCs/>
        </w:rPr>
        <w:t>Sifra</w:t>
      </w:r>
      <w:proofErr w:type="spellEnd"/>
      <w:r>
        <w:t xml:space="preserve">, the order is as follows: </w:t>
      </w:r>
      <w:r w:rsidRPr="003240D0">
        <w:rPr>
          <w:b/>
          <w:bCs/>
        </w:rPr>
        <w:t xml:space="preserve">arranging the fire, </w:t>
      </w:r>
      <w:r w:rsidR="003240D0" w:rsidRPr="003240D0">
        <w:rPr>
          <w:b/>
          <w:bCs/>
        </w:rPr>
        <w:t>tending</w:t>
      </w:r>
      <w:r w:rsidRPr="003240D0">
        <w:rPr>
          <w:b/>
          <w:bCs/>
        </w:rPr>
        <w:t xml:space="preserve"> the lamps, burning the incense, </w:t>
      </w:r>
      <w:r w:rsidR="003240D0" w:rsidRPr="003240D0">
        <w:rPr>
          <w:b/>
          <w:bCs/>
        </w:rPr>
        <w:t xml:space="preserve">the daily </w:t>
      </w:r>
      <w:r w:rsidRPr="003240D0">
        <w:rPr>
          <w:b/>
          <w:bCs/>
        </w:rPr>
        <w:t>offering, and offering the rest of the sacrifices</w:t>
      </w:r>
      <w:r>
        <w:t xml:space="preserve">. </w:t>
      </w:r>
      <w:r w:rsidR="000F1A28">
        <w:t xml:space="preserve">In this order, </w:t>
      </w:r>
      <w:r>
        <w:t xml:space="preserve">the </w:t>
      </w:r>
      <w:r w:rsidR="000F1A28">
        <w:t>rites performed within</w:t>
      </w:r>
      <w:r>
        <w:t xml:space="preserve"> the Sanctuary</w:t>
      </w:r>
      <w:r w:rsidR="00533D39">
        <w:t xml:space="preserve"> </w:t>
      </w:r>
      <w:r>
        <w:t>precede th</w:t>
      </w:r>
      <w:r w:rsidR="000F1A28">
        <w:t>ose performed in the courtyard</w:t>
      </w:r>
      <w:r>
        <w:t xml:space="preserve">. Although the arrangement of the fire on the outer altar precedes everything, </w:t>
      </w:r>
      <w:r w:rsidR="00331F52">
        <w:t>that</w:t>
      </w:r>
      <w:r>
        <w:t xml:space="preserve"> is only because it </w:t>
      </w:r>
      <w:r w:rsidR="00331F52">
        <w:t>enables</w:t>
      </w:r>
      <w:r>
        <w:t xml:space="preserve"> the incense. The logic of this order can be understood </w:t>
      </w:r>
      <w:r w:rsidR="00871F74">
        <w:t xml:space="preserve">as </w:t>
      </w:r>
      <w:r w:rsidR="00531F49">
        <w:t>reflecting a conception of</w:t>
      </w:r>
      <w:r>
        <w:t xml:space="preserve"> the </w:t>
      </w:r>
      <w:r w:rsidR="00331F52">
        <w:t>rites performed inside</w:t>
      </w:r>
      <w:r w:rsidR="00533D39">
        <w:t xml:space="preserve"> the Sanctuary</w:t>
      </w:r>
      <w:r>
        <w:t xml:space="preserve"> as gestures </w:t>
      </w:r>
      <w:r w:rsidR="00ED6C03">
        <w:t>honoring</w:t>
      </w:r>
      <w:r>
        <w:t xml:space="preserve"> God who dwells in the </w:t>
      </w:r>
      <w:r w:rsidR="00ED6C03">
        <w:t>Sanctuary</w:t>
      </w:r>
      <w:r>
        <w:t>, which precede the offering of sacrifices before Him on the altar located in the courtyard.</w:t>
      </w:r>
      <w:r w:rsidR="00AB062A">
        <w:rPr>
          <w:rStyle w:val="FootnoteReference"/>
        </w:rPr>
        <w:footnoteReference w:id="17"/>
      </w:r>
    </w:p>
    <w:p w14:paraId="32C6DA4A" w14:textId="1BC5D37B" w:rsidR="00A40F44" w:rsidRDefault="00A40F44" w:rsidP="00ED6C03">
      <w:pPr>
        <w:pStyle w:val="Heading1"/>
      </w:pPr>
      <w:r>
        <w:t xml:space="preserve">The </w:t>
      </w:r>
      <w:proofErr w:type="spellStart"/>
      <w:r w:rsidRPr="00ED6C03">
        <w:rPr>
          <w:i/>
          <w:iCs/>
        </w:rPr>
        <w:t>Sifrei</w:t>
      </w:r>
      <w:proofErr w:type="spellEnd"/>
      <w:r w:rsidRPr="00ED6C03">
        <w:rPr>
          <w:i/>
          <w:iCs/>
        </w:rPr>
        <w:t xml:space="preserve"> </w:t>
      </w:r>
      <w:proofErr w:type="spellStart"/>
      <w:r w:rsidRPr="00ED6C03">
        <w:rPr>
          <w:i/>
          <w:iCs/>
        </w:rPr>
        <w:t>Zuta</w:t>
      </w:r>
      <w:r w:rsidR="00176550">
        <w:t>’</w:t>
      </w:r>
      <w:r>
        <w:t>s</w:t>
      </w:r>
      <w:proofErr w:type="spellEnd"/>
      <w:r>
        <w:t xml:space="preserve"> interpretation - The slaughtering of the </w:t>
      </w:r>
      <w:r w:rsidR="00871F74">
        <w:t>daily offering</w:t>
      </w:r>
      <w:r>
        <w:t xml:space="preserve"> precedes the </w:t>
      </w:r>
      <w:r w:rsidR="00871F74">
        <w:t>rites</w:t>
      </w:r>
      <w:r>
        <w:t xml:space="preserve"> of the </w:t>
      </w:r>
      <w:proofErr w:type="gramStart"/>
      <w:r>
        <w:t>Sanctuary</w:t>
      </w:r>
      <w:proofErr w:type="gramEnd"/>
    </w:p>
    <w:p w14:paraId="11B127BF" w14:textId="72BD2C96" w:rsidR="00A40F44" w:rsidRDefault="000B6054" w:rsidP="004505C6">
      <w:r>
        <w:t>A</w:t>
      </w:r>
      <w:r>
        <w:t xml:space="preserve"> different approach</w:t>
      </w:r>
      <w:r>
        <w:t xml:space="preserve"> can be found in</w:t>
      </w:r>
      <w:r>
        <w:t xml:space="preserve"> </w:t>
      </w:r>
      <w:r w:rsidR="00BE7788">
        <w:t>a midrash in</w:t>
      </w:r>
      <w:r w:rsidR="00A40F44">
        <w:t xml:space="preserve"> </w:t>
      </w:r>
      <w:proofErr w:type="spellStart"/>
      <w:r w:rsidR="00A40F44" w:rsidRPr="00BE7788">
        <w:rPr>
          <w:i/>
        </w:rPr>
        <w:t>Sifrei</w:t>
      </w:r>
      <w:proofErr w:type="spellEnd"/>
      <w:r w:rsidR="00A40F44" w:rsidRPr="00BE7788">
        <w:rPr>
          <w:i/>
        </w:rPr>
        <w:t xml:space="preserve"> </w:t>
      </w:r>
      <w:proofErr w:type="spellStart"/>
      <w:r w:rsidR="00A40F44" w:rsidRPr="00BE7788">
        <w:rPr>
          <w:i/>
        </w:rPr>
        <w:t>Zuta</w:t>
      </w:r>
      <w:proofErr w:type="spellEnd"/>
      <w:r w:rsidR="00A40F44">
        <w:t xml:space="preserve"> </w:t>
      </w:r>
      <w:r w:rsidR="00BE7788">
        <w:t>on</w:t>
      </w:r>
      <w:r w:rsidR="00A40F44">
        <w:t xml:space="preserve"> Numbers:</w:t>
      </w:r>
      <w:r w:rsidR="00C5618C">
        <w:rPr>
          <w:rStyle w:val="FootnoteReference"/>
        </w:rPr>
        <w:footnoteReference w:id="18"/>
      </w:r>
    </w:p>
    <w:p w14:paraId="62001BCD" w14:textId="424781DF" w:rsidR="00A40F44" w:rsidRDefault="00176550" w:rsidP="00EC35B6">
      <w:pPr>
        <w:pStyle w:val="Quote"/>
      </w:pPr>
      <w:r>
        <w:t>“</w:t>
      </w:r>
      <w:r w:rsidR="003B61B6">
        <w:t>Offer</w:t>
      </w:r>
      <w:r w:rsidR="00A40F44">
        <w:t xml:space="preserve"> in the morning</w:t>
      </w:r>
      <w:r>
        <w:t>”</w:t>
      </w:r>
      <w:r w:rsidR="00A40F44">
        <w:t xml:space="preserve"> and it is said later, </w:t>
      </w:r>
      <w:r>
        <w:t>“</w:t>
      </w:r>
      <w:r w:rsidR="009D6CB9" w:rsidRPr="009D6CB9">
        <w:t>Aaron shall burn on it sweet incense every morning; when he tends the lamps, he shall burn incense on it.</w:t>
      </w:r>
      <w:r>
        <w:t>”</w:t>
      </w:r>
      <w:r w:rsidR="00A40F44">
        <w:t xml:space="preserve"> But I do not know which </w:t>
      </w:r>
      <w:r w:rsidR="005F3573">
        <w:t>precedes</w:t>
      </w:r>
      <w:r w:rsidR="00A40F44">
        <w:t xml:space="preserve">. When it says, </w:t>
      </w:r>
      <w:r>
        <w:t>“</w:t>
      </w:r>
      <w:r w:rsidR="00AF52CD">
        <w:t>The o</w:t>
      </w:r>
      <w:r w:rsidR="00A40F44">
        <w:t xml:space="preserve">ne lamb you shall </w:t>
      </w:r>
      <w:r w:rsidR="005F3573">
        <w:t>offer</w:t>
      </w:r>
      <w:r w:rsidR="00A40F44">
        <w:t xml:space="preserve"> in the morning,</w:t>
      </w:r>
      <w:r>
        <w:t>”</w:t>
      </w:r>
      <w:r w:rsidR="00A40F44">
        <w:t xml:space="preserve"> it precedes. </w:t>
      </w:r>
      <w:r w:rsidR="005F3573">
        <w:t xml:space="preserve">Could I be </w:t>
      </w:r>
      <w:r w:rsidR="00A40F44">
        <w:t>that only its slaughter [precedes]</w:t>
      </w:r>
      <w:r w:rsidR="005F3573">
        <w:t>?</w:t>
      </w:r>
      <w:r w:rsidR="00A40F44">
        <w:t xml:space="preserve"> </w:t>
      </w:r>
      <w:r w:rsidR="00320BD8">
        <w:t>F</w:t>
      </w:r>
      <w:r w:rsidR="00A40F44">
        <w:t xml:space="preserve">rom where [do we </w:t>
      </w:r>
      <w:r w:rsidR="00A40F44">
        <w:lastRenderedPageBreak/>
        <w:t xml:space="preserve">learn] that even the sprinkling of its blood [precedes]? </w:t>
      </w:r>
      <w:r w:rsidR="00320BD8">
        <w:t xml:space="preserve">The Torah </w:t>
      </w:r>
      <w:r w:rsidR="000A7A10">
        <w:t>t</w:t>
      </w:r>
      <w:r w:rsidR="00320BD8">
        <w:t xml:space="preserve">eaches: </w:t>
      </w:r>
      <w:r>
        <w:t>“</w:t>
      </w:r>
      <w:r w:rsidR="00320BD8">
        <w:t>Offer</w:t>
      </w:r>
      <w:r w:rsidR="00A40F44">
        <w:t xml:space="preserve"> it in the morning</w:t>
      </w:r>
      <w:r w:rsidR="00320BD8">
        <w:t>.</w:t>
      </w:r>
      <w:r>
        <w:t>”</w:t>
      </w:r>
    </w:p>
    <w:p w14:paraId="1EA27475" w14:textId="587666F8" w:rsidR="00A40F44" w:rsidRDefault="00A40F44" w:rsidP="003539E5">
      <w:pPr>
        <w:pStyle w:val="Quote"/>
      </w:pPr>
      <w:r>
        <w:t xml:space="preserve">It is possible to say that </w:t>
      </w:r>
      <w:r w:rsidR="00F44E30">
        <w:t xml:space="preserve">burning the </w:t>
      </w:r>
      <w:r>
        <w:t>incense precedes the sprinkling of the lamb</w:t>
      </w:r>
      <w:r w:rsidR="00176550">
        <w:t>’</w:t>
      </w:r>
      <w:r>
        <w:t xml:space="preserve">s blood, as it </w:t>
      </w:r>
      <w:r w:rsidR="00E63E4A">
        <w:t xml:space="preserve">already </w:t>
      </w:r>
      <w:proofErr w:type="gramStart"/>
      <w:r w:rsidR="00E63E4A">
        <w:t>says</w:t>
      </w:r>
      <w:proofErr w:type="gramEnd"/>
      <w:r>
        <w:t xml:space="preserve"> </w:t>
      </w:r>
      <w:r w:rsidR="00176550">
        <w:t>“</w:t>
      </w:r>
      <w:r>
        <w:t>the lamb.</w:t>
      </w:r>
      <w:r w:rsidR="00176550">
        <w:t>”</w:t>
      </w:r>
      <w:r>
        <w:t xml:space="preserve"> And it is possible to say that </w:t>
      </w:r>
      <w:r w:rsidR="00E63E4A">
        <w:t xml:space="preserve">[burning] </w:t>
      </w:r>
      <w:r>
        <w:t>the lamb</w:t>
      </w:r>
      <w:r w:rsidR="00176550">
        <w:t>’</w:t>
      </w:r>
      <w:r>
        <w:t xml:space="preserve">s fats </w:t>
      </w:r>
      <w:proofErr w:type="gramStart"/>
      <w:r>
        <w:t>precede</w:t>
      </w:r>
      <w:r w:rsidR="00E63E4A">
        <w:t>s</w:t>
      </w:r>
      <w:proofErr w:type="gramEnd"/>
      <w:r>
        <w:t xml:space="preserve"> the burning of the incense, as </w:t>
      </w:r>
      <w:r w:rsidR="00E63E4A">
        <w:t>it already says</w:t>
      </w:r>
      <w:r>
        <w:t xml:space="preserve"> </w:t>
      </w:r>
      <w:r w:rsidR="00176550">
        <w:t>“</w:t>
      </w:r>
      <w:r>
        <w:t xml:space="preserve">Aaron shall burn </w:t>
      </w:r>
      <w:r w:rsidR="00E63E4A">
        <w:t>sweet</w:t>
      </w:r>
      <w:r>
        <w:t xml:space="preserve"> incense upon it.</w:t>
      </w:r>
      <w:r w:rsidR="00176550">
        <w:t>”</w:t>
      </w:r>
      <w:r>
        <w:t xml:space="preserve"> What does this teach? It teaches that</w:t>
      </w:r>
      <w:r w:rsidR="004F2EF1">
        <w:t xml:space="preserve"> (the lambs)</w:t>
      </w:r>
      <w:r w:rsidR="004F2EF1">
        <w:rPr>
          <w:rStyle w:val="FootnoteReference"/>
        </w:rPr>
        <w:footnoteReference w:id="19"/>
      </w:r>
      <w:r>
        <w:t xml:space="preserve"> </w:t>
      </w:r>
      <w:r w:rsidR="00E20BA6">
        <w:t xml:space="preserve">burning </w:t>
      </w:r>
      <w:r>
        <w:t>the incense is between the sprinkling of its blood and the burning of its fats.</w:t>
      </w:r>
    </w:p>
    <w:p w14:paraId="7EE106A8" w14:textId="4431DD70" w:rsidR="00A40F44" w:rsidRDefault="00A40F44" w:rsidP="003539E5">
      <w:pPr>
        <w:pStyle w:val="Quote"/>
      </w:pPr>
      <w:r>
        <w:t>And we have already merited</w:t>
      </w:r>
      <w:r w:rsidR="00714E37">
        <w:t xml:space="preserve"> [to learn]</w:t>
      </w:r>
      <w:r>
        <w:t xml:space="preserve"> that nothing is offered except on a built arrangement [of wood on the altar]. The verse teaches, </w:t>
      </w:r>
      <w:r w:rsidR="00176550">
        <w:t>“</w:t>
      </w:r>
      <w:r>
        <w:t xml:space="preserve">This is what you shall </w:t>
      </w:r>
      <w:r w:rsidR="005F299F">
        <w:t>offer</w:t>
      </w:r>
      <w:r>
        <w:t xml:space="preserve"> on the altar.</w:t>
      </w:r>
      <w:r w:rsidR="00176550">
        <w:t>”</w:t>
      </w:r>
      <w:r>
        <w:t xml:space="preserve"> If it is to say a built altar, has it not already been said </w:t>
      </w:r>
      <w:r w:rsidR="00176550">
        <w:t>“</w:t>
      </w:r>
      <w:r>
        <w:t>and you shall sacrifice on it</w:t>
      </w:r>
      <w:r w:rsidR="00176550">
        <w:t>”</w:t>
      </w:r>
      <w:r w:rsidR="0067016A">
        <w:t xml:space="preserve"> (Exodus 20:2</w:t>
      </w:r>
      <w:r w:rsidR="00006369">
        <w:t>0)</w:t>
      </w:r>
      <w:r>
        <w:t xml:space="preserve">? What am I fulfilling by saying </w:t>
      </w:r>
      <w:r w:rsidR="00176550">
        <w:t>“</w:t>
      </w:r>
      <w:r>
        <w:t xml:space="preserve">This is what you shall </w:t>
      </w:r>
      <w:r w:rsidR="00006369">
        <w:t>offer on</w:t>
      </w:r>
      <w:r>
        <w:t xml:space="preserve"> the altar</w:t>
      </w:r>
      <w:r w:rsidR="00176550">
        <w:t>”</w:t>
      </w:r>
      <w:r>
        <w:t xml:space="preserve">? Rather, this is the arrangement. From here, that the arrangement precedes all the </w:t>
      </w:r>
      <w:r w:rsidR="0010199E">
        <w:t>rites</w:t>
      </w:r>
      <w:r>
        <w:t>. And the slaughtering of the lamb, then the incense and the sprinkling of its blood, and afterward</w:t>
      </w:r>
      <w:r w:rsidR="0052500C">
        <w:t xml:space="preserve"> incense and the sprinkling of its </w:t>
      </w:r>
      <w:r w:rsidR="008529C5">
        <w:t>b</w:t>
      </w:r>
      <w:r w:rsidR="0052500C">
        <w:t>lood a</w:t>
      </w:r>
      <w:r w:rsidR="00066065">
        <w:t>nd afterward</w:t>
      </w:r>
      <w:r>
        <w:t xml:space="preserve"> the burning of its fats. And so, </w:t>
      </w:r>
      <w:r w:rsidR="00176550">
        <w:t>“</w:t>
      </w:r>
      <w:r>
        <w:t>in the morning.</w:t>
      </w:r>
      <w:r w:rsidR="00176550">
        <w:t>”</w:t>
      </w:r>
    </w:p>
    <w:p w14:paraId="1A7684BC" w14:textId="40FFF781" w:rsidR="00A40F44" w:rsidRDefault="00A40F44" w:rsidP="008B5E50">
      <w:r>
        <w:t xml:space="preserve">The </w:t>
      </w:r>
      <w:proofErr w:type="spellStart"/>
      <w:r w:rsidRPr="00DD77AD">
        <w:rPr>
          <w:i/>
          <w:iCs/>
        </w:rPr>
        <w:t>Sifrei</w:t>
      </w:r>
      <w:proofErr w:type="spellEnd"/>
      <w:r w:rsidRPr="00DD77AD">
        <w:rPr>
          <w:i/>
          <w:iCs/>
        </w:rPr>
        <w:t xml:space="preserve"> </w:t>
      </w:r>
      <w:proofErr w:type="spellStart"/>
      <w:r w:rsidRPr="00DD77AD">
        <w:rPr>
          <w:i/>
          <w:iCs/>
        </w:rPr>
        <w:t>Zuta</w:t>
      </w:r>
      <w:proofErr w:type="spellEnd"/>
      <w:r>
        <w:t xml:space="preserve"> understands that the verb </w:t>
      </w:r>
      <w:r w:rsidR="00176550">
        <w:t>“</w:t>
      </w:r>
      <w:r w:rsidR="00066065">
        <w:t xml:space="preserve">you </w:t>
      </w:r>
      <w:r w:rsidR="002015B7">
        <w:t xml:space="preserve">shall </w:t>
      </w:r>
      <w:r w:rsidR="00066065">
        <w:t>offer</w:t>
      </w:r>
      <w:r w:rsidR="00176550">
        <w:t>”</w:t>
      </w:r>
      <w:r w:rsidR="00066065">
        <w:t xml:space="preserve"> (</w:t>
      </w:r>
      <w:proofErr w:type="spellStart"/>
      <w:r w:rsidR="00066065" w:rsidRPr="00B61F19">
        <w:rPr>
          <w:i/>
          <w:iCs/>
        </w:rPr>
        <w:t>ta</w:t>
      </w:r>
      <w:r w:rsidR="00176550">
        <w:rPr>
          <w:i/>
          <w:iCs/>
        </w:rPr>
        <w:t>’</w:t>
      </w:r>
      <w:r w:rsidR="00F40E6F" w:rsidRPr="00B61F19">
        <w:rPr>
          <w:i/>
          <w:iCs/>
        </w:rPr>
        <w:t>a</w:t>
      </w:r>
      <w:r w:rsidR="00066065" w:rsidRPr="00B61F19">
        <w:rPr>
          <w:i/>
          <w:iCs/>
        </w:rPr>
        <w:t>seh</w:t>
      </w:r>
      <w:proofErr w:type="spellEnd"/>
      <w:r w:rsidR="00066065">
        <w:t>)</w:t>
      </w:r>
      <w:r w:rsidR="005A44E2">
        <w:t>,</w:t>
      </w:r>
      <w:r>
        <w:t xml:space="preserve"> </w:t>
      </w:r>
      <w:r w:rsidR="005A44E2">
        <w:t>whose object is</w:t>
      </w:r>
      <w:r w:rsidR="00A67D99">
        <w:t xml:space="preserve"> the</w:t>
      </w:r>
      <w:r>
        <w:t xml:space="preserve"> </w:t>
      </w:r>
      <w:r w:rsidR="00742474">
        <w:t>d</w:t>
      </w:r>
      <w:r w:rsidR="00871F74">
        <w:t>aily offering</w:t>
      </w:r>
      <w:r w:rsidR="005A44E2">
        <w:t>,</w:t>
      </w:r>
      <w:r>
        <w:t xml:space="preserve"> teaches that it is the first </w:t>
      </w:r>
      <w:r w:rsidR="00F34D39">
        <w:t>rite</w:t>
      </w:r>
      <w:r>
        <w:t xml:space="preserve"> and</w:t>
      </w:r>
      <w:r w:rsidR="00F34D39">
        <w:t xml:space="preserve"> that it</w:t>
      </w:r>
      <w:r>
        <w:t xml:space="preserve"> precedes </w:t>
      </w:r>
      <w:r w:rsidR="00F34D39">
        <w:t xml:space="preserve">even </w:t>
      </w:r>
      <w:r>
        <w:t xml:space="preserve">the incense. </w:t>
      </w:r>
      <w:r w:rsidR="00F34D39">
        <w:t>This reading perhaps</w:t>
      </w:r>
      <w:r>
        <w:t xml:space="preserve"> </w:t>
      </w:r>
      <w:r w:rsidR="00F93A9B">
        <w:t>derives</w:t>
      </w:r>
      <w:r>
        <w:t xml:space="preserve"> from the order of the words in the verse: </w:t>
      </w:r>
      <w:r w:rsidR="00627B2D">
        <w:t xml:space="preserve">in biblical Hebrew, </w:t>
      </w:r>
      <w:r>
        <w:t>the usual order is verb, subject,</w:t>
      </w:r>
      <w:r w:rsidR="00347E74">
        <w:t xml:space="preserve"> and</w:t>
      </w:r>
      <w:r>
        <w:t xml:space="preserve"> object</w:t>
      </w:r>
      <w:r w:rsidR="00347E74">
        <w:t>.</w:t>
      </w:r>
      <w:r>
        <w:t xml:space="preserve"> </w:t>
      </w:r>
      <w:r w:rsidR="00347E74">
        <w:t>D</w:t>
      </w:r>
      <w:r>
        <w:t xml:space="preserve">eviation from this order </w:t>
      </w:r>
      <w:r w:rsidR="00347E74">
        <w:t>signifies</w:t>
      </w:r>
      <w:r>
        <w:t xml:space="preserve"> something. Sometimes it signifies a contrast </w:t>
      </w:r>
      <w:r w:rsidR="00C966F6">
        <w:t>–</w:t>
      </w:r>
      <w:r>
        <w:t xml:space="preserve"> this and not something else (see, for example, Deuteronomy 6:13-14), and so they interpreted the verse here </w:t>
      </w:r>
      <w:r w:rsidR="00176550">
        <w:t>“</w:t>
      </w:r>
      <w:r w:rsidR="00AF52CD" w:rsidRPr="00987501">
        <w:rPr>
          <w:b/>
          <w:bCs/>
        </w:rPr>
        <w:t>The</w:t>
      </w:r>
      <w:r w:rsidR="00AF52CD">
        <w:t xml:space="preserve"> </w:t>
      </w:r>
      <w:r w:rsidR="00AF52CD" w:rsidRPr="00AF52CD">
        <w:rPr>
          <w:b/>
          <w:bCs/>
        </w:rPr>
        <w:t>o</w:t>
      </w:r>
      <w:r w:rsidRPr="00AF52CD">
        <w:rPr>
          <w:b/>
          <w:bCs/>
        </w:rPr>
        <w:t>n</w:t>
      </w:r>
      <w:r w:rsidRPr="00321BF6">
        <w:rPr>
          <w:b/>
          <w:bCs/>
        </w:rPr>
        <w:t>e lamb</w:t>
      </w:r>
      <w:r>
        <w:t xml:space="preserve"> you shall </w:t>
      </w:r>
      <w:r w:rsidR="00C966F6">
        <w:t>offer</w:t>
      </w:r>
      <w:r>
        <w:t xml:space="preserve"> in the morning,</w:t>
      </w:r>
      <w:r w:rsidR="00176550">
        <w:t>”</w:t>
      </w:r>
      <w:r>
        <w:t xml:space="preserve"> and not something else. Another possibility is that the interpretation is based on the superfluous </w:t>
      </w:r>
      <w:r w:rsidR="00AF52CD">
        <w:t>definite article</w:t>
      </w:r>
      <w:r>
        <w:t xml:space="preserve">. </w:t>
      </w:r>
      <w:r w:rsidR="007B271E">
        <w:t>The Torah</w:t>
      </w:r>
      <w:r>
        <w:t xml:space="preserve"> could have written </w:t>
      </w:r>
      <w:r w:rsidR="00176550">
        <w:t>“</w:t>
      </w:r>
      <w:r>
        <w:t xml:space="preserve">One lamb you shall </w:t>
      </w:r>
      <w:r w:rsidR="00987501">
        <w:t>offer</w:t>
      </w:r>
      <w:r>
        <w:t xml:space="preserve"> in the morning.</w:t>
      </w:r>
      <w:r w:rsidR="00176550">
        <w:t>”</w:t>
      </w:r>
      <w:r>
        <w:t xml:space="preserve"> </w:t>
      </w:r>
      <w:r w:rsidR="007B271E">
        <w:t>P</w:t>
      </w:r>
      <w:r>
        <w:t xml:space="preserve">erhaps </w:t>
      </w:r>
      <w:r w:rsidR="007B271E">
        <w:t xml:space="preserve">the authors of this midrash </w:t>
      </w:r>
      <w:r w:rsidR="00CC06E4">
        <w:t>understood</w:t>
      </w:r>
      <w:r>
        <w:t xml:space="preserve"> </w:t>
      </w:r>
      <w:r w:rsidR="007B271E">
        <w:t>the</w:t>
      </w:r>
      <w:r w:rsidR="004D34AB">
        <w:t xml:space="preserve"> use of the definite article, </w:t>
      </w:r>
      <w:r w:rsidR="00176550">
        <w:t>“</w:t>
      </w:r>
      <w:r w:rsidR="004D34AB">
        <w:t>the o</w:t>
      </w:r>
      <w:r>
        <w:t>ne lamb</w:t>
      </w:r>
      <w:r w:rsidR="00176550">
        <w:t>”</w:t>
      </w:r>
      <w:r>
        <w:t xml:space="preserve"> </w:t>
      </w:r>
      <w:r w:rsidR="00E9695E">
        <w:t>(</w:t>
      </w:r>
      <w:r w:rsidR="00610CC8">
        <w:rPr>
          <w:i/>
          <w:iCs/>
        </w:rPr>
        <w:t>’</w:t>
      </w:r>
      <w:r w:rsidR="00E9695E" w:rsidRPr="00E9695E">
        <w:rPr>
          <w:i/>
          <w:iCs/>
        </w:rPr>
        <w:t>et ha-</w:t>
      </w:r>
      <w:proofErr w:type="spellStart"/>
      <w:r w:rsidR="00E9695E" w:rsidRPr="00E9695E">
        <w:rPr>
          <w:i/>
          <w:iCs/>
        </w:rPr>
        <w:t>keves</w:t>
      </w:r>
      <w:proofErr w:type="spellEnd"/>
      <w:r w:rsidR="00E9695E" w:rsidRPr="00E9695E">
        <w:rPr>
          <w:i/>
          <w:iCs/>
        </w:rPr>
        <w:t xml:space="preserve"> ha-</w:t>
      </w:r>
      <w:proofErr w:type="spellStart"/>
      <w:r w:rsidR="00E9695E" w:rsidRPr="00E9695E">
        <w:rPr>
          <w:i/>
          <w:iCs/>
        </w:rPr>
        <w:t>eḥad</w:t>
      </w:r>
      <w:proofErr w:type="spellEnd"/>
      <w:r w:rsidR="00E9695E">
        <w:t xml:space="preserve">) </w:t>
      </w:r>
      <w:r w:rsidR="00CC06E4">
        <w:t xml:space="preserve">to refer </w:t>
      </w:r>
      <w:r w:rsidR="00CC06E4">
        <w:lastRenderedPageBreak/>
        <w:t>specifically to the d</w:t>
      </w:r>
      <w:r w:rsidR="00871F74">
        <w:t>aily offering</w:t>
      </w:r>
      <w:r>
        <w:t xml:space="preserve"> and to </w:t>
      </w:r>
      <w:r w:rsidR="00CC06E4">
        <w:t>indicate that it i</w:t>
      </w:r>
      <w:r>
        <w:t xml:space="preserve">s offered </w:t>
      </w:r>
      <w:r w:rsidR="00CC06E4">
        <w:t xml:space="preserve">first </w:t>
      </w:r>
      <w:r>
        <w:t>in the morning.</w:t>
      </w:r>
      <w:r w:rsidR="00CC06E4">
        <w:rPr>
          <w:rStyle w:val="FootnoteReference"/>
        </w:rPr>
        <w:footnoteReference w:id="20"/>
      </w:r>
      <w:r>
        <w:t xml:space="preserve"> </w:t>
      </w:r>
      <w:r w:rsidR="002A2584">
        <w:t>The</w:t>
      </w:r>
      <w:r>
        <w:t xml:space="preserve"> </w:t>
      </w:r>
      <w:r w:rsidR="00CC06E4">
        <w:t>midrash</w:t>
      </w:r>
      <w:r>
        <w:t xml:space="preserve"> continues</w:t>
      </w:r>
      <w:r w:rsidR="00E83ED6">
        <w:t xml:space="preserve">, considering </w:t>
      </w:r>
      <w:r>
        <w:t xml:space="preserve">whether </w:t>
      </w:r>
      <w:r w:rsidR="00E83ED6">
        <w:t>the precedence</w:t>
      </w:r>
      <w:r w:rsidR="002A2584">
        <w:t xml:space="preserve"> of the daily offering</w:t>
      </w:r>
      <w:r>
        <w:t xml:space="preserve"> is only </w:t>
      </w:r>
      <w:r w:rsidR="002A2584">
        <w:t>with regard to its</w:t>
      </w:r>
      <w:r>
        <w:t xml:space="preserve"> slaughter and the sprinkling of </w:t>
      </w:r>
      <w:r w:rsidR="002A2584">
        <w:t>its</w:t>
      </w:r>
      <w:r>
        <w:t xml:space="preserve"> blood or perhaps even </w:t>
      </w:r>
      <w:r w:rsidR="00027AC6">
        <w:t>applies to</w:t>
      </w:r>
      <w:r>
        <w:t xml:space="preserve"> the burning of the </w:t>
      </w:r>
      <w:r w:rsidR="00027AC6">
        <w:t>animal</w:t>
      </w:r>
      <w:r w:rsidR="00637CF3">
        <w:t>’s parts</w:t>
      </w:r>
      <w:r w:rsidR="008529C5">
        <w:t xml:space="preserve"> on the altar</w:t>
      </w:r>
      <w:r>
        <w:t xml:space="preserve">. The </w:t>
      </w:r>
      <w:r w:rsidR="008529C5">
        <w:t>midrash</w:t>
      </w:r>
      <w:r>
        <w:t xml:space="preserve">, apparently based on the expression </w:t>
      </w:r>
      <w:r w:rsidR="00176550">
        <w:t>“</w:t>
      </w:r>
      <w:r w:rsidR="008529C5">
        <w:t>in the morning, in the morning</w:t>
      </w:r>
      <w:r w:rsidR="00176550">
        <w:t>”</w:t>
      </w:r>
      <w:r w:rsidR="008529C5">
        <w:t xml:space="preserve"> </w:t>
      </w:r>
      <w:r w:rsidR="008529C5">
        <w:t>used</w:t>
      </w:r>
      <w:r w:rsidR="008B5E50">
        <w:t xml:space="preserve"> later</w:t>
      </w:r>
      <w:r>
        <w:t xml:space="preserve"> in the quoted verse (Exodus 30:7), that the incense still has priority </w:t>
      </w:r>
      <w:r w:rsidR="008B5E50">
        <w:t>in that it precedes the burning of the flesh and fat of</w:t>
      </w:r>
      <w:r>
        <w:t xml:space="preserve"> the </w:t>
      </w:r>
      <w:r w:rsidR="008B5E50">
        <w:t>d</w:t>
      </w:r>
      <w:r w:rsidR="00871F74">
        <w:t>aily offering</w:t>
      </w:r>
      <w:r w:rsidR="008B5E50">
        <w:t>.</w:t>
      </w:r>
    </w:p>
    <w:p w14:paraId="4FCED904" w14:textId="650553CF" w:rsidR="00A40F44" w:rsidRPr="00A93B1E" w:rsidRDefault="00A40F44" w:rsidP="004505C6">
      <w:pPr>
        <w:rPr>
          <w:b/>
          <w:bCs/>
        </w:rPr>
      </w:pPr>
      <w:r>
        <w:t>Regarding the arrangement</w:t>
      </w:r>
      <w:r w:rsidR="008B5E50">
        <w:t xml:space="preserve"> of the wood on the altar</w:t>
      </w:r>
      <w:r>
        <w:t>,</w:t>
      </w:r>
      <w:r w:rsidR="00E216AB">
        <w:t xml:space="preserve"> </w:t>
      </w:r>
      <w:r w:rsidR="002A2584">
        <w:t>a</w:t>
      </w:r>
      <w:r w:rsidR="00E216AB">
        <w:t>ccording to</w:t>
      </w:r>
      <w:r>
        <w:t xml:space="preserve"> </w:t>
      </w:r>
      <w:r w:rsidR="00E216AB">
        <w:t>the midrash in</w:t>
      </w:r>
      <w:r>
        <w:t xml:space="preserve"> </w:t>
      </w:r>
      <w:proofErr w:type="spellStart"/>
      <w:r w:rsidRPr="00E216AB">
        <w:rPr>
          <w:i/>
          <w:iCs/>
        </w:rPr>
        <w:t>Sifrei</w:t>
      </w:r>
      <w:proofErr w:type="spellEnd"/>
      <w:r w:rsidRPr="00E216AB">
        <w:rPr>
          <w:i/>
          <w:iCs/>
        </w:rPr>
        <w:t xml:space="preserve"> </w:t>
      </w:r>
      <w:proofErr w:type="spellStart"/>
      <w:r w:rsidRPr="00E216AB">
        <w:rPr>
          <w:i/>
          <w:iCs/>
        </w:rPr>
        <w:t>Zuta</w:t>
      </w:r>
      <w:proofErr w:type="spellEnd"/>
      <w:r>
        <w:t>, it precedes everything</w:t>
      </w:r>
      <w:r w:rsidR="00D25B4D">
        <w:t>,</w:t>
      </w:r>
      <w:r>
        <w:t xml:space="preserve"> </w:t>
      </w:r>
      <w:r w:rsidR="00380F49">
        <w:t>as</w:t>
      </w:r>
      <w:r>
        <w:t xml:space="preserve"> is learned from the verse </w:t>
      </w:r>
      <w:r w:rsidR="00176550">
        <w:t>“</w:t>
      </w:r>
      <w:r w:rsidR="00E943A6">
        <w:t>T</w:t>
      </w:r>
      <w:r w:rsidR="00E943A6" w:rsidRPr="00E943A6">
        <w:t>his is what you shall offer on the altar: two lambs of the first year, day by day continually</w:t>
      </w:r>
      <w:r>
        <w:t>.</w:t>
      </w:r>
      <w:r w:rsidR="00176550">
        <w:t>”</w:t>
      </w:r>
      <w:r>
        <w:t xml:space="preserve"> The order of the </w:t>
      </w:r>
      <w:r w:rsidR="00FD4394">
        <w:t>rites</w:t>
      </w:r>
      <w:r>
        <w:t xml:space="preserve"> according to </w:t>
      </w:r>
      <w:proofErr w:type="spellStart"/>
      <w:r w:rsidRPr="00FD4394">
        <w:rPr>
          <w:i/>
          <w:iCs/>
        </w:rPr>
        <w:t>Sifrei</w:t>
      </w:r>
      <w:proofErr w:type="spellEnd"/>
      <w:r w:rsidRPr="00FD4394">
        <w:rPr>
          <w:i/>
          <w:iCs/>
        </w:rPr>
        <w:t xml:space="preserve"> </w:t>
      </w:r>
      <w:proofErr w:type="spellStart"/>
      <w:r w:rsidRPr="00FD4394">
        <w:rPr>
          <w:i/>
          <w:iCs/>
        </w:rPr>
        <w:t>Zut</w:t>
      </w:r>
      <w:r w:rsidR="00FD4394" w:rsidRPr="00FD4394">
        <w:rPr>
          <w:i/>
          <w:iCs/>
        </w:rPr>
        <w:t>a</w:t>
      </w:r>
      <w:proofErr w:type="spellEnd"/>
      <w:r>
        <w:t xml:space="preserve"> </w:t>
      </w:r>
      <w:proofErr w:type="gramStart"/>
      <w:r>
        <w:t>is:</w:t>
      </w:r>
      <w:proofErr w:type="gramEnd"/>
      <w:r>
        <w:t xml:space="preserve"> </w:t>
      </w:r>
      <w:r w:rsidRPr="00A93B1E">
        <w:rPr>
          <w:b/>
          <w:bCs/>
        </w:rPr>
        <w:t xml:space="preserve">arranging the wood, slaughtering the </w:t>
      </w:r>
      <w:r w:rsidR="00FD4394" w:rsidRPr="00A93B1E">
        <w:rPr>
          <w:b/>
          <w:bCs/>
        </w:rPr>
        <w:t>d</w:t>
      </w:r>
      <w:r w:rsidR="00871F74" w:rsidRPr="00A93B1E">
        <w:rPr>
          <w:b/>
          <w:bCs/>
        </w:rPr>
        <w:t>aily offering</w:t>
      </w:r>
      <w:r w:rsidR="00FD4394" w:rsidRPr="00A93B1E">
        <w:rPr>
          <w:b/>
          <w:bCs/>
        </w:rPr>
        <w:t xml:space="preserve"> and sprinkling it</w:t>
      </w:r>
      <w:r w:rsidRPr="00A93B1E">
        <w:rPr>
          <w:b/>
          <w:bCs/>
        </w:rPr>
        <w:t xml:space="preserve">s blood, burning the incense, </w:t>
      </w:r>
      <w:r w:rsidR="00FD4394" w:rsidRPr="00A93B1E">
        <w:rPr>
          <w:b/>
          <w:bCs/>
        </w:rPr>
        <w:t xml:space="preserve">and </w:t>
      </w:r>
      <w:r w:rsidRPr="00A93B1E">
        <w:rPr>
          <w:b/>
          <w:bCs/>
        </w:rPr>
        <w:t xml:space="preserve">burning the </w:t>
      </w:r>
      <w:r w:rsidR="00FD4394" w:rsidRPr="00A93B1E">
        <w:rPr>
          <w:b/>
          <w:bCs/>
        </w:rPr>
        <w:t xml:space="preserve">flesh of </w:t>
      </w:r>
      <w:r w:rsidR="00A93B1E" w:rsidRPr="00A93B1E">
        <w:rPr>
          <w:b/>
          <w:bCs/>
        </w:rPr>
        <w:t>the d</w:t>
      </w:r>
      <w:r w:rsidR="00871F74" w:rsidRPr="00A93B1E">
        <w:rPr>
          <w:b/>
          <w:bCs/>
        </w:rPr>
        <w:t>aily offering</w:t>
      </w:r>
      <w:r w:rsidR="00A93B1E" w:rsidRPr="00A93B1E">
        <w:rPr>
          <w:b/>
          <w:bCs/>
        </w:rPr>
        <w:t xml:space="preserve"> on the altar</w:t>
      </w:r>
      <w:r w:rsidRPr="00A93B1E">
        <w:rPr>
          <w:b/>
          <w:bCs/>
        </w:rPr>
        <w:t>.</w:t>
      </w:r>
      <w:r w:rsidR="00A93B1E" w:rsidRPr="00A93B1E">
        <w:rPr>
          <w:rStyle w:val="FootnoteReference"/>
        </w:rPr>
        <w:footnoteReference w:id="21"/>
      </w:r>
    </w:p>
    <w:p w14:paraId="0394F643" w14:textId="3B4FDEF6" w:rsidR="00A40F44" w:rsidRDefault="00A40F44" w:rsidP="004505C6">
      <w:r>
        <w:t xml:space="preserve">The </w:t>
      </w:r>
      <w:r w:rsidR="00A93B1E">
        <w:t xml:space="preserve">approach </w:t>
      </w:r>
      <w:r w:rsidR="00A93B1E">
        <w:t xml:space="preserve">of the midrash in </w:t>
      </w:r>
      <w:proofErr w:type="spellStart"/>
      <w:r w:rsidRPr="00A93B1E">
        <w:rPr>
          <w:i/>
          <w:iCs/>
        </w:rPr>
        <w:t>Sifrei</w:t>
      </w:r>
      <w:proofErr w:type="spellEnd"/>
      <w:r w:rsidRPr="00A93B1E">
        <w:rPr>
          <w:i/>
          <w:iCs/>
        </w:rPr>
        <w:t xml:space="preserve"> </w:t>
      </w:r>
      <w:proofErr w:type="spellStart"/>
      <w:r w:rsidRPr="00A93B1E">
        <w:rPr>
          <w:i/>
          <w:iCs/>
        </w:rPr>
        <w:t>Zuta</w:t>
      </w:r>
      <w:proofErr w:type="spellEnd"/>
      <w:r>
        <w:t xml:space="preserve"> is expressed in the Mishnah in </w:t>
      </w:r>
      <w:r w:rsidR="007A28F6">
        <w:t>t</w:t>
      </w:r>
      <w:r>
        <w:t xml:space="preserve">ractate </w:t>
      </w:r>
      <w:proofErr w:type="spellStart"/>
      <w:r w:rsidR="00367CF6" w:rsidRPr="00367CF6">
        <w:rPr>
          <w:i/>
          <w:iCs/>
        </w:rPr>
        <w:t>Tamid</w:t>
      </w:r>
      <w:proofErr w:type="spellEnd"/>
      <w:r>
        <w:t>. Chapter</w:t>
      </w:r>
      <w:r w:rsidR="00845ED4">
        <w:t xml:space="preserve"> 4 </w:t>
      </w:r>
      <w:r w:rsidR="00745004">
        <w:t>concludes with the description of bringing the parts of the daily offer</w:t>
      </w:r>
      <w:r w:rsidR="007F2EC5">
        <w:t>ing</w:t>
      </w:r>
      <w:r w:rsidR="00745004">
        <w:t xml:space="preserve"> to the altar</w:t>
      </w:r>
      <w:r w:rsidR="009238F4">
        <w:t xml:space="preserve"> ramp in preparation for bring</w:t>
      </w:r>
      <w:r w:rsidR="007F2EC5">
        <w:t>ing</w:t>
      </w:r>
      <w:r w:rsidR="009238F4">
        <w:t xml:space="preserve"> them up onto </w:t>
      </w:r>
      <w:r w:rsidR="00D25B4D">
        <w:t xml:space="preserve">the </w:t>
      </w:r>
      <w:r w:rsidR="009238F4">
        <w:t>altar:</w:t>
      </w:r>
    </w:p>
    <w:p w14:paraId="576AE30E" w14:textId="4A90FEFD" w:rsidR="007F2EC5" w:rsidRDefault="00FE3A6E" w:rsidP="00FE3A6E">
      <w:pPr>
        <w:pStyle w:val="Quote"/>
      </w:pPr>
      <w:r>
        <w:t>The</w:t>
      </w:r>
      <w:r w:rsidR="00D37D27">
        <w:t>y</w:t>
      </w:r>
      <w:r>
        <w:t xml:space="preserve"> went and placed them from </w:t>
      </w:r>
      <w:r w:rsidR="00D37D27">
        <w:t>halfway</w:t>
      </w:r>
      <w:r>
        <w:t xml:space="preserve"> up the ramp and </w:t>
      </w:r>
      <w:r w:rsidR="00D37D27">
        <w:t>below</w:t>
      </w:r>
      <w:r>
        <w:t>, on its western side</w:t>
      </w:r>
      <w:r w:rsidR="00341946">
        <w:t>,</w:t>
      </w:r>
      <w:r w:rsidR="00D37D27">
        <w:t xml:space="preserve"> and they salted them and descended and went to the Chamber of Hewn Stone to recite the </w:t>
      </w:r>
      <w:r w:rsidR="00D37D27" w:rsidRPr="00D37D27">
        <w:rPr>
          <w:i/>
          <w:iCs/>
        </w:rPr>
        <w:t>Shema</w:t>
      </w:r>
      <w:r w:rsidR="00D37D27">
        <w:t>.</w:t>
      </w:r>
    </w:p>
    <w:p w14:paraId="1E772807" w14:textId="02294BD4" w:rsidR="00613F07" w:rsidRDefault="00341946" w:rsidP="004505C6">
      <w:r>
        <w:t>Afterward</w:t>
      </w:r>
      <w:r w:rsidR="002E12FE">
        <w:t xml:space="preserve">, in chapters 5-6, the Mishnah first describes the lighting of the lamps and the burning of the incense, and only </w:t>
      </w:r>
      <w:r>
        <w:t>later</w:t>
      </w:r>
      <w:r w:rsidR="002E12FE">
        <w:t xml:space="preserve"> (7:3) the </w:t>
      </w:r>
      <w:r>
        <w:t>bringing</w:t>
      </w:r>
      <w:r w:rsidR="002E12FE">
        <w:t xml:space="preserve"> of the </w:t>
      </w:r>
      <w:r w:rsidR="00E3548C">
        <w:t>parts of the offering</w:t>
      </w:r>
      <w:r>
        <w:t xml:space="preserve"> up on</w:t>
      </w:r>
      <w:r w:rsidR="002E12FE">
        <w:t>to the altar.</w:t>
      </w:r>
      <w:r w:rsidR="00613F07">
        <w:rPr>
          <w:rStyle w:val="FootnoteReference"/>
        </w:rPr>
        <w:footnoteReference w:id="22"/>
      </w:r>
    </w:p>
    <w:p w14:paraId="669B06D0" w14:textId="58BC7B72" w:rsidR="002E12FE" w:rsidRDefault="007A28F6" w:rsidP="004505C6">
      <w:r>
        <w:lastRenderedPageBreak/>
        <w:t>S</w:t>
      </w:r>
      <w:r w:rsidR="002E12FE">
        <w:t xml:space="preserve">everal </w:t>
      </w:r>
      <w:proofErr w:type="spellStart"/>
      <w:r>
        <w:t>m</w:t>
      </w:r>
      <w:r w:rsidR="002E12FE">
        <w:t>ishnayot</w:t>
      </w:r>
      <w:proofErr w:type="spellEnd"/>
      <w:r w:rsidR="002E12FE">
        <w:t xml:space="preserve"> in </w:t>
      </w:r>
      <w:r>
        <w:t>t</w:t>
      </w:r>
      <w:r w:rsidR="002E12FE">
        <w:t xml:space="preserve">ractate </w:t>
      </w:r>
      <w:r w:rsidR="002E12FE" w:rsidRPr="007A28F6">
        <w:rPr>
          <w:i/>
          <w:iCs/>
        </w:rPr>
        <w:t>Yoma</w:t>
      </w:r>
      <w:r w:rsidR="002E12FE">
        <w:t xml:space="preserve"> </w:t>
      </w:r>
      <w:r w:rsidR="000B5ADD">
        <w:t>imply</w:t>
      </w:r>
      <w:r w:rsidR="002E12FE">
        <w:t xml:space="preserve"> that the slaughtering </w:t>
      </w:r>
      <w:r w:rsidR="000B5ADD">
        <w:t xml:space="preserve">and the sprinkling of the blood </w:t>
      </w:r>
      <w:r w:rsidR="002E12FE">
        <w:t xml:space="preserve">of the </w:t>
      </w:r>
      <w:r w:rsidR="000B5ADD">
        <w:t>d</w:t>
      </w:r>
      <w:r w:rsidR="00871F74">
        <w:t>aily offering</w:t>
      </w:r>
      <w:r w:rsidR="002E12FE">
        <w:t xml:space="preserve"> precede the burning of the incense and the preparation of the lamps while </w:t>
      </w:r>
      <w:r w:rsidR="000B5ADD">
        <w:t xml:space="preserve">bringing the parts of </w:t>
      </w:r>
      <w:r w:rsidR="00BA67D6">
        <w:t xml:space="preserve">the </w:t>
      </w:r>
      <w:r w:rsidR="000B5ADD">
        <w:t>da</w:t>
      </w:r>
      <w:r w:rsidR="00871F74">
        <w:t>ily offering</w:t>
      </w:r>
      <w:r w:rsidR="002E12FE">
        <w:t xml:space="preserve"> </w:t>
      </w:r>
      <w:r w:rsidR="000B5ADD">
        <w:t>onto</w:t>
      </w:r>
      <w:r w:rsidR="002E12FE">
        <w:t xml:space="preserve"> the altar is done last. </w:t>
      </w:r>
      <w:r w:rsidR="00414F76" w:rsidRPr="00414F76">
        <w:rPr>
          <w:i/>
          <w:iCs/>
        </w:rPr>
        <w:t>Yoma</w:t>
      </w:r>
      <w:r w:rsidR="00414F76">
        <w:t xml:space="preserve"> 1:2</w:t>
      </w:r>
      <w:r w:rsidR="002E12FE">
        <w:t xml:space="preserve"> describes the </w:t>
      </w:r>
      <w:r w:rsidR="00BA67D6">
        <w:t>rites</w:t>
      </w:r>
      <w:r w:rsidR="002E12FE">
        <w:t xml:space="preserve"> performed by the High Priest during the seven days before Yom Kippur:</w:t>
      </w:r>
    </w:p>
    <w:p w14:paraId="035F012B" w14:textId="7F99D624" w:rsidR="002E12FE" w:rsidRDefault="002E12FE" w:rsidP="00414F76">
      <w:pPr>
        <w:pStyle w:val="Quote"/>
      </w:pPr>
      <w:r>
        <w:t>For all</w:t>
      </w:r>
      <w:r w:rsidR="00414F76">
        <w:t xml:space="preserve"> the</w:t>
      </w:r>
      <w:r>
        <w:t xml:space="preserve"> seven days, he sprinkles the blood, burns the incense, </w:t>
      </w:r>
      <w:r w:rsidR="005141B7">
        <w:t>tends</w:t>
      </w:r>
      <w:r>
        <w:t xml:space="preserve"> the lamps, and offers the head and the leg. And on the other days, if he wishes to </w:t>
      </w:r>
      <w:r w:rsidR="00A13961">
        <w:t>perform the offering</w:t>
      </w:r>
      <w:r>
        <w:t xml:space="preserve">, he </w:t>
      </w:r>
      <w:r w:rsidR="00A13961">
        <w:t>performs the offering</w:t>
      </w:r>
      <w:r>
        <w:t>, for the High Priest offers a portion first and takes a portion first.</w:t>
      </w:r>
    </w:p>
    <w:p w14:paraId="4EDB01A5" w14:textId="20B1D381" w:rsidR="002E12FE" w:rsidRDefault="00A13961" w:rsidP="004505C6">
      <w:r>
        <w:t>A</w:t>
      </w:r>
      <w:r w:rsidR="002E12FE">
        <w:t xml:space="preserve"> </w:t>
      </w:r>
      <w:r w:rsidR="00D34F5F">
        <w:t>straightforward</w:t>
      </w:r>
      <w:r w:rsidR="002E12FE">
        <w:t xml:space="preserve"> </w:t>
      </w:r>
      <w:r w:rsidR="00D34F5F">
        <w:t>reading</w:t>
      </w:r>
      <w:r w:rsidR="002E12FE">
        <w:t xml:space="preserve"> of the </w:t>
      </w:r>
      <w:proofErr w:type="spellStart"/>
      <w:r w:rsidR="00D34F5F">
        <w:t>m</w:t>
      </w:r>
      <w:r w:rsidR="002E12FE">
        <w:t>ishnah</w:t>
      </w:r>
      <w:proofErr w:type="spellEnd"/>
      <w:r w:rsidR="002E12FE">
        <w:t xml:space="preserve"> </w:t>
      </w:r>
      <w:r w:rsidR="00D34F5F">
        <w:t>indicates</w:t>
      </w:r>
      <w:r w:rsidR="002E12FE">
        <w:t xml:space="preserve"> that there is a division between the </w:t>
      </w:r>
      <w:r w:rsidR="00BA67D6">
        <w:t>rites</w:t>
      </w:r>
      <w:r w:rsidR="002E12FE">
        <w:t xml:space="preserve"> of the </w:t>
      </w:r>
      <w:r w:rsidR="00D34F5F">
        <w:t>daily</w:t>
      </w:r>
      <w:r w:rsidR="00871F74">
        <w:t xml:space="preserve"> offering</w:t>
      </w:r>
      <w:r w:rsidR="002E12FE">
        <w:t xml:space="preserve">: the sprinkling of the blood precedes the </w:t>
      </w:r>
      <w:r w:rsidR="002E6400">
        <w:t>incense</w:t>
      </w:r>
      <w:r w:rsidR="002E12FE">
        <w:t xml:space="preserve">, and the </w:t>
      </w:r>
      <w:r w:rsidR="002E6400">
        <w:t>incense</w:t>
      </w:r>
      <w:r w:rsidR="002E12FE">
        <w:t xml:space="preserve"> precedes the preparation of the lamps, and after both, the </w:t>
      </w:r>
      <w:r w:rsidR="00AE11E5">
        <w:t>parts</w:t>
      </w:r>
      <w:r w:rsidR="002E12FE">
        <w:t xml:space="preserve"> of the </w:t>
      </w:r>
      <w:r w:rsidR="00D34F5F">
        <w:t>daily</w:t>
      </w:r>
      <w:r w:rsidR="00871F74">
        <w:t xml:space="preserve"> offering</w:t>
      </w:r>
      <w:r w:rsidR="00AE11E5">
        <w:t xml:space="preserve"> are offered</w:t>
      </w:r>
      <w:r w:rsidR="002E12FE">
        <w:t>.</w:t>
      </w:r>
    </w:p>
    <w:p w14:paraId="6459BA11" w14:textId="054EA9EF" w:rsidR="002E12FE" w:rsidRDefault="001C20C8" w:rsidP="004505C6">
      <w:r>
        <w:t xml:space="preserve">Chapter </w:t>
      </w:r>
      <w:r>
        <w:t>3</w:t>
      </w:r>
      <w:r w:rsidR="002E12FE">
        <w:t xml:space="preserve">, </w:t>
      </w:r>
      <w:proofErr w:type="spellStart"/>
      <w:r>
        <w:t>m</w:t>
      </w:r>
      <w:r w:rsidR="002E12FE">
        <w:t>ishnah</w:t>
      </w:r>
      <w:proofErr w:type="spellEnd"/>
      <w:r w:rsidR="002E12FE">
        <w:t xml:space="preserve"> 3</w:t>
      </w:r>
      <w:r w:rsidR="005A6CE6">
        <w:t xml:space="preserve"> in the same tractate details </w:t>
      </w:r>
      <w:r w:rsidR="002E12FE">
        <w:t>the lotteries</w:t>
      </w:r>
      <w:r w:rsidR="005A6CE6">
        <w:t xml:space="preserve"> that determined which priests performed which rites. </w:t>
      </w:r>
      <w:r w:rsidR="006530A1">
        <w:t xml:space="preserve">This </w:t>
      </w:r>
      <w:proofErr w:type="spellStart"/>
      <w:r w:rsidR="006530A1">
        <w:t>mishna</w:t>
      </w:r>
      <w:proofErr w:type="spellEnd"/>
      <w:r w:rsidR="006530A1">
        <w:t xml:space="preserve"> also </w:t>
      </w:r>
      <w:r w:rsidR="002E12FE">
        <w:t>implie</w:t>
      </w:r>
      <w:r w:rsidR="006530A1">
        <w:t>s</w:t>
      </w:r>
      <w:r w:rsidR="002E12FE">
        <w:t xml:space="preserve"> that the slaughter and sprinkling </w:t>
      </w:r>
      <w:r w:rsidR="006530A1">
        <w:t xml:space="preserve">of the blood of the daily offering </w:t>
      </w:r>
      <w:r w:rsidR="002E12FE">
        <w:t xml:space="preserve">precede the preparation of the lamps and the </w:t>
      </w:r>
      <w:r w:rsidR="000A6E28">
        <w:t xml:space="preserve">rite involving the </w:t>
      </w:r>
      <w:r w:rsidR="00F24C8B">
        <w:t>I</w:t>
      </w:r>
      <w:r w:rsidR="000A6E28">
        <w:t xml:space="preserve">ncense </w:t>
      </w:r>
      <w:r w:rsidR="00F24C8B">
        <w:t>A</w:t>
      </w:r>
      <w:r w:rsidR="000A6E28">
        <w:t>ltar:</w:t>
      </w:r>
    </w:p>
    <w:p w14:paraId="0C00CFEA" w14:textId="0800411B" w:rsidR="002E12FE" w:rsidRDefault="002E12FE" w:rsidP="00601548">
      <w:pPr>
        <w:pStyle w:val="Quote"/>
      </w:pPr>
      <w:r>
        <w:t>The second lottery: Who slaughters, who sprinkles, who cleans the inner altar, who cleans the menorah, and who elevates the limbs to the ramp.</w:t>
      </w:r>
      <w:r w:rsidR="000F5955">
        <w:rPr>
          <w:rStyle w:val="FootnoteReference"/>
        </w:rPr>
        <w:footnoteReference w:id="23"/>
      </w:r>
    </w:p>
    <w:p w14:paraId="0B9C43FA" w14:textId="42039894" w:rsidR="002E12FE" w:rsidRDefault="002E12FE" w:rsidP="004505C6">
      <w:r>
        <w:t xml:space="preserve">Chapter 3, </w:t>
      </w:r>
      <w:proofErr w:type="spellStart"/>
      <w:r w:rsidR="000A6E28">
        <w:t>m</w:t>
      </w:r>
      <w:r>
        <w:t>ishnah</w:t>
      </w:r>
      <w:proofErr w:type="spellEnd"/>
      <w:r>
        <w:t xml:space="preserve"> 4, describes the service of the High Priest on Yom Kippur </w:t>
      </w:r>
      <w:r w:rsidR="006614A2">
        <w:t>and also implies the same order</w:t>
      </w:r>
      <w:r>
        <w:t>:</w:t>
      </w:r>
    </w:p>
    <w:p w14:paraId="6852FFA8" w14:textId="1AB55592" w:rsidR="002E12FE" w:rsidRDefault="002E12FE" w:rsidP="006614A2">
      <w:pPr>
        <w:pStyle w:val="Quote"/>
      </w:pPr>
      <w:r>
        <w:t xml:space="preserve">They spread a sheet of fine </w:t>
      </w:r>
      <w:proofErr w:type="spellStart"/>
      <w:r>
        <w:t>linen</w:t>
      </w:r>
      <w:proofErr w:type="spellEnd"/>
      <w:r>
        <w:t xml:space="preserve"> between him and the people, he undressed, went down, immersed, came up, and dried himself. They brought him the golden </w:t>
      </w:r>
      <w:r w:rsidR="005E5471">
        <w:t>vestments</w:t>
      </w:r>
      <w:r>
        <w:t xml:space="preserve">, and he put them on and sanctified his hands and feet. They brought him the </w:t>
      </w:r>
      <w:r w:rsidR="00D34F5F">
        <w:t>daily</w:t>
      </w:r>
      <w:r w:rsidR="00871F74">
        <w:t xml:space="preserve"> offering</w:t>
      </w:r>
      <w:r>
        <w:t xml:space="preserve">, </w:t>
      </w:r>
      <w:r>
        <w:lastRenderedPageBreak/>
        <w:t xml:space="preserve">he </w:t>
      </w:r>
      <w:r w:rsidR="00A211BE">
        <w:t>cut</w:t>
      </w:r>
      <w:r w:rsidR="006928F3">
        <w:t xml:space="preserve"> it</w:t>
      </w:r>
      <w:r>
        <w:t xml:space="preserve">, and </w:t>
      </w:r>
      <w:r w:rsidR="006928F3">
        <w:t>someone else completed the slaughter for him</w:t>
      </w:r>
      <w:r>
        <w:t xml:space="preserve">. He received the blood and sprinkled it. He entered to burn the morning incense, prepare the lamps, offer the head and the </w:t>
      </w:r>
      <w:r w:rsidR="001E7602">
        <w:t>parts</w:t>
      </w:r>
      <w:r>
        <w:t xml:space="preserve">, the </w:t>
      </w:r>
      <w:proofErr w:type="spellStart"/>
      <w:r w:rsidR="00D529F6" w:rsidRPr="00D529F6">
        <w:rPr>
          <w:i/>
          <w:iCs/>
        </w:rPr>
        <w:t>ḥavitin</w:t>
      </w:r>
      <w:proofErr w:type="spellEnd"/>
      <w:r w:rsidR="00D529F6">
        <w:t xml:space="preserve"> (</w:t>
      </w:r>
      <w:r w:rsidR="00FD65CB">
        <w:t>the High Priest</w:t>
      </w:r>
      <w:r w:rsidR="00176550">
        <w:t>’</w:t>
      </w:r>
      <w:r w:rsidR="00FD65CB">
        <w:t>s bread offering)</w:t>
      </w:r>
      <w:r>
        <w:t>, and the wine.</w:t>
      </w:r>
    </w:p>
    <w:p w14:paraId="35A917DF" w14:textId="2D6E246A" w:rsidR="002E12FE" w:rsidRDefault="0093228F" w:rsidP="004505C6">
      <w:r>
        <w:t>It</w:t>
      </w:r>
      <w:r w:rsidR="002E12FE">
        <w:t xml:space="preserve"> must be admitted that the approach of </w:t>
      </w:r>
      <w:proofErr w:type="spellStart"/>
      <w:r w:rsidR="002E12FE" w:rsidRPr="00FD65CB">
        <w:rPr>
          <w:i/>
          <w:iCs/>
        </w:rPr>
        <w:t>Sifrei</w:t>
      </w:r>
      <w:proofErr w:type="spellEnd"/>
      <w:r w:rsidR="002E12FE" w:rsidRPr="00FD65CB">
        <w:rPr>
          <w:i/>
          <w:iCs/>
        </w:rPr>
        <w:t xml:space="preserve"> </w:t>
      </w:r>
      <w:proofErr w:type="spellStart"/>
      <w:r w:rsidR="002E12FE" w:rsidRPr="00FD65CB">
        <w:rPr>
          <w:i/>
          <w:iCs/>
        </w:rPr>
        <w:t>Zuta</w:t>
      </w:r>
      <w:proofErr w:type="spellEnd"/>
      <w:r w:rsidR="002E12FE">
        <w:t xml:space="preserve"> and the Mishnah seems artificial and somewhat strange. </w:t>
      </w:r>
      <w:r w:rsidR="008178BF">
        <w:t>What is the reason for</w:t>
      </w:r>
      <w:r w:rsidR="00E57318">
        <w:t xml:space="preserve"> the</w:t>
      </w:r>
      <w:r w:rsidR="008178BF">
        <w:t xml:space="preserve"> division of the rite</w:t>
      </w:r>
      <w:r w:rsidR="002E12FE">
        <w:t xml:space="preserve"> of the </w:t>
      </w:r>
      <w:r w:rsidR="00D34F5F">
        <w:t>daily</w:t>
      </w:r>
      <w:r w:rsidR="00871F74">
        <w:t xml:space="preserve"> offering</w:t>
      </w:r>
      <w:r w:rsidR="00312383">
        <w:t xml:space="preserve"> into two parts, with</w:t>
      </w:r>
      <w:r w:rsidR="002E12FE">
        <w:t xml:space="preserve"> the slaughter and sprinkling</w:t>
      </w:r>
      <w:r w:rsidR="00312383">
        <w:t xml:space="preserve"> of the blood</w:t>
      </w:r>
      <w:r w:rsidR="002E12FE">
        <w:t xml:space="preserve"> done first, and the </w:t>
      </w:r>
      <w:r w:rsidR="00085A6B">
        <w:t>bringing of the parts of the offering onto</w:t>
      </w:r>
      <w:r w:rsidR="002E12FE">
        <w:t xml:space="preserve"> the altar, </w:t>
      </w:r>
      <w:r w:rsidR="00085A6B">
        <w:t>reserved for</w:t>
      </w:r>
      <w:r w:rsidR="002E12FE">
        <w:t xml:space="preserve"> last? </w:t>
      </w:r>
      <w:r w:rsidR="00085A6B">
        <w:t>It</w:t>
      </w:r>
      <w:r w:rsidR="002E12FE">
        <w:t xml:space="preserve"> would </w:t>
      </w:r>
      <w:r w:rsidR="00085A6B">
        <w:t xml:space="preserve">be reasonable </w:t>
      </w:r>
      <w:r w:rsidR="00562948">
        <w:t>for a rite to be completed once it was started</w:t>
      </w:r>
      <w:r w:rsidR="002E12FE">
        <w:t xml:space="preserve">, </w:t>
      </w:r>
      <w:r w:rsidR="00E60342">
        <w:t xml:space="preserve">and only then to </w:t>
      </w:r>
      <w:r w:rsidR="002E12FE">
        <w:t xml:space="preserve">move on to the next </w:t>
      </w:r>
      <w:r w:rsidR="00E60342">
        <w:t>rite</w:t>
      </w:r>
      <w:r w:rsidR="002E12FE">
        <w:t xml:space="preserve">. It </w:t>
      </w:r>
      <w:r w:rsidR="00E60342">
        <w:t xml:space="preserve">appears </w:t>
      </w:r>
      <w:r w:rsidR="002E12FE">
        <w:t xml:space="preserve">that the interpretation of </w:t>
      </w:r>
      <w:proofErr w:type="spellStart"/>
      <w:r w:rsidR="002E12FE" w:rsidRPr="00E60342">
        <w:rPr>
          <w:i/>
          <w:iCs/>
        </w:rPr>
        <w:t>Sifrei</w:t>
      </w:r>
      <w:proofErr w:type="spellEnd"/>
      <w:r w:rsidR="002E12FE" w:rsidRPr="00E60342">
        <w:rPr>
          <w:i/>
          <w:iCs/>
        </w:rPr>
        <w:t xml:space="preserve"> </w:t>
      </w:r>
      <w:proofErr w:type="spellStart"/>
      <w:r w:rsidR="002E12FE" w:rsidRPr="00E60342">
        <w:rPr>
          <w:i/>
          <w:iCs/>
        </w:rPr>
        <w:t>Zuta</w:t>
      </w:r>
      <w:proofErr w:type="spellEnd"/>
      <w:r w:rsidR="002E12FE">
        <w:t xml:space="preserve"> is </w:t>
      </w:r>
      <w:r w:rsidR="00E60342">
        <w:t xml:space="preserve">an attempt </w:t>
      </w:r>
      <w:r w:rsidR="002E12FE">
        <w:t xml:space="preserve">to reconcile </w:t>
      </w:r>
      <w:r w:rsidR="00E60342">
        <w:t>the</w:t>
      </w:r>
      <w:r w:rsidR="002E12FE">
        <w:t xml:space="preserve"> </w:t>
      </w:r>
      <w:proofErr w:type="spellStart"/>
      <w:r w:rsidR="002E12FE">
        <w:t>Tannaim</w:t>
      </w:r>
      <w:r w:rsidR="00176550">
        <w:t>’</w:t>
      </w:r>
      <w:r w:rsidR="00230E4D">
        <w:t>s</w:t>
      </w:r>
      <w:proofErr w:type="spellEnd"/>
      <w:r w:rsidR="00230E4D">
        <w:t xml:space="preserve"> assu</w:t>
      </w:r>
      <w:r w:rsidR="00CA3AC8">
        <w:t>m</w:t>
      </w:r>
      <w:r w:rsidR="00230E4D">
        <w:t>ption</w:t>
      </w:r>
      <w:r w:rsidR="002E12FE">
        <w:t xml:space="preserve"> that the expression </w:t>
      </w:r>
      <w:r w:rsidR="00176550">
        <w:t>“</w:t>
      </w:r>
      <w:r w:rsidR="00800A49">
        <w:t>in the morning, in the morning</w:t>
      </w:r>
      <w:r w:rsidR="00176550">
        <w:t>”</w:t>
      </w:r>
      <w:r w:rsidR="00800A49">
        <w:t xml:space="preserve"> (</w:t>
      </w:r>
      <w:proofErr w:type="spellStart"/>
      <w:r w:rsidR="00800A49" w:rsidRPr="00D77CDF">
        <w:rPr>
          <w:i/>
          <w:iCs/>
        </w:rPr>
        <w:t>ba-boqer</w:t>
      </w:r>
      <w:proofErr w:type="spellEnd"/>
      <w:r w:rsidR="00800A49" w:rsidRPr="00D77CDF">
        <w:rPr>
          <w:i/>
          <w:iCs/>
        </w:rPr>
        <w:t xml:space="preserve"> </w:t>
      </w:r>
      <w:proofErr w:type="spellStart"/>
      <w:r w:rsidR="00800A49" w:rsidRPr="00D77CDF">
        <w:rPr>
          <w:i/>
          <w:iCs/>
        </w:rPr>
        <w:t>ba-boqer</w:t>
      </w:r>
      <w:proofErr w:type="spellEnd"/>
      <w:r w:rsidR="00800A49">
        <w:t>)</w:t>
      </w:r>
      <w:r w:rsidR="00CA3AC8">
        <w:t>,</w:t>
      </w:r>
      <w:r w:rsidR="00800A49">
        <w:t xml:space="preserve"> </w:t>
      </w:r>
      <w:r w:rsidR="00226D1F">
        <w:t>used with regard to</w:t>
      </w:r>
      <w:r w:rsidR="002E12FE">
        <w:t xml:space="preserve"> the incense and the lamps</w:t>
      </w:r>
      <w:r w:rsidR="00CA3AC8">
        <w:t>,</w:t>
      </w:r>
      <w:r w:rsidR="002E12FE">
        <w:t xml:space="preserve"> teaches that these </w:t>
      </w:r>
      <w:r w:rsidR="00226D1F">
        <w:t>rites</w:t>
      </w:r>
      <w:r w:rsidR="002E12FE">
        <w:t xml:space="preserve"> should be performed first, </w:t>
      </w:r>
      <w:r w:rsidR="005205B1">
        <w:t>with</w:t>
      </w:r>
      <w:r w:rsidR="002E12FE">
        <w:t xml:space="preserve"> </w:t>
      </w:r>
      <w:r w:rsidR="00CA3AC8">
        <w:t>the assumption of the author of the midrash (</w:t>
      </w:r>
      <w:r w:rsidR="00BA3BFE">
        <w:t xml:space="preserve">about </w:t>
      </w:r>
      <w:r w:rsidR="002E12FE">
        <w:t xml:space="preserve">which of course </w:t>
      </w:r>
      <w:r w:rsidR="00BA3BFE">
        <w:t xml:space="preserve">more </w:t>
      </w:r>
      <w:r w:rsidR="002E12FE">
        <w:t>needs to be understood</w:t>
      </w:r>
      <w:r w:rsidR="00BA3BFE">
        <w:t>)</w:t>
      </w:r>
      <w:r w:rsidR="002E12FE">
        <w:t xml:space="preserve"> that </w:t>
      </w:r>
      <w:r w:rsidR="00BA3BFE">
        <w:t>the</w:t>
      </w:r>
      <w:r w:rsidR="005205B1">
        <w:t xml:space="preserve"> rites</w:t>
      </w:r>
      <w:r w:rsidR="002E12FE">
        <w:t xml:space="preserve"> on the outer altar should precede the </w:t>
      </w:r>
      <w:r w:rsidR="005205B1">
        <w:t>rites</w:t>
      </w:r>
      <w:r w:rsidR="002E12FE">
        <w:t xml:space="preserve"> </w:t>
      </w:r>
      <w:r w:rsidR="005205B1">
        <w:t>in</w:t>
      </w:r>
      <w:r w:rsidR="002E12FE">
        <w:t xml:space="preserve"> the Sanctuary.</w:t>
      </w:r>
    </w:p>
    <w:p w14:paraId="12CE5765" w14:textId="582A41B6" w:rsidR="00DD4C41" w:rsidRDefault="00DD4C41" w:rsidP="00DD4C41">
      <w:pPr>
        <w:pStyle w:val="Heading1"/>
      </w:pPr>
      <w:r>
        <w:t xml:space="preserve">The </w:t>
      </w:r>
      <w:r w:rsidR="00857F0F">
        <w:t>significance</w:t>
      </w:r>
      <w:r>
        <w:t xml:space="preserve"> of the </w:t>
      </w:r>
      <w:r>
        <w:t>d</w:t>
      </w:r>
      <w:r>
        <w:t xml:space="preserve">aily </w:t>
      </w:r>
      <w:r>
        <w:t>o</w:t>
      </w:r>
      <w:r>
        <w:t>ffering</w:t>
      </w:r>
      <w:r>
        <w:t>.</w:t>
      </w:r>
    </w:p>
    <w:p w14:paraId="10FB85DA" w14:textId="4B7A3A80" w:rsidR="00DD4C41" w:rsidRDefault="00DD4C41" w:rsidP="00DD4C41">
      <w:r>
        <w:t xml:space="preserve">The commandment regarding the daily offering appears in both Exodus 29:38-42, as an appendix to the </w:t>
      </w:r>
      <w:r w:rsidR="002D2EC8">
        <w:t xml:space="preserve">detailed commandments of </w:t>
      </w:r>
      <w:r>
        <w:t>the</w:t>
      </w:r>
      <w:r w:rsidR="004B2D6D">
        <w:t xml:space="preserve"> seven-day</w:t>
      </w:r>
      <w:r>
        <w:t xml:space="preserve"> </w:t>
      </w:r>
      <w:r w:rsidR="006A2981">
        <w:t>inauguration</w:t>
      </w:r>
      <w:r>
        <w:t xml:space="preserve"> </w:t>
      </w:r>
      <w:r w:rsidR="004B2D6D">
        <w:t>of the Tabernacle</w:t>
      </w:r>
      <w:r>
        <w:t>, and in Numbers 28:2-6, as the opening to the section on the additional offerings.</w:t>
      </w:r>
      <w:r w:rsidR="000F5955">
        <w:rPr>
          <w:rStyle w:val="FootnoteReference"/>
        </w:rPr>
        <w:footnoteReference w:id="24"/>
      </w:r>
      <w:r>
        <w:t xml:space="preserve"> In both instances, the location of the passage teaches us about the great </w:t>
      </w:r>
      <w:r w:rsidR="00F1517C">
        <w:t>significance</w:t>
      </w:r>
      <w:r>
        <w:t xml:space="preserve"> of this offering. </w:t>
      </w:r>
      <w:r w:rsidR="00F1517C">
        <w:t>T</w:t>
      </w:r>
      <w:r w:rsidR="00F1517C">
        <w:t xml:space="preserve">he passage </w:t>
      </w:r>
      <w:r w:rsidR="00F1517C">
        <w:t>i</w:t>
      </w:r>
      <w:r>
        <w:t xml:space="preserve">n Exodus 29:38-42 appears after the commandment </w:t>
      </w:r>
      <w:r w:rsidR="002D02EA">
        <w:t>of the inauguration days, whose purp</w:t>
      </w:r>
      <w:r w:rsidR="00E22A06">
        <w:t>ose</w:t>
      </w:r>
      <w:r>
        <w:t xml:space="preserve">, as explained in the verses throughout chapter 29, </w:t>
      </w:r>
      <w:r w:rsidR="00E22A06">
        <w:t>was</w:t>
      </w:r>
      <w:r>
        <w:t xml:space="preserve"> to sanctify both the priests and the altar. In the concluding verses</w:t>
      </w:r>
      <w:r w:rsidR="009C7390">
        <w:t xml:space="preserve"> of the chapter</w:t>
      </w:r>
      <w:r>
        <w:t>, a clear connection</w:t>
      </w:r>
      <w:r w:rsidR="00E22A06">
        <w:t xml:space="preserve"> is made</w:t>
      </w:r>
      <w:r>
        <w:t xml:space="preserve"> between the sanctification of the outer altar and the presence of the </w:t>
      </w:r>
      <w:proofErr w:type="spellStart"/>
      <w:r w:rsidR="001615E9" w:rsidRPr="001615E9">
        <w:rPr>
          <w:i/>
          <w:iCs/>
        </w:rPr>
        <w:t>Shekhinah</w:t>
      </w:r>
      <w:proofErr w:type="spellEnd"/>
      <w:r>
        <w:t xml:space="preserve"> </w:t>
      </w:r>
      <w:r w:rsidR="00FC057F">
        <w:t>(divine pre</w:t>
      </w:r>
      <w:r w:rsidR="001615E9">
        <w:t xml:space="preserve">sence) </w:t>
      </w:r>
      <w:r>
        <w:t xml:space="preserve">in the Tabernacle (44-45): </w:t>
      </w:r>
      <w:r w:rsidR="00176550">
        <w:t>“</w:t>
      </w:r>
      <w:r w:rsidR="00271867" w:rsidRPr="00271867">
        <w:t>I will consecrate the tabernacle of meeting and the altar. I will also consecrate both Aaron and his sons to minister to Me as priests. I will dwell among the children of Israel and will be their God.</w:t>
      </w:r>
      <w:r w:rsidR="00176550">
        <w:t>”</w:t>
      </w:r>
      <w:r>
        <w:t xml:space="preserve"> As </w:t>
      </w:r>
      <w:proofErr w:type="spellStart"/>
      <w:r>
        <w:t>Knohl</w:t>
      </w:r>
      <w:proofErr w:type="spellEnd"/>
      <w:r>
        <w:t xml:space="preserve"> </w:t>
      </w:r>
      <w:r w:rsidR="00271867">
        <w:t xml:space="preserve">has </w:t>
      </w:r>
      <w:r>
        <w:t>pointed out,</w:t>
      </w:r>
      <w:r w:rsidR="00271867">
        <w:rPr>
          <w:rStyle w:val="FootnoteReference"/>
        </w:rPr>
        <w:footnoteReference w:id="25"/>
      </w:r>
      <w:r>
        <w:t xml:space="preserve"> </w:t>
      </w:r>
      <w:r w:rsidR="00F834DF">
        <w:t>the appearance of these verse</w:t>
      </w:r>
      <w:r w:rsidR="00FC057F">
        <w:t>s</w:t>
      </w:r>
      <w:r>
        <w:t xml:space="preserve"> after the </w:t>
      </w:r>
      <w:r>
        <w:lastRenderedPageBreak/>
        <w:t>section on the daily offering teach</w:t>
      </w:r>
      <w:r w:rsidR="00F834DF">
        <w:t>es</w:t>
      </w:r>
      <w:r>
        <w:t xml:space="preserve"> that the purpose of the daily offering is to manifest the </w:t>
      </w:r>
      <w:proofErr w:type="spellStart"/>
      <w:r w:rsidR="001615E9" w:rsidRPr="001615E9">
        <w:rPr>
          <w:i/>
          <w:iCs/>
        </w:rPr>
        <w:t>Shekhinah</w:t>
      </w:r>
      <w:proofErr w:type="spellEnd"/>
      <w:r>
        <w:t xml:space="preserve"> in the Tabernacle and to maintain it there. The position of the daily offering passage at the beginning of the section on the additional offerings also highlights the importance of this offering. As Bar-On </w:t>
      </w:r>
      <w:r w:rsidR="00F834DF">
        <w:t>ha</w:t>
      </w:r>
      <w:r w:rsidR="00A81F68">
        <w:t xml:space="preserve">s </w:t>
      </w:r>
      <w:r>
        <w:t>pointed out,</w:t>
      </w:r>
      <w:r w:rsidR="00360645">
        <w:rPr>
          <w:rStyle w:val="FootnoteReference"/>
        </w:rPr>
        <w:footnoteReference w:id="26"/>
      </w:r>
      <w:r>
        <w:t xml:space="preserve"> throughout the entire section on the additional offerings, the Torah repeatedly uses the expression </w:t>
      </w:r>
      <w:r w:rsidR="00176550">
        <w:t>“</w:t>
      </w:r>
      <w:r>
        <w:t>besides the daily burnt offering,</w:t>
      </w:r>
      <w:r w:rsidR="00176550">
        <w:t>”</w:t>
      </w:r>
      <w:r>
        <w:t xml:space="preserve"> </w:t>
      </w:r>
      <w:r w:rsidR="000C1BAE">
        <w:t>indicating</w:t>
      </w:r>
      <w:r>
        <w:t xml:space="preserve"> that the basis for all offerings is the daily offering.</w:t>
      </w:r>
    </w:p>
    <w:p w14:paraId="1C4AAC9A" w14:textId="53FA2C9C" w:rsidR="00DD4C41" w:rsidRDefault="00DD4C41" w:rsidP="00DD4C41">
      <w:r>
        <w:t>The importance of the daily offering is also evident in numerous sources in Second Temple</w:t>
      </w:r>
      <w:r w:rsidR="000711B2">
        <w:t xml:space="preserve"> and Rabbinic</w:t>
      </w:r>
      <w:r>
        <w:t xml:space="preserve"> literature.</w:t>
      </w:r>
      <w:r w:rsidR="000711B2">
        <w:rPr>
          <w:rStyle w:val="FootnoteReference"/>
        </w:rPr>
        <w:footnoteReference w:id="27"/>
      </w:r>
      <w:r>
        <w:t xml:space="preserve"> Josephus describes the risk that the people took during the Roman siege:</w:t>
      </w:r>
    </w:p>
    <w:p w14:paraId="3991CAA9" w14:textId="38C275F2" w:rsidR="00B82F9D" w:rsidRDefault="00B82F9D" w:rsidP="00B82F9D">
      <w:pPr>
        <w:pStyle w:val="Quote"/>
      </w:pPr>
      <w:r>
        <w:t>B</w:t>
      </w:r>
      <w:r w:rsidR="00AE531B" w:rsidRPr="00AE531B">
        <w:t>ut did still twice</w:t>
      </w:r>
      <w:r w:rsidR="004C3CBE">
        <w:t xml:space="preserve"> a </w:t>
      </w:r>
      <w:r w:rsidR="00AE531B" w:rsidRPr="00AE531B">
        <w:t>day, in the morning and about the ninth hour, offer their sacrifices on the altar; nor did they omit those sacrifices, if any melancholy accident happened by the stones that were thrown among them;</w:t>
      </w:r>
      <w:r w:rsidRPr="00B82F9D">
        <w:rPr>
          <w:rStyle w:val="FootnoteReference"/>
        </w:rPr>
        <w:t xml:space="preserve"> </w:t>
      </w:r>
      <w:r>
        <w:rPr>
          <w:rStyle w:val="FootnoteReference"/>
        </w:rPr>
        <w:footnoteReference w:id="28"/>
      </w:r>
    </w:p>
    <w:p w14:paraId="74378167" w14:textId="2869DCC8" w:rsidR="00DD4C41" w:rsidRDefault="00DD4C41" w:rsidP="00DD4C41">
      <w:r>
        <w:t xml:space="preserve">The Mishnah in </w:t>
      </w:r>
      <w:r w:rsidR="005945A7">
        <w:t xml:space="preserve">tractate </w:t>
      </w:r>
      <w:proofErr w:type="spellStart"/>
      <w:r w:rsidRPr="00D23B94">
        <w:rPr>
          <w:i/>
          <w:iCs/>
        </w:rPr>
        <w:t>Ta</w:t>
      </w:r>
      <w:r w:rsidR="00176550">
        <w:rPr>
          <w:i/>
          <w:iCs/>
        </w:rPr>
        <w:t>’</w:t>
      </w:r>
      <w:r w:rsidRPr="00D23B94">
        <w:rPr>
          <w:i/>
          <w:iCs/>
        </w:rPr>
        <w:t>anit</w:t>
      </w:r>
      <w:proofErr w:type="spellEnd"/>
      <w:r>
        <w:t xml:space="preserve"> 4:6 states that among the events that occurred on the 17th of Tammuz which led to the day being established as a fast was the cessation of the daily offering. </w:t>
      </w:r>
      <w:r w:rsidR="004C3CBE">
        <w:t>The comparison of</w:t>
      </w:r>
      <w:r>
        <w:t xml:space="preserve"> the inability to offer the daily sacrifice to the breaking of the Tablets and the breach of the city </w:t>
      </w:r>
      <w:r w:rsidR="004C3CBE">
        <w:t xml:space="preserve">(which the Mishnah </w:t>
      </w:r>
      <w:r w:rsidR="007B5568">
        <w:t xml:space="preserve">reports as also having occurred on that day) </w:t>
      </w:r>
      <w:r>
        <w:t>reveals the great significance of the offering.</w:t>
      </w:r>
      <w:r w:rsidR="007B5568">
        <w:rPr>
          <w:rStyle w:val="FootnoteReference"/>
        </w:rPr>
        <w:footnoteReference w:id="29"/>
      </w:r>
    </w:p>
    <w:p w14:paraId="04DF79CF" w14:textId="1D3DBA07" w:rsidR="005205B1" w:rsidRDefault="007B5568" w:rsidP="00DD4C41">
      <w:r>
        <w:t>A</w:t>
      </w:r>
      <w:r w:rsidR="00DD4C41">
        <w:t xml:space="preserve">gainst this background, we can understand </w:t>
      </w:r>
      <w:r w:rsidR="003F3548">
        <w:t xml:space="preserve">why </w:t>
      </w:r>
      <w:proofErr w:type="spellStart"/>
      <w:r w:rsidR="00DD4C41" w:rsidRPr="007B5568">
        <w:rPr>
          <w:i/>
          <w:iCs/>
        </w:rPr>
        <w:t>Sifrei</w:t>
      </w:r>
      <w:proofErr w:type="spellEnd"/>
      <w:r w:rsidR="00DD4C41" w:rsidRPr="007B5568">
        <w:rPr>
          <w:i/>
          <w:iCs/>
        </w:rPr>
        <w:t xml:space="preserve"> </w:t>
      </w:r>
      <w:proofErr w:type="spellStart"/>
      <w:proofErr w:type="gramStart"/>
      <w:r w:rsidR="00DD4C41" w:rsidRPr="007B5568">
        <w:rPr>
          <w:i/>
          <w:iCs/>
        </w:rPr>
        <w:t>Zuta</w:t>
      </w:r>
      <w:proofErr w:type="spellEnd"/>
      <w:proofErr w:type="gramEnd"/>
      <w:r w:rsidR="00DD4C41">
        <w:t xml:space="preserve"> and </w:t>
      </w:r>
      <w:r>
        <w:t>the Mishnah</w:t>
      </w:r>
      <w:r w:rsidR="00DD4C41">
        <w:t xml:space="preserve"> prioritize </w:t>
      </w:r>
      <w:r w:rsidR="003F3548">
        <w:t xml:space="preserve">at least the sprinkling of </w:t>
      </w:r>
      <w:r w:rsidR="003F3548">
        <w:t>the</w:t>
      </w:r>
      <w:r w:rsidR="003F3548">
        <w:t xml:space="preserve"> blood</w:t>
      </w:r>
      <w:r w:rsidR="003F3548">
        <w:t xml:space="preserve"> of </w:t>
      </w:r>
      <w:r w:rsidR="00DD4C41">
        <w:t xml:space="preserve">the daily offering before the </w:t>
      </w:r>
      <w:r w:rsidR="003F3548">
        <w:t>rites performed inside the Sanctuary</w:t>
      </w:r>
      <w:r w:rsidR="00DD4C41">
        <w:t xml:space="preserve">. The decision to </w:t>
      </w:r>
      <w:r w:rsidR="00C71A6B">
        <w:t>have</w:t>
      </w:r>
      <w:r w:rsidR="00DD4C41">
        <w:t xml:space="preserve"> the slaughter and sprinkling of the</w:t>
      </w:r>
      <w:r w:rsidR="00682F0E">
        <w:t xml:space="preserve"> blood of the</w:t>
      </w:r>
      <w:r w:rsidR="00DD4C41">
        <w:t xml:space="preserve"> daily offering </w:t>
      </w:r>
      <w:r w:rsidR="00C71A6B">
        <w:t>precede</w:t>
      </w:r>
      <w:r w:rsidR="00DD4C41">
        <w:t xml:space="preserve"> the burning of the incense and lighting of the lamps, </w:t>
      </w:r>
      <w:r w:rsidR="00682F0E">
        <w:t>rites</w:t>
      </w:r>
      <w:r w:rsidR="00DD4C41">
        <w:t xml:space="preserve"> related </w:t>
      </w:r>
      <w:r w:rsidR="00DD4C41">
        <w:lastRenderedPageBreak/>
        <w:t>to honoring God in the Tent of Meeting,</w:t>
      </w:r>
      <w:r w:rsidR="00682F0E">
        <w:rPr>
          <w:rStyle w:val="FootnoteReference"/>
        </w:rPr>
        <w:footnoteReference w:id="30"/>
      </w:r>
      <w:r w:rsidR="00DD4C41">
        <w:t xml:space="preserve"> stems from the </w:t>
      </w:r>
      <w:r w:rsidR="0004225B">
        <w:t>conception</w:t>
      </w:r>
      <w:r w:rsidR="00DD4C41">
        <w:t xml:space="preserve"> of the daily offering and the service on the outer altar as the main service in the Temple. This approach, </w:t>
      </w:r>
      <w:r w:rsidR="009A3710">
        <w:t>while accepting</w:t>
      </w:r>
      <w:r w:rsidR="00DD4C41">
        <w:t xml:space="preserve"> the interpretive assumption that </w:t>
      </w:r>
      <w:r w:rsidR="00176550">
        <w:t>“</w:t>
      </w:r>
      <w:r w:rsidR="00F028F4">
        <w:t xml:space="preserve">in the </w:t>
      </w:r>
      <w:r w:rsidR="00DD4C41">
        <w:t>morning</w:t>
      </w:r>
      <w:r w:rsidR="00F028F4">
        <w:t>, in the</w:t>
      </w:r>
      <w:r w:rsidR="00DD4C41">
        <w:t xml:space="preserve"> morning</w:t>
      </w:r>
      <w:r w:rsidR="00176550">
        <w:t>”</w:t>
      </w:r>
      <w:r w:rsidR="00DD4C41">
        <w:t xml:space="preserve"> teaches about </w:t>
      </w:r>
      <w:r w:rsidR="00F028F4">
        <w:t>precedence</w:t>
      </w:r>
      <w:r w:rsidR="00DD4C41">
        <w:t>,</w:t>
      </w:r>
      <w:r w:rsidR="008D4EBC">
        <w:rPr>
          <w:rStyle w:val="FootnoteReference"/>
        </w:rPr>
        <w:footnoteReference w:id="31"/>
      </w:r>
      <w:r w:rsidR="00DD4C41">
        <w:t xml:space="preserve"> sought to place the</w:t>
      </w:r>
      <w:r w:rsidR="008D4EBC">
        <w:t xml:space="preserve"> </w:t>
      </w:r>
      <w:r w:rsidR="00DD4C41">
        <w:t xml:space="preserve">daily offering before the burning of the incense and </w:t>
      </w:r>
      <w:r w:rsidR="00257EEC">
        <w:t xml:space="preserve">tending the </w:t>
      </w:r>
      <w:r w:rsidR="00DD4C41">
        <w:t xml:space="preserve">lamps. Only after the daily offering on the outer altar should one </w:t>
      </w:r>
      <w:r w:rsidR="00257EEC">
        <w:t xml:space="preserve">proceed to </w:t>
      </w:r>
      <w:r w:rsidR="00DD4C41">
        <w:t>the</w:t>
      </w:r>
      <w:r w:rsidR="00257EEC">
        <w:t xml:space="preserve"> rites inside</w:t>
      </w:r>
      <w:r w:rsidR="00DD4C41">
        <w:t>.</w:t>
      </w:r>
    </w:p>
    <w:p w14:paraId="228EE418" w14:textId="6A557686" w:rsidR="006B5A25" w:rsidRDefault="00257EEC" w:rsidP="006B5A25">
      <w:r>
        <w:t>T</w:t>
      </w:r>
      <w:r>
        <w:t>he well-known dispute between the Pharisees and the Sadducees</w:t>
      </w:r>
      <w:r>
        <w:t xml:space="preserve"> </w:t>
      </w:r>
      <w:r w:rsidR="00817DB6">
        <w:t>(</w:t>
      </w:r>
      <w:r w:rsidR="00817DB6">
        <w:t>as well as other sects during the Second Temple period</w:t>
      </w:r>
      <w:r w:rsidR="00817DB6">
        <w:t>)</w:t>
      </w:r>
      <w:r w:rsidR="006B5A25">
        <w:t xml:space="preserve">, whether the </w:t>
      </w:r>
      <w:r w:rsidR="00817DB6">
        <w:t>daily</w:t>
      </w:r>
      <w:r w:rsidR="006B5A25">
        <w:t xml:space="preserve"> offering is funded by public funds</w:t>
      </w:r>
      <w:r w:rsidR="00817DB6" w:rsidRPr="00817DB6">
        <w:t xml:space="preserve"> </w:t>
      </w:r>
      <w:r w:rsidR="00817DB6">
        <w:t>should be noted in this context</w:t>
      </w:r>
      <w:r w:rsidR="006B5A25">
        <w:t>.</w:t>
      </w:r>
      <w:r w:rsidR="00817DB6">
        <w:rPr>
          <w:rStyle w:val="FootnoteReference"/>
        </w:rPr>
        <w:footnoteReference w:id="32"/>
      </w:r>
      <w:r w:rsidR="006B5A25">
        <w:t xml:space="preserve"> Reg</w:t>
      </w:r>
      <w:r w:rsidR="00817DB6">
        <w:t>e</w:t>
      </w:r>
      <w:r w:rsidR="006B5A25">
        <w:t>v</w:t>
      </w:r>
      <w:r w:rsidR="003B1B45">
        <w:rPr>
          <w:rStyle w:val="FootnoteReference"/>
        </w:rPr>
        <w:footnoteReference w:id="33"/>
      </w:r>
      <w:r w:rsidR="006B5A25">
        <w:t xml:space="preserve"> </w:t>
      </w:r>
      <w:r w:rsidR="00817DB6">
        <w:t xml:space="preserve">has </w:t>
      </w:r>
      <w:r w:rsidR="006B5A25">
        <w:t>explained that the Pharisees</w:t>
      </w:r>
      <w:r w:rsidR="00176550">
        <w:t>’</w:t>
      </w:r>
      <w:r w:rsidR="006B5A25">
        <w:t xml:space="preserve"> view, later held by the </w:t>
      </w:r>
      <w:proofErr w:type="spellStart"/>
      <w:r w:rsidR="006B5A25">
        <w:t>Tannaim</w:t>
      </w:r>
      <w:proofErr w:type="spellEnd"/>
      <w:r w:rsidR="006B5A25">
        <w:t xml:space="preserve">, is that the </w:t>
      </w:r>
      <w:proofErr w:type="spellStart"/>
      <w:r w:rsidR="00821646">
        <w:rPr>
          <w:i/>
          <w:iCs/>
        </w:rPr>
        <w:t>Shekhinah</w:t>
      </w:r>
      <w:r w:rsidR="00176550">
        <w:t>’</w:t>
      </w:r>
      <w:r w:rsidR="006B5A25">
        <w:t>s</w:t>
      </w:r>
      <w:proofErr w:type="spellEnd"/>
      <w:r w:rsidR="006B5A25">
        <w:t xml:space="preserve"> dwelling </w:t>
      </w:r>
      <w:r w:rsidR="00AB0617">
        <w:t xml:space="preserve">in the Temple </w:t>
      </w:r>
      <w:r w:rsidR="00544700">
        <w:t xml:space="preserve">as established </w:t>
      </w:r>
      <w:r w:rsidR="00511564">
        <w:t>through</w:t>
      </w:r>
      <w:r w:rsidR="006B5A25">
        <w:t xml:space="preserve"> the </w:t>
      </w:r>
      <w:r w:rsidR="00AB0617">
        <w:t>daily</w:t>
      </w:r>
      <w:r w:rsidR="006B5A25">
        <w:t xml:space="preserve"> offering</w:t>
      </w:r>
      <w:r w:rsidR="00511564">
        <w:t xml:space="preserve"> (</w:t>
      </w:r>
      <w:r w:rsidR="006B5A25">
        <w:t xml:space="preserve">as </w:t>
      </w:r>
      <w:r w:rsidR="00AB0617">
        <w:t xml:space="preserve">can be </w:t>
      </w:r>
      <w:r w:rsidR="006B5A25">
        <w:t>inferred from the verses in Exodus 29</w:t>
      </w:r>
      <w:r w:rsidR="00511564">
        <w:t>)</w:t>
      </w:r>
      <w:r w:rsidR="006B5A25">
        <w:t xml:space="preserve">, </w:t>
      </w:r>
      <w:r w:rsidR="004F2440">
        <w:t>depends up</w:t>
      </w:r>
      <w:r w:rsidR="006B5A25">
        <w:t>on the partnership of the entire nation</w:t>
      </w:r>
      <w:r w:rsidR="004F2440">
        <w:t xml:space="preserve"> in the offering</w:t>
      </w:r>
      <w:r w:rsidR="006B5A25">
        <w:t xml:space="preserve">, </w:t>
      </w:r>
      <w:r w:rsidR="004F2440">
        <w:t>which therefore can</w:t>
      </w:r>
      <w:r w:rsidR="006B5A25">
        <w:t xml:space="preserve">not </w:t>
      </w:r>
      <w:r w:rsidR="004F2440">
        <w:t>be a</w:t>
      </w:r>
      <w:r w:rsidR="006B5A25">
        <w:t xml:space="preserve"> donation </w:t>
      </w:r>
      <w:r w:rsidR="004F2440">
        <w:t>from an</w:t>
      </w:r>
      <w:r w:rsidR="006B5A25">
        <w:t xml:space="preserve"> individual, </w:t>
      </w:r>
      <w:r w:rsidR="004F2440">
        <w:t>either</w:t>
      </w:r>
      <w:r w:rsidR="006B5A25">
        <w:t xml:space="preserve"> Israelites or priests. Indeed, as </w:t>
      </w:r>
      <w:proofErr w:type="spellStart"/>
      <w:r w:rsidR="006B5A25">
        <w:t>Knohl</w:t>
      </w:r>
      <w:proofErr w:type="spellEnd"/>
      <w:r w:rsidR="006B5A25">
        <w:t xml:space="preserve"> </w:t>
      </w:r>
      <w:r w:rsidR="00420FF7">
        <w:t xml:space="preserve">has </w:t>
      </w:r>
      <w:r w:rsidR="006B5A25">
        <w:t>pointed out,</w:t>
      </w:r>
      <w:r w:rsidR="00420FF7">
        <w:rPr>
          <w:rStyle w:val="FootnoteReference"/>
        </w:rPr>
        <w:footnoteReference w:id="34"/>
      </w:r>
      <w:r w:rsidR="006B5A25">
        <w:t xml:space="preserve"> the verses in Exodus 29:44-45 </w:t>
      </w:r>
      <w:r w:rsidR="00420FF7">
        <w:t>depict</w:t>
      </w:r>
      <w:r w:rsidR="006B5A25">
        <w:t xml:space="preserve"> the </w:t>
      </w:r>
      <w:proofErr w:type="spellStart"/>
      <w:r w:rsidR="00341D32" w:rsidRPr="00341D32">
        <w:rPr>
          <w:i/>
          <w:iCs/>
        </w:rPr>
        <w:t>Shek</w:t>
      </w:r>
      <w:r w:rsidR="00BA3DF4">
        <w:rPr>
          <w:i/>
          <w:iCs/>
        </w:rPr>
        <w:t>h</w:t>
      </w:r>
      <w:r w:rsidR="00341D32" w:rsidRPr="00341D32">
        <w:rPr>
          <w:i/>
          <w:iCs/>
        </w:rPr>
        <w:t>inah</w:t>
      </w:r>
      <w:proofErr w:type="spellEnd"/>
      <w:r w:rsidR="00420FF7">
        <w:t xml:space="preserve"> residing in the Taber</w:t>
      </w:r>
      <w:r w:rsidR="000A1DA4">
        <w:t>n</w:t>
      </w:r>
      <w:r w:rsidR="00420FF7">
        <w:t xml:space="preserve">acle before </w:t>
      </w:r>
      <w:r w:rsidR="006B5A25">
        <w:t xml:space="preserve">all of Israel, not just Moses. These matters are undoubtedly connected to the </w:t>
      </w:r>
      <w:proofErr w:type="spellStart"/>
      <w:r w:rsidR="006B5A25">
        <w:lastRenderedPageBreak/>
        <w:t>Tannaim</w:t>
      </w:r>
      <w:r w:rsidR="00176550">
        <w:t>’</w:t>
      </w:r>
      <w:r w:rsidR="006B5A25">
        <w:t>s</w:t>
      </w:r>
      <w:proofErr w:type="spellEnd"/>
      <w:r w:rsidR="006B5A25">
        <w:t xml:space="preserve"> general </w:t>
      </w:r>
      <w:r w:rsidR="00420FF7">
        <w:t>tendency</w:t>
      </w:r>
      <w:r w:rsidR="006B5A25">
        <w:t xml:space="preserve"> </w:t>
      </w:r>
      <w:r w:rsidR="00420FF7">
        <w:t>to involve</w:t>
      </w:r>
      <w:r w:rsidR="006B5A25">
        <w:t xml:space="preserve"> the people in the Temple.</w:t>
      </w:r>
      <w:commentRangeStart w:id="5"/>
      <w:r w:rsidR="003E4432">
        <w:rPr>
          <w:rStyle w:val="FootnoteReference"/>
        </w:rPr>
        <w:footnoteReference w:id="35"/>
      </w:r>
      <w:commentRangeEnd w:id="5"/>
      <w:r w:rsidR="00EB41D9">
        <w:rPr>
          <w:rStyle w:val="CommentReference"/>
        </w:rPr>
        <w:commentReference w:id="5"/>
      </w:r>
      <w:r w:rsidR="006B5A25">
        <w:t xml:space="preserve"> Therefore, the </w:t>
      </w:r>
      <w:r w:rsidR="003E4432">
        <w:t>fact</w:t>
      </w:r>
      <w:r w:rsidR="006B5A25">
        <w:t xml:space="preserve"> that many </w:t>
      </w:r>
      <w:proofErr w:type="spellStart"/>
      <w:r w:rsidR="006B5A25">
        <w:t>Tannaim</w:t>
      </w:r>
      <w:proofErr w:type="spellEnd"/>
      <w:r w:rsidR="006B5A25">
        <w:t xml:space="preserve"> </w:t>
      </w:r>
      <w:r w:rsidR="003E4432">
        <w:t xml:space="preserve">sought </w:t>
      </w:r>
      <w:r w:rsidR="006B5A25">
        <w:t xml:space="preserve">to </w:t>
      </w:r>
      <w:r w:rsidR="00D777EB">
        <w:t>ensure that the daily</w:t>
      </w:r>
      <w:r w:rsidR="006B5A25">
        <w:t xml:space="preserve"> offering </w:t>
      </w:r>
      <w:r w:rsidR="00D777EB">
        <w:t xml:space="preserve">was brought </w:t>
      </w:r>
      <w:r w:rsidR="006B5A25">
        <w:t>before the</w:t>
      </w:r>
      <w:r w:rsidR="00D777EB">
        <w:t xml:space="preserve"> rites performed inside the Sanctuary</w:t>
      </w:r>
      <w:r w:rsidR="006B5A25">
        <w:t xml:space="preserve"> is also related to the </w:t>
      </w:r>
      <w:r w:rsidR="00D777EB">
        <w:t>tendency</w:t>
      </w:r>
      <w:r w:rsidR="006B5A25">
        <w:t xml:space="preserve"> of including the people in the Temple</w:t>
      </w:r>
      <w:r w:rsidR="009A64CA">
        <w:t xml:space="preserve"> service.</w:t>
      </w:r>
    </w:p>
    <w:p w14:paraId="663EF5F6" w14:textId="37FA5D17" w:rsidR="00316878" w:rsidRDefault="00316878" w:rsidP="00316878">
      <w:pPr>
        <w:pStyle w:val="Heading1"/>
      </w:pPr>
      <w:r>
        <w:t xml:space="preserve">The </w:t>
      </w:r>
      <w:r>
        <w:t>c</w:t>
      </w:r>
      <w:r>
        <w:t xml:space="preserve">oncept of </w:t>
      </w:r>
      <w:r>
        <w:t>h</w:t>
      </w:r>
      <w:r>
        <w:t xml:space="preserve">oliness in Tannaitic </w:t>
      </w:r>
      <w:proofErr w:type="gramStart"/>
      <w:r>
        <w:t>t</w:t>
      </w:r>
      <w:r>
        <w:t>hought</w:t>
      </w:r>
      <w:proofErr w:type="gramEnd"/>
    </w:p>
    <w:p w14:paraId="186EC3E6" w14:textId="35D9E5DB" w:rsidR="00316878" w:rsidRDefault="00316878" w:rsidP="001242F2">
      <w:r>
        <w:t xml:space="preserve">Many </w:t>
      </w:r>
      <w:r w:rsidR="006B2A5C">
        <w:t>scholars</w:t>
      </w:r>
      <w:commentRangeStart w:id="6"/>
      <w:r w:rsidR="00843077">
        <w:rPr>
          <w:rStyle w:val="FootnoteReference"/>
        </w:rPr>
        <w:footnoteReference w:id="36"/>
      </w:r>
      <w:commentRangeEnd w:id="6"/>
      <w:r w:rsidR="000D0860">
        <w:rPr>
          <w:rStyle w:val="CommentReference"/>
        </w:rPr>
        <w:commentReference w:id="6"/>
      </w:r>
      <w:r>
        <w:t xml:space="preserve"> have pointed out that in the priestly parts of the Torah, </w:t>
      </w:r>
      <w:r w:rsidR="006079D3">
        <w:t xml:space="preserve">God </w:t>
      </w:r>
      <w:r w:rsidR="006079D3">
        <w:t>is conceived as</w:t>
      </w:r>
      <w:r>
        <w:t xml:space="preserve"> literally dwell</w:t>
      </w:r>
      <w:r w:rsidR="006079D3">
        <w:t>ing</w:t>
      </w:r>
      <w:r>
        <w:t xml:space="preserve"> in the Temple, and the purpose of the sacrifices is to ensure the </w:t>
      </w:r>
      <w:r w:rsidR="008668D6">
        <w:t xml:space="preserve">ongoing </w:t>
      </w:r>
      <w:r w:rsidR="007E6405">
        <w:t>residence</w:t>
      </w:r>
      <w:r>
        <w:t xml:space="preserve"> of the </w:t>
      </w:r>
      <w:proofErr w:type="spellStart"/>
      <w:r w:rsidR="00821646">
        <w:rPr>
          <w:i/>
          <w:iCs/>
        </w:rPr>
        <w:t>Shekhinah</w:t>
      </w:r>
      <w:proofErr w:type="spellEnd"/>
      <w:r>
        <w:t xml:space="preserve"> there. </w:t>
      </w:r>
      <w:r w:rsidR="000B3982">
        <w:t>T</w:t>
      </w:r>
      <w:r w:rsidR="000B3982">
        <w:t xml:space="preserve">he many prohibitions regarding </w:t>
      </w:r>
      <w:r w:rsidR="00AF1C16">
        <w:t>inappropriate contact with the sacred</w:t>
      </w:r>
      <w:r w:rsidR="00CB1739">
        <w:t xml:space="preserve"> and the</w:t>
      </w:r>
      <w:r w:rsidR="000B3982">
        <w:t xml:space="preserve"> commandments about human </w:t>
      </w:r>
      <w:r w:rsidR="00CB1739">
        <w:t xml:space="preserve">sanctity </w:t>
      </w:r>
      <w:r w:rsidR="000B3982">
        <w:t xml:space="preserve">and </w:t>
      </w:r>
      <w:r w:rsidR="00CB1739">
        <w:t xml:space="preserve">the sanctity of </w:t>
      </w:r>
      <w:r w:rsidR="001242F2">
        <w:t>space have been understood in this light.</w:t>
      </w:r>
    </w:p>
    <w:p w14:paraId="230758BE" w14:textId="6ECDB435" w:rsidR="006B5A25" w:rsidRDefault="00316878" w:rsidP="00316878">
      <w:r>
        <w:t xml:space="preserve">In contrast, in Deuteronomy, as Moshe </w:t>
      </w:r>
      <w:proofErr w:type="spellStart"/>
      <w:r>
        <w:t>Weinfeld</w:t>
      </w:r>
      <w:proofErr w:type="spellEnd"/>
      <w:r w:rsidR="00B352B5">
        <w:t xml:space="preserve"> has pointed out in detail</w:t>
      </w:r>
      <w:r>
        <w:t>,</w:t>
      </w:r>
      <w:r w:rsidR="00BB23B6">
        <w:rPr>
          <w:rStyle w:val="FootnoteReference"/>
        </w:rPr>
        <w:footnoteReference w:id="37"/>
      </w:r>
      <w:r>
        <w:t xml:space="preserve"> </w:t>
      </w:r>
      <w:r w:rsidR="00B352B5">
        <w:t xml:space="preserve">has </w:t>
      </w:r>
      <w:r>
        <w:t xml:space="preserve">a different concept </w:t>
      </w:r>
      <w:r w:rsidR="00B352B5">
        <w:t>of holiness</w:t>
      </w:r>
      <w:r>
        <w:t xml:space="preserve">: the Book of Deuteronomy diminishes the importance of worship in the Temple and limits it. </w:t>
      </w:r>
      <w:r w:rsidR="001D670B">
        <w:t>While</w:t>
      </w:r>
      <w:r>
        <w:t xml:space="preserve"> it emphasizes the concentration </w:t>
      </w:r>
      <w:r w:rsidR="008668D6">
        <w:t xml:space="preserve">of the </w:t>
      </w:r>
      <w:r w:rsidR="001D670B">
        <w:t>sacrificial service to one place</w:t>
      </w:r>
      <w:r>
        <w:t xml:space="preserve">, it completely lacks positive commandments related to the Temple, such as public sacrifices, daily Temple service, </w:t>
      </w:r>
      <w:commentRangeStart w:id="7"/>
      <w:r>
        <w:t xml:space="preserve">and </w:t>
      </w:r>
      <w:r w:rsidR="001E6131">
        <w:t xml:space="preserve">a reverent </w:t>
      </w:r>
      <w:r w:rsidR="00CA3F3D">
        <w:t>attitude to</w:t>
      </w:r>
      <w:r>
        <w:t xml:space="preserve"> </w:t>
      </w:r>
      <w:r>
        <w:lastRenderedPageBreak/>
        <w:t>the Temple</w:t>
      </w:r>
      <w:commentRangeEnd w:id="7"/>
      <w:r w:rsidR="00CA3F3D">
        <w:rPr>
          <w:rStyle w:val="CommentReference"/>
        </w:rPr>
        <w:commentReference w:id="7"/>
      </w:r>
      <w:r>
        <w:t xml:space="preserve">. </w:t>
      </w:r>
      <w:proofErr w:type="spellStart"/>
      <w:r>
        <w:t>Weinfeld</w:t>
      </w:r>
      <w:proofErr w:type="spellEnd"/>
      <w:r>
        <w:t xml:space="preserve"> and </w:t>
      </w:r>
      <w:r w:rsidR="004C00B6">
        <w:t>the scholars</w:t>
      </w:r>
      <w:r>
        <w:t xml:space="preserve"> who followed him</w:t>
      </w:r>
      <w:r w:rsidR="009B7E8E">
        <w:rPr>
          <w:rStyle w:val="FootnoteReference"/>
        </w:rPr>
        <w:footnoteReference w:id="38"/>
      </w:r>
      <w:r>
        <w:t xml:space="preserve"> </w:t>
      </w:r>
      <w:r w:rsidR="008B74C9">
        <w:t xml:space="preserve">argue that </w:t>
      </w:r>
      <w:r>
        <w:t>according to Deuteronomy, holiness results from God</w:t>
      </w:r>
      <w:r w:rsidR="00176550">
        <w:t>’</w:t>
      </w:r>
      <w:r>
        <w:t>s choice of His people, and ritual is not necessary to maintain it</w:t>
      </w:r>
      <w:r w:rsidR="00F162C9">
        <w:t xml:space="preserve"> the way it is in the Priestly</w:t>
      </w:r>
      <w:r w:rsidR="00051BA4">
        <w:t xml:space="preserve"> Code</w:t>
      </w:r>
      <w:r>
        <w:t xml:space="preserve">. According to Deuteronomy, God does not dwell in the Temple but in heaven (Deuteronomy 26:15), and </w:t>
      </w:r>
      <w:r w:rsidR="00AC34CA">
        <w:t>the people are of greater significance than</w:t>
      </w:r>
      <w:r>
        <w:t xml:space="preserve"> the priesthood</w:t>
      </w:r>
      <w:r w:rsidR="00CF2E17">
        <w:t xml:space="preserve">. It is the people as a whole </w:t>
      </w:r>
      <w:r>
        <w:t xml:space="preserve">who are obligated to keep the covenant by fulfilling the commandments. Holiness in Deuteronomy is </w:t>
      </w:r>
      <w:r w:rsidR="00A41590">
        <w:t xml:space="preserve">the </w:t>
      </w:r>
      <w:r w:rsidR="00D7760E">
        <w:t>point of departure</w:t>
      </w:r>
      <w:r>
        <w:t>, and keeping the commandments is its implication.</w:t>
      </w:r>
      <w:r w:rsidR="00D7760E">
        <w:rPr>
          <w:rStyle w:val="FootnoteReference"/>
        </w:rPr>
        <w:footnoteReference w:id="39"/>
      </w:r>
      <w:r>
        <w:t xml:space="preserve"> </w:t>
      </w:r>
      <w:r w:rsidR="005F1B28">
        <w:t>From this perspective</w:t>
      </w:r>
      <w:r>
        <w:t xml:space="preserve">, desecration of the Holy is not central because holiness is not perceived as a concrete </w:t>
      </w:r>
      <w:r w:rsidR="00E63C6A">
        <w:t>entity</w:t>
      </w:r>
      <w:r>
        <w:t xml:space="preserve"> but as a concept that </w:t>
      </w:r>
      <w:commentRangeStart w:id="8"/>
      <w:r w:rsidR="003444E7">
        <w:t>expresses</w:t>
      </w:r>
      <w:r>
        <w:t xml:space="preserve"> </w:t>
      </w:r>
      <w:commentRangeEnd w:id="8"/>
      <w:r w:rsidR="003444E7">
        <w:rPr>
          <w:rStyle w:val="CommentReference"/>
        </w:rPr>
        <w:commentReference w:id="8"/>
      </w:r>
      <w:r>
        <w:t>God</w:t>
      </w:r>
      <w:r w:rsidR="00176550">
        <w:t>’</w:t>
      </w:r>
      <w:r>
        <w:t xml:space="preserve">s choice of His people. </w:t>
      </w:r>
      <w:proofErr w:type="spellStart"/>
      <w:r>
        <w:t>Eyal</w:t>
      </w:r>
      <w:proofErr w:type="spellEnd"/>
      <w:r>
        <w:t xml:space="preserve"> Reg</w:t>
      </w:r>
      <w:r w:rsidR="00E63C6A">
        <w:t>e</w:t>
      </w:r>
      <w:r>
        <w:t>v</w:t>
      </w:r>
      <w:r w:rsidR="00A02F6F">
        <w:rPr>
          <w:rStyle w:val="FootnoteReference"/>
        </w:rPr>
        <w:footnoteReference w:id="40"/>
      </w:r>
      <w:r>
        <w:t xml:space="preserve"> </w:t>
      </w:r>
      <w:r w:rsidR="003444E7">
        <w:t xml:space="preserve">has </w:t>
      </w:r>
      <w:r>
        <w:t xml:space="preserve">proposed defining the difference between the Priestly Code and Deuteronomy using the terms </w:t>
      </w:r>
      <w:r w:rsidR="00176550">
        <w:t>‘</w:t>
      </w:r>
      <w:r>
        <w:t>dynamic holiness</w:t>
      </w:r>
      <w:r w:rsidR="00176550">
        <w:t>’</w:t>
      </w:r>
      <w:r>
        <w:t xml:space="preserve"> and </w:t>
      </w:r>
      <w:r w:rsidR="00176550">
        <w:t>‘</w:t>
      </w:r>
      <w:r>
        <w:t>static holiness</w:t>
      </w:r>
      <w:proofErr w:type="gramStart"/>
      <w:r w:rsidR="00176550">
        <w:t>’</w:t>
      </w:r>
      <w:r>
        <w:t>.</w:t>
      </w:r>
      <w:proofErr w:type="gramEnd"/>
      <w:r>
        <w:t xml:space="preserve"> According to him, the Priestly Code</w:t>
      </w:r>
      <w:r w:rsidR="002F6837">
        <w:t xml:space="preserve"> </w:t>
      </w:r>
      <w:r w:rsidR="0049338D">
        <w:t xml:space="preserve">understood holiness as dynamic, as something </w:t>
      </w:r>
      <w:r>
        <w:t xml:space="preserve">that can be easily harmed </w:t>
      </w:r>
      <w:r w:rsidR="0049338D">
        <w:t>or</w:t>
      </w:r>
      <w:r>
        <w:t xml:space="preserve"> desecrated, and therefore must be carefully protected. In contrast, Deuteronomy </w:t>
      </w:r>
      <w:r w:rsidR="0049338D">
        <w:t>conceives of</w:t>
      </w:r>
      <w:r>
        <w:t xml:space="preserve"> holiness </w:t>
      </w:r>
      <w:r w:rsidR="0049338D">
        <w:t>as</w:t>
      </w:r>
      <w:r>
        <w:t xml:space="preserve"> static, fixed, and unchanging due to God</w:t>
      </w:r>
      <w:r w:rsidR="00176550">
        <w:t>’</w:t>
      </w:r>
      <w:r>
        <w:t>s decision. As a result, it is less dangerous and more accessible. Holiness in Deuteronomy is given, resulting from the covenant between man and God, while in the Priestly Code, it is the ultimate goal of all worship. Reg</w:t>
      </w:r>
      <w:r w:rsidR="00CE3E6B">
        <w:t>e</w:t>
      </w:r>
      <w:r>
        <w:t xml:space="preserve">v sees this </w:t>
      </w:r>
      <w:r w:rsidR="005B70AC">
        <w:t xml:space="preserve">difference </w:t>
      </w:r>
      <w:r>
        <w:t xml:space="preserve">as an expression of two different religious views regarding the relationship between God and man: the Priestly Code expresses an ontological view </w:t>
      </w:r>
      <w:r w:rsidR="00963971">
        <w:t>of</w:t>
      </w:r>
      <w:r>
        <w:t xml:space="preserve"> the relationship between God and man, such that human actions have a direct influence on reality and nature. In contrast, Deuteronomy </w:t>
      </w:r>
      <w:r w:rsidR="00110B2E">
        <w:t>expresses</w:t>
      </w:r>
      <w:r>
        <w:t xml:space="preserve"> a deontological view, whereby human and divine relationships are primarily based on God</w:t>
      </w:r>
      <w:r w:rsidR="00176550">
        <w:t>’</w:t>
      </w:r>
      <w:r>
        <w:t>s command and human obedience, and human actions do not directly influence spiritual reality.</w:t>
      </w:r>
    </w:p>
    <w:p w14:paraId="05E69B6A" w14:textId="01701377" w:rsidR="00027E44" w:rsidRDefault="00027E44" w:rsidP="00027E44">
      <w:r>
        <w:t>Reg</w:t>
      </w:r>
      <w:r w:rsidR="00110B2E">
        <w:t>e</w:t>
      </w:r>
      <w:r>
        <w:t>v</w:t>
      </w:r>
      <w:commentRangeStart w:id="9"/>
      <w:r w:rsidR="00110B2E">
        <w:rPr>
          <w:rStyle w:val="FootnoteReference"/>
        </w:rPr>
        <w:footnoteReference w:id="41"/>
      </w:r>
      <w:commentRangeEnd w:id="9"/>
      <w:r w:rsidR="009927B7">
        <w:rPr>
          <w:rStyle w:val="CommentReference"/>
        </w:rPr>
        <w:commentReference w:id="9"/>
      </w:r>
      <w:r>
        <w:t xml:space="preserve"> </w:t>
      </w:r>
      <w:r w:rsidR="00110B2E">
        <w:t>goes on</w:t>
      </w:r>
      <w:r>
        <w:t xml:space="preserve"> to argue that the Sadducees maintained the priestly </w:t>
      </w:r>
      <w:r w:rsidR="00D268F2">
        <w:t>con</w:t>
      </w:r>
      <w:r>
        <w:t>ception</w:t>
      </w:r>
      <w:r w:rsidR="00036D71">
        <w:t xml:space="preserve"> of holiness</w:t>
      </w:r>
      <w:r>
        <w:t xml:space="preserve"> </w:t>
      </w:r>
      <w:r w:rsidR="00036D71">
        <w:t>and were concerned with the sanctity of the Temple</w:t>
      </w:r>
      <w:r>
        <w:t xml:space="preserve"> being harmed, while the </w:t>
      </w:r>
      <w:r>
        <w:lastRenderedPageBreak/>
        <w:t xml:space="preserve">Pharisees believed that the </w:t>
      </w:r>
      <w:r w:rsidR="00036D71">
        <w:t>Temple</w:t>
      </w:r>
      <w:r w:rsidR="00176550">
        <w:t>’</w:t>
      </w:r>
      <w:r w:rsidR="00036D71">
        <w:t>s</w:t>
      </w:r>
      <w:r w:rsidR="00036D71">
        <w:t xml:space="preserve"> </w:t>
      </w:r>
      <w:r>
        <w:t xml:space="preserve">sanctity was not in constant danger and, with the necessary caution, </w:t>
      </w:r>
      <w:r w:rsidR="009A5E5E">
        <w:t>the conditions</w:t>
      </w:r>
      <w:r w:rsidR="00154678">
        <w:t xml:space="preserve"> for access to the Temple could be more lenient to enable </w:t>
      </w:r>
      <w:r>
        <w:t>the people</w:t>
      </w:r>
      <w:r w:rsidR="00176550">
        <w:t>’</w:t>
      </w:r>
      <w:r w:rsidR="00EE6676">
        <w:t>s participation</w:t>
      </w:r>
      <w:r>
        <w:t>. In several articles,</w:t>
      </w:r>
      <w:r w:rsidR="007E39BC">
        <w:rPr>
          <w:rStyle w:val="FootnoteReference"/>
        </w:rPr>
        <w:footnoteReference w:id="42"/>
      </w:r>
      <w:r>
        <w:t xml:space="preserve"> I have shown that this also emerges from a central Tannaitic </w:t>
      </w:r>
      <w:r w:rsidR="007575E1">
        <w:t>doctrine</w:t>
      </w:r>
      <w:r>
        <w:t xml:space="preserve"> that </w:t>
      </w:r>
      <w:r w:rsidR="00A202A5">
        <w:t>limits</w:t>
      </w:r>
      <w:r>
        <w:t xml:space="preserve"> the </w:t>
      </w:r>
      <w:r w:rsidR="00A202A5">
        <w:t>biblical injunction</w:t>
      </w:r>
      <w:r>
        <w:t xml:space="preserve"> </w:t>
      </w:r>
      <w:r w:rsidR="00176550">
        <w:t>“</w:t>
      </w:r>
      <w:r>
        <w:t>and the stranger who comes near shall be put to death</w:t>
      </w:r>
      <w:r w:rsidR="00176550">
        <w:t>”</w:t>
      </w:r>
      <w:r>
        <w:t xml:space="preserve"> to </w:t>
      </w:r>
      <w:r w:rsidR="00FC6CDD">
        <w:t xml:space="preserve">service in </w:t>
      </w:r>
      <w:r>
        <w:t>the Temple, contrary to the plain meaning of the verses</w:t>
      </w:r>
      <w:r w:rsidR="00FC6CDD">
        <w:t>.</w:t>
      </w:r>
      <w:r w:rsidR="00F1072B">
        <w:t xml:space="preserve"> Moreover, the Rabbis</w:t>
      </w:r>
      <w:r w:rsidR="00176550">
        <w:t>’</w:t>
      </w:r>
      <w:r w:rsidR="00F1072B">
        <w:t xml:space="preserve"> understanding that</w:t>
      </w:r>
      <w:r>
        <w:t xml:space="preserve"> the Temple cannot become impure at all, and the atonement for the </w:t>
      </w:r>
      <w:r w:rsidR="00DA14D3">
        <w:t>impurity</w:t>
      </w:r>
      <w:r>
        <w:t xml:space="preserve"> of the sanctuary and its sacred things is not </w:t>
      </w:r>
      <w:r w:rsidR="00C9785B">
        <w:t>in response to</w:t>
      </w:r>
      <w:r>
        <w:t xml:space="preserve"> impurity in the Temple </w:t>
      </w:r>
      <w:commentRangeStart w:id="10"/>
      <w:r>
        <w:t xml:space="preserve">but </w:t>
      </w:r>
      <w:r w:rsidR="00C9785B">
        <w:t>to</w:t>
      </w:r>
      <w:r>
        <w:t xml:space="preserve"> the fundamental contradiction that man creates between impurity and sanctity. </w:t>
      </w:r>
      <w:commentRangeEnd w:id="10"/>
      <w:r w:rsidR="007330C0">
        <w:rPr>
          <w:rStyle w:val="CommentReference"/>
        </w:rPr>
        <w:commentReference w:id="10"/>
      </w:r>
      <w:r>
        <w:t xml:space="preserve">All this connects to a broader trend </w:t>
      </w:r>
      <w:r w:rsidR="007330C0">
        <w:t>among</w:t>
      </w:r>
      <w:r>
        <w:t xml:space="preserve"> the </w:t>
      </w:r>
      <w:proofErr w:type="spellStart"/>
      <w:r>
        <w:t>Tannaim</w:t>
      </w:r>
      <w:proofErr w:type="spellEnd"/>
      <w:r>
        <w:t xml:space="preserve"> to </w:t>
      </w:r>
      <w:r w:rsidR="00B61DE5">
        <w:t xml:space="preserve">identify with the </w:t>
      </w:r>
      <w:r>
        <w:t xml:space="preserve">religious </w:t>
      </w:r>
      <w:r w:rsidR="00B61DE5">
        <w:t>conceptions</w:t>
      </w:r>
      <w:r>
        <w:t xml:space="preserve"> expressed </w:t>
      </w:r>
      <w:r w:rsidR="00D66998">
        <w:t>particularly</w:t>
      </w:r>
      <w:r>
        <w:t xml:space="preserve"> in the Book of Deuteronomy.</w:t>
      </w:r>
      <w:r w:rsidR="00D66998">
        <w:rPr>
          <w:rStyle w:val="FootnoteReference"/>
        </w:rPr>
        <w:footnoteReference w:id="43"/>
      </w:r>
    </w:p>
    <w:p w14:paraId="026BDAE8" w14:textId="4127593C" w:rsidR="00027E44" w:rsidRDefault="00520EE2" w:rsidP="00027E44">
      <w:r>
        <w:t>T</w:t>
      </w:r>
      <w:r w:rsidR="00027E44">
        <w:t xml:space="preserve">he approach of the Mishnah and </w:t>
      </w:r>
      <w:proofErr w:type="spellStart"/>
      <w:r w:rsidR="00027E44" w:rsidRPr="00D66998">
        <w:rPr>
          <w:i/>
          <w:iCs/>
        </w:rPr>
        <w:t>Sifrei</w:t>
      </w:r>
      <w:proofErr w:type="spellEnd"/>
      <w:r w:rsidR="00027E44" w:rsidRPr="00D66998">
        <w:rPr>
          <w:i/>
          <w:iCs/>
        </w:rPr>
        <w:t xml:space="preserve"> </w:t>
      </w:r>
      <w:proofErr w:type="spellStart"/>
      <w:r w:rsidR="00027E44" w:rsidRPr="00D66998">
        <w:rPr>
          <w:i/>
          <w:iCs/>
        </w:rPr>
        <w:t>Zuta</w:t>
      </w:r>
      <w:proofErr w:type="spellEnd"/>
      <w:r w:rsidR="00027E44">
        <w:t xml:space="preserve"> regarding the order of the </w:t>
      </w:r>
      <w:r w:rsidR="00B157AF">
        <w:t>rites of the daily</w:t>
      </w:r>
      <w:r w:rsidR="00027E44">
        <w:t xml:space="preserve"> service</w:t>
      </w:r>
      <w:r>
        <w:t xml:space="preserve"> appears to</w:t>
      </w:r>
      <w:r w:rsidR="00027E44">
        <w:t xml:space="preserve"> </w:t>
      </w:r>
      <w:r>
        <w:t>be derived</w:t>
      </w:r>
      <w:r w:rsidR="00027E44">
        <w:t xml:space="preserve"> from the same fundamental </w:t>
      </w:r>
      <w:r w:rsidR="00B157AF">
        <w:t>conception</w:t>
      </w:r>
      <w:r w:rsidR="00027E44">
        <w:t xml:space="preserve"> that arises in Deuteronomy, according to which God primarily dwells in heaven, and therefore the concern </w:t>
      </w:r>
      <w:r w:rsidR="00814565">
        <w:t>His honor</w:t>
      </w:r>
      <w:r w:rsidR="00027E44">
        <w:t xml:space="preserve"> through the </w:t>
      </w:r>
      <w:r w:rsidR="00814565">
        <w:t>rites performed in the Sanctuary</w:t>
      </w:r>
      <w:r w:rsidR="00027E44">
        <w:t xml:space="preserve"> is not the main focus. </w:t>
      </w:r>
      <w:r w:rsidR="002C49B6">
        <w:t>Setting the daily offering</w:t>
      </w:r>
      <w:r w:rsidR="00027E44">
        <w:t xml:space="preserve"> at the center of the Temple service highlights the Temple</w:t>
      </w:r>
      <w:r w:rsidR="00176550">
        <w:t>’</w:t>
      </w:r>
      <w:r w:rsidR="0051180C">
        <w:t>s role</w:t>
      </w:r>
      <w:r w:rsidR="00027E44">
        <w:t xml:space="preserve"> </w:t>
      </w:r>
      <w:r w:rsidR="0051180C">
        <w:t>as</w:t>
      </w:r>
      <w:r w:rsidR="00027E44">
        <w:t xml:space="preserve"> a place </w:t>
      </w:r>
      <w:r w:rsidR="0051180C">
        <w:t xml:space="preserve">where </w:t>
      </w:r>
      <w:r w:rsidR="00027E44">
        <w:t xml:space="preserve">the people of Israel </w:t>
      </w:r>
      <w:r w:rsidR="003430D0">
        <w:t>serve</w:t>
      </w:r>
      <w:r w:rsidR="00027E44">
        <w:t xml:space="preserve"> God, and not necessarily God</w:t>
      </w:r>
      <w:r w:rsidR="00176550">
        <w:t>’</w:t>
      </w:r>
      <w:r w:rsidR="00027E44">
        <w:t>s dwelling on Earth.</w:t>
      </w:r>
      <w:r w:rsidR="003430D0">
        <w:t xml:space="preserve"> I</w:t>
      </w:r>
      <w:r w:rsidR="00027E44">
        <w:t xml:space="preserve">t is important to emphasize that this is not a complete adoption of the </w:t>
      </w:r>
      <w:r w:rsidR="003430D0">
        <w:t>conception of holiness found</w:t>
      </w:r>
      <w:r w:rsidR="00027E44">
        <w:t xml:space="preserve"> in Deuteronomy. In Deuteronomy, as mentioned, the law</w:t>
      </w:r>
      <w:r w:rsidR="00BF1212">
        <w:t>s</w:t>
      </w:r>
      <w:r w:rsidR="00027E44">
        <w:t xml:space="preserve"> of sacrifices </w:t>
      </w:r>
      <w:r w:rsidR="004B6E89">
        <w:t>are barely presented</w:t>
      </w:r>
      <w:r w:rsidR="00027E44">
        <w:t xml:space="preserve">. </w:t>
      </w:r>
      <w:r w:rsidR="0090181A">
        <w:t>T</w:t>
      </w:r>
      <w:r w:rsidR="00027E44">
        <w:t xml:space="preserve">he </w:t>
      </w:r>
      <w:proofErr w:type="spellStart"/>
      <w:r w:rsidR="00027E44">
        <w:t>Tannaim</w:t>
      </w:r>
      <w:proofErr w:type="spellEnd"/>
      <w:r w:rsidR="0090181A">
        <w:t>, while</w:t>
      </w:r>
      <w:r w:rsidR="00EB43E4">
        <w:t xml:space="preserve"> adopting the conception of holiness found in</w:t>
      </w:r>
      <w:r w:rsidR="00027E44">
        <w:t xml:space="preserve"> Deuteronomy</w:t>
      </w:r>
      <w:r w:rsidR="00EB43E4">
        <w:t>,</w:t>
      </w:r>
      <w:r w:rsidR="00027E44">
        <w:t xml:space="preserve"> did not </w:t>
      </w:r>
      <w:r w:rsidR="00EB43E4">
        <w:t xml:space="preserve">however </w:t>
      </w:r>
      <w:r w:rsidR="00027E44">
        <w:t xml:space="preserve">accept all </w:t>
      </w:r>
      <w:r w:rsidR="00C9177A">
        <w:t>its</w:t>
      </w:r>
      <w:r w:rsidR="00027E44">
        <w:t xml:space="preserve"> </w:t>
      </w:r>
      <w:r w:rsidR="00900F5B">
        <w:t>implication</w:t>
      </w:r>
      <w:r w:rsidR="00C9177A">
        <w:t>s. F</w:t>
      </w:r>
      <w:r w:rsidR="00027E44">
        <w:t xml:space="preserve">or example, they did not ignore the </w:t>
      </w:r>
      <w:r w:rsidR="00C9177A">
        <w:t>daily offerings</w:t>
      </w:r>
      <w:r w:rsidR="00027E44">
        <w:t>, nor did they ignore the</w:t>
      </w:r>
      <w:r w:rsidR="00C9177A">
        <w:t xml:space="preserve"> idea of </w:t>
      </w:r>
      <w:r w:rsidR="00C9177A">
        <w:t xml:space="preserve">the </w:t>
      </w:r>
      <w:proofErr w:type="spellStart"/>
      <w:r w:rsidR="001615E9" w:rsidRPr="001615E9">
        <w:rPr>
          <w:i/>
          <w:iCs/>
        </w:rPr>
        <w:lastRenderedPageBreak/>
        <w:t>Shekhinah</w:t>
      </w:r>
      <w:r w:rsidR="00176550">
        <w:t>’</w:t>
      </w:r>
      <w:r w:rsidR="00C9177A">
        <w:t>s</w:t>
      </w:r>
      <w:proofErr w:type="spellEnd"/>
      <w:r w:rsidR="00C9177A">
        <w:t xml:space="preserve"> </w:t>
      </w:r>
      <w:r w:rsidR="00027E44">
        <w:t>presence in the Temple.</w:t>
      </w:r>
      <w:r w:rsidR="00C37126">
        <w:rPr>
          <w:rStyle w:val="FootnoteReference"/>
        </w:rPr>
        <w:footnoteReference w:id="44"/>
      </w:r>
      <w:r w:rsidR="00027E44">
        <w:t xml:space="preserve"> The </w:t>
      </w:r>
      <w:proofErr w:type="spellStart"/>
      <w:r w:rsidR="00027E44">
        <w:t>Tannaim</w:t>
      </w:r>
      <w:proofErr w:type="spellEnd"/>
      <w:r w:rsidR="00027E44">
        <w:t xml:space="preserve"> identified more with the </w:t>
      </w:r>
      <w:r w:rsidR="005911F9">
        <w:t>idea</w:t>
      </w:r>
      <w:r w:rsidR="00C37126">
        <w:t xml:space="preserve"> found in De</w:t>
      </w:r>
      <w:r w:rsidR="00027E44">
        <w:t>uteronomy</w:t>
      </w:r>
      <w:r w:rsidR="005911F9">
        <w:t xml:space="preserve"> that</w:t>
      </w:r>
      <w:r w:rsidR="00027E44">
        <w:t xml:space="preserve"> sanctity is not so vulnerable</w:t>
      </w:r>
      <w:r w:rsidR="005911F9">
        <w:t xml:space="preserve">, since </w:t>
      </w:r>
      <w:r w:rsidR="00176550">
        <w:t>“‘</w:t>
      </w:r>
      <w:r w:rsidR="0018468B" w:rsidRPr="0018468B">
        <w:t>Do I not fill heaven and earth?</w:t>
      </w:r>
      <w:r w:rsidR="00176550">
        <w:t>’</w:t>
      </w:r>
      <w:r w:rsidR="0018468B" w:rsidRPr="0018468B">
        <w:t xml:space="preserve"> says the Lord</w:t>
      </w:r>
      <w:r w:rsidR="00176550">
        <w:t>”</w:t>
      </w:r>
      <w:r w:rsidR="00D81BE5">
        <w:t xml:space="preserve"> (</w:t>
      </w:r>
      <w:proofErr w:type="spellStart"/>
      <w:r w:rsidR="00D81BE5">
        <w:t>Jer</w:t>
      </w:r>
      <w:proofErr w:type="spellEnd"/>
      <w:r w:rsidR="00D81BE5">
        <w:t xml:space="preserve"> 23:24)</w:t>
      </w:r>
      <w:r w:rsidR="0018468B" w:rsidRPr="0018468B">
        <w:t xml:space="preserve"> </w:t>
      </w:r>
      <w:r w:rsidR="00027E44">
        <w:t xml:space="preserve">and therefore </w:t>
      </w:r>
      <w:r w:rsidR="00D81BE5">
        <w:t>gave</w:t>
      </w:r>
      <w:r w:rsidR="00027E44">
        <w:t xml:space="preserve"> particular importance </w:t>
      </w:r>
      <w:r w:rsidR="00D81BE5">
        <w:t>to</w:t>
      </w:r>
      <w:r w:rsidR="00027E44">
        <w:t xml:space="preserve"> the </w:t>
      </w:r>
      <w:r w:rsidR="00D81BE5">
        <w:t>offerings</w:t>
      </w:r>
      <w:r w:rsidR="00027E44">
        <w:t xml:space="preserve"> on the outer altar.</w:t>
      </w:r>
      <w:r w:rsidR="00200A84">
        <w:rPr>
          <w:rStyle w:val="FootnoteReference"/>
        </w:rPr>
        <w:footnoteReference w:id="45"/>
      </w:r>
      <w:r w:rsidR="00701DFB">
        <w:t xml:space="preserve"> T</w:t>
      </w:r>
      <w:r w:rsidR="00027E44">
        <w:t xml:space="preserve">his teaches us </w:t>
      </w:r>
      <w:r w:rsidR="00701DFB">
        <w:t xml:space="preserve">cautious we must be when attempting to ascertain the </w:t>
      </w:r>
      <w:r w:rsidR="00027E44">
        <w:t xml:space="preserve">sources of influence of Tannaitic law (and </w:t>
      </w:r>
      <w:r w:rsidR="00701DFB">
        <w:t xml:space="preserve">of </w:t>
      </w:r>
      <w:r w:rsidR="00027E44">
        <w:t xml:space="preserve">halakhic </w:t>
      </w:r>
      <w:r w:rsidR="00701DFB">
        <w:t>conceptions</w:t>
      </w:r>
      <w:r w:rsidR="00027E44">
        <w:t xml:space="preserve"> in general). As Reg</w:t>
      </w:r>
      <w:r w:rsidR="00701DFB">
        <w:t>e</w:t>
      </w:r>
      <w:r w:rsidR="00027E44">
        <w:t xml:space="preserve">v himself points out, it is </w:t>
      </w:r>
      <w:r w:rsidR="002F4490">
        <w:t>clear</w:t>
      </w:r>
      <w:r w:rsidR="00027E44">
        <w:t xml:space="preserve"> that the Pharisees and </w:t>
      </w:r>
      <w:proofErr w:type="spellStart"/>
      <w:r w:rsidR="00027E44">
        <w:t>Tannaim</w:t>
      </w:r>
      <w:proofErr w:type="spellEnd"/>
      <w:r w:rsidR="00027E44">
        <w:t xml:space="preserve"> did not draw directly and consciously from the </w:t>
      </w:r>
      <w:r w:rsidR="002F4490">
        <w:t xml:space="preserve">conception found in </w:t>
      </w:r>
      <w:r w:rsidR="00027E44">
        <w:t xml:space="preserve">Deuteronomy. </w:t>
      </w:r>
      <w:commentRangeStart w:id="11"/>
      <w:r w:rsidR="00027E44">
        <w:t>It is</w:t>
      </w:r>
      <w:r w:rsidR="001F0D39">
        <w:t xml:space="preserve"> rather</w:t>
      </w:r>
      <w:r w:rsidR="00027E44">
        <w:t xml:space="preserve"> a matter of the fundamental influence of the </w:t>
      </w:r>
      <w:r w:rsidR="003A2910">
        <w:t>conception found</w:t>
      </w:r>
      <w:r w:rsidR="00027E44">
        <w:t xml:space="preserve"> </w:t>
      </w:r>
      <w:r w:rsidR="009F303D">
        <w:t xml:space="preserve">in </w:t>
      </w:r>
      <w:r w:rsidR="00027E44">
        <w:t>Deuteronomy</w:t>
      </w:r>
      <w:r w:rsidR="003A2910">
        <w:t xml:space="preserve"> that </w:t>
      </w:r>
      <w:r w:rsidR="00027E44">
        <w:t xml:space="preserve">sanctity </w:t>
      </w:r>
      <w:r w:rsidR="007E3618">
        <w:t>is a given and</w:t>
      </w:r>
      <w:r w:rsidR="00027E44">
        <w:t xml:space="preserve"> is not so vulnerable.</w:t>
      </w:r>
      <w:r w:rsidR="00D61212">
        <w:t xml:space="preserve"> I</w:t>
      </w:r>
      <w:r w:rsidR="00027E44">
        <w:t xml:space="preserve">n practice, </w:t>
      </w:r>
      <w:r w:rsidR="00FF1C12">
        <w:t xml:space="preserve">the </w:t>
      </w:r>
      <w:proofErr w:type="spellStart"/>
      <w:r w:rsidR="00FF1C12">
        <w:t>Tannaim</w:t>
      </w:r>
      <w:r w:rsidR="00176550">
        <w:t>’</w:t>
      </w:r>
      <w:r w:rsidR="00FF1C12">
        <w:t>s</w:t>
      </w:r>
      <w:proofErr w:type="spellEnd"/>
      <w:r w:rsidR="00FF1C12">
        <w:t xml:space="preserve"> conception of holiness </w:t>
      </w:r>
      <w:r w:rsidR="00027E44">
        <w:t xml:space="preserve">combines the principles arising from the priestly parts of the Torah with those </w:t>
      </w:r>
      <w:r w:rsidR="00D61212">
        <w:t>derived from</w:t>
      </w:r>
      <w:r w:rsidR="00027E44">
        <w:t xml:space="preserve"> Deuteronomy</w:t>
      </w:r>
      <w:r w:rsidR="00AD764D">
        <w:t>.</w:t>
      </w:r>
      <w:commentRangeEnd w:id="11"/>
      <w:r w:rsidR="00AD764D">
        <w:rPr>
          <w:rStyle w:val="CommentReference"/>
        </w:rPr>
        <w:commentReference w:id="11"/>
      </w:r>
    </w:p>
    <w:p w14:paraId="058064D8" w14:textId="6AF46EBF" w:rsidR="002C3258" w:rsidRDefault="002C3258" w:rsidP="002C3258">
      <w:pPr>
        <w:pStyle w:val="Heading1"/>
      </w:pPr>
      <w:r>
        <w:t xml:space="preserve">The </w:t>
      </w:r>
      <w:r>
        <w:t>a</w:t>
      </w:r>
      <w:r>
        <w:t xml:space="preserve">pproach of the </w:t>
      </w:r>
      <w:proofErr w:type="spellStart"/>
      <w:r w:rsidRPr="008E58AE">
        <w:rPr>
          <w:i/>
          <w:iCs/>
        </w:rPr>
        <w:t>Sifra</w:t>
      </w:r>
      <w:proofErr w:type="spellEnd"/>
      <w:r>
        <w:t xml:space="preserve"> and Rabbi </w:t>
      </w:r>
      <w:proofErr w:type="spellStart"/>
      <w:r>
        <w:t>Akiva</w:t>
      </w:r>
      <w:r w:rsidR="00176550">
        <w:t>’</w:t>
      </w:r>
      <w:r>
        <w:t>s</w:t>
      </w:r>
      <w:proofErr w:type="spellEnd"/>
      <w:r>
        <w:t xml:space="preserve"> </w:t>
      </w:r>
      <w:r w:rsidR="008E58AE">
        <w:t>approach</w:t>
      </w:r>
      <w:r w:rsidR="00506ABB">
        <w:t>.</w:t>
      </w:r>
    </w:p>
    <w:p w14:paraId="29A97575" w14:textId="00A36877" w:rsidR="002C3258" w:rsidRDefault="002C3258" w:rsidP="002C3258">
      <w:r>
        <w:t xml:space="preserve">As mentioned above, we found </w:t>
      </w:r>
      <w:r w:rsidR="009F303D">
        <w:t xml:space="preserve">in the </w:t>
      </w:r>
      <w:proofErr w:type="spellStart"/>
      <w:r w:rsidR="009F303D" w:rsidRPr="008E58AE">
        <w:rPr>
          <w:i/>
          <w:iCs/>
        </w:rPr>
        <w:t>Sifra</w:t>
      </w:r>
      <w:proofErr w:type="spellEnd"/>
      <w:r w:rsidR="009F303D">
        <w:t xml:space="preserve"> </w:t>
      </w:r>
      <w:r>
        <w:t xml:space="preserve">another halakhic approach that </w:t>
      </w:r>
      <w:r w:rsidR="00BC2273">
        <w:t>has</w:t>
      </w:r>
      <w:r>
        <w:t xml:space="preserve"> the </w:t>
      </w:r>
      <w:r w:rsidR="00BC2273">
        <w:t>rites performed in the Sanctuary</w:t>
      </w:r>
      <w:r>
        <w:t xml:space="preserve"> </w:t>
      </w:r>
      <w:r w:rsidR="003D3847">
        <w:t xml:space="preserve">performed before those on the </w:t>
      </w:r>
      <w:r>
        <w:t xml:space="preserve">outer altar. It is possible that the fact that this approach appears in the </w:t>
      </w:r>
      <w:proofErr w:type="spellStart"/>
      <w:r w:rsidRPr="003D3847">
        <w:rPr>
          <w:i/>
          <w:iCs/>
        </w:rPr>
        <w:t>Sifra</w:t>
      </w:r>
      <w:proofErr w:type="spellEnd"/>
      <w:r>
        <w:t xml:space="preserve">, a midrash attributed to Rabbi </w:t>
      </w:r>
      <w:proofErr w:type="spellStart"/>
      <w:r>
        <w:t>Akiva</w:t>
      </w:r>
      <w:r w:rsidR="00176550">
        <w:t>’</w:t>
      </w:r>
      <w:r>
        <w:t>s</w:t>
      </w:r>
      <w:proofErr w:type="spellEnd"/>
      <w:r>
        <w:t xml:space="preserve"> school, is not coincidental. Elsewhere, I have suggested that Rabbi </w:t>
      </w:r>
      <w:proofErr w:type="spellStart"/>
      <w:r>
        <w:t>Akiva</w:t>
      </w:r>
      <w:proofErr w:type="spellEnd"/>
      <w:r>
        <w:t xml:space="preserve"> presents an alternative to the </w:t>
      </w:r>
      <w:r w:rsidR="00D2555E">
        <w:t xml:space="preserve">mainstream </w:t>
      </w:r>
      <w:r w:rsidR="00F416C9">
        <w:t xml:space="preserve">approach of the </w:t>
      </w:r>
      <w:proofErr w:type="spellStart"/>
      <w:r w:rsidR="00F416C9">
        <w:t>Tannaim</w:t>
      </w:r>
      <w:proofErr w:type="spellEnd"/>
      <w:r>
        <w:t xml:space="preserve"> </w:t>
      </w:r>
      <w:r w:rsidR="00F416C9">
        <w:t>that</w:t>
      </w:r>
      <w:r>
        <w:t xml:space="preserve"> emphasize</w:t>
      </w:r>
      <w:r w:rsidR="00F416C9">
        <w:t>s</w:t>
      </w:r>
      <w:r>
        <w:t xml:space="preserve"> the inviolability of the Temple</w:t>
      </w:r>
      <w:r w:rsidR="00176550">
        <w:t>’</w:t>
      </w:r>
      <w:r>
        <w:t xml:space="preserve">s sanctity. While the biblical </w:t>
      </w:r>
      <w:r w:rsidR="006E6BF1">
        <w:t>conception</w:t>
      </w:r>
      <w:r>
        <w:t xml:space="preserve">, such as the verse </w:t>
      </w:r>
      <w:r w:rsidR="00176550">
        <w:t>“</w:t>
      </w:r>
      <w:r>
        <w:t>And the stranger who comes near shall be put to death</w:t>
      </w:r>
      <w:r w:rsidR="00176550">
        <w:t>”</w:t>
      </w:r>
      <w:r>
        <w:t xml:space="preserve"> (Numbers 3:51), limits the </w:t>
      </w:r>
      <w:r w:rsidR="00334388">
        <w:t>access</w:t>
      </w:r>
      <w:r>
        <w:t xml:space="preserve"> of non-priests and</w:t>
      </w:r>
      <w:r w:rsidR="002D77FF">
        <w:t xml:space="preserve">, in </w:t>
      </w:r>
      <w:r w:rsidR="002D77FF">
        <w:t>certain situations</w:t>
      </w:r>
      <w:r w:rsidR="002D77FF">
        <w:t xml:space="preserve">, even of </w:t>
      </w:r>
      <w:r>
        <w:t xml:space="preserve">priests, </w:t>
      </w:r>
      <w:r w:rsidR="00334388">
        <w:t>to</w:t>
      </w:r>
      <w:r>
        <w:t xml:space="preserve"> the Tabernacle </w:t>
      </w:r>
      <w:r w:rsidR="00334388">
        <w:t>out of</w:t>
      </w:r>
      <w:r>
        <w:t xml:space="preserve"> concern </w:t>
      </w:r>
      <w:r w:rsidR="00334388">
        <w:t>for</w:t>
      </w:r>
      <w:r>
        <w:t xml:space="preserve"> harming the Tabernacle</w:t>
      </w:r>
      <w:r w:rsidR="00176550">
        <w:t>’</w:t>
      </w:r>
      <w:r>
        <w:t xml:space="preserve">s sanctity, the prevailing </w:t>
      </w:r>
      <w:proofErr w:type="spellStart"/>
      <w:r w:rsidR="003C5253">
        <w:t>Tannaic</w:t>
      </w:r>
      <w:proofErr w:type="spellEnd"/>
      <w:r>
        <w:t xml:space="preserve"> </w:t>
      </w:r>
      <w:r w:rsidR="00F06B31">
        <w:t>conception</w:t>
      </w:r>
      <w:r>
        <w:t xml:space="preserve"> sought to connect these prohibitions to the service in the Tabernacle and Temple. In contrast, in the well-known story about Rabbi </w:t>
      </w:r>
      <w:proofErr w:type="spellStart"/>
      <w:r>
        <w:t>Akiva</w:t>
      </w:r>
      <w:proofErr w:type="spellEnd"/>
      <w:r>
        <w:t xml:space="preserve"> and the Rabbis who see the destroyed Temple </w:t>
      </w:r>
      <w:r>
        <w:lastRenderedPageBreak/>
        <w:t xml:space="preserve">in </w:t>
      </w:r>
      <w:proofErr w:type="spellStart"/>
      <w:r w:rsidR="006D1054" w:rsidRPr="00C62831">
        <w:rPr>
          <w:i/>
          <w:iCs/>
        </w:rPr>
        <w:t>Sifrei</w:t>
      </w:r>
      <w:proofErr w:type="spellEnd"/>
      <w:r w:rsidR="006D1054">
        <w:t xml:space="preserve"> </w:t>
      </w:r>
      <w:r>
        <w:t>Deuteronomy 43,</w:t>
      </w:r>
      <w:r w:rsidR="006D1054">
        <w:rPr>
          <w:rStyle w:val="FootnoteReference"/>
        </w:rPr>
        <w:footnoteReference w:id="46"/>
      </w:r>
      <w:r>
        <w:t xml:space="preserve"> Rabbi </w:t>
      </w:r>
      <w:proofErr w:type="spellStart"/>
      <w:r>
        <w:t>Akiva</w:t>
      </w:r>
      <w:proofErr w:type="spellEnd"/>
      <w:r w:rsidR="006D1054">
        <w:t xml:space="preserve"> appears to understand the prohibition</w:t>
      </w:r>
      <w:r>
        <w:t xml:space="preserve"> </w:t>
      </w:r>
      <w:r w:rsidR="00176550">
        <w:t>“</w:t>
      </w:r>
      <w:r>
        <w:t>And the stranger who comes near shall be put to death</w:t>
      </w:r>
      <w:r w:rsidR="00176550">
        <w:t>”</w:t>
      </w:r>
      <w:r>
        <w:t xml:space="preserve"> literally:</w:t>
      </w:r>
    </w:p>
    <w:p w14:paraId="1096E141" w14:textId="24B19E5B" w:rsidR="002C3258" w:rsidRDefault="002C3258" w:rsidP="006D1054">
      <w:pPr>
        <w:pStyle w:val="Quote"/>
      </w:pPr>
      <w:r>
        <w:t xml:space="preserve">Once again, they were going up to Jerusalem; when they reached </w:t>
      </w:r>
      <w:r w:rsidR="003D04C5">
        <w:t>Mount Scopus,</w:t>
      </w:r>
      <w:r>
        <w:t xml:space="preserve"> they tore their garments. When they reached the Temple Mount</w:t>
      </w:r>
      <w:r w:rsidR="003D04C5">
        <w:t xml:space="preserve"> and</w:t>
      </w:r>
      <w:r>
        <w:t xml:space="preserve"> saw a fox coming out of the Holy of Holies, they began to cry, and Rabbi </w:t>
      </w:r>
      <w:proofErr w:type="spellStart"/>
      <w:r>
        <w:t>Akiva</w:t>
      </w:r>
      <w:proofErr w:type="spellEnd"/>
      <w:r>
        <w:t xml:space="preserve"> laughed. They said to him, </w:t>
      </w:r>
      <w:r w:rsidR="00176550">
        <w:t>“</w:t>
      </w:r>
      <w:proofErr w:type="spellStart"/>
      <w:r>
        <w:t>Akiva</w:t>
      </w:r>
      <w:proofErr w:type="spellEnd"/>
      <w:r>
        <w:t>, how can you laugh while we are crying?</w:t>
      </w:r>
      <w:r w:rsidR="00176550">
        <w:t>”</w:t>
      </w:r>
      <w:r>
        <w:t xml:space="preserve"> He said to them, </w:t>
      </w:r>
      <w:r w:rsidR="00176550">
        <w:t>“</w:t>
      </w:r>
      <w:r>
        <w:t>Why are you crying?</w:t>
      </w:r>
      <w:r w:rsidR="00176550">
        <w:t>”</w:t>
      </w:r>
      <w:r>
        <w:t xml:space="preserve"> They said to him, </w:t>
      </w:r>
      <w:r w:rsidR="00176550">
        <w:t>“</w:t>
      </w:r>
      <w:r>
        <w:t>Shouldn</w:t>
      </w:r>
      <w:r w:rsidR="00176550">
        <w:t>’</w:t>
      </w:r>
      <w:r>
        <w:t xml:space="preserve">t we cry over the place where it is written (Numbers 3:51), </w:t>
      </w:r>
      <w:r w:rsidR="00176550">
        <w:t>‘</w:t>
      </w:r>
      <w:r>
        <w:t>And the stranger who comes near shall be put to death,</w:t>
      </w:r>
      <w:r w:rsidR="00176550">
        <w:t>’</w:t>
      </w:r>
      <w:r>
        <w:t xml:space="preserve"> and now a fox comes out of it? The prophecy (Lamentations 5:17-18) </w:t>
      </w:r>
      <w:r w:rsidR="00176550">
        <w:t>‘</w:t>
      </w:r>
      <w:r>
        <w:t>For this, our heart is faint; for these things, our eyes are dim; because of Mount Zion, which is desolate, foxes walk upon it...</w:t>
      </w:r>
      <w:r w:rsidR="00176550">
        <w:t>’</w:t>
      </w:r>
      <w:r>
        <w:t xml:space="preserve"> has been fulfilled.</w:t>
      </w:r>
      <w:r w:rsidR="00176550">
        <w:t>”</w:t>
      </w:r>
      <w:r>
        <w:t>...</w:t>
      </w:r>
    </w:p>
    <w:p w14:paraId="047B6D1B" w14:textId="1D972898" w:rsidR="00027E44" w:rsidRDefault="002C3258" w:rsidP="002C3258">
      <w:r>
        <w:t>The</w:t>
      </w:r>
      <w:r w:rsidR="00C62831">
        <w:t xml:space="preserve"> midrash</w:t>
      </w:r>
      <w:r>
        <w:t xml:space="preserve"> </w:t>
      </w:r>
      <w:r w:rsidR="003545D4">
        <w:t>has</w:t>
      </w:r>
      <w:r>
        <w:t xml:space="preserve"> the Rabbis (</w:t>
      </w:r>
      <w:proofErr w:type="spellStart"/>
      <w:r>
        <w:t>Rabban</w:t>
      </w:r>
      <w:proofErr w:type="spellEnd"/>
      <w:r>
        <w:t xml:space="preserve"> Gamaliel, Rabbi Joshua, and Rabbi Elazar ben Azariah) </w:t>
      </w:r>
      <w:r w:rsidR="003545D4">
        <w:t xml:space="preserve">make </w:t>
      </w:r>
      <w:r>
        <w:t>a</w:t>
      </w:r>
      <w:r w:rsidR="00A37552">
        <w:t xml:space="preserve"> sort of </w:t>
      </w:r>
      <w:r w:rsidR="00A37552" w:rsidRPr="00A37552">
        <w:rPr>
          <w:i/>
          <w:iCs/>
        </w:rPr>
        <w:t>a fortiori</w:t>
      </w:r>
      <w:r w:rsidR="00A37552">
        <w:t xml:space="preserve"> argument </w:t>
      </w:r>
      <w:r w:rsidR="00A37552">
        <w:t>to</w:t>
      </w:r>
      <w:r>
        <w:t xml:space="preserve"> Rabbi </w:t>
      </w:r>
      <w:proofErr w:type="spellStart"/>
      <w:r>
        <w:t>Akiva</w:t>
      </w:r>
      <w:proofErr w:type="spellEnd"/>
      <w:r>
        <w:t xml:space="preserve">: </w:t>
      </w:r>
      <w:r w:rsidR="00C834E1">
        <w:t xml:space="preserve">Regarding entering </w:t>
      </w:r>
      <w:r>
        <w:t>the Temple</w:t>
      </w:r>
      <w:r w:rsidR="00176550">
        <w:t>’</w:t>
      </w:r>
      <w:r>
        <w:t xml:space="preserve">s location, it is said, </w:t>
      </w:r>
      <w:r w:rsidR="00176550">
        <w:t>“</w:t>
      </w:r>
      <w:r>
        <w:t>And the stranger who comes near shall be put to death,</w:t>
      </w:r>
      <w:r w:rsidR="00176550">
        <w:t>”</w:t>
      </w:r>
      <w:r>
        <w:t xml:space="preserve"> and now even worse</w:t>
      </w:r>
      <w:r w:rsidR="00C834E1">
        <w:t>, an animal</w:t>
      </w:r>
      <w:r>
        <w:t xml:space="preserve"> comes out of it.</w:t>
      </w:r>
      <w:r w:rsidR="00176550">
        <w:t>”</w:t>
      </w:r>
      <w:r>
        <w:t xml:space="preserve"> On the surface, their argument, and the verse they quote, </w:t>
      </w:r>
      <w:r w:rsidR="00E61AA1">
        <w:t>make sense</w:t>
      </w:r>
      <w:r w:rsidR="00C62831">
        <w:t xml:space="preserve"> only</w:t>
      </w:r>
      <w:r>
        <w:t xml:space="preserve"> </w:t>
      </w:r>
      <w:r w:rsidR="00CC2E16">
        <w:t>if</w:t>
      </w:r>
      <w:r>
        <w:t xml:space="preserve"> the commandment is understood literally: a non-priest approaching the Temple risks his life. It is not the service of the non-priest that is problematic, but the very entry. This</w:t>
      </w:r>
      <w:r w:rsidR="00EC163A">
        <w:t xml:space="preserve"> understanding </w:t>
      </w:r>
      <w:r>
        <w:t xml:space="preserve">is also expressed in the dispute of the Rabbis in the </w:t>
      </w:r>
      <w:proofErr w:type="spellStart"/>
      <w:r w:rsidRPr="00EC163A">
        <w:rPr>
          <w:i/>
          <w:iCs/>
        </w:rPr>
        <w:t>Sifra</w:t>
      </w:r>
      <w:proofErr w:type="spellEnd"/>
      <w:r>
        <w:t xml:space="preserve"> regarding the sin of Aaron</w:t>
      </w:r>
      <w:r w:rsidR="00176550">
        <w:t>’</w:t>
      </w:r>
      <w:r w:rsidR="00EC163A">
        <w:t>s</w:t>
      </w:r>
      <w:r>
        <w:t xml:space="preserve"> sons. The </w:t>
      </w:r>
      <w:proofErr w:type="spellStart"/>
      <w:r w:rsidR="00DF773F">
        <w:t>Tannaim</w:t>
      </w:r>
      <w:proofErr w:type="spellEnd"/>
      <w:r>
        <w:t xml:space="preserve"> and the Amoraim</w:t>
      </w:r>
      <w:r w:rsidR="008369C2">
        <w:t xml:space="preserve"> discuss</w:t>
      </w:r>
      <w:r>
        <w:t xml:space="preserve"> the </w:t>
      </w:r>
      <w:r w:rsidR="008369C2">
        <w:t>nature of the</w:t>
      </w:r>
      <w:r>
        <w:t xml:space="preserve"> sin of Nada</w:t>
      </w:r>
      <w:r w:rsidR="00DF773F">
        <w:t>v</w:t>
      </w:r>
      <w:r>
        <w:t xml:space="preserve"> and </w:t>
      </w:r>
      <w:proofErr w:type="spellStart"/>
      <w:r>
        <w:t>A</w:t>
      </w:r>
      <w:r w:rsidR="00DF773F">
        <w:t>v</w:t>
      </w:r>
      <w:r>
        <w:t>ihu</w:t>
      </w:r>
      <w:proofErr w:type="spellEnd"/>
      <w:r>
        <w:t xml:space="preserve"> (Leviticus 10:1-3)</w:t>
      </w:r>
      <w:r w:rsidR="00DF773F">
        <w:t xml:space="preserve"> </w:t>
      </w:r>
      <w:r w:rsidR="00DF773F">
        <w:lastRenderedPageBreak/>
        <w:t>extensively</w:t>
      </w:r>
      <w:r>
        <w:t>.</w:t>
      </w:r>
      <w:r w:rsidR="008369C2">
        <w:rPr>
          <w:rStyle w:val="FootnoteReference"/>
        </w:rPr>
        <w:footnoteReference w:id="47"/>
      </w:r>
      <w:r>
        <w:t xml:space="preserve"> In </w:t>
      </w:r>
      <w:proofErr w:type="spellStart"/>
      <w:r w:rsidRPr="00DF773F">
        <w:rPr>
          <w:i/>
          <w:iCs/>
        </w:rPr>
        <w:t>Sifra</w:t>
      </w:r>
      <w:proofErr w:type="spellEnd"/>
      <w:r w:rsidRPr="00DF773F">
        <w:rPr>
          <w:i/>
          <w:iCs/>
        </w:rPr>
        <w:t xml:space="preserve"> </w:t>
      </w:r>
      <w:proofErr w:type="spellStart"/>
      <w:r w:rsidRPr="00DF773F">
        <w:rPr>
          <w:i/>
          <w:iCs/>
        </w:rPr>
        <w:t>Acharei</w:t>
      </w:r>
      <w:proofErr w:type="spellEnd"/>
      <w:r w:rsidRPr="00DF773F">
        <w:rPr>
          <w:i/>
          <w:iCs/>
        </w:rPr>
        <w:t xml:space="preserve"> Mot</w:t>
      </w:r>
      <w:r>
        <w:t xml:space="preserve"> 1:1,</w:t>
      </w:r>
      <w:r w:rsidR="008369C2">
        <w:rPr>
          <w:rStyle w:val="FootnoteReference"/>
        </w:rPr>
        <w:footnoteReference w:id="48"/>
      </w:r>
      <w:r>
        <w:t xml:space="preserve"> the </w:t>
      </w:r>
      <w:proofErr w:type="spellStart"/>
      <w:r w:rsidR="008369C2">
        <w:t>Tannaim</w:t>
      </w:r>
      <w:proofErr w:type="spellEnd"/>
      <w:r>
        <w:t xml:space="preserve"> discuss the tension between the verse in Leviticus 10:1, which describes the actions of Nada</w:t>
      </w:r>
      <w:r w:rsidR="00A3332C">
        <w:t>v</w:t>
      </w:r>
      <w:r>
        <w:t xml:space="preserve"> and </w:t>
      </w:r>
      <w:proofErr w:type="spellStart"/>
      <w:r>
        <w:t>A</w:t>
      </w:r>
      <w:r w:rsidR="00A3332C">
        <w:t>v</w:t>
      </w:r>
      <w:r>
        <w:t>ihu</w:t>
      </w:r>
      <w:proofErr w:type="spellEnd"/>
      <w:r>
        <w:t xml:space="preserve">, who took firepans of incense </w:t>
      </w:r>
      <w:r w:rsidR="00176550">
        <w:t>“</w:t>
      </w:r>
      <w:r w:rsidR="00101DC4" w:rsidRPr="00101DC4">
        <w:t>and offered profane fire before the Lord, which He had not commanded them</w:t>
      </w:r>
      <w:r>
        <w:t>,</w:t>
      </w:r>
      <w:r w:rsidR="00176550">
        <w:t>”</w:t>
      </w:r>
      <w:r>
        <w:t xml:space="preserve"> and the verse in Leviticus 16:1, which mentions only their approach to the Lord as the cause of their death</w:t>
      </w:r>
      <w:r w:rsidR="00875C88">
        <w:t xml:space="preserve"> – </w:t>
      </w:r>
      <w:r w:rsidR="00176550">
        <w:t>“</w:t>
      </w:r>
      <w:r>
        <w:t>when they approached</w:t>
      </w:r>
      <w:r w:rsidR="00601D44">
        <w:t xml:space="preserve"> before</w:t>
      </w:r>
      <w:r>
        <w:t xml:space="preserve"> the Lord and died</w:t>
      </w:r>
      <w:r w:rsidR="00176550">
        <w:t>”</w:t>
      </w:r>
      <w:r>
        <w:t>:</w:t>
      </w:r>
    </w:p>
    <w:p w14:paraId="02F29B43" w14:textId="07374C01" w:rsidR="00F9761C" w:rsidRDefault="00176550" w:rsidP="00875C88">
      <w:pPr>
        <w:pStyle w:val="Quote"/>
      </w:pPr>
      <w:r>
        <w:t>“</w:t>
      </w:r>
      <w:r w:rsidR="00F9761C">
        <w:t>They approached before the Lord and died</w:t>
      </w:r>
      <w:r>
        <w:t>”</w:t>
      </w:r>
      <w:r w:rsidR="00F9761C">
        <w:t xml:space="preserve"> - Rabbi Yos</w:t>
      </w:r>
      <w:r w:rsidR="007606DA">
        <w:t>e</w:t>
      </w:r>
      <w:r w:rsidR="00F9761C">
        <w:t xml:space="preserve"> </w:t>
      </w:r>
      <w:r w:rsidR="00875C88">
        <w:t>h</w:t>
      </w:r>
      <w:r w:rsidR="00F9761C">
        <w:t>a</w:t>
      </w:r>
      <w:r w:rsidR="00875C88">
        <w:t>-</w:t>
      </w:r>
      <w:proofErr w:type="spellStart"/>
      <w:r w:rsidR="00875C88">
        <w:t>Ge</w:t>
      </w:r>
      <w:r w:rsidR="00F9761C">
        <w:t>lili</w:t>
      </w:r>
      <w:proofErr w:type="spellEnd"/>
      <w:r w:rsidR="00F9761C">
        <w:t xml:space="preserve"> says that they died due to the offering, not due to </w:t>
      </w:r>
      <w:r w:rsidR="00223661">
        <w:t>coming close</w:t>
      </w:r>
      <w:r w:rsidR="00FB79E9">
        <w:t>.</w:t>
      </w:r>
      <w:r w:rsidR="00F9761C">
        <w:t xml:space="preserve"> Rabbi </w:t>
      </w:r>
      <w:proofErr w:type="spellStart"/>
      <w:r w:rsidR="00F9761C">
        <w:t>Akiva</w:t>
      </w:r>
      <w:proofErr w:type="spellEnd"/>
      <w:r w:rsidR="00F9761C">
        <w:t xml:space="preserve"> says that one verse states </w:t>
      </w:r>
      <w:r>
        <w:t>“</w:t>
      </w:r>
      <w:r w:rsidR="00C62831">
        <w:t>T</w:t>
      </w:r>
      <w:r w:rsidR="00F9761C">
        <w:t>hey approached before the Lord and died</w:t>
      </w:r>
      <w:r>
        <w:t>”</w:t>
      </w:r>
      <w:r w:rsidR="00F9761C">
        <w:t xml:space="preserve"> (Leviticus 16:1), and another verse </w:t>
      </w:r>
      <w:proofErr w:type="gramStart"/>
      <w:r w:rsidR="00F9761C">
        <w:t>says</w:t>
      </w:r>
      <w:proofErr w:type="gramEnd"/>
      <w:r w:rsidR="00F9761C">
        <w:t xml:space="preserve"> </w:t>
      </w:r>
      <w:r>
        <w:t>“</w:t>
      </w:r>
      <w:r w:rsidR="00C62831">
        <w:t>T</w:t>
      </w:r>
      <w:r w:rsidR="00F9761C">
        <w:t xml:space="preserve">hey offered before the Lord </w:t>
      </w:r>
      <w:r w:rsidR="00FB79E9">
        <w:t>profane</w:t>
      </w:r>
      <w:r w:rsidR="00F9761C">
        <w:t xml:space="preserve"> fire</w:t>
      </w:r>
      <w:r>
        <w:t>”</w:t>
      </w:r>
      <w:r w:rsidR="00F9761C">
        <w:t xml:space="preserve"> (Leviticus 10:1)</w:t>
      </w:r>
      <w:r w:rsidR="00D51294">
        <w:t>. [The third verse]</w:t>
      </w:r>
      <w:r w:rsidR="00F9761C">
        <w:t xml:space="preserve"> </w:t>
      </w:r>
      <w:r>
        <w:t>“</w:t>
      </w:r>
      <w:r w:rsidR="00DD0670">
        <w:t>in their offering</w:t>
      </w:r>
      <w:r w:rsidR="00F9761C">
        <w:t xml:space="preserve"> before the Lord </w:t>
      </w:r>
      <w:r w:rsidR="00841CBB">
        <w:t>profane</w:t>
      </w:r>
      <w:r w:rsidR="00F9761C">
        <w:t xml:space="preserve"> fire</w:t>
      </w:r>
      <w:r>
        <w:t>”</w:t>
      </w:r>
      <w:r w:rsidR="00F9761C">
        <w:t xml:space="preserve"> (Numbers 3:4)</w:t>
      </w:r>
      <w:r w:rsidR="00D03853">
        <w:t xml:space="preserve"> </w:t>
      </w:r>
      <w:commentRangeStart w:id="12"/>
      <w:r w:rsidR="00D03853">
        <w:t>determines</w:t>
      </w:r>
      <w:r w:rsidR="00F9761C">
        <w:t xml:space="preserve">, </w:t>
      </w:r>
      <w:r w:rsidR="004B5EF2">
        <w:t>saying</w:t>
      </w:r>
      <w:r w:rsidR="00F9761C">
        <w:t xml:space="preserve"> that they died due to the </w:t>
      </w:r>
      <w:r w:rsidR="004B5EF2">
        <w:t>coming close</w:t>
      </w:r>
      <w:r w:rsidR="00F9761C">
        <w:t xml:space="preserve">, not due to the offering. </w:t>
      </w:r>
      <w:commentRangeEnd w:id="12"/>
      <w:r w:rsidR="008741D1">
        <w:rPr>
          <w:rStyle w:val="CommentReference"/>
        </w:rPr>
        <w:commentReference w:id="12"/>
      </w:r>
      <w:r w:rsidR="00F9761C">
        <w:t xml:space="preserve">Rabbi Elazar ben Azaria says that the offering alone and the </w:t>
      </w:r>
      <w:r w:rsidR="004B5EF2">
        <w:t>coming close</w:t>
      </w:r>
      <w:r w:rsidR="00F9761C">
        <w:t xml:space="preserve"> alone were enough.</w:t>
      </w:r>
    </w:p>
    <w:p w14:paraId="5C0FA2BC" w14:textId="035E56E8" w:rsidR="00F9761C" w:rsidRDefault="00F9761C" w:rsidP="009578AF">
      <w:r>
        <w:t xml:space="preserve">According to Rabbi </w:t>
      </w:r>
      <w:r w:rsidR="007606DA">
        <w:t>Yose ha-</w:t>
      </w:r>
      <w:proofErr w:type="spellStart"/>
      <w:r w:rsidR="007606DA">
        <w:t>Gelili</w:t>
      </w:r>
      <w:proofErr w:type="spellEnd"/>
      <w:r>
        <w:t>, it was Nada</w:t>
      </w:r>
      <w:r w:rsidR="007606DA">
        <w:t>v</w:t>
      </w:r>
      <w:r>
        <w:t xml:space="preserve"> and </w:t>
      </w:r>
      <w:proofErr w:type="spellStart"/>
      <w:r>
        <w:t>A</w:t>
      </w:r>
      <w:r w:rsidR="007606DA">
        <w:t>v</w:t>
      </w:r>
      <w:r>
        <w:t>ihu</w:t>
      </w:r>
      <w:r w:rsidR="00176550">
        <w:t>’</w:t>
      </w:r>
      <w:r w:rsidR="007606DA">
        <w:t>s</w:t>
      </w:r>
      <w:proofErr w:type="spellEnd"/>
      <w:r w:rsidR="007606DA">
        <w:t xml:space="preserve"> offering </w:t>
      </w:r>
      <w:r>
        <w:t xml:space="preserve">that led to their death. However, Rabbi </w:t>
      </w:r>
      <w:proofErr w:type="spellStart"/>
      <w:r>
        <w:t>Akiva</w:t>
      </w:r>
      <w:proofErr w:type="spellEnd"/>
      <w:r>
        <w:t xml:space="preserve"> believes that their sin was rooted in their very </w:t>
      </w:r>
      <w:r w:rsidR="00BF7A39">
        <w:t>entry</w:t>
      </w:r>
      <w:r>
        <w:t xml:space="preserve"> to the Holy of Holies.</w:t>
      </w:r>
      <w:r w:rsidR="00990FBA">
        <w:rPr>
          <w:rStyle w:val="FootnoteReference"/>
        </w:rPr>
        <w:footnoteReference w:id="49"/>
      </w:r>
      <w:r>
        <w:t xml:space="preserve"> This dispute may reflect two approaches to the sanctity of the Temple: Rabbi </w:t>
      </w:r>
      <w:proofErr w:type="spellStart"/>
      <w:r>
        <w:t>Akiva</w:t>
      </w:r>
      <w:proofErr w:type="spellEnd"/>
      <w:r>
        <w:t xml:space="preserve"> holds that the very intrusion into the place where the </w:t>
      </w:r>
      <w:proofErr w:type="spellStart"/>
      <w:r w:rsidR="00821646">
        <w:rPr>
          <w:i/>
          <w:iCs/>
        </w:rPr>
        <w:t>Shekhinah</w:t>
      </w:r>
      <w:proofErr w:type="spellEnd"/>
      <w:r>
        <w:t xml:space="preserve"> rests, the Holy of Holies, caused the death of Aaron</w:t>
      </w:r>
      <w:r w:rsidR="00176550">
        <w:t>’</w:t>
      </w:r>
      <w:r>
        <w:t xml:space="preserve">s sons, assuming that the </w:t>
      </w:r>
      <w:proofErr w:type="spellStart"/>
      <w:r w:rsidR="00821646">
        <w:rPr>
          <w:i/>
          <w:iCs/>
        </w:rPr>
        <w:t>Shekhinah</w:t>
      </w:r>
      <w:proofErr w:type="spellEnd"/>
      <w:r>
        <w:t xml:space="preserve"> dwells there in a literal sense. However, Rabbi Yos</w:t>
      </w:r>
      <w:r w:rsidR="00433D7C">
        <w:t>e</w:t>
      </w:r>
      <w:r>
        <w:t xml:space="preserve"> </w:t>
      </w:r>
      <w:r w:rsidR="00433D7C">
        <w:t>ha-</w:t>
      </w:r>
      <w:proofErr w:type="spellStart"/>
      <w:r w:rsidR="00433D7C">
        <w:t>Gelili</w:t>
      </w:r>
      <w:proofErr w:type="spellEnd"/>
      <w:r w:rsidR="00433D7C">
        <w:t xml:space="preserve"> </w:t>
      </w:r>
      <w:r>
        <w:t>believes that merely entering the Holy does not mandate death, but rather specifically performing a service not in accordance with explicit commandments.</w:t>
      </w:r>
    </w:p>
    <w:p w14:paraId="5EE2FD95" w14:textId="033B04AD" w:rsidR="00F9761C" w:rsidRDefault="00F9761C" w:rsidP="00F9761C">
      <w:r>
        <w:lastRenderedPageBreak/>
        <w:t>It is possible</w:t>
      </w:r>
      <w:r w:rsidR="008B5602">
        <w:t xml:space="preserve"> </w:t>
      </w:r>
      <w:r>
        <w:t xml:space="preserve">that the </w:t>
      </w:r>
      <w:r w:rsidR="009578AF">
        <w:t xml:space="preserve">approach in the </w:t>
      </w:r>
      <w:proofErr w:type="spellStart"/>
      <w:r w:rsidRPr="009578AF">
        <w:rPr>
          <w:i/>
          <w:iCs/>
        </w:rPr>
        <w:t>Sifra</w:t>
      </w:r>
      <w:proofErr w:type="spellEnd"/>
      <w:r w:rsidR="008F742A">
        <w:t xml:space="preserve"> that the rites performed in</w:t>
      </w:r>
      <w:r w:rsidR="001B674E">
        <w:t xml:space="preserve"> </w:t>
      </w:r>
      <w:r w:rsidR="008F742A">
        <w:t xml:space="preserve">the Sanctuary </w:t>
      </w:r>
      <w:r>
        <w:t xml:space="preserve">take precedence also stems from this view that the sanctity </w:t>
      </w:r>
      <w:r w:rsidR="003204D1">
        <w:t>is a concrete presence in the Temple</w:t>
      </w:r>
      <w:r>
        <w:t>, and as such, the morning services must begin with honoring God in His abode.</w:t>
      </w:r>
    </w:p>
    <w:p w14:paraId="08A5EE63" w14:textId="4AFD01DF" w:rsidR="00F9761C" w:rsidRDefault="00AC6504" w:rsidP="00F9761C">
      <w:r>
        <w:t>This</w:t>
      </w:r>
      <w:r w:rsidR="00F9761C">
        <w:t xml:space="preserve"> also </w:t>
      </w:r>
      <w:r>
        <w:t xml:space="preserve">appears to be </w:t>
      </w:r>
      <w:r w:rsidR="00F9761C">
        <w:t xml:space="preserve">connected to the dispute between Rabbi </w:t>
      </w:r>
      <w:proofErr w:type="spellStart"/>
      <w:r w:rsidR="00F9761C">
        <w:t>Akiva</w:t>
      </w:r>
      <w:proofErr w:type="spellEnd"/>
      <w:r w:rsidR="00F9761C">
        <w:t xml:space="preserve"> and Rabbi Ishmael and his </w:t>
      </w:r>
      <w:r w:rsidR="002E23D8">
        <w:t>school</w:t>
      </w:r>
      <w:r w:rsidR="00F9761C">
        <w:t xml:space="preserve">, </w:t>
      </w:r>
      <w:r w:rsidR="001B674E">
        <w:t>about which</w:t>
      </w:r>
      <w:r w:rsidR="002E23D8">
        <w:t xml:space="preserve"> Heschel</w:t>
      </w:r>
      <w:r w:rsidR="001300DE">
        <w:rPr>
          <w:rStyle w:val="FootnoteReference"/>
        </w:rPr>
        <w:footnoteReference w:id="50"/>
      </w:r>
      <w:r w:rsidR="002E23D8">
        <w:t xml:space="preserve"> and Kahana</w:t>
      </w:r>
      <w:r w:rsidR="001300DE">
        <w:rPr>
          <w:rStyle w:val="FootnoteReference"/>
        </w:rPr>
        <w:footnoteReference w:id="51"/>
      </w:r>
      <w:r w:rsidR="002E23D8">
        <w:t xml:space="preserve"> have commented in</w:t>
      </w:r>
      <w:r w:rsidR="00F9761C">
        <w:t xml:space="preserve"> a similar context. In </w:t>
      </w:r>
      <w:r w:rsidR="001300DE">
        <w:t xml:space="preserve">the </w:t>
      </w:r>
      <w:proofErr w:type="spellStart"/>
      <w:r w:rsidR="00F9761C" w:rsidRPr="001300DE">
        <w:rPr>
          <w:i/>
          <w:iCs/>
        </w:rPr>
        <w:t>Sifra</w:t>
      </w:r>
      <w:proofErr w:type="spellEnd"/>
      <w:r w:rsidR="00F9761C">
        <w:t xml:space="preserve"> </w:t>
      </w:r>
      <w:proofErr w:type="spellStart"/>
      <w:r w:rsidR="001300DE" w:rsidRPr="001300DE">
        <w:rPr>
          <w:i/>
          <w:iCs/>
        </w:rPr>
        <w:t>Nedavah</w:t>
      </w:r>
      <w:proofErr w:type="spellEnd"/>
      <w:r w:rsidR="001B674E">
        <w:rPr>
          <w:i/>
          <w:iCs/>
        </w:rPr>
        <w:t>,</w:t>
      </w:r>
      <w:r w:rsidR="00723B39" w:rsidRPr="00723B39">
        <w:rPr>
          <w:rStyle w:val="FootnoteReference"/>
        </w:rPr>
        <w:footnoteReference w:id="52"/>
      </w:r>
      <w:r w:rsidR="00F9761C">
        <w:t xml:space="preserve"> we learn about the location of God</w:t>
      </w:r>
      <w:r w:rsidR="00176550">
        <w:t>’</w:t>
      </w:r>
      <w:r w:rsidR="00F9761C">
        <w:t>s communication with Moses:</w:t>
      </w:r>
    </w:p>
    <w:p w14:paraId="6A860049" w14:textId="7FD3B6A8" w:rsidR="00F9761C" w:rsidRDefault="00176550" w:rsidP="00D8082C">
      <w:pPr>
        <w:pStyle w:val="Quote"/>
      </w:pPr>
      <w:r>
        <w:t>“</w:t>
      </w:r>
      <w:r w:rsidR="00F9761C">
        <w:t>From the Tent of Meeting</w:t>
      </w:r>
      <w:r>
        <w:t>”</w:t>
      </w:r>
      <w:r w:rsidR="00F9761C">
        <w:t xml:space="preserve"> </w:t>
      </w:r>
      <w:r w:rsidR="0095641F">
        <w:t xml:space="preserve">– </w:t>
      </w:r>
      <w:r w:rsidR="00F9761C">
        <w:t>one might think it</w:t>
      </w:r>
      <w:r>
        <w:t>’</w:t>
      </w:r>
      <w:r w:rsidR="00F9761C">
        <w:t xml:space="preserve">s from the whole house, </w:t>
      </w:r>
      <w:r w:rsidR="00545C74">
        <w:t xml:space="preserve">the Torah teaches: </w:t>
      </w:r>
      <w:r>
        <w:t>“</w:t>
      </w:r>
      <w:r w:rsidR="00653C59">
        <w:t xml:space="preserve">from </w:t>
      </w:r>
      <w:r w:rsidR="00F9761C">
        <w:t xml:space="preserve">above the </w:t>
      </w:r>
      <w:proofErr w:type="spellStart"/>
      <w:r w:rsidR="00653C59" w:rsidRPr="00653C59">
        <w:rPr>
          <w:i/>
          <w:iCs/>
        </w:rPr>
        <w:t>kaporet</w:t>
      </w:r>
      <w:proofErr w:type="spellEnd"/>
      <w:r>
        <w:t>”</w:t>
      </w:r>
      <w:r w:rsidR="003D029A">
        <w:t xml:space="preserve"> (the mercy seat).</w:t>
      </w:r>
      <w:r w:rsidR="00F46E62">
        <w:t xml:space="preserve"> O</w:t>
      </w:r>
      <w:r w:rsidR="00F9761C">
        <w:t xml:space="preserve">r from </w:t>
      </w:r>
      <w:r w:rsidR="00466764">
        <w:t xml:space="preserve">above the </w:t>
      </w:r>
      <w:proofErr w:type="spellStart"/>
      <w:r w:rsidR="00F46E62" w:rsidRPr="00653C59">
        <w:rPr>
          <w:i/>
          <w:iCs/>
        </w:rPr>
        <w:t>kaporet</w:t>
      </w:r>
      <w:proofErr w:type="spellEnd"/>
      <w:r w:rsidR="00F9761C">
        <w:t xml:space="preserve">, </w:t>
      </w:r>
      <w:r w:rsidR="00466764">
        <w:t xml:space="preserve">the Torah teaches: </w:t>
      </w:r>
      <w:r>
        <w:t>“</w:t>
      </w:r>
      <w:r w:rsidR="00466764">
        <w:t xml:space="preserve">from </w:t>
      </w:r>
      <w:r w:rsidR="00F9761C">
        <w:t>between the two cherubim,</w:t>
      </w:r>
      <w:r>
        <w:t>”</w:t>
      </w:r>
      <w:r w:rsidR="00F9761C">
        <w:t xml:space="preserve"> the words of Rabbi </w:t>
      </w:r>
      <w:proofErr w:type="spellStart"/>
      <w:r w:rsidR="00F9761C">
        <w:t>Akiva</w:t>
      </w:r>
      <w:proofErr w:type="spellEnd"/>
      <w:r w:rsidR="00F9761C">
        <w:t>.</w:t>
      </w:r>
    </w:p>
    <w:p w14:paraId="0F21585E" w14:textId="19A9BCAD" w:rsidR="00F9761C" w:rsidRDefault="00F9761C" w:rsidP="00F9761C">
      <w:r>
        <w:t xml:space="preserve">In contrast, in </w:t>
      </w:r>
      <w:r w:rsidR="007A2B43">
        <w:t>the</w:t>
      </w:r>
      <w:r w:rsidR="007A2B43" w:rsidRPr="007A2B43">
        <w:t xml:space="preserve"> </w:t>
      </w:r>
      <w:r w:rsidR="007A2B43" w:rsidRPr="007A2B43">
        <w:rPr>
          <w:i/>
          <w:iCs/>
        </w:rPr>
        <w:t>Baraita de-</w:t>
      </w:r>
      <w:proofErr w:type="spellStart"/>
      <w:r w:rsidR="007A2B43" w:rsidRPr="007A2B43">
        <w:rPr>
          <w:i/>
          <w:iCs/>
        </w:rPr>
        <w:t>Melekhet</w:t>
      </w:r>
      <w:proofErr w:type="spellEnd"/>
      <w:r w:rsidR="007A2B43" w:rsidRPr="007A2B43">
        <w:rPr>
          <w:i/>
          <w:iCs/>
        </w:rPr>
        <w:t xml:space="preserve"> ha-</w:t>
      </w:r>
      <w:proofErr w:type="spellStart"/>
      <w:r w:rsidR="007A2B43" w:rsidRPr="007A2B43">
        <w:rPr>
          <w:i/>
          <w:iCs/>
        </w:rPr>
        <w:t>Mishkan</w:t>
      </w:r>
      <w:proofErr w:type="spellEnd"/>
      <w:r>
        <w:t>,</w:t>
      </w:r>
      <w:r w:rsidR="000B2C99">
        <w:rPr>
          <w:rStyle w:val="FootnoteReference"/>
        </w:rPr>
        <w:footnoteReference w:id="53"/>
      </w:r>
      <w:r>
        <w:t xml:space="preserve"> we </w:t>
      </w:r>
      <w:r w:rsidR="0077034F">
        <w:t>are taught</w:t>
      </w:r>
      <w:r>
        <w:t>:</w:t>
      </w:r>
    </w:p>
    <w:p w14:paraId="179F08FC" w14:textId="78134B28" w:rsidR="00F9761C" w:rsidRDefault="00F9761C" w:rsidP="0005226B">
      <w:pPr>
        <w:pStyle w:val="Quote"/>
      </w:pPr>
      <w:r>
        <w:t xml:space="preserve">From where did the </w:t>
      </w:r>
      <w:proofErr w:type="spellStart"/>
      <w:r w:rsidR="0005226B" w:rsidRPr="0005226B">
        <w:rPr>
          <w:i/>
          <w:iCs/>
        </w:rPr>
        <w:t>Shek</w:t>
      </w:r>
      <w:r w:rsidR="003D029A">
        <w:rPr>
          <w:i/>
          <w:iCs/>
        </w:rPr>
        <w:t>h</w:t>
      </w:r>
      <w:r w:rsidR="0005226B" w:rsidRPr="0005226B">
        <w:rPr>
          <w:i/>
          <w:iCs/>
        </w:rPr>
        <w:t>inah</w:t>
      </w:r>
      <w:proofErr w:type="spellEnd"/>
      <w:r>
        <w:t xml:space="preserve"> speak with Moses? Rabbi </w:t>
      </w:r>
      <w:proofErr w:type="spellStart"/>
      <w:r>
        <w:t>Natan</w:t>
      </w:r>
      <w:proofErr w:type="spellEnd"/>
      <w:r>
        <w:t xml:space="preserve"> says from the Tent, as it is written, </w:t>
      </w:r>
      <w:r w:rsidR="00176550">
        <w:t>“</w:t>
      </w:r>
      <w:r w:rsidR="005B55B7" w:rsidRPr="005B55B7">
        <w:t>And you shall put it before the veil</w:t>
      </w:r>
      <w:r>
        <w:t>.</w:t>
      </w:r>
      <w:r w:rsidR="00176550">
        <w:t>”</w:t>
      </w:r>
      <w:r>
        <w:t xml:space="preserve"> Rabbi Shimon ben </w:t>
      </w:r>
      <w:proofErr w:type="spellStart"/>
      <w:r>
        <w:t>Azzai</w:t>
      </w:r>
      <w:proofErr w:type="spellEnd"/>
      <w:r>
        <w:t xml:space="preserve"> says from the </w:t>
      </w:r>
      <w:r w:rsidR="00276375">
        <w:t>Incense Altar</w:t>
      </w:r>
      <w:r>
        <w:t xml:space="preserve">, as it is written, </w:t>
      </w:r>
      <w:r w:rsidR="00176550">
        <w:t>“</w:t>
      </w:r>
      <w:r>
        <w:t>And you shall crush some of it very fine.</w:t>
      </w:r>
      <w:r w:rsidR="00176550">
        <w:t>”</w:t>
      </w:r>
      <w:r>
        <w:t xml:space="preserve"> The student of Rabbi Ishmael says from </w:t>
      </w:r>
      <w:r w:rsidR="003F5948">
        <w:t>adjacent to the</w:t>
      </w:r>
      <w:r>
        <w:t xml:space="preserve"> Altar of Burnt Offering, as it is written, </w:t>
      </w:r>
      <w:r w:rsidR="00176550">
        <w:t>“</w:t>
      </w:r>
      <w:r w:rsidR="00A07B6F" w:rsidRPr="00A07B6F">
        <w:t xml:space="preserve">a continual burnt offering throughout your generations </w:t>
      </w:r>
      <w:r w:rsidR="001C0DAB">
        <w:t>[</w:t>
      </w:r>
      <w:r w:rsidR="00A07B6F" w:rsidRPr="00A07B6F">
        <w:t>at the door of the tabernacle of meeting before the Lord, where I will meet you to speak with you</w:t>
      </w:r>
      <w:r w:rsidR="001C0DAB">
        <w:t>]</w:t>
      </w:r>
      <w:r w:rsidR="00176550">
        <w:t>”</w:t>
      </w:r>
      <w:r>
        <w:t xml:space="preserve"> (Exodus 29:42-43).</w:t>
      </w:r>
    </w:p>
    <w:p w14:paraId="45F4E01B" w14:textId="0D50C622" w:rsidR="00F9761C" w:rsidRDefault="009772EC" w:rsidP="00F9761C">
      <w:r>
        <w:t>Heschel</w:t>
      </w:r>
      <w:r w:rsidR="00F9761C">
        <w:t xml:space="preserve"> note</w:t>
      </w:r>
      <w:r w:rsidR="006865E1">
        <w:t>s</w:t>
      </w:r>
      <w:r w:rsidR="00F9761C">
        <w:t xml:space="preserve"> that, like in other cases, Rabbi </w:t>
      </w:r>
      <w:proofErr w:type="spellStart"/>
      <w:r w:rsidR="00F9761C">
        <w:t>Akiva</w:t>
      </w:r>
      <w:proofErr w:type="spellEnd"/>
      <w:r w:rsidR="00F9761C">
        <w:t xml:space="preserve"> believes that the </w:t>
      </w:r>
      <w:proofErr w:type="spellStart"/>
      <w:r w:rsidR="00821646">
        <w:rPr>
          <w:i/>
          <w:iCs/>
        </w:rPr>
        <w:t>Shekhinah</w:t>
      </w:r>
      <w:proofErr w:type="spellEnd"/>
      <w:r w:rsidR="00F9761C">
        <w:t xml:space="preserve"> dwells in a literal sense in the Tent of Meeting, just as it descended upon Mount Sinai, while the student of Rabbi Ishmael reflects his teacher</w:t>
      </w:r>
      <w:r w:rsidR="00176550">
        <w:t>’</w:t>
      </w:r>
      <w:r w:rsidR="00F9761C">
        <w:t xml:space="preserve">s view that the </w:t>
      </w:r>
      <w:proofErr w:type="spellStart"/>
      <w:r w:rsidR="00821646">
        <w:rPr>
          <w:i/>
          <w:iCs/>
        </w:rPr>
        <w:t>Shekhinah</w:t>
      </w:r>
      <w:proofErr w:type="spellEnd"/>
      <w:r w:rsidR="00F9761C">
        <w:t xml:space="preserve"> dwells </w:t>
      </w:r>
      <w:r w:rsidR="00F9761C">
        <w:lastRenderedPageBreak/>
        <w:t>everywhere</w:t>
      </w:r>
      <w:r w:rsidR="0018691D">
        <w:t xml:space="preserve"> and</w:t>
      </w:r>
      <w:r w:rsidR="00F9761C">
        <w:t xml:space="preserve"> the revelation of the </w:t>
      </w:r>
      <w:proofErr w:type="spellStart"/>
      <w:r w:rsidR="00821646">
        <w:rPr>
          <w:i/>
          <w:iCs/>
        </w:rPr>
        <w:t>Shekhinah</w:t>
      </w:r>
      <w:proofErr w:type="spellEnd"/>
      <w:r w:rsidR="00F9761C">
        <w:t xml:space="preserve"> on the altar is a special place for Moses, but </w:t>
      </w:r>
      <w:r w:rsidR="0018691D">
        <w:t>not</w:t>
      </w:r>
      <w:r w:rsidR="00F9761C">
        <w:t xml:space="preserve"> for the </w:t>
      </w:r>
      <w:proofErr w:type="spellStart"/>
      <w:r w:rsidR="00821646">
        <w:rPr>
          <w:i/>
          <w:iCs/>
        </w:rPr>
        <w:t>Shekhinah</w:t>
      </w:r>
      <w:proofErr w:type="spellEnd"/>
      <w:r w:rsidR="00F9761C">
        <w:t>, which is not limited to one location. Kahana</w:t>
      </w:r>
      <w:r w:rsidR="00CD13B6">
        <w:t xml:space="preserve"> adopt</w:t>
      </w:r>
      <w:r w:rsidR="006865E1">
        <w:t>s</w:t>
      </w:r>
      <w:r w:rsidR="00CD13B6">
        <w:t xml:space="preserve"> Heschel</w:t>
      </w:r>
      <w:r w:rsidR="00176550">
        <w:t>’</w:t>
      </w:r>
      <w:r w:rsidR="00CD13B6">
        <w:t>s view and</w:t>
      </w:r>
      <w:r w:rsidR="00F9761C">
        <w:t xml:space="preserve"> pointed out that </w:t>
      </w:r>
      <w:r w:rsidR="00F26C95">
        <w:t xml:space="preserve">this midrash </w:t>
      </w:r>
      <w:r w:rsidR="00273C59">
        <w:t>also re</w:t>
      </w:r>
      <w:r w:rsidR="00F26C95">
        <w:t>flects</w:t>
      </w:r>
      <w:r w:rsidR="00F9761C">
        <w:t xml:space="preserve"> </w:t>
      </w:r>
      <w:r w:rsidR="00F26C95">
        <w:t xml:space="preserve">their dispute </w:t>
      </w:r>
      <w:r w:rsidR="00F26C95">
        <w:t>regarding</w:t>
      </w:r>
      <w:r w:rsidR="00F9761C">
        <w:t xml:space="preserve"> the degree of intimacy of Moses</w:t>
      </w:r>
      <w:r w:rsidR="00176550">
        <w:t>’</w:t>
      </w:r>
      <w:r w:rsidR="00F9761C">
        <w:t xml:space="preserve"> encounters with the </w:t>
      </w:r>
      <w:proofErr w:type="spellStart"/>
      <w:r w:rsidR="00821646">
        <w:rPr>
          <w:i/>
          <w:iCs/>
        </w:rPr>
        <w:t>Shekhinah</w:t>
      </w:r>
      <w:proofErr w:type="spellEnd"/>
      <w:r w:rsidR="00F9761C">
        <w:t>.</w:t>
      </w:r>
    </w:p>
    <w:p w14:paraId="2BD2BC59" w14:textId="0353DD97" w:rsidR="00666475" w:rsidRDefault="00666475" w:rsidP="00AF7186">
      <w:r>
        <w:t xml:space="preserve">The debate between the </w:t>
      </w:r>
      <w:proofErr w:type="spellStart"/>
      <w:r w:rsidRPr="00F26C95">
        <w:rPr>
          <w:i/>
          <w:iCs/>
        </w:rPr>
        <w:t>Sifra</w:t>
      </w:r>
      <w:proofErr w:type="spellEnd"/>
      <w:r>
        <w:t xml:space="preserve"> and </w:t>
      </w:r>
      <w:proofErr w:type="spellStart"/>
      <w:r w:rsidRPr="00F26C95">
        <w:rPr>
          <w:i/>
          <w:iCs/>
        </w:rPr>
        <w:t>Sifrei</w:t>
      </w:r>
      <w:proofErr w:type="spellEnd"/>
      <w:r w:rsidRPr="00F26C95">
        <w:rPr>
          <w:i/>
          <w:iCs/>
        </w:rPr>
        <w:t xml:space="preserve"> </w:t>
      </w:r>
      <w:proofErr w:type="spellStart"/>
      <w:r w:rsidRPr="00F26C95">
        <w:rPr>
          <w:i/>
          <w:iCs/>
        </w:rPr>
        <w:t>Zuta</w:t>
      </w:r>
      <w:proofErr w:type="spellEnd"/>
      <w:r>
        <w:t xml:space="preserve"> which we have discussed in this article </w:t>
      </w:r>
      <w:r w:rsidR="006E48DB">
        <w:t>also relates to this dispute</w:t>
      </w:r>
      <w:r>
        <w:t xml:space="preserve">: If there is a special place for the </w:t>
      </w:r>
      <w:proofErr w:type="spellStart"/>
      <w:r w:rsidR="00821646">
        <w:rPr>
          <w:i/>
          <w:iCs/>
        </w:rPr>
        <w:t>Shekhinah</w:t>
      </w:r>
      <w:proofErr w:type="spellEnd"/>
      <w:r>
        <w:t xml:space="preserve"> in the Temple, then it should be addressed first. This is the view of the </w:t>
      </w:r>
      <w:proofErr w:type="spellStart"/>
      <w:r w:rsidRPr="00AF7186">
        <w:rPr>
          <w:i/>
          <w:iCs/>
        </w:rPr>
        <w:t>Sifra</w:t>
      </w:r>
      <w:proofErr w:type="spellEnd"/>
      <w:r>
        <w:t xml:space="preserve">. In contrast, if </w:t>
      </w:r>
      <w:r w:rsidR="00176550">
        <w:t>“</w:t>
      </w:r>
      <w:r>
        <w:t>the whole earth is full of His glory</w:t>
      </w:r>
      <w:r w:rsidR="00176550">
        <w:t>”</w:t>
      </w:r>
      <w:r>
        <w:t xml:space="preserve"> and the Temple is primarily a place </w:t>
      </w:r>
      <w:r w:rsidR="00AF7186">
        <w:t>for the people of Israel</w:t>
      </w:r>
      <w:r w:rsidR="00AF7186">
        <w:t xml:space="preserve"> to serve </w:t>
      </w:r>
      <w:r>
        <w:t xml:space="preserve">God, then the daily services should begin with the </w:t>
      </w:r>
      <w:r w:rsidR="00AF7186">
        <w:t>daily offering on the outer altar.</w:t>
      </w:r>
    </w:p>
    <w:p w14:paraId="5ED123DD" w14:textId="77777777" w:rsidR="006B5A25" w:rsidRDefault="006B5A25" w:rsidP="006B5A25"/>
    <w:p w14:paraId="1859C980" w14:textId="77777777" w:rsidR="006B5A25" w:rsidRDefault="006B5A25" w:rsidP="006B5A25"/>
    <w:p w14:paraId="4A681F2F" w14:textId="77777777" w:rsidR="006B5A25" w:rsidRPr="000D72B3" w:rsidRDefault="006B5A25" w:rsidP="00DD4C41"/>
    <w:sectPr w:rsidR="006B5A25" w:rsidRPr="000D72B3" w:rsidSect="00CB0C9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3-04-13T15:48:00Z" w:initials="JA">
    <w:p w14:paraId="198C8C68" w14:textId="48F9B1CA" w:rsidR="00BA0F6B" w:rsidRDefault="00BA0F6B" w:rsidP="00BA0F6B">
      <w:pPr>
        <w:pStyle w:val="CommentText"/>
        <w:bidi/>
        <w:rPr>
          <w:rtl/>
        </w:rPr>
      </w:pPr>
      <w:r>
        <w:rPr>
          <w:rStyle w:val="CommentReference"/>
        </w:rPr>
        <w:annotationRef/>
      </w:r>
      <w:r>
        <w:rPr>
          <w:rFonts w:hint="cs"/>
          <w:rtl/>
        </w:rPr>
        <w:t xml:space="preserve">בהערה </w:t>
      </w:r>
      <w:r>
        <w:rPr>
          <w:rtl/>
        </w:rPr>
        <w:t>–</w:t>
      </w:r>
      <w:r>
        <w:rPr>
          <w:rFonts w:hint="cs"/>
          <w:rtl/>
        </w:rPr>
        <w:t xml:space="preserve"> לא ברור לי כיצד אתה מסיק מהקמת המשכן של משה מהפנים </w:t>
      </w:r>
      <w:proofErr w:type="spellStart"/>
      <w:r>
        <w:rPr>
          <w:rFonts w:hint="cs"/>
          <w:rtl/>
        </w:rPr>
        <w:t>לבחוץ</w:t>
      </w:r>
      <w:proofErr w:type="spellEnd"/>
      <w:r>
        <w:rPr>
          <w:rFonts w:hint="cs"/>
          <w:rtl/>
        </w:rPr>
        <w:t xml:space="preserve"> משהו על סדר העבודה</w:t>
      </w:r>
    </w:p>
  </w:comment>
  <w:comment w:id="1" w:author="JA" w:date="2023-04-19T09:10:00Z" w:initials="JA">
    <w:p w14:paraId="6B9126F9" w14:textId="77777777" w:rsidR="00A1201D" w:rsidRDefault="00A1201D" w:rsidP="00A1201D">
      <w:pPr>
        <w:pStyle w:val="CommentText"/>
        <w:bidi/>
        <w:rPr>
          <w:rtl/>
        </w:rPr>
      </w:pPr>
      <w:r>
        <w:rPr>
          <w:rStyle w:val="CommentReference"/>
        </w:rPr>
        <w:annotationRef/>
      </w:r>
      <w:r>
        <w:rPr>
          <w:rFonts w:hint="cs"/>
          <w:rtl/>
        </w:rPr>
        <w:t xml:space="preserve">קצת מוזר להציג את הקטע </w:t>
      </w:r>
      <w:proofErr w:type="spellStart"/>
      <w:r>
        <w:rPr>
          <w:rFonts w:hint="cs"/>
          <w:rtl/>
        </w:rPr>
        <w:t>מיוספוס</w:t>
      </w:r>
      <w:proofErr w:type="spellEnd"/>
      <w:r>
        <w:rPr>
          <w:rFonts w:hint="cs"/>
          <w:rtl/>
        </w:rPr>
        <w:t xml:space="preserve"> כדוגמה של משהו שלא קיים.  אולי תציג את זה אחרת? משהו מעין:</w:t>
      </w:r>
      <w:r>
        <w:rPr>
          <w:rFonts w:hint="cs"/>
        </w:rPr>
        <w:t xml:space="preserve"> </w:t>
      </w:r>
    </w:p>
    <w:p w14:paraId="3E9B5D71" w14:textId="412FFBB3" w:rsidR="00A1201D" w:rsidRDefault="00A1201D" w:rsidP="00A1201D">
      <w:pPr>
        <w:pStyle w:val="CommentText"/>
      </w:pPr>
      <w:r w:rsidRPr="004505C6">
        <w:t>There is also no direct reference to this matter in pre-Tannaitic Jewish literature</w:t>
      </w:r>
      <w:r>
        <w:t xml:space="preserve"> and it is hard to draw firm conclusions from the indirect references. For example, …</w:t>
      </w:r>
    </w:p>
  </w:comment>
  <w:comment w:id="2" w:author="JA" w:date="2023-04-13T12:09:00Z" w:initials="JA">
    <w:p w14:paraId="1949AD98" w14:textId="324E1BDE" w:rsidR="00CC0CD2" w:rsidRDefault="00CC0CD2" w:rsidP="00C8457E">
      <w:pPr>
        <w:pStyle w:val="CommentText"/>
        <w:bidi/>
        <w:rPr>
          <w:rtl/>
        </w:rPr>
      </w:pPr>
      <w:r>
        <w:rPr>
          <w:rStyle w:val="CommentReference"/>
        </w:rPr>
        <w:annotationRef/>
      </w:r>
      <w:r>
        <w:rPr>
          <w:rFonts w:hint="cs"/>
          <w:noProof/>
          <w:rtl/>
        </w:rPr>
        <w:t xml:space="preserve">תרגום </w:t>
      </w:r>
      <w:r w:rsidR="002C490A">
        <w:rPr>
          <w:rFonts w:hint="cs"/>
          <w:noProof/>
          <w:rtl/>
        </w:rPr>
        <w:t>יוספוס פה ובהמשך</w:t>
      </w:r>
      <w:r>
        <w:rPr>
          <w:rFonts w:hint="cs"/>
          <w:noProof/>
          <w:rtl/>
        </w:rPr>
        <w:t xml:space="preserve"> לקוח מזו של </w:t>
      </w:r>
      <w:r>
        <w:rPr>
          <w:noProof/>
        </w:rPr>
        <w:t xml:space="preserve">William Whiston </w:t>
      </w:r>
      <w:r>
        <w:rPr>
          <w:rFonts w:hint="cs"/>
          <w:noProof/>
          <w:rtl/>
        </w:rPr>
        <w:t>הנמצא באינט</w:t>
      </w:r>
      <w:r w:rsidR="00065DA0">
        <w:rPr>
          <w:rFonts w:hint="cs"/>
          <w:noProof/>
          <w:rtl/>
        </w:rPr>
        <w:t>ר</w:t>
      </w:r>
      <w:r>
        <w:rPr>
          <w:rFonts w:hint="cs"/>
          <w:noProof/>
          <w:rtl/>
        </w:rPr>
        <w:t xml:space="preserve">נט בכמה מקומות.  אם יש לך תרגום אחר לאנגלית שאתה מעדיף אפשר לשים פה במקום. </w:t>
      </w:r>
    </w:p>
  </w:comment>
  <w:comment w:id="3" w:author="JA" w:date="2023-04-16T15:03:00Z" w:initials="JA">
    <w:p w14:paraId="02D84D1C" w14:textId="711BBDFD" w:rsidR="00A56C49" w:rsidRDefault="00A56C49" w:rsidP="00A56C49">
      <w:pPr>
        <w:pStyle w:val="CommentText"/>
        <w:bidi/>
        <w:rPr>
          <w:rFonts w:hint="cs"/>
          <w:rtl/>
        </w:rPr>
      </w:pPr>
      <w:r>
        <w:rPr>
          <w:rStyle w:val="CommentReference"/>
        </w:rPr>
        <w:annotationRef/>
      </w:r>
      <w:r>
        <w:rPr>
          <w:rFonts w:hint="cs"/>
          <w:rtl/>
        </w:rPr>
        <w:t>תיקנתי לפסוק לט</w:t>
      </w:r>
    </w:p>
  </w:comment>
  <w:comment w:id="4" w:author="JA" w:date="2023-04-16T17:06:00Z" w:initials="JA">
    <w:p w14:paraId="6864D50E" w14:textId="1D80E795" w:rsidR="00E736C8" w:rsidRDefault="00E736C8" w:rsidP="00E736C8">
      <w:pPr>
        <w:pStyle w:val="CommentText"/>
        <w:bidi/>
        <w:rPr>
          <w:rFonts w:hint="cs"/>
          <w:rtl/>
        </w:rPr>
      </w:pPr>
      <w:r>
        <w:rPr>
          <w:rStyle w:val="CommentReference"/>
        </w:rPr>
        <w:annotationRef/>
      </w:r>
      <w:r>
        <w:rPr>
          <w:rFonts w:hint="cs"/>
          <w:rtl/>
        </w:rPr>
        <w:t>לדעתי אפשר לוותר על הסיכום הזה</w:t>
      </w:r>
    </w:p>
  </w:comment>
  <w:comment w:id="5" w:author="JA" w:date="2023-04-18T19:56:00Z" w:initials="JA">
    <w:p w14:paraId="5F3BB722" w14:textId="3FA71C7A" w:rsidR="00EB41D9" w:rsidRDefault="00EB41D9" w:rsidP="00EB41D9">
      <w:pPr>
        <w:pStyle w:val="CommentText"/>
        <w:bidi/>
        <w:rPr>
          <w:rFonts w:hint="cs"/>
          <w:rtl/>
        </w:rPr>
      </w:pPr>
      <w:r>
        <w:rPr>
          <w:rStyle w:val="CommentReference"/>
        </w:rPr>
        <w:annotationRef/>
      </w:r>
      <w:r>
        <w:rPr>
          <w:rFonts w:hint="cs"/>
          <w:rtl/>
        </w:rPr>
        <w:t>בהערה: הספר של אורבך תורגם לאנגלית וכתבתי את הפרטים של המהדורה באנגלית.  העמודים חסרים לי.</w:t>
      </w:r>
    </w:p>
  </w:comment>
  <w:comment w:id="6" w:author="JA" w:date="2023-04-18T20:07:00Z" w:initials="JA">
    <w:p w14:paraId="797FE3C7" w14:textId="25C5CFD9" w:rsidR="000D0860" w:rsidRDefault="000D0860" w:rsidP="000D0860">
      <w:pPr>
        <w:pStyle w:val="CommentText"/>
        <w:bidi/>
        <w:rPr>
          <w:rFonts w:hint="cs"/>
          <w:rtl/>
        </w:rPr>
      </w:pPr>
      <w:r>
        <w:rPr>
          <w:rStyle w:val="CommentReference"/>
        </w:rPr>
        <w:annotationRef/>
      </w:r>
      <w:r>
        <w:rPr>
          <w:rFonts w:hint="cs"/>
          <w:rtl/>
        </w:rPr>
        <w:t xml:space="preserve">בהערה מופיע </w:t>
      </w:r>
      <w:r w:rsidR="00176550">
        <w:rPr>
          <w:rtl/>
        </w:rPr>
        <w:t>“</w:t>
      </w:r>
      <w:proofErr w:type="spellStart"/>
      <w:r>
        <w:rPr>
          <w:rFonts w:hint="cs"/>
          <w:rtl/>
        </w:rPr>
        <w:t>ובנסמן</w:t>
      </w:r>
      <w:proofErr w:type="spellEnd"/>
      <w:r>
        <w:rPr>
          <w:rFonts w:hint="cs"/>
          <w:rtl/>
        </w:rPr>
        <w:t xml:space="preserve"> שם</w:t>
      </w:r>
      <w:r w:rsidR="00176550">
        <w:rPr>
          <w:rtl/>
        </w:rPr>
        <w:t>”</w:t>
      </w:r>
      <w:r w:rsidR="00A42131">
        <w:rPr>
          <w:rFonts w:hint="cs"/>
          <w:rtl/>
        </w:rPr>
        <w:t>.  לא מצאתי ספר או מאמר עם מחבר זה</w:t>
      </w:r>
    </w:p>
  </w:comment>
  <w:comment w:id="7" w:author="JA" w:date="2023-04-18T12:42:00Z" w:initials="JA">
    <w:p w14:paraId="37DBE5D3" w14:textId="7DFA436D" w:rsidR="00CA3F3D" w:rsidRDefault="00CA3F3D">
      <w:pPr>
        <w:pStyle w:val="CommentText"/>
        <w:rPr>
          <w:rFonts w:hint="cs"/>
          <w:rtl/>
        </w:rPr>
      </w:pPr>
      <w:r>
        <w:rPr>
          <w:rStyle w:val="CommentReference"/>
        </w:rPr>
        <w:annotationRef/>
      </w:r>
      <w:r>
        <w:rPr>
          <w:rFonts w:hint="cs"/>
          <w:rtl/>
        </w:rPr>
        <w:t>האם זו כוונתך?</w:t>
      </w:r>
    </w:p>
  </w:comment>
  <w:comment w:id="8" w:author="JA" w:date="2023-04-18T14:54:00Z" w:initials="JA">
    <w:p w14:paraId="6F209AFB" w14:textId="480FA1F0" w:rsidR="003444E7" w:rsidRDefault="003444E7" w:rsidP="003444E7">
      <w:pPr>
        <w:pStyle w:val="CommentText"/>
        <w:bidi/>
        <w:rPr>
          <w:rFonts w:hint="cs"/>
          <w:rtl/>
        </w:rPr>
      </w:pPr>
      <w:r>
        <w:rPr>
          <w:rStyle w:val="CommentReference"/>
        </w:rPr>
        <w:annotationRef/>
      </w:r>
      <w:r>
        <w:rPr>
          <w:rFonts w:hint="cs"/>
          <w:rtl/>
        </w:rPr>
        <w:t>במקור:</w:t>
      </w:r>
      <w:r>
        <w:rPr>
          <w:rFonts w:hint="cs"/>
        </w:rPr>
        <w:t xml:space="preserve"> </w:t>
      </w:r>
      <w:r>
        <w:rPr>
          <w:rFonts w:hint="cs"/>
          <w:rtl/>
        </w:rPr>
        <w:t>מגדיר אבל חשבתי שזה יותר נכון</w:t>
      </w:r>
    </w:p>
  </w:comment>
  <w:comment w:id="9" w:author="JA" w:date="2023-04-19T10:30:00Z" w:initials="JA">
    <w:p w14:paraId="4DB46DAC" w14:textId="7D820E6B" w:rsidR="009927B7" w:rsidRDefault="009927B7" w:rsidP="009927B7">
      <w:pPr>
        <w:pStyle w:val="CommentText"/>
        <w:bidi/>
        <w:rPr>
          <w:rFonts w:hint="cs"/>
          <w:rtl/>
        </w:rPr>
      </w:pPr>
      <w:r>
        <w:rPr>
          <w:rStyle w:val="CommentReference"/>
        </w:rPr>
        <w:annotationRef/>
      </w:r>
      <w:r>
        <w:rPr>
          <w:rFonts w:hint="cs"/>
          <w:rtl/>
        </w:rPr>
        <w:t xml:space="preserve">בהערה, המאמר של זוסמן צוין כבר </w:t>
      </w:r>
      <w:r>
        <w:rPr>
          <w:rtl/>
        </w:rPr>
        <w:t>–</w:t>
      </w:r>
      <w:r>
        <w:rPr>
          <w:rFonts w:hint="cs"/>
          <w:rtl/>
        </w:rPr>
        <w:t xml:space="preserve"> אולי לעשות כמו שעשית במקומות אחרים </w:t>
      </w:r>
      <w:r>
        <w:rPr>
          <w:rtl/>
        </w:rPr>
        <w:t>–</w:t>
      </w:r>
      <w:r>
        <w:rPr>
          <w:rFonts w:hint="cs"/>
          <w:rtl/>
        </w:rPr>
        <w:t xml:space="preserve"> </w:t>
      </w:r>
      <w:r>
        <w:t xml:space="preserve"> above, note 000 </w:t>
      </w:r>
    </w:p>
  </w:comment>
  <w:comment w:id="10" w:author="JA" w:date="2023-04-18T15:23:00Z" w:initials="JA">
    <w:p w14:paraId="7AD5A25D" w14:textId="2EDA5E1E" w:rsidR="007330C0" w:rsidRDefault="007330C0" w:rsidP="007330C0">
      <w:pPr>
        <w:pStyle w:val="CommentText"/>
        <w:bidi/>
        <w:rPr>
          <w:rFonts w:hint="cs"/>
          <w:rtl/>
        </w:rPr>
      </w:pPr>
      <w:r>
        <w:rPr>
          <w:rStyle w:val="CommentReference"/>
        </w:rPr>
        <w:annotationRef/>
      </w:r>
      <w:r>
        <w:rPr>
          <w:rFonts w:hint="cs"/>
          <w:rtl/>
        </w:rPr>
        <w:t>לא הבנתי את זה</w:t>
      </w:r>
    </w:p>
  </w:comment>
  <w:comment w:id="11" w:author="JA" w:date="2023-04-18T16:08:00Z" w:initials="JA">
    <w:p w14:paraId="35B1D939" w14:textId="27AA2D4D" w:rsidR="00AD764D" w:rsidRDefault="00AD764D" w:rsidP="00AD764D">
      <w:pPr>
        <w:pStyle w:val="CommentText"/>
        <w:bidi/>
        <w:rPr>
          <w:rFonts w:hint="cs"/>
          <w:rtl/>
        </w:rPr>
      </w:pPr>
      <w:r>
        <w:rPr>
          <w:rStyle w:val="CommentReference"/>
        </w:rPr>
        <w:annotationRef/>
      </w:r>
      <w:r>
        <w:rPr>
          <w:rFonts w:hint="cs"/>
          <w:rtl/>
        </w:rPr>
        <w:t>נא לבדוק.  לא בטוח שהבנתי</w:t>
      </w:r>
    </w:p>
  </w:comment>
  <w:comment w:id="12" w:author="JA" w:date="2023-04-18T16:45:00Z" w:initials="JA">
    <w:p w14:paraId="42081B41" w14:textId="06A11A7F" w:rsidR="008741D1" w:rsidRDefault="008741D1" w:rsidP="008741D1">
      <w:pPr>
        <w:pStyle w:val="CommentText"/>
        <w:bidi/>
        <w:rPr>
          <w:rFonts w:hint="cs"/>
          <w:rtl/>
        </w:rPr>
      </w:pPr>
      <w:r>
        <w:rPr>
          <w:rStyle w:val="CommentReference"/>
        </w:rPr>
        <w:annotationRef/>
      </w:r>
      <w:r>
        <w:rPr>
          <w:rFonts w:hint="cs"/>
          <w:rtl/>
        </w:rPr>
        <w:t>המדרש לא מובן. לכאורה הפסוק בבמדבר מכריע להיפך!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8C8C68" w15:done="0"/>
  <w15:commentEx w15:paraId="3E9B5D71" w15:done="0"/>
  <w15:commentEx w15:paraId="1949AD98" w15:done="0"/>
  <w15:commentEx w15:paraId="02D84D1C" w15:done="0"/>
  <w15:commentEx w15:paraId="6864D50E" w15:done="0"/>
  <w15:commentEx w15:paraId="5F3BB722" w15:done="0"/>
  <w15:commentEx w15:paraId="797FE3C7" w15:done="0"/>
  <w15:commentEx w15:paraId="37DBE5D3" w15:done="0"/>
  <w15:commentEx w15:paraId="6F209AFB" w15:done="0"/>
  <w15:commentEx w15:paraId="4DB46DAC" w15:done="0"/>
  <w15:commentEx w15:paraId="7AD5A25D" w15:done="0"/>
  <w15:commentEx w15:paraId="35B1D939" w15:done="0"/>
  <w15:commentEx w15:paraId="42081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A2BC" w16cex:dateUtc="2023-04-13T12:48:00Z"/>
  <w16cex:commentExtensible w16cex:durableId="27EA2E9D" w16cex:dateUtc="2023-04-19T06:10:00Z"/>
  <w16cex:commentExtensible w16cex:durableId="27E26F94" w16cex:dateUtc="2023-04-13T09:09:00Z"/>
  <w16cex:commentExtensible w16cex:durableId="27E68CDC" w16cex:dateUtc="2023-04-16T12:03:00Z"/>
  <w16cex:commentExtensible w16cex:durableId="27E6A97D" w16cex:dateUtc="2023-04-16T14:06:00Z"/>
  <w16cex:commentExtensible w16cex:durableId="27E97468" w16cex:dateUtc="2023-04-18T16:56:00Z"/>
  <w16cex:commentExtensible w16cex:durableId="27E97714" w16cex:dateUtc="2023-04-18T17:07:00Z"/>
  <w16cex:commentExtensible w16cex:durableId="27E90ECE" w16cex:dateUtc="2023-04-18T09:42:00Z"/>
  <w16cex:commentExtensible w16cex:durableId="27E92D9C" w16cex:dateUtc="2023-04-18T11:54:00Z"/>
  <w16cex:commentExtensible w16cex:durableId="27EA4148" w16cex:dateUtc="2023-04-19T07:30:00Z"/>
  <w16cex:commentExtensible w16cex:durableId="27E93485" w16cex:dateUtc="2023-04-18T12:23:00Z"/>
  <w16cex:commentExtensible w16cex:durableId="27E93EEC" w16cex:dateUtc="2023-04-18T13:08:00Z"/>
  <w16cex:commentExtensible w16cex:durableId="27E947BB" w16cex:dateUtc="2023-04-18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8C8C68" w16cid:durableId="27E2A2BC"/>
  <w16cid:commentId w16cid:paraId="3E9B5D71" w16cid:durableId="27EA2E9D"/>
  <w16cid:commentId w16cid:paraId="1949AD98" w16cid:durableId="27E26F94"/>
  <w16cid:commentId w16cid:paraId="02D84D1C" w16cid:durableId="27E68CDC"/>
  <w16cid:commentId w16cid:paraId="6864D50E" w16cid:durableId="27E6A97D"/>
  <w16cid:commentId w16cid:paraId="5F3BB722" w16cid:durableId="27E97468"/>
  <w16cid:commentId w16cid:paraId="797FE3C7" w16cid:durableId="27E97714"/>
  <w16cid:commentId w16cid:paraId="37DBE5D3" w16cid:durableId="27E90ECE"/>
  <w16cid:commentId w16cid:paraId="6F209AFB" w16cid:durableId="27E92D9C"/>
  <w16cid:commentId w16cid:paraId="4DB46DAC" w16cid:durableId="27EA4148"/>
  <w16cid:commentId w16cid:paraId="7AD5A25D" w16cid:durableId="27E93485"/>
  <w16cid:commentId w16cid:paraId="35B1D939" w16cid:durableId="27E93EEC"/>
  <w16cid:commentId w16cid:paraId="42081B41" w16cid:durableId="27E947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EB67" w14:textId="77777777" w:rsidR="000900DB" w:rsidRDefault="000900DB" w:rsidP="004505C6">
      <w:r>
        <w:separator/>
      </w:r>
    </w:p>
  </w:endnote>
  <w:endnote w:type="continuationSeparator" w:id="0">
    <w:p w14:paraId="7657D66B" w14:textId="77777777" w:rsidR="000900DB" w:rsidRDefault="000900DB" w:rsidP="0045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E0CE" w14:textId="77777777" w:rsidR="000900DB" w:rsidRDefault="000900DB" w:rsidP="004505C6">
      <w:r>
        <w:separator/>
      </w:r>
    </w:p>
  </w:footnote>
  <w:footnote w:type="continuationSeparator" w:id="0">
    <w:p w14:paraId="742341B4" w14:textId="77777777" w:rsidR="000900DB" w:rsidRDefault="000900DB" w:rsidP="004505C6">
      <w:r>
        <w:continuationSeparator/>
      </w:r>
    </w:p>
  </w:footnote>
  <w:footnote w:id="1">
    <w:p w14:paraId="13BD8B22" w14:textId="4A7C5E27" w:rsidR="002E12FE" w:rsidRPr="00E86965" w:rsidRDefault="002E12FE" w:rsidP="009B1F07">
      <w:pPr>
        <w:pStyle w:val="FootnoteText"/>
      </w:pPr>
      <w:r w:rsidRPr="00E86965">
        <w:rPr>
          <w:rStyle w:val="FootnoteReference"/>
        </w:rPr>
        <w:footnoteRef/>
      </w:r>
      <w:r w:rsidRPr="00E86965">
        <w:rPr>
          <w:vertAlign w:val="superscript"/>
        </w:rPr>
        <w:t xml:space="preserve"> </w:t>
      </w:r>
      <w:r w:rsidR="00E86965" w:rsidRPr="00A270B6">
        <w:t>Exodus 25:30.</w:t>
      </w:r>
    </w:p>
  </w:footnote>
  <w:footnote w:id="2">
    <w:p w14:paraId="444DFFA1" w14:textId="33EB47B4" w:rsidR="007429F7" w:rsidRDefault="007429F7" w:rsidP="00705F22">
      <w:pPr>
        <w:pStyle w:val="FootnoteText"/>
      </w:pPr>
      <w:r>
        <w:rPr>
          <w:rStyle w:val="FootnoteReference"/>
        </w:rPr>
        <w:footnoteRef/>
      </w:r>
      <w:r>
        <w:t xml:space="preserve"> </w:t>
      </w:r>
      <w:r w:rsidRPr="00A270B6">
        <w:t>Exodus 27:20.</w:t>
      </w:r>
    </w:p>
  </w:footnote>
  <w:footnote w:id="3">
    <w:p w14:paraId="2B97829C" w14:textId="73A54457" w:rsidR="00355CF1" w:rsidRDefault="00355CF1" w:rsidP="00705F22">
      <w:pPr>
        <w:pStyle w:val="FootnoteText"/>
      </w:pPr>
      <w:r>
        <w:rPr>
          <w:rStyle w:val="FootnoteReference"/>
        </w:rPr>
        <w:footnoteRef/>
      </w:r>
      <w:r>
        <w:t xml:space="preserve"> </w:t>
      </w:r>
      <w:r w:rsidRPr="00A270B6">
        <w:t>Exodus 30:8.</w:t>
      </w:r>
    </w:p>
  </w:footnote>
  <w:footnote w:id="4">
    <w:p w14:paraId="140C80A7" w14:textId="0B6CD55B" w:rsidR="0037631C" w:rsidRDefault="0037631C" w:rsidP="00705F22">
      <w:pPr>
        <w:pStyle w:val="FootnoteText"/>
      </w:pPr>
      <w:r>
        <w:rPr>
          <w:rStyle w:val="FootnoteReference"/>
        </w:rPr>
        <w:footnoteRef/>
      </w:r>
      <w:r>
        <w:t xml:space="preserve"> </w:t>
      </w:r>
      <w:r w:rsidRPr="00A270B6">
        <w:t>Exodus 29:38.</w:t>
      </w:r>
    </w:p>
  </w:footnote>
  <w:footnote w:id="5">
    <w:p w14:paraId="0393FC02" w14:textId="51252839" w:rsidR="0037631C" w:rsidRDefault="0037631C" w:rsidP="00705F22">
      <w:pPr>
        <w:pStyle w:val="FootnoteText"/>
      </w:pPr>
      <w:r>
        <w:rPr>
          <w:rStyle w:val="FootnoteReference"/>
        </w:rPr>
        <w:footnoteRef/>
      </w:r>
      <w:r>
        <w:t xml:space="preserve"> </w:t>
      </w:r>
      <w:r w:rsidRPr="00A270B6">
        <w:t>Leviticus 6:6.</w:t>
      </w:r>
    </w:p>
  </w:footnote>
  <w:footnote w:id="6">
    <w:p w14:paraId="403557FB" w14:textId="5DBBB0E9" w:rsidR="00D1220F" w:rsidRDefault="00D1220F" w:rsidP="00705F22">
      <w:pPr>
        <w:pStyle w:val="FootnoteText"/>
      </w:pPr>
      <w:r>
        <w:rPr>
          <w:rStyle w:val="FootnoteReference"/>
        </w:rPr>
        <w:footnoteRef/>
      </w:r>
      <w:r>
        <w:t xml:space="preserve"> </w:t>
      </w:r>
      <w:r w:rsidRPr="00D1220F">
        <w:t>In Exodus chapter 40, Moses places the vessels in the Tabernacle from the inside out and performs the</w:t>
      </w:r>
      <w:r w:rsidR="00F436FE">
        <w:t xml:space="preserve"> </w:t>
      </w:r>
      <w:r w:rsidR="002B3697">
        <w:t xml:space="preserve">daily </w:t>
      </w:r>
      <w:r w:rsidRPr="00D1220F">
        <w:t>service</w:t>
      </w:r>
      <w:r w:rsidR="00F436FE">
        <w:t xml:space="preserve">; </w:t>
      </w:r>
      <w:r w:rsidRPr="00D1220F">
        <w:t xml:space="preserve">afterwards the cloud rests on the Tent of Meeting. This </w:t>
      </w:r>
      <w:r w:rsidR="002B3697">
        <w:t>implies</w:t>
      </w:r>
      <w:r w:rsidRPr="00D1220F">
        <w:t xml:space="preserve"> that </w:t>
      </w:r>
      <w:r w:rsidR="002B3697" w:rsidRPr="00D1220F">
        <w:t>when Moses perform</w:t>
      </w:r>
      <w:r w:rsidR="002B3697">
        <w:t>ed</w:t>
      </w:r>
      <w:r w:rsidR="002B3697" w:rsidRPr="00D1220F">
        <w:t xml:space="preserve"> the </w:t>
      </w:r>
      <w:r w:rsidR="002B3697">
        <w:t>daily</w:t>
      </w:r>
      <w:r w:rsidR="002B3697" w:rsidRPr="00D1220F">
        <w:t xml:space="preserve"> service for the first time </w:t>
      </w:r>
      <w:r w:rsidRPr="00D1220F">
        <w:t>on the day of the Tabernacle</w:t>
      </w:r>
      <w:r w:rsidR="00176550">
        <w:t>’</w:t>
      </w:r>
      <w:r w:rsidRPr="00D1220F">
        <w:t>s dedication, he start</w:t>
      </w:r>
      <w:r w:rsidR="00BA0F6B">
        <w:t>ed</w:t>
      </w:r>
      <w:r w:rsidRPr="00D1220F">
        <w:t xml:space="preserve"> from the inside out. </w:t>
      </w:r>
      <w:r w:rsidR="007F6236">
        <w:rPr>
          <w:rFonts w:hint="cs"/>
        </w:rPr>
        <w:t>I</w:t>
      </w:r>
      <w:r w:rsidR="007F6236">
        <w:t>t</w:t>
      </w:r>
      <w:r w:rsidRPr="00D1220F">
        <w:t xml:space="preserve"> is not stated anywhere that this should always be the case, and it is debatable whether Moses</w:t>
      </w:r>
      <w:r w:rsidR="00176550">
        <w:t>’</w:t>
      </w:r>
      <w:r w:rsidRPr="00D1220F">
        <w:t xml:space="preserve"> actions teach how to behave </w:t>
      </w:r>
      <w:r w:rsidR="00AE0DA8">
        <w:t xml:space="preserve">going forward </w:t>
      </w:r>
      <w:r w:rsidRPr="00D1220F">
        <w:t xml:space="preserve">or perhaps </w:t>
      </w:r>
      <w:r w:rsidR="006E3F8E">
        <w:t>because</w:t>
      </w:r>
      <w:r w:rsidRPr="00D1220F">
        <w:t xml:space="preserve"> on that day the </w:t>
      </w:r>
      <w:r w:rsidR="006E3F8E" w:rsidRPr="00D1220F">
        <w:t>altar</w:t>
      </w:r>
      <w:r w:rsidR="006E3F8E">
        <w:t xml:space="preserve"> was dedicated and the</w:t>
      </w:r>
      <w:r w:rsidR="006E3F8E" w:rsidRPr="00D1220F">
        <w:t xml:space="preserve"> </w:t>
      </w:r>
      <w:r w:rsidRPr="00D1220F">
        <w:t>cloud of the Lord descended upon the Tent of Meeting, the service should begin from the inside.</w:t>
      </w:r>
    </w:p>
  </w:footnote>
  <w:footnote w:id="7">
    <w:p w14:paraId="332BDC71" w14:textId="1B108AD5" w:rsidR="004653EF" w:rsidRDefault="004653EF" w:rsidP="00705F22">
      <w:pPr>
        <w:pStyle w:val="FootnoteText"/>
      </w:pPr>
      <w:r>
        <w:rPr>
          <w:rStyle w:val="FootnoteReference"/>
        </w:rPr>
        <w:footnoteRef/>
      </w:r>
      <w:r>
        <w:t xml:space="preserve"> </w:t>
      </w:r>
      <w:r w:rsidRPr="004653EF">
        <w:t xml:space="preserve">Regarding this precedence as it appears in the Aramaic Levi Document, see in detail H. Mali, </w:t>
      </w:r>
      <w:r w:rsidR="00176550">
        <w:t>“</w:t>
      </w:r>
      <w:r w:rsidRPr="004653EF">
        <w:t>Priestly Instructions in the Aramaic Levi Document and the Order of the Morning Daily Sacrifice,</w:t>
      </w:r>
      <w:r w:rsidR="00176550">
        <w:t>”</w:t>
      </w:r>
      <w:r w:rsidRPr="004653EF">
        <w:t xml:space="preserve"> </w:t>
      </w:r>
      <w:proofErr w:type="spellStart"/>
      <w:r w:rsidRPr="009A478E">
        <w:rPr>
          <w:i/>
          <w:iCs/>
        </w:rPr>
        <w:t>Meghillot</w:t>
      </w:r>
      <w:proofErr w:type="spellEnd"/>
      <w:r w:rsidRPr="004653EF">
        <w:t xml:space="preserve"> 14 (2018-2019), pp. 119-138 [Hebrew].</w:t>
      </w:r>
    </w:p>
  </w:footnote>
  <w:footnote w:id="8">
    <w:p w14:paraId="5A66DF79" w14:textId="72074877" w:rsidR="00771174" w:rsidRDefault="00771174" w:rsidP="00705F22">
      <w:pPr>
        <w:pStyle w:val="FootnoteText"/>
      </w:pPr>
      <w:r>
        <w:rPr>
          <w:rStyle w:val="FootnoteReference"/>
        </w:rPr>
        <w:footnoteRef/>
      </w:r>
      <w:r>
        <w:t xml:space="preserve"> </w:t>
      </w:r>
      <w:r w:rsidRPr="00771174">
        <w:t xml:space="preserve">See </w:t>
      </w:r>
      <w:proofErr w:type="spellStart"/>
      <w:r w:rsidRPr="00771174">
        <w:t>J.E</w:t>
      </w:r>
      <w:proofErr w:type="spellEnd"/>
      <w:r w:rsidRPr="00771174">
        <w:t xml:space="preserve"> Hartley, WBC Leviticus, Dallas Texas, 1992, pp. 96. For an overview of the different interpretations on this matter, see S. Bar-on, </w:t>
      </w:r>
      <w:r w:rsidR="00176550">
        <w:t>“</w:t>
      </w:r>
      <w:r w:rsidRPr="00771174">
        <w:t xml:space="preserve">The Development of the </w:t>
      </w:r>
      <w:proofErr w:type="spellStart"/>
      <w:r w:rsidRPr="00771174">
        <w:t>Tamid</w:t>
      </w:r>
      <w:proofErr w:type="spellEnd"/>
      <w:r w:rsidRPr="00771174">
        <w:t xml:space="preserve"> Offering and its Place in the Priestly Calendar of Sacrifices</w:t>
      </w:r>
      <w:r w:rsidR="008567C1">
        <w:t>,</w:t>
      </w:r>
      <w:r w:rsidR="00176550">
        <w:t>”</w:t>
      </w:r>
      <w:r w:rsidRPr="00771174">
        <w:t xml:space="preserve"> </w:t>
      </w:r>
      <w:r w:rsidRPr="008567C1">
        <w:rPr>
          <w:i/>
          <w:iCs/>
        </w:rPr>
        <w:t>Proceedings of the World Congress of Jewish Studies</w:t>
      </w:r>
      <w:r w:rsidRPr="00771174">
        <w:t xml:space="preserve"> (1997), pp. 148 n. 1 [Hebrew].</w:t>
      </w:r>
    </w:p>
  </w:footnote>
  <w:footnote w:id="9">
    <w:p w14:paraId="113E5745" w14:textId="04285229" w:rsidR="009E1C91" w:rsidRDefault="009E1C91" w:rsidP="00705F22">
      <w:pPr>
        <w:pStyle w:val="FootnoteText"/>
      </w:pPr>
      <w:r>
        <w:rPr>
          <w:rStyle w:val="FootnoteReference"/>
        </w:rPr>
        <w:footnoteRef/>
      </w:r>
      <w:r>
        <w:t xml:space="preserve"> </w:t>
      </w:r>
      <w:r w:rsidR="00E25440">
        <w:t xml:space="preserve">Josephus Flavius, </w:t>
      </w:r>
      <w:r w:rsidRPr="009E1C91">
        <w:rPr>
          <w:i/>
          <w:iCs/>
        </w:rPr>
        <w:t>The Antiquities of the Jews</w:t>
      </w:r>
      <w:r w:rsidR="005E4C32">
        <w:t xml:space="preserve">, </w:t>
      </w:r>
      <w:r w:rsidR="005E4C32" w:rsidRPr="00A270B6">
        <w:t>3</w:t>
      </w:r>
      <w:r w:rsidR="005E4C32">
        <w:t>.8.3</w:t>
      </w:r>
      <w:r w:rsidR="005E4C32">
        <w:t>,</w:t>
      </w:r>
      <w:r w:rsidR="005E4C32">
        <w:t xml:space="preserve"> </w:t>
      </w:r>
      <w:r w:rsidR="005E4C32">
        <w:t xml:space="preserve">William Wheaton translation, </w:t>
      </w:r>
      <w:r w:rsidR="00F80738" w:rsidRPr="00F80738">
        <w:t>https://</w:t>
      </w:r>
      <w:proofErr w:type="spellStart"/>
      <w:r w:rsidR="00F80738" w:rsidRPr="00F80738">
        <w:t>penelope.uchicago.edu</w:t>
      </w:r>
      <w:proofErr w:type="spellEnd"/>
      <w:r w:rsidR="00F80738" w:rsidRPr="00F80738">
        <w:t>/</w:t>
      </w:r>
      <w:proofErr w:type="spellStart"/>
      <w:r w:rsidR="00F80738" w:rsidRPr="00F80738">
        <w:t>josephus</w:t>
      </w:r>
      <w:proofErr w:type="spellEnd"/>
      <w:r w:rsidR="00F80738" w:rsidRPr="00F80738">
        <w:t>/ant-</w:t>
      </w:r>
      <w:proofErr w:type="spellStart"/>
      <w:r w:rsidR="00F80738" w:rsidRPr="00F80738">
        <w:t>3.html</w:t>
      </w:r>
      <w:proofErr w:type="spellEnd"/>
      <w:r w:rsidR="00705F22">
        <w:t xml:space="preserve"> (visited </w:t>
      </w:r>
      <w:r w:rsidR="00D17ED9">
        <w:t>April 13, 2023).</w:t>
      </w:r>
    </w:p>
  </w:footnote>
  <w:footnote w:id="10">
    <w:p w14:paraId="4C51E499" w14:textId="5AFDF226" w:rsidR="00E25440" w:rsidRDefault="00E25440" w:rsidP="009B1F07">
      <w:pPr>
        <w:pStyle w:val="FootnoteText"/>
      </w:pPr>
      <w:r>
        <w:rPr>
          <w:rStyle w:val="FootnoteReference"/>
        </w:rPr>
        <w:footnoteRef/>
      </w:r>
      <w:r>
        <w:t xml:space="preserve"> </w:t>
      </w:r>
      <w:r w:rsidR="00EF0442" w:rsidRPr="00A270B6">
        <w:t>Ibid</w:t>
      </w:r>
      <w:r w:rsidR="000D1911">
        <w:t xml:space="preserve">., </w:t>
      </w:r>
      <w:r w:rsidR="009B1F07">
        <w:t>3.10.1.</w:t>
      </w:r>
    </w:p>
  </w:footnote>
  <w:footnote w:id="11">
    <w:p w14:paraId="2544426D" w14:textId="2386AA5A" w:rsidR="009B1F07" w:rsidRDefault="009B1F07">
      <w:pPr>
        <w:pStyle w:val="FootnoteText"/>
      </w:pPr>
      <w:r>
        <w:rPr>
          <w:rStyle w:val="FootnoteReference"/>
        </w:rPr>
        <w:footnoteRef/>
      </w:r>
      <w:r>
        <w:t xml:space="preserve"> Among the</w:t>
      </w:r>
      <w:r w:rsidRPr="009B1F07">
        <w:t xml:space="preserve"> Babylonian Amoraim we find </w:t>
      </w:r>
      <w:r w:rsidR="00140CFC">
        <w:t>especially</w:t>
      </w:r>
      <w:r w:rsidRPr="009B1F07">
        <w:t xml:space="preserve"> complex conceptions about the order of the </w:t>
      </w:r>
      <w:r w:rsidR="00140CFC">
        <w:t>rites</w:t>
      </w:r>
      <w:r w:rsidRPr="009B1F07">
        <w:t xml:space="preserve">. See Babylonian Talmud </w:t>
      </w:r>
      <w:r w:rsidR="00140CFC">
        <w:t xml:space="preserve">(hereafter BT) </w:t>
      </w:r>
      <w:r w:rsidRPr="00140CFC">
        <w:rPr>
          <w:i/>
          <w:iCs/>
        </w:rPr>
        <w:t>Yoma</w:t>
      </w:r>
      <w:r w:rsidRPr="009B1F07">
        <w:t xml:space="preserve"> </w:t>
      </w:r>
      <w:proofErr w:type="spellStart"/>
      <w:r w:rsidRPr="009B1F07">
        <w:t>33a-33b</w:t>
      </w:r>
      <w:proofErr w:type="spellEnd"/>
      <w:r w:rsidRPr="009B1F07">
        <w:t xml:space="preserve">. This matter is beyond the scope of this article. See also </w:t>
      </w:r>
      <w:proofErr w:type="spellStart"/>
      <w:r w:rsidRPr="009B1F07">
        <w:t>J.N</w:t>
      </w:r>
      <w:proofErr w:type="spellEnd"/>
      <w:r w:rsidRPr="009B1F07">
        <w:t xml:space="preserve">. Epstein, </w:t>
      </w:r>
      <w:r w:rsidRPr="00A2336C">
        <w:rPr>
          <w:i/>
          <w:iCs/>
        </w:rPr>
        <w:t>Introduction to the Text of the Mishnah</w:t>
      </w:r>
      <w:r w:rsidRPr="009B1F07">
        <w:t>, p. 681.</w:t>
      </w:r>
    </w:p>
  </w:footnote>
  <w:footnote w:id="12">
    <w:p w14:paraId="496370B0" w14:textId="2C9BE1E2" w:rsidR="00E852CF" w:rsidRDefault="00E852CF">
      <w:pPr>
        <w:pStyle w:val="FootnoteText"/>
      </w:pPr>
      <w:r>
        <w:rPr>
          <w:rStyle w:val="FootnoteReference"/>
        </w:rPr>
        <w:footnoteRef/>
      </w:r>
      <w:r>
        <w:t xml:space="preserve"> All</w:t>
      </w:r>
      <w:r w:rsidR="00287A0D">
        <w:t xml:space="preserve"> translations of</w:t>
      </w:r>
      <w:r>
        <w:t xml:space="preserve"> biblical quotations </w:t>
      </w:r>
      <w:r w:rsidR="0055774F">
        <w:t xml:space="preserve">from </w:t>
      </w:r>
      <w:r w:rsidR="00F20F77" w:rsidRPr="00F20F77">
        <w:t>the New King James Version</w:t>
      </w:r>
      <w:r w:rsidR="00F20F77">
        <w:t xml:space="preserve"> with revisions by the author. </w:t>
      </w:r>
    </w:p>
  </w:footnote>
  <w:footnote w:id="13">
    <w:p w14:paraId="78F4CED1" w14:textId="5B5BF0D2" w:rsidR="00563EC7" w:rsidRDefault="00563EC7">
      <w:pPr>
        <w:pStyle w:val="FootnoteText"/>
      </w:pPr>
      <w:r>
        <w:rPr>
          <w:rStyle w:val="FootnoteReference"/>
        </w:rPr>
        <w:footnoteRef/>
      </w:r>
      <w:r>
        <w:t xml:space="preserve"> </w:t>
      </w:r>
      <w:r w:rsidR="00D02EFD" w:rsidRPr="00D02EFD">
        <w:t>See Exodus 16:21; Exodus 36:3; 2 Samuel 13:4; Isaiah 28:19; Isaiah 50:4; Zephaniah 3:5; 1 Chronicles 23:30; 2 Chronicles 13:11.</w:t>
      </w:r>
    </w:p>
  </w:footnote>
  <w:footnote w:id="14">
    <w:p w14:paraId="036CA49A" w14:textId="3FF90CE0" w:rsidR="00A4210A" w:rsidRDefault="00A4210A" w:rsidP="00CA7BB0">
      <w:pPr>
        <w:pStyle w:val="FootnoteText"/>
      </w:pPr>
      <w:r>
        <w:rPr>
          <w:rStyle w:val="FootnoteReference"/>
        </w:rPr>
        <w:footnoteRef/>
      </w:r>
      <w:r>
        <w:t xml:space="preserve"> </w:t>
      </w:r>
      <w:r>
        <w:t xml:space="preserve">See </w:t>
      </w:r>
      <w:proofErr w:type="spellStart"/>
      <w:r>
        <w:t>W.H.C</w:t>
      </w:r>
      <w:proofErr w:type="spellEnd"/>
      <w:r>
        <w:t xml:space="preserve">. Propp, </w:t>
      </w:r>
      <w:r w:rsidRPr="00361320">
        <w:rPr>
          <w:i/>
          <w:iCs/>
        </w:rPr>
        <w:t>Anchor Bible</w:t>
      </w:r>
      <w:r w:rsidR="00361320">
        <w:t>,</w:t>
      </w:r>
      <w:r>
        <w:t xml:space="preserve"> Exodus 19-40, New York, 1998, pp. 585; C. </w:t>
      </w:r>
      <w:proofErr w:type="spellStart"/>
      <w:r>
        <w:t>Houtman</w:t>
      </w:r>
      <w:proofErr w:type="spellEnd"/>
      <w:r>
        <w:t xml:space="preserve">, </w:t>
      </w:r>
      <w:r w:rsidRPr="00361320">
        <w:rPr>
          <w:i/>
          <w:iCs/>
        </w:rPr>
        <w:t>The Historical Commentary on the Old Testament</w:t>
      </w:r>
      <w:r w:rsidR="00F75E32">
        <w:rPr>
          <w:i/>
          <w:iCs/>
        </w:rPr>
        <w:t>,</w:t>
      </w:r>
      <w:r>
        <w:t xml:space="preserve"> Exodus, </w:t>
      </w:r>
      <w:proofErr w:type="spellStart"/>
      <w:r>
        <w:t>Kampen</w:t>
      </w:r>
      <w:proofErr w:type="spellEnd"/>
      <w:r>
        <w:t xml:space="preserve"> 1996, pp. 32; </w:t>
      </w:r>
      <w:proofErr w:type="spellStart"/>
      <w:r>
        <w:t>M.Tz</w:t>
      </w:r>
      <w:proofErr w:type="spellEnd"/>
      <w:r>
        <w:t xml:space="preserve">. </w:t>
      </w:r>
      <w:proofErr w:type="spellStart"/>
      <w:r>
        <w:t>Kadari</w:t>
      </w:r>
      <w:proofErr w:type="spellEnd"/>
      <w:r>
        <w:t>, Dictionary of Biblical Hebrew, Ramat Gan 2006, p. 121</w:t>
      </w:r>
      <w:r w:rsidR="00C521E6">
        <w:t xml:space="preserve"> [Hebrew].</w:t>
      </w:r>
    </w:p>
  </w:footnote>
  <w:footnote w:id="15">
    <w:p w14:paraId="307F9C76" w14:textId="67CCE3B8" w:rsidR="00C378BA" w:rsidRDefault="00C378BA">
      <w:pPr>
        <w:pStyle w:val="FootnoteText"/>
      </w:pPr>
      <w:r>
        <w:rPr>
          <w:rStyle w:val="FootnoteReference"/>
        </w:rPr>
        <w:footnoteRef/>
      </w:r>
      <w:r>
        <w:t xml:space="preserve"> </w:t>
      </w:r>
      <w:r w:rsidR="00CA7BB0">
        <w:t>According to MS Vatican 66.</w:t>
      </w:r>
    </w:p>
  </w:footnote>
  <w:footnote w:id="16">
    <w:p w14:paraId="1BC3462F" w14:textId="34EB22B7" w:rsidR="00CA7BB0" w:rsidRDefault="00CA7BB0" w:rsidP="00AB062A">
      <w:pPr>
        <w:pStyle w:val="FootnoteText"/>
      </w:pPr>
      <w:r>
        <w:rPr>
          <w:rStyle w:val="FootnoteReference"/>
        </w:rPr>
        <w:footnoteRef/>
      </w:r>
      <w:r>
        <w:t xml:space="preserve"> </w:t>
      </w:r>
      <w:r>
        <w:t xml:space="preserve">As </w:t>
      </w:r>
      <w:r>
        <w:t xml:space="preserve">is </w:t>
      </w:r>
      <w:r>
        <w:t xml:space="preserve">explicitly stated in Leviticus 16:12 regarding the incense </w:t>
      </w:r>
      <w:r>
        <w:t>on</w:t>
      </w:r>
      <w:r>
        <w:t xml:space="preserve"> Yom Kippur (and similarly in Numbers 17:1 </w:t>
      </w:r>
      <w:r w:rsidR="008C76B1">
        <w:t xml:space="preserve">in the context of the </w:t>
      </w:r>
      <w:r>
        <w:t xml:space="preserve">incense </w:t>
      </w:r>
      <w:r w:rsidR="008C76B1">
        <w:t>offered by Aaron to</w:t>
      </w:r>
      <w:r>
        <w:t xml:space="preserve"> halt</w:t>
      </w:r>
      <w:r w:rsidR="008C76B1">
        <w:t xml:space="preserve"> </w:t>
      </w:r>
      <w:r>
        <w:t>the plague)</w:t>
      </w:r>
      <w:r w:rsidR="008736E8">
        <w:t xml:space="preserve">. </w:t>
      </w:r>
      <w:r w:rsidR="00C45367">
        <w:t>R</w:t>
      </w:r>
      <w:r w:rsidR="00C45367">
        <w:t>egarding the incense</w:t>
      </w:r>
      <w:r w:rsidR="00C45367">
        <w:t xml:space="preserve"> offered </w:t>
      </w:r>
      <w:r w:rsidR="00F24123">
        <w:t>every day throughout the year, see the midrash in the</w:t>
      </w:r>
      <w:r>
        <w:t xml:space="preserve"> </w:t>
      </w:r>
      <w:proofErr w:type="spellStart"/>
      <w:r w:rsidRPr="00F24123">
        <w:rPr>
          <w:i/>
          <w:iCs/>
        </w:rPr>
        <w:t>Sifra</w:t>
      </w:r>
      <w:proofErr w:type="spellEnd"/>
      <w:r w:rsidR="00F24123">
        <w:t xml:space="preserve"> at the </w:t>
      </w:r>
      <w:r>
        <w:t xml:space="preserve">beginning of </w:t>
      </w:r>
      <w:proofErr w:type="spellStart"/>
      <w:r w:rsidRPr="00F24123">
        <w:rPr>
          <w:i/>
          <w:iCs/>
        </w:rPr>
        <w:t>Parshat</w:t>
      </w:r>
      <w:proofErr w:type="spellEnd"/>
      <w:r w:rsidRPr="00F24123">
        <w:rPr>
          <w:i/>
          <w:iCs/>
        </w:rPr>
        <w:t xml:space="preserve"> Tzav</w:t>
      </w:r>
      <w:r>
        <w:t xml:space="preserve">, and </w:t>
      </w:r>
      <w:r w:rsidR="00F24123">
        <w:t>BT</w:t>
      </w:r>
      <w:r>
        <w:t xml:space="preserve"> Yoma </w:t>
      </w:r>
      <w:proofErr w:type="spellStart"/>
      <w:r>
        <w:t>45b</w:t>
      </w:r>
      <w:proofErr w:type="spellEnd"/>
      <w:r>
        <w:t>.</w:t>
      </w:r>
    </w:p>
  </w:footnote>
  <w:footnote w:id="17">
    <w:p w14:paraId="399DB960" w14:textId="58499F16" w:rsidR="00AB062A" w:rsidRDefault="00AB062A">
      <w:pPr>
        <w:pStyle w:val="FootnoteText"/>
      </w:pPr>
      <w:r>
        <w:rPr>
          <w:rStyle w:val="FootnoteReference"/>
        </w:rPr>
        <w:footnoteRef/>
      </w:r>
      <w:r>
        <w:t xml:space="preserve"> </w:t>
      </w:r>
      <w:r>
        <w:t xml:space="preserve">On the </w:t>
      </w:r>
      <w:r>
        <w:t>hierarchy</w:t>
      </w:r>
      <w:r w:rsidR="00C5618C">
        <w:t xml:space="preserve"> of</w:t>
      </w:r>
      <w:r w:rsidR="004E443E">
        <w:t xml:space="preserve"> sanctity in the biblical</w:t>
      </w:r>
      <w:r>
        <w:t xml:space="preserve"> Tabernacle</w:t>
      </w:r>
      <w:r w:rsidR="004E443E">
        <w:t xml:space="preserve"> with an</w:t>
      </w:r>
      <w:r>
        <w:t xml:space="preserve"> emphasis on the distinction between the inner and outer </w:t>
      </w:r>
      <w:r w:rsidR="00C11779">
        <w:t>areas</w:t>
      </w:r>
      <w:r>
        <w:t xml:space="preserve">, see M. Haran, </w:t>
      </w:r>
      <w:r w:rsidRPr="00C11779">
        <w:rPr>
          <w:i/>
          <w:iCs/>
        </w:rPr>
        <w:t>The Bible and Its World</w:t>
      </w:r>
      <w:r>
        <w:t>, Jerusalem</w:t>
      </w:r>
      <w:r w:rsidR="00C11779">
        <w:t>,</w:t>
      </w:r>
      <w:r>
        <w:t xml:space="preserve"> 2009, pp. 62-69</w:t>
      </w:r>
      <w:r w:rsidR="00C11779">
        <w:t xml:space="preserve"> [Hebrew].</w:t>
      </w:r>
    </w:p>
  </w:footnote>
  <w:footnote w:id="18">
    <w:p w14:paraId="7166C590" w14:textId="7D25879F" w:rsidR="001003F4" w:rsidRDefault="00C5618C" w:rsidP="005D6C1C">
      <w:pPr>
        <w:pStyle w:val="FootnoteText"/>
      </w:pPr>
      <w:r>
        <w:rPr>
          <w:rStyle w:val="FootnoteReference"/>
        </w:rPr>
        <w:footnoteRef/>
      </w:r>
      <w:r>
        <w:t xml:space="preserve"> </w:t>
      </w:r>
      <w:r w:rsidR="001003F4">
        <w:t xml:space="preserve">The quote is based on the </w:t>
      </w:r>
      <w:r w:rsidR="00B44E43">
        <w:t xml:space="preserve">MS </w:t>
      </w:r>
      <w:r w:rsidR="001003F4">
        <w:t xml:space="preserve">Oxford Bodleian 2637 of </w:t>
      </w:r>
      <w:proofErr w:type="spellStart"/>
      <w:r w:rsidR="001003F4">
        <w:t>Yal</w:t>
      </w:r>
      <w:r w:rsidR="003C0649">
        <w:t>q</w:t>
      </w:r>
      <w:r w:rsidR="001003F4">
        <w:t>ut</w:t>
      </w:r>
      <w:proofErr w:type="spellEnd"/>
      <w:r w:rsidR="001003F4">
        <w:t xml:space="preserve"> </w:t>
      </w:r>
      <w:proofErr w:type="spellStart"/>
      <w:r w:rsidR="001003F4">
        <w:t>Shimoni</w:t>
      </w:r>
      <w:proofErr w:type="spellEnd"/>
      <w:r w:rsidR="001003F4">
        <w:t xml:space="preserve">, which was the basis for the edition published by </w:t>
      </w:r>
      <w:proofErr w:type="spellStart"/>
      <w:r w:rsidR="001003F4">
        <w:t>Dov</w:t>
      </w:r>
      <w:proofErr w:type="spellEnd"/>
      <w:r w:rsidR="001003F4">
        <w:t xml:space="preserve"> Heyman, Jerusalem 1986, and according to which the text was </w:t>
      </w:r>
      <w:r w:rsidR="005D6C1C">
        <w:t>uploaded to</w:t>
      </w:r>
      <w:r w:rsidR="001003F4">
        <w:t xml:space="preserve"> the Hebrew Language Academy</w:t>
      </w:r>
      <w:r w:rsidR="00176550">
        <w:t>’</w:t>
      </w:r>
      <w:r w:rsidR="001003F4">
        <w:t xml:space="preserve">s </w:t>
      </w:r>
      <w:proofErr w:type="spellStart"/>
      <w:r w:rsidR="005D6C1C" w:rsidRPr="005D6C1C">
        <w:rPr>
          <w:i/>
          <w:iCs/>
        </w:rPr>
        <w:t>Ma</w:t>
      </w:r>
      <w:r w:rsidR="00176550">
        <w:rPr>
          <w:i/>
          <w:iCs/>
        </w:rPr>
        <w:t>’</w:t>
      </w:r>
      <w:r w:rsidR="005D6C1C" w:rsidRPr="005D6C1C">
        <w:rPr>
          <w:i/>
          <w:iCs/>
        </w:rPr>
        <w:t>ag</w:t>
      </w:r>
      <w:r w:rsidR="0061387B">
        <w:rPr>
          <w:i/>
          <w:iCs/>
        </w:rPr>
        <w:t>a</w:t>
      </w:r>
      <w:r w:rsidR="005D6C1C" w:rsidRPr="005D6C1C">
        <w:rPr>
          <w:i/>
          <w:iCs/>
        </w:rPr>
        <w:t>rim</w:t>
      </w:r>
      <w:proofErr w:type="spellEnd"/>
      <w:r w:rsidR="005D6C1C">
        <w:t xml:space="preserve"> </w:t>
      </w:r>
      <w:r w:rsidR="001003F4">
        <w:t>database.</w:t>
      </w:r>
    </w:p>
    <w:p w14:paraId="5E646708" w14:textId="0E7C7326" w:rsidR="00C5618C" w:rsidRDefault="001003F4" w:rsidP="001003F4">
      <w:pPr>
        <w:pStyle w:val="FootnoteText"/>
      </w:pPr>
      <w:r>
        <w:t>.</w:t>
      </w:r>
    </w:p>
  </w:footnote>
  <w:footnote w:id="19">
    <w:p w14:paraId="55994861" w14:textId="745E7327" w:rsidR="004F2EF1" w:rsidRDefault="004F2EF1" w:rsidP="005D6C1C">
      <w:pPr>
        <w:pStyle w:val="FootnoteText"/>
      </w:pPr>
      <w:r>
        <w:rPr>
          <w:rStyle w:val="FootnoteReference"/>
        </w:rPr>
        <w:footnoteRef/>
      </w:r>
      <w:r>
        <w:t xml:space="preserve"> </w:t>
      </w:r>
      <w:r w:rsidR="005D6C1C">
        <w:t>Apparently</w:t>
      </w:r>
      <w:r w:rsidR="005D6C1C">
        <w:t xml:space="preserve"> this word should be deleted.</w:t>
      </w:r>
    </w:p>
  </w:footnote>
  <w:footnote w:id="20">
    <w:p w14:paraId="0C3C8093" w14:textId="22D37013" w:rsidR="00CC06E4" w:rsidRDefault="00CC06E4" w:rsidP="005D6C1C">
      <w:pPr>
        <w:pStyle w:val="FootnoteText"/>
      </w:pPr>
      <w:r>
        <w:rPr>
          <w:rStyle w:val="FootnoteReference"/>
        </w:rPr>
        <w:footnoteRef/>
      </w:r>
      <w:r>
        <w:t xml:space="preserve"> </w:t>
      </w:r>
      <w:r w:rsidR="005D6C1C">
        <w:t xml:space="preserve">These suggestions for understanding the midrash in </w:t>
      </w:r>
      <w:proofErr w:type="spellStart"/>
      <w:r w:rsidR="005D6C1C" w:rsidRPr="005D6C1C">
        <w:rPr>
          <w:i/>
          <w:iCs/>
        </w:rPr>
        <w:t>Sifrei</w:t>
      </w:r>
      <w:proofErr w:type="spellEnd"/>
      <w:r w:rsidR="005D6C1C" w:rsidRPr="005D6C1C">
        <w:rPr>
          <w:i/>
          <w:iCs/>
        </w:rPr>
        <w:t xml:space="preserve"> </w:t>
      </w:r>
      <w:proofErr w:type="spellStart"/>
      <w:r w:rsidR="005D6C1C" w:rsidRPr="005D6C1C">
        <w:rPr>
          <w:i/>
          <w:iCs/>
        </w:rPr>
        <w:t>Zuta</w:t>
      </w:r>
      <w:proofErr w:type="spellEnd"/>
      <w:r w:rsidR="005D6C1C">
        <w:t xml:space="preserve"> I heard from my friend Dr. Hanan Ariel.</w:t>
      </w:r>
    </w:p>
  </w:footnote>
  <w:footnote w:id="21">
    <w:p w14:paraId="1FCFE63F" w14:textId="1FB705B0" w:rsidR="00A93B1E" w:rsidRDefault="00A93B1E" w:rsidP="00D25B4D">
      <w:pPr>
        <w:pStyle w:val="FootnoteText"/>
      </w:pPr>
      <w:r>
        <w:rPr>
          <w:rStyle w:val="FootnoteReference"/>
        </w:rPr>
        <w:footnoteRef/>
      </w:r>
      <w:r>
        <w:t xml:space="preserve"> </w:t>
      </w:r>
      <w:proofErr w:type="spellStart"/>
      <w:r w:rsidR="005D6C1C" w:rsidRPr="00CF342D">
        <w:rPr>
          <w:i/>
          <w:iCs/>
        </w:rPr>
        <w:t>Sifrei</w:t>
      </w:r>
      <w:proofErr w:type="spellEnd"/>
      <w:r w:rsidR="005D6C1C" w:rsidRPr="00CF342D">
        <w:rPr>
          <w:i/>
          <w:iCs/>
        </w:rPr>
        <w:t xml:space="preserve"> </w:t>
      </w:r>
      <w:proofErr w:type="spellStart"/>
      <w:r w:rsidR="005D6C1C" w:rsidRPr="00CF342D">
        <w:rPr>
          <w:i/>
          <w:iCs/>
        </w:rPr>
        <w:t>Zuta</w:t>
      </w:r>
      <w:proofErr w:type="spellEnd"/>
      <w:r w:rsidR="005D6C1C">
        <w:t xml:space="preserve"> does not explicitly address the </w:t>
      </w:r>
      <w:r w:rsidR="00C05A61">
        <w:t>tending</w:t>
      </w:r>
      <w:r w:rsidR="005D6C1C">
        <w:t xml:space="preserve"> of the lamps</w:t>
      </w:r>
      <w:r w:rsidR="00C05A61">
        <w:t xml:space="preserve">. One can </w:t>
      </w:r>
      <w:r w:rsidR="00F0052A">
        <w:t>suppose</w:t>
      </w:r>
      <w:r w:rsidR="005D6C1C">
        <w:t xml:space="preserve">, in light of the midrash that deals only with the relationship between the </w:t>
      </w:r>
      <w:r w:rsidR="00F0052A">
        <w:t>daily offering</w:t>
      </w:r>
      <w:r w:rsidR="005D6C1C">
        <w:t xml:space="preserve"> and the </w:t>
      </w:r>
      <w:r w:rsidR="00F0052A">
        <w:t>incense</w:t>
      </w:r>
      <w:r w:rsidR="005D6C1C">
        <w:t xml:space="preserve">, that according to </w:t>
      </w:r>
      <w:proofErr w:type="spellStart"/>
      <w:r w:rsidR="005D6C1C" w:rsidRPr="00F0052A">
        <w:rPr>
          <w:i/>
          <w:iCs/>
        </w:rPr>
        <w:t>Sifrei</w:t>
      </w:r>
      <w:proofErr w:type="spellEnd"/>
      <w:r w:rsidR="005D6C1C" w:rsidRPr="00F0052A">
        <w:rPr>
          <w:i/>
          <w:iCs/>
        </w:rPr>
        <w:t xml:space="preserve"> </w:t>
      </w:r>
      <w:proofErr w:type="spellStart"/>
      <w:r w:rsidR="005D6C1C" w:rsidRPr="00F0052A">
        <w:rPr>
          <w:i/>
          <w:iCs/>
        </w:rPr>
        <w:t>Zuta</w:t>
      </w:r>
      <w:proofErr w:type="spellEnd"/>
      <w:r w:rsidR="005D6C1C">
        <w:t xml:space="preserve"> the lamps follow the </w:t>
      </w:r>
      <w:r w:rsidR="00F0052A">
        <w:t>incense</w:t>
      </w:r>
      <w:r w:rsidR="005D6C1C">
        <w:t>, meaning they come after it, and not the other way around.</w:t>
      </w:r>
    </w:p>
  </w:footnote>
  <w:footnote w:id="22">
    <w:p w14:paraId="0317BA0C" w14:textId="41FAE1A0" w:rsidR="00613F07" w:rsidRDefault="00613F07" w:rsidP="00F91A23">
      <w:pPr>
        <w:pStyle w:val="FootnoteText"/>
      </w:pPr>
      <w:r>
        <w:rPr>
          <w:rStyle w:val="FootnoteReference"/>
        </w:rPr>
        <w:footnoteRef/>
      </w:r>
      <w:r>
        <w:t xml:space="preserve"> </w:t>
      </w:r>
      <w:r w:rsidR="00F0052A">
        <w:t xml:space="preserve">On the internal order of </w:t>
      </w:r>
      <w:r w:rsidR="00F0052A">
        <w:t>tractate</w:t>
      </w:r>
      <w:r w:rsidR="00F0052A">
        <w:t xml:space="preserve"> </w:t>
      </w:r>
      <w:proofErr w:type="spellStart"/>
      <w:r w:rsidR="00F0052A" w:rsidRPr="00F0052A">
        <w:rPr>
          <w:i/>
          <w:iCs/>
        </w:rPr>
        <w:t>Tamid</w:t>
      </w:r>
      <w:proofErr w:type="spellEnd"/>
      <w:r w:rsidR="00F0052A">
        <w:t xml:space="preserve">, see H. Mali (above, note 000), pp. 151-152. On the fact that the Mishnah describes the burning of </w:t>
      </w:r>
      <w:r w:rsidR="00BA67D6">
        <w:t xml:space="preserve">the </w:t>
      </w:r>
      <w:r w:rsidR="00F91A23">
        <w:t>animal parts</w:t>
      </w:r>
      <w:r w:rsidR="00F0052A">
        <w:t xml:space="preserve"> only </w:t>
      </w:r>
      <w:r w:rsidR="00F91A23">
        <w:t>in a case where</w:t>
      </w:r>
      <w:r w:rsidR="00F0052A">
        <w:t xml:space="preserve"> the High Priest sacrifices and not an ordinary priest, see what Mali wrote, ibid</w:t>
      </w:r>
      <w:r w:rsidR="00F91A23">
        <w:t>.</w:t>
      </w:r>
      <w:r w:rsidR="00F0052A">
        <w:t>, p. 229.</w:t>
      </w:r>
    </w:p>
  </w:footnote>
  <w:footnote w:id="23">
    <w:p w14:paraId="0CCE673A" w14:textId="2EB2C475" w:rsidR="000F5955" w:rsidRDefault="000F5955" w:rsidP="00DE33A9">
      <w:pPr>
        <w:pStyle w:val="FootnoteText"/>
      </w:pPr>
      <w:r>
        <w:rPr>
          <w:rStyle w:val="FootnoteReference"/>
        </w:rPr>
        <w:footnoteRef/>
      </w:r>
      <w:r>
        <w:t xml:space="preserve"> </w:t>
      </w:r>
      <w:r w:rsidR="00F91A23">
        <w:t xml:space="preserve">And so it is in the parallel </w:t>
      </w:r>
      <w:proofErr w:type="spellStart"/>
      <w:r w:rsidR="006B2B5B">
        <w:t>m</w:t>
      </w:r>
      <w:r w:rsidR="00F91A23">
        <w:t>ishnayot</w:t>
      </w:r>
      <w:proofErr w:type="spellEnd"/>
      <w:r w:rsidR="00F91A23">
        <w:t xml:space="preserve"> in </w:t>
      </w:r>
      <w:proofErr w:type="spellStart"/>
      <w:r w:rsidR="00F91A23" w:rsidRPr="006B2B5B">
        <w:rPr>
          <w:i/>
          <w:iCs/>
        </w:rPr>
        <w:t>Tamid</w:t>
      </w:r>
      <w:proofErr w:type="spellEnd"/>
      <w:r w:rsidR="00F91A23">
        <w:t xml:space="preserve"> chapter 2. Admittedly, it is true that in any case there is no precise order here, as the lottery for the </w:t>
      </w:r>
      <w:r w:rsidR="00BF46E2">
        <w:t>incense</w:t>
      </w:r>
      <w:r w:rsidR="00F91A23">
        <w:t xml:space="preserve"> was done separately, as described in the following </w:t>
      </w:r>
      <w:proofErr w:type="spellStart"/>
      <w:r w:rsidR="00BF46E2">
        <w:t>m</w:t>
      </w:r>
      <w:r w:rsidR="00F91A23">
        <w:t>ishnah</w:t>
      </w:r>
      <w:proofErr w:type="spellEnd"/>
      <w:r w:rsidR="00F91A23">
        <w:t xml:space="preserve">, but </w:t>
      </w:r>
      <w:r w:rsidR="00576D05">
        <w:t>it makes sense</w:t>
      </w:r>
      <w:r w:rsidR="00F91A23">
        <w:t xml:space="preserve"> that the order of the lotteries is based on the order of </w:t>
      </w:r>
      <w:r w:rsidR="00576D05">
        <w:t>the rites</w:t>
      </w:r>
      <w:r w:rsidR="00F91A23">
        <w:t xml:space="preserve">, </w:t>
      </w:r>
      <w:r w:rsidR="00B05E84">
        <w:t>with</w:t>
      </w:r>
      <w:r w:rsidR="00F91A23">
        <w:t xml:space="preserve"> the first lottery, described in the previous </w:t>
      </w:r>
      <w:proofErr w:type="spellStart"/>
      <w:r w:rsidR="00576D05">
        <w:t>m</w:t>
      </w:r>
      <w:r w:rsidR="00F91A23">
        <w:t>ishnah</w:t>
      </w:r>
      <w:proofErr w:type="spellEnd"/>
      <w:r w:rsidR="00F91A23">
        <w:t xml:space="preserve">, about </w:t>
      </w:r>
      <w:r w:rsidR="00B05E84">
        <w:t>the arrangement of the fire on the altar</w:t>
      </w:r>
      <w:r w:rsidR="00F91A23">
        <w:t>.</w:t>
      </w:r>
    </w:p>
  </w:footnote>
  <w:footnote w:id="24">
    <w:p w14:paraId="28604EE2" w14:textId="7F8C12DB" w:rsidR="000F5955" w:rsidRDefault="000F5955" w:rsidP="002436F1">
      <w:pPr>
        <w:pStyle w:val="FootnoteText"/>
      </w:pPr>
      <w:r>
        <w:rPr>
          <w:rStyle w:val="FootnoteReference"/>
        </w:rPr>
        <w:footnoteRef/>
      </w:r>
      <w:r>
        <w:t xml:space="preserve"> </w:t>
      </w:r>
      <w:r w:rsidR="00DE33A9">
        <w:t>On the differences between the sections, see S. Bar-On, (above n. 000), pp. 148-150.</w:t>
      </w:r>
    </w:p>
  </w:footnote>
  <w:footnote w:id="25">
    <w:p w14:paraId="546761AC" w14:textId="557B39F9" w:rsidR="00271867" w:rsidRDefault="00271867" w:rsidP="00AB19E4">
      <w:pPr>
        <w:pStyle w:val="FootnoteText"/>
      </w:pPr>
      <w:r>
        <w:rPr>
          <w:rStyle w:val="FootnoteReference"/>
        </w:rPr>
        <w:footnoteRef/>
      </w:r>
      <w:r>
        <w:t xml:space="preserve"> </w:t>
      </w:r>
      <w:r w:rsidR="00261981">
        <w:t xml:space="preserve">Y. </w:t>
      </w:r>
      <w:proofErr w:type="spellStart"/>
      <w:r w:rsidR="00261981">
        <w:t>Knohl</w:t>
      </w:r>
      <w:proofErr w:type="spellEnd"/>
      <w:r w:rsidR="00261981">
        <w:t xml:space="preserve">, </w:t>
      </w:r>
      <w:r w:rsidR="00261981" w:rsidRPr="00261981">
        <w:rPr>
          <w:i/>
          <w:iCs/>
        </w:rPr>
        <w:t>Temple of Silence</w:t>
      </w:r>
      <w:r w:rsidR="00261981">
        <w:t>, Jerusalem 1993, p. 180</w:t>
      </w:r>
      <w:r w:rsidR="002436F1">
        <w:t xml:space="preserve"> [Hebrew].</w:t>
      </w:r>
      <w:r w:rsidR="00261981">
        <w:t xml:space="preserve"> See also B.A. Levine, </w:t>
      </w:r>
      <w:r w:rsidR="00261981" w:rsidRPr="00261981">
        <w:rPr>
          <w:i/>
          <w:iCs/>
        </w:rPr>
        <w:t>In the Presence of the Lord</w:t>
      </w:r>
      <w:r w:rsidR="00261981">
        <w:t>, Leiden 1974, pp. 22-27</w:t>
      </w:r>
      <w:r w:rsidR="0055337D">
        <w:t xml:space="preserve"> [Hebrew]</w:t>
      </w:r>
      <w:r w:rsidR="00261981">
        <w:t>.</w:t>
      </w:r>
    </w:p>
  </w:footnote>
  <w:footnote w:id="26">
    <w:p w14:paraId="5BE3F8E8" w14:textId="7D5160D7" w:rsidR="00360645" w:rsidRDefault="00360645" w:rsidP="00AB19E4">
      <w:pPr>
        <w:pStyle w:val="FootnoteText"/>
      </w:pPr>
      <w:r>
        <w:rPr>
          <w:rStyle w:val="FootnoteReference"/>
        </w:rPr>
        <w:footnoteRef/>
      </w:r>
      <w:r>
        <w:t xml:space="preserve"> </w:t>
      </w:r>
      <w:r w:rsidR="00AB19E4">
        <w:t>Bar-On (above, note 000), p. 150.</w:t>
      </w:r>
    </w:p>
  </w:footnote>
  <w:footnote w:id="27">
    <w:p w14:paraId="506F5AB1" w14:textId="14F9AE70" w:rsidR="000711B2" w:rsidRDefault="000711B2" w:rsidP="00750A82">
      <w:pPr>
        <w:pStyle w:val="FootnoteText"/>
      </w:pPr>
      <w:r>
        <w:rPr>
          <w:rStyle w:val="FootnoteReference"/>
        </w:rPr>
        <w:footnoteRef/>
      </w:r>
      <w:r>
        <w:t xml:space="preserve"> </w:t>
      </w:r>
      <w:r w:rsidR="00AB19E4">
        <w:t xml:space="preserve">See a review of these sources </w:t>
      </w:r>
      <w:r w:rsidR="00AB19E4">
        <w:t>in</w:t>
      </w:r>
      <w:r w:rsidR="00AB19E4">
        <w:t xml:space="preserve"> H. Mali, From Temple to Midrash, Descriptions of the Temple in the Mishnah: History, Editing, and Meaning, </w:t>
      </w:r>
      <w:proofErr w:type="spellStart"/>
      <w:r w:rsidR="00AB19E4">
        <w:t>Ph.d</w:t>
      </w:r>
      <w:r w:rsidR="00750A82">
        <w:t>.</w:t>
      </w:r>
      <w:proofErr w:type="spellEnd"/>
      <w:r w:rsidR="00AB19E4">
        <w:t xml:space="preserve"> dissertation</w:t>
      </w:r>
      <w:r w:rsidR="00AB19E4">
        <w:t>, Bar-Ilan University, Ramat Gan 2018, pp. 185-188.</w:t>
      </w:r>
    </w:p>
  </w:footnote>
  <w:footnote w:id="28">
    <w:p w14:paraId="290165D3" w14:textId="7AA469D6" w:rsidR="00B82F9D" w:rsidRDefault="00B82F9D" w:rsidP="00B82F9D">
      <w:pPr>
        <w:pStyle w:val="FootnoteText"/>
      </w:pPr>
      <w:r>
        <w:rPr>
          <w:rStyle w:val="FootnoteReference"/>
        </w:rPr>
        <w:footnoteRef/>
      </w:r>
      <w:r>
        <w:t xml:space="preserve"> </w:t>
      </w:r>
      <w:r w:rsidR="00B61FF1">
        <w:t xml:space="preserve">Flavius Josephus, </w:t>
      </w:r>
      <w:r w:rsidR="00B61FF1" w:rsidRPr="00221C04">
        <w:rPr>
          <w:i/>
          <w:iCs/>
        </w:rPr>
        <w:t>Antiquities of the Jew</w:t>
      </w:r>
      <w:r w:rsidR="00221C04" w:rsidRPr="00221C04">
        <w:rPr>
          <w:i/>
          <w:iCs/>
        </w:rPr>
        <w:t>s</w:t>
      </w:r>
      <w:r w:rsidR="00221C04">
        <w:t xml:space="preserve">, 14.4.3. </w:t>
      </w:r>
    </w:p>
  </w:footnote>
  <w:footnote w:id="29">
    <w:p w14:paraId="6E054CD7" w14:textId="545369E8" w:rsidR="007B5568" w:rsidRDefault="007B5568" w:rsidP="00FA6EB6">
      <w:pPr>
        <w:pStyle w:val="FootnoteText"/>
      </w:pPr>
      <w:r>
        <w:rPr>
          <w:rStyle w:val="FootnoteReference"/>
        </w:rPr>
        <w:footnoteRef/>
      </w:r>
      <w:r>
        <w:t xml:space="preserve"> </w:t>
      </w:r>
      <w:r w:rsidR="002546D1">
        <w:t>S</w:t>
      </w:r>
      <w:r w:rsidR="002546D1">
        <w:t xml:space="preserve">ee also V. Noam and A. Tal, </w:t>
      </w:r>
      <w:r w:rsidR="002546D1" w:rsidRPr="002546D1">
        <w:rPr>
          <w:i/>
          <w:iCs/>
        </w:rPr>
        <w:t>Between Josephus and the Rabbis</w:t>
      </w:r>
      <w:r w:rsidR="002546D1">
        <w:t>, Part 1, Jerusalem 2017, pp. 333-335</w:t>
      </w:r>
      <w:r w:rsidR="00C71A6B">
        <w:t xml:space="preserve"> [Hebrew]</w:t>
      </w:r>
      <w:r w:rsidR="002546D1">
        <w:t>.</w:t>
      </w:r>
    </w:p>
  </w:footnote>
  <w:footnote w:id="30">
    <w:p w14:paraId="784173B2" w14:textId="74197DCD" w:rsidR="00682F0E" w:rsidRDefault="00682F0E" w:rsidP="00B43320">
      <w:pPr>
        <w:pStyle w:val="FootnoteText"/>
      </w:pPr>
      <w:r>
        <w:rPr>
          <w:rStyle w:val="FootnoteReference"/>
        </w:rPr>
        <w:footnoteRef/>
      </w:r>
      <w:r>
        <w:t xml:space="preserve"> </w:t>
      </w:r>
      <w:r w:rsidR="00FA6EB6">
        <w:t xml:space="preserve">On the meaning of the </w:t>
      </w:r>
      <w:r w:rsidR="00FA6EB6">
        <w:t>incense</w:t>
      </w:r>
      <w:r w:rsidR="00FA6EB6">
        <w:t xml:space="preserve"> as an expression of </w:t>
      </w:r>
      <w:r w:rsidR="00AB7F5A">
        <w:t>the Tannaitic conception</w:t>
      </w:r>
      <w:r w:rsidR="00AB7F5A">
        <w:t xml:space="preserve"> of </w:t>
      </w:r>
      <w:r w:rsidR="00FA6EB6">
        <w:t xml:space="preserve">the </w:t>
      </w:r>
      <w:proofErr w:type="spellStart"/>
      <w:r w:rsidR="00FA6EB6" w:rsidRPr="00FA6EB6">
        <w:rPr>
          <w:i/>
          <w:iCs/>
        </w:rPr>
        <w:t>Shekhina</w:t>
      </w:r>
      <w:r w:rsidR="00B43320">
        <w:rPr>
          <w:i/>
          <w:iCs/>
        </w:rPr>
        <w:t>h</w:t>
      </w:r>
      <w:r w:rsidR="00176550" w:rsidRPr="0058063C">
        <w:t>’</w:t>
      </w:r>
      <w:r w:rsidR="00FA6EB6" w:rsidRPr="0058063C">
        <w:t>s</w:t>
      </w:r>
      <w:proofErr w:type="spellEnd"/>
      <w:r w:rsidR="00FA6EB6">
        <w:t xml:space="preserve"> </w:t>
      </w:r>
      <w:r w:rsidR="00AB7F5A">
        <w:t>presence</w:t>
      </w:r>
      <w:r w:rsidR="00FA6EB6">
        <w:t xml:space="preserve"> and as a means of bringing down the </w:t>
      </w:r>
      <w:proofErr w:type="spellStart"/>
      <w:r w:rsidR="00FA6EB6" w:rsidRPr="00B43320">
        <w:rPr>
          <w:i/>
          <w:iCs/>
        </w:rPr>
        <w:t>Shekhina</w:t>
      </w:r>
      <w:r w:rsidR="00B43320" w:rsidRPr="00B43320">
        <w:rPr>
          <w:i/>
          <w:iCs/>
        </w:rPr>
        <w:t>h</w:t>
      </w:r>
      <w:proofErr w:type="spellEnd"/>
      <w:r w:rsidR="00FA6EB6">
        <w:t xml:space="preserve">, see I. </w:t>
      </w:r>
      <w:proofErr w:type="spellStart"/>
      <w:r w:rsidR="00FA6EB6">
        <w:t>Knohl</w:t>
      </w:r>
      <w:proofErr w:type="spellEnd"/>
      <w:r w:rsidR="00FA6EB6">
        <w:t xml:space="preserve"> and S. </w:t>
      </w:r>
      <w:proofErr w:type="spellStart"/>
      <w:r w:rsidR="00FA6EB6">
        <w:t>Naeh</w:t>
      </w:r>
      <w:proofErr w:type="spellEnd"/>
      <w:r w:rsidR="00FA6EB6">
        <w:t xml:space="preserve">, </w:t>
      </w:r>
      <w:r w:rsidR="00176550">
        <w:t>“</w:t>
      </w:r>
      <w:proofErr w:type="spellStart"/>
      <w:r w:rsidR="00FA6EB6" w:rsidRPr="00B43320">
        <w:rPr>
          <w:i/>
          <w:iCs/>
        </w:rPr>
        <w:t>Milluim</w:t>
      </w:r>
      <w:proofErr w:type="spellEnd"/>
      <w:r w:rsidR="00FA6EB6" w:rsidRPr="00B43320">
        <w:rPr>
          <w:i/>
          <w:iCs/>
        </w:rPr>
        <w:t xml:space="preserve"> </w:t>
      </w:r>
      <w:proofErr w:type="spellStart"/>
      <w:r w:rsidR="00FA6EB6" w:rsidRPr="00B43320">
        <w:rPr>
          <w:i/>
          <w:iCs/>
        </w:rPr>
        <w:t>Ve-Kippurim</w:t>
      </w:r>
      <w:proofErr w:type="spellEnd"/>
      <w:r w:rsidR="00FA6EB6">
        <w:t>,</w:t>
      </w:r>
      <w:r w:rsidR="00176550">
        <w:t>”</w:t>
      </w:r>
      <w:r w:rsidR="00FA6EB6">
        <w:t xml:space="preserve"> </w:t>
      </w:r>
      <w:proofErr w:type="spellStart"/>
      <w:r w:rsidR="00FA6EB6" w:rsidRPr="00B43320">
        <w:rPr>
          <w:i/>
          <w:iCs/>
        </w:rPr>
        <w:t>Tarbiz</w:t>
      </w:r>
      <w:proofErr w:type="spellEnd"/>
      <w:r w:rsidR="00FA6EB6">
        <w:t xml:space="preserve"> 62, 1 (1993): 33-34 [Hebrew].</w:t>
      </w:r>
    </w:p>
  </w:footnote>
  <w:footnote w:id="31">
    <w:p w14:paraId="2D434032" w14:textId="04F3DB24" w:rsidR="008D4EBC" w:rsidRDefault="008D4EBC" w:rsidP="00BA3DF4">
      <w:pPr>
        <w:pStyle w:val="FootnoteText"/>
      </w:pPr>
      <w:r>
        <w:rPr>
          <w:rStyle w:val="FootnoteReference"/>
        </w:rPr>
        <w:footnoteRef/>
      </w:r>
      <w:r>
        <w:t xml:space="preserve"> </w:t>
      </w:r>
      <w:r w:rsidR="008A4F15">
        <w:t>The fact that</w:t>
      </w:r>
      <w:r w:rsidR="005F27D1">
        <w:t xml:space="preserve"> according to</w:t>
      </w:r>
      <w:r w:rsidR="008A4F15">
        <w:t xml:space="preserve"> </w:t>
      </w:r>
      <w:r w:rsidR="005F27D1">
        <w:t xml:space="preserve">this approach </w:t>
      </w:r>
      <w:r w:rsidR="00736E00">
        <w:t xml:space="preserve">it was sufficient that </w:t>
      </w:r>
      <w:r w:rsidR="005F27D1">
        <w:t xml:space="preserve">the sprinkling of the blood of the </w:t>
      </w:r>
      <w:r w:rsidR="005F27D1">
        <w:t>daily offering</w:t>
      </w:r>
      <w:r w:rsidR="005F27D1">
        <w:t xml:space="preserve"> </w:t>
      </w:r>
      <w:r w:rsidR="00736E00">
        <w:t xml:space="preserve">was </w:t>
      </w:r>
      <w:r w:rsidR="008A4F15">
        <w:t xml:space="preserve">the first </w:t>
      </w:r>
      <w:r w:rsidR="00736E00">
        <w:t>rite performed</w:t>
      </w:r>
      <w:r w:rsidR="008A4F15">
        <w:t xml:space="preserve"> can be attributed to the fact that in general, the </w:t>
      </w:r>
      <w:proofErr w:type="spellStart"/>
      <w:r w:rsidR="008A4F15">
        <w:t>Tannaic</w:t>
      </w:r>
      <w:proofErr w:type="spellEnd"/>
      <w:r w:rsidR="008A4F15">
        <w:t xml:space="preserve"> </w:t>
      </w:r>
      <w:r w:rsidR="00736E00">
        <w:t>halakhah</w:t>
      </w:r>
      <w:r w:rsidR="008A4F15">
        <w:t xml:space="preserve"> emphasized in many places that the main part of the sacrificial </w:t>
      </w:r>
      <w:r w:rsidR="00F40C01">
        <w:t>rite</w:t>
      </w:r>
      <w:r w:rsidR="008A4F15">
        <w:t xml:space="preserve"> is the </w:t>
      </w:r>
      <w:r w:rsidR="00F40C01">
        <w:t xml:space="preserve">sprinkling of the </w:t>
      </w:r>
      <w:r w:rsidR="008A4F15">
        <w:t xml:space="preserve">blood, and </w:t>
      </w:r>
      <w:r w:rsidR="007F7C29">
        <w:t xml:space="preserve">the offering is still </w:t>
      </w:r>
      <w:r w:rsidR="00B67C10">
        <w:t>valid even if the parts of the animal are not burned on the altar.</w:t>
      </w:r>
      <w:r w:rsidR="008A4F15">
        <w:t xml:space="preserve"> See more on this at M. </w:t>
      </w:r>
      <w:proofErr w:type="spellStart"/>
      <w:r w:rsidR="008A4F15">
        <w:t>Balberg</w:t>
      </w:r>
      <w:proofErr w:type="spellEnd"/>
      <w:r w:rsidR="008A4F15">
        <w:t xml:space="preserve">, </w:t>
      </w:r>
      <w:r w:rsidR="008A4F15" w:rsidRPr="00631879">
        <w:rPr>
          <w:i/>
          <w:iCs/>
        </w:rPr>
        <w:t>Blood For Thought: the Reinvention of Sacrifice in Early Rabbinic Literature</w:t>
      </w:r>
      <w:r w:rsidR="008A4F15">
        <w:t>, Oakland, California 2017, pp. 71-85, 94-103..</w:t>
      </w:r>
    </w:p>
  </w:footnote>
  <w:footnote w:id="32">
    <w:p w14:paraId="7EDCB9ED" w14:textId="345B1157" w:rsidR="00817DB6" w:rsidRDefault="00817DB6" w:rsidP="007254CA">
      <w:pPr>
        <w:pStyle w:val="FootnoteText"/>
      </w:pPr>
      <w:r>
        <w:rPr>
          <w:rStyle w:val="FootnoteReference"/>
        </w:rPr>
        <w:footnoteRef/>
      </w:r>
      <w:r>
        <w:t xml:space="preserve"> </w:t>
      </w:r>
      <w:r w:rsidR="006C1BCB">
        <w:t xml:space="preserve">Much has been written about this controversy. See, for example, V. Noam, </w:t>
      </w:r>
      <w:r w:rsidR="006C1BCB" w:rsidRPr="007254CA">
        <w:rPr>
          <w:i/>
          <w:iCs/>
        </w:rPr>
        <w:t xml:space="preserve">Megillat </w:t>
      </w:r>
      <w:proofErr w:type="spellStart"/>
      <w:r w:rsidR="006C1BCB" w:rsidRPr="007254CA">
        <w:rPr>
          <w:i/>
          <w:iCs/>
        </w:rPr>
        <w:t>Taanit</w:t>
      </w:r>
      <w:proofErr w:type="spellEnd"/>
      <w:r w:rsidR="006C1BCB" w:rsidRPr="007254CA">
        <w:rPr>
          <w:i/>
          <w:iCs/>
        </w:rPr>
        <w:t>: The Texts, Their Interpretation, and Their History</w:t>
      </w:r>
      <w:r w:rsidR="006C1BCB">
        <w:t>, Jerusalem 2003, p. 168</w:t>
      </w:r>
      <w:r w:rsidR="007254CA">
        <w:t xml:space="preserve"> [Hebrew]</w:t>
      </w:r>
      <w:r w:rsidR="006C1BCB">
        <w:t xml:space="preserve">; Y. Lieber, </w:t>
      </w:r>
      <w:r w:rsidR="00176550">
        <w:t>“</w:t>
      </w:r>
      <w:r w:rsidR="006C1BCB">
        <w:t>Half a Shekel in the Dead Sea Scrolls,</w:t>
      </w:r>
      <w:r w:rsidR="00176550">
        <w:t>”</w:t>
      </w:r>
      <w:r w:rsidR="006C1BCB">
        <w:t xml:space="preserve"> </w:t>
      </w:r>
      <w:proofErr w:type="spellStart"/>
      <w:r w:rsidR="006C1BCB" w:rsidRPr="007254CA">
        <w:rPr>
          <w:i/>
          <w:iCs/>
        </w:rPr>
        <w:t>Tarbiz</w:t>
      </w:r>
      <w:proofErr w:type="spellEnd"/>
      <w:r w:rsidR="006C1BCB">
        <w:t xml:space="preserve"> 31, 1 (1962), pp. 18-22</w:t>
      </w:r>
      <w:r w:rsidR="007254CA">
        <w:t xml:space="preserve"> </w:t>
      </w:r>
      <w:r w:rsidR="007254CA">
        <w:t>[Hebrew]</w:t>
      </w:r>
      <w:r w:rsidR="006C1BCB">
        <w:t xml:space="preserve">; Y. </w:t>
      </w:r>
      <w:r w:rsidR="00124EA4">
        <w:t>Sussman</w:t>
      </w:r>
      <w:r w:rsidR="006C1BCB">
        <w:t xml:space="preserve">, </w:t>
      </w:r>
      <w:r w:rsidR="00176550">
        <w:t>“</w:t>
      </w:r>
      <w:r w:rsidR="006079D3" w:rsidRPr="006079D3">
        <w:t xml:space="preserve">The History of Halakha and the Dead Sea Scrolls — Preliminary Observations on </w:t>
      </w:r>
      <w:proofErr w:type="spellStart"/>
      <w:r w:rsidR="006079D3" w:rsidRPr="006079D3">
        <w:t>Miqṣat</w:t>
      </w:r>
      <w:proofErr w:type="spellEnd"/>
      <w:r w:rsidR="006079D3" w:rsidRPr="006079D3">
        <w:t xml:space="preserve"> </w:t>
      </w:r>
      <w:proofErr w:type="spellStart"/>
      <w:r w:rsidR="006079D3" w:rsidRPr="006079D3">
        <w:t>Ma’ase</w:t>
      </w:r>
      <w:proofErr w:type="spellEnd"/>
      <w:r w:rsidR="006079D3" w:rsidRPr="006079D3">
        <w:t xml:space="preserve"> Ha-Torah (</w:t>
      </w:r>
      <w:proofErr w:type="spellStart"/>
      <w:r w:rsidR="006079D3" w:rsidRPr="006079D3">
        <w:t>4QMMT</w:t>
      </w:r>
      <w:proofErr w:type="spellEnd"/>
      <w:r w:rsidR="006079D3" w:rsidRPr="006079D3">
        <w:t>)</w:t>
      </w:r>
      <w:r w:rsidR="006C1BCB">
        <w:t>,</w:t>
      </w:r>
      <w:r w:rsidR="00176550">
        <w:t>”</w:t>
      </w:r>
      <w:r w:rsidR="006C1BCB">
        <w:t xml:space="preserve"> </w:t>
      </w:r>
      <w:proofErr w:type="spellStart"/>
      <w:r w:rsidR="006C1BCB" w:rsidRPr="007254CA">
        <w:rPr>
          <w:i/>
          <w:iCs/>
        </w:rPr>
        <w:t>Tarbiz</w:t>
      </w:r>
      <w:proofErr w:type="spellEnd"/>
      <w:r w:rsidR="006C1BCB">
        <w:t xml:space="preserve"> 59, 1,2 (19</w:t>
      </w:r>
      <w:r w:rsidR="006079D3">
        <w:t>89</w:t>
      </w:r>
      <w:r w:rsidR="006C1BCB">
        <w:t>), p. 66</w:t>
      </w:r>
      <w:r w:rsidR="007254CA">
        <w:t xml:space="preserve"> </w:t>
      </w:r>
      <w:r w:rsidR="007254CA">
        <w:t>[Hebrew]</w:t>
      </w:r>
      <w:r w:rsidR="006C1BCB">
        <w:t>.</w:t>
      </w:r>
    </w:p>
  </w:footnote>
  <w:footnote w:id="33">
    <w:p w14:paraId="0D903F99" w14:textId="5174C591" w:rsidR="003B1B45" w:rsidRDefault="003B1B45" w:rsidP="003B3B55">
      <w:pPr>
        <w:pStyle w:val="FootnoteText"/>
      </w:pPr>
      <w:r>
        <w:rPr>
          <w:rStyle w:val="FootnoteReference"/>
        </w:rPr>
        <w:footnoteRef/>
      </w:r>
      <w:r>
        <w:t xml:space="preserve"> </w:t>
      </w:r>
      <w:r w:rsidR="007254CA">
        <w:t xml:space="preserve">A. Regev, </w:t>
      </w:r>
      <w:r w:rsidR="007254CA" w:rsidRPr="007254CA">
        <w:rPr>
          <w:i/>
          <w:iCs/>
        </w:rPr>
        <w:t>On the Sadducees and Their Halacha: On Religion and Society during the Second Temple Period</w:t>
      </w:r>
      <w:r w:rsidR="007254CA">
        <w:t>, Jerusalem 2005, p. 134</w:t>
      </w:r>
      <w:r w:rsidR="00477378">
        <w:t xml:space="preserve"> </w:t>
      </w:r>
      <w:r w:rsidR="00477378">
        <w:t>[Hebrew].</w:t>
      </w:r>
    </w:p>
  </w:footnote>
  <w:footnote w:id="34">
    <w:p w14:paraId="122977F1" w14:textId="20B28B3B" w:rsidR="00420FF7" w:rsidRDefault="00420FF7" w:rsidP="003B3B55">
      <w:pPr>
        <w:pStyle w:val="FootnoteText"/>
      </w:pPr>
      <w:r>
        <w:rPr>
          <w:rStyle w:val="FootnoteReference"/>
        </w:rPr>
        <w:footnoteRef/>
      </w:r>
      <w:r>
        <w:t xml:space="preserve"> </w:t>
      </w:r>
      <w:r w:rsidR="00BA3DF4">
        <w:t>Ibid.</w:t>
      </w:r>
      <w:r w:rsidR="003B3B55">
        <w:t>, note 000, p. 180.</w:t>
      </w:r>
    </w:p>
  </w:footnote>
  <w:footnote w:id="35">
    <w:p w14:paraId="2FF1CC43" w14:textId="5B01FE60" w:rsidR="003E4432" w:rsidRDefault="003E4432" w:rsidP="00517CC4">
      <w:pPr>
        <w:pStyle w:val="FootnoteText"/>
      </w:pPr>
      <w:r>
        <w:rPr>
          <w:rStyle w:val="FootnoteReference"/>
        </w:rPr>
        <w:footnoteRef/>
      </w:r>
      <w:r>
        <w:t xml:space="preserve"> </w:t>
      </w:r>
      <w:r w:rsidR="003B3B55">
        <w:t xml:space="preserve">A number of </w:t>
      </w:r>
      <w:r w:rsidR="00304C03">
        <w:t>scholars</w:t>
      </w:r>
      <w:r w:rsidR="003B3B55">
        <w:t xml:space="preserve"> have pointed out that the Pharisaic and </w:t>
      </w:r>
      <w:proofErr w:type="spellStart"/>
      <w:r w:rsidR="003B3B55">
        <w:t>Tannaic</w:t>
      </w:r>
      <w:proofErr w:type="spellEnd"/>
      <w:r w:rsidR="003B3B55">
        <w:t xml:space="preserve"> halacha tended to allow the participation of the people, as much as possible, in what was done in the Temple. The </w:t>
      </w:r>
      <w:r w:rsidR="00461C6D">
        <w:t>sch</w:t>
      </w:r>
      <w:r w:rsidR="00D73F66">
        <w:t>olars</w:t>
      </w:r>
      <w:r w:rsidR="003B3B55">
        <w:t xml:space="preserve"> who </w:t>
      </w:r>
      <w:r w:rsidR="00EA45E4">
        <w:t>discussed</w:t>
      </w:r>
      <w:r w:rsidR="003B3B55">
        <w:t xml:space="preserve"> this explained th</w:t>
      </w:r>
      <w:r w:rsidR="00EA45E4">
        <w:t>is</w:t>
      </w:r>
      <w:r w:rsidR="003B3B55">
        <w:t xml:space="preserve"> tendency of the Pharisees </w:t>
      </w:r>
      <w:r w:rsidR="00EA45E4">
        <w:t>as deriving from</w:t>
      </w:r>
      <w:r w:rsidR="003B3B55">
        <w:t xml:space="preserve"> a social </w:t>
      </w:r>
      <w:r w:rsidR="00493F51">
        <w:t>attitude</w:t>
      </w:r>
      <w:r w:rsidR="003B3B55">
        <w:t xml:space="preserve"> that seeks to unite the various parts of the people, at least on the pilgrimage festivals</w:t>
      </w:r>
      <w:r w:rsidR="00EB41D9">
        <w:t xml:space="preserve"> – </w:t>
      </w:r>
      <w:r w:rsidR="00176550">
        <w:t>“</w:t>
      </w:r>
      <w:r w:rsidR="003B3B55">
        <w:t>all Israel are friends.</w:t>
      </w:r>
      <w:r w:rsidR="00176550">
        <w:t>”</w:t>
      </w:r>
      <w:r w:rsidR="003B3B55">
        <w:t xml:space="preserve"> See </w:t>
      </w:r>
      <w:r w:rsidR="00EB41D9">
        <w:rPr>
          <w:rFonts w:hint="cs"/>
        </w:rPr>
        <w:t>E</w:t>
      </w:r>
      <w:r w:rsidR="00EB41D9">
        <w:t>.A</w:t>
      </w:r>
      <w:r w:rsidR="003B3B55">
        <w:t>.</w:t>
      </w:r>
      <w:r w:rsidR="00477378">
        <w:t xml:space="preserve"> Urbach</w:t>
      </w:r>
      <w:r w:rsidR="003B3B55">
        <w:t xml:space="preserve"> </w:t>
      </w:r>
      <w:r w:rsidR="00AA2118">
        <w:t>1979</w:t>
      </w:r>
      <w:r w:rsidR="003B3B55">
        <w:t xml:space="preserve"> pp. </w:t>
      </w:r>
      <w:r w:rsidR="00AA2118" w:rsidRPr="00AA2118">
        <w:rPr>
          <w:highlight w:val="yellow"/>
        </w:rPr>
        <w:t>****</w:t>
      </w:r>
      <w:r w:rsidR="003B3B55" w:rsidRPr="00AA2118">
        <w:rPr>
          <w:highlight w:val="yellow"/>
        </w:rPr>
        <w:t>;</w:t>
      </w:r>
      <w:r w:rsidR="003B3B55">
        <w:t xml:space="preserve"> Y. </w:t>
      </w:r>
      <w:r w:rsidR="00124EA4">
        <w:t>Sussman</w:t>
      </w:r>
      <w:r w:rsidR="003B3B55">
        <w:t xml:space="preserve"> (above, note 000) pp. 66-68; Y. </w:t>
      </w:r>
      <w:proofErr w:type="spellStart"/>
      <w:r w:rsidR="003B3B55">
        <w:t>Knohl</w:t>
      </w:r>
      <w:proofErr w:type="spellEnd"/>
      <w:r w:rsidR="003B3B55">
        <w:t xml:space="preserve">, </w:t>
      </w:r>
      <w:r w:rsidR="00176550">
        <w:t>“</w:t>
      </w:r>
      <w:r w:rsidR="003B3B55">
        <w:t>The Polemic of the Sects during the Second Temple Period and the Priestly Schools,</w:t>
      </w:r>
      <w:r w:rsidR="00176550">
        <w:t>”</w:t>
      </w:r>
      <w:r w:rsidR="003B3B55">
        <w:t xml:space="preserve"> </w:t>
      </w:r>
      <w:proofErr w:type="spellStart"/>
      <w:r w:rsidR="003B3B55" w:rsidRPr="00153928">
        <w:rPr>
          <w:i/>
          <w:iCs/>
        </w:rPr>
        <w:t>Tarbiz</w:t>
      </w:r>
      <w:proofErr w:type="spellEnd"/>
      <w:r w:rsidR="003B3B55">
        <w:t xml:space="preserve"> 60, 2 (1991), pp. 139-146</w:t>
      </w:r>
      <w:r w:rsidR="00477378">
        <w:t xml:space="preserve"> </w:t>
      </w:r>
      <w:r w:rsidR="00477378">
        <w:t>[Hebrew].</w:t>
      </w:r>
      <w:r w:rsidR="003B3B55">
        <w:t xml:space="preserve"> See a review of this article </w:t>
      </w:r>
      <w:r w:rsidR="00EB41D9">
        <w:t>in</w:t>
      </w:r>
      <w:r w:rsidR="003B3B55">
        <w:t xml:space="preserve"> Y. Furstenberg, </w:t>
      </w:r>
      <w:proofErr w:type="gramStart"/>
      <w:r w:rsidR="003B3B55" w:rsidRPr="00EB41D9">
        <w:rPr>
          <w:i/>
          <w:iCs/>
        </w:rPr>
        <w:t>Purity</w:t>
      </w:r>
      <w:proofErr w:type="gramEnd"/>
      <w:r w:rsidR="003B3B55" w:rsidRPr="00EB41D9">
        <w:rPr>
          <w:i/>
          <w:iCs/>
        </w:rPr>
        <w:t xml:space="preserve"> and Community in Antiquity: Traditions of Halacha between Second Temple Judaism and the Mishnah</w:t>
      </w:r>
      <w:r w:rsidR="003B3B55">
        <w:t>, Jerusalem 2016, p. 342, note 56</w:t>
      </w:r>
      <w:r w:rsidR="00517CC4">
        <w:t xml:space="preserve"> </w:t>
      </w:r>
      <w:r w:rsidR="00517CC4">
        <w:t>[Hebrew].</w:t>
      </w:r>
    </w:p>
  </w:footnote>
  <w:footnote w:id="36">
    <w:p w14:paraId="59D9301F" w14:textId="673D99C2" w:rsidR="00843077" w:rsidRDefault="00843077" w:rsidP="00BB5A7E">
      <w:pPr>
        <w:pStyle w:val="FootnoteText"/>
      </w:pPr>
      <w:r>
        <w:rPr>
          <w:rStyle w:val="FootnoteReference"/>
        </w:rPr>
        <w:footnoteRef/>
      </w:r>
      <w:r>
        <w:t xml:space="preserve"> </w:t>
      </w:r>
      <w:r w:rsidR="00477378">
        <w:t xml:space="preserve">See, for example, Y. Kaufmann, </w:t>
      </w:r>
      <w:r w:rsidR="00477378" w:rsidRPr="00477378">
        <w:rPr>
          <w:i/>
          <w:iCs/>
        </w:rPr>
        <w:t>The History of the Israelite Faith from Ancient Times to the End of the Second Temple Period</w:t>
      </w:r>
      <w:r w:rsidR="00477378">
        <w:t>, Volume Two, Jerusalem 1969, pp. 473-476</w:t>
      </w:r>
      <w:r w:rsidR="00517CC4">
        <w:t xml:space="preserve"> </w:t>
      </w:r>
      <w:r w:rsidR="00517CC4">
        <w:t>[Hebrew]</w:t>
      </w:r>
      <w:r w:rsidR="00477378">
        <w:t xml:space="preserve">; </w:t>
      </w:r>
      <w:proofErr w:type="spellStart"/>
      <w:r w:rsidR="00477378">
        <w:t>Knohl</w:t>
      </w:r>
      <w:proofErr w:type="spellEnd"/>
      <w:r w:rsidR="00477378">
        <w:t xml:space="preserve"> (above, note 000) pp. 140-145; B. Schwartz, </w:t>
      </w:r>
      <w:r w:rsidR="00477378" w:rsidRPr="002910B5">
        <w:rPr>
          <w:i/>
          <w:iCs/>
        </w:rPr>
        <w:t xml:space="preserve">The Torah of Holiness </w:t>
      </w:r>
      <w:r w:rsidR="002C32B0">
        <w:rPr>
          <w:i/>
          <w:iCs/>
        </w:rPr>
        <w:t xml:space="preserve">– </w:t>
      </w:r>
      <w:r w:rsidR="00477378" w:rsidRPr="002910B5">
        <w:rPr>
          <w:i/>
          <w:iCs/>
        </w:rPr>
        <w:t>Studies in the Priestly Torah</w:t>
      </w:r>
      <w:r w:rsidR="00477378">
        <w:t>, Jerusalem 1999, pp. 255-258</w:t>
      </w:r>
      <w:r w:rsidR="002910B5">
        <w:t xml:space="preserve"> </w:t>
      </w:r>
      <w:r w:rsidR="002910B5">
        <w:t>[Hebrew].</w:t>
      </w:r>
      <w:r w:rsidR="00477378">
        <w:t xml:space="preserve"> On the differences within the priestly sources themselves, see J. Milgrom, </w:t>
      </w:r>
      <w:r w:rsidR="00477378" w:rsidRPr="002910B5">
        <w:rPr>
          <w:i/>
          <w:iCs/>
        </w:rPr>
        <w:t>Anchor Bible - Leviticus 1-16</w:t>
      </w:r>
      <w:r w:rsidR="00477378">
        <w:t>, New York 1991, pp. 60-63; Schwartz</w:t>
      </w:r>
      <w:r w:rsidR="00032EC5">
        <w:t>, loc. cit.</w:t>
      </w:r>
      <w:r w:rsidR="00477378">
        <w:t xml:space="preserve">, pp. 11-34; </w:t>
      </w:r>
      <w:proofErr w:type="spellStart"/>
      <w:r w:rsidR="00477378">
        <w:t>Knohl</w:t>
      </w:r>
      <w:proofErr w:type="spellEnd"/>
      <w:r w:rsidR="00032EC5">
        <w:t>, loc. cit</w:t>
      </w:r>
      <w:r w:rsidR="00477378">
        <w:t>.</w:t>
      </w:r>
    </w:p>
  </w:footnote>
  <w:footnote w:id="37">
    <w:p w14:paraId="5B1BF720" w14:textId="0D6FE73E" w:rsidR="00BB23B6" w:rsidRDefault="00BB23B6" w:rsidP="00206DB1">
      <w:pPr>
        <w:pStyle w:val="FootnoteText"/>
      </w:pPr>
      <w:r>
        <w:rPr>
          <w:rStyle w:val="FootnoteReference"/>
        </w:rPr>
        <w:footnoteRef/>
      </w:r>
      <w:r>
        <w:t xml:space="preserve"> </w:t>
      </w:r>
      <w:r w:rsidR="00BB5A7E">
        <w:t xml:space="preserve">M. </w:t>
      </w:r>
      <w:proofErr w:type="spellStart"/>
      <w:r w:rsidR="00BB5A7E">
        <w:t>Weinfeld</w:t>
      </w:r>
      <w:proofErr w:type="spellEnd"/>
      <w:r w:rsidR="00BB5A7E">
        <w:t xml:space="preserve">, </w:t>
      </w:r>
      <w:r w:rsidR="00176550">
        <w:t>“</w:t>
      </w:r>
      <w:r w:rsidR="00BB5A7E">
        <w:t xml:space="preserve">The </w:t>
      </w:r>
      <w:r w:rsidR="0028740A">
        <w:t>Change</w:t>
      </w:r>
      <w:r w:rsidR="00BB5A7E">
        <w:t xml:space="preserve"> in the </w:t>
      </w:r>
      <w:r w:rsidR="00B0665C">
        <w:t xml:space="preserve">Conception of </w:t>
      </w:r>
      <w:r w:rsidR="0028740A">
        <w:t>Religion</w:t>
      </w:r>
      <w:r w:rsidR="00BB5A7E">
        <w:t xml:space="preserve"> in Deuteronomy,</w:t>
      </w:r>
      <w:r w:rsidR="00176550">
        <w:t>”</w:t>
      </w:r>
      <w:r w:rsidR="00BB5A7E">
        <w:t xml:space="preserve"> </w:t>
      </w:r>
      <w:proofErr w:type="spellStart"/>
      <w:r w:rsidR="00BB5A7E" w:rsidRPr="00BB5A7E">
        <w:rPr>
          <w:i/>
          <w:iCs/>
        </w:rPr>
        <w:t>Tarbiz</w:t>
      </w:r>
      <w:proofErr w:type="spellEnd"/>
      <w:r w:rsidR="00BB5A7E">
        <w:t xml:space="preserve"> </w:t>
      </w:r>
      <w:r w:rsidR="00DF38FB">
        <w:t>3</w:t>
      </w:r>
      <w:r w:rsidR="009954BB">
        <w:t>1</w:t>
      </w:r>
      <w:r w:rsidR="008B74C9">
        <w:t>, 1</w:t>
      </w:r>
      <w:r w:rsidR="00BB5A7E">
        <w:t xml:space="preserve"> (1961), pp. 1-17</w:t>
      </w:r>
      <w:r w:rsidR="00206DB1">
        <w:t xml:space="preserve"> </w:t>
      </w:r>
      <w:r w:rsidR="00206DB1">
        <w:t>[Hebrew].</w:t>
      </w:r>
    </w:p>
  </w:footnote>
  <w:footnote w:id="38">
    <w:p w14:paraId="3ABF9F56" w14:textId="437A4410" w:rsidR="009B7E8E" w:rsidRDefault="009B7E8E" w:rsidP="00206DB1">
      <w:pPr>
        <w:pStyle w:val="FootnoteText"/>
      </w:pPr>
      <w:r>
        <w:rPr>
          <w:rStyle w:val="FootnoteReference"/>
        </w:rPr>
        <w:footnoteRef/>
      </w:r>
      <w:r>
        <w:t xml:space="preserve"> </w:t>
      </w:r>
      <w:r w:rsidR="00206DB1">
        <w:t xml:space="preserve">See Schwartz (above, note 000) pp. 259-266; </w:t>
      </w:r>
      <w:proofErr w:type="spellStart"/>
      <w:r w:rsidR="00206DB1">
        <w:t>Knohl</w:t>
      </w:r>
      <w:proofErr w:type="spellEnd"/>
      <w:r w:rsidR="00206DB1">
        <w:t xml:space="preserve">, (above, note 000), p. </w:t>
      </w:r>
      <w:proofErr w:type="spellStart"/>
      <w:r w:rsidR="00206DB1">
        <w:t>159</w:t>
      </w:r>
      <w:r w:rsidR="00206DB1">
        <w:t>ff</w:t>
      </w:r>
      <w:proofErr w:type="spellEnd"/>
      <w:r w:rsidR="00206DB1">
        <w:t>.</w:t>
      </w:r>
    </w:p>
  </w:footnote>
  <w:footnote w:id="39">
    <w:p w14:paraId="2C164BAE" w14:textId="698AF0FB" w:rsidR="00D7760E" w:rsidRDefault="00D7760E">
      <w:pPr>
        <w:pStyle w:val="FootnoteText"/>
      </w:pPr>
      <w:r>
        <w:rPr>
          <w:rStyle w:val="FootnoteReference"/>
        </w:rPr>
        <w:footnoteRef/>
      </w:r>
      <w:r>
        <w:t xml:space="preserve"> </w:t>
      </w:r>
      <w:r w:rsidR="00206DB1">
        <w:t xml:space="preserve">Schwartz </w:t>
      </w:r>
      <w:r w:rsidR="00206DB1">
        <w:t>loc. cit.,</w:t>
      </w:r>
      <w:r w:rsidR="00206DB1">
        <w:t xml:space="preserve"> p. 260</w:t>
      </w:r>
    </w:p>
  </w:footnote>
  <w:footnote w:id="40">
    <w:p w14:paraId="3535EFF7" w14:textId="7A2EC33B" w:rsidR="00A02F6F" w:rsidRDefault="00A02F6F" w:rsidP="00F07696">
      <w:pPr>
        <w:pStyle w:val="FootnoteText"/>
      </w:pPr>
      <w:r>
        <w:rPr>
          <w:rStyle w:val="FootnoteReference"/>
        </w:rPr>
        <w:footnoteRef/>
      </w:r>
      <w:r>
        <w:t xml:space="preserve"> </w:t>
      </w:r>
      <w:r w:rsidR="0096499F">
        <w:t>Reg</w:t>
      </w:r>
      <w:r w:rsidR="00E01752">
        <w:t>ev</w:t>
      </w:r>
      <w:r w:rsidR="0096499F">
        <w:t xml:space="preserve"> (</w:t>
      </w:r>
      <w:r w:rsidR="00E01752">
        <w:t xml:space="preserve">above, note </w:t>
      </w:r>
      <w:r w:rsidR="00FF64B9">
        <w:t>000</w:t>
      </w:r>
      <w:r w:rsidR="0096499F">
        <w:t xml:space="preserve">) pp. </w:t>
      </w:r>
      <w:r w:rsidR="00F07696">
        <w:t>238-241.</w:t>
      </w:r>
    </w:p>
  </w:footnote>
  <w:footnote w:id="41">
    <w:p w14:paraId="27C8C344" w14:textId="32F8435B" w:rsidR="00110B2E" w:rsidRDefault="00110B2E" w:rsidP="00124EA4">
      <w:pPr>
        <w:pStyle w:val="FootnoteText"/>
      </w:pPr>
      <w:r>
        <w:rPr>
          <w:rStyle w:val="FootnoteReference"/>
        </w:rPr>
        <w:footnoteRef/>
      </w:r>
      <w:r>
        <w:t xml:space="preserve"> </w:t>
      </w:r>
      <w:r w:rsidR="00F07696">
        <w:t xml:space="preserve">Regev (above, note 000) pp. 239-238. See the </w:t>
      </w:r>
      <w:r w:rsidR="00A62BAA">
        <w:t xml:space="preserve">important </w:t>
      </w:r>
      <w:r w:rsidR="00F07696">
        <w:t xml:space="preserve">note by Y. </w:t>
      </w:r>
      <w:r w:rsidR="00121503">
        <w:t>S</w:t>
      </w:r>
      <w:r w:rsidR="00F07696">
        <w:t>us</w:t>
      </w:r>
      <w:r w:rsidR="00A62BAA">
        <w:t>s</w:t>
      </w:r>
      <w:r w:rsidR="00F07696">
        <w:t xml:space="preserve">man, </w:t>
      </w:r>
      <w:r w:rsidR="00176550">
        <w:t>“</w:t>
      </w:r>
      <w:r w:rsidR="00124EA4" w:rsidRPr="00124EA4">
        <w:t xml:space="preserve">The History of Halakha and the Dead Sea Scrolls — Preliminary Observations on </w:t>
      </w:r>
      <w:proofErr w:type="spellStart"/>
      <w:r w:rsidR="00124EA4" w:rsidRPr="00124EA4">
        <w:t>Miqṣat</w:t>
      </w:r>
      <w:proofErr w:type="spellEnd"/>
      <w:r w:rsidR="00124EA4" w:rsidRPr="00124EA4">
        <w:t xml:space="preserve"> </w:t>
      </w:r>
      <w:proofErr w:type="spellStart"/>
      <w:r w:rsidR="00124EA4" w:rsidRPr="00124EA4">
        <w:t>Ma</w:t>
      </w:r>
      <w:r w:rsidR="00176550">
        <w:t>’</w:t>
      </w:r>
      <w:r w:rsidR="00124EA4" w:rsidRPr="00124EA4">
        <w:t>ase</w:t>
      </w:r>
      <w:proofErr w:type="spellEnd"/>
      <w:r w:rsidR="00124EA4" w:rsidRPr="00124EA4">
        <w:t xml:space="preserve"> Ha-Torah (</w:t>
      </w:r>
      <w:proofErr w:type="spellStart"/>
      <w:r w:rsidR="00124EA4" w:rsidRPr="00124EA4">
        <w:t>4QMMT</w:t>
      </w:r>
      <w:proofErr w:type="spellEnd"/>
      <w:r w:rsidR="00124EA4" w:rsidRPr="00124EA4">
        <w:t>)</w:t>
      </w:r>
      <w:r w:rsidR="00176550">
        <w:t>”</w:t>
      </w:r>
      <w:r w:rsidR="00F07696">
        <w:t xml:space="preserve">, </w:t>
      </w:r>
      <w:proofErr w:type="spellStart"/>
      <w:r w:rsidR="00F07696" w:rsidRPr="00A62BAA">
        <w:rPr>
          <w:i/>
          <w:iCs/>
        </w:rPr>
        <w:t>Tarbiz</w:t>
      </w:r>
      <w:proofErr w:type="spellEnd"/>
      <w:r w:rsidR="00F07696">
        <w:t xml:space="preserve"> 59 (19</w:t>
      </w:r>
      <w:r w:rsidR="00124EA4">
        <w:t>89</w:t>
      </w:r>
      <w:r w:rsidR="00F07696">
        <w:t>), p. 69 note 226</w:t>
      </w:r>
      <w:r w:rsidR="00124EA4">
        <w:t xml:space="preserve"> [Hebrew].</w:t>
      </w:r>
    </w:p>
  </w:footnote>
  <w:footnote w:id="42">
    <w:p w14:paraId="33B1287B" w14:textId="24F2F80E" w:rsidR="007E39BC" w:rsidRDefault="007E39BC" w:rsidP="009927B7">
      <w:pPr>
        <w:pStyle w:val="FootnoteText"/>
      </w:pPr>
      <w:r>
        <w:rPr>
          <w:rStyle w:val="FootnoteReference"/>
        </w:rPr>
        <w:footnoteRef/>
      </w:r>
      <w:r>
        <w:t xml:space="preserve"> </w:t>
      </w:r>
      <w:r w:rsidR="00124EA4">
        <w:t xml:space="preserve">Y. Marcus, </w:t>
      </w:r>
      <w:r w:rsidR="00176550">
        <w:t>“</w:t>
      </w:r>
      <w:r w:rsidR="00124EA4">
        <w:t>Restrictions on Entering the Temple: From the Bible to the Tannaitic Literature,</w:t>
      </w:r>
      <w:r w:rsidR="00176550">
        <w:t>”</w:t>
      </w:r>
      <w:r w:rsidR="00124EA4">
        <w:t xml:space="preserve"> </w:t>
      </w:r>
      <w:r w:rsidR="00124EA4" w:rsidRPr="009C35CB">
        <w:rPr>
          <w:i/>
          <w:iCs/>
        </w:rPr>
        <w:t>Zion</w:t>
      </w:r>
      <w:r w:rsidR="00124EA4">
        <w:t xml:space="preserve"> 86, A (2021), pp. 30-5 [Hebrew]; Y. Marcus, </w:t>
      </w:r>
      <w:r w:rsidR="00176550">
        <w:t>“</w:t>
      </w:r>
      <w:r w:rsidR="00124EA4">
        <w:t xml:space="preserve">Sin Offerings for </w:t>
      </w:r>
      <w:r w:rsidR="00176550">
        <w:t>‘</w:t>
      </w:r>
      <w:r w:rsidR="00124EA4">
        <w:t xml:space="preserve">Impurity of the Temple and its </w:t>
      </w:r>
      <w:proofErr w:type="spellStart"/>
      <w:r w:rsidR="00124EA4">
        <w:t>Holines</w:t>
      </w:r>
      <w:proofErr w:type="spellEnd"/>
      <w:r w:rsidR="00176550">
        <w:t>’</w:t>
      </w:r>
      <w:r w:rsidR="00124EA4">
        <w:t xml:space="preserve"> in Tannaitic Literature: Atonement for Sin or Purification of the Temple?</w:t>
      </w:r>
      <w:r w:rsidR="00176550">
        <w:t>”</w:t>
      </w:r>
      <w:r w:rsidR="00124EA4">
        <w:t xml:space="preserve"> </w:t>
      </w:r>
      <w:proofErr w:type="spellStart"/>
      <w:r w:rsidR="00124EA4">
        <w:t>JSIJ</w:t>
      </w:r>
      <w:proofErr w:type="spellEnd"/>
      <w:r w:rsidR="00124EA4">
        <w:t xml:space="preserve"> 21 (2021), pp. 21-1 [Hebrew].</w:t>
      </w:r>
    </w:p>
  </w:footnote>
  <w:footnote w:id="43">
    <w:p w14:paraId="2EE8F87D" w14:textId="4807F6B2" w:rsidR="00D66998" w:rsidRDefault="00D66998" w:rsidP="00A50F4D">
      <w:pPr>
        <w:pStyle w:val="FootnoteText"/>
      </w:pPr>
      <w:r>
        <w:rPr>
          <w:rStyle w:val="FootnoteReference"/>
        </w:rPr>
        <w:footnoteRef/>
      </w:r>
      <w:r>
        <w:t xml:space="preserve"> </w:t>
      </w:r>
      <w:r w:rsidR="004C5E73">
        <w:t xml:space="preserve">D. </w:t>
      </w:r>
      <w:proofErr w:type="spellStart"/>
      <w:r w:rsidR="004C5E73">
        <w:t>Henshke</w:t>
      </w:r>
      <w:proofErr w:type="spellEnd"/>
      <w:r w:rsidR="004C5E73">
        <w:t xml:space="preserve">, </w:t>
      </w:r>
      <w:r w:rsidR="00176550">
        <w:t>“</w:t>
      </w:r>
      <w:r w:rsidR="008B7D02" w:rsidRPr="008B7D02">
        <w:t>The Acceptance of an Apocryphal Halakha</w:t>
      </w:r>
      <w:r w:rsidR="008B7D02">
        <w:t>,</w:t>
      </w:r>
      <w:r w:rsidR="00176550">
        <w:t>”</w:t>
      </w:r>
      <w:r w:rsidR="004C5E73">
        <w:t xml:space="preserve"> </w:t>
      </w:r>
      <w:proofErr w:type="spellStart"/>
      <w:r w:rsidR="004C5E73" w:rsidRPr="004C5E73">
        <w:rPr>
          <w:i/>
          <w:iCs/>
        </w:rPr>
        <w:t>Tarbiz</w:t>
      </w:r>
      <w:proofErr w:type="spellEnd"/>
      <w:r w:rsidR="004C5E73">
        <w:t xml:space="preserve"> 65, </w:t>
      </w:r>
      <w:r w:rsidR="009927B7">
        <w:t>2</w:t>
      </w:r>
      <w:r w:rsidR="004C5E73">
        <w:t xml:space="preserve"> (1996), p. 225 note 2</w:t>
      </w:r>
      <w:r w:rsidR="008B7D02">
        <w:t xml:space="preserve"> [Hebrew]</w:t>
      </w:r>
      <w:r w:rsidR="004C5E73">
        <w:t xml:space="preserve">; </w:t>
      </w:r>
      <w:r w:rsidR="007C5004">
        <w:t xml:space="preserve">D. </w:t>
      </w:r>
      <w:proofErr w:type="spellStart"/>
      <w:r w:rsidR="007C5004">
        <w:t>Henshke</w:t>
      </w:r>
      <w:proofErr w:type="spellEnd"/>
      <w:r w:rsidR="004C5E73">
        <w:t xml:space="preserve">, </w:t>
      </w:r>
      <w:r w:rsidR="00176550">
        <w:t>“</w:t>
      </w:r>
      <w:r w:rsidR="004C5E73">
        <w:t xml:space="preserve">The Sanctity of Jerusalem: </w:t>
      </w:r>
      <w:r w:rsidR="003F0A56">
        <w:t>T</w:t>
      </w:r>
      <w:r w:rsidR="004C5E73">
        <w:t>he Rabbis and the Sectarian Halakha</w:t>
      </w:r>
      <w:r w:rsidR="00176550">
        <w:t>”</w:t>
      </w:r>
      <w:r w:rsidR="004C5E73">
        <w:t xml:space="preserve">, </w:t>
      </w:r>
      <w:proofErr w:type="spellStart"/>
      <w:r w:rsidR="004C5E73" w:rsidRPr="00044920">
        <w:rPr>
          <w:i/>
          <w:iCs/>
        </w:rPr>
        <w:t>Tarbiz</w:t>
      </w:r>
      <w:proofErr w:type="spellEnd"/>
      <w:r w:rsidR="004C5E73">
        <w:t xml:space="preserve"> 67, </w:t>
      </w:r>
      <w:r w:rsidR="009927B7">
        <w:t>1</w:t>
      </w:r>
      <w:r w:rsidR="004C5E73">
        <w:t xml:space="preserve"> (1998), p. 19 and note 54</w:t>
      </w:r>
      <w:r w:rsidR="009927B7">
        <w:t xml:space="preserve"> </w:t>
      </w:r>
      <w:r w:rsidR="009927B7">
        <w:t>[Hebrew]</w:t>
      </w:r>
      <w:r w:rsidR="004C5E73">
        <w:t xml:space="preserve">; </w:t>
      </w:r>
      <w:r w:rsidR="00ED3A71">
        <w:t>C</w:t>
      </w:r>
      <w:r w:rsidR="004C5E73">
        <w:t xml:space="preserve">. </w:t>
      </w:r>
      <w:proofErr w:type="spellStart"/>
      <w:r w:rsidR="004C5E73">
        <w:t>Werman</w:t>
      </w:r>
      <w:proofErr w:type="spellEnd"/>
      <w:r w:rsidR="004C5E73">
        <w:t xml:space="preserve">, </w:t>
      </w:r>
      <w:r w:rsidR="00176550">
        <w:t>“</w:t>
      </w:r>
      <w:r w:rsidR="00ED3A71" w:rsidRPr="00ED3A71">
        <w:t>Consumption of the Blood and Its Covering in the Priestly and Rabbinic Traditions</w:t>
      </w:r>
      <w:r w:rsidR="00ED3A71">
        <w:t>,</w:t>
      </w:r>
      <w:r w:rsidR="00176550">
        <w:t>”</w:t>
      </w:r>
      <w:r w:rsidR="004C5E73">
        <w:t xml:space="preserve"> </w:t>
      </w:r>
      <w:proofErr w:type="spellStart"/>
      <w:r w:rsidR="004C5E73" w:rsidRPr="00044920">
        <w:rPr>
          <w:i/>
          <w:iCs/>
        </w:rPr>
        <w:t>Tarbiz</w:t>
      </w:r>
      <w:proofErr w:type="spellEnd"/>
      <w:r w:rsidR="004C5E73">
        <w:t xml:space="preserve"> 63 (1994), pp. 183-173</w:t>
      </w:r>
      <w:r w:rsidR="00ED3A71">
        <w:t xml:space="preserve"> [Hebrew]</w:t>
      </w:r>
      <w:r w:rsidR="004C5E73">
        <w:t xml:space="preserve">; </w:t>
      </w:r>
      <w:proofErr w:type="spellStart"/>
      <w:r w:rsidR="004C5E73">
        <w:t>L.H</w:t>
      </w:r>
      <w:proofErr w:type="spellEnd"/>
      <w:r w:rsidR="004C5E73">
        <w:t xml:space="preserve"> Schiffman, </w:t>
      </w:r>
      <w:r w:rsidR="00176550">
        <w:t>“</w:t>
      </w:r>
      <w:r w:rsidR="004C5E73">
        <w:t>Sacral and Non-Sacral Slaughter according to the Temple Scroll</w:t>
      </w:r>
      <w:r w:rsidR="00A50F4D">
        <w:t>,</w:t>
      </w:r>
      <w:r w:rsidR="00176550">
        <w:t>”</w:t>
      </w:r>
      <w:r w:rsidR="004C5E73">
        <w:t xml:space="preserve"> D. </w:t>
      </w:r>
      <w:proofErr w:type="spellStart"/>
      <w:r w:rsidR="004C5E73">
        <w:t>Dimant</w:t>
      </w:r>
      <w:proofErr w:type="spellEnd"/>
      <w:r w:rsidR="004C5E73">
        <w:t xml:space="preserve"> and L. H. Schiffman (eds.), </w:t>
      </w:r>
      <w:r w:rsidR="004C5E73" w:rsidRPr="00A50F4D">
        <w:rPr>
          <w:i/>
          <w:iCs/>
        </w:rPr>
        <w:t>Time to Prepare the Way in the Wilderness</w:t>
      </w:r>
      <w:r w:rsidR="004C5E73">
        <w:t>, Leiden 1995, pp. 69-84.</w:t>
      </w:r>
    </w:p>
  </w:footnote>
  <w:footnote w:id="44">
    <w:p w14:paraId="51756A80" w14:textId="7517080F" w:rsidR="00C37126" w:rsidRDefault="00C37126" w:rsidP="00A44510">
      <w:pPr>
        <w:pStyle w:val="FootnoteText"/>
      </w:pPr>
      <w:r>
        <w:rPr>
          <w:rStyle w:val="FootnoteReference"/>
        </w:rPr>
        <w:footnoteRef/>
      </w:r>
      <w:r>
        <w:t xml:space="preserve"> </w:t>
      </w:r>
      <w:r w:rsidR="00A44510">
        <w:t>See</w:t>
      </w:r>
      <w:r w:rsidR="004A6E19">
        <w:t xml:space="preserve"> </w:t>
      </w:r>
      <w:r w:rsidR="004A6E19" w:rsidRPr="004A6E19">
        <w:rPr>
          <w:highlight w:val="yellow"/>
        </w:rPr>
        <w:t>****</w:t>
      </w:r>
    </w:p>
  </w:footnote>
  <w:footnote w:id="45">
    <w:p w14:paraId="1BAD6E26" w14:textId="5C90BBB0" w:rsidR="00200A84" w:rsidRDefault="00200A84" w:rsidP="00B136FE">
      <w:pPr>
        <w:pStyle w:val="FootnoteText"/>
      </w:pPr>
      <w:r>
        <w:rPr>
          <w:rStyle w:val="FootnoteReference"/>
        </w:rPr>
        <w:footnoteRef/>
      </w:r>
      <w:r>
        <w:t xml:space="preserve"> </w:t>
      </w:r>
      <w:r w:rsidR="00A44510">
        <w:t xml:space="preserve">On the other hand, it should be emphasized that </w:t>
      </w:r>
      <w:r w:rsidR="006453A8">
        <w:t xml:space="preserve">they did not fully </w:t>
      </w:r>
      <w:r w:rsidR="009157F1">
        <w:t xml:space="preserve">accept the </w:t>
      </w:r>
      <w:r w:rsidR="00A44510">
        <w:t xml:space="preserve">meaning of the verses in Exodus 29, which imply that the role of the daily offering is to bring about the manifestation of the </w:t>
      </w:r>
      <w:proofErr w:type="spellStart"/>
      <w:r w:rsidR="009157F1" w:rsidRPr="009157F1">
        <w:rPr>
          <w:i/>
          <w:iCs/>
        </w:rPr>
        <w:t>Shekhinah</w:t>
      </w:r>
      <w:proofErr w:type="spellEnd"/>
      <w:r w:rsidR="00A44510">
        <w:t xml:space="preserve">, as noted by </w:t>
      </w:r>
      <w:proofErr w:type="spellStart"/>
      <w:r w:rsidR="00A44510">
        <w:t>Knohl</w:t>
      </w:r>
      <w:proofErr w:type="spellEnd"/>
      <w:r w:rsidR="00A44510">
        <w:t xml:space="preserve"> (above, note 000), p. 180. See now in more detail in Y. Grossman, </w:t>
      </w:r>
      <w:r w:rsidR="00A44510" w:rsidRPr="003E22AF">
        <w:rPr>
          <w:i/>
          <w:iCs/>
        </w:rPr>
        <w:t>The Law of the Offerings</w:t>
      </w:r>
      <w:r w:rsidR="00A44510">
        <w:t>, Jerusalem</w:t>
      </w:r>
      <w:r w:rsidR="003E22AF">
        <w:t>,</w:t>
      </w:r>
      <w:r w:rsidR="00A44510">
        <w:t xml:space="preserve"> 2021, pp. 399-383</w:t>
      </w:r>
      <w:r w:rsidR="003E22AF">
        <w:t xml:space="preserve"> [Hebrew]</w:t>
      </w:r>
      <w:r w:rsidR="00A44510">
        <w:t xml:space="preserve">. The </w:t>
      </w:r>
      <w:proofErr w:type="spellStart"/>
      <w:r w:rsidR="00A44510">
        <w:t>Tannaim</w:t>
      </w:r>
      <w:proofErr w:type="spellEnd"/>
      <w:r w:rsidR="00A44510">
        <w:t xml:space="preserve"> </w:t>
      </w:r>
      <w:r w:rsidR="000D590E">
        <w:t xml:space="preserve">understood the </w:t>
      </w:r>
      <w:r w:rsidR="00982820">
        <w:t>value</w:t>
      </w:r>
      <w:r w:rsidR="000D590E">
        <w:t xml:space="preserve"> of </w:t>
      </w:r>
      <w:r w:rsidR="00A44510">
        <w:t xml:space="preserve">the daily offering </w:t>
      </w:r>
      <w:r w:rsidR="00B136FE">
        <w:t>to be derived from the value</w:t>
      </w:r>
      <w:r w:rsidR="00A44510">
        <w:t xml:space="preserve"> of the Temple service</w:t>
      </w:r>
      <w:r w:rsidR="00B136FE">
        <w:t xml:space="preserve"> in general.</w:t>
      </w:r>
    </w:p>
  </w:footnote>
  <w:footnote w:id="46">
    <w:p w14:paraId="28A82C19" w14:textId="616525F9" w:rsidR="006D1054" w:rsidRDefault="006D1054" w:rsidP="00FD71B0">
      <w:pPr>
        <w:pStyle w:val="FootnoteText"/>
      </w:pPr>
      <w:r>
        <w:rPr>
          <w:rStyle w:val="FootnoteReference"/>
        </w:rPr>
        <w:footnoteRef/>
      </w:r>
      <w:r>
        <w:t xml:space="preserve"> </w:t>
      </w:r>
      <w:proofErr w:type="spellStart"/>
      <w:r w:rsidR="00B136FE" w:rsidRPr="00B136FE">
        <w:rPr>
          <w:i/>
          <w:iCs/>
        </w:rPr>
        <w:t>Sifrei</w:t>
      </w:r>
      <w:proofErr w:type="spellEnd"/>
      <w:r w:rsidR="00B136FE" w:rsidRPr="00B136FE">
        <w:rPr>
          <w:i/>
          <w:iCs/>
        </w:rPr>
        <w:t xml:space="preserve"> </w:t>
      </w:r>
      <w:r w:rsidR="00B136FE" w:rsidRPr="00C62831">
        <w:t>Deuteronomy</w:t>
      </w:r>
      <w:r w:rsidR="00B136FE">
        <w:t xml:space="preserve"> 43 (in the edition of A.A. Finkelstein, </w:t>
      </w:r>
      <w:proofErr w:type="spellStart"/>
      <w:r w:rsidR="00B136FE" w:rsidRPr="00B136FE">
        <w:rPr>
          <w:i/>
          <w:iCs/>
        </w:rPr>
        <w:t>Sifrei</w:t>
      </w:r>
      <w:proofErr w:type="spellEnd"/>
      <w:r w:rsidR="00B136FE" w:rsidRPr="00B136FE">
        <w:rPr>
          <w:i/>
          <w:iCs/>
        </w:rPr>
        <w:t xml:space="preserve"> on the Book of Deuteronomy, with Variants and Notes</w:t>
      </w:r>
      <w:r w:rsidR="00B136FE">
        <w:t>, New York and Jerusalem, p. 95</w:t>
      </w:r>
      <w:r w:rsidR="00B136FE">
        <w:t xml:space="preserve"> [Hebrew]</w:t>
      </w:r>
      <w:r w:rsidR="00B136FE">
        <w:t xml:space="preserve">. See there for parallel sources). Another parallel appears in </w:t>
      </w:r>
      <w:proofErr w:type="spellStart"/>
      <w:r w:rsidR="00B136FE" w:rsidRPr="00B136FE">
        <w:rPr>
          <w:i/>
          <w:iCs/>
        </w:rPr>
        <w:t>Mekhilta</w:t>
      </w:r>
      <w:proofErr w:type="spellEnd"/>
      <w:r w:rsidR="00B136FE" w:rsidRPr="00B136FE">
        <w:rPr>
          <w:i/>
          <w:iCs/>
        </w:rPr>
        <w:t xml:space="preserve"> de-</w:t>
      </w:r>
      <w:proofErr w:type="spellStart"/>
      <w:r w:rsidR="00B136FE" w:rsidRPr="00B136FE">
        <w:rPr>
          <w:i/>
          <w:iCs/>
        </w:rPr>
        <w:t>Rashbi</w:t>
      </w:r>
      <w:proofErr w:type="spellEnd"/>
      <w:r w:rsidR="00B136FE">
        <w:t xml:space="preserve">, fragment from the Cairo Genizah, Cambridge, University Library, T-S Collection, NS, 253, 1. See </w:t>
      </w:r>
      <w:proofErr w:type="spellStart"/>
      <w:r w:rsidR="00B136FE">
        <w:t>Aharon</w:t>
      </w:r>
      <w:proofErr w:type="spellEnd"/>
      <w:r w:rsidR="00B136FE">
        <w:t xml:space="preserve"> Glick, </w:t>
      </w:r>
      <w:r w:rsidR="00176550">
        <w:t>“</w:t>
      </w:r>
      <w:r w:rsidR="00B136FE">
        <w:t xml:space="preserve">An Additional Fragment from </w:t>
      </w:r>
      <w:proofErr w:type="spellStart"/>
      <w:r w:rsidR="00B136FE">
        <w:t>Mekhilta</w:t>
      </w:r>
      <w:proofErr w:type="spellEnd"/>
      <w:r w:rsidR="00B136FE">
        <w:t xml:space="preserve"> de-</w:t>
      </w:r>
      <w:proofErr w:type="spellStart"/>
      <w:r w:rsidR="00B136FE">
        <w:t>Rashbi</w:t>
      </w:r>
      <w:proofErr w:type="spellEnd"/>
      <w:r w:rsidR="00F6553F">
        <w:t>,</w:t>
      </w:r>
      <w:r w:rsidR="00176550">
        <w:t>”</w:t>
      </w:r>
      <w:r w:rsidR="00B136FE">
        <w:t xml:space="preserve"> </w:t>
      </w:r>
      <w:proofErr w:type="spellStart"/>
      <w:r w:rsidR="00B136FE" w:rsidRPr="00F6553F">
        <w:rPr>
          <w:i/>
          <w:iCs/>
        </w:rPr>
        <w:t>Leshonenu</w:t>
      </w:r>
      <w:proofErr w:type="spellEnd"/>
      <w:r w:rsidR="00B136FE">
        <w:t xml:space="preserve"> 44/45, B/G (1985), pp. 215-214</w:t>
      </w:r>
      <w:r w:rsidR="00F6553F">
        <w:t xml:space="preserve"> [Hebrew]</w:t>
      </w:r>
      <w:r w:rsidR="00B136FE">
        <w:t xml:space="preserve">; </w:t>
      </w:r>
      <w:r w:rsidR="00F6553F">
        <w:t>M. Kahana</w:t>
      </w:r>
      <w:r w:rsidR="00B136FE">
        <w:t xml:space="preserve">, </w:t>
      </w:r>
      <w:r w:rsidR="00B136FE" w:rsidRPr="00FD71B0">
        <w:rPr>
          <w:i/>
          <w:iCs/>
        </w:rPr>
        <w:t>Fragments of Midras</w:t>
      </w:r>
      <w:r w:rsidR="00FD71B0">
        <w:rPr>
          <w:i/>
          <w:iCs/>
        </w:rPr>
        <w:t>h</w:t>
      </w:r>
      <w:r w:rsidR="00B136FE" w:rsidRPr="00FD71B0">
        <w:rPr>
          <w:i/>
          <w:iCs/>
        </w:rPr>
        <w:t xml:space="preserve"> Halakha from the Genizah</w:t>
      </w:r>
      <w:r w:rsidR="00B136FE">
        <w:t>, Jerusalem 2005, pp. 268-267</w:t>
      </w:r>
      <w:r w:rsidR="00FD71B0">
        <w:t xml:space="preserve"> [Hebrew]</w:t>
      </w:r>
      <w:r w:rsidR="00B136FE">
        <w:t>.</w:t>
      </w:r>
    </w:p>
  </w:footnote>
  <w:footnote w:id="47">
    <w:p w14:paraId="6388CCC2" w14:textId="53A3568E" w:rsidR="008369C2" w:rsidRDefault="008369C2" w:rsidP="00134E58">
      <w:pPr>
        <w:pStyle w:val="FootnoteText"/>
      </w:pPr>
      <w:r>
        <w:rPr>
          <w:rStyle w:val="FootnoteReference"/>
        </w:rPr>
        <w:footnoteRef/>
      </w:r>
      <w:r>
        <w:t xml:space="preserve"> </w:t>
      </w:r>
      <w:r w:rsidR="00FD71B0">
        <w:t xml:space="preserve">See in more detail in Avigdor </w:t>
      </w:r>
      <w:proofErr w:type="spellStart"/>
      <w:r w:rsidR="00FD71B0">
        <w:t>Shanan</w:t>
      </w:r>
      <w:proofErr w:type="spellEnd"/>
      <w:r w:rsidR="00FD71B0">
        <w:t xml:space="preserve">, </w:t>
      </w:r>
      <w:r w:rsidR="00176550">
        <w:t>“</w:t>
      </w:r>
      <w:r w:rsidR="00FD71B0">
        <w:t xml:space="preserve">The Sins of Nadav and </w:t>
      </w:r>
      <w:proofErr w:type="spellStart"/>
      <w:r w:rsidR="00FD71B0">
        <w:t>Avihu</w:t>
      </w:r>
      <w:proofErr w:type="spellEnd"/>
      <w:r w:rsidR="00FD71B0">
        <w:t xml:space="preserve"> in </w:t>
      </w:r>
      <w:r w:rsidR="00134E58" w:rsidRPr="00134E58">
        <w:t>The Sins of Nadab and Abihu in Rabbinic Literature</w:t>
      </w:r>
      <w:r w:rsidR="00134E58">
        <w:t>,</w:t>
      </w:r>
      <w:r w:rsidR="00176550">
        <w:t>”</w:t>
      </w:r>
      <w:r w:rsidR="00FD71B0">
        <w:t xml:space="preserve"> </w:t>
      </w:r>
      <w:proofErr w:type="spellStart"/>
      <w:r w:rsidR="00FD71B0" w:rsidRPr="00134E58">
        <w:rPr>
          <w:i/>
          <w:iCs/>
        </w:rPr>
        <w:t>Tarbiz</w:t>
      </w:r>
      <w:proofErr w:type="spellEnd"/>
      <w:r w:rsidR="00FD71B0">
        <w:t xml:space="preserve"> 48, 3-4 (1979), pp. 214-201</w:t>
      </w:r>
      <w:r w:rsidR="00134E58">
        <w:t xml:space="preserve"> [Hebrew]</w:t>
      </w:r>
      <w:r w:rsidR="00FD71B0">
        <w:t xml:space="preserve">; David </w:t>
      </w:r>
      <w:proofErr w:type="spellStart"/>
      <w:r w:rsidR="00FD71B0">
        <w:t>Flusser</w:t>
      </w:r>
      <w:proofErr w:type="spellEnd"/>
      <w:r w:rsidR="00FD71B0" w:rsidRPr="00134E58">
        <w:rPr>
          <w:i/>
          <w:iCs/>
        </w:rPr>
        <w:t>, Second Temple Judaism, Qumran and Apocalypticism</w:t>
      </w:r>
      <w:r w:rsidR="00FD71B0">
        <w:t>, Jerusalem 2002, pp. 283-278</w:t>
      </w:r>
      <w:r w:rsidR="00134E58">
        <w:t xml:space="preserve"> </w:t>
      </w:r>
      <w:r w:rsidR="00134E58">
        <w:t>[Hebrew]</w:t>
      </w:r>
      <w:r w:rsidR="00FD71B0">
        <w:t>.</w:t>
      </w:r>
    </w:p>
  </w:footnote>
  <w:footnote w:id="48">
    <w:p w14:paraId="2848BD9C" w14:textId="2AE44F88" w:rsidR="008369C2" w:rsidRDefault="008369C2" w:rsidP="00160CBD">
      <w:pPr>
        <w:pStyle w:val="FootnoteText"/>
      </w:pPr>
      <w:r>
        <w:rPr>
          <w:rStyle w:val="FootnoteReference"/>
        </w:rPr>
        <w:footnoteRef/>
      </w:r>
      <w:r>
        <w:t xml:space="preserve"> </w:t>
      </w:r>
      <w:r w:rsidR="00134E58">
        <w:t xml:space="preserve">The version of the </w:t>
      </w:r>
      <w:r w:rsidR="00793158">
        <w:t>m</w:t>
      </w:r>
      <w:r w:rsidR="00134E58">
        <w:t xml:space="preserve">idrash brought here </w:t>
      </w:r>
      <w:r w:rsidR="000520CE">
        <w:t>is based on the c</w:t>
      </w:r>
      <w:r w:rsidR="00134E58">
        <w:t xml:space="preserve">onclusion of Mordechai </w:t>
      </w:r>
      <w:proofErr w:type="spellStart"/>
      <w:r w:rsidR="00134E58">
        <w:t>Margaliot</w:t>
      </w:r>
      <w:proofErr w:type="spellEnd"/>
      <w:r w:rsidR="00B42CD6">
        <w:t xml:space="preserve">, </w:t>
      </w:r>
      <w:r w:rsidR="00B42CD6" w:rsidRPr="00607CE9">
        <w:rPr>
          <w:i/>
          <w:iCs/>
        </w:rPr>
        <w:t xml:space="preserve">Midrash </w:t>
      </w:r>
      <w:proofErr w:type="spellStart"/>
      <w:r w:rsidR="00092992" w:rsidRPr="00092992">
        <w:rPr>
          <w:i/>
          <w:iCs/>
        </w:rPr>
        <w:t>Wayyikra</w:t>
      </w:r>
      <w:proofErr w:type="spellEnd"/>
      <w:r w:rsidR="00092992" w:rsidRPr="00092992">
        <w:rPr>
          <w:i/>
          <w:iCs/>
        </w:rPr>
        <w:t xml:space="preserve"> (Leviticus)</w:t>
      </w:r>
      <w:r w:rsidR="00092992" w:rsidRPr="00092992">
        <w:rPr>
          <w:i/>
          <w:iCs/>
        </w:rPr>
        <w:t xml:space="preserve"> </w:t>
      </w:r>
      <w:r w:rsidR="00B42CD6" w:rsidRPr="00607CE9">
        <w:rPr>
          <w:i/>
          <w:iCs/>
        </w:rPr>
        <w:t>Rabbah</w:t>
      </w:r>
      <w:r w:rsidR="00624A3A">
        <w:t>, New York, Jerusalem</w:t>
      </w:r>
      <w:r w:rsidR="00607CE9">
        <w:t>, 1993, p. 461 note 3 [Hebrew].</w:t>
      </w:r>
    </w:p>
  </w:footnote>
  <w:footnote w:id="49">
    <w:p w14:paraId="4B889957" w14:textId="7F37DC91" w:rsidR="00990FBA" w:rsidRDefault="00990FBA" w:rsidP="00891CC7">
      <w:pPr>
        <w:pStyle w:val="FootnoteText"/>
      </w:pPr>
      <w:r>
        <w:rPr>
          <w:rStyle w:val="FootnoteReference"/>
        </w:rPr>
        <w:footnoteRef/>
      </w:r>
      <w:r>
        <w:t xml:space="preserve"> </w:t>
      </w:r>
      <w:r w:rsidR="00170133">
        <w:t xml:space="preserve">This is the language in </w:t>
      </w:r>
      <w:r w:rsidR="00170133" w:rsidRPr="00170133">
        <w:rPr>
          <w:i/>
          <w:iCs/>
        </w:rPr>
        <w:t>Leviticus</w:t>
      </w:r>
      <w:r w:rsidR="00170133" w:rsidRPr="00170133">
        <w:rPr>
          <w:i/>
          <w:iCs/>
        </w:rPr>
        <w:t xml:space="preserve"> Rabbah</w:t>
      </w:r>
      <w:r w:rsidR="00170133">
        <w:t xml:space="preserve"> (</w:t>
      </w:r>
      <w:proofErr w:type="spellStart"/>
      <w:r w:rsidR="00170133">
        <w:t>Margaliot</w:t>
      </w:r>
      <w:r w:rsidR="00176550">
        <w:t>’</w:t>
      </w:r>
      <w:r w:rsidR="00170133">
        <w:t>s</w:t>
      </w:r>
      <w:proofErr w:type="spellEnd"/>
      <w:r w:rsidR="00170133">
        <w:t xml:space="preserve"> edition, p. </w:t>
      </w:r>
      <w:r w:rsidR="00891CC7">
        <w:t>4</w:t>
      </w:r>
      <w:r w:rsidR="00170133">
        <w:t>61)..</w:t>
      </w:r>
    </w:p>
  </w:footnote>
  <w:footnote w:id="50">
    <w:p w14:paraId="7793F0E0" w14:textId="34683B55" w:rsidR="001300DE" w:rsidRDefault="001300DE" w:rsidP="003D2CA7">
      <w:pPr>
        <w:pStyle w:val="FootnoteText"/>
      </w:pPr>
      <w:r>
        <w:rPr>
          <w:rStyle w:val="FootnoteReference"/>
        </w:rPr>
        <w:footnoteRef/>
      </w:r>
      <w:r>
        <w:t xml:space="preserve"> </w:t>
      </w:r>
      <w:r w:rsidR="00891CC7">
        <w:t xml:space="preserve">See Abraham Joshua Heschel, </w:t>
      </w:r>
      <w:r w:rsidR="00891CC7" w:rsidRPr="003D2CA7">
        <w:rPr>
          <w:i/>
          <w:iCs/>
        </w:rPr>
        <w:t>Torah from Heaven in the Mirror of the Generations</w:t>
      </w:r>
      <w:r w:rsidR="00891CC7">
        <w:t>, Part 1, Jerusalem 1995, pp. 61-59</w:t>
      </w:r>
      <w:r w:rsidR="003D2CA7">
        <w:t xml:space="preserve"> [Hebrew]</w:t>
      </w:r>
      <w:r w:rsidR="00891CC7">
        <w:t>.</w:t>
      </w:r>
    </w:p>
  </w:footnote>
  <w:footnote w:id="51">
    <w:p w14:paraId="72DA7528" w14:textId="010C05FB" w:rsidR="001300DE" w:rsidRDefault="001300DE" w:rsidP="00522213">
      <w:pPr>
        <w:pStyle w:val="FootnoteText"/>
      </w:pPr>
      <w:r>
        <w:rPr>
          <w:rStyle w:val="FootnoteReference"/>
        </w:rPr>
        <w:footnoteRef/>
      </w:r>
      <w:r>
        <w:t xml:space="preserve"> </w:t>
      </w:r>
      <w:proofErr w:type="spellStart"/>
      <w:r w:rsidR="003D2CA7" w:rsidRPr="003D2CA7">
        <w:rPr>
          <w:i/>
          <w:iCs/>
        </w:rPr>
        <w:t>Sifrei</w:t>
      </w:r>
      <w:proofErr w:type="spellEnd"/>
      <w:r w:rsidR="003D2CA7" w:rsidRPr="003D2CA7">
        <w:rPr>
          <w:i/>
          <w:iCs/>
        </w:rPr>
        <w:t xml:space="preserve"> </w:t>
      </w:r>
      <w:proofErr w:type="spellStart"/>
      <w:r w:rsidR="003D2CA7" w:rsidRPr="003D2CA7">
        <w:rPr>
          <w:i/>
          <w:iCs/>
        </w:rPr>
        <w:t>Bamidbar</w:t>
      </w:r>
      <w:proofErr w:type="spellEnd"/>
      <w:r w:rsidR="003D2CA7">
        <w:t xml:space="preserve"> 3, Jerusalem 2011, pp. 395-392. See there regarding the </w:t>
      </w:r>
      <w:r w:rsidR="00AC20C8">
        <w:t>m</w:t>
      </w:r>
      <w:r w:rsidR="003D2CA7">
        <w:t xml:space="preserve">idrash </w:t>
      </w:r>
      <w:r w:rsidR="00AC20C8">
        <w:t xml:space="preserve">in </w:t>
      </w:r>
      <w:proofErr w:type="spellStart"/>
      <w:r w:rsidR="003D2CA7" w:rsidRPr="00AC20C8">
        <w:rPr>
          <w:i/>
          <w:iCs/>
        </w:rPr>
        <w:t>Sifrei</w:t>
      </w:r>
      <w:proofErr w:type="spellEnd"/>
      <w:r w:rsidR="003D2CA7" w:rsidRPr="00AC20C8">
        <w:rPr>
          <w:i/>
          <w:iCs/>
        </w:rPr>
        <w:t xml:space="preserve"> </w:t>
      </w:r>
      <w:proofErr w:type="spellStart"/>
      <w:r w:rsidR="003D2CA7" w:rsidRPr="00AC20C8">
        <w:rPr>
          <w:i/>
          <w:iCs/>
        </w:rPr>
        <w:t>Bamidbar</w:t>
      </w:r>
      <w:proofErr w:type="spellEnd"/>
      <w:r w:rsidR="003D2CA7">
        <w:t xml:space="preserve"> </w:t>
      </w:r>
      <w:r w:rsidR="00AC20C8">
        <w:t>5</w:t>
      </w:r>
      <w:r w:rsidR="003D2CA7">
        <w:t xml:space="preserve">8 and additional </w:t>
      </w:r>
      <w:proofErr w:type="spellStart"/>
      <w:r w:rsidR="003D2CA7">
        <w:t>Tannaic</w:t>
      </w:r>
      <w:proofErr w:type="spellEnd"/>
      <w:r w:rsidR="003D2CA7">
        <w:t xml:space="preserve"> sources.</w:t>
      </w:r>
    </w:p>
  </w:footnote>
  <w:footnote w:id="52">
    <w:p w14:paraId="368A3F6F" w14:textId="5FA7BA67" w:rsidR="00723B39" w:rsidRDefault="00723B39" w:rsidP="00522213">
      <w:pPr>
        <w:pStyle w:val="FootnoteText"/>
      </w:pPr>
      <w:r>
        <w:rPr>
          <w:rStyle w:val="FootnoteReference"/>
        </w:rPr>
        <w:footnoteRef/>
      </w:r>
      <w:r>
        <w:t xml:space="preserve"> </w:t>
      </w:r>
      <w:proofErr w:type="spellStart"/>
      <w:r w:rsidR="00522213" w:rsidRPr="00522213">
        <w:rPr>
          <w:i/>
          <w:iCs/>
        </w:rPr>
        <w:t>Sifra</w:t>
      </w:r>
      <w:proofErr w:type="spellEnd"/>
      <w:r w:rsidR="00522213" w:rsidRPr="00522213">
        <w:rPr>
          <w:i/>
          <w:iCs/>
        </w:rPr>
        <w:t xml:space="preserve"> </w:t>
      </w:r>
      <w:proofErr w:type="spellStart"/>
      <w:r w:rsidR="00522213" w:rsidRPr="00522213">
        <w:rPr>
          <w:i/>
          <w:iCs/>
        </w:rPr>
        <w:t>Nedavah</w:t>
      </w:r>
      <w:proofErr w:type="spellEnd"/>
      <w:r w:rsidR="00522213">
        <w:t xml:space="preserve"> 12, B (Weiss</w:t>
      </w:r>
      <w:r w:rsidR="00176550">
        <w:t>’</w:t>
      </w:r>
      <w:r w:rsidR="00522213">
        <w:t>s edition, p. 17).</w:t>
      </w:r>
    </w:p>
  </w:footnote>
  <w:footnote w:id="53">
    <w:p w14:paraId="1FB7EEE0" w14:textId="226902D5" w:rsidR="000B2C99" w:rsidRDefault="000B2C99" w:rsidP="006865E1">
      <w:pPr>
        <w:pStyle w:val="FootnoteText"/>
      </w:pPr>
      <w:r>
        <w:rPr>
          <w:rStyle w:val="FootnoteReference"/>
        </w:rPr>
        <w:footnoteRef/>
      </w:r>
      <w:r>
        <w:t xml:space="preserve"> </w:t>
      </w:r>
      <w:r>
        <w:t xml:space="preserve">R. Kirschner, </w:t>
      </w:r>
      <w:r w:rsidRPr="000B2C99">
        <w:rPr>
          <w:i/>
          <w:iCs/>
        </w:rPr>
        <w:t>Baraita de-</w:t>
      </w:r>
      <w:proofErr w:type="spellStart"/>
      <w:r w:rsidRPr="000B2C99">
        <w:rPr>
          <w:i/>
          <w:iCs/>
        </w:rPr>
        <w:t>Melekhet</w:t>
      </w:r>
      <w:proofErr w:type="spellEnd"/>
      <w:r w:rsidRPr="000B2C99">
        <w:rPr>
          <w:i/>
          <w:iCs/>
        </w:rPr>
        <w:t xml:space="preserve"> ha-</w:t>
      </w:r>
      <w:proofErr w:type="spellStart"/>
      <w:r w:rsidRPr="000B2C99">
        <w:rPr>
          <w:i/>
          <w:iCs/>
        </w:rPr>
        <w:t>Mishkan</w:t>
      </w:r>
      <w:proofErr w:type="spellEnd"/>
      <w:r>
        <w:t xml:space="preserve">: </w:t>
      </w:r>
      <w:r w:rsidRPr="000B2C99">
        <w:rPr>
          <w:i/>
          <w:iCs/>
        </w:rPr>
        <w:t>a Critical Edition with Introduction and Translation,</w:t>
      </w:r>
      <w:r>
        <w:t xml:space="preserve"> Cincinnati, 1992, pp. 218.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70292"/>
    <w:multiLevelType w:val="hybridMultilevel"/>
    <w:tmpl w:val="21725B70"/>
    <w:lvl w:ilvl="0" w:tplc="578CF97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28C0C2B"/>
    <w:multiLevelType w:val="hybridMultilevel"/>
    <w:tmpl w:val="8CF2C5AC"/>
    <w:lvl w:ilvl="0" w:tplc="202A646A">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7270241">
    <w:abstractNumId w:val="1"/>
  </w:num>
  <w:num w:numId="2" w16cid:durableId="1692257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wMTY0MzA1NrMwtTRV0lEKTi0uzszPAykwqgUAEUtXrSwAAAA="/>
  </w:docVars>
  <w:rsids>
    <w:rsidRoot w:val="00FA1154"/>
    <w:rsid w:val="00006369"/>
    <w:rsid w:val="00020A19"/>
    <w:rsid w:val="00027AC6"/>
    <w:rsid w:val="00027E44"/>
    <w:rsid w:val="00032EC5"/>
    <w:rsid w:val="00036D71"/>
    <w:rsid w:val="0004225B"/>
    <w:rsid w:val="00044920"/>
    <w:rsid w:val="00051BA4"/>
    <w:rsid w:val="000520CE"/>
    <w:rsid w:val="0005226B"/>
    <w:rsid w:val="00062628"/>
    <w:rsid w:val="00065DA0"/>
    <w:rsid w:val="00066065"/>
    <w:rsid w:val="000711B2"/>
    <w:rsid w:val="000716AC"/>
    <w:rsid w:val="00085A6B"/>
    <w:rsid w:val="000878D3"/>
    <w:rsid w:val="000900DB"/>
    <w:rsid w:val="000926ED"/>
    <w:rsid w:val="00092992"/>
    <w:rsid w:val="000978CD"/>
    <w:rsid w:val="000A1DA4"/>
    <w:rsid w:val="000A6E28"/>
    <w:rsid w:val="000A7A10"/>
    <w:rsid w:val="000B2C99"/>
    <w:rsid w:val="000B3982"/>
    <w:rsid w:val="000B5ADD"/>
    <w:rsid w:val="000B6054"/>
    <w:rsid w:val="000C05F7"/>
    <w:rsid w:val="000C1BAE"/>
    <w:rsid w:val="000D0860"/>
    <w:rsid w:val="000D0ABD"/>
    <w:rsid w:val="000D1911"/>
    <w:rsid w:val="000D590E"/>
    <w:rsid w:val="000D72B3"/>
    <w:rsid w:val="000F1A28"/>
    <w:rsid w:val="000F5955"/>
    <w:rsid w:val="001003F4"/>
    <w:rsid w:val="0010199E"/>
    <w:rsid w:val="00101DC4"/>
    <w:rsid w:val="00110B2E"/>
    <w:rsid w:val="00110FCC"/>
    <w:rsid w:val="00121503"/>
    <w:rsid w:val="001242F2"/>
    <w:rsid w:val="00124EA4"/>
    <w:rsid w:val="001300DE"/>
    <w:rsid w:val="00134E58"/>
    <w:rsid w:val="00140CFC"/>
    <w:rsid w:val="00153928"/>
    <w:rsid w:val="00154678"/>
    <w:rsid w:val="00160CBD"/>
    <w:rsid w:val="001615E9"/>
    <w:rsid w:val="00170133"/>
    <w:rsid w:val="001720BE"/>
    <w:rsid w:val="001729E9"/>
    <w:rsid w:val="00172D57"/>
    <w:rsid w:val="0017583B"/>
    <w:rsid w:val="00176550"/>
    <w:rsid w:val="0018468B"/>
    <w:rsid w:val="0018691D"/>
    <w:rsid w:val="001B674E"/>
    <w:rsid w:val="001C0DAB"/>
    <w:rsid w:val="001C20C8"/>
    <w:rsid w:val="001C2D90"/>
    <w:rsid w:val="001D1117"/>
    <w:rsid w:val="001D670B"/>
    <w:rsid w:val="001E6131"/>
    <w:rsid w:val="001E7602"/>
    <w:rsid w:val="001F0D39"/>
    <w:rsid w:val="001F6307"/>
    <w:rsid w:val="00200A84"/>
    <w:rsid w:val="002015B7"/>
    <w:rsid w:val="00206DB1"/>
    <w:rsid w:val="00221C04"/>
    <w:rsid w:val="00223661"/>
    <w:rsid w:val="002262BB"/>
    <w:rsid w:val="00226D1F"/>
    <w:rsid w:val="00230E4D"/>
    <w:rsid w:val="002436F1"/>
    <w:rsid w:val="002546D1"/>
    <w:rsid w:val="00256645"/>
    <w:rsid w:val="00257EEC"/>
    <w:rsid w:val="00261981"/>
    <w:rsid w:val="00271867"/>
    <w:rsid w:val="00273C59"/>
    <w:rsid w:val="00276375"/>
    <w:rsid w:val="002765EA"/>
    <w:rsid w:val="0028740A"/>
    <w:rsid w:val="00287A0D"/>
    <w:rsid w:val="002910B5"/>
    <w:rsid w:val="002A2584"/>
    <w:rsid w:val="002B2734"/>
    <w:rsid w:val="002B3697"/>
    <w:rsid w:val="002B728D"/>
    <w:rsid w:val="002C24EF"/>
    <w:rsid w:val="002C3258"/>
    <w:rsid w:val="002C32B0"/>
    <w:rsid w:val="002C490A"/>
    <w:rsid w:val="002C49B6"/>
    <w:rsid w:val="002D02EA"/>
    <w:rsid w:val="002D2EC8"/>
    <w:rsid w:val="002D77FF"/>
    <w:rsid w:val="002E12FE"/>
    <w:rsid w:val="002E23D8"/>
    <w:rsid w:val="002E6400"/>
    <w:rsid w:val="002F0F69"/>
    <w:rsid w:val="002F4490"/>
    <w:rsid w:val="002F6837"/>
    <w:rsid w:val="00304C03"/>
    <w:rsid w:val="00312383"/>
    <w:rsid w:val="00316878"/>
    <w:rsid w:val="003204D1"/>
    <w:rsid w:val="00320AA7"/>
    <w:rsid w:val="00320BD8"/>
    <w:rsid w:val="00321BF6"/>
    <w:rsid w:val="00323A56"/>
    <w:rsid w:val="003240D0"/>
    <w:rsid w:val="00331F52"/>
    <w:rsid w:val="00334388"/>
    <w:rsid w:val="00335023"/>
    <w:rsid w:val="00341946"/>
    <w:rsid w:val="00341D32"/>
    <w:rsid w:val="003430D0"/>
    <w:rsid w:val="003444E7"/>
    <w:rsid w:val="00347E74"/>
    <w:rsid w:val="003539E5"/>
    <w:rsid w:val="003545D4"/>
    <w:rsid w:val="00355CF1"/>
    <w:rsid w:val="00360645"/>
    <w:rsid w:val="00361320"/>
    <w:rsid w:val="00367CF6"/>
    <w:rsid w:val="0037631C"/>
    <w:rsid w:val="00380F49"/>
    <w:rsid w:val="00392285"/>
    <w:rsid w:val="003A2910"/>
    <w:rsid w:val="003A60ED"/>
    <w:rsid w:val="003A7D6F"/>
    <w:rsid w:val="003A7FB9"/>
    <w:rsid w:val="003B1B45"/>
    <w:rsid w:val="003B3B55"/>
    <w:rsid w:val="003B61B6"/>
    <w:rsid w:val="003C0649"/>
    <w:rsid w:val="003C172F"/>
    <w:rsid w:val="003C5253"/>
    <w:rsid w:val="003C7A81"/>
    <w:rsid w:val="003D029A"/>
    <w:rsid w:val="003D04C5"/>
    <w:rsid w:val="003D2CA7"/>
    <w:rsid w:val="003D3847"/>
    <w:rsid w:val="003E0836"/>
    <w:rsid w:val="003E22AF"/>
    <w:rsid w:val="003E4432"/>
    <w:rsid w:val="003F0A56"/>
    <w:rsid w:val="003F3548"/>
    <w:rsid w:val="003F5948"/>
    <w:rsid w:val="003F6C15"/>
    <w:rsid w:val="00414F76"/>
    <w:rsid w:val="00420FF7"/>
    <w:rsid w:val="00424B3A"/>
    <w:rsid w:val="0042575A"/>
    <w:rsid w:val="00433D7C"/>
    <w:rsid w:val="004505C6"/>
    <w:rsid w:val="0045506F"/>
    <w:rsid w:val="00461C6D"/>
    <w:rsid w:val="004653EF"/>
    <w:rsid w:val="00466764"/>
    <w:rsid w:val="00477378"/>
    <w:rsid w:val="0047743D"/>
    <w:rsid w:val="004826D7"/>
    <w:rsid w:val="00484216"/>
    <w:rsid w:val="0049338D"/>
    <w:rsid w:val="00493F51"/>
    <w:rsid w:val="004A321C"/>
    <w:rsid w:val="004A6E19"/>
    <w:rsid w:val="004B2D6D"/>
    <w:rsid w:val="004B5ACC"/>
    <w:rsid w:val="004B5EF2"/>
    <w:rsid w:val="004B6E89"/>
    <w:rsid w:val="004C00B6"/>
    <w:rsid w:val="004C3CBE"/>
    <w:rsid w:val="004C5E73"/>
    <w:rsid w:val="004D2103"/>
    <w:rsid w:val="004D34AB"/>
    <w:rsid w:val="004E0285"/>
    <w:rsid w:val="004E443E"/>
    <w:rsid w:val="004F2440"/>
    <w:rsid w:val="004F2EF1"/>
    <w:rsid w:val="00506ABB"/>
    <w:rsid w:val="00511564"/>
    <w:rsid w:val="0051180C"/>
    <w:rsid w:val="005141B7"/>
    <w:rsid w:val="00517CC4"/>
    <w:rsid w:val="005205B1"/>
    <w:rsid w:val="00520EE2"/>
    <w:rsid w:val="00522213"/>
    <w:rsid w:val="0052500C"/>
    <w:rsid w:val="00531F49"/>
    <w:rsid w:val="00533D39"/>
    <w:rsid w:val="00544700"/>
    <w:rsid w:val="00545C74"/>
    <w:rsid w:val="0055337D"/>
    <w:rsid w:val="0055774F"/>
    <w:rsid w:val="00562948"/>
    <w:rsid w:val="00563EC7"/>
    <w:rsid w:val="00564408"/>
    <w:rsid w:val="00576D05"/>
    <w:rsid w:val="0058063C"/>
    <w:rsid w:val="005911F9"/>
    <w:rsid w:val="0059168E"/>
    <w:rsid w:val="005945A7"/>
    <w:rsid w:val="005A17C2"/>
    <w:rsid w:val="005A44E2"/>
    <w:rsid w:val="005A4F6C"/>
    <w:rsid w:val="005A6CE6"/>
    <w:rsid w:val="005B040D"/>
    <w:rsid w:val="005B541E"/>
    <w:rsid w:val="005B55B7"/>
    <w:rsid w:val="005B70AC"/>
    <w:rsid w:val="005D6C1C"/>
    <w:rsid w:val="005E0201"/>
    <w:rsid w:val="005E4C32"/>
    <w:rsid w:val="005E5471"/>
    <w:rsid w:val="005F1B28"/>
    <w:rsid w:val="005F27D1"/>
    <w:rsid w:val="005F299F"/>
    <w:rsid w:val="005F3573"/>
    <w:rsid w:val="00601548"/>
    <w:rsid w:val="00601D44"/>
    <w:rsid w:val="006079D3"/>
    <w:rsid w:val="00607CE9"/>
    <w:rsid w:val="00610CC8"/>
    <w:rsid w:val="0061387B"/>
    <w:rsid w:val="00613F07"/>
    <w:rsid w:val="0061700C"/>
    <w:rsid w:val="00624A3A"/>
    <w:rsid w:val="00625C1C"/>
    <w:rsid w:val="00627B2D"/>
    <w:rsid w:val="00631879"/>
    <w:rsid w:val="00637CF3"/>
    <w:rsid w:val="006418F0"/>
    <w:rsid w:val="006453A8"/>
    <w:rsid w:val="006530A1"/>
    <w:rsid w:val="00653C59"/>
    <w:rsid w:val="006614A2"/>
    <w:rsid w:val="00661FE8"/>
    <w:rsid w:val="00666475"/>
    <w:rsid w:val="0067016A"/>
    <w:rsid w:val="0067554C"/>
    <w:rsid w:val="00682C44"/>
    <w:rsid w:val="00682F0E"/>
    <w:rsid w:val="006865E1"/>
    <w:rsid w:val="006928F3"/>
    <w:rsid w:val="006A2981"/>
    <w:rsid w:val="006B2A5C"/>
    <w:rsid w:val="006B2B5B"/>
    <w:rsid w:val="006B5A25"/>
    <w:rsid w:val="006C1BCB"/>
    <w:rsid w:val="006D1054"/>
    <w:rsid w:val="006D339E"/>
    <w:rsid w:val="006E3F8E"/>
    <w:rsid w:val="006E48DB"/>
    <w:rsid w:val="006E6BF1"/>
    <w:rsid w:val="00701DFB"/>
    <w:rsid w:val="00705F22"/>
    <w:rsid w:val="00714E37"/>
    <w:rsid w:val="00717D8B"/>
    <w:rsid w:val="00723B39"/>
    <w:rsid w:val="007254CA"/>
    <w:rsid w:val="00726CDC"/>
    <w:rsid w:val="007330C0"/>
    <w:rsid w:val="00735365"/>
    <w:rsid w:val="00736E00"/>
    <w:rsid w:val="00742474"/>
    <w:rsid w:val="007429F7"/>
    <w:rsid w:val="00745004"/>
    <w:rsid w:val="00750A82"/>
    <w:rsid w:val="007575E1"/>
    <w:rsid w:val="007606DA"/>
    <w:rsid w:val="0077034F"/>
    <w:rsid w:val="00771174"/>
    <w:rsid w:val="00784728"/>
    <w:rsid w:val="00793158"/>
    <w:rsid w:val="00794E1F"/>
    <w:rsid w:val="007A28F6"/>
    <w:rsid w:val="007A2B43"/>
    <w:rsid w:val="007B1BCD"/>
    <w:rsid w:val="007B271E"/>
    <w:rsid w:val="007B5568"/>
    <w:rsid w:val="007C5004"/>
    <w:rsid w:val="007D2542"/>
    <w:rsid w:val="007D4878"/>
    <w:rsid w:val="007E3618"/>
    <w:rsid w:val="007E39BC"/>
    <w:rsid w:val="007E6405"/>
    <w:rsid w:val="007F2EC5"/>
    <w:rsid w:val="007F6236"/>
    <w:rsid w:val="007F7C29"/>
    <w:rsid w:val="00800A49"/>
    <w:rsid w:val="00806A65"/>
    <w:rsid w:val="008078AE"/>
    <w:rsid w:val="00814565"/>
    <w:rsid w:val="008178BF"/>
    <w:rsid w:val="00817DB6"/>
    <w:rsid w:val="00821646"/>
    <w:rsid w:val="00824101"/>
    <w:rsid w:val="00833C61"/>
    <w:rsid w:val="008369C2"/>
    <w:rsid w:val="00841CBB"/>
    <w:rsid w:val="00843077"/>
    <w:rsid w:val="00845ED4"/>
    <w:rsid w:val="008529C5"/>
    <w:rsid w:val="008567C1"/>
    <w:rsid w:val="00857F0F"/>
    <w:rsid w:val="008668D6"/>
    <w:rsid w:val="00871F74"/>
    <w:rsid w:val="008736E8"/>
    <w:rsid w:val="008741D1"/>
    <w:rsid w:val="00875C88"/>
    <w:rsid w:val="00890408"/>
    <w:rsid w:val="00891CC7"/>
    <w:rsid w:val="008951EE"/>
    <w:rsid w:val="008A4F15"/>
    <w:rsid w:val="008B5602"/>
    <w:rsid w:val="008B5E50"/>
    <w:rsid w:val="008B74C9"/>
    <w:rsid w:val="008B7D02"/>
    <w:rsid w:val="008C76B1"/>
    <w:rsid w:val="008D0BEC"/>
    <w:rsid w:val="008D4EBC"/>
    <w:rsid w:val="008E0E53"/>
    <w:rsid w:val="008E58AE"/>
    <w:rsid w:val="008F32FB"/>
    <w:rsid w:val="008F742A"/>
    <w:rsid w:val="00900F5B"/>
    <w:rsid w:val="0090181A"/>
    <w:rsid w:val="009157F1"/>
    <w:rsid w:val="009238F4"/>
    <w:rsid w:val="009269AB"/>
    <w:rsid w:val="0093228F"/>
    <w:rsid w:val="009469CB"/>
    <w:rsid w:val="0095641F"/>
    <w:rsid w:val="009578AF"/>
    <w:rsid w:val="00963971"/>
    <w:rsid w:val="0096499F"/>
    <w:rsid w:val="009772EC"/>
    <w:rsid w:val="00982820"/>
    <w:rsid w:val="00987501"/>
    <w:rsid w:val="00990FBA"/>
    <w:rsid w:val="009927B7"/>
    <w:rsid w:val="009954BB"/>
    <w:rsid w:val="009A092B"/>
    <w:rsid w:val="009A3710"/>
    <w:rsid w:val="009A478E"/>
    <w:rsid w:val="009A4AF3"/>
    <w:rsid w:val="009A5E5E"/>
    <w:rsid w:val="009A64CA"/>
    <w:rsid w:val="009A7F12"/>
    <w:rsid w:val="009B1F07"/>
    <w:rsid w:val="009B7E8E"/>
    <w:rsid w:val="009C35CB"/>
    <w:rsid w:val="009C44FE"/>
    <w:rsid w:val="009C7390"/>
    <w:rsid w:val="009D6CB9"/>
    <w:rsid w:val="009E1C91"/>
    <w:rsid w:val="009F303D"/>
    <w:rsid w:val="00A02F6F"/>
    <w:rsid w:val="00A07B6F"/>
    <w:rsid w:val="00A1201D"/>
    <w:rsid w:val="00A13961"/>
    <w:rsid w:val="00A202A5"/>
    <w:rsid w:val="00A211BE"/>
    <w:rsid w:val="00A2336C"/>
    <w:rsid w:val="00A270B6"/>
    <w:rsid w:val="00A3332C"/>
    <w:rsid w:val="00A37552"/>
    <w:rsid w:val="00A40F44"/>
    <w:rsid w:val="00A41590"/>
    <w:rsid w:val="00A4210A"/>
    <w:rsid w:val="00A42131"/>
    <w:rsid w:val="00A44510"/>
    <w:rsid w:val="00A50F4D"/>
    <w:rsid w:val="00A54A54"/>
    <w:rsid w:val="00A56C49"/>
    <w:rsid w:val="00A62BAA"/>
    <w:rsid w:val="00A63EE5"/>
    <w:rsid w:val="00A671BD"/>
    <w:rsid w:val="00A67D99"/>
    <w:rsid w:val="00A81F68"/>
    <w:rsid w:val="00A93B1E"/>
    <w:rsid w:val="00A96303"/>
    <w:rsid w:val="00AA2118"/>
    <w:rsid w:val="00AB0617"/>
    <w:rsid w:val="00AB062A"/>
    <w:rsid w:val="00AB19E4"/>
    <w:rsid w:val="00AB60E6"/>
    <w:rsid w:val="00AB7F5A"/>
    <w:rsid w:val="00AC20C8"/>
    <w:rsid w:val="00AC34CA"/>
    <w:rsid w:val="00AC6504"/>
    <w:rsid w:val="00AD4458"/>
    <w:rsid w:val="00AD764D"/>
    <w:rsid w:val="00AE0DA8"/>
    <w:rsid w:val="00AE11E5"/>
    <w:rsid w:val="00AE531B"/>
    <w:rsid w:val="00AF1C16"/>
    <w:rsid w:val="00AF47E7"/>
    <w:rsid w:val="00AF52CD"/>
    <w:rsid w:val="00AF7186"/>
    <w:rsid w:val="00B05E84"/>
    <w:rsid w:val="00B0665C"/>
    <w:rsid w:val="00B136FE"/>
    <w:rsid w:val="00B157AF"/>
    <w:rsid w:val="00B352B5"/>
    <w:rsid w:val="00B42CD6"/>
    <w:rsid w:val="00B43320"/>
    <w:rsid w:val="00B44E43"/>
    <w:rsid w:val="00B456C3"/>
    <w:rsid w:val="00B55BA0"/>
    <w:rsid w:val="00B61DE5"/>
    <w:rsid w:val="00B61F19"/>
    <w:rsid w:val="00B61FF1"/>
    <w:rsid w:val="00B64B0C"/>
    <w:rsid w:val="00B67C10"/>
    <w:rsid w:val="00B82F9D"/>
    <w:rsid w:val="00B94771"/>
    <w:rsid w:val="00BA0F6B"/>
    <w:rsid w:val="00BA3BFE"/>
    <w:rsid w:val="00BA3DF4"/>
    <w:rsid w:val="00BA3F4E"/>
    <w:rsid w:val="00BA67D6"/>
    <w:rsid w:val="00BB23B6"/>
    <w:rsid w:val="00BB5A7E"/>
    <w:rsid w:val="00BC2273"/>
    <w:rsid w:val="00BE7788"/>
    <w:rsid w:val="00BF1212"/>
    <w:rsid w:val="00BF2C50"/>
    <w:rsid w:val="00BF46E2"/>
    <w:rsid w:val="00BF7A39"/>
    <w:rsid w:val="00C05A61"/>
    <w:rsid w:val="00C11779"/>
    <w:rsid w:val="00C352BB"/>
    <w:rsid w:val="00C37126"/>
    <w:rsid w:val="00C378BA"/>
    <w:rsid w:val="00C45367"/>
    <w:rsid w:val="00C46574"/>
    <w:rsid w:val="00C50C07"/>
    <w:rsid w:val="00C521E6"/>
    <w:rsid w:val="00C5618C"/>
    <w:rsid w:val="00C62831"/>
    <w:rsid w:val="00C71A6B"/>
    <w:rsid w:val="00C834E1"/>
    <w:rsid w:val="00C8457E"/>
    <w:rsid w:val="00C8597A"/>
    <w:rsid w:val="00C9177A"/>
    <w:rsid w:val="00C92C04"/>
    <w:rsid w:val="00C966F6"/>
    <w:rsid w:val="00C9785B"/>
    <w:rsid w:val="00CA3AC8"/>
    <w:rsid w:val="00CA3F3D"/>
    <w:rsid w:val="00CA7BB0"/>
    <w:rsid w:val="00CB1739"/>
    <w:rsid w:val="00CC06E4"/>
    <w:rsid w:val="00CC07EA"/>
    <w:rsid w:val="00CC0CD2"/>
    <w:rsid w:val="00CC2E16"/>
    <w:rsid w:val="00CD13B6"/>
    <w:rsid w:val="00CD1BEC"/>
    <w:rsid w:val="00CE3E6B"/>
    <w:rsid w:val="00CE4A77"/>
    <w:rsid w:val="00CF2E17"/>
    <w:rsid w:val="00CF342D"/>
    <w:rsid w:val="00D02EFD"/>
    <w:rsid w:val="00D03853"/>
    <w:rsid w:val="00D1220F"/>
    <w:rsid w:val="00D17ED9"/>
    <w:rsid w:val="00D23B94"/>
    <w:rsid w:val="00D2555E"/>
    <w:rsid w:val="00D25AC1"/>
    <w:rsid w:val="00D25B4D"/>
    <w:rsid w:val="00D268F2"/>
    <w:rsid w:val="00D27681"/>
    <w:rsid w:val="00D333EF"/>
    <w:rsid w:val="00D34F5F"/>
    <w:rsid w:val="00D37D27"/>
    <w:rsid w:val="00D41CDD"/>
    <w:rsid w:val="00D51294"/>
    <w:rsid w:val="00D529F6"/>
    <w:rsid w:val="00D54CEE"/>
    <w:rsid w:val="00D61212"/>
    <w:rsid w:val="00D66998"/>
    <w:rsid w:val="00D66A79"/>
    <w:rsid w:val="00D73F66"/>
    <w:rsid w:val="00D7760E"/>
    <w:rsid w:val="00D777EB"/>
    <w:rsid w:val="00D77CDF"/>
    <w:rsid w:val="00D8082C"/>
    <w:rsid w:val="00D81BE5"/>
    <w:rsid w:val="00D90014"/>
    <w:rsid w:val="00DA14D3"/>
    <w:rsid w:val="00DC7A74"/>
    <w:rsid w:val="00DD0670"/>
    <w:rsid w:val="00DD4C41"/>
    <w:rsid w:val="00DD77AD"/>
    <w:rsid w:val="00DE33A9"/>
    <w:rsid w:val="00DE4191"/>
    <w:rsid w:val="00DF2111"/>
    <w:rsid w:val="00DF38FB"/>
    <w:rsid w:val="00DF773F"/>
    <w:rsid w:val="00E01752"/>
    <w:rsid w:val="00E20BA6"/>
    <w:rsid w:val="00E216AB"/>
    <w:rsid w:val="00E22A06"/>
    <w:rsid w:val="00E25440"/>
    <w:rsid w:val="00E3548C"/>
    <w:rsid w:val="00E57318"/>
    <w:rsid w:val="00E60342"/>
    <w:rsid w:val="00E61AA1"/>
    <w:rsid w:val="00E635A0"/>
    <w:rsid w:val="00E635FF"/>
    <w:rsid w:val="00E63C6A"/>
    <w:rsid w:val="00E63E4A"/>
    <w:rsid w:val="00E7230C"/>
    <w:rsid w:val="00E736C8"/>
    <w:rsid w:val="00E746F9"/>
    <w:rsid w:val="00E83ED6"/>
    <w:rsid w:val="00E852CF"/>
    <w:rsid w:val="00E86965"/>
    <w:rsid w:val="00E943A6"/>
    <w:rsid w:val="00E9695E"/>
    <w:rsid w:val="00EA45E4"/>
    <w:rsid w:val="00EB41D9"/>
    <w:rsid w:val="00EB43E4"/>
    <w:rsid w:val="00EC0BE4"/>
    <w:rsid w:val="00EC163A"/>
    <w:rsid w:val="00EC1A37"/>
    <w:rsid w:val="00EC3025"/>
    <w:rsid w:val="00EC35B6"/>
    <w:rsid w:val="00ED3A71"/>
    <w:rsid w:val="00ED6C03"/>
    <w:rsid w:val="00EE1218"/>
    <w:rsid w:val="00EE6676"/>
    <w:rsid w:val="00EF0442"/>
    <w:rsid w:val="00EF16C1"/>
    <w:rsid w:val="00F0052A"/>
    <w:rsid w:val="00F028F4"/>
    <w:rsid w:val="00F06B31"/>
    <w:rsid w:val="00F07696"/>
    <w:rsid w:val="00F1072B"/>
    <w:rsid w:val="00F1517C"/>
    <w:rsid w:val="00F15285"/>
    <w:rsid w:val="00F162C9"/>
    <w:rsid w:val="00F20F77"/>
    <w:rsid w:val="00F24123"/>
    <w:rsid w:val="00F24C8B"/>
    <w:rsid w:val="00F26C95"/>
    <w:rsid w:val="00F307C7"/>
    <w:rsid w:val="00F32A02"/>
    <w:rsid w:val="00F34D39"/>
    <w:rsid w:val="00F368DE"/>
    <w:rsid w:val="00F40C01"/>
    <w:rsid w:val="00F40E6F"/>
    <w:rsid w:val="00F416C9"/>
    <w:rsid w:val="00F436FE"/>
    <w:rsid w:val="00F44E30"/>
    <w:rsid w:val="00F451DF"/>
    <w:rsid w:val="00F46E62"/>
    <w:rsid w:val="00F6553F"/>
    <w:rsid w:val="00F75E32"/>
    <w:rsid w:val="00F80738"/>
    <w:rsid w:val="00F834DF"/>
    <w:rsid w:val="00F84705"/>
    <w:rsid w:val="00F91A23"/>
    <w:rsid w:val="00F93A9B"/>
    <w:rsid w:val="00F9761C"/>
    <w:rsid w:val="00FA1154"/>
    <w:rsid w:val="00FA6EB6"/>
    <w:rsid w:val="00FB79E9"/>
    <w:rsid w:val="00FC057F"/>
    <w:rsid w:val="00FC147E"/>
    <w:rsid w:val="00FC6CDD"/>
    <w:rsid w:val="00FD4394"/>
    <w:rsid w:val="00FD65CB"/>
    <w:rsid w:val="00FD71B0"/>
    <w:rsid w:val="00FE0FFA"/>
    <w:rsid w:val="00FE25E9"/>
    <w:rsid w:val="00FE3A6E"/>
    <w:rsid w:val="00FF1C12"/>
    <w:rsid w:val="00FF64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706"/>
  <w15:chartTrackingRefBased/>
  <w15:docId w15:val="{5BD93D25-9CAC-40F1-85A9-71A91C42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5C6"/>
    <w:pPr>
      <w:spacing w:after="120" w:line="360" w:lineRule="auto"/>
      <w:jc w:val="both"/>
    </w:pPr>
    <w:rPr>
      <w:rFonts w:ascii="Times New Roman" w:eastAsia="Times New Roman" w:hAnsi="Times New Roman" w:cs="Narkisim"/>
      <w:kern w:val="0"/>
      <w:sz w:val="24"/>
      <w:szCs w:val="23"/>
      <w:lang w:val="en-US" w:bidi="he-IL"/>
      <w14:ligatures w14:val="none"/>
    </w:rPr>
  </w:style>
  <w:style w:type="paragraph" w:styleId="Heading1">
    <w:name w:val="heading 1"/>
    <w:basedOn w:val="Normal"/>
    <w:next w:val="Normal"/>
    <w:link w:val="Heading1Char"/>
    <w:uiPriority w:val="9"/>
    <w:qFormat/>
    <w:rsid w:val="00FC147E"/>
    <w:pPr>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60E6"/>
    <w:pPr>
      <w:jc w:val="center"/>
    </w:pPr>
    <w:rPr>
      <w:b/>
      <w:bCs/>
      <w:sz w:val="32"/>
      <w:szCs w:val="32"/>
    </w:rPr>
  </w:style>
  <w:style w:type="character" w:customStyle="1" w:styleId="TitleChar">
    <w:name w:val="Title Char"/>
    <w:basedOn w:val="DefaultParagraphFont"/>
    <w:link w:val="Title"/>
    <w:uiPriority w:val="10"/>
    <w:rsid w:val="00AB60E6"/>
    <w:rPr>
      <w:rFonts w:asciiTheme="majorBidi" w:hAnsiTheme="majorBidi" w:cstheme="majorBidi"/>
      <w:b/>
      <w:bCs/>
      <w:sz w:val="32"/>
      <w:szCs w:val="32"/>
      <w:lang w:val="en-US" w:bidi="he-IL"/>
    </w:rPr>
  </w:style>
  <w:style w:type="character" w:customStyle="1" w:styleId="Heading1Char">
    <w:name w:val="Heading 1 Char"/>
    <w:basedOn w:val="DefaultParagraphFont"/>
    <w:link w:val="Heading1"/>
    <w:uiPriority w:val="9"/>
    <w:rsid w:val="00FC147E"/>
    <w:rPr>
      <w:rFonts w:asciiTheme="majorBidi" w:hAnsiTheme="majorBidi" w:cstheme="majorBidi"/>
      <w:b/>
      <w:bCs/>
      <w:sz w:val="24"/>
      <w:szCs w:val="24"/>
      <w:lang w:val="en-US" w:bidi="he-IL"/>
    </w:rPr>
  </w:style>
  <w:style w:type="character" w:styleId="FootnoteReference">
    <w:name w:val="footnote reference"/>
    <w:basedOn w:val="DefaultParagraphFont"/>
    <w:uiPriority w:val="99"/>
    <w:qFormat/>
    <w:rsid w:val="003C7A81"/>
    <w:rPr>
      <w:rFonts w:asciiTheme="majorBidi" w:hAnsiTheme="majorBidi" w:cstheme="majorBidi"/>
      <w:position w:val="6"/>
      <w:sz w:val="16"/>
      <w:szCs w:val="16"/>
      <w:vertAlign w:val="superscript"/>
    </w:rPr>
  </w:style>
  <w:style w:type="paragraph" w:styleId="FootnoteText">
    <w:name w:val="footnote text"/>
    <w:basedOn w:val="Normal"/>
    <w:next w:val="Normal"/>
    <w:link w:val="FootnoteTextChar"/>
    <w:autoRedefine/>
    <w:uiPriority w:val="99"/>
    <w:qFormat/>
    <w:rsid w:val="00705F22"/>
    <w:pPr>
      <w:tabs>
        <w:tab w:val="left" w:pos="357"/>
      </w:tabs>
      <w:jc w:val="left"/>
    </w:pPr>
    <w:rPr>
      <w:rFonts w:asciiTheme="majorBidi" w:hAnsiTheme="majorBidi" w:cstheme="majorBidi"/>
      <w:position w:val="6"/>
      <w:sz w:val="20"/>
      <w:szCs w:val="20"/>
    </w:rPr>
  </w:style>
  <w:style w:type="character" w:customStyle="1" w:styleId="FootnoteTextChar">
    <w:name w:val="Footnote Text Char"/>
    <w:basedOn w:val="DefaultParagraphFont"/>
    <w:link w:val="FootnoteText"/>
    <w:uiPriority w:val="99"/>
    <w:rsid w:val="00705F22"/>
    <w:rPr>
      <w:rFonts w:asciiTheme="majorBidi" w:eastAsia="Times New Roman" w:hAnsiTheme="majorBidi" w:cstheme="majorBidi"/>
      <w:kern w:val="0"/>
      <w:position w:val="6"/>
      <w:sz w:val="20"/>
      <w:szCs w:val="20"/>
      <w:lang w:val="en-US" w:bidi="he-IL"/>
      <w14:ligatures w14:val="none"/>
    </w:rPr>
  </w:style>
  <w:style w:type="paragraph" w:styleId="NoSpacing">
    <w:name w:val="No Spacing"/>
    <w:uiPriority w:val="1"/>
    <w:qFormat/>
    <w:rsid w:val="00FA1154"/>
    <w:pPr>
      <w:bidi/>
      <w:spacing w:after="0" w:line="240" w:lineRule="auto"/>
      <w:ind w:firstLine="357"/>
      <w:jc w:val="both"/>
    </w:pPr>
    <w:rPr>
      <w:rFonts w:ascii="Times New Roman" w:eastAsia="Times New Roman" w:hAnsi="Times New Roman" w:cs="Narkisim"/>
      <w:kern w:val="0"/>
      <w:sz w:val="24"/>
      <w:szCs w:val="23"/>
      <w:lang w:val="en-US" w:bidi="he-IL"/>
      <w14:ligatures w14:val="none"/>
    </w:rPr>
  </w:style>
  <w:style w:type="character" w:styleId="CommentReference">
    <w:name w:val="annotation reference"/>
    <w:basedOn w:val="DefaultParagraphFont"/>
    <w:uiPriority w:val="99"/>
    <w:semiHidden/>
    <w:unhideWhenUsed/>
    <w:rsid w:val="00D27681"/>
    <w:rPr>
      <w:sz w:val="16"/>
      <w:szCs w:val="16"/>
    </w:rPr>
  </w:style>
  <w:style w:type="paragraph" w:styleId="CommentText">
    <w:name w:val="annotation text"/>
    <w:basedOn w:val="Normal"/>
    <w:link w:val="CommentTextChar"/>
    <w:uiPriority w:val="99"/>
    <w:unhideWhenUsed/>
    <w:rsid w:val="00D27681"/>
    <w:pPr>
      <w:spacing w:line="240" w:lineRule="auto"/>
    </w:pPr>
    <w:rPr>
      <w:sz w:val="20"/>
      <w:szCs w:val="20"/>
    </w:rPr>
  </w:style>
  <w:style w:type="character" w:customStyle="1" w:styleId="CommentTextChar">
    <w:name w:val="Comment Text Char"/>
    <w:basedOn w:val="DefaultParagraphFont"/>
    <w:link w:val="CommentText"/>
    <w:uiPriority w:val="99"/>
    <w:rsid w:val="00D27681"/>
    <w:rPr>
      <w:rFonts w:ascii="Times New Roman" w:eastAsia="Times New Roman" w:hAnsi="Times New Roman" w:cs="Narkisim"/>
      <w:kern w:val="0"/>
      <w:sz w:val="20"/>
      <w:szCs w:val="20"/>
      <w:lang w:val="en-US" w:bidi="he-IL"/>
      <w14:ligatures w14:val="none"/>
    </w:rPr>
  </w:style>
  <w:style w:type="paragraph" w:styleId="CommentSubject">
    <w:name w:val="annotation subject"/>
    <w:basedOn w:val="CommentText"/>
    <w:next w:val="CommentText"/>
    <w:link w:val="CommentSubjectChar"/>
    <w:uiPriority w:val="99"/>
    <w:semiHidden/>
    <w:unhideWhenUsed/>
    <w:rsid w:val="00D27681"/>
    <w:rPr>
      <w:b/>
      <w:bCs/>
    </w:rPr>
  </w:style>
  <w:style w:type="character" w:customStyle="1" w:styleId="CommentSubjectChar">
    <w:name w:val="Comment Subject Char"/>
    <w:basedOn w:val="CommentTextChar"/>
    <w:link w:val="CommentSubject"/>
    <w:uiPriority w:val="99"/>
    <w:semiHidden/>
    <w:rsid w:val="00D27681"/>
    <w:rPr>
      <w:rFonts w:ascii="Times New Roman" w:eastAsia="Times New Roman" w:hAnsi="Times New Roman" w:cs="Narkisim"/>
      <w:b/>
      <w:bCs/>
      <w:kern w:val="0"/>
      <w:sz w:val="20"/>
      <w:szCs w:val="20"/>
      <w:lang w:val="en-US" w:bidi="he-IL"/>
      <w14:ligatures w14:val="none"/>
    </w:rPr>
  </w:style>
  <w:style w:type="paragraph" w:styleId="Revision">
    <w:name w:val="Revision"/>
    <w:hidden/>
    <w:uiPriority w:val="99"/>
    <w:semiHidden/>
    <w:rsid w:val="00625C1C"/>
    <w:pPr>
      <w:spacing w:after="0" w:line="240" w:lineRule="auto"/>
    </w:pPr>
    <w:rPr>
      <w:rFonts w:ascii="Times New Roman" w:eastAsia="Times New Roman" w:hAnsi="Times New Roman" w:cs="Narkisim"/>
      <w:kern w:val="0"/>
      <w:sz w:val="24"/>
      <w:szCs w:val="23"/>
      <w:lang w:val="en-US" w:bidi="he-IL"/>
      <w14:ligatures w14:val="none"/>
    </w:rPr>
  </w:style>
  <w:style w:type="character" w:styleId="Hyperlink">
    <w:name w:val="Hyperlink"/>
    <w:basedOn w:val="DefaultParagraphFont"/>
    <w:uiPriority w:val="99"/>
    <w:unhideWhenUsed/>
    <w:rsid w:val="00705F22"/>
    <w:rPr>
      <w:color w:val="0563C1" w:themeColor="hyperlink"/>
      <w:u w:val="single"/>
    </w:rPr>
  </w:style>
  <w:style w:type="character" w:styleId="UnresolvedMention">
    <w:name w:val="Unresolved Mention"/>
    <w:basedOn w:val="DefaultParagraphFont"/>
    <w:uiPriority w:val="99"/>
    <w:semiHidden/>
    <w:unhideWhenUsed/>
    <w:rsid w:val="00705F22"/>
    <w:rPr>
      <w:color w:val="605E5C"/>
      <w:shd w:val="clear" w:color="auto" w:fill="E1DFDD"/>
    </w:rPr>
  </w:style>
  <w:style w:type="paragraph" w:styleId="Quote">
    <w:name w:val="Quote"/>
    <w:basedOn w:val="Normal"/>
    <w:next w:val="Normal"/>
    <w:link w:val="QuoteChar"/>
    <w:uiPriority w:val="29"/>
    <w:qFormat/>
    <w:rsid w:val="003F6C15"/>
    <w:pPr>
      <w:spacing w:before="200" w:after="160"/>
      <w:ind w:left="864" w:right="864"/>
      <w:jc w:val="left"/>
    </w:pPr>
  </w:style>
  <w:style w:type="character" w:customStyle="1" w:styleId="QuoteChar">
    <w:name w:val="Quote Char"/>
    <w:basedOn w:val="DefaultParagraphFont"/>
    <w:link w:val="Quote"/>
    <w:uiPriority w:val="29"/>
    <w:rsid w:val="003F6C15"/>
    <w:rPr>
      <w:rFonts w:ascii="Times New Roman" w:eastAsia="Times New Roman" w:hAnsi="Times New Roman" w:cs="Narkisim"/>
      <w:kern w:val="0"/>
      <w:sz w:val="24"/>
      <w:szCs w:val="23"/>
      <w:lang w:val="en-US" w:bidi="he-IL"/>
      <w14:ligatures w14:val="none"/>
    </w:rPr>
  </w:style>
  <w:style w:type="character" w:customStyle="1" w:styleId="text">
    <w:name w:val="text"/>
    <w:basedOn w:val="DefaultParagraphFont"/>
    <w:rsid w:val="00484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81187">
      <w:bodyDiv w:val="1"/>
      <w:marLeft w:val="0"/>
      <w:marRight w:val="0"/>
      <w:marTop w:val="0"/>
      <w:marBottom w:val="0"/>
      <w:divBdr>
        <w:top w:val="none" w:sz="0" w:space="0" w:color="auto"/>
        <w:left w:val="none" w:sz="0" w:space="0" w:color="auto"/>
        <w:bottom w:val="none" w:sz="0" w:space="0" w:color="auto"/>
        <w:right w:val="none" w:sz="0" w:space="0" w:color="auto"/>
      </w:divBdr>
    </w:div>
    <w:div w:id="458963126">
      <w:bodyDiv w:val="1"/>
      <w:marLeft w:val="0"/>
      <w:marRight w:val="0"/>
      <w:marTop w:val="0"/>
      <w:marBottom w:val="0"/>
      <w:divBdr>
        <w:top w:val="none" w:sz="0" w:space="0" w:color="auto"/>
        <w:left w:val="none" w:sz="0" w:space="0" w:color="auto"/>
        <w:bottom w:val="none" w:sz="0" w:space="0" w:color="auto"/>
        <w:right w:val="none" w:sz="0" w:space="0" w:color="auto"/>
      </w:divBdr>
      <w:divsChild>
        <w:div w:id="1357997129">
          <w:marLeft w:val="0"/>
          <w:marRight w:val="0"/>
          <w:marTop w:val="0"/>
          <w:marBottom w:val="0"/>
          <w:divBdr>
            <w:top w:val="single" w:sz="2" w:space="0" w:color="auto"/>
            <w:left w:val="single" w:sz="2" w:space="0" w:color="auto"/>
            <w:bottom w:val="single" w:sz="6" w:space="0" w:color="auto"/>
            <w:right w:val="single" w:sz="2" w:space="0" w:color="auto"/>
          </w:divBdr>
          <w:divsChild>
            <w:div w:id="420218262">
              <w:marLeft w:val="0"/>
              <w:marRight w:val="0"/>
              <w:marTop w:val="100"/>
              <w:marBottom w:val="100"/>
              <w:divBdr>
                <w:top w:val="single" w:sz="2" w:space="0" w:color="D9D9E3"/>
                <w:left w:val="single" w:sz="2" w:space="0" w:color="D9D9E3"/>
                <w:bottom w:val="single" w:sz="2" w:space="0" w:color="D9D9E3"/>
                <w:right w:val="single" w:sz="2" w:space="0" w:color="D9D9E3"/>
              </w:divBdr>
              <w:divsChild>
                <w:div w:id="225409790">
                  <w:marLeft w:val="0"/>
                  <w:marRight w:val="0"/>
                  <w:marTop w:val="0"/>
                  <w:marBottom w:val="0"/>
                  <w:divBdr>
                    <w:top w:val="single" w:sz="2" w:space="0" w:color="D9D9E3"/>
                    <w:left w:val="single" w:sz="2" w:space="0" w:color="D9D9E3"/>
                    <w:bottom w:val="single" w:sz="2" w:space="0" w:color="D9D9E3"/>
                    <w:right w:val="single" w:sz="2" w:space="0" w:color="D9D9E3"/>
                  </w:divBdr>
                  <w:divsChild>
                    <w:div w:id="1481771482">
                      <w:marLeft w:val="0"/>
                      <w:marRight w:val="0"/>
                      <w:marTop w:val="0"/>
                      <w:marBottom w:val="0"/>
                      <w:divBdr>
                        <w:top w:val="single" w:sz="2" w:space="0" w:color="D9D9E3"/>
                        <w:left w:val="single" w:sz="2" w:space="0" w:color="D9D9E3"/>
                        <w:bottom w:val="single" w:sz="2" w:space="0" w:color="D9D9E3"/>
                        <w:right w:val="single" w:sz="2" w:space="0" w:color="D9D9E3"/>
                      </w:divBdr>
                      <w:divsChild>
                        <w:div w:id="1027175061">
                          <w:marLeft w:val="0"/>
                          <w:marRight w:val="0"/>
                          <w:marTop w:val="0"/>
                          <w:marBottom w:val="0"/>
                          <w:divBdr>
                            <w:top w:val="single" w:sz="2" w:space="0" w:color="D9D9E3"/>
                            <w:left w:val="single" w:sz="2" w:space="0" w:color="D9D9E3"/>
                            <w:bottom w:val="single" w:sz="2" w:space="0" w:color="D9D9E3"/>
                            <w:right w:val="single" w:sz="2" w:space="0" w:color="D9D9E3"/>
                          </w:divBdr>
                          <w:divsChild>
                            <w:div w:id="1815222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6377586">
      <w:bodyDiv w:val="1"/>
      <w:marLeft w:val="0"/>
      <w:marRight w:val="0"/>
      <w:marTop w:val="0"/>
      <w:marBottom w:val="0"/>
      <w:divBdr>
        <w:top w:val="none" w:sz="0" w:space="0" w:color="auto"/>
        <w:left w:val="none" w:sz="0" w:space="0" w:color="auto"/>
        <w:bottom w:val="none" w:sz="0" w:space="0" w:color="auto"/>
        <w:right w:val="none" w:sz="0" w:space="0" w:color="auto"/>
      </w:divBdr>
    </w:div>
    <w:div w:id="1160584177">
      <w:bodyDiv w:val="1"/>
      <w:marLeft w:val="0"/>
      <w:marRight w:val="0"/>
      <w:marTop w:val="0"/>
      <w:marBottom w:val="0"/>
      <w:divBdr>
        <w:top w:val="none" w:sz="0" w:space="0" w:color="auto"/>
        <w:left w:val="none" w:sz="0" w:space="0" w:color="auto"/>
        <w:bottom w:val="none" w:sz="0" w:space="0" w:color="auto"/>
        <w:right w:val="none" w:sz="0" w:space="0" w:color="auto"/>
      </w:divBdr>
    </w:div>
    <w:div w:id="1562449189">
      <w:bodyDiv w:val="1"/>
      <w:marLeft w:val="0"/>
      <w:marRight w:val="0"/>
      <w:marTop w:val="0"/>
      <w:marBottom w:val="0"/>
      <w:divBdr>
        <w:top w:val="none" w:sz="0" w:space="0" w:color="auto"/>
        <w:left w:val="none" w:sz="0" w:space="0" w:color="auto"/>
        <w:bottom w:val="none" w:sz="0" w:space="0" w:color="auto"/>
        <w:right w:val="none" w:sz="0" w:space="0" w:color="auto"/>
      </w:divBdr>
    </w:div>
    <w:div w:id="1607735704">
      <w:bodyDiv w:val="1"/>
      <w:marLeft w:val="0"/>
      <w:marRight w:val="0"/>
      <w:marTop w:val="0"/>
      <w:marBottom w:val="0"/>
      <w:divBdr>
        <w:top w:val="none" w:sz="0" w:space="0" w:color="auto"/>
        <w:left w:val="none" w:sz="0" w:space="0" w:color="auto"/>
        <w:bottom w:val="none" w:sz="0" w:space="0" w:color="auto"/>
        <w:right w:val="none" w:sz="0" w:space="0" w:color="auto"/>
      </w:divBdr>
    </w:div>
    <w:div w:id="18891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EA2A47-01AA-4553-8FED-04822752046E}">
  <we:reference id="wa200005107" version="1.1.0.0" store="en-US" storeType="OMEX"/>
  <we:alternateReferences>
    <we:reference id="wa200005107"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BD9E0-E3AB-4082-BFC9-B902F580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4058</TotalTime>
  <Pages>19</Pages>
  <Words>4820</Words>
  <Characters>26030</Characters>
  <Application>Microsoft Office Word</Application>
  <DocSecurity>0</DocSecurity>
  <Lines>400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585</cp:revision>
  <dcterms:created xsi:type="dcterms:W3CDTF">2023-04-13T07:06:00Z</dcterms:created>
  <dcterms:modified xsi:type="dcterms:W3CDTF">2023-04-19T07:46:00Z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8dfff35f-593b-4e46-ae1a-8441c317bc73</vt:lpwstr>
  </property>
</Properties>
</file>