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5A054" w14:textId="77777777" w:rsidR="00CF711E" w:rsidRPr="00CF711E" w:rsidRDefault="00CF711E" w:rsidP="00CF711E">
      <w:pPr>
        <w:bidi/>
        <w:spacing w:line="360" w:lineRule="auto"/>
        <w:jc w:val="center"/>
        <w:rPr>
          <w:rFonts w:ascii="Times New Roman" w:eastAsia="Calibri" w:hAnsi="Times New Roman" w:cs="Times New Roman"/>
          <w:b/>
          <w:bCs/>
          <w:color w:val="000000"/>
          <w:sz w:val="24"/>
          <w:szCs w:val="24"/>
          <w:rtl/>
        </w:rPr>
      </w:pPr>
      <w:r w:rsidRPr="00CF711E">
        <w:rPr>
          <w:rFonts w:ascii="Times New Roman" w:eastAsia="Calibri" w:hAnsi="Times New Roman" w:cs="Times New Roman"/>
          <w:b/>
          <w:bCs/>
          <w:color w:val="000000"/>
          <w:sz w:val="24"/>
          <w:szCs w:val="24"/>
        </w:rPr>
        <w:t xml:space="preserve">Biblical Narratives in </w:t>
      </w:r>
      <w:proofErr w:type="gramStart"/>
      <w:r w:rsidRPr="00CF711E">
        <w:rPr>
          <w:rFonts w:ascii="Times New Roman" w:eastAsia="Calibri" w:hAnsi="Times New Roman" w:cs="Times New Roman"/>
          <w:b/>
          <w:bCs/>
          <w:i/>
          <w:iCs/>
          <w:color w:val="000000"/>
          <w:sz w:val="24"/>
          <w:szCs w:val="24"/>
        </w:rPr>
        <w:t>The</w:t>
      </w:r>
      <w:proofErr w:type="gramEnd"/>
      <w:r w:rsidRPr="00CF711E">
        <w:rPr>
          <w:rFonts w:ascii="Times New Roman" w:eastAsia="Calibri" w:hAnsi="Times New Roman" w:cs="Times New Roman"/>
          <w:b/>
          <w:bCs/>
          <w:i/>
          <w:iCs/>
          <w:color w:val="000000"/>
          <w:sz w:val="24"/>
          <w:szCs w:val="24"/>
        </w:rPr>
        <w:t xml:space="preserve"> Handmaid's Tal</w:t>
      </w:r>
      <w:r w:rsidRPr="00CF711E">
        <w:rPr>
          <w:rFonts w:ascii="Times New Roman" w:eastAsia="Calibri" w:hAnsi="Times New Roman" w:cs="Times New Roman"/>
          <w:b/>
          <w:bCs/>
          <w:color w:val="000000"/>
          <w:sz w:val="24"/>
          <w:szCs w:val="24"/>
        </w:rPr>
        <w:t>e</w:t>
      </w:r>
    </w:p>
    <w:p w14:paraId="6C441936" w14:textId="77777777" w:rsidR="009703CC" w:rsidRPr="009703CC" w:rsidRDefault="009703CC" w:rsidP="009703CC">
      <w:pPr>
        <w:bidi/>
        <w:spacing w:line="360" w:lineRule="auto"/>
        <w:jc w:val="center"/>
        <w:rPr>
          <w:rFonts w:ascii="Times New Roman" w:eastAsia="Calibri" w:hAnsi="Times New Roman" w:cs="Times New Roman"/>
          <w:b/>
          <w:bCs/>
          <w:color w:val="000000"/>
          <w:sz w:val="24"/>
          <w:szCs w:val="24"/>
          <w:rtl/>
        </w:rPr>
      </w:pPr>
    </w:p>
    <w:p w14:paraId="0B881AFD" w14:textId="77777777" w:rsidR="009703CC" w:rsidRPr="009703CC" w:rsidRDefault="009703CC" w:rsidP="009703CC">
      <w:pPr>
        <w:spacing w:line="360" w:lineRule="auto"/>
        <w:rPr>
          <w:rFonts w:ascii="Times New Roman" w:eastAsia="Calibri" w:hAnsi="Times New Roman" w:cs="Times New Roman"/>
          <w:color w:val="000000"/>
          <w:sz w:val="24"/>
          <w:szCs w:val="24"/>
        </w:rPr>
      </w:pPr>
      <w:r w:rsidRPr="009703CC">
        <w:rPr>
          <w:rFonts w:ascii="Times New Roman" w:eastAsia="Calibri" w:hAnsi="Times New Roman" w:cs="Times New Roman"/>
          <w:color w:val="000000"/>
          <w:sz w:val="24"/>
          <w:szCs w:val="24"/>
        </w:rPr>
        <w:t xml:space="preserve">Dr. </w:t>
      </w:r>
      <w:proofErr w:type="spellStart"/>
      <w:r w:rsidRPr="009703CC">
        <w:rPr>
          <w:rFonts w:ascii="Times New Roman" w:eastAsia="Calibri" w:hAnsi="Times New Roman" w:cs="Times New Roman"/>
          <w:color w:val="000000"/>
          <w:sz w:val="24"/>
          <w:szCs w:val="24"/>
        </w:rPr>
        <w:t>Binah</w:t>
      </w:r>
      <w:proofErr w:type="spellEnd"/>
      <w:r w:rsidRPr="009703CC">
        <w:rPr>
          <w:rFonts w:ascii="Times New Roman" w:eastAsia="Calibri" w:hAnsi="Times New Roman" w:cs="Times New Roman"/>
          <w:color w:val="000000"/>
          <w:sz w:val="24"/>
          <w:szCs w:val="24"/>
        </w:rPr>
        <w:t xml:space="preserve"> </w:t>
      </w:r>
      <w:proofErr w:type="spellStart"/>
      <w:r w:rsidRPr="009703CC">
        <w:rPr>
          <w:rFonts w:ascii="Times New Roman" w:eastAsia="Calibri" w:hAnsi="Times New Roman" w:cs="Times New Roman"/>
          <w:color w:val="000000"/>
          <w:sz w:val="24"/>
          <w:szCs w:val="24"/>
        </w:rPr>
        <w:t>Nir</w:t>
      </w:r>
      <w:proofErr w:type="spellEnd"/>
    </w:p>
    <w:p w14:paraId="7F8024D0" w14:textId="77777777" w:rsidR="009703CC" w:rsidRPr="009703CC" w:rsidRDefault="009703CC" w:rsidP="009703CC">
      <w:pPr>
        <w:spacing w:line="360" w:lineRule="auto"/>
        <w:rPr>
          <w:rFonts w:ascii="Times New Roman" w:eastAsia="Calibri" w:hAnsi="Times New Roman" w:cs="Times New Roman"/>
          <w:color w:val="000000"/>
          <w:sz w:val="24"/>
          <w:szCs w:val="24"/>
        </w:rPr>
      </w:pPr>
      <w:r w:rsidRPr="009703CC">
        <w:rPr>
          <w:rFonts w:ascii="Times New Roman" w:eastAsia="Calibri" w:hAnsi="Times New Roman" w:cs="Times New Roman"/>
          <w:color w:val="000000"/>
          <w:sz w:val="24"/>
          <w:szCs w:val="24"/>
        </w:rPr>
        <w:t>Abstract</w:t>
      </w:r>
    </w:p>
    <w:p w14:paraId="721135A6" w14:textId="77777777" w:rsidR="009703CC" w:rsidRPr="009703CC" w:rsidRDefault="009703CC" w:rsidP="009703CC">
      <w:pPr>
        <w:spacing w:line="360" w:lineRule="auto"/>
        <w:rPr>
          <w:rFonts w:ascii="Times New Roman" w:eastAsia="Calibri" w:hAnsi="Times New Roman" w:cs="Times New Roman"/>
          <w:color w:val="000000"/>
          <w:sz w:val="24"/>
          <w:szCs w:val="24"/>
        </w:rPr>
      </w:pPr>
      <w:r w:rsidRPr="009703CC">
        <w:rPr>
          <w:rFonts w:ascii="Times New Roman" w:eastAsia="Calibri" w:hAnsi="Times New Roman" w:cs="Times New Roman"/>
          <w:color w:val="000000"/>
          <w:sz w:val="24"/>
          <w:szCs w:val="24"/>
        </w:rPr>
        <w:t xml:space="preserve">This article will examine the biblical narratives in the Canadian author, Margaret Atwood’s </w:t>
      </w:r>
      <w:r w:rsidRPr="009703CC">
        <w:rPr>
          <w:rFonts w:ascii="Times New Roman" w:eastAsia="Calibri" w:hAnsi="Times New Roman" w:cs="Times New Roman"/>
          <w:i/>
          <w:iCs/>
          <w:color w:val="000000"/>
          <w:sz w:val="24"/>
          <w:szCs w:val="24"/>
        </w:rPr>
        <w:t>The Handmaid’s Tale</w:t>
      </w:r>
      <w:r w:rsidRPr="009703CC">
        <w:rPr>
          <w:rFonts w:ascii="Times New Roman" w:eastAsia="Calibri" w:hAnsi="Times New Roman" w:cs="Times New Roman"/>
          <w:color w:val="000000"/>
          <w:sz w:val="24"/>
          <w:szCs w:val="24"/>
        </w:rPr>
        <w:t xml:space="preserve"> published in 1985. This novel became a symbol for the women’s rights movement and it addresses a slew of questions central to Feminism. Through her novel, Atwood successfully raised international awareness and fueled the debate surrounding the global plight of women. Belles-</w:t>
      </w:r>
      <w:commentRangeStart w:id="0"/>
      <w:r w:rsidRPr="009703CC">
        <w:rPr>
          <w:rFonts w:ascii="Times New Roman" w:eastAsia="Calibri" w:hAnsi="Times New Roman" w:cs="Times New Roman"/>
          <w:color w:val="000000"/>
          <w:sz w:val="24"/>
          <w:szCs w:val="24"/>
        </w:rPr>
        <w:t>lettres</w:t>
      </w:r>
      <w:commentRangeEnd w:id="0"/>
      <w:r w:rsidRPr="009703CC">
        <w:rPr>
          <w:rFonts w:ascii="Calibri" w:eastAsia="Calibri" w:hAnsi="Calibri" w:cs="Arial"/>
          <w:sz w:val="16"/>
          <w:szCs w:val="16"/>
        </w:rPr>
        <w:commentReference w:id="0"/>
      </w:r>
      <w:r w:rsidRPr="009703CC">
        <w:rPr>
          <w:rFonts w:ascii="Times New Roman" w:eastAsia="Calibri" w:hAnsi="Times New Roman" w:cs="Times New Roman"/>
          <w:color w:val="000000"/>
          <w:sz w:val="24"/>
          <w:szCs w:val="24"/>
        </w:rPr>
        <w:t xml:space="preserve"> has the ability to rally the masses and infuse them with values. The novel deals with the unconscious experience of politics as a human and moral phenomenon. The novel’s allusions to biblical stories is not only blatant but even extreme. Atwood weaves many biblical concepts, names, and motifs relating to the status of women into the novel, with a particular focus on the concept of the handmaid whose sole function is child-bearing. However, when we discuss the status of women in the Bible we need to be careful not to generalize because the biblical narrative contains a panoply of diverse voices on this matter. In this article, I will take an in-depth look at the name </w:t>
      </w:r>
      <w:r w:rsidRPr="009703CC">
        <w:rPr>
          <w:rFonts w:ascii="Times New Roman" w:eastAsia="Calibri" w:hAnsi="Times New Roman" w:cs="Times New Roman"/>
          <w:i/>
          <w:iCs/>
          <w:color w:val="000000"/>
          <w:sz w:val="24"/>
          <w:szCs w:val="24"/>
        </w:rPr>
        <w:t>Gilead</w:t>
      </w:r>
      <w:r w:rsidRPr="009703CC">
        <w:rPr>
          <w:rFonts w:ascii="Times New Roman" w:eastAsia="Calibri" w:hAnsi="Times New Roman" w:cs="Times New Roman"/>
          <w:color w:val="000000"/>
          <w:sz w:val="24"/>
          <w:szCs w:val="24"/>
        </w:rPr>
        <w:t xml:space="preserve">’s biblical source for Atwood chose to set her tale in the Republic of Gilead. Furthermore, since the novel presents a radical, social hierarchy among women based on their child-bearing duties, I will also examine the biblical narratives foundational to such a hierarchy. In this terrifying novel, the transformation of women into child-bearing handmaids is based both on the biblical story of the handmaids and on the proprietary relationship of mastery that men have over women in the Bible.  When a story is based on our cultural past as it relates to the patriarchal treatment of women, even if the depiction is taken to the extreme, its aim is to bring about a different future. This critical approach’s main goal is deconstructing the unspoken assumptions of a particular way of life. </w:t>
      </w:r>
    </w:p>
    <w:p w14:paraId="19440556" w14:textId="77777777" w:rsidR="009703CC" w:rsidRPr="009703CC" w:rsidRDefault="009703CC" w:rsidP="009703CC">
      <w:pPr>
        <w:spacing w:line="360" w:lineRule="auto"/>
        <w:rPr>
          <w:rFonts w:ascii="Times New Roman" w:eastAsia="Calibri" w:hAnsi="Times New Roman" w:cs="Times New Roman"/>
          <w:color w:val="000000"/>
          <w:sz w:val="24"/>
          <w:szCs w:val="24"/>
        </w:rPr>
      </w:pPr>
      <w:r w:rsidRPr="009703CC">
        <w:rPr>
          <w:rFonts w:ascii="Times New Roman" w:eastAsia="Calibri" w:hAnsi="Times New Roman" w:cs="Times New Roman"/>
          <w:color w:val="000000"/>
          <w:sz w:val="24"/>
          <w:szCs w:val="24"/>
        </w:rPr>
        <w:t>Keywords</w:t>
      </w:r>
    </w:p>
    <w:p w14:paraId="618D7A99" w14:textId="77777777" w:rsidR="009703CC" w:rsidRPr="009703CC" w:rsidRDefault="009703CC" w:rsidP="009703CC">
      <w:pPr>
        <w:spacing w:line="360" w:lineRule="auto"/>
        <w:rPr>
          <w:rFonts w:ascii="Times New Roman" w:eastAsia="Calibri" w:hAnsi="Times New Roman" w:cs="Times New Roman"/>
          <w:color w:val="000000"/>
          <w:sz w:val="24"/>
          <w:szCs w:val="24"/>
        </w:rPr>
      </w:pPr>
      <w:r w:rsidRPr="009703CC">
        <w:rPr>
          <w:rFonts w:ascii="Times New Roman" w:eastAsia="Calibri" w:hAnsi="Times New Roman" w:cs="Times New Roman"/>
          <w:color w:val="000000"/>
          <w:sz w:val="24"/>
          <w:szCs w:val="24"/>
        </w:rPr>
        <w:t>Handmaidens, women, Atwood, Bible, Gilead, social hierarchy</w:t>
      </w:r>
    </w:p>
    <w:p w14:paraId="0BA52EEE" w14:textId="77777777" w:rsidR="009703CC" w:rsidRPr="009703CC" w:rsidRDefault="009703CC" w:rsidP="009703CC">
      <w:pPr>
        <w:bidi/>
        <w:spacing w:line="360" w:lineRule="auto"/>
        <w:jc w:val="both"/>
        <w:rPr>
          <w:rFonts w:ascii="Times New Roman" w:eastAsia="Calibri" w:hAnsi="Times New Roman" w:cs="Times New Roman"/>
          <w:b/>
          <w:bCs/>
          <w:color w:val="000000"/>
          <w:sz w:val="24"/>
          <w:szCs w:val="24"/>
          <w:rtl/>
        </w:rPr>
      </w:pPr>
    </w:p>
    <w:p w14:paraId="5B0610CA" w14:textId="77777777" w:rsidR="009703CC" w:rsidRPr="009703CC" w:rsidRDefault="009703CC" w:rsidP="009703CC">
      <w:pPr>
        <w:spacing w:line="360" w:lineRule="auto"/>
        <w:rPr>
          <w:rFonts w:ascii="Times New Roman" w:eastAsia="Calibri" w:hAnsi="Times New Roman" w:cs="Times New Roman"/>
          <w:b/>
          <w:bCs/>
          <w:color w:val="000000"/>
          <w:sz w:val="24"/>
          <w:szCs w:val="24"/>
        </w:rPr>
      </w:pPr>
      <w:r w:rsidRPr="009703CC">
        <w:rPr>
          <w:rFonts w:ascii="Times New Roman" w:eastAsia="Calibri" w:hAnsi="Times New Roman" w:cs="Times New Roman"/>
          <w:b/>
          <w:bCs/>
          <w:color w:val="000000"/>
          <w:sz w:val="24"/>
          <w:szCs w:val="24"/>
        </w:rPr>
        <w:t>Introduction</w:t>
      </w:r>
    </w:p>
    <w:p w14:paraId="12BEF54B" w14:textId="77777777" w:rsidR="009703CC" w:rsidRPr="009703CC" w:rsidRDefault="009703CC" w:rsidP="009703CC">
      <w:pPr>
        <w:spacing w:line="360" w:lineRule="auto"/>
        <w:rPr>
          <w:rFonts w:ascii="Times New Roman" w:eastAsia="Calibri" w:hAnsi="Times New Roman" w:cs="Times New Roman"/>
          <w:color w:val="000000"/>
          <w:sz w:val="24"/>
          <w:szCs w:val="24"/>
        </w:rPr>
      </w:pPr>
      <w:r w:rsidRPr="009703CC">
        <w:rPr>
          <w:rFonts w:ascii="Times New Roman" w:eastAsia="Calibri" w:hAnsi="Times New Roman" w:cs="Times New Roman"/>
          <w:color w:val="000000"/>
          <w:sz w:val="24"/>
          <w:szCs w:val="24"/>
        </w:rPr>
        <w:lastRenderedPageBreak/>
        <w:t xml:space="preserve">As I write these lines, women wearing red cloaks and white wimples that hide their faces have taken to the streets of the State of Israel to protest the impending judicial reform which they believe will worsen the state of women. Their choice of dress alludes to the Canadian author Margaret Atwood’s </w:t>
      </w:r>
      <w:r w:rsidRPr="009703CC">
        <w:rPr>
          <w:rFonts w:ascii="Times New Roman" w:eastAsia="Calibri" w:hAnsi="Times New Roman" w:cs="Times New Roman"/>
          <w:i/>
          <w:iCs/>
          <w:color w:val="000000"/>
          <w:sz w:val="24"/>
          <w:szCs w:val="24"/>
        </w:rPr>
        <w:t>The Handmaid’s Tale</w:t>
      </w:r>
      <w:r w:rsidRPr="009703CC">
        <w:rPr>
          <w:rFonts w:ascii="Times New Roman" w:eastAsia="Calibri" w:hAnsi="Times New Roman" w:cs="Times New Roman"/>
          <w:color w:val="000000"/>
          <w:sz w:val="24"/>
          <w:szCs w:val="24"/>
        </w:rPr>
        <w:t xml:space="preserve"> published in 1985. In this novel, Atwood paints a radical picture of the future by employing many elements from our cultural past and present.</w:t>
      </w:r>
    </w:p>
    <w:p w14:paraId="42D504E7" w14:textId="77777777" w:rsidR="009703CC" w:rsidRPr="009703CC" w:rsidRDefault="009703CC" w:rsidP="009703CC">
      <w:pPr>
        <w:spacing w:line="360" w:lineRule="auto"/>
        <w:rPr>
          <w:rFonts w:ascii="Times New Roman" w:eastAsia="Calibri" w:hAnsi="Times New Roman" w:cs="Times New Roman"/>
          <w:color w:val="000000"/>
          <w:sz w:val="24"/>
          <w:szCs w:val="24"/>
        </w:rPr>
      </w:pPr>
      <w:r w:rsidRPr="009703CC">
        <w:rPr>
          <w:rFonts w:ascii="Times New Roman" w:eastAsia="Calibri" w:hAnsi="Times New Roman" w:cs="Times New Roman"/>
          <w:color w:val="000000"/>
          <w:sz w:val="24"/>
          <w:szCs w:val="24"/>
        </w:rPr>
        <w:t>In this article, we need to first ask ourselves whether it is reasonable to conduct an educated discussion about the status of women in the twenty-first century using a fictional work as a springboard for discussion. Usually such political questions are debated in forums dedicated to political or social thought and are not the province of scholars of belles-lettres</w:t>
      </w:r>
      <w:commentRangeStart w:id="1"/>
      <w:r w:rsidRPr="009703CC">
        <w:rPr>
          <w:rFonts w:ascii="Times New Roman" w:eastAsia="Calibri" w:hAnsi="Times New Roman" w:cs="Times New Roman"/>
          <w:color w:val="000000"/>
          <w:sz w:val="24"/>
          <w:szCs w:val="24"/>
        </w:rPr>
        <w:t>.</w:t>
      </w:r>
      <w:r w:rsidRPr="009703CC">
        <w:rPr>
          <w:rFonts w:ascii="Times New Roman" w:eastAsia="Calibri" w:hAnsi="Times New Roman" w:cs="Times New Roman"/>
          <w:color w:val="000000"/>
          <w:sz w:val="24"/>
          <w:szCs w:val="24"/>
          <w:vertAlign w:val="superscript"/>
        </w:rPr>
        <w:footnoteReference w:id="1"/>
      </w:r>
      <w:commentRangeEnd w:id="1"/>
      <w:r w:rsidRPr="009703CC">
        <w:rPr>
          <w:rFonts w:ascii="Calibri" w:eastAsia="Calibri" w:hAnsi="Calibri" w:cs="Arial"/>
          <w:sz w:val="16"/>
          <w:szCs w:val="16"/>
        </w:rPr>
        <w:commentReference w:id="1"/>
      </w:r>
      <w:r w:rsidRPr="009703CC">
        <w:rPr>
          <w:rFonts w:ascii="Times New Roman" w:eastAsia="Calibri" w:hAnsi="Times New Roman" w:cs="Times New Roman"/>
          <w:color w:val="000000"/>
          <w:sz w:val="24"/>
          <w:szCs w:val="24"/>
        </w:rPr>
        <w:t xml:space="preserve">  According to </w:t>
      </w:r>
      <w:proofErr w:type="spellStart"/>
      <w:r w:rsidRPr="009703CC">
        <w:rPr>
          <w:rFonts w:ascii="Times New Roman" w:eastAsia="Calibri" w:hAnsi="Times New Roman" w:cs="Times New Roman"/>
          <w:color w:val="000000"/>
          <w:sz w:val="24"/>
          <w:szCs w:val="24"/>
        </w:rPr>
        <w:t>Keren</w:t>
      </w:r>
      <w:proofErr w:type="spellEnd"/>
      <w:r w:rsidRPr="009703CC">
        <w:rPr>
          <w:rFonts w:ascii="Times New Roman" w:eastAsia="Calibri" w:hAnsi="Times New Roman" w:cs="Times New Roman"/>
          <w:color w:val="000000"/>
          <w:sz w:val="24"/>
          <w:szCs w:val="24"/>
        </w:rPr>
        <w:t>, belles-lettres should be seen as a stage in the development and distillation of political ideas that succeeds in rallying the masses or, at least, infusing them with a sense of values.</w:t>
      </w:r>
      <w:r w:rsidRPr="009703CC">
        <w:rPr>
          <w:rFonts w:ascii="Times New Roman" w:eastAsia="Calibri" w:hAnsi="Times New Roman" w:cs="Times New Roman"/>
          <w:color w:val="000000"/>
          <w:sz w:val="24"/>
          <w:szCs w:val="24"/>
          <w:vertAlign w:val="superscript"/>
        </w:rPr>
        <w:footnoteReference w:id="2"/>
      </w:r>
      <w:r w:rsidRPr="009703CC">
        <w:rPr>
          <w:rFonts w:ascii="Times New Roman" w:eastAsia="Calibri" w:hAnsi="Times New Roman" w:cs="Times New Roman"/>
          <w:color w:val="000000"/>
          <w:sz w:val="24"/>
          <w:szCs w:val="24"/>
        </w:rPr>
        <w:t xml:space="preserve"> As such, this literature deepens our engagement with contemporary issues even if it contradicts reality. </w:t>
      </w:r>
      <w:proofErr w:type="spellStart"/>
      <w:r w:rsidRPr="009703CC">
        <w:rPr>
          <w:rFonts w:ascii="Times New Roman" w:eastAsia="Calibri" w:hAnsi="Times New Roman" w:cs="Times New Roman"/>
          <w:color w:val="000000"/>
          <w:sz w:val="24"/>
          <w:szCs w:val="24"/>
        </w:rPr>
        <w:t>Keren</w:t>
      </w:r>
      <w:proofErr w:type="spellEnd"/>
      <w:r w:rsidRPr="009703CC">
        <w:rPr>
          <w:rFonts w:ascii="Times New Roman" w:eastAsia="Calibri" w:hAnsi="Times New Roman" w:cs="Times New Roman"/>
          <w:color w:val="000000"/>
          <w:sz w:val="24"/>
          <w:szCs w:val="24"/>
        </w:rPr>
        <w:t xml:space="preserve"> maintains that we must facilitate a productive dialogue between abstract theory and belles-lettres.</w:t>
      </w:r>
      <w:r w:rsidRPr="009703CC">
        <w:rPr>
          <w:rFonts w:ascii="Times New Roman" w:eastAsia="Calibri" w:hAnsi="Times New Roman" w:cs="Times New Roman"/>
          <w:color w:val="000000"/>
          <w:sz w:val="24"/>
          <w:szCs w:val="24"/>
          <w:vertAlign w:val="superscript"/>
        </w:rPr>
        <w:footnoteReference w:id="3"/>
      </w:r>
      <w:r w:rsidRPr="009703CC">
        <w:rPr>
          <w:rFonts w:ascii="Times New Roman" w:eastAsia="Calibri" w:hAnsi="Times New Roman" w:cs="Times New Roman"/>
          <w:color w:val="000000"/>
          <w:sz w:val="24"/>
          <w:szCs w:val="24"/>
        </w:rPr>
        <w:t xml:space="preserve"> Paul Dolan claims that it is not enough for politics to be understood through the eyes of political scientists, historians, and even philosophers. In his estimation, the novel provides us with its own special kind of knowledge—“the unconscious experience of politics as a human, moral, psychological, and aesthetic phenomenon.”</w:t>
      </w:r>
      <w:r w:rsidRPr="009703CC">
        <w:rPr>
          <w:rFonts w:ascii="Times New Roman" w:eastAsia="Calibri" w:hAnsi="Times New Roman" w:cs="Times New Roman"/>
          <w:color w:val="000000"/>
          <w:sz w:val="24"/>
          <w:szCs w:val="24"/>
          <w:vertAlign w:val="superscript"/>
        </w:rPr>
        <w:footnoteReference w:id="4"/>
      </w:r>
    </w:p>
    <w:p w14:paraId="0129F6C7" w14:textId="77777777" w:rsidR="009703CC" w:rsidRPr="009703CC" w:rsidRDefault="009703CC" w:rsidP="009703CC">
      <w:pPr>
        <w:spacing w:line="360" w:lineRule="auto"/>
        <w:rPr>
          <w:rFonts w:ascii="Times New Roman" w:eastAsia="Calibri" w:hAnsi="Times New Roman" w:cs="Times New Roman"/>
          <w:sz w:val="24"/>
          <w:szCs w:val="24"/>
        </w:rPr>
      </w:pPr>
      <w:proofErr w:type="spellStart"/>
      <w:r w:rsidRPr="009703CC">
        <w:rPr>
          <w:rFonts w:ascii="Times New Roman" w:eastAsia="Calibri" w:hAnsi="Times New Roman" w:cs="Times New Roman"/>
          <w:color w:val="000000"/>
          <w:sz w:val="24"/>
          <w:szCs w:val="24"/>
        </w:rPr>
        <w:t>Atwoood’s</w:t>
      </w:r>
      <w:proofErr w:type="spellEnd"/>
      <w:r w:rsidRPr="009703CC">
        <w:rPr>
          <w:rFonts w:ascii="Times New Roman" w:eastAsia="Calibri" w:hAnsi="Times New Roman" w:cs="Times New Roman"/>
          <w:color w:val="000000"/>
          <w:sz w:val="24"/>
          <w:szCs w:val="24"/>
        </w:rPr>
        <w:t xml:space="preserve"> dystopian novel, by taking matters to the extreme becomes a moral, cautionary tale, necessary because of humanity’s great propensity for acclimation:  </w:t>
      </w:r>
      <w:r w:rsidRPr="009703CC">
        <w:rPr>
          <w:rFonts w:ascii="Times New Roman" w:eastAsia="Calibri" w:hAnsi="Times New Roman" w:cs="Times New Roman"/>
          <w:sz w:val="24"/>
          <w:szCs w:val="24"/>
        </w:rPr>
        <w:t>“Truly amazing what people can get used to, as long as there are a few compensations.”</w:t>
      </w:r>
      <w:r w:rsidRPr="009703CC">
        <w:rPr>
          <w:rFonts w:ascii="Times New Roman" w:eastAsia="Calibri" w:hAnsi="Times New Roman" w:cs="Times New Roman"/>
          <w:sz w:val="24"/>
          <w:szCs w:val="24"/>
          <w:vertAlign w:val="superscript"/>
        </w:rPr>
        <w:footnoteReference w:id="5"/>
      </w:r>
      <w:r w:rsidRPr="009703CC">
        <w:rPr>
          <w:rFonts w:ascii="Times New Roman" w:eastAsia="Calibri" w:hAnsi="Times New Roman" w:cs="Times New Roman"/>
          <w:sz w:val="24"/>
          <w:szCs w:val="24"/>
        </w:rPr>
        <w:t xml:space="preserve"> The story takes place in the not-too-distant future, in which the radical, Christian Protestants foment a revolution and establish the Republic of Gilead, a theocratic, military dictatorship located on the edge of what was once the United States of America. “That's how they were able to do it, in the way they did, all at once, without anyone knowing beforehand … That was when they suspended the Constitution. They said it would be temporary. There wasn't even any rioting in the streets… The thing to do, they </w:t>
      </w:r>
      <w:r w:rsidRPr="009703CC">
        <w:rPr>
          <w:rFonts w:ascii="Times New Roman" w:eastAsia="Calibri" w:hAnsi="Times New Roman" w:cs="Times New Roman"/>
          <w:sz w:val="24"/>
          <w:szCs w:val="24"/>
        </w:rPr>
        <w:lastRenderedPageBreak/>
        <w:t>said, was to continue as usual.”</w:t>
      </w:r>
      <w:r w:rsidRPr="009703CC">
        <w:rPr>
          <w:rFonts w:ascii="Times New Roman" w:eastAsia="Calibri" w:hAnsi="Times New Roman" w:cs="Times New Roman"/>
          <w:sz w:val="24"/>
          <w:szCs w:val="24"/>
          <w:vertAlign w:val="superscript"/>
        </w:rPr>
        <w:footnoteReference w:id="6"/>
      </w:r>
      <w:r w:rsidRPr="009703CC">
        <w:rPr>
          <w:rFonts w:ascii="Times New Roman" w:eastAsia="Calibri" w:hAnsi="Times New Roman" w:cs="Times New Roman"/>
          <w:sz w:val="24"/>
          <w:szCs w:val="24"/>
        </w:rPr>
        <w:t xml:space="preserve"> In this society, people are separated based on status and gender, and they are required to dress in clothing signaling their function in society. During the chaos that had been created by the second American civil war, the revolutionaries took power and instituted a new world order based on the Old Testament and ultra-Conservative values. The women were returned to the ‘normal’ status that had been theirs since the dawn of time, as handmaids dedicated to child-bearing</w:t>
      </w:r>
      <w:r w:rsidRPr="009703CC">
        <w:rPr>
          <w:rFonts w:ascii="Times New Roman" w:eastAsia="Calibri" w:hAnsi="Times New Roman" w:cs="Times New Roman"/>
          <w:sz w:val="24"/>
          <w:szCs w:val="24"/>
          <w:rtl/>
        </w:rPr>
        <w:t>–</w:t>
      </w:r>
      <w:r w:rsidRPr="009703CC">
        <w:rPr>
          <w:rFonts w:ascii="Times New Roman" w:eastAsia="Calibri" w:hAnsi="Times New Roman" w:cs="Times New Roman"/>
          <w:sz w:val="24"/>
          <w:szCs w:val="24"/>
        </w:rPr>
        <w:t>“The Commander said… all we've done is return things to Nature's norm.”</w:t>
      </w:r>
      <w:r w:rsidRPr="009703CC">
        <w:rPr>
          <w:rFonts w:ascii="Times New Roman" w:eastAsia="Calibri" w:hAnsi="Times New Roman" w:cs="Times New Roman"/>
          <w:sz w:val="24"/>
          <w:szCs w:val="24"/>
          <w:vertAlign w:val="superscript"/>
        </w:rPr>
        <w:footnoteReference w:id="7"/>
      </w:r>
    </w:p>
    <w:p w14:paraId="41ECD023" w14:textId="77777777" w:rsidR="009703CC" w:rsidRPr="009703CC" w:rsidRDefault="009703CC" w:rsidP="009703CC">
      <w:pPr>
        <w:spacing w:line="360" w:lineRule="auto"/>
        <w:rPr>
          <w:rFonts w:ascii="Times New Roman" w:eastAsia="Calibri" w:hAnsi="Times New Roman" w:cs="Times New Roman"/>
          <w:sz w:val="24"/>
          <w:szCs w:val="24"/>
        </w:rPr>
      </w:pPr>
      <w:r w:rsidRPr="009703CC">
        <w:rPr>
          <w:rFonts w:ascii="Times New Roman" w:eastAsia="Calibri" w:hAnsi="Times New Roman" w:cs="Times New Roman"/>
          <w:sz w:val="24"/>
          <w:szCs w:val="24"/>
        </w:rPr>
        <w:t xml:space="preserve">The story is told from the point of view of an educated woman named </w:t>
      </w:r>
      <w:proofErr w:type="spellStart"/>
      <w:r w:rsidRPr="009703CC">
        <w:rPr>
          <w:rFonts w:ascii="Times New Roman" w:eastAsia="Calibri" w:hAnsi="Times New Roman" w:cs="Times New Roman"/>
          <w:sz w:val="24"/>
          <w:szCs w:val="24"/>
        </w:rPr>
        <w:t>Offred</w:t>
      </w:r>
      <w:proofErr w:type="spellEnd"/>
      <w:r w:rsidRPr="009703CC">
        <w:rPr>
          <w:rFonts w:ascii="Times New Roman" w:eastAsia="Calibri" w:hAnsi="Times New Roman" w:cs="Times New Roman"/>
          <w:sz w:val="24"/>
          <w:szCs w:val="24"/>
        </w:rPr>
        <w:t>, who finds herself wearing a wimple and occupying the new status of a handmaid, a woman who is a concubine, used for reproductive purposes by the men of the ruling class: “This way they're protected, they can fulfill their biological destinies in peace.”</w:t>
      </w:r>
      <w:r w:rsidRPr="009703CC">
        <w:rPr>
          <w:rFonts w:ascii="Times New Roman" w:eastAsia="Calibri" w:hAnsi="Times New Roman" w:cs="Times New Roman"/>
          <w:sz w:val="24"/>
          <w:szCs w:val="24"/>
          <w:vertAlign w:val="superscript"/>
        </w:rPr>
        <w:footnoteReference w:id="8"/>
      </w:r>
      <w:r w:rsidRPr="009703CC">
        <w:rPr>
          <w:rFonts w:ascii="Times New Roman" w:eastAsia="Calibri" w:hAnsi="Times New Roman" w:cs="Times New Roman"/>
          <w:sz w:val="24"/>
          <w:szCs w:val="24"/>
          <w:rtl/>
        </w:rPr>
        <w:t xml:space="preserve"> </w:t>
      </w:r>
      <w:r w:rsidRPr="009703CC">
        <w:rPr>
          <w:rFonts w:ascii="Times New Roman" w:eastAsia="Calibri" w:hAnsi="Times New Roman" w:cs="Times New Roman"/>
          <w:sz w:val="24"/>
          <w:szCs w:val="24"/>
        </w:rPr>
        <w:t xml:space="preserve">In her epilogue, the author explains why it is necessary to learn about women’s status from literary works and not just academic scholarship. She describes an academic symposium that took place after the fall of the </w:t>
      </w:r>
      <w:proofErr w:type="spellStart"/>
      <w:r w:rsidRPr="009703CC">
        <w:rPr>
          <w:rFonts w:ascii="Times New Roman" w:eastAsia="Calibri" w:hAnsi="Times New Roman" w:cs="Times New Roman"/>
          <w:sz w:val="24"/>
          <w:szCs w:val="24"/>
        </w:rPr>
        <w:t>Gileadite</w:t>
      </w:r>
      <w:proofErr w:type="spellEnd"/>
      <w:r w:rsidRPr="009703CC">
        <w:rPr>
          <w:rFonts w:ascii="Times New Roman" w:eastAsia="Calibri" w:hAnsi="Times New Roman" w:cs="Times New Roman"/>
          <w:sz w:val="24"/>
          <w:szCs w:val="24"/>
        </w:rPr>
        <w:t xml:space="preserve"> regime, in which Professor </w:t>
      </w:r>
      <w:proofErr w:type="spellStart"/>
      <w:r w:rsidRPr="009703CC">
        <w:rPr>
          <w:rFonts w:ascii="Times New Roman" w:eastAsia="Calibri" w:hAnsi="Times New Roman" w:cs="Times New Roman"/>
          <w:sz w:val="24"/>
          <w:szCs w:val="24"/>
        </w:rPr>
        <w:t>Pieixoto</w:t>
      </w:r>
      <w:proofErr w:type="spellEnd"/>
      <w:r w:rsidRPr="009703CC">
        <w:rPr>
          <w:rFonts w:ascii="Times New Roman" w:eastAsia="Calibri" w:hAnsi="Times New Roman" w:cs="Times New Roman"/>
          <w:sz w:val="24"/>
          <w:szCs w:val="24"/>
        </w:rPr>
        <w:t xml:space="preserve">—who along with his colleague Professor </w:t>
      </w:r>
      <w:proofErr w:type="spellStart"/>
      <w:r w:rsidRPr="009703CC">
        <w:rPr>
          <w:rFonts w:ascii="Times New Roman" w:eastAsia="Calibri" w:hAnsi="Times New Roman" w:cs="Times New Roman"/>
          <w:sz w:val="24"/>
          <w:szCs w:val="24"/>
        </w:rPr>
        <w:t>Knotly</w:t>
      </w:r>
      <w:proofErr w:type="spellEnd"/>
      <w:r w:rsidRPr="009703CC">
        <w:rPr>
          <w:rFonts w:ascii="Times New Roman" w:eastAsia="Calibri" w:hAnsi="Times New Roman" w:cs="Times New Roman"/>
          <w:sz w:val="24"/>
          <w:szCs w:val="24"/>
        </w:rPr>
        <w:t xml:space="preserve"> Wade, discovered </w:t>
      </w:r>
      <w:proofErr w:type="spellStart"/>
      <w:r w:rsidRPr="009703CC">
        <w:rPr>
          <w:rFonts w:ascii="Times New Roman" w:eastAsia="Calibri" w:hAnsi="Times New Roman" w:cs="Times New Roman"/>
          <w:sz w:val="24"/>
          <w:szCs w:val="24"/>
        </w:rPr>
        <w:t>Offred’s</w:t>
      </w:r>
      <w:proofErr w:type="spellEnd"/>
      <w:r w:rsidRPr="009703CC">
        <w:rPr>
          <w:rFonts w:ascii="Times New Roman" w:eastAsia="Calibri" w:hAnsi="Times New Roman" w:cs="Times New Roman"/>
          <w:sz w:val="24"/>
          <w:szCs w:val="24"/>
        </w:rPr>
        <w:t xml:space="preserve"> tapes in a sealed iron chest and transcribed them—speaks. The topic of the symposium was “Problems of Authentication in Reference to the Handmaid’s Tale.”</w:t>
      </w:r>
      <w:r w:rsidRPr="009703CC">
        <w:rPr>
          <w:rFonts w:ascii="Times New Roman" w:eastAsia="Calibri" w:hAnsi="Times New Roman" w:cs="Times New Roman"/>
          <w:sz w:val="24"/>
          <w:szCs w:val="24"/>
          <w:vertAlign w:val="superscript"/>
        </w:rPr>
        <w:footnoteReference w:id="9"/>
      </w:r>
      <w:r w:rsidRPr="009703CC">
        <w:rPr>
          <w:rFonts w:ascii="Times New Roman" w:eastAsia="Calibri" w:hAnsi="Times New Roman" w:cs="Times New Roman"/>
          <w:sz w:val="24"/>
          <w:szCs w:val="24"/>
        </w:rPr>
        <w:t xml:space="preserve"> The fact that Atwood chose to conclude the book with this academic symposium attests to her criticism of the academic world’s attitude to this subject. </w:t>
      </w:r>
    </w:p>
    <w:p w14:paraId="34F9B020" w14:textId="77777777" w:rsidR="009703CC" w:rsidRPr="009703CC" w:rsidRDefault="009703CC" w:rsidP="009703CC">
      <w:pPr>
        <w:spacing w:line="360" w:lineRule="auto"/>
        <w:rPr>
          <w:rFonts w:ascii="Times New Roman" w:eastAsia="Calibri" w:hAnsi="Times New Roman" w:cs="Times New Roman"/>
          <w:sz w:val="24"/>
          <w:szCs w:val="24"/>
        </w:rPr>
      </w:pPr>
      <w:r w:rsidRPr="009703CC">
        <w:rPr>
          <w:rFonts w:ascii="Times New Roman" w:eastAsia="Calibri" w:hAnsi="Times New Roman" w:cs="Times New Roman"/>
          <w:sz w:val="24"/>
          <w:szCs w:val="24"/>
        </w:rPr>
        <w:t xml:space="preserve">In his lecture, Professor </w:t>
      </w:r>
      <w:proofErr w:type="spellStart"/>
      <w:r w:rsidRPr="009703CC">
        <w:rPr>
          <w:rFonts w:ascii="Times New Roman" w:eastAsia="Calibri" w:hAnsi="Times New Roman" w:cs="Times New Roman"/>
          <w:sz w:val="24"/>
          <w:szCs w:val="24"/>
        </w:rPr>
        <w:t>Pieixoto</w:t>
      </w:r>
      <w:proofErr w:type="spellEnd"/>
      <w:r w:rsidRPr="009703CC">
        <w:rPr>
          <w:rFonts w:ascii="Times New Roman" w:eastAsia="Calibri" w:hAnsi="Times New Roman" w:cs="Times New Roman"/>
          <w:sz w:val="24"/>
          <w:szCs w:val="24"/>
        </w:rPr>
        <w:t xml:space="preserve"> tells the story in a manner entirely devoid of empathy, as he objectively—as it were—analyses the </w:t>
      </w:r>
      <w:proofErr w:type="spellStart"/>
      <w:r w:rsidRPr="009703CC">
        <w:rPr>
          <w:rFonts w:ascii="Times New Roman" w:eastAsia="Calibri" w:hAnsi="Times New Roman" w:cs="Times New Roman"/>
          <w:sz w:val="24"/>
          <w:szCs w:val="24"/>
        </w:rPr>
        <w:t>Gileadite</w:t>
      </w:r>
      <w:proofErr w:type="spellEnd"/>
      <w:r w:rsidRPr="009703CC">
        <w:rPr>
          <w:rFonts w:ascii="Times New Roman" w:eastAsia="Calibri" w:hAnsi="Times New Roman" w:cs="Times New Roman"/>
          <w:sz w:val="24"/>
          <w:szCs w:val="24"/>
        </w:rPr>
        <w:t xml:space="preserve"> Period. “In my opinion we must be cautious about passing moral </w:t>
      </w:r>
      <w:proofErr w:type="spellStart"/>
      <w:r w:rsidRPr="009703CC">
        <w:rPr>
          <w:rFonts w:ascii="Times New Roman" w:eastAsia="Calibri" w:hAnsi="Times New Roman" w:cs="Times New Roman"/>
          <w:sz w:val="24"/>
          <w:szCs w:val="24"/>
        </w:rPr>
        <w:t>judgement</w:t>
      </w:r>
      <w:proofErr w:type="spellEnd"/>
      <w:r w:rsidRPr="009703CC">
        <w:rPr>
          <w:rFonts w:ascii="Times New Roman" w:eastAsia="Calibri" w:hAnsi="Times New Roman" w:cs="Times New Roman"/>
          <w:sz w:val="24"/>
          <w:szCs w:val="24"/>
        </w:rPr>
        <w:t xml:space="preserve"> upon the </w:t>
      </w:r>
      <w:proofErr w:type="spellStart"/>
      <w:r w:rsidRPr="009703CC">
        <w:rPr>
          <w:rFonts w:ascii="Times New Roman" w:eastAsia="Calibri" w:hAnsi="Times New Roman" w:cs="Times New Roman"/>
          <w:sz w:val="24"/>
          <w:szCs w:val="24"/>
        </w:rPr>
        <w:t>Gileadeans</w:t>
      </w:r>
      <w:proofErr w:type="spellEnd"/>
      <w:r w:rsidRPr="009703CC">
        <w:rPr>
          <w:rFonts w:ascii="Times New Roman" w:eastAsia="Calibri" w:hAnsi="Times New Roman" w:cs="Times New Roman"/>
          <w:sz w:val="24"/>
          <w:szCs w:val="24"/>
        </w:rPr>
        <w:t xml:space="preserve">. Surely, we have learned by now that such judgments are of necessity culture-specific. Also, </w:t>
      </w:r>
      <w:proofErr w:type="spellStart"/>
      <w:r w:rsidRPr="009703CC">
        <w:rPr>
          <w:rFonts w:ascii="Times New Roman" w:eastAsia="Calibri" w:hAnsi="Times New Roman" w:cs="Times New Roman"/>
          <w:sz w:val="24"/>
          <w:szCs w:val="24"/>
        </w:rPr>
        <w:t>Gileadean</w:t>
      </w:r>
      <w:proofErr w:type="spellEnd"/>
      <w:r w:rsidRPr="009703CC">
        <w:rPr>
          <w:rFonts w:ascii="Times New Roman" w:eastAsia="Calibri" w:hAnsi="Times New Roman" w:cs="Times New Roman"/>
          <w:sz w:val="24"/>
          <w:szCs w:val="24"/>
        </w:rPr>
        <w:t xml:space="preserve"> society was under a good deal of pressure, demographic and otherwise, and was subject to factors from which we ourselves are happily </w:t>
      </w:r>
      <w:proofErr w:type="gramStart"/>
      <w:r w:rsidRPr="009703CC">
        <w:rPr>
          <w:rFonts w:ascii="Times New Roman" w:eastAsia="Calibri" w:hAnsi="Times New Roman" w:cs="Times New Roman"/>
          <w:sz w:val="24"/>
          <w:szCs w:val="24"/>
        </w:rPr>
        <w:t>more free</w:t>
      </w:r>
      <w:proofErr w:type="gramEnd"/>
      <w:r w:rsidRPr="009703CC">
        <w:rPr>
          <w:rFonts w:ascii="Times New Roman" w:eastAsia="Calibri" w:hAnsi="Times New Roman" w:cs="Times New Roman"/>
          <w:sz w:val="24"/>
          <w:szCs w:val="24"/>
        </w:rPr>
        <w:t>. Our job is not to censure but to understand. (Applause).”</w:t>
      </w:r>
      <w:r w:rsidRPr="009703CC">
        <w:rPr>
          <w:rFonts w:ascii="Times New Roman" w:eastAsia="Calibri" w:hAnsi="Times New Roman" w:cs="Times New Roman"/>
          <w:sz w:val="24"/>
          <w:szCs w:val="24"/>
          <w:vertAlign w:val="superscript"/>
        </w:rPr>
        <w:footnoteReference w:id="10"/>
      </w:r>
      <w:r w:rsidRPr="009703CC">
        <w:rPr>
          <w:rFonts w:ascii="Times New Roman" w:eastAsia="Calibri" w:hAnsi="Times New Roman" w:cs="Times New Roman"/>
          <w:sz w:val="24"/>
          <w:szCs w:val="24"/>
        </w:rPr>
        <w:t xml:space="preserve"> In her critique of the academic world</w:t>
      </w:r>
      <w:r w:rsidRPr="009703CC">
        <w:rPr>
          <w:rFonts w:ascii="Times New Roman" w:eastAsia="Calibri" w:hAnsi="Times New Roman" w:cs="Times New Roman" w:hint="cs"/>
          <w:sz w:val="24"/>
          <w:szCs w:val="24"/>
          <w:rtl/>
        </w:rPr>
        <w:t xml:space="preserve"> </w:t>
      </w:r>
      <w:r w:rsidRPr="009703CC">
        <w:rPr>
          <w:rFonts w:ascii="Times New Roman" w:eastAsia="Calibri" w:hAnsi="Times New Roman" w:cs="Times New Roman" w:hint="cs"/>
          <w:sz w:val="24"/>
          <w:szCs w:val="24"/>
        </w:rPr>
        <w:t>A</w:t>
      </w:r>
      <w:r w:rsidRPr="009703CC">
        <w:rPr>
          <w:rFonts w:ascii="Times New Roman" w:eastAsia="Calibri" w:hAnsi="Times New Roman" w:cs="Times New Roman"/>
          <w:sz w:val="24"/>
          <w:szCs w:val="24"/>
        </w:rPr>
        <w:t xml:space="preserve">twood describes the detachment, the remoteness, and even the hypocrisy, </w:t>
      </w:r>
      <w:r w:rsidRPr="009703CC">
        <w:rPr>
          <w:rFonts w:ascii="Times New Roman" w:eastAsia="Calibri" w:hAnsi="Times New Roman" w:cs="Times New Roman"/>
          <w:sz w:val="24"/>
          <w:szCs w:val="24"/>
        </w:rPr>
        <w:lastRenderedPageBreak/>
        <w:t xml:space="preserve">which, as </w:t>
      </w:r>
      <w:proofErr w:type="spellStart"/>
      <w:r w:rsidRPr="009703CC">
        <w:rPr>
          <w:rFonts w:ascii="Times New Roman" w:eastAsia="Calibri" w:hAnsi="Times New Roman" w:cs="Times New Roman"/>
          <w:sz w:val="24"/>
          <w:szCs w:val="24"/>
        </w:rPr>
        <w:t>Keren</w:t>
      </w:r>
      <w:proofErr w:type="spellEnd"/>
      <w:r w:rsidRPr="009703CC">
        <w:rPr>
          <w:rFonts w:ascii="Times New Roman" w:eastAsia="Calibri" w:hAnsi="Times New Roman" w:cs="Times New Roman"/>
          <w:sz w:val="24"/>
          <w:szCs w:val="24"/>
        </w:rPr>
        <w:t xml:space="preserve"> notes, characterizes those who deal with the problems of others and are certain that they will never find themselves in such a circumstance.</w:t>
      </w:r>
      <w:r w:rsidRPr="009703CC">
        <w:rPr>
          <w:rFonts w:ascii="Times New Roman" w:eastAsia="Calibri" w:hAnsi="Times New Roman" w:cs="Times New Roman"/>
          <w:sz w:val="24"/>
          <w:szCs w:val="24"/>
          <w:vertAlign w:val="superscript"/>
        </w:rPr>
        <w:footnoteReference w:id="11"/>
      </w:r>
    </w:p>
    <w:p w14:paraId="69E67FA8" w14:textId="77777777" w:rsidR="009703CC" w:rsidRPr="009703CC" w:rsidRDefault="009703CC" w:rsidP="009703CC">
      <w:pPr>
        <w:spacing w:line="360" w:lineRule="auto"/>
        <w:rPr>
          <w:rFonts w:ascii="Times New Roman" w:eastAsia="Calibri" w:hAnsi="Times New Roman" w:cs="Times New Roman"/>
          <w:sz w:val="24"/>
          <w:szCs w:val="24"/>
        </w:rPr>
      </w:pPr>
      <w:r w:rsidRPr="009703CC">
        <w:rPr>
          <w:rFonts w:ascii="Times New Roman" w:eastAsia="Calibri" w:hAnsi="Times New Roman" w:cs="Times New Roman"/>
          <w:sz w:val="24"/>
          <w:szCs w:val="24"/>
        </w:rPr>
        <w:t>The book addresses a slew of questions fundamental to Feminism: the relationships present between women, the reproductive role and the ability to procreate, sexuality, subjugation, violence against women and opposition to it, and a series of</w:t>
      </w:r>
      <w:r w:rsidRPr="009703CC">
        <w:rPr>
          <w:rFonts w:ascii="Times New Roman" w:eastAsia="Calibri" w:hAnsi="Times New Roman" w:cs="Times New Roman" w:hint="cs"/>
          <w:sz w:val="24"/>
          <w:szCs w:val="24"/>
          <w:rtl/>
        </w:rPr>
        <w:t xml:space="preserve"> </w:t>
      </w:r>
      <w:r w:rsidRPr="009703CC">
        <w:rPr>
          <w:rFonts w:ascii="Times New Roman" w:eastAsia="Calibri" w:hAnsi="Times New Roman" w:cs="Times New Roman"/>
          <w:sz w:val="24"/>
          <w:szCs w:val="24"/>
        </w:rPr>
        <w:t>forewarnings that we must heed</w:t>
      </w:r>
      <w:commentRangeStart w:id="2"/>
      <w:r w:rsidRPr="009703CC">
        <w:rPr>
          <w:rFonts w:ascii="Times New Roman" w:eastAsia="Calibri" w:hAnsi="Times New Roman" w:cs="Times New Roman"/>
          <w:sz w:val="24"/>
          <w:szCs w:val="24"/>
        </w:rPr>
        <w:t>.</w:t>
      </w:r>
      <w:r w:rsidRPr="009703CC">
        <w:rPr>
          <w:rFonts w:ascii="Times New Roman" w:eastAsia="Calibri" w:hAnsi="Times New Roman" w:cs="Times New Roman"/>
          <w:sz w:val="24"/>
          <w:szCs w:val="24"/>
          <w:vertAlign w:val="superscript"/>
        </w:rPr>
        <w:footnoteReference w:id="12"/>
      </w:r>
      <w:commentRangeEnd w:id="2"/>
      <w:r w:rsidRPr="009703CC">
        <w:rPr>
          <w:rFonts w:ascii="Calibri" w:eastAsia="Calibri" w:hAnsi="Calibri" w:cs="Arial"/>
          <w:sz w:val="16"/>
          <w:szCs w:val="16"/>
        </w:rPr>
        <w:commentReference w:id="2"/>
      </w:r>
      <w:r w:rsidRPr="009703CC">
        <w:rPr>
          <w:rFonts w:ascii="Times New Roman" w:eastAsia="Calibri" w:hAnsi="Times New Roman" w:cs="Times New Roman"/>
          <w:sz w:val="24"/>
          <w:szCs w:val="24"/>
        </w:rPr>
        <w:t xml:space="preserve"> Atwood calls upon all of us not to ignore the harsh decrees, the violence and the discrimination against women: “We lived, as usual, by ignoring… Nothing changes instantaneously: in a gradually heating bathtub you'd be boiled to death before you knew it. There were stories in the newspapers of course … but they were about other women, and the men who did such things were other men.  None of them were the men we knew… We were the people who were not in the papers. We lived in the blank white spaces at the edges of print.”</w:t>
      </w:r>
      <w:r w:rsidRPr="009703CC">
        <w:rPr>
          <w:rFonts w:ascii="Times New Roman" w:eastAsia="Calibri" w:hAnsi="Times New Roman" w:cs="Times New Roman"/>
          <w:sz w:val="24"/>
          <w:szCs w:val="24"/>
          <w:vertAlign w:val="superscript"/>
        </w:rPr>
        <w:footnoteReference w:id="13"/>
      </w:r>
      <w:r w:rsidRPr="009703CC">
        <w:rPr>
          <w:rFonts w:ascii="Times New Roman" w:eastAsia="Calibri" w:hAnsi="Times New Roman" w:cs="Times New Roman"/>
          <w:sz w:val="24"/>
          <w:szCs w:val="24"/>
        </w:rPr>
        <w:t xml:space="preserve">  </w:t>
      </w:r>
    </w:p>
    <w:p w14:paraId="4ABC4D89" w14:textId="77777777" w:rsidR="009703CC" w:rsidRPr="009703CC" w:rsidRDefault="009703CC" w:rsidP="009703CC">
      <w:pPr>
        <w:spacing w:line="360" w:lineRule="auto"/>
        <w:rPr>
          <w:rFonts w:ascii="Times New Roman" w:eastAsia="Calibri" w:hAnsi="Times New Roman" w:cs="Times New Roman"/>
          <w:color w:val="000000"/>
          <w:sz w:val="24"/>
          <w:szCs w:val="24"/>
        </w:rPr>
      </w:pPr>
      <w:r w:rsidRPr="009703CC">
        <w:rPr>
          <w:rFonts w:ascii="Times New Roman" w:eastAsia="Calibri" w:hAnsi="Times New Roman" w:cs="Times New Roman"/>
          <w:sz w:val="24"/>
          <w:szCs w:val="24"/>
        </w:rPr>
        <w:t>The connection to the biblical narratives in this work is</w:t>
      </w:r>
      <w:r w:rsidRPr="009703CC">
        <w:rPr>
          <w:rFonts w:ascii="Times New Roman" w:eastAsia="Calibri" w:hAnsi="Times New Roman" w:cs="Times New Roman" w:hint="cs"/>
          <w:sz w:val="24"/>
          <w:szCs w:val="24"/>
          <w:rtl/>
        </w:rPr>
        <w:t xml:space="preserve"> </w:t>
      </w:r>
      <w:r w:rsidRPr="009703CC">
        <w:rPr>
          <w:rFonts w:ascii="Times New Roman" w:eastAsia="Calibri" w:hAnsi="Times New Roman" w:cs="Times New Roman"/>
          <w:sz w:val="24"/>
          <w:szCs w:val="24"/>
        </w:rPr>
        <w:t xml:space="preserve">neither concealed nor hidden. Throughout the novel, Atwood </w:t>
      </w:r>
      <w:r w:rsidRPr="009703CC">
        <w:rPr>
          <w:rFonts w:ascii="Times New Roman" w:eastAsia="Calibri" w:hAnsi="Times New Roman" w:cs="Times New Roman"/>
          <w:color w:val="000000"/>
          <w:sz w:val="24"/>
          <w:szCs w:val="24"/>
        </w:rPr>
        <w:t>weaves many biblical concepts, names, and motifs relating to the status of women into the novel, with a particular focus on the concept of the handmaid whose sole function is child-bearing. The author returns from the fictional future to the biblical past from which, among other components, Western culture developed and reminds us that this past has not vanished entirely. It remains present in the deep structure of the culture.</w:t>
      </w:r>
      <w:r w:rsidRPr="009703CC">
        <w:rPr>
          <w:rFonts w:ascii="Times New Roman" w:eastAsia="Calibri" w:hAnsi="Times New Roman" w:cs="Times New Roman"/>
          <w:color w:val="000000"/>
          <w:sz w:val="24"/>
          <w:szCs w:val="24"/>
          <w:vertAlign w:val="superscript"/>
        </w:rPr>
        <w:footnoteReference w:id="14"/>
      </w:r>
      <w:r w:rsidRPr="009703CC">
        <w:rPr>
          <w:rFonts w:ascii="Times New Roman" w:eastAsia="Calibri" w:hAnsi="Times New Roman" w:cs="Times New Roman"/>
          <w:color w:val="000000"/>
          <w:sz w:val="24"/>
          <w:szCs w:val="24"/>
        </w:rPr>
        <w:t xml:space="preserve"> In this article, I will take a deep dive into the biblical past that functions as the background to this story, always keeping in mind the critical understanding that arises from the interweaving of these motifs. </w:t>
      </w:r>
    </w:p>
    <w:p w14:paraId="34F76420" w14:textId="77777777" w:rsidR="009703CC" w:rsidRPr="009703CC" w:rsidRDefault="009703CC" w:rsidP="009703CC">
      <w:pPr>
        <w:spacing w:line="360" w:lineRule="auto"/>
        <w:rPr>
          <w:rFonts w:ascii="Times New Roman" w:eastAsia="Calibri" w:hAnsi="Times New Roman" w:cs="Times New Roman"/>
          <w:color w:val="000000"/>
          <w:sz w:val="24"/>
          <w:szCs w:val="24"/>
        </w:rPr>
      </w:pPr>
      <w:r w:rsidRPr="009703CC">
        <w:rPr>
          <w:rFonts w:ascii="Times New Roman" w:eastAsia="Calibri" w:hAnsi="Times New Roman" w:cs="Times New Roman"/>
          <w:color w:val="000000"/>
          <w:sz w:val="24"/>
          <w:szCs w:val="24"/>
        </w:rPr>
        <w:t xml:space="preserve">When we discuss the status of women in the Bible we do need to be careful not to generalize because the biblical narrative contains a panoply of diverse voices on the subject. When we read the Bible we discover two parallel tracks, one, patriarchal social structures in the children of Israel’s families, and two a group of female leaders and leading women in ancient Israelite society. In general, we find a small number but a diverse group of women in biblical literature: seductresses (Eve), handmaids (Hagar, </w:t>
      </w:r>
      <w:proofErr w:type="spellStart"/>
      <w:r w:rsidRPr="009703CC">
        <w:rPr>
          <w:rFonts w:ascii="Times New Roman" w:eastAsia="Calibri" w:hAnsi="Times New Roman" w:cs="Times New Roman"/>
          <w:color w:val="000000"/>
          <w:sz w:val="24"/>
          <w:szCs w:val="24"/>
        </w:rPr>
        <w:t>Bilhah</w:t>
      </w:r>
      <w:proofErr w:type="spellEnd"/>
      <w:r w:rsidRPr="009703CC">
        <w:rPr>
          <w:rFonts w:ascii="Times New Roman" w:eastAsia="Calibri" w:hAnsi="Times New Roman" w:cs="Times New Roman"/>
          <w:color w:val="000000"/>
          <w:sz w:val="24"/>
          <w:szCs w:val="24"/>
        </w:rPr>
        <w:t xml:space="preserve">, </w:t>
      </w:r>
      <w:proofErr w:type="spellStart"/>
      <w:r w:rsidRPr="009703CC">
        <w:rPr>
          <w:rFonts w:ascii="Times New Roman" w:eastAsia="Calibri" w:hAnsi="Times New Roman" w:cs="Times New Roman"/>
          <w:color w:val="000000"/>
          <w:sz w:val="24"/>
          <w:szCs w:val="24"/>
        </w:rPr>
        <w:t>Zilpah</w:t>
      </w:r>
      <w:proofErr w:type="spellEnd"/>
      <w:r w:rsidRPr="009703CC">
        <w:rPr>
          <w:rFonts w:ascii="Times New Roman" w:eastAsia="Calibri" w:hAnsi="Times New Roman" w:cs="Times New Roman"/>
          <w:color w:val="000000"/>
          <w:sz w:val="24"/>
          <w:szCs w:val="24"/>
        </w:rPr>
        <w:t xml:space="preserve">), betrayers (Delilah), the homicidal Jezebel, and alongside them prophetesses (Miriam, </w:t>
      </w:r>
      <w:proofErr w:type="spellStart"/>
      <w:r w:rsidRPr="009703CC">
        <w:rPr>
          <w:rFonts w:ascii="Times New Roman" w:eastAsia="Calibri" w:hAnsi="Times New Roman" w:cs="Times New Roman"/>
          <w:color w:val="000000"/>
          <w:sz w:val="24"/>
          <w:szCs w:val="24"/>
        </w:rPr>
        <w:t>Huldah</w:t>
      </w:r>
      <w:proofErr w:type="spellEnd"/>
      <w:r w:rsidRPr="009703CC">
        <w:rPr>
          <w:rFonts w:ascii="Times New Roman" w:eastAsia="Calibri" w:hAnsi="Times New Roman" w:cs="Times New Roman"/>
          <w:color w:val="000000"/>
          <w:sz w:val="24"/>
          <w:szCs w:val="24"/>
        </w:rPr>
        <w:t xml:space="preserve">) and women who filled significant </w:t>
      </w:r>
      <w:r w:rsidRPr="009703CC">
        <w:rPr>
          <w:rFonts w:ascii="Times New Roman" w:eastAsia="Calibri" w:hAnsi="Times New Roman" w:cs="Times New Roman"/>
          <w:color w:val="000000"/>
          <w:sz w:val="24"/>
          <w:szCs w:val="24"/>
        </w:rPr>
        <w:lastRenderedPageBreak/>
        <w:t>societal and public roles and served as symbols of might, wisdom, and courage (</w:t>
      </w:r>
      <w:proofErr w:type="spellStart"/>
      <w:r w:rsidRPr="009703CC">
        <w:rPr>
          <w:rFonts w:ascii="Times New Roman" w:eastAsia="Calibri" w:hAnsi="Times New Roman" w:cs="Times New Roman"/>
          <w:color w:val="000000"/>
          <w:sz w:val="24"/>
          <w:szCs w:val="24"/>
        </w:rPr>
        <w:t>Shifrah</w:t>
      </w:r>
      <w:proofErr w:type="spellEnd"/>
      <w:r w:rsidRPr="009703CC">
        <w:rPr>
          <w:rFonts w:ascii="Times New Roman" w:eastAsia="Calibri" w:hAnsi="Times New Roman" w:cs="Times New Roman"/>
          <w:color w:val="000000"/>
          <w:sz w:val="24"/>
          <w:szCs w:val="24"/>
        </w:rPr>
        <w:t xml:space="preserve"> and </w:t>
      </w:r>
      <w:proofErr w:type="spellStart"/>
      <w:r w:rsidRPr="009703CC">
        <w:rPr>
          <w:rFonts w:ascii="Times New Roman" w:eastAsia="Calibri" w:hAnsi="Times New Roman" w:cs="Times New Roman"/>
          <w:color w:val="000000"/>
          <w:sz w:val="24"/>
          <w:szCs w:val="24"/>
        </w:rPr>
        <w:t>Pu’ah</w:t>
      </w:r>
      <w:proofErr w:type="spellEnd"/>
      <w:r w:rsidRPr="009703CC">
        <w:rPr>
          <w:rFonts w:ascii="Times New Roman" w:eastAsia="Calibri" w:hAnsi="Times New Roman" w:cs="Times New Roman"/>
          <w:color w:val="000000"/>
          <w:sz w:val="24"/>
          <w:szCs w:val="24"/>
        </w:rPr>
        <w:t>, Deborah and Yael, Ruth and Naomi, and more).</w:t>
      </w:r>
      <w:r w:rsidRPr="009703CC">
        <w:rPr>
          <w:rFonts w:ascii="Times New Roman" w:eastAsia="Calibri" w:hAnsi="Times New Roman" w:cs="Times New Roman"/>
          <w:color w:val="000000"/>
          <w:sz w:val="24"/>
          <w:szCs w:val="24"/>
          <w:vertAlign w:val="superscript"/>
        </w:rPr>
        <w:footnoteReference w:id="15"/>
      </w:r>
    </w:p>
    <w:p w14:paraId="11C8F3EC" w14:textId="2A25691E" w:rsidR="009703CC" w:rsidRPr="009703CC" w:rsidRDefault="009703CC" w:rsidP="00355543">
      <w:pPr>
        <w:spacing w:line="360" w:lineRule="auto"/>
        <w:rPr>
          <w:rFonts w:ascii="Times New Roman" w:eastAsia="Calibri" w:hAnsi="Times New Roman" w:cs="Times New Roman" w:hint="cs"/>
          <w:sz w:val="24"/>
          <w:szCs w:val="24"/>
          <w:rtl/>
        </w:rPr>
      </w:pPr>
      <w:r w:rsidRPr="009703CC">
        <w:rPr>
          <w:rFonts w:ascii="Times New Roman" w:eastAsia="Calibri" w:hAnsi="Times New Roman" w:cs="Times New Roman"/>
          <w:color w:val="000000"/>
          <w:sz w:val="24"/>
          <w:szCs w:val="24"/>
        </w:rPr>
        <w:t xml:space="preserve">Even after they have been secularized and are no longer connected to the religious world they came from, deep structures remain in a culture. When certain concepts appear frequently in canonical literature, such as the Bible, and last for a longtime, they attest to psychological, societal, and cultural structures through which individuals and groups of individuals </w:t>
      </w:r>
      <w:commentRangeStart w:id="3"/>
      <w:r w:rsidRPr="009703CC">
        <w:rPr>
          <w:rFonts w:ascii="Times New Roman" w:eastAsia="Calibri" w:hAnsi="Times New Roman" w:cs="Times New Roman"/>
          <w:color w:val="000000"/>
          <w:sz w:val="24"/>
          <w:szCs w:val="24"/>
        </w:rPr>
        <w:t>filter</w:t>
      </w:r>
      <w:commentRangeEnd w:id="3"/>
      <w:r w:rsidRPr="009703CC">
        <w:rPr>
          <w:rFonts w:ascii="Calibri" w:eastAsia="Calibri" w:hAnsi="Calibri" w:cs="Arial"/>
          <w:sz w:val="16"/>
          <w:szCs w:val="16"/>
        </w:rPr>
        <w:commentReference w:id="3"/>
      </w:r>
      <w:r w:rsidRPr="009703CC">
        <w:rPr>
          <w:rFonts w:ascii="Times New Roman" w:eastAsia="Calibri" w:hAnsi="Times New Roman" w:cs="Times New Roman"/>
          <w:color w:val="000000"/>
          <w:sz w:val="24"/>
          <w:szCs w:val="24"/>
        </w:rPr>
        <w:t xml:space="preserve"> their behavior.</w:t>
      </w:r>
      <w:r w:rsidRPr="009703CC">
        <w:rPr>
          <w:rFonts w:ascii="Times New Roman" w:eastAsia="Calibri" w:hAnsi="Times New Roman" w:cs="Times New Roman"/>
          <w:color w:val="000000"/>
          <w:sz w:val="24"/>
          <w:szCs w:val="24"/>
          <w:vertAlign w:val="superscript"/>
        </w:rPr>
        <w:footnoteReference w:id="16"/>
      </w:r>
      <w:r w:rsidRPr="009703CC">
        <w:rPr>
          <w:rFonts w:ascii="Times New Roman" w:eastAsia="Calibri" w:hAnsi="Times New Roman" w:cs="Times New Roman"/>
          <w:color w:val="000000"/>
          <w:sz w:val="24"/>
          <w:szCs w:val="24"/>
        </w:rPr>
        <w:t xml:space="preserve"> Atwood calls upon us to return to the biblical roots of our Western culture in order to examine the very bedrock out of which this culture grew. Engaging in such contemplation, will enable us to take a fresh look at our ideological positions and take responsibility for them.</w:t>
      </w:r>
      <w:r w:rsidRPr="009703CC">
        <w:rPr>
          <w:rFonts w:ascii="Times New Roman" w:eastAsia="Calibri" w:hAnsi="Times New Roman" w:cs="Times New Roman"/>
          <w:color w:val="000000"/>
          <w:sz w:val="24"/>
          <w:szCs w:val="24"/>
          <w:vertAlign w:val="superscript"/>
        </w:rPr>
        <w:footnoteReference w:id="17"/>
      </w:r>
      <w:r w:rsidRPr="009703CC">
        <w:rPr>
          <w:rFonts w:ascii="Times New Roman" w:eastAsia="Calibri" w:hAnsi="Times New Roman" w:cs="Times New Roman"/>
          <w:color w:val="000000"/>
          <w:sz w:val="24"/>
          <w:szCs w:val="24"/>
        </w:rPr>
        <w:t xml:space="preserve"> As Jung has argued, when a weltanschauung is deeply rooted in religious experience, it has an innate ability to </w:t>
      </w:r>
      <w:r w:rsidR="00355543">
        <w:rPr>
          <w:rFonts w:ascii="Times New Roman" w:eastAsia="Calibri" w:hAnsi="Times New Roman" w:cs="Times New Roman"/>
          <w:color w:val="000000"/>
          <w:sz w:val="24"/>
          <w:szCs w:val="24"/>
        </w:rPr>
        <w:t>maintain</w:t>
      </w:r>
      <w:bookmarkStart w:id="4" w:name="_GoBack"/>
      <w:bookmarkEnd w:id="4"/>
      <w:r w:rsidRPr="009703CC">
        <w:rPr>
          <w:rFonts w:ascii="Times New Roman" w:eastAsia="Calibri" w:hAnsi="Times New Roman" w:cs="Times New Roman"/>
          <w:color w:val="000000"/>
          <w:sz w:val="24"/>
          <w:szCs w:val="24"/>
        </w:rPr>
        <w:t xml:space="preserve"> itself within the secular experience.</w:t>
      </w:r>
      <w:r w:rsidR="00355543" w:rsidRPr="00355543">
        <w:rPr>
          <w:rFonts w:ascii="Times New Roman" w:eastAsia="Calibri" w:hAnsi="Times New Roman" w:cs="Times New Roman"/>
          <w:color w:val="000000"/>
          <w:sz w:val="24"/>
          <w:szCs w:val="24"/>
          <w:vertAlign w:val="superscript"/>
        </w:rPr>
        <w:t xml:space="preserve"> </w:t>
      </w:r>
      <w:r w:rsidR="00355543" w:rsidRPr="009703CC">
        <w:rPr>
          <w:rFonts w:ascii="Times New Roman" w:eastAsia="Calibri" w:hAnsi="Times New Roman" w:cs="Times New Roman"/>
          <w:color w:val="000000"/>
          <w:sz w:val="24"/>
          <w:szCs w:val="24"/>
          <w:vertAlign w:val="superscript"/>
        </w:rPr>
        <w:footnoteReference w:id="18"/>
      </w:r>
    </w:p>
    <w:p w14:paraId="65426578" w14:textId="77777777" w:rsidR="00096393" w:rsidRDefault="00096393"/>
    <w:sectPr w:rsidR="0009639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5-17T00:46:00Z" w:initials="Ma">
    <w:p w14:paraId="48410C1B" w14:textId="77777777" w:rsidR="009703CC" w:rsidRDefault="009703CC" w:rsidP="009703CC">
      <w:pPr>
        <w:pStyle w:val="CommentText1"/>
      </w:pPr>
      <w:r>
        <w:rPr>
          <w:rStyle w:val="CommentReference"/>
        </w:rPr>
        <w:annotationRef/>
      </w:r>
      <w:r>
        <w:t>Perhaps, highbrow literature.</w:t>
      </w:r>
    </w:p>
  </w:comment>
  <w:comment w:id="1" w:author="Microsoft account" w:date="2023-05-17T00:48:00Z" w:initials="Ma">
    <w:p w14:paraId="027A562F" w14:textId="77777777" w:rsidR="009703CC" w:rsidRDefault="009703CC" w:rsidP="009703CC">
      <w:pPr>
        <w:pStyle w:val="CommentText1"/>
        <w:rPr>
          <w:rFonts w:hint="cs"/>
          <w:rtl/>
        </w:rPr>
      </w:pPr>
      <w:r>
        <w:rPr>
          <w:rStyle w:val="CommentReference"/>
        </w:rPr>
        <w:annotationRef/>
      </w:r>
      <w:r>
        <w:rPr>
          <w:rFonts w:hint="cs"/>
          <w:rtl/>
        </w:rPr>
        <w:t>האם יש לך עותק של הטקסט של  קרן באנגלית?</w:t>
      </w:r>
      <w:r>
        <w:t xml:space="preserve"> </w:t>
      </w:r>
      <w:r>
        <w:rPr>
          <w:rFonts w:hint="cs"/>
          <w:rtl/>
        </w:rPr>
        <w:t xml:space="preserve"> זה יעזור לי לדייק.</w:t>
      </w:r>
    </w:p>
    <w:p w14:paraId="2A48EB8B" w14:textId="77777777" w:rsidR="009703CC" w:rsidRDefault="009703CC" w:rsidP="009703CC">
      <w:pPr>
        <w:pStyle w:val="CommentText1"/>
      </w:pPr>
    </w:p>
  </w:comment>
  <w:comment w:id="2" w:author="Microsoft account" w:date="2023-05-17T00:49:00Z" w:initials="Ma">
    <w:p w14:paraId="4A80FC41" w14:textId="77777777" w:rsidR="009703CC" w:rsidRDefault="009703CC" w:rsidP="009703CC">
      <w:pPr>
        <w:pStyle w:val="CommentText1"/>
        <w:rPr>
          <w:rFonts w:hint="cs"/>
          <w:rtl/>
        </w:rPr>
      </w:pPr>
      <w:r>
        <w:rPr>
          <w:rStyle w:val="CommentReference"/>
        </w:rPr>
        <w:annotationRef/>
      </w:r>
      <w:r>
        <w:rPr>
          <w:rFonts w:hint="cs"/>
          <w:rtl/>
        </w:rPr>
        <w:t xml:space="preserve">האם </w:t>
      </w:r>
      <w:r>
        <w:rPr>
          <w:rFonts w:hint="cs"/>
          <w:rtl/>
        </w:rPr>
        <w:t>יש לך עותק של הטקסט של וולימסון  באנגלית?</w:t>
      </w:r>
      <w:r>
        <w:t xml:space="preserve"> </w:t>
      </w:r>
      <w:r>
        <w:rPr>
          <w:rFonts w:hint="cs"/>
          <w:rtl/>
        </w:rPr>
        <w:t xml:space="preserve"> זה יעזור לי לדייק.</w:t>
      </w:r>
    </w:p>
    <w:p w14:paraId="515A2267" w14:textId="77777777" w:rsidR="009703CC" w:rsidRDefault="009703CC" w:rsidP="009703CC">
      <w:pPr>
        <w:pStyle w:val="CommentText1"/>
      </w:pPr>
    </w:p>
  </w:comment>
  <w:comment w:id="3" w:author="Microsoft account" w:date="2023-05-17T00:27:00Z" w:initials="Ma">
    <w:p w14:paraId="09E6ACA0" w14:textId="77777777" w:rsidR="009703CC" w:rsidRDefault="009703CC" w:rsidP="009703CC">
      <w:pPr>
        <w:pStyle w:val="CommentText1"/>
        <w:rPr>
          <w:rFonts w:hint="cs"/>
          <w:rtl/>
        </w:rPr>
      </w:pPr>
      <w:r>
        <w:rPr>
          <w:rStyle w:val="CommentReference"/>
        </w:rPr>
        <w:annotationRef/>
      </w:r>
      <w:r>
        <w:rPr>
          <w:rFonts w:hint="cs"/>
          <w:rtl/>
        </w:rPr>
        <w:t xml:space="preserve">בעברית: </w:t>
      </w:r>
      <w:r>
        <w:rPr>
          <w:rFonts w:hint="cs"/>
          <w:rtl/>
        </w:rPr>
        <w:t>מכוון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410C1B" w15:done="0"/>
  <w15:commentEx w15:paraId="2A48EB8B" w15:done="0"/>
  <w15:commentEx w15:paraId="515A2267" w15:done="0"/>
  <w15:commentEx w15:paraId="09E6AC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A2413" w14:textId="77777777" w:rsidR="00105055" w:rsidRDefault="00105055" w:rsidP="009703CC">
      <w:pPr>
        <w:spacing w:after="0" w:line="240" w:lineRule="auto"/>
      </w:pPr>
      <w:r>
        <w:separator/>
      </w:r>
    </w:p>
  </w:endnote>
  <w:endnote w:type="continuationSeparator" w:id="0">
    <w:p w14:paraId="7529E28A" w14:textId="77777777" w:rsidR="00105055" w:rsidRDefault="00105055" w:rsidP="0097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DB72B" w14:textId="77777777" w:rsidR="00105055" w:rsidRDefault="00105055" w:rsidP="009703CC">
      <w:pPr>
        <w:spacing w:after="0" w:line="240" w:lineRule="auto"/>
      </w:pPr>
      <w:r>
        <w:separator/>
      </w:r>
    </w:p>
  </w:footnote>
  <w:footnote w:type="continuationSeparator" w:id="0">
    <w:p w14:paraId="13DF9AF9" w14:textId="77777777" w:rsidR="00105055" w:rsidRDefault="00105055" w:rsidP="009703CC">
      <w:pPr>
        <w:spacing w:after="0" w:line="240" w:lineRule="auto"/>
      </w:pPr>
      <w:r>
        <w:continuationSeparator/>
      </w:r>
    </w:p>
  </w:footnote>
  <w:footnote w:id="1">
    <w:p w14:paraId="3917B55C" w14:textId="77777777" w:rsidR="009703CC" w:rsidRPr="00680548" w:rsidRDefault="009703CC" w:rsidP="009703CC">
      <w:pPr>
        <w:pStyle w:val="FootnoteText"/>
        <w:bidi w:val="0"/>
        <w:jc w:val="both"/>
        <w:rPr>
          <w:sz w:val="24"/>
          <w:szCs w:val="24"/>
        </w:rPr>
      </w:pPr>
      <w:r w:rsidRPr="00680548">
        <w:rPr>
          <w:rStyle w:val="FootnoteReference"/>
          <w:sz w:val="24"/>
          <w:szCs w:val="24"/>
        </w:rPr>
        <w:footnoteRef/>
      </w:r>
      <w:r w:rsidRPr="00680548">
        <w:rPr>
          <w:sz w:val="24"/>
          <w:szCs w:val="24"/>
          <w:rtl/>
        </w:rPr>
        <w:t xml:space="preserve"> </w:t>
      </w:r>
      <w:r w:rsidRPr="00680548">
        <w:rPr>
          <w:sz w:val="24"/>
          <w:szCs w:val="24"/>
        </w:rPr>
        <w:t xml:space="preserve"> </w:t>
      </w:r>
      <w:proofErr w:type="spellStart"/>
      <w:r w:rsidRPr="00680548">
        <w:rPr>
          <w:sz w:val="24"/>
          <w:szCs w:val="24"/>
        </w:rPr>
        <w:t>Keren</w:t>
      </w:r>
      <w:proofErr w:type="spellEnd"/>
      <w:r w:rsidRPr="00680548">
        <w:rPr>
          <w:sz w:val="24"/>
          <w:szCs w:val="24"/>
        </w:rPr>
        <w:t xml:space="preserve"> 1999, 11.</w:t>
      </w:r>
    </w:p>
  </w:footnote>
  <w:footnote w:id="2">
    <w:p w14:paraId="5D956383" w14:textId="33E32001" w:rsidR="009703CC" w:rsidRPr="00680548" w:rsidRDefault="009703CC" w:rsidP="00CF711E">
      <w:pPr>
        <w:pStyle w:val="FootnoteText"/>
        <w:bidi w:val="0"/>
        <w:jc w:val="both"/>
        <w:rPr>
          <w:sz w:val="24"/>
          <w:szCs w:val="24"/>
        </w:rPr>
      </w:pPr>
      <w:r w:rsidRPr="00680548">
        <w:rPr>
          <w:rStyle w:val="FootnoteReference"/>
          <w:sz w:val="24"/>
          <w:szCs w:val="24"/>
        </w:rPr>
        <w:footnoteRef/>
      </w:r>
      <w:r w:rsidRPr="00680548">
        <w:rPr>
          <w:sz w:val="24"/>
          <w:szCs w:val="24"/>
          <w:rtl/>
        </w:rPr>
        <w:t xml:space="preserve"> </w:t>
      </w:r>
      <w:r w:rsidRPr="00680548">
        <w:rPr>
          <w:sz w:val="24"/>
          <w:szCs w:val="24"/>
        </w:rPr>
        <w:t xml:space="preserve"> </w:t>
      </w:r>
      <w:proofErr w:type="spellStart"/>
      <w:r w:rsidRPr="009703CC">
        <w:rPr>
          <w:color w:val="000000"/>
          <w:sz w:val="24"/>
          <w:szCs w:val="24"/>
        </w:rPr>
        <w:t>Keren</w:t>
      </w:r>
      <w:proofErr w:type="spellEnd"/>
      <w:r w:rsidRPr="009703CC">
        <w:rPr>
          <w:color w:val="000000"/>
          <w:sz w:val="24"/>
          <w:szCs w:val="24"/>
        </w:rPr>
        <w:t>, 2015, 7</w:t>
      </w:r>
      <w:r w:rsidR="00CF711E">
        <w:rPr>
          <w:color w:val="000000"/>
          <w:sz w:val="24"/>
          <w:szCs w:val="24"/>
        </w:rPr>
        <w:t>–</w:t>
      </w:r>
      <w:r w:rsidRPr="009703CC">
        <w:rPr>
          <w:color w:val="000000"/>
          <w:sz w:val="24"/>
          <w:szCs w:val="24"/>
        </w:rPr>
        <w:t>16.</w:t>
      </w:r>
    </w:p>
  </w:footnote>
  <w:footnote w:id="3">
    <w:p w14:paraId="4717714E" w14:textId="77777777" w:rsidR="009703CC" w:rsidRPr="00680548" w:rsidRDefault="009703CC" w:rsidP="009703CC">
      <w:pPr>
        <w:pStyle w:val="FootnoteText"/>
        <w:bidi w:val="0"/>
        <w:jc w:val="both"/>
        <w:rPr>
          <w:sz w:val="24"/>
          <w:szCs w:val="24"/>
        </w:rPr>
      </w:pPr>
      <w:r w:rsidRPr="00680548">
        <w:rPr>
          <w:rStyle w:val="FootnoteReference"/>
          <w:sz w:val="24"/>
          <w:szCs w:val="24"/>
        </w:rPr>
        <w:footnoteRef/>
      </w:r>
      <w:r w:rsidRPr="00680548">
        <w:rPr>
          <w:sz w:val="24"/>
          <w:szCs w:val="24"/>
          <w:rtl/>
        </w:rPr>
        <w:t xml:space="preserve"> </w:t>
      </w:r>
      <w:r w:rsidRPr="00680548">
        <w:rPr>
          <w:sz w:val="24"/>
          <w:szCs w:val="24"/>
        </w:rPr>
        <w:t xml:space="preserve"> Ibid.</w:t>
      </w:r>
    </w:p>
  </w:footnote>
  <w:footnote w:id="4">
    <w:p w14:paraId="69629992" w14:textId="77777777" w:rsidR="009703CC" w:rsidRDefault="009703CC" w:rsidP="009703CC">
      <w:pPr>
        <w:pStyle w:val="FootnoteText"/>
        <w:bidi w:val="0"/>
        <w:jc w:val="both"/>
      </w:pPr>
      <w:r w:rsidRPr="00680548">
        <w:rPr>
          <w:rStyle w:val="FootnoteReference"/>
          <w:sz w:val="24"/>
          <w:szCs w:val="24"/>
        </w:rPr>
        <w:footnoteRef/>
      </w:r>
      <w:r w:rsidRPr="00680548">
        <w:rPr>
          <w:sz w:val="24"/>
          <w:szCs w:val="24"/>
        </w:rPr>
        <w:t xml:space="preserve"> </w:t>
      </w:r>
      <w:r w:rsidRPr="009703CC">
        <w:rPr>
          <w:color w:val="000000"/>
          <w:sz w:val="24"/>
          <w:szCs w:val="24"/>
        </w:rPr>
        <w:t>Dolan 1976, 3.</w:t>
      </w:r>
    </w:p>
  </w:footnote>
  <w:footnote w:id="5">
    <w:p w14:paraId="06AA66E3" w14:textId="77777777" w:rsidR="009703CC" w:rsidRDefault="009703CC" w:rsidP="009703CC">
      <w:pPr>
        <w:pStyle w:val="FootnoteText"/>
        <w:bidi w:val="0"/>
        <w:jc w:val="both"/>
      </w:pPr>
      <w:r>
        <w:rPr>
          <w:rStyle w:val="FootnoteReference"/>
        </w:rPr>
        <w:footnoteRef/>
      </w:r>
      <w:r w:rsidRPr="009703CC">
        <w:rPr>
          <w:rFonts w:eastAsia="Calibri"/>
          <w:sz w:val="24"/>
          <w:szCs w:val="24"/>
        </w:rPr>
        <w:t xml:space="preserve"> Atwood 1985, 273.</w:t>
      </w:r>
    </w:p>
  </w:footnote>
  <w:footnote w:id="6">
    <w:p w14:paraId="5239B4B5" w14:textId="77777777" w:rsidR="009703CC" w:rsidRDefault="009703CC" w:rsidP="009703CC">
      <w:pPr>
        <w:pStyle w:val="FootnoteText"/>
        <w:bidi w:val="0"/>
        <w:jc w:val="both"/>
      </w:pPr>
      <w:r>
        <w:rPr>
          <w:rStyle w:val="FootnoteReference"/>
        </w:rPr>
        <w:footnoteRef/>
      </w:r>
      <w:r>
        <w:rPr>
          <w:rtl/>
        </w:rPr>
        <w:t xml:space="preserve"> </w:t>
      </w:r>
      <w:r>
        <w:t xml:space="preserve"> </w:t>
      </w:r>
      <w:proofErr w:type="gramStart"/>
      <w:r>
        <w:t>Ibid.,</w:t>
      </w:r>
      <w:proofErr w:type="gramEnd"/>
      <w:r>
        <w:t xml:space="preserve"> 172.</w:t>
      </w:r>
    </w:p>
  </w:footnote>
  <w:footnote w:id="7">
    <w:p w14:paraId="0AD65DF9" w14:textId="77777777" w:rsidR="009703CC" w:rsidRDefault="009703CC" w:rsidP="009703CC">
      <w:pPr>
        <w:pStyle w:val="FootnoteText"/>
        <w:bidi w:val="0"/>
        <w:jc w:val="both"/>
      </w:pPr>
      <w:r>
        <w:rPr>
          <w:rStyle w:val="FootnoteReference"/>
        </w:rPr>
        <w:footnoteRef/>
      </w:r>
      <w:r>
        <w:rPr>
          <w:rtl/>
        </w:rPr>
        <w:t xml:space="preserve"> </w:t>
      </w:r>
      <w:r>
        <w:t xml:space="preserve"> </w:t>
      </w:r>
      <w:proofErr w:type="gramStart"/>
      <w:r>
        <w:t>Ibid.,</w:t>
      </w:r>
      <w:proofErr w:type="gramEnd"/>
      <w:r>
        <w:t xml:space="preserve"> 222.</w:t>
      </w:r>
    </w:p>
  </w:footnote>
  <w:footnote w:id="8">
    <w:p w14:paraId="5CDFC13E" w14:textId="77777777" w:rsidR="009703CC" w:rsidRDefault="009703CC" w:rsidP="009703CC">
      <w:pPr>
        <w:pStyle w:val="FootnoteText"/>
        <w:bidi w:val="0"/>
        <w:jc w:val="both"/>
      </w:pPr>
      <w:r>
        <w:rPr>
          <w:rStyle w:val="FootnoteReference"/>
        </w:rPr>
        <w:footnoteRef/>
      </w:r>
      <w:r>
        <w:rPr>
          <w:rtl/>
        </w:rPr>
        <w:t xml:space="preserve"> </w:t>
      </w:r>
      <w:r>
        <w:t xml:space="preserve"> </w:t>
      </w:r>
      <w:proofErr w:type="gramStart"/>
      <w:r>
        <w:t>Ibid.,</w:t>
      </w:r>
      <w:proofErr w:type="gramEnd"/>
      <w:r>
        <w:t xml:space="preserve"> 221.</w:t>
      </w:r>
    </w:p>
  </w:footnote>
  <w:footnote w:id="9">
    <w:p w14:paraId="0F0552AD" w14:textId="77777777" w:rsidR="009703CC" w:rsidRDefault="009703CC" w:rsidP="009703CC">
      <w:pPr>
        <w:pStyle w:val="FootnoteText"/>
        <w:bidi w:val="0"/>
        <w:jc w:val="both"/>
      </w:pPr>
      <w:r>
        <w:rPr>
          <w:rStyle w:val="FootnoteReference"/>
        </w:rPr>
        <w:footnoteRef/>
      </w:r>
      <w:r>
        <w:rPr>
          <w:rtl/>
        </w:rPr>
        <w:t xml:space="preserve"> </w:t>
      </w:r>
      <w:r>
        <w:t xml:space="preserve"> </w:t>
      </w:r>
      <w:proofErr w:type="gramStart"/>
      <w:r>
        <w:t>Ibid.,</w:t>
      </w:r>
      <w:proofErr w:type="gramEnd"/>
      <w:r>
        <w:t xml:space="preserve"> 302.</w:t>
      </w:r>
    </w:p>
  </w:footnote>
  <w:footnote w:id="10">
    <w:p w14:paraId="5A416095" w14:textId="77777777" w:rsidR="009703CC" w:rsidRDefault="009703CC" w:rsidP="009703CC">
      <w:pPr>
        <w:pStyle w:val="FootnoteText"/>
        <w:bidi w:val="0"/>
        <w:jc w:val="both"/>
      </w:pPr>
      <w:r>
        <w:rPr>
          <w:rStyle w:val="FootnoteReference"/>
        </w:rPr>
        <w:footnoteRef/>
      </w:r>
      <w:r>
        <w:rPr>
          <w:rtl/>
        </w:rPr>
        <w:t xml:space="preserve"> </w:t>
      </w:r>
      <w:r>
        <w:t>Ibid, 303.</w:t>
      </w:r>
    </w:p>
  </w:footnote>
  <w:footnote w:id="11">
    <w:p w14:paraId="192314A4" w14:textId="25CADEB5" w:rsidR="009703CC" w:rsidRDefault="009703CC" w:rsidP="00CF711E">
      <w:pPr>
        <w:pStyle w:val="FootnoteText"/>
        <w:bidi w:val="0"/>
        <w:jc w:val="both"/>
      </w:pPr>
      <w:r>
        <w:rPr>
          <w:rStyle w:val="FootnoteReference"/>
        </w:rPr>
        <w:footnoteRef/>
      </w:r>
      <w:proofErr w:type="spellStart"/>
      <w:r w:rsidRPr="009703CC">
        <w:rPr>
          <w:rFonts w:eastAsia="Calibri"/>
          <w:sz w:val="24"/>
          <w:szCs w:val="24"/>
        </w:rPr>
        <w:t>Keren</w:t>
      </w:r>
      <w:proofErr w:type="spellEnd"/>
      <w:r w:rsidRPr="009703CC">
        <w:rPr>
          <w:rFonts w:eastAsia="Calibri"/>
          <w:sz w:val="24"/>
          <w:szCs w:val="24"/>
        </w:rPr>
        <w:t xml:space="preserve"> 1999, 90</w:t>
      </w:r>
      <w:r w:rsidR="00CF711E">
        <w:rPr>
          <w:rFonts w:eastAsia="Calibri"/>
          <w:sz w:val="24"/>
          <w:szCs w:val="24"/>
        </w:rPr>
        <w:t>–</w:t>
      </w:r>
      <w:r w:rsidRPr="009703CC">
        <w:rPr>
          <w:rFonts w:eastAsia="Calibri"/>
          <w:sz w:val="24"/>
          <w:szCs w:val="24"/>
        </w:rPr>
        <w:t>91.</w:t>
      </w:r>
    </w:p>
  </w:footnote>
  <w:footnote w:id="12">
    <w:p w14:paraId="71DB8941" w14:textId="77777777" w:rsidR="009703CC" w:rsidRDefault="009703CC" w:rsidP="009703CC">
      <w:pPr>
        <w:pStyle w:val="FootnoteText"/>
        <w:bidi w:val="0"/>
        <w:jc w:val="both"/>
      </w:pPr>
      <w:r>
        <w:rPr>
          <w:rStyle w:val="FootnoteReference"/>
        </w:rPr>
        <w:footnoteRef/>
      </w:r>
      <w:r>
        <w:rPr>
          <w:rtl/>
        </w:rPr>
        <w:t xml:space="preserve"> </w:t>
      </w:r>
      <w:r w:rsidRPr="009703CC">
        <w:rPr>
          <w:rFonts w:eastAsia="Calibri"/>
          <w:sz w:val="24"/>
          <w:szCs w:val="24"/>
        </w:rPr>
        <w:t>Williamson 2017, 261.</w:t>
      </w:r>
    </w:p>
  </w:footnote>
  <w:footnote w:id="13">
    <w:p w14:paraId="0E2D6CDD" w14:textId="77777777" w:rsidR="009703CC" w:rsidRDefault="009703CC" w:rsidP="009703CC">
      <w:pPr>
        <w:pStyle w:val="FootnoteText"/>
        <w:bidi w:val="0"/>
        <w:jc w:val="both"/>
      </w:pPr>
      <w:r>
        <w:rPr>
          <w:rStyle w:val="FootnoteReference"/>
        </w:rPr>
        <w:footnoteRef/>
      </w:r>
      <w:r>
        <w:rPr>
          <w:rtl/>
        </w:rPr>
        <w:t xml:space="preserve"> </w:t>
      </w:r>
      <w:r w:rsidRPr="009703CC">
        <w:rPr>
          <w:rFonts w:eastAsia="Calibri"/>
          <w:sz w:val="24"/>
          <w:szCs w:val="24"/>
        </w:rPr>
        <w:t>Atwood 1985, 56.</w:t>
      </w:r>
      <w:r>
        <w:t xml:space="preserve"> </w:t>
      </w:r>
    </w:p>
  </w:footnote>
  <w:footnote w:id="14">
    <w:p w14:paraId="7FB623A3" w14:textId="77777777" w:rsidR="009703CC" w:rsidRDefault="009703CC" w:rsidP="009703CC">
      <w:pPr>
        <w:pStyle w:val="FootnoteText"/>
        <w:bidi w:val="0"/>
        <w:jc w:val="both"/>
      </w:pPr>
      <w:r>
        <w:rPr>
          <w:rStyle w:val="FootnoteReference"/>
        </w:rPr>
        <w:footnoteRef/>
      </w:r>
      <w:r>
        <w:rPr>
          <w:rtl/>
        </w:rPr>
        <w:t xml:space="preserve"> </w:t>
      </w:r>
      <w:proofErr w:type="spellStart"/>
      <w:r w:rsidRPr="009703CC">
        <w:rPr>
          <w:color w:val="000000"/>
          <w:sz w:val="24"/>
          <w:szCs w:val="24"/>
        </w:rPr>
        <w:t>Filipczak</w:t>
      </w:r>
      <w:proofErr w:type="spellEnd"/>
      <w:r w:rsidRPr="009703CC">
        <w:rPr>
          <w:color w:val="000000"/>
          <w:sz w:val="24"/>
          <w:szCs w:val="24"/>
        </w:rPr>
        <w:t xml:space="preserve"> 1993, 171</w:t>
      </w:r>
    </w:p>
  </w:footnote>
  <w:footnote w:id="15">
    <w:p w14:paraId="09821DC1" w14:textId="780D4715" w:rsidR="009703CC" w:rsidRDefault="009703CC" w:rsidP="00CF711E">
      <w:pPr>
        <w:pStyle w:val="FootnoteText"/>
        <w:bidi w:val="0"/>
        <w:jc w:val="both"/>
      </w:pPr>
      <w:r>
        <w:rPr>
          <w:rStyle w:val="FootnoteReference"/>
        </w:rPr>
        <w:footnoteRef/>
      </w:r>
      <w:r>
        <w:rPr>
          <w:rtl/>
        </w:rPr>
        <w:t xml:space="preserve"> </w:t>
      </w:r>
      <w:proofErr w:type="spellStart"/>
      <w:r w:rsidRPr="009703CC">
        <w:rPr>
          <w:color w:val="000000"/>
          <w:sz w:val="24"/>
          <w:szCs w:val="24"/>
        </w:rPr>
        <w:t>Shinhar</w:t>
      </w:r>
      <w:proofErr w:type="spellEnd"/>
      <w:r w:rsidRPr="009703CC">
        <w:rPr>
          <w:color w:val="000000"/>
          <w:sz w:val="24"/>
          <w:szCs w:val="24"/>
        </w:rPr>
        <w:t xml:space="preserve"> 2008, 11</w:t>
      </w:r>
      <w:r w:rsidR="00CF711E">
        <w:rPr>
          <w:color w:val="000000"/>
          <w:sz w:val="24"/>
          <w:szCs w:val="24"/>
        </w:rPr>
        <w:t>–</w:t>
      </w:r>
      <w:r w:rsidRPr="009703CC">
        <w:rPr>
          <w:color w:val="000000"/>
          <w:sz w:val="24"/>
          <w:szCs w:val="24"/>
        </w:rPr>
        <w:t>13</w:t>
      </w:r>
    </w:p>
  </w:footnote>
  <w:footnote w:id="16">
    <w:p w14:paraId="5FBC1A34" w14:textId="77777777" w:rsidR="009703CC" w:rsidRDefault="009703CC" w:rsidP="009703CC">
      <w:pPr>
        <w:pStyle w:val="FootnoteText"/>
        <w:bidi w:val="0"/>
        <w:jc w:val="both"/>
      </w:pPr>
      <w:r>
        <w:rPr>
          <w:rStyle w:val="FootnoteReference"/>
        </w:rPr>
        <w:footnoteRef/>
      </w:r>
      <w:r>
        <w:t xml:space="preserve"> </w:t>
      </w:r>
      <w:proofErr w:type="spellStart"/>
      <w:r w:rsidRPr="009703CC">
        <w:rPr>
          <w:color w:val="000000"/>
          <w:sz w:val="24"/>
          <w:szCs w:val="24"/>
        </w:rPr>
        <w:t>Nir</w:t>
      </w:r>
      <w:proofErr w:type="spellEnd"/>
      <w:r w:rsidRPr="009703CC">
        <w:rPr>
          <w:color w:val="000000"/>
          <w:sz w:val="24"/>
          <w:szCs w:val="24"/>
        </w:rPr>
        <w:t>, 2016, 11.</w:t>
      </w:r>
    </w:p>
  </w:footnote>
  <w:footnote w:id="17">
    <w:p w14:paraId="4E46135B" w14:textId="77777777" w:rsidR="009703CC" w:rsidRDefault="009703CC" w:rsidP="009703CC">
      <w:pPr>
        <w:pStyle w:val="FootnoteText"/>
        <w:bidi w:val="0"/>
        <w:jc w:val="both"/>
      </w:pPr>
      <w:r>
        <w:rPr>
          <w:rStyle w:val="FootnoteReference"/>
        </w:rPr>
        <w:footnoteRef/>
      </w:r>
      <w:r>
        <w:rPr>
          <w:rtl/>
        </w:rPr>
        <w:t xml:space="preserve"> </w:t>
      </w:r>
      <w:r w:rsidRPr="009703CC">
        <w:rPr>
          <w:color w:val="000000"/>
          <w:sz w:val="24"/>
          <w:szCs w:val="24"/>
        </w:rPr>
        <w:t>Foucault 1977, 152.</w:t>
      </w:r>
    </w:p>
  </w:footnote>
  <w:footnote w:id="18">
    <w:p w14:paraId="3F0B9C75" w14:textId="77777777" w:rsidR="00355543" w:rsidRDefault="00355543" w:rsidP="00355543">
      <w:pPr>
        <w:pStyle w:val="FootnoteText"/>
        <w:bidi w:val="0"/>
        <w:jc w:val="both"/>
      </w:pPr>
      <w:r>
        <w:rPr>
          <w:rStyle w:val="FootnoteReference"/>
        </w:rPr>
        <w:footnoteRef/>
      </w:r>
      <w:r>
        <w:rPr>
          <w:rtl/>
        </w:rPr>
        <w:t xml:space="preserve"> </w:t>
      </w:r>
      <w:r>
        <w:t xml:space="preserve"> </w:t>
      </w:r>
      <w:r w:rsidRPr="009703CC">
        <w:rPr>
          <w:color w:val="000000"/>
          <w:sz w:val="24"/>
          <w:szCs w:val="24"/>
        </w:rPr>
        <w:t>Jung, 1987.</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CC"/>
    <w:rsid w:val="00096393"/>
    <w:rsid w:val="00105055"/>
    <w:rsid w:val="00355543"/>
    <w:rsid w:val="009703CC"/>
    <w:rsid w:val="00CF7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5E41"/>
  <w15:chartTrackingRefBased/>
  <w15:docId w15:val="{CEAD381D-FFF1-46F9-B74E-B4448512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03CC"/>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703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9703CC"/>
    <w:rPr>
      <w:rFonts w:cs="Times New Roman"/>
      <w:vertAlign w:val="superscript"/>
    </w:rPr>
  </w:style>
  <w:style w:type="character" w:styleId="CommentReference">
    <w:name w:val="annotation reference"/>
    <w:basedOn w:val="DefaultParagraphFont"/>
    <w:uiPriority w:val="99"/>
    <w:semiHidden/>
    <w:unhideWhenUsed/>
    <w:rsid w:val="009703CC"/>
    <w:rPr>
      <w:sz w:val="16"/>
      <w:szCs w:val="16"/>
    </w:rPr>
  </w:style>
  <w:style w:type="paragraph" w:customStyle="1" w:styleId="CommentText1">
    <w:name w:val="Comment Text1"/>
    <w:basedOn w:val="Normal"/>
    <w:next w:val="CommentText"/>
    <w:link w:val="CommentTextChar"/>
    <w:uiPriority w:val="99"/>
    <w:semiHidden/>
    <w:unhideWhenUsed/>
    <w:rsid w:val="009703CC"/>
    <w:pPr>
      <w:bidi/>
      <w:spacing w:line="240" w:lineRule="auto"/>
    </w:pPr>
    <w:rPr>
      <w:sz w:val="20"/>
      <w:szCs w:val="20"/>
    </w:rPr>
  </w:style>
  <w:style w:type="character" w:customStyle="1" w:styleId="CommentTextChar">
    <w:name w:val="Comment Text Char"/>
    <w:basedOn w:val="DefaultParagraphFont"/>
    <w:link w:val="CommentText1"/>
    <w:uiPriority w:val="99"/>
    <w:semiHidden/>
    <w:rsid w:val="009703CC"/>
    <w:rPr>
      <w:sz w:val="20"/>
      <w:szCs w:val="20"/>
    </w:rPr>
  </w:style>
  <w:style w:type="paragraph" w:styleId="CommentText">
    <w:name w:val="annotation text"/>
    <w:basedOn w:val="Normal"/>
    <w:link w:val="CommentTextChar1"/>
    <w:uiPriority w:val="99"/>
    <w:semiHidden/>
    <w:unhideWhenUsed/>
    <w:rsid w:val="009703CC"/>
    <w:pPr>
      <w:spacing w:line="240" w:lineRule="auto"/>
    </w:pPr>
    <w:rPr>
      <w:sz w:val="20"/>
      <w:szCs w:val="20"/>
    </w:rPr>
  </w:style>
  <w:style w:type="character" w:customStyle="1" w:styleId="CommentTextChar1">
    <w:name w:val="Comment Text Char1"/>
    <w:basedOn w:val="DefaultParagraphFont"/>
    <w:link w:val="CommentText"/>
    <w:uiPriority w:val="99"/>
    <w:semiHidden/>
    <w:rsid w:val="009703CC"/>
    <w:rPr>
      <w:sz w:val="20"/>
      <w:szCs w:val="20"/>
    </w:rPr>
  </w:style>
  <w:style w:type="paragraph" w:styleId="BalloonText">
    <w:name w:val="Balloon Text"/>
    <w:basedOn w:val="Normal"/>
    <w:link w:val="BalloonTextChar"/>
    <w:uiPriority w:val="99"/>
    <w:semiHidden/>
    <w:unhideWhenUsed/>
    <w:rsid w:val="00970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1612</Words>
  <Characters>8318</Characters>
  <Application>Microsoft Office Word</Application>
  <DocSecurity>0</DocSecurity>
  <Lines>136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2023-05-16T22:02:00Z</dcterms:created>
  <dcterms:modified xsi:type="dcterms:W3CDTF">2023-05-16T22:06:00Z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06d10c3d-132b-429a-b154-06262b01386c</vt:lpwstr>
  </property>
</Properties>
</file>