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0C234" w14:textId="77777777" w:rsidR="00B8129A" w:rsidRDefault="00B8129A" w:rsidP="008B3956"/>
    <w:p w14:paraId="7B4F23C1" w14:textId="77777777" w:rsidR="00D77B1D" w:rsidRPr="003B1DEC" w:rsidRDefault="00D77B1D" w:rsidP="008B3956">
      <w:pPr>
        <w:pStyle w:val="Heading1"/>
      </w:pPr>
      <w:r w:rsidRPr="003B1DEC">
        <w:t>Introduction</w:t>
      </w:r>
    </w:p>
    <w:p w14:paraId="261B8D40" w14:textId="77777777" w:rsidR="00D77B1D" w:rsidRPr="00FB656E" w:rsidRDefault="00D77B1D" w:rsidP="008B3956">
      <w:r w:rsidRPr="00FB656E">
        <w:t>Dr. Gil Pereg</w:t>
      </w:r>
    </w:p>
    <w:p w14:paraId="0A06A24D" w14:textId="77777777" w:rsidR="00D77B1D" w:rsidRDefault="00D77B1D" w:rsidP="008B3956"/>
    <w:p w14:paraId="3B8D137A" w14:textId="77777777" w:rsidR="00D77B1D" w:rsidRDefault="00D77B1D" w:rsidP="008B3956"/>
    <w:p w14:paraId="2E310F4E" w14:textId="77777777" w:rsidR="00D77B1D" w:rsidRPr="003B1DEC" w:rsidRDefault="00D77B1D" w:rsidP="008B3956">
      <w:r>
        <w:rPr>
          <w:sz w:val="21"/>
          <w:szCs w:val="21"/>
        </w:rPr>
        <w:t>“</w:t>
      </w:r>
      <w:r w:rsidRPr="003B1DEC">
        <w:t xml:space="preserve">They began to </w:t>
      </w:r>
      <w:proofErr w:type="gramStart"/>
      <w:r w:rsidRPr="003B1DEC">
        <w:t>cry</w:t>
      </w:r>
      <w:proofErr w:type="gramEnd"/>
      <w:r w:rsidRPr="003B1DEC">
        <w:t xml:space="preserve"> and Rabbi Akiva was laughing.</w:t>
      </w:r>
      <w:r>
        <w:t>”</w:t>
      </w:r>
    </w:p>
    <w:p w14:paraId="2B24F0F7" w14:textId="77777777" w:rsidR="00D77B1D" w:rsidRPr="00FB656E" w:rsidRDefault="00D77B1D" w:rsidP="008B3956">
      <w:r>
        <w:t>This book was born</w:t>
      </w:r>
      <w:r w:rsidRPr="00FB656E">
        <w:t xml:space="preserve"> amidst pain and unbearable devastation.</w:t>
      </w:r>
    </w:p>
    <w:p w14:paraId="433CEE1A" w14:textId="7D5A2A8C" w:rsidR="00D77B1D" w:rsidRPr="00FB656E" w:rsidRDefault="00D77B1D" w:rsidP="008B3956">
      <w:r w:rsidRPr="00FB656E">
        <w:t>On the ninth of Av, 5774</w:t>
      </w:r>
      <w:r>
        <w:t xml:space="preserve"> (Aug. 5</w:t>
      </w:r>
      <w:r w:rsidRPr="001671FA">
        <w:rPr>
          <w:vertAlign w:val="superscript"/>
        </w:rPr>
        <w:t>th</w:t>
      </w:r>
      <w:r w:rsidRPr="008B3956">
        <w:t>,</w:t>
      </w:r>
      <w:r>
        <w:t xml:space="preserve"> 2014)</w:t>
      </w:r>
      <w:r w:rsidRPr="00FB656E">
        <w:t xml:space="preserve">, my beloved eldest brother, Nadav (Nadi), passed away at the age of 49. </w:t>
      </w:r>
      <w:r>
        <w:t>Nadi</w:t>
      </w:r>
      <w:r w:rsidRPr="00FB656E">
        <w:t xml:space="preserve"> was diagnosed with cancer on the eve of Passover 5772. Nadi fought with all his might against the disease that spread throughout his body</w:t>
      </w:r>
      <w:r>
        <w:t xml:space="preserve"> but reserved</w:t>
      </w:r>
      <w:r w:rsidRPr="00FB656E">
        <w:t xml:space="preserve"> even more </w:t>
      </w:r>
      <w:r>
        <w:t>of his efforts for easing the</w:t>
      </w:r>
      <w:r w:rsidRPr="00FB656E">
        <w:t xml:space="preserve"> pain and worry that gripped all his loved ones. On the ninth of Av 5773, a year before Nadi</w:t>
      </w:r>
      <w:r>
        <w:t>’</w:t>
      </w:r>
      <w:r w:rsidRPr="00FB656E">
        <w:t xml:space="preserve">s passing, I had the privilege to donate bone marrow to him. We sat </w:t>
      </w:r>
      <w:r>
        <w:t>together in the</w:t>
      </w:r>
      <w:r w:rsidRPr="00FB656E">
        <w:t xml:space="preserve"> isolation room as an infusion dripped new bone marrow cells into his body. During the transplant and in the hours following it, Nadi managed to maintain a spirit of joy and optimism. </w:t>
      </w:r>
      <w:r>
        <w:t>“</w:t>
      </w:r>
      <w:r w:rsidRPr="00FB656E">
        <w:t>At least I saved you from fasting today, my brother,</w:t>
      </w:r>
      <w:r>
        <w:t>”</w:t>
      </w:r>
      <w:r w:rsidRPr="00FB656E">
        <w:t xml:space="preserve"> he joked. </w:t>
      </w:r>
      <w:r>
        <w:t>I</w:t>
      </w:r>
      <w:r w:rsidRPr="00FB656E">
        <w:t xml:space="preserve">n those moments, I thought to myself about the </w:t>
      </w:r>
      <w:r>
        <w:t>story</w:t>
      </w:r>
      <w:r w:rsidRPr="00FB656E">
        <w:t xml:space="preserve"> in </w:t>
      </w:r>
      <w:r>
        <w:t>t</w:t>
      </w:r>
      <w:r w:rsidRPr="00FB656E">
        <w:t xml:space="preserve">ractate </w:t>
      </w:r>
      <w:proofErr w:type="spellStart"/>
      <w:r w:rsidRPr="00FB656E">
        <w:t>Makkot</w:t>
      </w:r>
      <w:proofErr w:type="spellEnd"/>
      <w:r>
        <w:t xml:space="preserve"> that</w:t>
      </w:r>
      <w:r w:rsidRPr="00FB656E">
        <w:t xml:space="preserve"> tells of the </w:t>
      </w:r>
      <w:r w:rsidR="00F32D10">
        <w:t>S</w:t>
      </w:r>
      <w:r w:rsidRPr="00FB656E">
        <w:t>ages</w:t>
      </w:r>
      <w:r>
        <w:t>’</w:t>
      </w:r>
      <w:r w:rsidRPr="00FB656E">
        <w:t xml:space="preserve"> pain</w:t>
      </w:r>
      <w:r>
        <w:t>ed</w:t>
      </w:r>
      <w:r w:rsidRPr="00FB656E">
        <w:t xml:space="preserve"> response to the sight of the destroyed Temple. They began to cry, </w:t>
      </w:r>
      <w:r>
        <w:t>but</w:t>
      </w:r>
      <w:r w:rsidRPr="00FB656E">
        <w:t xml:space="preserve"> Rabbi Akiva laughed. </w:t>
      </w:r>
      <w:r>
        <w:t>L</w:t>
      </w:r>
      <w:r w:rsidRPr="00FB656E">
        <w:t xml:space="preserve">ike in that wonderful </w:t>
      </w:r>
      <w:r>
        <w:t>story</w:t>
      </w:r>
      <w:r w:rsidRPr="00FB656E">
        <w:t xml:space="preserve">, I almost wanted to ask Nadi, </w:t>
      </w:r>
      <w:r>
        <w:t>“</w:t>
      </w:r>
      <w:r w:rsidRPr="00FB656E">
        <w:t>Why are you laughing?</w:t>
      </w:r>
      <w:r>
        <w:t>”</w:t>
      </w:r>
      <w:r w:rsidRPr="00FB656E">
        <w:t xml:space="preserve"> </w:t>
      </w:r>
      <w:r>
        <w:t>H</w:t>
      </w:r>
      <w:r w:rsidRPr="00FB656E">
        <w:t xml:space="preserve">e would surely have answered, </w:t>
      </w:r>
      <w:r>
        <w:t>“</w:t>
      </w:r>
      <w:r w:rsidRPr="00FB656E">
        <w:t>Why are you crying?</w:t>
      </w:r>
      <w:r>
        <w:t>”</w:t>
      </w:r>
    </w:p>
    <w:p w14:paraId="13872208" w14:textId="77777777" w:rsidR="00D77B1D" w:rsidRPr="00FB656E" w:rsidRDefault="00D77B1D" w:rsidP="008B3956">
      <w:r w:rsidRPr="00FB656E">
        <w:t>Whoever has not seen Nadi encouraging the medical team with joy and laughter, has not witnessed the power of the human spirit</w:t>
      </w:r>
      <w:r>
        <w:t xml:space="preserve"> in his life</w:t>
      </w:r>
      <w:r w:rsidRPr="00FB656E">
        <w:t>.</w:t>
      </w:r>
    </w:p>
    <w:p w14:paraId="4231446E" w14:textId="77777777" w:rsidR="00D77B1D" w:rsidRPr="00FB656E" w:rsidRDefault="00D77B1D" w:rsidP="008B3956">
      <w:r w:rsidRPr="00FB656E">
        <w:t>Whoever has not seen how warmly the nursing staff at the ward welcomed him each time he had to undergo yet another round of difficult treatments, has not seen a beloved person in his life.</w:t>
      </w:r>
    </w:p>
    <w:p w14:paraId="771AFA49" w14:textId="77777777" w:rsidR="00D77B1D" w:rsidRPr="00FB656E" w:rsidRDefault="00D77B1D" w:rsidP="008B3956">
      <w:r w:rsidRPr="00FB656E">
        <w:t xml:space="preserve">Whoever </w:t>
      </w:r>
      <w:r>
        <w:t>has not seen</w:t>
      </w:r>
      <w:r w:rsidRPr="00FB656E">
        <w:t xml:space="preserve"> </w:t>
      </w:r>
      <w:r>
        <w:t>Nadi’s</w:t>
      </w:r>
      <w:r w:rsidRPr="00FB656E">
        <w:t xml:space="preserve"> devotion to his parents, his children, his wife, his brothers, his sisters, and all his family and friends, even at the height of his illness, has </w:t>
      </w:r>
      <w:r>
        <w:t>not</w:t>
      </w:r>
      <w:r w:rsidRPr="00FB656E">
        <w:t xml:space="preserve"> seen love in his life.</w:t>
      </w:r>
    </w:p>
    <w:p w14:paraId="6100C9EA" w14:textId="77777777" w:rsidR="00D77B1D" w:rsidRPr="00FB656E" w:rsidRDefault="00D77B1D" w:rsidP="008B3956">
      <w:r w:rsidRPr="00FB656E">
        <w:t>Whoever has not seen the skilled medical team at the hospital in Arkansas, USA</w:t>
      </w:r>
      <w:r>
        <w:t xml:space="preserve"> weeping when his life slipped away </w:t>
      </w:r>
      <w:r w:rsidRPr="00FB656E">
        <w:t xml:space="preserve">has not seen </w:t>
      </w:r>
      <w:r>
        <w:t xml:space="preserve">true </w:t>
      </w:r>
      <w:r w:rsidRPr="00FB656E">
        <w:t xml:space="preserve">tears in </w:t>
      </w:r>
      <w:r>
        <w:t>his life</w:t>
      </w:r>
      <w:r w:rsidRPr="00FB656E">
        <w:t>. Blessed is the eye that has seen all this.</w:t>
      </w:r>
    </w:p>
    <w:p w14:paraId="764EF889" w14:textId="77777777" w:rsidR="00D77B1D" w:rsidRPr="00FB656E" w:rsidRDefault="00D77B1D" w:rsidP="008B3956">
      <w:r w:rsidRPr="00FB656E">
        <w:t xml:space="preserve">In the days and weeks following his death, we, his family and loved ones, found ourselves overwhelmed by unfathomable pain </w:t>
      </w:r>
      <w:r>
        <w:t>and</w:t>
      </w:r>
      <w:r w:rsidRPr="00FB656E">
        <w:t xml:space="preserve"> longing. Even in those difficult hours, we all tried to hold on to what seemed to us the most important legacy</w:t>
      </w:r>
      <w:r>
        <w:t xml:space="preserve"> he</w:t>
      </w:r>
      <w:r w:rsidRPr="00FB656E">
        <w:t xml:space="preserve"> left us. This book seeks to engage with the content of this </w:t>
      </w:r>
      <w:r>
        <w:t>legacy</w:t>
      </w:r>
      <w:r w:rsidRPr="00FB656E">
        <w:t>.</w:t>
      </w:r>
    </w:p>
    <w:p w14:paraId="4EA19A80" w14:textId="77777777" w:rsidR="00D77B1D" w:rsidRPr="00FB656E" w:rsidRDefault="00D77B1D" w:rsidP="008B3956">
      <w:r w:rsidRPr="00FB656E">
        <w:t xml:space="preserve">I chose to embark on a journey </w:t>
      </w:r>
      <w:r>
        <w:t xml:space="preserve">to realize </w:t>
      </w:r>
      <w:r w:rsidRPr="00FB656E">
        <w:t>Nadi</w:t>
      </w:r>
      <w:r>
        <w:t>’</w:t>
      </w:r>
      <w:r w:rsidRPr="00FB656E">
        <w:t xml:space="preserve">s </w:t>
      </w:r>
      <w:r>
        <w:t>legacy</w:t>
      </w:r>
      <w:r w:rsidRPr="00FB656E">
        <w:t xml:space="preserve">, and it </w:t>
      </w:r>
      <w:r>
        <w:t>became</w:t>
      </w:r>
      <w:r w:rsidRPr="00FB656E">
        <w:t xml:space="preserve"> clear to me that Tisha </w:t>
      </w:r>
      <w:proofErr w:type="spellStart"/>
      <w:r>
        <w:t>BeAv</w:t>
      </w:r>
      <w:proofErr w:type="spellEnd"/>
      <w:r w:rsidRPr="00FB656E">
        <w:t xml:space="preserve"> would be my compass along the way. Tisha </w:t>
      </w:r>
      <w:proofErr w:type="spellStart"/>
      <w:r>
        <w:t>BeAv</w:t>
      </w:r>
      <w:proofErr w:type="spellEnd"/>
      <w:r w:rsidRPr="00FB656E">
        <w:t xml:space="preserve">, the day when Nadi was reborn, and Tisha </w:t>
      </w:r>
      <w:proofErr w:type="spellStart"/>
      <w:r>
        <w:t>BeAv</w:t>
      </w:r>
      <w:proofErr w:type="spellEnd"/>
      <w:r w:rsidRPr="00FB656E">
        <w:t xml:space="preserve">, the day when, exactly a year later, </w:t>
      </w:r>
      <w:r>
        <w:t>“</w:t>
      </w:r>
      <w:r>
        <w:rPr>
          <w:rFonts w:cs="Times New Roman"/>
        </w:rPr>
        <w:t>t</w:t>
      </w:r>
      <w:r w:rsidRPr="0065592A">
        <w:rPr>
          <w:rFonts w:cs="Times New Roman"/>
        </w:rPr>
        <w:t>he angels triumphed over the righteous, and the sacred ark was captured</w:t>
      </w:r>
      <w:r w:rsidRPr="00FB656E">
        <w:t>.</w:t>
      </w:r>
      <w:r>
        <w:t>”</w:t>
      </w:r>
      <w:r>
        <w:rPr>
          <w:rStyle w:val="FootnoteReference"/>
        </w:rPr>
        <w:footnoteReference w:id="1"/>
      </w:r>
    </w:p>
    <w:p w14:paraId="28B10EB9" w14:textId="77777777" w:rsidR="00D77B1D" w:rsidRPr="00FB656E" w:rsidRDefault="00D77B1D" w:rsidP="008B3956">
      <w:r w:rsidRPr="00FB656E">
        <w:t xml:space="preserve">On Tisha </w:t>
      </w:r>
      <w:proofErr w:type="spellStart"/>
      <w:r>
        <w:t>BeAv</w:t>
      </w:r>
      <w:proofErr w:type="spellEnd"/>
      <w:r w:rsidRPr="00FB656E">
        <w:t xml:space="preserve">, </w:t>
      </w:r>
      <w:r>
        <w:t>the</w:t>
      </w:r>
      <w:r w:rsidRPr="00FB656E">
        <w:t xml:space="preserve"> destruction </w:t>
      </w:r>
      <w:r>
        <w:t>includes a variety of aspects</w:t>
      </w:r>
      <w:r w:rsidRPr="00FB656E">
        <w:t xml:space="preserve">: religious, national, cultural, and personal. Throughout the generations, Jewish tradition has woven diverse meanings into past events, </w:t>
      </w:r>
      <w:r>
        <w:t>seeking</w:t>
      </w:r>
      <w:r w:rsidRPr="00FB656E">
        <w:t xml:space="preserve"> to </w:t>
      </w:r>
      <w:r>
        <w:t xml:space="preserve">find an </w:t>
      </w:r>
      <w:r w:rsidRPr="00FB656E">
        <w:t xml:space="preserve">echo </w:t>
      </w:r>
      <w:r>
        <w:t xml:space="preserve">of </w:t>
      </w:r>
      <w:r w:rsidRPr="00FB656E">
        <w:t xml:space="preserve">the hardships </w:t>
      </w:r>
      <w:r>
        <w:t xml:space="preserve">and </w:t>
      </w:r>
      <w:r w:rsidRPr="00FB656E">
        <w:t xml:space="preserve">challenges of the present </w:t>
      </w:r>
      <w:r>
        <w:t>in the</w:t>
      </w:r>
      <w:r w:rsidRPr="00FB656E">
        <w:t xml:space="preserve"> historical destruction</w:t>
      </w:r>
      <w:r>
        <w:t xml:space="preserve"> of the Temple, the </w:t>
      </w:r>
      <w:proofErr w:type="spellStart"/>
      <w:r w:rsidRPr="009B16CD">
        <w:rPr>
          <w:i/>
          <w:iCs/>
        </w:rPr>
        <w:t>hurban</w:t>
      </w:r>
      <w:proofErr w:type="spellEnd"/>
      <w:r w:rsidRPr="00FB656E">
        <w:t xml:space="preserve">. In their attempt to interpret the </w:t>
      </w:r>
      <w:proofErr w:type="spellStart"/>
      <w:r w:rsidRPr="009B16CD">
        <w:rPr>
          <w:i/>
          <w:iCs/>
        </w:rPr>
        <w:t>hurban</w:t>
      </w:r>
      <w:proofErr w:type="spellEnd"/>
      <w:r w:rsidRPr="00FB656E">
        <w:t xml:space="preserve">, the architects of Jewish culture sought to understand its roots, its meaning, and perhaps through this, to find consolation, </w:t>
      </w:r>
      <w:r>
        <w:t>repair</w:t>
      </w:r>
      <w:r w:rsidRPr="00FB656E">
        <w:t>, and above all, hope.</w:t>
      </w:r>
    </w:p>
    <w:p w14:paraId="2B8E8A1A" w14:textId="7F67F9BF" w:rsidR="00D77B1D" w:rsidRPr="00FB656E" w:rsidRDefault="00D77B1D" w:rsidP="008B3956">
      <w:r>
        <w:t xml:space="preserve">The </w:t>
      </w:r>
      <w:r w:rsidRPr="008B3956">
        <w:t>stories</w:t>
      </w:r>
      <w:r>
        <w:t xml:space="preserve"> of the </w:t>
      </w:r>
      <w:proofErr w:type="spellStart"/>
      <w:r w:rsidRPr="006668A1">
        <w:rPr>
          <w:i/>
          <w:iCs/>
        </w:rPr>
        <w:t>hurban</w:t>
      </w:r>
      <w:proofErr w:type="spellEnd"/>
      <w:r>
        <w:rPr>
          <w:i/>
          <w:iCs/>
        </w:rPr>
        <w:t xml:space="preserve">, </w:t>
      </w:r>
      <w:r>
        <w:t>especially those</w:t>
      </w:r>
      <w:r w:rsidRPr="00FB656E">
        <w:t xml:space="preserve"> found in </w:t>
      </w:r>
      <w:r>
        <w:t>t</w:t>
      </w:r>
      <w:r w:rsidRPr="00FB656E">
        <w:t>ractate Gittin</w:t>
      </w:r>
      <w:r>
        <w:t xml:space="preserve"> of the</w:t>
      </w:r>
      <w:r w:rsidRPr="00FB656E">
        <w:t xml:space="preserve"> </w:t>
      </w:r>
      <w:r w:rsidRPr="00FB656E">
        <w:t>Babylonian Talmud</w:t>
      </w:r>
      <w:r>
        <w:t xml:space="preserve"> and</w:t>
      </w:r>
      <w:r w:rsidRPr="00FB656E">
        <w:t xml:space="preserve"> </w:t>
      </w:r>
      <w:r>
        <w:t xml:space="preserve">in the midrashim on </w:t>
      </w:r>
      <w:r w:rsidRPr="00FB656E">
        <w:t xml:space="preserve">the Book of Lamentations, </w:t>
      </w:r>
      <w:r>
        <w:t xml:space="preserve">are the </w:t>
      </w:r>
      <w:r w:rsidRPr="00FB656E">
        <w:t xml:space="preserve">central cultural </w:t>
      </w:r>
      <w:r>
        <w:t>locus of</w:t>
      </w:r>
      <w:r w:rsidRPr="00FB656E">
        <w:t xml:space="preserve"> this rich tradition</w:t>
      </w:r>
      <w:r>
        <w:t xml:space="preserve">. </w:t>
      </w:r>
      <w:r w:rsidRPr="00FB656E">
        <w:t>Some of the</w:t>
      </w:r>
      <w:r>
        <w:t>se</w:t>
      </w:r>
      <w:r w:rsidRPr="00FB656E">
        <w:t xml:space="preserve"> </w:t>
      </w:r>
      <w:r w:rsidRPr="008B3956">
        <w:t>stories</w:t>
      </w:r>
      <w:r w:rsidRPr="00FB656E">
        <w:t xml:space="preserve"> deal with the description of the </w:t>
      </w:r>
      <w:proofErr w:type="spellStart"/>
      <w:r w:rsidRPr="006668A1">
        <w:rPr>
          <w:i/>
          <w:iCs/>
        </w:rPr>
        <w:t>hurban</w:t>
      </w:r>
      <w:proofErr w:type="spellEnd"/>
      <w:r w:rsidRPr="00FB656E">
        <w:t xml:space="preserve"> </w:t>
      </w:r>
      <w:r w:rsidRPr="00FB656E">
        <w:t xml:space="preserve">and its scope, while others seek to find a cause and </w:t>
      </w:r>
      <w:r w:rsidRPr="008B3956">
        <w:t>interpretation</w:t>
      </w:r>
      <w:r w:rsidRPr="00FB656E">
        <w:t xml:space="preserve"> for its occurrence. These last allow a glimpse into the thoughts of their </w:t>
      </w:r>
      <w:r w:rsidRPr="008B3956">
        <w:t>authors</w:t>
      </w:r>
      <w:r w:rsidRPr="00FB656E">
        <w:t xml:space="preserve"> and the value system they sought to shape. Despite </w:t>
      </w:r>
      <w:r w:rsidRPr="008B3956">
        <w:t>being</w:t>
      </w:r>
      <w:r w:rsidRPr="00FB656E">
        <w:t xml:space="preserve"> filled with bitter </w:t>
      </w:r>
      <w:proofErr w:type="gramStart"/>
      <w:r w:rsidRPr="00FB656E">
        <w:t>pain,</w:t>
      </w:r>
      <w:proofErr w:type="gramEnd"/>
      <w:r w:rsidRPr="00FB656E">
        <w:t xml:space="preserve"> these </w:t>
      </w:r>
      <w:r w:rsidRPr="008B3956">
        <w:t>stories</w:t>
      </w:r>
      <w:r w:rsidRPr="00FB656E">
        <w:t xml:space="preserve"> inspire in the reader a belief in the ability to repair and rebuild.</w:t>
      </w:r>
    </w:p>
    <w:p w14:paraId="1654D872" w14:textId="77777777" w:rsidR="00D77B1D" w:rsidRPr="00FB656E" w:rsidRDefault="00D77B1D" w:rsidP="008B3956">
      <w:r w:rsidRPr="00FB656E">
        <w:t xml:space="preserve">The collection before you </w:t>
      </w:r>
      <w:proofErr w:type="gramStart"/>
      <w:r>
        <w:t>includes</w:t>
      </w:r>
      <w:proofErr w:type="gramEnd"/>
      <w:r w:rsidRPr="00FB656E">
        <w:t xml:space="preserve"> nine encounters </w:t>
      </w:r>
      <w:r>
        <w:t xml:space="preserve">that took place in the framework of </w:t>
      </w:r>
      <w:proofErr w:type="spellStart"/>
      <w:r w:rsidRPr="00993D28">
        <w:rPr>
          <w:i/>
          <w:iCs/>
        </w:rPr>
        <w:t>havruta</w:t>
      </w:r>
      <w:proofErr w:type="spellEnd"/>
      <w:r>
        <w:t xml:space="preserve"> study</w:t>
      </w:r>
      <w:r w:rsidRPr="00FB656E">
        <w:t>. Studying in pairs is a traditional Jewish practice that allows for a meaningful encounter between people</w:t>
      </w:r>
      <w:r>
        <w:t>. A</w:t>
      </w:r>
      <w:r w:rsidRPr="00FB656E">
        <w:t>nyone who knew Nadi could not help but see him as a</w:t>
      </w:r>
      <w:r>
        <w:t xml:space="preserve"> true</w:t>
      </w:r>
      <w:r w:rsidRPr="00FB656E">
        <w:t xml:space="preserve"> </w:t>
      </w:r>
      <w:proofErr w:type="spellStart"/>
      <w:r w:rsidRPr="00C16AE9">
        <w:rPr>
          <w:i/>
          <w:iCs/>
        </w:rPr>
        <w:t>havruta</w:t>
      </w:r>
      <w:proofErr w:type="spellEnd"/>
      <w:r w:rsidRPr="00FB656E">
        <w:t xml:space="preserve">, </w:t>
      </w:r>
      <w:r>
        <w:t>literally a friend</w:t>
      </w:r>
      <w:r w:rsidRPr="00FB656E">
        <w:t xml:space="preserve">. The sweet </w:t>
      </w:r>
      <w:r>
        <w:t xml:space="preserve">nostalgic </w:t>
      </w:r>
      <w:r w:rsidRPr="00FB656E">
        <w:t xml:space="preserve">moments </w:t>
      </w:r>
      <w:r>
        <w:t>tha</w:t>
      </w:r>
      <w:r w:rsidRPr="00FB656E">
        <w:t>t</w:t>
      </w:r>
      <w:r>
        <w:t xml:space="preserve"> comfort me</w:t>
      </w:r>
      <w:r w:rsidRPr="00FB656E">
        <w:t xml:space="preserve"> are my memories of sitting as a young boy next to my older brother, Nadi, </w:t>
      </w:r>
      <w:r>
        <w:t xml:space="preserve">engaged in </w:t>
      </w:r>
      <w:proofErr w:type="spellStart"/>
      <w:r w:rsidRPr="00F10F50">
        <w:rPr>
          <w:i/>
          <w:iCs/>
        </w:rPr>
        <w:t>havruta</w:t>
      </w:r>
      <w:proofErr w:type="spellEnd"/>
      <w:r>
        <w:t xml:space="preserve"> study</w:t>
      </w:r>
      <w:r w:rsidRPr="00FB656E">
        <w:t xml:space="preserve"> at the Or Etzion</w:t>
      </w:r>
      <w:r w:rsidRPr="00FB656E">
        <w:t xml:space="preserve"> </w:t>
      </w:r>
      <w:r w:rsidRPr="00FB656E">
        <w:t>Yeshiva.</w:t>
      </w:r>
    </w:p>
    <w:p w14:paraId="50004E73" w14:textId="77777777" w:rsidR="00D77B1D" w:rsidRPr="00FB656E" w:rsidRDefault="00D77B1D" w:rsidP="008B3956">
      <w:r w:rsidRPr="00FB656E">
        <w:t xml:space="preserve">I invited </w:t>
      </w:r>
      <w:r>
        <w:t>intellectuals and social activists t</w:t>
      </w:r>
      <w:r w:rsidRPr="00FB656E">
        <w:t xml:space="preserve">o study the </w:t>
      </w:r>
      <w:r w:rsidRPr="008B3956">
        <w:t>stories</w:t>
      </w:r>
      <w:r w:rsidRPr="00FB656E">
        <w:t xml:space="preserve"> of the </w:t>
      </w:r>
      <w:proofErr w:type="spellStart"/>
      <w:r w:rsidRPr="008B3956">
        <w:rPr>
          <w:i/>
          <w:iCs/>
        </w:rPr>
        <w:t>hurban</w:t>
      </w:r>
      <w:proofErr w:type="spellEnd"/>
      <w:r>
        <w:t xml:space="preserve"> with me in</w:t>
      </w:r>
      <w:r w:rsidRPr="00FB656E">
        <w:t xml:space="preserve"> </w:t>
      </w:r>
      <w:proofErr w:type="spellStart"/>
      <w:r w:rsidRPr="008B3956">
        <w:rPr>
          <w:i/>
          <w:iCs/>
        </w:rPr>
        <w:t>h</w:t>
      </w:r>
      <w:r w:rsidRPr="008B3956">
        <w:rPr>
          <w:i/>
          <w:iCs/>
        </w:rPr>
        <w:t>avruta</w:t>
      </w:r>
      <w:proofErr w:type="spellEnd"/>
      <w:r>
        <w:t xml:space="preserve">. My study partners </w:t>
      </w:r>
      <w:r w:rsidRPr="00FB656E">
        <w:t xml:space="preserve">are </w:t>
      </w:r>
      <w:r>
        <w:t xml:space="preserve">all </w:t>
      </w:r>
      <w:r w:rsidRPr="00FB656E">
        <w:t xml:space="preserve">actively engaged in creation, repair, and hope. In my conversations with them, </w:t>
      </w:r>
      <w:r>
        <w:t>we</w:t>
      </w:r>
      <w:r w:rsidRPr="00FB656E">
        <w:t xml:space="preserve"> sought to decipher the profound insight</w:t>
      </w:r>
      <w:r>
        <w:t>s</w:t>
      </w:r>
      <w:r w:rsidRPr="00FB656E">
        <w:t xml:space="preserve"> embedded in these </w:t>
      </w:r>
      <w:r w:rsidRPr="008B3956">
        <w:t>stories</w:t>
      </w:r>
      <w:r w:rsidRPr="00FB656E">
        <w:t xml:space="preserve"> </w:t>
      </w:r>
      <w:r>
        <w:t xml:space="preserve">while </w:t>
      </w:r>
      <w:r w:rsidRPr="00FB656E">
        <w:t>also</w:t>
      </w:r>
      <w:r>
        <w:t xml:space="preserve"> examining them</w:t>
      </w:r>
      <w:r w:rsidRPr="00FB656E">
        <w:t xml:space="preserve"> through the personal lens of contemporary challenges.</w:t>
      </w:r>
    </w:p>
    <w:p w14:paraId="36CE8518" w14:textId="77777777" w:rsidR="00D77B1D" w:rsidRPr="00FB656E" w:rsidRDefault="00D77B1D" w:rsidP="008B3956">
      <w:r w:rsidRPr="00FB656E">
        <w:t xml:space="preserve">The conversations in the book were </w:t>
      </w:r>
      <w:r>
        <w:t xml:space="preserve">edited and </w:t>
      </w:r>
      <w:commentRangeStart w:id="0"/>
      <w:r>
        <w:t>translated</w:t>
      </w:r>
      <w:commentRangeEnd w:id="0"/>
      <w:r>
        <w:rPr>
          <w:rStyle w:val="CommentReference"/>
        </w:rPr>
        <w:commentReference w:id="0"/>
      </w:r>
      <w:r w:rsidRPr="00FB656E">
        <w:t xml:space="preserve">, </w:t>
      </w:r>
      <w:commentRangeStart w:id="1"/>
      <w:r w:rsidRPr="00FB656E">
        <w:t>and referen</w:t>
      </w:r>
      <w:r>
        <w:t xml:space="preserve">ces were </w:t>
      </w:r>
      <w:r w:rsidRPr="00FB656E">
        <w:t>added at the end</w:t>
      </w:r>
      <w:r>
        <w:t xml:space="preserve"> of each one</w:t>
      </w:r>
      <w:r w:rsidRPr="00FB656E">
        <w:t xml:space="preserve"> for the benefit of readers seeking further depth.</w:t>
      </w:r>
      <w:commentRangeEnd w:id="1"/>
      <w:r>
        <w:rPr>
          <w:rStyle w:val="CommentReference"/>
        </w:rPr>
        <w:commentReference w:id="1"/>
      </w:r>
    </w:p>
    <w:p w14:paraId="2BD4B21A" w14:textId="77777777" w:rsidR="00D77B1D" w:rsidRPr="00FB656E" w:rsidRDefault="00D77B1D" w:rsidP="008B3956"/>
    <w:p w14:paraId="19C154C2" w14:textId="77777777" w:rsidR="00D77B1D" w:rsidRPr="00FB656E" w:rsidRDefault="00D77B1D" w:rsidP="008B3956"/>
    <w:p w14:paraId="28DD4AA1" w14:textId="59681F45" w:rsidR="00D77B1D" w:rsidRPr="00FB656E" w:rsidRDefault="00D77B1D" w:rsidP="008B3956">
      <w:pPr>
        <w:pStyle w:val="Heading1"/>
      </w:pPr>
      <w:r w:rsidRPr="00FB656E">
        <w:t>Conclusion</w:t>
      </w:r>
    </w:p>
    <w:p w14:paraId="4C84C626" w14:textId="0A847E53" w:rsidR="00D77B1D" w:rsidRDefault="00D77B1D" w:rsidP="008B3956">
      <w:r>
        <w:t xml:space="preserve">The twisted paths of </w:t>
      </w:r>
      <w:r w:rsidRPr="00FB656E">
        <w:t xml:space="preserve">Jewish history often </w:t>
      </w:r>
      <w:r>
        <w:t>invite</w:t>
      </w:r>
      <w:r w:rsidRPr="00FB656E">
        <w:t xml:space="preserve"> polemics, even </w:t>
      </w:r>
      <w:r>
        <w:t>today</w:t>
      </w:r>
      <w:r w:rsidRPr="00FB656E">
        <w:t xml:space="preserve">. The reason for this may lie in the </w:t>
      </w:r>
      <w:r>
        <w:t>deep</w:t>
      </w:r>
      <w:r w:rsidRPr="00FB656E">
        <w:t xml:space="preserve"> paradox </w:t>
      </w:r>
      <w:r>
        <w:t>in</w:t>
      </w:r>
      <w:r w:rsidRPr="00FB656E">
        <w:t xml:space="preserve"> Jewish historical consciousness</w:t>
      </w:r>
      <w:r>
        <w:t xml:space="preserve">: </w:t>
      </w:r>
      <w:r w:rsidRPr="00FB656E">
        <w:t xml:space="preserve">history </w:t>
      </w:r>
      <w:r>
        <w:t xml:space="preserve">and </w:t>
      </w:r>
      <w:r w:rsidRPr="00FB656E">
        <w:t>the bearers of memory who engage in its examination</w:t>
      </w:r>
      <w:r>
        <w:t xml:space="preserve"> are </w:t>
      </w:r>
      <w:r w:rsidRPr="00FB656E">
        <w:t>at opposite pole</w:t>
      </w:r>
      <w:r>
        <w:t>s</w:t>
      </w:r>
      <w:r w:rsidRPr="00FB656E">
        <w:t>.</w:t>
      </w:r>
      <w:r>
        <w:t xml:space="preserve"> T</w:t>
      </w:r>
      <w:r w:rsidRPr="00FB656E">
        <w:t xml:space="preserve">he historian </w:t>
      </w:r>
      <w:r>
        <w:t>Yosef</w:t>
      </w:r>
      <w:r w:rsidRPr="00FB656E">
        <w:t xml:space="preserve"> </w:t>
      </w:r>
      <w:r>
        <w:t>Haim</w:t>
      </w:r>
      <w:r w:rsidRPr="00FB656E">
        <w:t xml:space="preserve"> Yerushalmi phrased it</w:t>
      </w:r>
      <w:r>
        <w:t xml:space="preserve"> like this:</w:t>
      </w:r>
    </w:p>
    <w:p w14:paraId="1CB27A78" w14:textId="52E507A1" w:rsidR="00D77B1D" w:rsidRPr="008B3956" w:rsidRDefault="00D77B1D" w:rsidP="00D77B1D">
      <w:pPr>
        <w:pStyle w:val="Quote"/>
        <w:bidi/>
        <w:spacing w:line="360" w:lineRule="auto"/>
        <w:ind w:left="720" w:right="720"/>
        <w:jc w:val="left"/>
      </w:pPr>
      <w:commentRangeStart w:id="2"/>
      <w:r w:rsidRPr="008B3956">
        <w:rPr>
          <w:rtl/>
        </w:rPr>
        <w:t>בעוד שהיהדות בכל הדורות לא חדלה לתהות על משמעותה של ההיסטוריה, ההיסטוריוגרפיה עצמה לא מילאה אצל היהודים אלא תפקיד שולי לכל היותר, ותכופות לא מילאה תפקיד כלל; ובעקבות זאת, בעוד שזיכרון העבר היה תמיד גורם מרכזי בהתנסות</w:t>
      </w:r>
      <w:r>
        <w:rPr>
          <w:rFonts w:hint="cs"/>
          <w:rtl/>
        </w:rPr>
        <w:t xml:space="preserve"> </w:t>
      </w:r>
      <w:commentRangeEnd w:id="2"/>
      <w:r>
        <w:rPr>
          <w:rStyle w:val="CommentReference"/>
        </w:rPr>
        <w:commentReference w:id="2"/>
      </w:r>
      <w:r w:rsidRPr="008B3956">
        <w:rPr>
          <w:rtl/>
        </w:rPr>
        <w:t xml:space="preserve"> </w:t>
      </w:r>
      <w:r w:rsidRPr="008B3956">
        <w:rPr>
          <w:rtl/>
        </w:rPr>
        <w:t>ה</w:t>
      </w:r>
      <w:r>
        <w:rPr>
          <w:rtl/>
        </w:rPr>
        <w:t>יהודית, הרי לא ההיסטוריון היה משמרו העיקר</w:t>
      </w:r>
      <w:r>
        <w:rPr>
          <w:rFonts w:hint="cs"/>
          <w:rtl/>
        </w:rPr>
        <w:t>י.</w:t>
      </w:r>
      <w:r w:rsidRPr="008B3956">
        <w:rPr>
          <w:rStyle w:val="FootnoteReference"/>
          <w:rtl/>
        </w:rPr>
        <w:footnoteReference w:id="2"/>
      </w:r>
    </w:p>
    <w:p w14:paraId="06111F32" w14:textId="77777777" w:rsidR="00D77B1D" w:rsidRPr="00FB656E" w:rsidRDefault="00D77B1D" w:rsidP="008B3956">
      <w:r>
        <w:t>A</w:t>
      </w:r>
      <w:r w:rsidRPr="00FB656E">
        <w:t xml:space="preserve">ccording to the </w:t>
      </w:r>
      <w:r>
        <w:t>Yerushalmi</w:t>
      </w:r>
      <w:r>
        <w:t>, t</w:t>
      </w:r>
      <w:r w:rsidRPr="00FB656E">
        <w:t xml:space="preserve">he preservation of Jewish history is a process </w:t>
      </w:r>
      <w:r>
        <w:t>involving</w:t>
      </w:r>
      <w:r w:rsidRPr="00FB656E">
        <w:t xml:space="preserve"> traditions, value clarifications occurring within communities over the years, and </w:t>
      </w:r>
      <w:r>
        <w:t>the</w:t>
      </w:r>
      <w:r w:rsidRPr="00FB656E">
        <w:t xml:space="preserve"> striving to create a connection between the past and the present. Contrary to the modern </w:t>
      </w:r>
      <w:r>
        <w:t>conception of history</w:t>
      </w:r>
      <w:r w:rsidRPr="00FB656E">
        <w:t xml:space="preserve"> that aspires to reach </w:t>
      </w:r>
      <w:r>
        <w:t>“</w:t>
      </w:r>
      <w:r w:rsidRPr="00FB656E">
        <w:t>objective truth,</w:t>
      </w:r>
      <w:r>
        <w:t>”</w:t>
      </w:r>
      <w:r w:rsidRPr="00FB656E">
        <w:t xml:space="preserve"> traditional memory is freed from this obligation, and even sees striving for it as an unnecessary burden.</w:t>
      </w:r>
    </w:p>
    <w:p w14:paraId="77F8F60D" w14:textId="376283FB" w:rsidR="00D77B1D" w:rsidRPr="00FB656E" w:rsidRDefault="00D77B1D" w:rsidP="008B3956">
      <w:r w:rsidRPr="00FB656E">
        <w:t xml:space="preserve">The </w:t>
      </w:r>
      <w:r>
        <w:t>stories</w:t>
      </w:r>
      <w:r w:rsidRPr="00FB656E">
        <w:t xml:space="preserve"> of the </w:t>
      </w:r>
      <w:proofErr w:type="spellStart"/>
      <w:r w:rsidRPr="008B3956">
        <w:rPr>
          <w:i/>
          <w:iCs/>
        </w:rPr>
        <w:t>hurban</w:t>
      </w:r>
      <w:proofErr w:type="spellEnd"/>
      <w:r w:rsidRPr="00FB656E">
        <w:t xml:space="preserve"> </w:t>
      </w:r>
      <w:r>
        <w:t>presented here</w:t>
      </w:r>
      <w:r w:rsidRPr="00FB656E">
        <w:t xml:space="preserve"> express these tendencies: historical events, which </w:t>
      </w:r>
      <w:r>
        <w:t>would</w:t>
      </w:r>
      <w:r w:rsidRPr="00FB656E">
        <w:t xml:space="preserve"> have been </w:t>
      </w:r>
      <w:r>
        <w:t>recorded in a</w:t>
      </w:r>
      <w:r w:rsidRPr="00FB656E">
        <w:t xml:space="preserve"> historical chronicle in the form of narratives</w:t>
      </w:r>
      <w:r>
        <w:t xml:space="preserve"> of</w:t>
      </w:r>
      <w:r w:rsidRPr="00FB656E">
        <w:t xml:space="preserve"> </w:t>
      </w:r>
      <w:r w:rsidRPr="00FB656E">
        <w:t>war and exile,</w:t>
      </w:r>
      <w:r>
        <w:t xml:space="preserve"> perhaps as</w:t>
      </w:r>
      <w:r w:rsidRPr="00FB656E">
        <w:t xml:space="preserve"> part of a dramatic epic, are instead presented in a </w:t>
      </w:r>
      <w:r>
        <w:t>minor key as c</w:t>
      </w:r>
      <w:r w:rsidRPr="00FB656E">
        <w:t xml:space="preserve">onflicts and moral </w:t>
      </w:r>
      <w:r>
        <w:t>dilemmas that arise in</w:t>
      </w:r>
      <w:r w:rsidRPr="00FB656E">
        <w:t xml:space="preserve"> communit</w:t>
      </w:r>
      <w:r>
        <w:t>ies</w:t>
      </w:r>
      <w:r w:rsidRPr="00FB656E">
        <w:t>, famil</w:t>
      </w:r>
      <w:r>
        <w:t>ies</w:t>
      </w:r>
      <w:r w:rsidRPr="00FB656E">
        <w:t xml:space="preserve">, and </w:t>
      </w:r>
      <w:r>
        <w:t>individuals</w:t>
      </w:r>
      <w:r w:rsidRPr="00FB656E">
        <w:t xml:space="preserve">. </w:t>
      </w:r>
      <w:r>
        <w:t>For the Sages, t</w:t>
      </w:r>
      <w:r w:rsidRPr="00FB656E">
        <w:t xml:space="preserve">hese </w:t>
      </w:r>
      <w:r>
        <w:t>are the</w:t>
      </w:r>
      <w:r w:rsidRPr="00FB656E">
        <w:t xml:space="preserve"> agents of memory,</w:t>
      </w:r>
      <w:r>
        <w:t xml:space="preserve"> presenting</w:t>
      </w:r>
      <w:r w:rsidRPr="00FB656E">
        <w:t xml:space="preserve"> the </w:t>
      </w:r>
      <w:r>
        <w:t>sources</w:t>
      </w:r>
      <w:r w:rsidRPr="00FB656E">
        <w:t xml:space="preserve"> of the sin</w:t>
      </w:r>
      <w:r>
        <w:t>s</w:t>
      </w:r>
      <w:r w:rsidRPr="00FB656E">
        <w:t xml:space="preserve">, </w:t>
      </w:r>
      <w:r>
        <w:t>their</w:t>
      </w:r>
      <w:r w:rsidRPr="00FB656E">
        <w:t xml:space="preserve"> </w:t>
      </w:r>
      <w:r>
        <w:t>meanings</w:t>
      </w:r>
      <w:r w:rsidRPr="00FB656E">
        <w:t xml:space="preserve">, as well as </w:t>
      </w:r>
      <w:r>
        <w:t>their punishing</w:t>
      </w:r>
      <w:r w:rsidRPr="00FB656E">
        <w:t xml:space="preserve"> outcome</w:t>
      </w:r>
      <w:r>
        <w:t>s. More gene</w:t>
      </w:r>
      <w:r w:rsidRPr="00FB656E">
        <w:t>rally, the</w:t>
      </w:r>
      <w:r>
        <w:t>se stories present</w:t>
      </w:r>
      <w:r w:rsidRPr="00FB656E">
        <w:t xml:space="preserve"> </w:t>
      </w:r>
      <w:r>
        <w:t>“experiences</w:t>
      </w:r>
      <w:r w:rsidRPr="00FB656E">
        <w:t xml:space="preserve"> of the </w:t>
      </w:r>
      <w:proofErr w:type="spellStart"/>
      <w:r w:rsidRPr="008B3956">
        <w:rPr>
          <w:i/>
          <w:iCs/>
        </w:rPr>
        <w:t>hurban</w:t>
      </w:r>
      <w:proofErr w:type="spellEnd"/>
      <w:r w:rsidRPr="00FB656E">
        <w:t>.</w:t>
      </w:r>
      <w:r>
        <w:t>”</w:t>
      </w:r>
    </w:p>
    <w:p w14:paraId="25044277" w14:textId="77777777" w:rsidR="00D77B1D" w:rsidRPr="00FB656E" w:rsidRDefault="00D77B1D" w:rsidP="008B3956">
      <w:r w:rsidRPr="00FB656E">
        <w:t xml:space="preserve">The nine study sessions that make up this book are a tribute to this process. The intellectuals and </w:t>
      </w:r>
      <w:r>
        <w:t>social activists</w:t>
      </w:r>
      <w:r w:rsidRPr="00FB656E">
        <w:t xml:space="preserve"> I met with sought to read the </w:t>
      </w:r>
      <w:r>
        <w:t>“</w:t>
      </w:r>
      <w:r w:rsidRPr="00FB656E">
        <w:t xml:space="preserve">historical </w:t>
      </w:r>
      <w:r w:rsidRPr="008B3956">
        <w:t>stories</w:t>
      </w:r>
      <w:r>
        <w:t>”</w:t>
      </w:r>
      <w:r w:rsidRPr="00FB656E">
        <w:t xml:space="preserve"> (which are already included</w:t>
      </w:r>
      <w:r>
        <w:t xml:space="preserve"> </w:t>
      </w:r>
      <w:r w:rsidRPr="00FB656E">
        <w:t xml:space="preserve">in the </w:t>
      </w:r>
      <w:r>
        <w:t>“</w:t>
      </w:r>
      <w:r w:rsidRPr="00FB656E">
        <w:t>here and now</w:t>
      </w:r>
      <w:r>
        <w:t>”</w:t>
      </w:r>
      <w:r w:rsidRPr="00FB656E">
        <w:t xml:space="preserve"> realit</w:t>
      </w:r>
      <w:r>
        <w:t>y</w:t>
      </w:r>
      <w:r w:rsidRPr="00FB656E">
        <w:t xml:space="preserve"> of the </w:t>
      </w:r>
      <w:r>
        <w:t>S</w:t>
      </w:r>
      <w:r w:rsidRPr="00FB656E">
        <w:t xml:space="preserve">ages) as relevant to the challenges of the current generation. This is an interpretive homage to the </w:t>
      </w:r>
      <w:r>
        <w:t>creators of these stories</w:t>
      </w:r>
      <w:r>
        <w:rPr>
          <w:rFonts w:ascii="Narkisim" w:hAnsi="Narkisim"/>
        </w:rPr>
        <w:t>—</w:t>
      </w:r>
      <w:r w:rsidRPr="00FB656E">
        <w:t>an attempt to find a contemporary social meaning that parallels events of days gone by.</w:t>
      </w:r>
    </w:p>
    <w:p w14:paraId="2F769EE1" w14:textId="77777777" w:rsidR="00D77B1D" w:rsidRPr="00FB656E" w:rsidRDefault="00D77B1D" w:rsidP="008B3956">
      <w:r w:rsidRPr="00FB656E">
        <w:t xml:space="preserve">The interpretive practice employed by the agents of memory emerges during the readings as a subversive act of leadership. </w:t>
      </w:r>
      <w:r>
        <w:t>The</w:t>
      </w:r>
      <w:r w:rsidRPr="00FB656E">
        <w:t xml:space="preserve"> central challenge facing those who seek to interpret leadership is to identify the connection between the moral-logical </w:t>
      </w:r>
      <w:r>
        <w:t>vision that guides it</w:t>
      </w:r>
      <w:r w:rsidRPr="00FB656E">
        <w:t xml:space="preserve"> and the practical strategy through which the leader chooses to effect change. Upon examining the </w:t>
      </w:r>
      <w:r w:rsidRPr="008B3956">
        <w:t>stories</w:t>
      </w:r>
      <w:r w:rsidRPr="00FB656E">
        <w:t xml:space="preserve">, the concept of </w:t>
      </w:r>
      <w:r>
        <w:t>attribution</w:t>
      </w:r>
      <w:r w:rsidRPr="00FB656E">
        <w:t xml:space="preserve"> emerges as a central theme, familiar from social </w:t>
      </w:r>
      <w:r>
        <w:t>p</w:t>
      </w:r>
      <w:r w:rsidRPr="00FB656E">
        <w:t>sychology.</w:t>
      </w:r>
    </w:p>
    <w:p w14:paraId="74B9FACC" w14:textId="77777777" w:rsidR="00D77B1D" w:rsidRPr="00FB656E" w:rsidRDefault="00D77B1D" w:rsidP="008B3956">
      <w:r w:rsidRPr="00FB656E">
        <w:t>Attribution Theory</w:t>
      </w:r>
      <w:r w:rsidRPr="008B3956">
        <w:rPr>
          <w:rStyle w:val="FootnoteReference"/>
          <w:rtl/>
        </w:rPr>
        <w:footnoteReference w:id="3"/>
      </w:r>
      <w:r w:rsidRPr="00FB656E">
        <w:t xml:space="preserve"> seeks to </w:t>
      </w:r>
      <w:r>
        <w:t>understand the</w:t>
      </w:r>
      <w:r w:rsidRPr="00FB656E">
        <w:t xml:space="preserve"> processes that people undergo in </w:t>
      </w:r>
      <w:r>
        <w:t>seeking</w:t>
      </w:r>
      <w:r w:rsidRPr="00FB656E">
        <w:t xml:space="preserve"> to gain information about the motives, traits, </w:t>
      </w:r>
      <w:r>
        <w:t xml:space="preserve">and </w:t>
      </w:r>
      <w:r w:rsidRPr="00FB656E">
        <w:t>life goals</w:t>
      </w:r>
      <w:r w:rsidRPr="00FB656E">
        <w:t xml:space="preserve"> </w:t>
      </w:r>
      <w:r w:rsidRPr="00FB656E">
        <w:t xml:space="preserve">of others. According to this theory, there is a special significance to the way a person interprets </w:t>
      </w:r>
      <w:proofErr w:type="gramStart"/>
      <w:r w:rsidRPr="00FB656E">
        <w:t>situations</w:t>
      </w:r>
      <w:proofErr w:type="gramEnd"/>
      <w:r>
        <w:t xml:space="preserve"> and th</w:t>
      </w:r>
      <w:r w:rsidRPr="00FB656E">
        <w:t>is interpretation may have far-reaching implications for determining his future behavior.</w:t>
      </w:r>
    </w:p>
    <w:p w14:paraId="1DD754E1" w14:textId="596DFB84" w:rsidR="00D77B1D" w:rsidRPr="00FB656E" w:rsidRDefault="00D77B1D" w:rsidP="008B3956">
      <w:r w:rsidRPr="00FB656E">
        <w:t>The shared readings focused on the reciprocal relationships and elusive ties between the ethical and the psychological. One of the central phenomena in the various texts is the narrator</w:t>
      </w:r>
      <w:r>
        <w:t>’</w:t>
      </w:r>
      <w:r w:rsidRPr="00FB656E">
        <w:t xml:space="preserve">s choice to attribute the </w:t>
      </w:r>
      <w:r>
        <w:t>source of the tragedy to</w:t>
      </w:r>
      <w:r w:rsidRPr="00FB656E">
        <w:t xml:space="preserve"> his community or his people. This is a surprising choice, contrary to the </w:t>
      </w:r>
      <w:r>
        <w:t>universal</w:t>
      </w:r>
      <w:r w:rsidRPr="00FB656E">
        <w:t xml:space="preserve"> human need to blame the perpetrator, the one who physically caused the destruction. </w:t>
      </w:r>
      <w:r>
        <w:t>The greater</w:t>
      </w:r>
      <w:r w:rsidRPr="00FB656E">
        <w:t xml:space="preserve"> the trauma, and </w:t>
      </w:r>
      <w:r>
        <w:t>the</w:t>
      </w:r>
      <w:r w:rsidRPr="00FB656E">
        <w:t xml:space="preserve"> wide</w:t>
      </w:r>
      <w:r>
        <w:t>r</w:t>
      </w:r>
      <w:r w:rsidRPr="00FB656E">
        <w:t xml:space="preserve"> its scope, </w:t>
      </w:r>
      <w:r>
        <w:t>the greater the</w:t>
      </w:r>
      <w:r w:rsidRPr="00FB656E">
        <w:t xml:space="preserve"> need to find perspectives that direct their gaze outward</w:t>
      </w:r>
      <w:r>
        <w:t xml:space="preserve"> in blame,</w:t>
      </w:r>
      <w:r w:rsidRPr="00FB656E">
        <w:t xml:space="preserve"> </w:t>
      </w:r>
      <w:r>
        <w:t>attributing the disaster and distress to others</w:t>
      </w:r>
      <w:r w:rsidRPr="00FB656E">
        <w:t>. The denunciation of the enemy, the cultivation of his demonic image, and the desire for his annihilation</w:t>
      </w:r>
      <w:r w:rsidRPr="00D71601">
        <w:rPr>
          <w:rFonts w:cs="Times New Roman"/>
        </w:rPr>
        <w:t>—</w:t>
      </w:r>
      <w:r w:rsidRPr="00FB656E">
        <w:t xml:space="preserve">all these </w:t>
      </w:r>
      <w:r>
        <w:t>are absent from</w:t>
      </w:r>
      <w:r w:rsidRPr="00FB656E">
        <w:t xml:space="preserve"> the central narrative</w:t>
      </w:r>
      <w:r>
        <w:t>s</w:t>
      </w:r>
      <w:r w:rsidRPr="00FB656E">
        <w:t xml:space="preserve">, and perhaps are even </w:t>
      </w:r>
      <w:r>
        <w:t xml:space="preserve">actively </w:t>
      </w:r>
      <w:r w:rsidRPr="00FB656E">
        <w:t>silenced by those who perceive</w:t>
      </w:r>
      <w:r>
        <w:t>d</w:t>
      </w:r>
      <w:r w:rsidRPr="00FB656E">
        <w:t xml:space="preserve"> themselves as the spiritual leaders of the Jewish people during that period. </w:t>
      </w:r>
      <w:r>
        <w:t xml:space="preserve">An example is the text opening with </w:t>
      </w:r>
      <w:r>
        <w:t>“</w:t>
      </w:r>
      <w:r w:rsidRPr="00FB656E">
        <w:t>Jerusalem was destroyed only because</w:t>
      </w:r>
      <w:r>
        <w:t>…”</w:t>
      </w:r>
      <w:r w:rsidRPr="00FB656E">
        <w:t xml:space="preserve"> </w:t>
      </w:r>
      <w:r>
        <w:t>The r</w:t>
      </w:r>
      <w:r w:rsidRPr="00FB656E">
        <w:t>eader</w:t>
      </w:r>
      <w:r>
        <w:t>’</w:t>
      </w:r>
      <w:r w:rsidRPr="00FB656E">
        <w:t>s expectation from th</w:t>
      </w:r>
      <w:r>
        <w:t>is</w:t>
      </w:r>
      <w:r w:rsidRPr="00FB656E">
        <w:t xml:space="preserve"> opening </w:t>
      </w:r>
      <w:r>
        <w:t>structure</w:t>
      </w:r>
      <w:r w:rsidRPr="00FB656E">
        <w:t xml:space="preserve"> is for </w:t>
      </w:r>
      <w:r>
        <w:t>the</w:t>
      </w:r>
      <w:r w:rsidRPr="00FB656E">
        <w:t xml:space="preserve"> continuation </w:t>
      </w:r>
      <w:r>
        <w:t>to</w:t>
      </w:r>
      <w:r w:rsidRPr="00FB656E">
        <w:t xml:space="preserve"> indicate a single, cruel </w:t>
      </w:r>
      <w:r>
        <w:t>external</w:t>
      </w:r>
      <w:r w:rsidRPr="00FB656E">
        <w:t xml:space="preserve"> enemy</w:t>
      </w:r>
      <w:r>
        <w:t xml:space="preserve"> who brought this upon us</w:t>
      </w:r>
      <w:r w:rsidRPr="00FB656E">
        <w:t xml:space="preserve">. </w:t>
      </w:r>
      <w:r>
        <w:t>Instead, the narrative structure</w:t>
      </w:r>
      <w:r w:rsidRPr="00FB656E">
        <w:t xml:space="preserve"> surprisingly points to </w:t>
      </w:r>
      <w:r>
        <w:t>an</w:t>
      </w:r>
      <w:r w:rsidRPr="00FB656E">
        <w:t xml:space="preserve"> </w:t>
      </w:r>
      <w:r>
        <w:t>“</w:t>
      </w:r>
      <w:r w:rsidRPr="00FB656E">
        <w:t>internal enemy</w:t>
      </w:r>
      <w:proofErr w:type="gramStart"/>
      <w:r>
        <w:t>”</w:t>
      </w:r>
      <w:r w:rsidRPr="00FB656E">
        <w:t>,</w:t>
      </w:r>
      <w:proofErr w:type="gramEnd"/>
      <w:r w:rsidRPr="00FB656E">
        <w:t xml:space="preserve"> and to heighten the irony, </w:t>
      </w:r>
      <w:r>
        <w:t>this is</w:t>
      </w:r>
      <w:r w:rsidRPr="00FB656E">
        <w:t xml:space="preserve"> identified with the will of God, with the good, with the seemingly </w:t>
      </w:r>
      <w:r>
        <w:t>positive</w:t>
      </w:r>
      <w:r w:rsidRPr="00FB656E">
        <w:t xml:space="preserve"> phenomenon, </w:t>
      </w:r>
      <w:r>
        <w:t>“</w:t>
      </w:r>
      <w:r w:rsidRPr="00FB656E">
        <w:t xml:space="preserve">because they judged </w:t>
      </w:r>
      <w:r>
        <w:t>in it</w:t>
      </w:r>
      <w:r w:rsidRPr="00FB656E">
        <w:t xml:space="preserve"> by the law of Torah</w:t>
      </w:r>
      <w:r>
        <w:t>.”</w:t>
      </w:r>
    </w:p>
    <w:p w14:paraId="68DFFD73" w14:textId="07D6CEEE" w:rsidR="00D77B1D" w:rsidRPr="00FB656E" w:rsidRDefault="00D77B1D" w:rsidP="008B3956">
      <w:r w:rsidRPr="00FB656E">
        <w:t>This choice</w:t>
      </w:r>
      <w:r>
        <w:t xml:space="preserve"> to turn their gaze inward</w:t>
      </w:r>
      <w:r w:rsidRPr="00FB656E">
        <w:t xml:space="preserve"> is amplified given that some of the </w:t>
      </w:r>
      <w:r>
        <w:t>S</w:t>
      </w:r>
      <w:r w:rsidRPr="00FB656E">
        <w:t>ages were second and third generation post-</w:t>
      </w:r>
      <w:proofErr w:type="spellStart"/>
      <w:r w:rsidRPr="008B3956">
        <w:rPr>
          <w:i/>
          <w:iCs/>
        </w:rPr>
        <w:t>hurban</w:t>
      </w:r>
      <w:proofErr w:type="spellEnd"/>
      <w:r w:rsidRPr="00FB656E">
        <w:t xml:space="preserve">. Others, members of even later generations, grapple with the implications of the national </w:t>
      </w:r>
      <w:r>
        <w:t>disaster</w:t>
      </w:r>
      <w:r w:rsidRPr="00FB656E">
        <w:t xml:space="preserve"> </w:t>
      </w:r>
      <w:r>
        <w:t>in</w:t>
      </w:r>
      <w:r w:rsidRPr="00FB656E">
        <w:t xml:space="preserve"> their time and with the living echo of the collective memory. </w:t>
      </w:r>
      <w:r>
        <w:t>Focusing on the internal</w:t>
      </w:r>
      <w:r w:rsidRPr="00FB656E">
        <w:t xml:space="preserve"> moral </w:t>
      </w:r>
      <w:r>
        <w:t>flaw</w:t>
      </w:r>
      <w:r w:rsidRPr="00FB656E">
        <w:t xml:space="preserve"> </w:t>
      </w:r>
      <w:r>
        <w:t>and</w:t>
      </w:r>
      <w:r w:rsidRPr="00FB656E">
        <w:t xml:space="preserve"> removing the</w:t>
      </w:r>
      <w:r w:rsidR="00AA5411">
        <w:t>ir</w:t>
      </w:r>
      <w:r w:rsidRPr="00FB656E">
        <w:t xml:space="preserve"> gaze from the humiliation and the </w:t>
      </w:r>
      <w:r>
        <w:t>experience</w:t>
      </w:r>
      <w:r w:rsidRPr="00FB656E">
        <w:t xml:space="preserve"> of persecution</w:t>
      </w:r>
      <w:r>
        <w:t xml:space="preserve"> comes at a price. Identifying as a victim can </w:t>
      </w:r>
      <w:r w:rsidRPr="00FB656E">
        <w:t xml:space="preserve">sometimes provide some comfort to populations who have suffered abuse by a cruel ruler. The </w:t>
      </w:r>
      <w:r w:rsidRPr="008B3956">
        <w:t>stories</w:t>
      </w:r>
      <w:r w:rsidRPr="00FB656E">
        <w:t xml:space="preserve"> in the book are part of </w:t>
      </w:r>
      <w:r>
        <w:t>the</w:t>
      </w:r>
      <w:r w:rsidRPr="00FB656E">
        <w:t xml:space="preserve"> broader engagement </w:t>
      </w:r>
      <w:r>
        <w:t>of</w:t>
      </w:r>
      <w:r w:rsidRPr="00FB656E">
        <w:t xml:space="preserve"> Talmudic and post-Talmudic literature in the </w:t>
      </w:r>
      <w:r>
        <w:t>sources</w:t>
      </w:r>
      <w:r w:rsidRPr="00FB656E">
        <w:t xml:space="preserve"> of the </w:t>
      </w:r>
      <w:proofErr w:type="spellStart"/>
      <w:r w:rsidRPr="008B3956">
        <w:rPr>
          <w:i/>
          <w:iCs/>
        </w:rPr>
        <w:t>hurban</w:t>
      </w:r>
      <w:proofErr w:type="spellEnd"/>
      <w:r w:rsidRPr="00FB656E">
        <w:t xml:space="preserve">, its scope, its intensity, and its implications. </w:t>
      </w:r>
      <w:r>
        <w:t>This extensive</w:t>
      </w:r>
      <w:r w:rsidRPr="00FB656E">
        <w:t xml:space="preserve"> engagement is </w:t>
      </w:r>
      <w:r>
        <w:t>to be expected</w:t>
      </w:r>
      <w:r w:rsidRPr="00FB656E">
        <w:t xml:space="preserve"> due to the dimensions of the national catastrophe, but its unique nature attests to the urgency felt by the </w:t>
      </w:r>
      <w:r>
        <w:t>S</w:t>
      </w:r>
      <w:r w:rsidRPr="00FB656E">
        <w:t xml:space="preserve">ages </w:t>
      </w:r>
      <w:r>
        <w:t>to</w:t>
      </w:r>
      <w:r w:rsidRPr="00FB656E">
        <w:t xml:space="preserve"> give meaning to human existence in general, and to </w:t>
      </w:r>
      <w:r>
        <w:t xml:space="preserve">address </w:t>
      </w:r>
      <w:r w:rsidRPr="00FB656E">
        <w:t xml:space="preserve">the question of suffering and evil in particular. The </w:t>
      </w:r>
      <w:proofErr w:type="spellStart"/>
      <w:r w:rsidRPr="008B3956">
        <w:rPr>
          <w:i/>
          <w:iCs/>
        </w:rPr>
        <w:t>hurban</w:t>
      </w:r>
      <w:proofErr w:type="spellEnd"/>
      <w:r w:rsidRPr="00FB656E">
        <w:t xml:space="preserve"> served as a test case for them</w:t>
      </w:r>
      <w:r>
        <w:t xml:space="preserve"> and as</w:t>
      </w:r>
      <w:r w:rsidRPr="00FB656E">
        <w:t xml:space="preserve"> an opportunity to shape consciousness. </w:t>
      </w:r>
      <w:r>
        <w:t>T</w:t>
      </w:r>
      <w:r w:rsidRPr="00FB656E">
        <w:t xml:space="preserve">hey </w:t>
      </w:r>
      <w:r>
        <w:t>used these stories</w:t>
      </w:r>
      <w:r w:rsidRPr="00FB656E">
        <w:t xml:space="preserve"> to embed within the</w:t>
      </w:r>
      <w:r>
        <w:t>ir</w:t>
      </w:r>
      <w:r w:rsidRPr="00FB656E">
        <w:t xml:space="preserve"> audience the </w:t>
      </w:r>
      <w:r>
        <w:t>practice</w:t>
      </w:r>
      <w:r w:rsidRPr="00FB656E">
        <w:t xml:space="preserve"> of introspection</w:t>
      </w:r>
      <w:r>
        <w:t xml:space="preserve">, of </w:t>
      </w:r>
      <w:r w:rsidRPr="00FB656E">
        <w:t xml:space="preserve">using tragedy as a lever for deep moral clarification </w:t>
      </w:r>
      <w:r>
        <w:t>to bring about</w:t>
      </w:r>
      <w:r w:rsidRPr="00FB656E">
        <w:t xml:space="preserve"> rectification </w:t>
      </w:r>
      <w:r>
        <w:t>in the life of the</w:t>
      </w:r>
      <w:r w:rsidRPr="00FB656E">
        <w:t xml:space="preserve"> individual</w:t>
      </w:r>
      <w:r>
        <w:t xml:space="preserve"> and </w:t>
      </w:r>
      <w:r w:rsidRPr="00FB656E">
        <w:t>the society in which he operates. The internal attribution</w:t>
      </w:r>
      <w:r>
        <w:t xml:space="preserve"> of the disaster</w:t>
      </w:r>
      <w:r w:rsidRPr="00FB656E">
        <w:t xml:space="preserve"> is therefore a call to </w:t>
      </w:r>
      <w:r>
        <w:t xml:space="preserve">a </w:t>
      </w:r>
      <w:r w:rsidRPr="00FB656E">
        <w:t>complex action</w:t>
      </w:r>
      <w:r>
        <w:t xml:space="preserve"> of</w:t>
      </w:r>
      <w:r w:rsidRPr="00FB656E">
        <w:t xml:space="preserve"> </w:t>
      </w:r>
      <w:r>
        <w:t>overcoming</w:t>
      </w:r>
      <w:r w:rsidRPr="00FB656E">
        <w:t xml:space="preserve"> </w:t>
      </w:r>
      <w:r>
        <w:t>passive</w:t>
      </w:r>
      <w:r w:rsidRPr="00FB656E">
        <w:t xml:space="preserve"> patterns </w:t>
      </w:r>
      <w:r>
        <w:t xml:space="preserve">of </w:t>
      </w:r>
      <w:r w:rsidRPr="00FB656E">
        <w:t>thought characterized by despondency</w:t>
      </w:r>
      <w:r>
        <w:t>,</w:t>
      </w:r>
      <w:r w:rsidRPr="00FB656E">
        <w:t xml:space="preserve"> victimhood</w:t>
      </w:r>
      <w:r>
        <w:t xml:space="preserve">, </w:t>
      </w:r>
      <w:r w:rsidRPr="00FB656E">
        <w:t xml:space="preserve">and </w:t>
      </w:r>
      <w:r>
        <w:t>self-righteousness.</w:t>
      </w:r>
      <w:r>
        <w:rPr>
          <w:rStyle w:val="FootnoteReference"/>
        </w:rPr>
        <w:footnoteReference w:id="4"/>
      </w:r>
      <w:r w:rsidRPr="00FB656E">
        <w:t xml:space="preserve"> </w:t>
      </w:r>
      <w:r>
        <w:t>T</w:t>
      </w:r>
      <w:r w:rsidRPr="00FB656E">
        <w:t xml:space="preserve">he nine readings in the book </w:t>
      </w:r>
      <w:r>
        <w:t>can</w:t>
      </w:r>
      <w:r w:rsidRPr="00FB656E">
        <w:t xml:space="preserve"> therefore </w:t>
      </w:r>
      <w:r>
        <w:t>serve as a source of</w:t>
      </w:r>
      <w:r w:rsidRPr="00FB656E">
        <w:t xml:space="preserve"> fundamental principles for the </w:t>
      </w:r>
      <w:r>
        <w:t>rectification</w:t>
      </w:r>
      <w:r w:rsidRPr="00FB656E">
        <w:t xml:space="preserve"> of society:</w:t>
      </w:r>
    </w:p>
    <w:p w14:paraId="740B0A14" w14:textId="77777777" w:rsidR="00D77B1D" w:rsidRPr="00FB656E" w:rsidRDefault="00D77B1D" w:rsidP="005F2288">
      <w:r>
        <w:t>The</w:t>
      </w:r>
      <w:r w:rsidRPr="00FB656E">
        <w:t xml:space="preserve"> uncompromising demand that encourages </w:t>
      </w:r>
      <w:r w:rsidRPr="00657F52">
        <w:rPr>
          <w:i/>
          <w:iCs/>
        </w:rPr>
        <w:t>taking a stand</w:t>
      </w:r>
      <w:r w:rsidRPr="00FB656E">
        <w:t xml:space="preserve"> even in </w:t>
      </w:r>
      <w:r>
        <w:t xml:space="preserve">complex </w:t>
      </w:r>
      <w:r w:rsidRPr="00FB656E">
        <w:t>situations</w:t>
      </w:r>
      <w:r>
        <w:t xml:space="preserve"> is at the foundation of </w:t>
      </w:r>
      <w:r w:rsidRPr="00FB656E">
        <w:t xml:space="preserve">the </w:t>
      </w:r>
      <w:proofErr w:type="spellStart"/>
      <w:r w:rsidRPr="00FB656E">
        <w:t>Kamtza</w:t>
      </w:r>
      <w:proofErr w:type="spellEnd"/>
      <w:r w:rsidRPr="00FB656E">
        <w:t xml:space="preserve"> and Bar </w:t>
      </w:r>
      <w:proofErr w:type="spellStart"/>
      <w:r w:rsidRPr="00FB656E">
        <w:t>Kamtza</w:t>
      </w:r>
      <w:proofErr w:type="spellEnd"/>
      <w:r w:rsidRPr="00FB656E">
        <w:t xml:space="preserve"> </w:t>
      </w:r>
      <w:r>
        <w:t>story</w:t>
      </w:r>
      <w:r w:rsidRPr="00FB656E">
        <w:t xml:space="preserve">. The </w:t>
      </w:r>
      <w:r>
        <w:t xml:space="preserve">requirement that leaders </w:t>
      </w:r>
      <w:r w:rsidRPr="00FB656E">
        <w:t>broaden</w:t>
      </w:r>
      <w:r>
        <w:t xml:space="preserve"> their </w:t>
      </w:r>
      <w:r w:rsidRPr="00FB656E">
        <w:t xml:space="preserve">perspective in times of crisis stands in contrast to the natural tendency to narrow </w:t>
      </w:r>
      <w:r>
        <w:t>the focus to ensure</w:t>
      </w:r>
      <w:r w:rsidRPr="00FB656E">
        <w:t xml:space="preserve"> survival, </w:t>
      </w:r>
      <w:r>
        <w:t>or out of</w:t>
      </w:r>
      <w:r w:rsidRPr="00FB656E">
        <w:t xml:space="preserve"> utilitarian calculations, dependent on time and place. The need for far-reaching decisions stands in </w:t>
      </w:r>
      <w:r>
        <w:t>contrast</w:t>
      </w:r>
      <w:r w:rsidRPr="00FB656E">
        <w:t xml:space="preserve"> to </w:t>
      </w:r>
      <w:r>
        <w:t>the approach that</w:t>
      </w:r>
      <w:r w:rsidRPr="00FB656E">
        <w:t xml:space="preserve"> encourages adaptation </w:t>
      </w:r>
      <w:r>
        <w:t>and focus on the present</w:t>
      </w:r>
      <w:r w:rsidRPr="00FB656E">
        <w:t xml:space="preserve">. This is the </w:t>
      </w:r>
      <w:r>
        <w:t>meaning</w:t>
      </w:r>
      <w:r w:rsidRPr="00FB656E">
        <w:t xml:space="preserve"> of </w:t>
      </w:r>
      <w:r>
        <w:t>the story’s condemnation of the sages</w:t>
      </w:r>
      <w:r w:rsidRPr="00FB656E">
        <w:t xml:space="preserve"> who </w:t>
      </w:r>
      <w:r>
        <w:t>“</w:t>
      </w:r>
      <w:r w:rsidRPr="00FB656E">
        <w:t>did not protest,</w:t>
      </w:r>
      <w:r>
        <w:t>”</w:t>
      </w:r>
      <w:r w:rsidRPr="00FB656E">
        <w:t xml:space="preserve"> meaning, they </w:t>
      </w:r>
      <w:r>
        <w:t>were passive</w:t>
      </w:r>
      <w:r w:rsidRPr="00FB656E">
        <w:t>. In doing so, they implemented the principle that would only be articulated many years later by the 18th-century Irish political philosopher Edmund Burke</w:t>
      </w:r>
      <w:r>
        <w:t xml:space="preserve"> that </w:t>
      </w:r>
      <w:commentRangeStart w:id="3"/>
      <w:r w:rsidRPr="00922962">
        <w:t>“</w:t>
      </w:r>
      <w:r>
        <w:t>t</w:t>
      </w:r>
      <w:r w:rsidRPr="00922962">
        <w:t>he only thing necessary for the triumph of evil is for good men to do nothing</w:t>
      </w:r>
      <w:r>
        <w:t>.</w:t>
      </w:r>
      <w:r w:rsidRPr="00922962">
        <w:t>”</w:t>
      </w:r>
      <w:commentRangeEnd w:id="3"/>
      <w:r>
        <w:rPr>
          <w:rStyle w:val="CommentReference"/>
        </w:rPr>
        <w:commentReference w:id="3"/>
      </w:r>
    </w:p>
    <w:p w14:paraId="668E9148" w14:textId="09CE5122" w:rsidR="00D77B1D" w:rsidRPr="00FB656E" w:rsidRDefault="00D77B1D" w:rsidP="007C1A58">
      <w:r w:rsidRPr="00FB656E">
        <w:t xml:space="preserve">How </w:t>
      </w:r>
      <w:proofErr w:type="gramStart"/>
      <w:r w:rsidRPr="00FB656E">
        <w:t>is</w:t>
      </w:r>
      <w:proofErr w:type="gramEnd"/>
      <w:r w:rsidRPr="00FB656E">
        <w:t xml:space="preserve"> justice </w:t>
      </w:r>
      <w:r>
        <w:rPr>
          <w:lang w:val="en-US"/>
        </w:rPr>
        <w:t>manifest</w:t>
      </w:r>
      <w:r w:rsidRPr="00FB656E">
        <w:t xml:space="preserve">? </w:t>
      </w:r>
      <w:r>
        <w:t>Is it in an</w:t>
      </w:r>
      <w:r w:rsidRPr="00FB656E">
        <w:t xml:space="preserve"> abundance of details and the orderly laws that exist </w:t>
      </w:r>
      <w:r>
        <w:t>between</w:t>
      </w:r>
      <w:r w:rsidRPr="00FB656E">
        <w:t xml:space="preserve"> them, or perhaps </w:t>
      </w:r>
      <w:r>
        <w:t>the spirit of justice is an abstraction that needs to be realized?</w:t>
      </w:r>
      <w:r w:rsidRPr="00FB656E">
        <w:t xml:space="preserve"> The ironic assertion </w:t>
      </w:r>
      <w:r>
        <w:t>“Jerusalem was destroyed only because they judged in it by the law of Torah”</w:t>
      </w:r>
      <w:r>
        <w:t xml:space="preserve"> </w:t>
      </w:r>
      <w:r w:rsidRPr="00FB656E">
        <w:t xml:space="preserve">clearly refers to the latter possibility, according to which </w:t>
      </w:r>
      <w:r w:rsidRPr="00F7375F">
        <w:rPr>
          <w:i/>
          <w:iCs/>
        </w:rPr>
        <w:t xml:space="preserve">the spirit of justice </w:t>
      </w:r>
      <w:r w:rsidRPr="00FB656E">
        <w:t xml:space="preserve">is </w:t>
      </w:r>
      <w:r>
        <w:t>superior to</w:t>
      </w:r>
      <w:r w:rsidRPr="00FB656E">
        <w:t xml:space="preserve"> justice and the spirit of </w:t>
      </w:r>
      <w:r>
        <w:t xml:space="preserve">the </w:t>
      </w:r>
      <w:r w:rsidRPr="00FB656E">
        <w:t xml:space="preserve">law is </w:t>
      </w:r>
      <w:r>
        <w:t>superior to the</w:t>
      </w:r>
      <w:r w:rsidRPr="00FB656E">
        <w:t xml:space="preserve"> law. The aspiration to establish a world built solely on a formalistic order of laws </w:t>
      </w:r>
      <w:r>
        <w:t xml:space="preserve">threatens </w:t>
      </w:r>
      <w:r w:rsidRPr="00FB656E">
        <w:t xml:space="preserve">bitter </w:t>
      </w:r>
      <w:r>
        <w:t>results</w:t>
      </w:r>
      <w:r w:rsidRPr="00FB656E">
        <w:t xml:space="preserve"> and even national disaster. A necessary condition for the existence of a well-ordered society is the creation of conditions for the construction of </w:t>
      </w:r>
      <w:r>
        <w:t xml:space="preserve">the </w:t>
      </w:r>
      <w:r w:rsidRPr="00FB656E">
        <w:t xml:space="preserve">legal </w:t>
      </w:r>
      <w:r w:rsidR="00626C4D">
        <w:t>infrastructure</w:t>
      </w:r>
      <w:r w:rsidRPr="00FB656E">
        <w:t xml:space="preserve"> which </w:t>
      </w:r>
      <w:r>
        <w:t>can</w:t>
      </w:r>
      <w:r w:rsidRPr="00FB656E">
        <w:t xml:space="preserve"> apply a variety of balancing principles to the formal judicial system. </w:t>
      </w:r>
      <w:r>
        <w:t>This infrastructure plays</w:t>
      </w:r>
      <w:r w:rsidRPr="00FB656E">
        <w:t xml:space="preserve"> a central role in preserving </w:t>
      </w:r>
      <w:r>
        <w:t>a</w:t>
      </w:r>
      <w:r w:rsidRPr="00FB656E">
        <w:t xml:space="preserve"> society</w:t>
      </w:r>
      <w:r>
        <w:t>’s</w:t>
      </w:r>
      <w:r w:rsidRPr="00FB656E">
        <w:t xml:space="preserve"> </w:t>
      </w:r>
      <w:r w:rsidRPr="00FB656E">
        <w:t>moral value</w:t>
      </w:r>
      <w:r>
        <w:t>s, preventing the collapse of</w:t>
      </w:r>
      <w:r w:rsidRPr="00FB656E">
        <w:t xml:space="preserve"> justice into a discourse of details</w:t>
      </w:r>
      <w:r>
        <w:t xml:space="preserve"> that is</w:t>
      </w:r>
      <w:r w:rsidRPr="00FB656E">
        <w:t xml:space="preserve"> alien to the spirit of justice and truth.</w:t>
      </w:r>
    </w:p>
    <w:p w14:paraId="06686647" w14:textId="60B48CD7" w:rsidR="00D77B1D" w:rsidRPr="00FB656E" w:rsidRDefault="00D77B1D" w:rsidP="008B3956">
      <w:r w:rsidRPr="00FB656E">
        <w:t>Despite its</w:t>
      </w:r>
      <w:r>
        <w:t xml:space="preserve"> often being identified as a </w:t>
      </w:r>
      <w:r w:rsidRPr="00FB656E">
        <w:t>utilitarian need,</w:t>
      </w:r>
      <w:r>
        <w:t xml:space="preserve"> </w:t>
      </w:r>
      <w:r w:rsidRPr="00031095">
        <w:rPr>
          <w:i/>
          <w:iCs/>
        </w:rPr>
        <w:t>compromise</w:t>
      </w:r>
      <w:r w:rsidRPr="00FB656E">
        <w:t xml:space="preserve"> is often </w:t>
      </w:r>
      <w:r>
        <w:t>morally preferable</w:t>
      </w:r>
      <w:r w:rsidRPr="00FB656E">
        <w:t xml:space="preserve">. The </w:t>
      </w:r>
      <w:r>
        <w:t>story</w:t>
      </w:r>
      <w:r w:rsidRPr="00FB656E">
        <w:t xml:space="preserve"> that tells of Rabban Yohanan ben Zakkai</w:t>
      </w:r>
      <w:r>
        <w:t>’</w:t>
      </w:r>
      <w:r w:rsidRPr="00FB656E">
        <w:t xml:space="preserve">s choice to flee besieged </w:t>
      </w:r>
      <w:r>
        <w:t>Jerusalem</w:t>
      </w:r>
      <w:r w:rsidRPr="00FB656E">
        <w:t xml:space="preserve"> and negotiate with the </w:t>
      </w:r>
      <w:r>
        <w:t>besiegers</w:t>
      </w:r>
      <w:r w:rsidRPr="00FB656E">
        <w:t xml:space="preserve"> </w:t>
      </w:r>
      <w:r>
        <w:t>reveals</w:t>
      </w:r>
      <w:r w:rsidRPr="00FB656E">
        <w:t xml:space="preserve"> </w:t>
      </w:r>
      <w:r>
        <w:t>how central</w:t>
      </w:r>
      <w:r w:rsidRPr="00FB656E">
        <w:t xml:space="preserve"> compromise </w:t>
      </w:r>
      <w:r>
        <w:t>must be in</w:t>
      </w:r>
      <w:r w:rsidRPr="00FB656E">
        <w:t xml:space="preserve"> the ethical discourse </w:t>
      </w:r>
      <w:r>
        <w:t>of</w:t>
      </w:r>
      <w:r w:rsidRPr="00FB656E">
        <w:t xml:space="preserve"> spiritual and political leaders. </w:t>
      </w:r>
      <w:r>
        <w:t>It</w:t>
      </w:r>
      <w:r w:rsidRPr="00FB656E">
        <w:t xml:space="preserve"> is an alternative that </w:t>
      </w:r>
      <w:r>
        <w:t>is often the best solution</w:t>
      </w:r>
      <w:r w:rsidRPr="00FB656E">
        <w:t>, not a secondary one</w:t>
      </w:r>
      <w:r>
        <w:t>. This attitude is</w:t>
      </w:r>
      <w:r w:rsidRPr="00FB656E">
        <w:t xml:space="preserve"> part of a worldview </w:t>
      </w:r>
      <w:r>
        <w:t>in which</w:t>
      </w:r>
      <w:r w:rsidRPr="00FB656E">
        <w:t xml:space="preserve"> pragmatism and ethical leadership do not contradict </w:t>
      </w:r>
      <w:r>
        <w:t>one an</w:t>
      </w:r>
      <w:r w:rsidRPr="00FB656E">
        <w:t>other.</w:t>
      </w:r>
    </w:p>
    <w:p w14:paraId="6E287394" w14:textId="17EEEAFB" w:rsidR="00D77B1D" w:rsidRPr="00FB656E" w:rsidRDefault="00D77B1D" w:rsidP="008B3956">
      <w:r>
        <w:t>L</w:t>
      </w:r>
      <w:r w:rsidRPr="00FB656E">
        <w:t xml:space="preserve">eaders guiding </w:t>
      </w:r>
      <w:r>
        <w:t>a</w:t>
      </w:r>
      <w:r w:rsidRPr="00FB656E">
        <w:t xml:space="preserve"> </w:t>
      </w:r>
      <w:r>
        <w:t>flock</w:t>
      </w:r>
      <w:r w:rsidRPr="00FB656E">
        <w:t xml:space="preserve"> </w:t>
      </w:r>
      <w:r>
        <w:t>that is</w:t>
      </w:r>
      <w:r w:rsidRPr="00FB656E">
        <w:t xml:space="preserve"> cop</w:t>
      </w:r>
      <w:r>
        <w:t>ing</w:t>
      </w:r>
      <w:r w:rsidRPr="00FB656E">
        <w:t xml:space="preserve"> with pain</w:t>
      </w:r>
      <w:r>
        <w:t xml:space="preserve"> must have</w:t>
      </w:r>
      <w:r w:rsidRPr="00FB656E">
        <w:t xml:space="preserve"> a deep understanding of the psychology of pain. Rabbi Yehoshua </w:t>
      </w:r>
      <w:r>
        <w:t>sought</w:t>
      </w:r>
      <w:r w:rsidRPr="00FB656E">
        <w:t xml:space="preserve"> to dissuade the ascetics from wallowing in their grief </w:t>
      </w:r>
      <w:r>
        <w:t xml:space="preserve">by calling on them </w:t>
      </w:r>
      <w:r w:rsidRPr="008B0284">
        <w:rPr>
          <w:i/>
          <w:iCs/>
        </w:rPr>
        <w:t>to return to li</w:t>
      </w:r>
      <w:r>
        <w:rPr>
          <w:i/>
          <w:iCs/>
        </w:rPr>
        <w:t>ving</w:t>
      </w:r>
      <w:r w:rsidRPr="00FB656E">
        <w:t xml:space="preserve">. </w:t>
      </w:r>
      <w:r>
        <w:t>In doing so, he sought</w:t>
      </w:r>
      <w:r w:rsidRPr="00FB656E">
        <w:t xml:space="preserve"> to</w:t>
      </w:r>
      <w:r>
        <w:t xml:space="preserve"> begin to</w:t>
      </w:r>
      <w:r w:rsidRPr="00FB656E">
        <w:t xml:space="preserve"> heal </w:t>
      </w:r>
      <w:r>
        <w:t>the wound</w:t>
      </w:r>
      <w:r w:rsidRPr="00FB656E">
        <w:t xml:space="preserve"> without </w:t>
      </w:r>
      <w:r>
        <w:t>ignoring</w:t>
      </w:r>
      <w:r w:rsidRPr="00FB656E">
        <w:t xml:space="preserve"> the intensity of the pain by creating a </w:t>
      </w:r>
      <w:r>
        <w:t xml:space="preserve">gradual </w:t>
      </w:r>
      <w:r w:rsidRPr="00FB656E">
        <w:t xml:space="preserve">return to </w:t>
      </w:r>
      <w:r>
        <w:t>a life of</w:t>
      </w:r>
      <w:r w:rsidRPr="00FB656E">
        <w:t xml:space="preserve"> joy </w:t>
      </w:r>
      <w:r>
        <w:t>and</w:t>
      </w:r>
      <w:r w:rsidRPr="00FB656E">
        <w:t xml:space="preserve"> hope.</w:t>
      </w:r>
    </w:p>
    <w:p w14:paraId="20E6E10A" w14:textId="77777777" w:rsidR="00D77B1D" w:rsidRPr="00FB656E" w:rsidRDefault="00D77B1D" w:rsidP="008B3956">
      <w:r w:rsidRPr="00FB656E">
        <w:t xml:space="preserve">Honesty and </w:t>
      </w:r>
      <w:r w:rsidRPr="001E4BE7">
        <w:rPr>
          <w:i/>
          <w:iCs/>
        </w:rPr>
        <w:t>authenticity</w:t>
      </w:r>
      <w:r w:rsidRPr="00FB656E">
        <w:t xml:space="preserve"> are powerful tools in dealing with crisis and pain. </w:t>
      </w:r>
      <w:r>
        <w:t>The r</w:t>
      </w:r>
      <w:r w:rsidRPr="00FB656E">
        <w:t xml:space="preserve">eading </w:t>
      </w:r>
      <w:r>
        <w:t>from t</w:t>
      </w:r>
      <w:r w:rsidRPr="00FB656E">
        <w:t xml:space="preserve">ractate </w:t>
      </w:r>
      <w:proofErr w:type="spellStart"/>
      <w:r w:rsidRPr="00FB656E">
        <w:t>Semahot</w:t>
      </w:r>
      <w:proofErr w:type="spellEnd"/>
      <w:r w:rsidRPr="00FB656E">
        <w:t xml:space="preserve"> cautions against </w:t>
      </w:r>
      <w:r>
        <w:t>fakery</w:t>
      </w:r>
      <w:r w:rsidRPr="00FB656E">
        <w:t xml:space="preserve">, </w:t>
      </w:r>
      <w:r>
        <w:t>against avoidance or denial of the</w:t>
      </w:r>
      <w:r w:rsidRPr="00FB656E">
        <w:t xml:space="preserve"> power of </w:t>
      </w:r>
      <w:r>
        <w:t xml:space="preserve">a </w:t>
      </w:r>
      <w:r w:rsidRPr="00FB656E">
        <w:t xml:space="preserve">loss </w:t>
      </w:r>
      <w:r>
        <w:t>or tragedy</w:t>
      </w:r>
      <w:r w:rsidRPr="00FB656E">
        <w:t>.</w:t>
      </w:r>
    </w:p>
    <w:p w14:paraId="5454023E" w14:textId="77777777" w:rsidR="00D77B1D" w:rsidRPr="00FB656E" w:rsidRDefault="00D77B1D" w:rsidP="008B3956">
      <w:r w:rsidRPr="00FB656E">
        <w:t xml:space="preserve">The </w:t>
      </w:r>
      <w:r>
        <w:t>story</w:t>
      </w:r>
      <w:r w:rsidRPr="00FB656E">
        <w:t xml:space="preserve"> of the carpenter</w:t>
      </w:r>
      <w:r>
        <w:t>’</w:t>
      </w:r>
      <w:r w:rsidRPr="00FB656E">
        <w:t>s wife brings</w:t>
      </w:r>
      <w:r>
        <w:t xml:space="preserve"> </w:t>
      </w:r>
      <w:r w:rsidRPr="00FB656E">
        <w:t>to the surface</w:t>
      </w:r>
      <w:r w:rsidRPr="00FB656E">
        <w:t xml:space="preserve"> </w:t>
      </w:r>
      <w:r w:rsidRPr="00FB656E">
        <w:t xml:space="preserve">the need to </w:t>
      </w:r>
      <w:r>
        <w:t>generate</w:t>
      </w:r>
      <w:r w:rsidRPr="00A8691F">
        <w:rPr>
          <w:i/>
          <w:iCs/>
        </w:rPr>
        <w:t xml:space="preserve"> </w:t>
      </w:r>
      <w:r w:rsidRPr="00A8691F">
        <w:rPr>
          <w:i/>
          <w:iCs/>
        </w:rPr>
        <w:t>a community conscience</w:t>
      </w:r>
      <w:r w:rsidRPr="00FB656E">
        <w:t xml:space="preserve">, one that goes beyond the framework of the individual and his relationship with others. This </w:t>
      </w:r>
      <w:r>
        <w:t>story</w:t>
      </w:r>
      <w:r w:rsidRPr="00FB656E">
        <w:t xml:space="preserve"> clarifies that a decent society must ensure the </w:t>
      </w:r>
      <w:r>
        <w:t>inclusion</w:t>
      </w:r>
      <w:r w:rsidRPr="00FB656E">
        <w:t xml:space="preserve"> of voices that will</w:t>
      </w:r>
      <w:r>
        <w:t xml:space="preserve"> counterbalance</w:t>
      </w:r>
      <w:r w:rsidRPr="00FB656E">
        <w:t xml:space="preserve"> </w:t>
      </w:r>
      <w:r>
        <w:t xml:space="preserve">the </w:t>
      </w:r>
      <w:r w:rsidRPr="00FB656E">
        <w:t xml:space="preserve">mechanisms of </w:t>
      </w:r>
      <w:r>
        <w:t>buying, selling</w:t>
      </w:r>
      <w:r w:rsidRPr="00FB656E">
        <w:t xml:space="preserve"> and exploitation </w:t>
      </w:r>
      <w:r>
        <w:t>in society</w:t>
      </w:r>
      <w:r w:rsidRPr="00FB656E">
        <w:t xml:space="preserve">. </w:t>
      </w:r>
      <w:r>
        <w:t>N</w:t>
      </w:r>
      <w:r w:rsidRPr="00FB656E">
        <w:t xml:space="preserve">orms of sensitivity and the identification and prevention of injustices </w:t>
      </w:r>
      <w:r>
        <w:t>have</w:t>
      </w:r>
      <w:r w:rsidRPr="00FB656E">
        <w:t xml:space="preserve"> the power to prevent the moral and structural destruction of society.</w:t>
      </w:r>
    </w:p>
    <w:p w14:paraId="35E6D48C" w14:textId="77777777" w:rsidR="00D77B1D" w:rsidRPr="00FB656E" w:rsidRDefault="00D77B1D" w:rsidP="008B3956">
      <w:r w:rsidRPr="00FB656E">
        <w:t>The realistic description that appears in the prophet Isaiah</w:t>
      </w:r>
      <w:r>
        <w:t>’</w:t>
      </w:r>
      <w:r w:rsidRPr="00FB656E">
        <w:t xml:space="preserve">s rebuke of a </w:t>
      </w:r>
      <w:r>
        <w:t xml:space="preserve">destroyed and </w:t>
      </w:r>
      <w:r w:rsidRPr="00FB656E">
        <w:t xml:space="preserve">desolate land </w:t>
      </w:r>
      <w:r>
        <w:t>with its</w:t>
      </w:r>
      <w:r w:rsidRPr="00FB656E">
        <w:t xml:space="preserve"> cities burned </w:t>
      </w:r>
      <w:r>
        <w:t>to the ground contains</w:t>
      </w:r>
      <w:r w:rsidRPr="00FB656E">
        <w:t xml:space="preserve"> </w:t>
      </w:r>
      <w:r>
        <w:t xml:space="preserve">a </w:t>
      </w:r>
      <w:r w:rsidRPr="00FB656E">
        <w:t xml:space="preserve">poignant educational and moral message: only </w:t>
      </w:r>
      <w:r w:rsidRPr="000C34A3">
        <w:rPr>
          <w:i/>
          <w:iCs/>
        </w:rPr>
        <w:t>moral choices</w:t>
      </w:r>
      <w:r w:rsidRPr="00FB656E">
        <w:t xml:space="preserve"> will succeed in restoring the ruins and </w:t>
      </w:r>
      <w:r>
        <w:t>reestablishing</w:t>
      </w:r>
      <w:r w:rsidRPr="00FB656E">
        <w:t xml:space="preserve"> a national home and a reformed world. The path to this goal involves transforming Jerusalem into a city of </w:t>
      </w:r>
      <w:r>
        <w:t>justice</w:t>
      </w:r>
      <w:r w:rsidRPr="00FB656E">
        <w:t xml:space="preserve"> that cares for the orphan and the widow, such that </w:t>
      </w:r>
      <w:r>
        <w:t>those who return to her</w:t>
      </w:r>
      <w:r w:rsidRPr="00FB656E">
        <w:t xml:space="preserve"> will be redeemed through </w:t>
      </w:r>
      <w:r>
        <w:t>righteousness (</w:t>
      </w:r>
      <w:commentRangeStart w:id="4"/>
      <w:r>
        <w:t>Isaiah 1:27).</w:t>
      </w:r>
      <w:commentRangeEnd w:id="4"/>
      <w:r>
        <w:rPr>
          <w:rStyle w:val="CommentReference"/>
        </w:rPr>
        <w:commentReference w:id="4"/>
      </w:r>
    </w:p>
    <w:p w14:paraId="7374D865" w14:textId="77777777" w:rsidR="00D77B1D" w:rsidRPr="00FB656E" w:rsidRDefault="00D77B1D" w:rsidP="00866909">
      <w:r w:rsidRPr="00FB656E">
        <w:t xml:space="preserve">The obligation </w:t>
      </w:r>
      <w:r w:rsidRPr="00866909">
        <w:rPr>
          <w:i/>
          <w:iCs/>
        </w:rPr>
        <w:t>to maintain identity</w:t>
      </w:r>
      <w:r w:rsidRPr="00FB656E">
        <w:t xml:space="preserve"> even in times of emergency and distress is at the center</w:t>
      </w:r>
      <w:r>
        <w:rPr>
          <w:lang w:val="en-US"/>
        </w:rPr>
        <w:t xml:space="preserve"> of </w:t>
      </w:r>
      <w:proofErr w:type="spellStart"/>
      <w:r>
        <w:rPr>
          <w:lang w:val="en-US"/>
        </w:rPr>
        <w:t>t</w:t>
      </w:r>
      <w:r w:rsidRPr="00FB656E">
        <w:t>he</w:t>
      </w:r>
      <w:proofErr w:type="spellEnd"/>
      <w:r w:rsidRPr="00FB656E">
        <w:t xml:space="preserve"> </w:t>
      </w:r>
      <w:r>
        <w:t>story</w:t>
      </w:r>
      <w:r w:rsidRPr="00FB656E">
        <w:t xml:space="preserve"> of the High Priest</w:t>
      </w:r>
      <w:r>
        <w:t>’</w:t>
      </w:r>
      <w:r w:rsidRPr="00FB656E">
        <w:t>s children who were captured. This story illuminates the call to preserve</w:t>
      </w:r>
      <w:r>
        <w:t xml:space="preserve"> one’s</w:t>
      </w:r>
      <w:r w:rsidRPr="00FB656E">
        <w:t xml:space="preserve"> moral identity and </w:t>
      </w:r>
      <w:r>
        <w:t xml:space="preserve">one’s sense of having been created in </w:t>
      </w:r>
      <w:r w:rsidRPr="00FB656E">
        <w:t xml:space="preserve">the image of God even under </w:t>
      </w:r>
      <w:r>
        <w:t>unreasonable conditions.</w:t>
      </w:r>
      <w:r w:rsidRPr="00FB656E">
        <w:t xml:space="preserve"> In the words of Viktor Frankl, in his study of human nature in the face of Nazi evil: </w:t>
      </w:r>
      <w:r>
        <w:t>“</w:t>
      </w:r>
      <w:r w:rsidRPr="00FB656E">
        <w:t>Everything can be taken from a man but one thing: the last of the human freedoms</w:t>
      </w:r>
      <w:r>
        <w:rPr>
          <w:rFonts w:cs="Times New Roman"/>
        </w:rPr>
        <w:t>—</w:t>
      </w:r>
      <w:r w:rsidRPr="00FB656E">
        <w:t>to choose one</w:t>
      </w:r>
      <w:r>
        <w:t>’</w:t>
      </w:r>
      <w:r w:rsidRPr="00FB656E">
        <w:t>s attitude in any given set of circumstances, to choose one</w:t>
      </w:r>
      <w:r>
        <w:t>’</w:t>
      </w:r>
      <w:r w:rsidRPr="00FB656E">
        <w:t>s own way.</w:t>
      </w:r>
      <w:r>
        <w:t>”</w:t>
      </w:r>
      <w:commentRangeStart w:id="5"/>
      <w:r>
        <w:rPr>
          <w:rStyle w:val="FootnoteReference"/>
        </w:rPr>
        <w:footnoteReference w:id="5"/>
      </w:r>
      <w:commentRangeEnd w:id="5"/>
      <w:r>
        <w:rPr>
          <w:rStyle w:val="CommentReference"/>
          <w:rtl/>
        </w:rPr>
        <w:commentReference w:id="5"/>
      </w:r>
    </w:p>
    <w:p w14:paraId="649E9D37" w14:textId="77777777" w:rsidR="00D77B1D" w:rsidRPr="00FB656E" w:rsidRDefault="00D77B1D" w:rsidP="008B3956">
      <w:r w:rsidRPr="00FB656E">
        <w:t xml:space="preserve">What is the meaning of the image of </w:t>
      </w:r>
      <w:r>
        <w:t>a</w:t>
      </w:r>
      <w:r w:rsidRPr="00FB656E">
        <w:t xml:space="preserve"> leader </w:t>
      </w:r>
      <w:r>
        <w:t xml:space="preserve">laughing upon viewing the </w:t>
      </w:r>
      <w:r w:rsidRPr="00FB656E">
        <w:t>ruins</w:t>
      </w:r>
      <w:r>
        <w:t xml:space="preserve"> of the Temple</w:t>
      </w:r>
      <w:r w:rsidRPr="00FB656E">
        <w:t xml:space="preserve">? Does </w:t>
      </w:r>
      <w:proofErr w:type="gramStart"/>
      <w:r>
        <w:t>the laughter</w:t>
      </w:r>
      <w:proofErr w:type="gramEnd"/>
      <w:r w:rsidRPr="00FB656E">
        <w:t xml:space="preserve"> reflect an existing situation, or </w:t>
      </w:r>
      <w:r>
        <w:t>does it</w:t>
      </w:r>
      <w:r w:rsidRPr="00FB656E">
        <w:t xml:space="preserve"> generate a new phenomenon? Rabbi Akiva</w:t>
      </w:r>
      <w:r>
        <w:t>’</w:t>
      </w:r>
      <w:r w:rsidRPr="00FB656E">
        <w:t xml:space="preserve">s laughter in the </w:t>
      </w:r>
      <w:r>
        <w:t>story</w:t>
      </w:r>
      <w:r w:rsidRPr="00FB656E">
        <w:t xml:space="preserve"> that concludes </w:t>
      </w:r>
      <w:r>
        <w:t>t</w:t>
      </w:r>
      <w:r w:rsidRPr="00FB656E">
        <w:t xml:space="preserve">ractate </w:t>
      </w:r>
      <w:proofErr w:type="spellStart"/>
      <w:r w:rsidRPr="00FB656E">
        <w:t>Makkot</w:t>
      </w:r>
      <w:proofErr w:type="spellEnd"/>
      <w:r w:rsidRPr="00FB656E">
        <w:t xml:space="preserve"> </w:t>
      </w:r>
      <w:r>
        <w:t>is a clear example of</w:t>
      </w:r>
      <w:r w:rsidRPr="00FB656E">
        <w:t xml:space="preserve"> the use of humor as a </w:t>
      </w:r>
      <w:r>
        <w:t xml:space="preserve">leadership </w:t>
      </w:r>
      <w:r w:rsidRPr="00FB656E">
        <w:t>tool</w:t>
      </w:r>
      <w:r>
        <w:t xml:space="preserve"> with the aim of </w:t>
      </w:r>
      <w:r w:rsidRPr="00FB656E">
        <w:t>develop</w:t>
      </w:r>
      <w:r>
        <w:t>ing</w:t>
      </w:r>
      <w:r w:rsidRPr="00FB656E">
        <w:t xml:space="preserve"> a new and audacious sense of purpose</w:t>
      </w:r>
      <w:r>
        <w:t xml:space="preserve"> for the community</w:t>
      </w:r>
      <w:r w:rsidRPr="00FB656E">
        <w:t xml:space="preserve">. </w:t>
      </w:r>
      <w:r>
        <w:t>L</w:t>
      </w:r>
      <w:r w:rsidRPr="00FB656E">
        <w:t xml:space="preserve">aughter </w:t>
      </w:r>
      <w:r>
        <w:t>at the viewing of the</w:t>
      </w:r>
      <w:r w:rsidRPr="00FB656E">
        <w:t xml:space="preserve"> ruins of the </w:t>
      </w:r>
      <w:r>
        <w:t>T</w:t>
      </w:r>
      <w:r w:rsidRPr="00FB656E">
        <w:t xml:space="preserve">emple, </w:t>
      </w:r>
      <w:r>
        <w:t>while the other Sages cry bitterly</w:t>
      </w:r>
      <w:r w:rsidRPr="00FB656E">
        <w:t xml:space="preserve"> </w:t>
      </w:r>
      <w:r>
        <w:t xml:space="preserve">over the loss of </w:t>
      </w:r>
      <w:r w:rsidRPr="00FB656E">
        <w:t xml:space="preserve">that </w:t>
      </w:r>
      <w:r>
        <w:t>T</w:t>
      </w:r>
      <w:r w:rsidRPr="00FB656E">
        <w:t xml:space="preserve">emple </w:t>
      </w:r>
      <w:r>
        <w:t xml:space="preserve">teaches us </w:t>
      </w:r>
      <w:r w:rsidRPr="00FB656E">
        <w:t xml:space="preserve">an important lesson about </w:t>
      </w:r>
      <w:r w:rsidRPr="004D1355">
        <w:rPr>
          <w:i/>
          <w:iCs/>
        </w:rPr>
        <w:t>optimism</w:t>
      </w:r>
      <w:r>
        <w:t>.</w:t>
      </w:r>
      <w:r w:rsidRPr="00FB656E">
        <w:t xml:space="preserve"> Rabbi Akiva, with his optimistic outlook, refuse</w:t>
      </w:r>
      <w:r>
        <w:t>d</w:t>
      </w:r>
      <w:r w:rsidRPr="00FB656E">
        <w:t xml:space="preserve"> to join the </w:t>
      </w:r>
      <w:r>
        <w:t xml:space="preserve">Sages’ </w:t>
      </w:r>
      <w:r w:rsidRPr="00FB656E">
        <w:t xml:space="preserve">lamentations </w:t>
      </w:r>
      <w:r>
        <w:t>and could</w:t>
      </w:r>
      <w:r w:rsidRPr="00FB656E">
        <w:t xml:space="preserve"> see the beginning of redemption </w:t>
      </w:r>
      <w:r>
        <w:t>in</w:t>
      </w:r>
      <w:r w:rsidRPr="00FB656E">
        <w:t xml:space="preserve"> the </w:t>
      </w:r>
      <w:r>
        <w:t>shattered stones</w:t>
      </w:r>
      <w:r w:rsidRPr="00FB656E">
        <w:t xml:space="preserve">, like a person who looks at a </w:t>
      </w:r>
      <w:r>
        <w:t xml:space="preserve">burned out </w:t>
      </w:r>
      <w:r w:rsidRPr="00FB656E">
        <w:t>forest and manages to discern among the ashes the sprouts of recovery.</w:t>
      </w:r>
    </w:p>
    <w:p w14:paraId="34023101" w14:textId="77777777" w:rsidR="00D77B1D" w:rsidRPr="00FB656E" w:rsidRDefault="00D77B1D" w:rsidP="008B3956">
      <w:r w:rsidRPr="00FB656E">
        <w:t xml:space="preserve">This optimistic outlook is a fitting conclusion to the nine stages of </w:t>
      </w:r>
      <w:r>
        <w:t>this</w:t>
      </w:r>
      <w:r w:rsidRPr="00FB656E">
        <w:t xml:space="preserve"> journey</w:t>
      </w:r>
      <w:r>
        <w:t xml:space="preserve"> </w:t>
      </w:r>
      <w:r w:rsidRPr="00FB656E">
        <w:t>in memory of Nadi. At every encounter, the image of Nadi</w:t>
      </w:r>
      <w:r>
        <w:t>,</w:t>
      </w:r>
      <w:r w:rsidRPr="00FB656E">
        <w:t xml:space="preserve"> a </w:t>
      </w:r>
      <w:r>
        <w:t>paragon</w:t>
      </w:r>
      <w:r w:rsidRPr="00FB656E">
        <w:t xml:space="preserve"> of optimism and </w:t>
      </w:r>
      <w:r>
        <w:t>compassion</w:t>
      </w:r>
      <w:r>
        <w:t>, was present for me</w:t>
      </w:r>
      <w:r w:rsidRPr="00FB656E">
        <w:t xml:space="preserve">. In the face of all the storm and silence, the </w:t>
      </w:r>
      <w:r>
        <w:t>wailing</w:t>
      </w:r>
      <w:r w:rsidRPr="00FB656E">
        <w:t xml:space="preserve"> and crying, the wound and the pain, the </w:t>
      </w:r>
      <w:proofErr w:type="gramStart"/>
      <w:r w:rsidRPr="00FB656E">
        <w:t>calm</w:t>
      </w:r>
      <w:proofErr w:type="gramEnd"/>
      <w:r w:rsidRPr="00FB656E">
        <w:t xml:space="preserve"> and the sorrow</w:t>
      </w:r>
      <w:r>
        <w:t>, he was a super</w:t>
      </w:r>
      <w:r w:rsidRPr="00FB656E">
        <w:t xml:space="preserve">human </w:t>
      </w:r>
      <w:r>
        <w:t>source</w:t>
      </w:r>
      <w:r w:rsidRPr="00FB656E">
        <w:t xml:space="preserve"> of confidence, tranquility, and boundless love.</w:t>
      </w:r>
    </w:p>
    <w:p w14:paraId="531ECE07" w14:textId="77777777" w:rsidR="00D77B1D" w:rsidRPr="00FB656E" w:rsidRDefault="00D77B1D" w:rsidP="008B3956">
      <w:r w:rsidRPr="00FB656E">
        <w:t>Nadi</w:t>
      </w:r>
      <w:r>
        <w:t xml:space="preserve"> was a beacon</w:t>
      </w:r>
      <w:r w:rsidRPr="00FB656E">
        <w:t xml:space="preserve"> of light, joy, and optimism. That endless smile that was always etched on your face was the first thing anyone who looked at your beautiful face noticed, and the first thing that </w:t>
      </w:r>
      <w:r>
        <w:t>comes</w:t>
      </w:r>
      <w:r w:rsidRPr="00FB656E">
        <w:t xml:space="preserve"> to mind for all </w:t>
      </w:r>
      <w:r>
        <w:t>those who love you</w:t>
      </w:r>
      <w:r w:rsidRPr="00FB656E">
        <w:t>, even today, whenever we remember you. Th</w:t>
      </w:r>
      <w:r>
        <w:t>at</w:t>
      </w:r>
      <w:r w:rsidRPr="00FB656E">
        <w:t xml:space="preserve"> smile of yours, Nadi, was a lesson. Th</w:t>
      </w:r>
      <w:r>
        <w:t>at</w:t>
      </w:r>
      <w:r w:rsidRPr="00FB656E">
        <w:t xml:space="preserve"> smile was a commandment for a life of responsibility, repair, </w:t>
      </w:r>
      <w:r>
        <w:t>and</w:t>
      </w:r>
      <w:r w:rsidRPr="00FB656E">
        <w:t xml:space="preserve"> hope. Just like then, on the day we parted, we promise you again, Nadi</w:t>
      </w:r>
      <w:r>
        <w:t>:</w:t>
      </w:r>
    </w:p>
    <w:p w14:paraId="5FD2B423" w14:textId="77777777" w:rsidR="00D77B1D" w:rsidRPr="00FB656E" w:rsidRDefault="00D77B1D" w:rsidP="008B3956">
      <w:r>
        <w:t>“</w:t>
      </w:r>
      <w:r w:rsidRPr="00FB656E">
        <w:t xml:space="preserve">We will return to </w:t>
      </w:r>
      <w:proofErr w:type="gramStart"/>
      <w:r w:rsidRPr="00FB656E">
        <w:t>you</w:t>
      </w:r>
      <w:proofErr w:type="gramEnd"/>
      <w:r w:rsidRPr="00FB656E">
        <w:t xml:space="preserve"> and you will return to us.</w:t>
      </w:r>
    </w:p>
    <w:p w14:paraId="31559B80" w14:textId="77777777" w:rsidR="00D77B1D" w:rsidRPr="00FB656E" w:rsidRDefault="00D77B1D" w:rsidP="008B3956">
      <w:r>
        <w:t xml:space="preserve">Our thoughts are with you </w:t>
      </w:r>
      <w:r w:rsidRPr="00FB656E">
        <w:t xml:space="preserve">and your </w:t>
      </w:r>
      <w:r>
        <w:t>thoughts are with us.</w:t>
      </w:r>
    </w:p>
    <w:p w14:paraId="3C3B4FD9" w14:textId="77777777" w:rsidR="00D77B1D" w:rsidRPr="00FB656E" w:rsidRDefault="00D77B1D" w:rsidP="008B3956">
      <w:r>
        <w:t>We will not abandon you and you will not abandon us,</w:t>
      </w:r>
    </w:p>
    <w:p w14:paraId="4A730336" w14:textId="77777777" w:rsidR="00D77B1D" w:rsidRPr="00B8129A" w:rsidRDefault="00D77B1D" w:rsidP="001E4BE7">
      <w:pPr>
        <w:rPr>
          <w:lang w:val="en-US"/>
        </w:rPr>
      </w:pPr>
      <w:r>
        <w:t>Not</w:t>
      </w:r>
      <w:r w:rsidRPr="00FB656E">
        <w:t xml:space="preserve"> in this world nor in the world to come.</w:t>
      </w:r>
      <w:r>
        <w:t>”</w:t>
      </w:r>
      <w:r>
        <w:rPr>
          <w:rStyle w:val="FootnoteReference"/>
        </w:rPr>
        <w:footnoteReference w:id="6"/>
      </w:r>
    </w:p>
    <w:p w14:paraId="1545FB10" w14:textId="77777777" w:rsidR="00B8129A" w:rsidRDefault="00B8129A" w:rsidP="008B3956"/>
    <w:sectPr w:rsidR="00B8129A" w:rsidSect="00B8129A">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 w:date="2024-04-10T15:59:00Z" w:initials="JA">
    <w:p w14:paraId="394EFE1E" w14:textId="77777777" w:rsidR="00D77B1D" w:rsidRDefault="00D77B1D" w:rsidP="00D77B1D">
      <w:pPr>
        <w:pStyle w:val="CommentText"/>
        <w:bidi/>
        <w:rPr>
          <w:rFonts w:hint="cs"/>
        </w:rPr>
      </w:pPr>
      <w:r>
        <w:rPr>
          <w:rStyle w:val="CommentReference"/>
        </w:rPr>
        <w:annotationRef/>
      </w:r>
      <w:r>
        <w:rPr>
          <w:rFonts w:hint="cs"/>
          <w:rtl/>
        </w:rPr>
        <w:t>הוספתי</w:t>
      </w:r>
    </w:p>
  </w:comment>
  <w:comment w:id="1" w:author="JA" w:date="2024-04-10T16:00:00Z" w:initials="JA">
    <w:p w14:paraId="26779406" w14:textId="77777777" w:rsidR="00D77B1D" w:rsidRDefault="00D77B1D" w:rsidP="00D77B1D">
      <w:pPr>
        <w:pStyle w:val="CommentText"/>
        <w:bidi/>
        <w:rPr>
          <w:rFonts w:hint="cs"/>
          <w:rtl/>
        </w:rPr>
      </w:pPr>
      <w:r>
        <w:rPr>
          <w:rStyle w:val="CommentReference"/>
        </w:rPr>
        <w:annotationRef/>
      </w:r>
      <w:r>
        <w:rPr>
          <w:rFonts w:hint="cs"/>
          <w:rtl/>
        </w:rPr>
        <w:t xml:space="preserve">לא כללנו את </w:t>
      </w:r>
      <w:proofErr w:type="spellStart"/>
      <w:r>
        <w:rPr>
          <w:rFonts w:hint="cs"/>
          <w:rtl/>
        </w:rPr>
        <w:t>הרפרנסים</w:t>
      </w:r>
      <w:proofErr w:type="spellEnd"/>
      <w:r>
        <w:rPr>
          <w:rFonts w:hint="cs"/>
          <w:rtl/>
        </w:rPr>
        <w:t xml:space="preserve"> בעברית בתרגום וצריך למצוא מאמרים באנגלית או להשמיט את זה.</w:t>
      </w:r>
    </w:p>
  </w:comment>
  <w:comment w:id="2" w:author="JA" w:date="2024-04-10T16:13:00Z" w:initials="JA">
    <w:p w14:paraId="54767CD3" w14:textId="77777777" w:rsidR="00D77B1D" w:rsidRDefault="00D77B1D" w:rsidP="008B3956">
      <w:pPr>
        <w:pStyle w:val="CommentText"/>
        <w:bidi/>
        <w:rPr>
          <w:rFonts w:hint="cs"/>
          <w:rtl/>
        </w:rPr>
      </w:pPr>
      <w:r>
        <w:rPr>
          <w:rStyle w:val="CommentReference"/>
        </w:rPr>
        <w:annotationRef/>
      </w:r>
      <w:r>
        <w:rPr>
          <w:rFonts w:hint="cs"/>
          <w:rtl/>
        </w:rPr>
        <w:t>צריך להביא את הציטוט מהמקור באנגלית. חיפשתי ולא מצאתי</w:t>
      </w:r>
    </w:p>
  </w:comment>
  <w:comment w:id="3" w:author="JA" w:date="2024-04-11T10:53:00Z" w:initials="JA">
    <w:p w14:paraId="609F91E7" w14:textId="77777777" w:rsidR="00D77B1D" w:rsidRPr="00922962" w:rsidRDefault="00D77B1D" w:rsidP="00922962">
      <w:pPr>
        <w:pStyle w:val="CommentText"/>
        <w:bidi/>
        <w:rPr>
          <w:rFonts w:hint="cs"/>
          <w:rtl/>
          <w:lang w:val="en-US"/>
        </w:rPr>
      </w:pPr>
      <w:r>
        <w:rPr>
          <w:rStyle w:val="CommentReference"/>
        </w:rPr>
        <w:annotationRef/>
      </w:r>
      <w:r>
        <w:rPr>
          <w:rFonts w:hint="cs"/>
          <w:rtl/>
        </w:rPr>
        <w:t>כנראה ברק לא אמר את זה:</w:t>
      </w:r>
      <w:r>
        <w:rPr>
          <w:lang w:val="en-US"/>
        </w:rPr>
        <w:t xml:space="preserve"> </w:t>
      </w:r>
      <w:r w:rsidRPr="00922962">
        <w:rPr>
          <w:lang w:val="en-US"/>
        </w:rPr>
        <w:t>https://www.openculture.com/2016/03/edmund-burkeon-in-action.html</w:t>
      </w:r>
    </w:p>
  </w:comment>
  <w:comment w:id="4" w:author="JA" w:date="2024-04-11T11:51:00Z" w:initials="JA">
    <w:p w14:paraId="64AD304B" w14:textId="77777777" w:rsidR="00D77B1D" w:rsidRDefault="00D77B1D">
      <w:pPr>
        <w:pStyle w:val="CommentText"/>
        <w:rPr>
          <w:rFonts w:hint="cs"/>
          <w:rtl/>
        </w:rPr>
      </w:pPr>
      <w:r>
        <w:rPr>
          <w:rStyle w:val="CommentReference"/>
        </w:rPr>
        <w:annotationRef/>
      </w:r>
      <w:r>
        <w:rPr>
          <w:rFonts w:hint="cs"/>
          <w:rtl/>
        </w:rPr>
        <w:t>הוספתי</w:t>
      </w:r>
    </w:p>
  </w:comment>
  <w:comment w:id="5" w:author="JA" w:date="2024-04-11T11:59:00Z" w:initials="JA">
    <w:p w14:paraId="6322A43B" w14:textId="77777777" w:rsidR="00D77B1D" w:rsidRDefault="00D77B1D">
      <w:pPr>
        <w:pStyle w:val="CommentText"/>
      </w:pPr>
      <w:r>
        <w:rPr>
          <w:rStyle w:val="CommentReference"/>
        </w:rPr>
        <w:annotationRef/>
      </w:r>
      <w:r>
        <w:rPr>
          <w:rFonts w:hint="cs"/>
          <w:rtl/>
        </w:rPr>
        <w:t>עדכנתי את הפרטים הביבליוגרפים להוצאה באנגלית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4EFE1E" w15:done="0"/>
  <w15:commentEx w15:paraId="26779406" w15:done="0"/>
  <w15:commentEx w15:paraId="54767CD3" w15:done="0"/>
  <w15:commentEx w15:paraId="609F91E7" w15:done="0"/>
  <w15:commentEx w15:paraId="64AD304B" w15:done="0"/>
  <w15:commentEx w15:paraId="6322A4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AC41E8" w16cex:dateUtc="2024-04-10T12:59:00Z"/>
  <w16cex:commentExtensible w16cex:durableId="51E6C61B" w16cex:dateUtc="2024-04-10T13:00:00Z"/>
  <w16cex:commentExtensible w16cex:durableId="13509D3A" w16cex:dateUtc="2024-04-10T13:13:00Z"/>
  <w16cex:commentExtensible w16cex:durableId="6E34CDCA" w16cex:dateUtc="2024-04-11T07:53:00Z"/>
  <w16cex:commentExtensible w16cex:durableId="4E0C278E" w16cex:dateUtc="2024-04-11T08:51:00Z"/>
  <w16cex:commentExtensible w16cex:durableId="70DB46DF" w16cex:dateUtc="2024-04-11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4EFE1E" w16cid:durableId="42AC41E8"/>
  <w16cid:commentId w16cid:paraId="26779406" w16cid:durableId="51E6C61B"/>
  <w16cid:commentId w16cid:paraId="54767CD3" w16cid:durableId="13509D3A"/>
  <w16cid:commentId w16cid:paraId="609F91E7" w16cid:durableId="6E34CDCA"/>
  <w16cid:commentId w16cid:paraId="64AD304B" w16cid:durableId="4E0C278E"/>
  <w16cid:commentId w16cid:paraId="6322A43B" w16cid:durableId="70DB46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1B7C6" w14:textId="77777777" w:rsidR="00CC020E" w:rsidRDefault="00CC020E" w:rsidP="008B3956">
      <w:r>
        <w:separator/>
      </w:r>
    </w:p>
  </w:endnote>
  <w:endnote w:type="continuationSeparator" w:id="0">
    <w:p w14:paraId="3D11B7C8" w14:textId="77777777" w:rsidR="00CC020E" w:rsidRDefault="00CC020E" w:rsidP="008B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arkisim">
    <w:panose1 w:val="020E0502050101010101"/>
    <w:charset w:val="00"/>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GuttmanKav">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1B7C2" w14:textId="77777777" w:rsidR="00FB656E" w:rsidRDefault="00CC020E" w:rsidP="008B3956">
      <w:r>
        <w:separator/>
      </w:r>
    </w:p>
  </w:footnote>
  <w:footnote w:type="continuationSeparator" w:id="0">
    <w:p w14:paraId="3D11B7C3" w14:textId="77777777" w:rsidR="00FB656E" w:rsidRDefault="00CC020E" w:rsidP="008B3956">
      <w:r>
        <w:continuationSeparator/>
      </w:r>
    </w:p>
  </w:footnote>
  <w:footnote w:id="1">
    <w:p w14:paraId="4303565B" w14:textId="7C21D296" w:rsidR="00D77B1D" w:rsidRDefault="00D77B1D" w:rsidP="008B3956">
      <w:pPr>
        <w:pStyle w:val="FootnoteText"/>
        <w:rPr>
          <w:lang w:bidi="ar-SA"/>
        </w:rPr>
      </w:pPr>
      <w:r>
        <w:rPr>
          <w:rStyle w:val="FootnoteReference"/>
        </w:rPr>
        <w:footnoteRef/>
      </w:r>
      <w:r>
        <w:rPr>
          <w:rtl/>
        </w:rPr>
        <w:t xml:space="preserve"> </w:t>
      </w:r>
      <w:r>
        <w:t xml:space="preserve">See Bavli </w:t>
      </w:r>
      <w:proofErr w:type="spellStart"/>
      <w:r>
        <w:t>Ketubot</w:t>
      </w:r>
      <w:proofErr w:type="spellEnd"/>
      <w:r>
        <w:t xml:space="preserve"> </w:t>
      </w:r>
      <w:proofErr w:type="spellStart"/>
      <w:r>
        <w:t>104a</w:t>
      </w:r>
      <w:proofErr w:type="spellEnd"/>
      <w:r>
        <w:t xml:space="preserve">. Bar </w:t>
      </w:r>
      <w:proofErr w:type="spellStart"/>
      <w:r>
        <w:t>Kapparah</w:t>
      </w:r>
      <w:proofErr w:type="spellEnd"/>
      <w:r>
        <w:t xml:space="preserve"> uses this expression in his response to the passing of his teacher, Rabbi Yehuda the Prince: “</w:t>
      </w:r>
      <w:r w:rsidRPr="0065592A">
        <w:t xml:space="preserve">The </w:t>
      </w:r>
      <w:proofErr w:type="spellStart"/>
      <w:r w:rsidRPr="0065592A">
        <w:rPr>
          <w:i/>
          <w:iCs/>
        </w:rPr>
        <w:t>erelim</w:t>
      </w:r>
      <w:proofErr w:type="spellEnd"/>
      <w:r w:rsidRPr="0065592A">
        <w:t xml:space="preserve"> </w:t>
      </w:r>
      <w:r>
        <w:t>[</w:t>
      </w:r>
      <w:r w:rsidRPr="0065592A">
        <w:t>angels</w:t>
      </w:r>
      <w:r>
        <w:t>]</w:t>
      </w:r>
      <w:r w:rsidRPr="0065592A">
        <w:t xml:space="preserve"> and</w:t>
      </w:r>
      <w:r>
        <w:t xml:space="preserve"> the </w:t>
      </w:r>
      <w:proofErr w:type="spellStart"/>
      <w:r w:rsidRPr="0042774C">
        <w:rPr>
          <w:i/>
          <w:iCs/>
        </w:rPr>
        <w:t>metzokim</w:t>
      </w:r>
      <w:proofErr w:type="spellEnd"/>
      <w:r w:rsidRPr="0065592A">
        <w:t xml:space="preserve"> </w:t>
      </w:r>
      <w:r>
        <w:t>[</w:t>
      </w:r>
      <w:r w:rsidRPr="0065592A">
        <w:t>righteous mortals</w:t>
      </w:r>
      <w:r>
        <w:t>]</w:t>
      </w:r>
      <w:r w:rsidRPr="0065592A">
        <w:t xml:space="preserve"> both clutched the sacred ark. The angels triumphed over the righteous, and the sacred ark was captured.</w:t>
      </w:r>
      <w:r>
        <w:t>”</w:t>
      </w:r>
    </w:p>
  </w:footnote>
  <w:footnote w:id="2">
    <w:p w14:paraId="7214C29D" w14:textId="43B954D5" w:rsidR="00D77B1D" w:rsidRPr="008B3956" w:rsidRDefault="00D77B1D" w:rsidP="008B3956">
      <w:pPr>
        <w:pStyle w:val="FootnoteText"/>
        <w:rPr>
          <w:lang w:bidi="ar-SA"/>
        </w:rPr>
      </w:pPr>
      <w:r>
        <w:rPr>
          <w:rStyle w:val="FootnoteReference"/>
        </w:rPr>
        <w:footnoteRef/>
      </w:r>
      <w:r>
        <w:rPr>
          <w:rFonts w:cs="Times New Roman"/>
          <w:rtl/>
        </w:rPr>
        <w:t xml:space="preserve"> </w:t>
      </w:r>
      <w:r>
        <w:t>Yosef Ha</w:t>
      </w:r>
      <w:r>
        <w:t>y</w:t>
      </w:r>
      <w:r>
        <w:t>im Yerushalmi</w:t>
      </w:r>
      <w:r>
        <w:t xml:space="preserve"> (1982)</w:t>
      </w:r>
      <w:r>
        <w:t xml:space="preserve"> </w:t>
      </w:r>
      <w:proofErr w:type="spellStart"/>
      <w:r w:rsidRPr="008B3956">
        <w:rPr>
          <w:i/>
          <w:iCs/>
        </w:rPr>
        <w:t>Zakhor</w:t>
      </w:r>
      <w:r>
        <w:rPr>
          <w:i/>
          <w:iCs/>
        </w:rPr>
        <w:t>:Jewish</w:t>
      </w:r>
      <w:proofErr w:type="spellEnd"/>
      <w:r>
        <w:rPr>
          <w:i/>
          <w:iCs/>
        </w:rPr>
        <w:t xml:space="preserve"> History and Jewish Memory</w:t>
      </w:r>
      <w:r>
        <w:rPr>
          <w:i/>
          <w:iCs/>
        </w:rPr>
        <w:t>.</w:t>
      </w:r>
      <w:r>
        <w:t xml:space="preserve"> </w:t>
      </w:r>
      <w:r>
        <w:t>Seattle and London:</w:t>
      </w:r>
      <w:r>
        <w:t xml:space="preserve"> University of Washington Press, </w:t>
      </w:r>
      <w:r w:rsidRPr="008B3956">
        <w:rPr>
          <w:highlight w:val="yellow"/>
        </w:rPr>
        <w:t>p.????</w:t>
      </w:r>
    </w:p>
  </w:footnote>
  <w:footnote w:id="3">
    <w:p w14:paraId="217AEDE8" w14:textId="77777777" w:rsidR="00D77B1D" w:rsidRPr="008B3956" w:rsidRDefault="00D77B1D" w:rsidP="008B3956">
      <w:pPr>
        <w:pStyle w:val="FootnoteText"/>
      </w:pPr>
      <w:r>
        <w:rPr>
          <w:rStyle w:val="FootnoteReference"/>
        </w:rPr>
        <w:footnoteRef/>
      </w:r>
      <w:r>
        <w:t xml:space="preserve"> See, </w:t>
      </w:r>
      <w:r w:rsidRPr="008B3956">
        <w:t>for example,</w:t>
      </w:r>
      <w:r>
        <w:t xml:space="preserve"> B. </w:t>
      </w:r>
      <w:r>
        <w:rPr>
          <w:rFonts w:ascii="TimesNewRomanPSMT" w:hAnsi="TimesNewRomanPSMT" w:cs="TimesNewRomanPSMT"/>
        </w:rPr>
        <w:t>Weiner</w:t>
      </w:r>
      <w:r>
        <w:rPr>
          <w:rFonts w:ascii="TimesNewRomanPSMT" w:hAnsi="TimesNewRomanPSMT" w:cs="TimesNewRomanPSMT"/>
        </w:rPr>
        <w:t>.</w:t>
      </w:r>
      <w:r>
        <w:rPr>
          <w:rFonts w:ascii="TimesNewRomanPSMT" w:hAnsi="TimesNewRomanPSMT" w:cs="TimesNewRomanPSMT"/>
        </w:rPr>
        <w:t xml:space="preserve"> (1986), </w:t>
      </w:r>
      <w:r w:rsidRPr="008B3956">
        <w:rPr>
          <w:i/>
          <w:iCs/>
        </w:rPr>
        <w:t>An Attributional Theory of Motivation and Emotion</w:t>
      </w:r>
      <w:r>
        <w:rPr>
          <w:rFonts w:ascii="TimesNewRomanPSMT" w:hAnsi="TimesNewRomanPSMT" w:cs="TimesNewRomanPSMT"/>
        </w:rPr>
        <w:t xml:space="preserve">, </w:t>
      </w:r>
      <w:r w:rsidRPr="008B3956">
        <w:t>New York: Springer-Verlag</w:t>
      </w:r>
      <w:r>
        <w:t>.</w:t>
      </w:r>
    </w:p>
    <w:p w14:paraId="0405B447" w14:textId="77777777" w:rsidR="00D77B1D" w:rsidRDefault="00D77B1D" w:rsidP="008B3956">
      <w:pPr>
        <w:pStyle w:val="FootnoteText"/>
      </w:pPr>
    </w:p>
  </w:footnote>
  <w:footnote w:id="4">
    <w:p w14:paraId="69E1B6D9" w14:textId="3898CFC9" w:rsidR="00D77B1D" w:rsidRPr="00240AB1" w:rsidRDefault="00D77B1D">
      <w:pPr>
        <w:pStyle w:val="FootnoteText"/>
      </w:pPr>
      <w:r>
        <w:rPr>
          <w:rStyle w:val="FootnoteReference"/>
        </w:rPr>
        <w:footnoteRef/>
      </w:r>
      <w:r>
        <w:t xml:space="preserve"> </w:t>
      </w:r>
      <w:r>
        <w:t xml:space="preserve">This interpretive approach parallels the psychological processes described as </w:t>
      </w:r>
      <w:r>
        <w:rPr>
          <w:rFonts w:ascii="TimesNewRomanPS-ItalicMT" w:hAnsi="TimesNewRomanPS-ItalicMT" w:cs="TimesNewRomanPS-ItalicMT"/>
          <w:i/>
          <w:iCs/>
        </w:rPr>
        <w:t xml:space="preserve">loss and trauma meaning making. </w:t>
      </w:r>
      <w:r w:rsidRPr="00FB656E">
        <w:rPr>
          <w:rFonts w:ascii="TimesNewRomanPS-ItalicMT" w:hAnsi="TimesNewRomanPS-ItalicMT" w:cs="TimesNewRomanPS-ItalicMT"/>
        </w:rPr>
        <w:t>See</w:t>
      </w:r>
      <w:r>
        <w:t xml:space="preserve"> Catherine H. Stein, Kristen M. Abraham, Erin E. Bonar, Christine E. McAuliffe, Wendy R. Fogo, David A. Faigin, Hisham Abu Raiya, Danielle N. Potokar (March 2009). “Making meaning from personal loss: religious, benefit finding, and </w:t>
      </w:r>
      <w:proofErr w:type="gramStart"/>
      <w:r>
        <w:t>goal-oriented</w:t>
      </w:r>
      <w:proofErr w:type="gramEnd"/>
      <w:r>
        <w:t xml:space="preserve"> attributions.” </w:t>
      </w:r>
      <w:r>
        <w:rPr>
          <w:rFonts w:ascii="TimesNewRomanPS-ItalicMT" w:hAnsi="TimesNewRomanPS-ItalicMT" w:cs="TimesNewRomanPS-ItalicMT"/>
          <w:i/>
          <w:iCs/>
        </w:rPr>
        <w:t>Journal of Loss and Trauma</w:t>
      </w:r>
      <w:r>
        <w:t>. 14 (2): 83</w:t>
      </w:r>
      <w:r>
        <w:rPr>
          <w:rFonts w:ascii="GuttmanKav" w:hAnsi="GuttmanKav" w:cs="GuttmanKav"/>
        </w:rPr>
        <w:t>-</w:t>
      </w:r>
      <w:r>
        <w:t>100.</w:t>
      </w:r>
    </w:p>
  </w:footnote>
  <w:footnote w:id="5">
    <w:p w14:paraId="13307F5F" w14:textId="77777777" w:rsidR="00D77B1D" w:rsidRPr="00F54CDB" w:rsidRDefault="00D77B1D">
      <w:pPr>
        <w:pStyle w:val="FootnoteText"/>
        <w:rPr>
          <w:lang w:val="en-US"/>
        </w:rPr>
      </w:pPr>
      <w:r>
        <w:rPr>
          <w:rStyle w:val="FootnoteReference"/>
        </w:rPr>
        <w:footnoteRef/>
      </w:r>
      <w:r>
        <w:t xml:space="preserve"> </w:t>
      </w:r>
      <w:r w:rsidRPr="00342FC2">
        <w:t>Victor Frankl</w:t>
      </w:r>
      <w:r>
        <w:t xml:space="preserve"> (1986)</w:t>
      </w:r>
      <w:r w:rsidRPr="00342FC2">
        <w:t xml:space="preserve"> </w:t>
      </w:r>
      <w:r w:rsidRPr="00342FC2">
        <w:rPr>
          <w:rFonts w:hint="cs"/>
          <w:i/>
          <w:iCs/>
        </w:rPr>
        <w:t>Man</w:t>
      </w:r>
      <w:r w:rsidRPr="00342FC2">
        <w:rPr>
          <w:i/>
          <w:iCs/>
        </w:rPr>
        <w:t>’</w:t>
      </w:r>
      <w:r w:rsidRPr="00342FC2">
        <w:rPr>
          <w:rFonts w:hint="cs"/>
          <w:i/>
          <w:iCs/>
        </w:rPr>
        <w:t>s Search for Meaning</w:t>
      </w:r>
      <w:r w:rsidRPr="00342FC2">
        <w:t xml:space="preserve">, </w:t>
      </w:r>
      <w:r>
        <w:t xml:space="preserve">New </w:t>
      </w:r>
      <w:proofErr w:type="spellStart"/>
      <w:r>
        <w:t>York:Washington</w:t>
      </w:r>
      <w:proofErr w:type="spellEnd"/>
      <w:r>
        <w:t xml:space="preserve"> Square Press, p.</w:t>
      </w:r>
      <w:r w:rsidRPr="00342FC2">
        <w:t xml:space="preserve"> 8</w:t>
      </w:r>
      <w:r>
        <w:t>6.</w:t>
      </w:r>
    </w:p>
  </w:footnote>
  <w:footnote w:id="6">
    <w:p w14:paraId="46931F80" w14:textId="3F6F8A90" w:rsidR="00D77B1D" w:rsidRPr="00253C24" w:rsidRDefault="00D77B1D">
      <w:pPr>
        <w:pStyle w:val="FootnoteText"/>
        <w:rPr>
          <w:lang w:val="en-US"/>
        </w:rPr>
      </w:pPr>
      <w:r>
        <w:rPr>
          <w:rStyle w:val="FootnoteReference"/>
        </w:rPr>
        <w:footnoteRef/>
      </w:r>
      <w:r>
        <w:t xml:space="preserve"> </w:t>
      </w:r>
      <w:r>
        <w:rPr>
          <w:lang w:val="en-US"/>
        </w:rPr>
        <w:t xml:space="preserve">This is the traditional declaration made </w:t>
      </w:r>
      <w:r w:rsidR="00F32D10">
        <w:rPr>
          <w:lang w:val="en-US"/>
        </w:rPr>
        <w:t>at</w:t>
      </w:r>
      <w:r>
        <w:rPr>
          <w:lang w:val="en-US"/>
        </w:rPr>
        <w:t xml:space="preserve"> the conclusion of studying a tractate of the Talmud.</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6"/>
  <w:doNotDisplayPageBoundaries/>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yNLAwMbW0MLe0MLFQ0lEKTi0uzszPAykwqgUAkz8oRywAAAA="/>
  </w:docVars>
  <w:rsids>
    <w:rsidRoot w:val="00FB656E"/>
    <w:rsid w:val="00021627"/>
    <w:rsid w:val="00031095"/>
    <w:rsid w:val="00066A5D"/>
    <w:rsid w:val="000854EE"/>
    <w:rsid w:val="000C34A3"/>
    <w:rsid w:val="000D6855"/>
    <w:rsid w:val="000F7A2C"/>
    <w:rsid w:val="00121B78"/>
    <w:rsid w:val="00132370"/>
    <w:rsid w:val="00145394"/>
    <w:rsid w:val="00154105"/>
    <w:rsid w:val="001671FA"/>
    <w:rsid w:val="00173901"/>
    <w:rsid w:val="00174063"/>
    <w:rsid w:val="001B27EA"/>
    <w:rsid w:val="001B3E0F"/>
    <w:rsid w:val="001C02B9"/>
    <w:rsid w:val="001C7EC0"/>
    <w:rsid w:val="001D7621"/>
    <w:rsid w:val="001E116E"/>
    <w:rsid w:val="001E4BE7"/>
    <w:rsid w:val="001F7E0C"/>
    <w:rsid w:val="002026FC"/>
    <w:rsid w:val="00213733"/>
    <w:rsid w:val="002164FA"/>
    <w:rsid w:val="00240AB1"/>
    <w:rsid w:val="00242ABB"/>
    <w:rsid w:val="00253C24"/>
    <w:rsid w:val="00257B2C"/>
    <w:rsid w:val="0026007D"/>
    <w:rsid w:val="002877B6"/>
    <w:rsid w:val="002A0DDE"/>
    <w:rsid w:val="002C27F7"/>
    <w:rsid w:val="002C2D32"/>
    <w:rsid w:val="002E5C44"/>
    <w:rsid w:val="0030344C"/>
    <w:rsid w:val="0030381A"/>
    <w:rsid w:val="0031313E"/>
    <w:rsid w:val="00315251"/>
    <w:rsid w:val="003166E9"/>
    <w:rsid w:val="00327834"/>
    <w:rsid w:val="00327F60"/>
    <w:rsid w:val="00340D1B"/>
    <w:rsid w:val="00342FC2"/>
    <w:rsid w:val="00345332"/>
    <w:rsid w:val="00346FBB"/>
    <w:rsid w:val="003510BB"/>
    <w:rsid w:val="00361F47"/>
    <w:rsid w:val="003805AE"/>
    <w:rsid w:val="003B1DEC"/>
    <w:rsid w:val="003D7818"/>
    <w:rsid w:val="00403CDC"/>
    <w:rsid w:val="004067E1"/>
    <w:rsid w:val="00412A5C"/>
    <w:rsid w:val="00413D4F"/>
    <w:rsid w:val="00420204"/>
    <w:rsid w:val="0042774C"/>
    <w:rsid w:val="004C6260"/>
    <w:rsid w:val="004D1355"/>
    <w:rsid w:val="00503A04"/>
    <w:rsid w:val="00504241"/>
    <w:rsid w:val="005165A7"/>
    <w:rsid w:val="005165F4"/>
    <w:rsid w:val="00530F99"/>
    <w:rsid w:val="00543F28"/>
    <w:rsid w:val="00545833"/>
    <w:rsid w:val="005553C9"/>
    <w:rsid w:val="005A011F"/>
    <w:rsid w:val="005B1681"/>
    <w:rsid w:val="005B399F"/>
    <w:rsid w:val="005B5CE0"/>
    <w:rsid w:val="005B666B"/>
    <w:rsid w:val="005B6C50"/>
    <w:rsid w:val="005C4384"/>
    <w:rsid w:val="005D5C34"/>
    <w:rsid w:val="005F2288"/>
    <w:rsid w:val="005F2C7A"/>
    <w:rsid w:val="005F64FB"/>
    <w:rsid w:val="006065B7"/>
    <w:rsid w:val="00626C4D"/>
    <w:rsid w:val="0065592A"/>
    <w:rsid w:val="00657F52"/>
    <w:rsid w:val="00660FF2"/>
    <w:rsid w:val="0066347C"/>
    <w:rsid w:val="006668A1"/>
    <w:rsid w:val="006716B1"/>
    <w:rsid w:val="00671E54"/>
    <w:rsid w:val="00673267"/>
    <w:rsid w:val="0067557B"/>
    <w:rsid w:val="00693071"/>
    <w:rsid w:val="006942E7"/>
    <w:rsid w:val="006D0133"/>
    <w:rsid w:val="006D40D2"/>
    <w:rsid w:val="006D7948"/>
    <w:rsid w:val="00716EE3"/>
    <w:rsid w:val="00727C38"/>
    <w:rsid w:val="00743170"/>
    <w:rsid w:val="0074641E"/>
    <w:rsid w:val="007967AD"/>
    <w:rsid w:val="007C1A58"/>
    <w:rsid w:val="007F758F"/>
    <w:rsid w:val="0080457B"/>
    <w:rsid w:val="00814D08"/>
    <w:rsid w:val="00824A5F"/>
    <w:rsid w:val="008371B3"/>
    <w:rsid w:val="008379EE"/>
    <w:rsid w:val="00851D55"/>
    <w:rsid w:val="00864BB2"/>
    <w:rsid w:val="00866909"/>
    <w:rsid w:val="00881690"/>
    <w:rsid w:val="0088373C"/>
    <w:rsid w:val="00893568"/>
    <w:rsid w:val="00893E50"/>
    <w:rsid w:val="008B0284"/>
    <w:rsid w:val="008B3956"/>
    <w:rsid w:val="008B7BE2"/>
    <w:rsid w:val="008D3CD6"/>
    <w:rsid w:val="008E3513"/>
    <w:rsid w:val="0092105E"/>
    <w:rsid w:val="00922962"/>
    <w:rsid w:val="00926CF8"/>
    <w:rsid w:val="00931285"/>
    <w:rsid w:val="00935B50"/>
    <w:rsid w:val="0093781D"/>
    <w:rsid w:val="0094059D"/>
    <w:rsid w:val="00945782"/>
    <w:rsid w:val="00973A14"/>
    <w:rsid w:val="00981305"/>
    <w:rsid w:val="00993D28"/>
    <w:rsid w:val="00994CCE"/>
    <w:rsid w:val="009B0089"/>
    <w:rsid w:val="009B16CD"/>
    <w:rsid w:val="009C02AE"/>
    <w:rsid w:val="009C7F84"/>
    <w:rsid w:val="009D55A5"/>
    <w:rsid w:val="009D7EF3"/>
    <w:rsid w:val="009F609E"/>
    <w:rsid w:val="009F6A39"/>
    <w:rsid w:val="00A2195E"/>
    <w:rsid w:val="00A26F0B"/>
    <w:rsid w:val="00A52350"/>
    <w:rsid w:val="00A57CDC"/>
    <w:rsid w:val="00A65B74"/>
    <w:rsid w:val="00A775BD"/>
    <w:rsid w:val="00A822CB"/>
    <w:rsid w:val="00A8691F"/>
    <w:rsid w:val="00A9370E"/>
    <w:rsid w:val="00AA5411"/>
    <w:rsid w:val="00AC30DA"/>
    <w:rsid w:val="00AC3554"/>
    <w:rsid w:val="00AF0DAB"/>
    <w:rsid w:val="00AF3974"/>
    <w:rsid w:val="00B21336"/>
    <w:rsid w:val="00B24C15"/>
    <w:rsid w:val="00B259A8"/>
    <w:rsid w:val="00B76E93"/>
    <w:rsid w:val="00B8129A"/>
    <w:rsid w:val="00BB75D3"/>
    <w:rsid w:val="00BD25B2"/>
    <w:rsid w:val="00BD503F"/>
    <w:rsid w:val="00BE0CAF"/>
    <w:rsid w:val="00C16AE9"/>
    <w:rsid w:val="00C506F4"/>
    <w:rsid w:val="00C90400"/>
    <w:rsid w:val="00C91E51"/>
    <w:rsid w:val="00CB7E47"/>
    <w:rsid w:val="00CC020E"/>
    <w:rsid w:val="00D0596D"/>
    <w:rsid w:val="00D12CC6"/>
    <w:rsid w:val="00D21996"/>
    <w:rsid w:val="00D341E5"/>
    <w:rsid w:val="00D51C06"/>
    <w:rsid w:val="00D641C9"/>
    <w:rsid w:val="00D704E8"/>
    <w:rsid w:val="00D71601"/>
    <w:rsid w:val="00D72A10"/>
    <w:rsid w:val="00D77B1D"/>
    <w:rsid w:val="00D87FE3"/>
    <w:rsid w:val="00DA6459"/>
    <w:rsid w:val="00DB2A1F"/>
    <w:rsid w:val="00DC4CF4"/>
    <w:rsid w:val="00DE10A9"/>
    <w:rsid w:val="00DE4509"/>
    <w:rsid w:val="00DF0050"/>
    <w:rsid w:val="00DF45C9"/>
    <w:rsid w:val="00E056C8"/>
    <w:rsid w:val="00E348DF"/>
    <w:rsid w:val="00E61CB8"/>
    <w:rsid w:val="00E93B8E"/>
    <w:rsid w:val="00EB6583"/>
    <w:rsid w:val="00F10F50"/>
    <w:rsid w:val="00F32D10"/>
    <w:rsid w:val="00F3575F"/>
    <w:rsid w:val="00F54CDB"/>
    <w:rsid w:val="00F67E6A"/>
    <w:rsid w:val="00F73314"/>
    <w:rsid w:val="00F7375F"/>
    <w:rsid w:val="00F82554"/>
    <w:rsid w:val="00F95F36"/>
    <w:rsid w:val="00FB2317"/>
    <w:rsid w:val="00FB656E"/>
    <w:rsid w:val="00FB6CE6"/>
    <w:rsid w:val="00FC506F"/>
    <w:rsid w:val="00FE2947"/>
    <w:rsid w:val="00FE511C"/>
    <w:rsid w:val="00FF40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1B793"/>
  <w15:chartTrackingRefBased/>
  <w15:docId w15:val="{265DBC62-BD01-4B91-881C-9C4AF5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Narkisim"/>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56"/>
    <w:rPr>
      <w:lang w:val="en" w:bidi="he-IL"/>
    </w:rPr>
  </w:style>
  <w:style w:type="paragraph" w:styleId="Heading1">
    <w:name w:val="heading 1"/>
    <w:basedOn w:val="Normal"/>
    <w:next w:val="Normal"/>
    <w:link w:val="Heading1Char"/>
    <w:uiPriority w:val="9"/>
    <w:qFormat/>
    <w:rsid w:val="008B3956"/>
    <w:pPr>
      <w:spacing w:before="120" w:after="120"/>
      <w:outlineLvl w:val="0"/>
    </w:pPr>
    <w:rPr>
      <w:b/>
      <w:bCs/>
    </w:rPr>
  </w:style>
  <w:style w:type="paragraph" w:styleId="Heading2">
    <w:name w:val="heading 2"/>
    <w:basedOn w:val="Normal"/>
    <w:next w:val="Normal"/>
    <w:link w:val="Heading2Char"/>
    <w:uiPriority w:val="9"/>
    <w:semiHidden/>
    <w:unhideWhenUsed/>
    <w:qFormat/>
    <w:rsid w:val="00FB6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56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56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B656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B656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B656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B656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B656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Normal"/>
    <w:link w:val="Footnote0"/>
    <w:rsid w:val="00A26F0B"/>
    <w:pPr>
      <w:widowControl w:val="0"/>
      <w:shd w:val="clear" w:color="auto" w:fill="FFFFFF"/>
      <w:spacing w:line="262" w:lineRule="auto"/>
    </w:pPr>
    <w:rPr>
      <w:rFonts w:eastAsia="Times New Roman" w:cs="Times New Roman"/>
      <w:sz w:val="19"/>
      <w:szCs w:val="19"/>
    </w:rPr>
  </w:style>
  <w:style w:type="character" w:customStyle="1" w:styleId="Footnote0">
    <w:name w:val="Footnote_"/>
    <w:basedOn w:val="DefaultParagraphFont"/>
    <w:link w:val="Footnote"/>
    <w:rsid w:val="00A26F0B"/>
    <w:rPr>
      <w:rFonts w:ascii="Times New Roman" w:eastAsia="Times New Roman" w:hAnsi="Times New Roman" w:cs="Times New Roman"/>
      <w:sz w:val="19"/>
      <w:szCs w:val="19"/>
      <w:shd w:val="clear" w:color="auto" w:fill="FFFFFF"/>
    </w:rPr>
  </w:style>
  <w:style w:type="character" w:customStyle="1" w:styleId="Heading1Char">
    <w:name w:val="Heading 1 Char"/>
    <w:basedOn w:val="DefaultParagraphFont"/>
    <w:link w:val="Heading1"/>
    <w:uiPriority w:val="9"/>
    <w:rsid w:val="008B3956"/>
    <w:rPr>
      <w:b/>
      <w:bCs/>
      <w:lang w:val="en" w:bidi="he-IL"/>
    </w:rPr>
  </w:style>
  <w:style w:type="character" w:customStyle="1" w:styleId="Heading2Char">
    <w:name w:val="Heading 2 Char"/>
    <w:basedOn w:val="DefaultParagraphFont"/>
    <w:link w:val="Heading2"/>
    <w:uiPriority w:val="9"/>
    <w:semiHidden/>
    <w:rsid w:val="00FB65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56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56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B656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B65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B65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B65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B65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B6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56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5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B3956"/>
    <w:pPr>
      <w:spacing w:before="160" w:after="160" w:line="240" w:lineRule="auto"/>
      <w:jc w:val="center"/>
    </w:pPr>
  </w:style>
  <w:style w:type="character" w:customStyle="1" w:styleId="QuoteChar">
    <w:name w:val="Quote Char"/>
    <w:basedOn w:val="DefaultParagraphFont"/>
    <w:link w:val="Quote"/>
    <w:uiPriority w:val="29"/>
    <w:rsid w:val="008B3956"/>
    <w:rPr>
      <w:lang w:bidi="he-IL"/>
    </w:rPr>
  </w:style>
  <w:style w:type="paragraph" w:styleId="ListParagraph">
    <w:name w:val="List Paragraph"/>
    <w:basedOn w:val="Normal"/>
    <w:uiPriority w:val="34"/>
    <w:qFormat/>
    <w:rsid w:val="00FB656E"/>
    <w:pPr>
      <w:ind w:left="720"/>
      <w:contextualSpacing/>
    </w:pPr>
  </w:style>
  <w:style w:type="character" w:styleId="IntenseEmphasis">
    <w:name w:val="Intense Emphasis"/>
    <w:basedOn w:val="DefaultParagraphFont"/>
    <w:uiPriority w:val="21"/>
    <w:qFormat/>
    <w:rsid w:val="00FB656E"/>
    <w:rPr>
      <w:i/>
      <w:iCs/>
      <w:color w:val="0F4761" w:themeColor="accent1" w:themeShade="BF"/>
    </w:rPr>
  </w:style>
  <w:style w:type="paragraph" w:styleId="IntenseQuote">
    <w:name w:val="Intense Quote"/>
    <w:basedOn w:val="Normal"/>
    <w:next w:val="Normal"/>
    <w:link w:val="IntenseQuoteChar"/>
    <w:uiPriority w:val="30"/>
    <w:qFormat/>
    <w:rsid w:val="00FB6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56E"/>
    <w:rPr>
      <w:i/>
      <w:iCs/>
      <w:color w:val="0F4761" w:themeColor="accent1" w:themeShade="BF"/>
    </w:rPr>
  </w:style>
  <w:style w:type="character" w:styleId="IntenseReference">
    <w:name w:val="Intense Reference"/>
    <w:basedOn w:val="DefaultParagraphFont"/>
    <w:uiPriority w:val="32"/>
    <w:qFormat/>
    <w:rsid w:val="00FB656E"/>
    <w:rPr>
      <w:b/>
      <w:bCs/>
      <w:smallCaps/>
      <w:color w:val="0F4761" w:themeColor="accent1" w:themeShade="BF"/>
      <w:spacing w:val="5"/>
    </w:rPr>
  </w:style>
  <w:style w:type="paragraph" w:styleId="FootnoteText">
    <w:name w:val="footnote text"/>
    <w:basedOn w:val="Normal"/>
    <w:link w:val="FootnoteTextChar"/>
    <w:uiPriority w:val="99"/>
    <w:unhideWhenUsed/>
    <w:rsid w:val="00FB656E"/>
    <w:pPr>
      <w:spacing w:line="240" w:lineRule="auto"/>
    </w:pPr>
    <w:rPr>
      <w:sz w:val="20"/>
      <w:szCs w:val="20"/>
    </w:rPr>
  </w:style>
  <w:style w:type="character" w:customStyle="1" w:styleId="FootnoteTextChar">
    <w:name w:val="Footnote Text Char"/>
    <w:basedOn w:val="DefaultParagraphFont"/>
    <w:link w:val="FootnoteText"/>
    <w:uiPriority w:val="99"/>
    <w:rsid w:val="00FB656E"/>
    <w:rPr>
      <w:sz w:val="20"/>
      <w:szCs w:val="20"/>
    </w:rPr>
  </w:style>
  <w:style w:type="character" w:styleId="FootnoteReference">
    <w:name w:val="footnote reference"/>
    <w:basedOn w:val="DefaultParagraphFont"/>
    <w:uiPriority w:val="99"/>
    <w:unhideWhenUsed/>
    <w:rsid w:val="008B3956"/>
    <w:rPr>
      <w:rFonts w:asciiTheme="majorBidi" w:hAnsiTheme="majorBidi" w:cstheme="majorBidi"/>
      <w:sz w:val="20"/>
      <w:szCs w:val="20"/>
      <w:vertAlign w:val="superscript"/>
    </w:rPr>
  </w:style>
  <w:style w:type="table" w:styleId="TableGrid">
    <w:name w:val="Table Grid"/>
    <w:basedOn w:val="TableNormal"/>
    <w:uiPriority w:val="39"/>
    <w:rsid w:val="00B812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3956"/>
    <w:rPr>
      <w:sz w:val="16"/>
      <w:szCs w:val="16"/>
    </w:rPr>
  </w:style>
  <w:style w:type="paragraph" w:styleId="CommentText">
    <w:name w:val="annotation text"/>
    <w:basedOn w:val="Normal"/>
    <w:link w:val="CommentTextChar"/>
    <w:uiPriority w:val="99"/>
    <w:unhideWhenUsed/>
    <w:rsid w:val="008B3956"/>
    <w:pPr>
      <w:spacing w:line="240" w:lineRule="auto"/>
    </w:pPr>
    <w:rPr>
      <w:sz w:val="20"/>
      <w:szCs w:val="20"/>
    </w:rPr>
  </w:style>
  <w:style w:type="character" w:customStyle="1" w:styleId="CommentTextChar">
    <w:name w:val="Comment Text Char"/>
    <w:basedOn w:val="DefaultParagraphFont"/>
    <w:link w:val="CommentText"/>
    <w:uiPriority w:val="99"/>
    <w:rsid w:val="008B3956"/>
    <w:rPr>
      <w:sz w:val="20"/>
      <w:szCs w:val="20"/>
    </w:rPr>
  </w:style>
  <w:style w:type="paragraph" w:styleId="CommentSubject">
    <w:name w:val="annotation subject"/>
    <w:basedOn w:val="CommentText"/>
    <w:next w:val="CommentText"/>
    <w:link w:val="CommentSubjectChar"/>
    <w:uiPriority w:val="99"/>
    <w:semiHidden/>
    <w:unhideWhenUsed/>
    <w:rsid w:val="008B3956"/>
    <w:rPr>
      <w:b/>
      <w:bCs/>
    </w:rPr>
  </w:style>
  <w:style w:type="character" w:customStyle="1" w:styleId="CommentSubjectChar">
    <w:name w:val="Comment Subject Char"/>
    <w:basedOn w:val="CommentTextChar"/>
    <w:link w:val="CommentSubject"/>
    <w:uiPriority w:val="99"/>
    <w:semiHidden/>
    <w:rsid w:val="008B39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5587">
      <w:bodyDiv w:val="1"/>
      <w:marLeft w:val="0"/>
      <w:marRight w:val="0"/>
      <w:marTop w:val="0"/>
      <w:marBottom w:val="0"/>
      <w:divBdr>
        <w:top w:val="none" w:sz="0" w:space="0" w:color="auto"/>
        <w:left w:val="none" w:sz="0" w:space="0" w:color="auto"/>
        <w:bottom w:val="none" w:sz="0" w:space="0" w:color="auto"/>
        <w:right w:val="none" w:sz="0" w:space="0" w:color="auto"/>
      </w:divBdr>
      <w:divsChild>
        <w:div w:id="1903710080">
          <w:marLeft w:val="0"/>
          <w:marRight w:val="0"/>
          <w:marTop w:val="0"/>
          <w:marBottom w:val="0"/>
          <w:divBdr>
            <w:top w:val="none" w:sz="0" w:space="0" w:color="auto"/>
            <w:left w:val="none" w:sz="0" w:space="0" w:color="auto"/>
            <w:bottom w:val="none" w:sz="0" w:space="0" w:color="auto"/>
            <w:right w:val="none" w:sz="0" w:space="0" w:color="auto"/>
          </w:divBdr>
        </w:div>
      </w:divsChild>
    </w:div>
    <w:div w:id="195343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3C4516-C97A-4255-845B-5BA5DC77F52A}">
  <we:reference id="wa200005988" version="1.1.0.0" store="en-US" storeType="OMEX"/>
  <we:alternateReferences>
    <we:reference id="wa200005988" version="1.1.0.0" store="WA20000598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7</Pages>
  <Words>2821</Words>
  <Characters>13944</Characters>
  <Application>Microsoft Office Word</Application>
  <DocSecurity>0</DocSecurity>
  <Lines>187</Lines>
  <Paragraphs>41</Paragraphs>
  <ScaleCrop>false</ScaleCrop>
  <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4</cp:revision>
  <dcterms:created xsi:type="dcterms:W3CDTF">2024-04-11T09:21:00Z</dcterms:created>
  <dcterms:modified xsi:type="dcterms:W3CDTF">2024-04-11T09:23:00Z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d839212f-55f0-4061-a5da-5263cb64af46</vt:lpwstr>
  </property>
</Properties>
</file>