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B603" w14:textId="478308D3" w:rsidR="00F663A7" w:rsidRPr="009E41BD" w:rsidRDefault="00573284" w:rsidP="009E41BD">
      <w:pPr>
        <w:pStyle w:val="Title"/>
        <w:rPr>
          <w:rtl/>
        </w:rPr>
      </w:pPr>
      <w:bookmarkStart w:id="0" w:name="_Hlk151041046"/>
      <w:r w:rsidRPr="009E41BD">
        <w:t>“And let no one suspect me of saying that these words are against the Ari”</w:t>
      </w:r>
      <w:r w:rsidR="009E41BD">
        <w:t xml:space="preserve">: </w:t>
      </w:r>
      <w:r w:rsidR="009E41BD" w:rsidRPr="009E41BD">
        <w:t>Traditional, Zoharic and Lurianic</w:t>
      </w:r>
      <w:r w:rsidR="009E41BD">
        <w:t xml:space="preserve"> Conceptions in</w:t>
      </w:r>
      <w:r w:rsidR="009E41BD" w:rsidRPr="009E41BD">
        <w:t xml:space="preserve"> Rabbi Shmuel ben</w:t>
      </w:r>
      <w:r w:rsidR="002F291C">
        <w:t>-</w:t>
      </w:r>
      <w:r w:rsidR="009E41BD" w:rsidRPr="009E41BD">
        <w:t>Zaken from Fez</w:t>
      </w:r>
      <w:r w:rsidR="009E41BD">
        <w:t>’s Thought</w:t>
      </w:r>
    </w:p>
    <w:p w14:paraId="498DEB91" w14:textId="77777777" w:rsidR="00F663A7" w:rsidRPr="00F3527B" w:rsidRDefault="002F291C" w:rsidP="00F3527B">
      <w:pPr>
        <w:pStyle w:val="Heading1"/>
        <w:rPr>
          <w:rtl/>
        </w:rPr>
      </w:pPr>
      <w:commentRangeStart w:id="1"/>
      <w:r w:rsidRPr="00F3527B">
        <w:t>A</w:t>
      </w:r>
      <w:commentRangeEnd w:id="1"/>
      <w:r w:rsidR="009202DA">
        <w:rPr>
          <w:rStyle w:val="CommentReference"/>
          <w:b w:val="0"/>
          <w:bCs w:val="0"/>
        </w:rPr>
        <w:commentReference w:id="1"/>
      </w:r>
      <w:r w:rsidRPr="00F3527B">
        <w:t>. Introduction</w:t>
      </w:r>
    </w:p>
    <w:p w14:paraId="7480C187" w14:textId="0F205070" w:rsidR="00753D85" w:rsidRPr="00573284" w:rsidRDefault="009E41BD" w:rsidP="009E41BD">
      <w:pPr>
        <w:rPr>
          <w:rtl/>
        </w:rPr>
      </w:pPr>
      <w:r>
        <w:t>A few</w:t>
      </w:r>
      <w:r w:rsidRPr="00573284">
        <w:t xml:space="preserve"> studies have been devoted to the reception of Zoharic literature in Morocco and the spread of Lurianic Kabbalah among the learned circles there.</w:t>
      </w:r>
      <w:commentRangeStart w:id="2"/>
      <w:r w:rsidRPr="00573284">
        <w:rPr>
          <w:rStyle w:val="FootnoteReference"/>
          <w:rFonts w:cstheme="majorBidi"/>
          <w:rtl/>
        </w:rPr>
        <w:footnoteReference w:id="1"/>
      </w:r>
      <w:commentRangeEnd w:id="2"/>
      <w:r>
        <w:rPr>
          <w:rStyle w:val="CommentReference"/>
        </w:rPr>
        <w:commentReference w:id="2"/>
      </w:r>
      <w:r w:rsidRPr="00573284">
        <w:t xml:space="preserve"> These studies mostly focused on </w:t>
      </w:r>
      <w:r>
        <w:t>Kabbalistic circles, personalities,</w:t>
      </w:r>
      <w:r w:rsidRPr="00573284">
        <w:t xml:space="preserve"> and texts</w:t>
      </w:r>
      <w:r>
        <w:t>.</w:t>
      </w:r>
      <w:r w:rsidRPr="00573284">
        <w:rPr>
          <w:rStyle w:val="FootnoteReference"/>
          <w:rFonts w:cstheme="majorBidi"/>
          <w:rtl/>
        </w:rPr>
        <w:footnoteReference w:id="2"/>
      </w:r>
      <w:r w:rsidRPr="00573284">
        <w:t xml:space="preserve"> </w:t>
      </w:r>
      <w:r>
        <w:t>T</w:t>
      </w:r>
      <w:r w:rsidRPr="00573284">
        <w:t xml:space="preserve">hey did not examine the influence of these corpora on the rabbis of Morocco who were </w:t>
      </w:r>
      <w:r>
        <w:t>not established Kabbalists</w:t>
      </w:r>
      <w:r w:rsidRPr="00573284">
        <w:t xml:space="preserve"> and </w:t>
      </w:r>
      <w:r>
        <w:t>whose</w:t>
      </w:r>
      <w:r w:rsidRPr="00573284">
        <w:t xml:space="preserve"> </w:t>
      </w:r>
      <w:r>
        <w:t>works</w:t>
      </w:r>
      <w:r w:rsidRPr="00573284">
        <w:t xml:space="preserve"> were not Kabbalisti</w:t>
      </w:r>
      <w:r>
        <w:t>c. The exception is</w:t>
      </w:r>
      <w:r w:rsidRPr="00573284">
        <w:t xml:space="preserve"> Moshe Hal</w:t>
      </w:r>
      <w:r w:rsidR="006953D0">
        <w:t>l</w:t>
      </w:r>
      <w:r w:rsidRPr="00573284">
        <w:t>amish</w:t>
      </w:r>
      <w:r>
        <w:t>’</w:t>
      </w:r>
      <w:r w:rsidRPr="00573284">
        <w:t xml:space="preserve">s brief comment that </w:t>
      </w:r>
      <w:r w:rsidR="009C4BA9" w:rsidRPr="00573284">
        <w:t xml:space="preserve">there were some Moroccan sages who, although they did not belong </w:t>
      </w:r>
      <w:r w:rsidR="009C4BA9" w:rsidRPr="00573284">
        <w:lastRenderedPageBreak/>
        <w:t>to the Kabbalistic movement, nevertheless cited him in their words, because he was perceived by them as a condition source.</w:t>
      </w:r>
      <w:r w:rsidRPr="00573284">
        <w:rPr>
          <w:rStyle w:val="FootnoteReference"/>
          <w:rFonts w:cstheme="majorBidi"/>
          <w:rtl/>
        </w:rPr>
        <w:footnoteReference w:id="3"/>
      </w:r>
      <w:r w:rsidRPr="00573284">
        <w:t xml:space="preserve"> </w:t>
      </w:r>
      <w:r w:rsidR="002F291C">
        <w:t>T</w:t>
      </w:r>
      <w:r w:rsidRPr="00573284">
        <w:t xml:space="preserve">o paint a more complete picture of the acceptance of the Zohar literature and Lurianic Kabbalah among the educated class in Morocco, it is appropriate to consider their influence also on </w:t>
      </w:r>
      <w:r>
        <w:t>non-Kabbalist personalities</w:t>
      </w:r>
      <w:r w:rsidRPr="00573284">
        <w:t xml:space="preserve"> and texts. </w:t>
      </w:r>
      <w:r>
        <w:t>Filling this lacuna</w:t>
      </w:r>
      <w:r w:rsidRPr="00573284">
        <w:t xml:space="preserve"> will contribute to completing the picture of Jewish thought in Morocco in modern times and the intellectual history of the community.</w:t>
      </w:r>
    </w:p>
    <w:p w14:paraId="0A8D4E49" w14:textId="7D097F7D" w:rsidR="00B52A4B" w:rsidRPr="00573284" w:rsidRDefault="009E41BD" w:rsidP="009E41BD">
      <w:pPr>
        <w:rPr>
          <w:rtl/>
        </w:rPr>
      </w:pPr>
      <w:r>
        <w:t>Els</w:t>
      </w:r>
      <w:r w:rsidR="007B19C5">
        <w:t>e</w:t>
      </w:r>
      <w:r>
        <w:t>where</w:t>
      </w:r>
      <w:r w:rsidRPr="00573284">
        <w:t xml:space="preserve">, I expanded a bit on the relationship of North African sages (who were not Kabbalists and their </w:t>
      </w:r>
      <w:r>
        <w:t>works</w:t>
      </w:r>
      <w:r w:rsidRPr="00573284">
        <w:t xml:space="preserve"> </w:t>
      </w:r>
      <w:r>
        <w:t>were</w:t>
      </w:r>
      <w:r w:rsidRPr="00573284">
        <w:t xml:space="preserve"> not Kabbalistic) to the Zohar literature in </w:t>
      </w:r>
      <w:r>
        <w:t xml:space="preserve">the </w:t>
      </w:r>
      <w:r w:rsidRPr="00573284">
        <w:t>generations after the expulsion</w:t>
      </w:r>
      <w:r>
        <w:t xml:space="preserve"> from Spain</w:t>
      </w:r>
      <w:r w:rsidRPr="00573284">
        <w:t xml:space="preserve"> before Lurianic Kabbalah spread there.</w:t>
      </w:r>
      <w:r w:rsidRPr="00573284">
        <w:rPr>
          <w:rStyle w:val="FootnoteReference"/>
          <w:rFonts w:cstheme="majorBidi"/>
          <w:rtl/>
        </w:rPr>
        <w:footnoteReference w:id="4"/>
      </w:r>
      <w:r w:rsidRPr="00573284">
        <w:t xml:space="preserve"> I pointed out that they </w:t>
      </w:r>
      <w:r w:rsidR="009C4BA9" w:rsidRPr="00573284">
        <w:t xml:space="preserve">referred to the Zohar as </w:t>
      </w:r>
      <w:r>
        <w:t>‘</w:t>
      </w:r>
      <w:r w:rsidR="009C4BA9" w:rsidRPr="00573284">
        <w:t>Midrash Zohar</w:t>
      </w:r>
      <w:r>
        <w:t>’</w:t>
      </w:r>
      <w:r w:rsidR="009C4BA9" w:rsidRPr="00573284">
        <w:t xml:space="preserve"> or </w:t>
      </w:r>
      <w:r>
        <w:t>‘</w:t>
      </w:r>
      <w:r w:rsidR="009C4BA9" w:rsidRPr="00573284">
        <w:t>Midrash Rashbi</w:t>
      </w:r>
      <w:r>
        <w:t>’</w:t>
      </w:r>
      <w:r w:rsidRPr="00573284">
        <w:t xml:space="preserve"> because </w:t>
      </w:r>
      <w:r w:rsidR="007C389E" w:rsidRPr="00573284">
        <w:t xml:space="preserve">they considered it </w:t>
      </w:r>
      <w:r>
        <w:t xml:space="preserve">to be a Tannaic </w:t>
      </w:r>
      <w:r w:rsidR="007C389E" w:rsidRPr="00573284">
        <w:t xml:space="preserve">source. </w:t>
      </w:r>
      <w:r>
        <w:t>A</w:t>
      </w:r>
      <w:r w:rsidR="007C389E" w:rsidRPr="00573284">
        <w:t xml:space="preserve">lthough they often quoted from Zoharic literature, they </w:t>
      </w:r>
      <w:r>
        <w:t>possessed</w:t>
      </w:r>
      <w:r w:rsidR="007C389E" w:rsidRPr="00573284">
        <w:t xml:space="preserve"> an esoteric understanding of the Kabbalistic body of knowledge. </w:t>
      </w:r>
      <w:r>
        <w:t>T</w:t>
      </w:r>
      <w:r w:rsidR="007C389E" w:rsidRPr="00573284">
        <w:t xml:space="preserve">hey </w:t>
      </w:r>
      <w:r>
        <w:t xml:space="preserve">therefore sometimes </w:t>
      </w:r>
      <w:r w:rsidR="007C389E" w:rsidRPr="00573284">
        <w:t xml:space="preserve">did not fully explain their </w:t>
      </w:r>
      <w:r>
        <w:t>statements and made use of language</w:t>
      </w:r>
      <w:r w:rsidR="007C389E" w:rsidRPr="00573284">
        <w:t xml:space="preserve"> that limit</w:t>
      </w:r>
      <w:r>
        <w:t>ed</w:t>
      </w:r>
      <w:r w:rsidR="007C389E" w:rsidRPr="00573284">
        <w:t xml:space="preserve"> the </w:t>
      </w:r>
      <w:r>
        <w:t>Kabbalistic</w:t>
      </w:r>
      <w:r w:rsidR="007C389E" w:rsidRPr="00573284">
        <w:t xml:space="preserve"> knowledge to those who underst</w:t>
      </w:r>
      <w:r>
        <w:t>oo</w:t>
      </w:r>
      <w:r w:rsidR="007C389E" w:rsidRPr="00573284">
        <w:t xml:space="preserve">d </w:t>
      </w:r>
      <w:r>
        <w:t>or could</w:t>
      </w:r>
      <w:r w:rsidR="007C389E" w:rsidRPr="00573284">
        <w:t xml:space="preserve"> complete the knowledge from other </w:t>
      </w:r>
      <w:r>
        <w:t>Kabbalistic</w:t>
      </w:r>
      <w:r w:rsidRPr="00573284">
        <w:t xml:space="preserve"> </w:t>
      </w:r>
      <w:r>
        <w:t>works</w:t>
      </w:r>
      <w:r w:rsidR="007C389E" w:rsidRPr="00573284">
        <w:t xml:space="preserve">. </w:t>
      </w:r>
      <w:r w:rsidRPr="00573284">
        <w:t xml:space="preserve">Nevertheless, I did not find </w:t>
      </w:r>
      <w:r>
        <w:t xml:space="preserve">extensive </w:t>
      </w:r>
      <w:r w:rsidRPr="00573284">
        <w:t xml:space="preserve">expressions of appreciation for the authority of the Zohar, nor expression of </w:t>
      </w:r>
      <w:r>
        <w:t>an approach that</w:t>
      </w:r>
      <w:r w:rsidRPr="00573284">
        <w:t xml:space="preserve"> sanctifies the non-semantic </w:t>
      </w:r>
      <w:r>
        <w:t>elements</w:t>
      </w:r>
      <w:r w:rsidRPr="00573284">
        <w:t xml:space="preserve"> of the Zohar and argues that engaging in </w:t>
      </w:r>
      <w:r>
        <w:t xml:space="preserve">the study of </w:t>
      </w:r>
      <w:r w:rsidRPr="00573284">
        <w:t xml:space="preserve">it, </w:t>
      </w:r>
      <w:r>
        <w:t>or</w:t>
      </w:r>
      <w:r w:rsidRPr="00573284">
        <w:t xml:space="preserve"> even merely repeating its words, has a theurgic influence. I also </w:t>
      </w:r>
      <w:r>
        <w:t>pointed out</w:t>
      </w:r>
      <w:r w:rsidRPr="00573284">
        <w:t xml:space="preserve"> that</w:t>
      </w:r>
      <w:r>
        <w:t xml:space="preserve"> these writings often</w:t>
      </w:r>
      <w:r w:rsidRPr="00573284">
        <w:t xml:space="preserve"> offered </w:t>
      </w:r>
      <w:r>
        <w:t xml:space="preserve">a </w:t>
      </w:r>
      <w:r w:rsidRPr="00573284">
        <w:t xml:space="preserve">Kabbalistic interpretation alongside a non-Kabbalistic interpretation, but did not differentiate between the </w:t>
      </w:r>
      <w:r>
        <w:t>different</w:t>
      </w:r>
      <w:r w:rsidRPr="00573284">
        <w:t xml:space="preserve"> proposals or explain how they coexist.</w:t>
      </w:r>
    </w:p>
    <w:p w14:paraId="6A00EBE8" w14:textId="67204DC8" w:rsidR="00A947C3" w:rsidRPr="00573284" w:rsidRDefault="002F291C" w:rsidP="009E41BD">
      <w:pPr>
        <w:rPr>
          <w:rtl/>
        </w:rPr>
      </w:pPr>
      <w:r w:rsidRPr="00573284">
        <w:t xml:space="preserve">In the present article, I will </w:t>
      </w:r>
      <w:r w:rsidR="009E41BD">
        <w:t>take advantage of the explicit</w:t>
      </w:r>
      <w:r w:rsidRPr="00573284">
        <w:t xml:space="preserve"> and unusual </w:t>
      </w:r>
      <w:r w:rsidR="009E41BD">
        <w:t>contrast</w:t>
      </w:r>
      <w:r w:rsidRPr="00573284">
        <w:t xml:space="preserve"> </w:t>
      </w:r>
      <w:r w:rsidR="009E41BD">
        <w:t xml:space="preserve">drawn by </w:t>
      </w:r>
      <w:r w:rsidR="009E41BD" w:rsidRPr="00573284">
        <w:t xml:space="preserve">Shmuel </w:t>
      </w:r>
      <w:r>
        <w:t>b</w:t>
      </w:r>
      <w:r w:rsidR="009E41BD" w:rsidRPr="00573284">
        <w:t>en-Zake</w:t>
      </w:r>
      <w:r w:rsidR="009E41BD">
        <w:t>n between</w:t>
      </w:r>
      <w:r w:rsidRPr="00573284">
        <w:t xml:space="preserve"> </w:t>
      </w:r>
      <w:r w:rsidR="009E41BD">
        <w:t>the</w:t>
      </w:r>
      <w:r w:rsidRPr="00573284">
        <w:t xml:space="preserve"> traditional and </w:t>
      </w:r>
      <w:r w:rsidR="009E41BD">
        <w:t>the</w:t>
      </w:r>
      <w:r w:rsidRPr="00573284">
        <w:t xml:space="preserve"> Zoharic </w:t>
      </w:r>
      <w:r w:rsidR="009E41BD">
        <w:t>conceptions</w:t>
      </w:r>
      <w:r w:rsidRPr="00573284">
        <w:t xml:space="preserve"> of human perfection and </w:t>
      </w:r>
      <w:r w:rsidR="009E41BD">
        <w:t xml:space="preserve">his resolution </w:t>
      </w:r>
      <w:r w:rsidRPr="00573284">
        <w:t xml:space="preserve">of the apparent contradiction. Moreover, since </w:t>
      </w:r>
      <w:r>
        <w:t>b</w:t>
      </w:r>
      <w:r w:rsidRPr="00573284">
        <w:t xml:space="preserve">en-Zaken </w:t>
      </w:r>
      <w:r w:rsidR="009E41BD">
        <w:t>was active</w:t>
      </w:r>
      <w:r w:rsidRPr="00573284">
        <w:t xml:space="preserve"> at the turn of the seventeenth and eighteenth centuries, he also encountered clashes between the traditional </w:t>
      </w:r>
      <w:r w:rsidR="009E41BD">
        <w:t>conception</w:t>
      </w:r>
      <w:r w:rsidRPr="00573284">
        <w:t xml:space="preserve"> and the Lurianic one. In other words, a study of </w:t>
      </w:r>
      <w:r>
        <w:t>b</w:t>
      </w:r>
      <w:r w:rsidRPr="00573284">
        <w:t>en-Zaken</w:t>
      </w:r>
      <w:r w:rsidR="00FD6885">
        <w:t>’s work</w:t>
      </w:r>
      <w:r w:rsidRPr="00573284">
        <w:t xml:space="preserve"> will familiarize </w:t>
      </w:r>
      <w:r w:rsidR="00FD6885">
        <w:t>us</w:t>
      </w:r>
      <w:r w:rsidRPr="00573284">
        <w:t xml:space="preserve"> with the mechanisms of </w:t>
      </w:r>
      <w:r w:rsidR="00FD6885">
        <w:t>accommodation</w:t>
      </w:r>
      <w:r w:rsidRPr="00573284">
        <w:t xml:space="preserve"> of the Zohar</w:t>
      </w:r>
      <w:r w:rsidR="00FD6885">
        <w:t>ic</w:t>
      </w:r>
      <w:r w:rsidRPr="00573284">
        <w:t xml:space="preserve"> literature among scholars who </w:t>
      </w:r>
      <w:r w:rsidR="00FD6885">
        <w:t>were</w:t>
      </w:r>
      <w:r w:rsidRPr="00573284">
        <w:t xml:space="preserve"> not Kab</w:t>
      </w:r>
      <w:r w:rsidR="00FD6885">
        <w:t>b</w:t>
      </w:r>
      <w:r w:rsidRPr="00573284">
        <w:t xml:space="preserve">alists and to expand the </w:t>
      </w:r>
      <w:r w:rsidR="00FD6885">
        <w:t>scholarly discourse</w:t>
      </w:r>
      <w:r w:rsidRPr="00573284">
        <w:t xml:space="preserve"> on the penetration of the Lurianic Kabbalah </w:t>
      </w:r>
      <w:r w:rsidR="00FD6885">
        <w:t>into</w:t>
      </w:r>
      <w:r w:rsidRPr="00573284">
        <w:t xml:space="preserve"> Morocc</w:t>
      </w:r>
      <w:r w:rsidR="00FD6885">
        <w:t>an</w:t>
      </w:r>
      <w:r w:rsidRPr="00573284">
        <w:t xml:space="preserve"> scholars of this type.</w:t>
      </w:r>
    </w:p>
    <w:p w14:paraId="4067159F" w14:textId="179737E1" w:rsidR="00F663A7" w:rsidRPr="00573284" w:rsidRDefault="002F291C" w:rsidP="009E41BD">
      <w:pPr>
        <w:rPr>
          <w:rtl/>
        </w:rPr>
      </w:pPr>
      <w:r w:rsidRPr="00573284">
        <w:t xml:space="preserve">Shmuel Ben-Zakan </w:t>
      </w:r>
      <w:r w:rsidR="00FD6885">
        <w:t>was</w:t>
      </w:r>
      <w:r w:rsidRPr="00573284">
        <w:t xml:space="preserve"> one of the sages of Fez</w:t>
      </w:r>
      <w:r w:rsidR="00FD6885">
        <w:t xml:space="preserve">. </w:t>
      </w:r>
      <w:r w:rsidRPr="00573284">
        <w:t>Yaakov Moshe Tol</w:t>
      </w:r>
      <w:r w:rsidR="00FD6885">
        <w:t>e</w:t>
      </w:r>
      <w:r w:rsidRPr="00573284">
        <w:t>dano estimated that he lived between the years 1670-1733, and Dan Manor estimates that he was still alive in 1737. According to Toled</w:t>
      </w:r>
      <w:r w:rsidR="00FD6885">
        <w:t>an</w:t>
      </w:r>
      <w:r w:rsidRPr="00573284">
        <w:t xml:space="preserve">o, his teachers were </w:t>
      </w:r>
      <w:r w:rsidR="00FD6885">
        <w:t>Yehuda</w:t>
      </w:r>
      <w:r w:rsidRPr="00573284">
        <w:t xml:space="preserve"> Uziel (1620-1690) and </w:t>
      </w:r>
      <w:r w:rsidR="00FD6885">
        <w:t>Yehuda ben ‘Attar</w:t>
      </w:r>
      <w:r w:rsidRPr="00573284">
        <w:t xml:space="preserve"> (1655-1733), but M</w:t>
      </w:r>
      <w:r w:rsidR="00FD6885">
        <w:t>a</w:t>
      </w:r>
      <w:r w:rsidRPr="00573284">
        <w:t xml:space="preserve">nor </w:t>
      </w:r>
      <w:r w:rsidR="00FD6885">
        <w:t>claims that it is impossible</w:t>
      </w:r>
      <w:r w:rsidRPr="00573284">
        <w:t xml:space="preserve"> that the former was his teacher and argues that only the latter was. Ben-Zaken authored several books: </w:t>
      </w:r>
      <w:r w:rsidRPr="00FD6885">
        <w:rPr>
          <w:i/>
          <w:iCs/>
        </w:rPr>
        <w:t>Gefen Poria</w:t>
      </w:r>
      <w:r w:rsidR="00FD6885">
        <w:rPr>
          <w:i/>
          <w:iCs/>
        </w:rPr>
        <w:t>,</w:t>
      </w:r>
      <w:r w:rsidRPr="00573284">
        <w:t xml:space="preserve"> a commentary on several </w:t>
      </w:r>
      <w:r w:rsidR="00FD6885">
        <w:t xml:space="preserve">Talmudic </w:t>
      </w:r>
      <w:r w:rsidRPr="00573284">
        <w:t xml:space="preserve">tractates </w:t>
      </w:r>
      <w:r w:rsidR="00FD6885">
        <w:t>together with</w:t>
      </w:r>
      <w:r w:rsidRPr="00573284">
        <w:t xml:space="preserve"> </w:t>
      </w:r>
      <w:r w:rsidR="00FD6885">
        <w:t xml:space="preserve">several halakhic responsa, and </w:t>
      </w:r>
      <w:r w:rsidR="00FD6885" w:rsidRPr="00FD6885">
        <w:rPr>
          <w:i/>
          <w:iCs/>
        </w:rPr>
        <w:t>Pri ‘Etz HaGan</w:t>
      </w:r>
      <w:r w:rsidR="00FD6885">
        <w:t>, whose</w:t>
      </w:r>
      <w:r w:rsidRPr="00573284">
        <w:t xml:space="preserve"> first part is a </w:t>
      </w:r>
      <w:r w:rsidR="00FD6885">
        <w:t>commentary on</w:t>
      </w:r>
      <w:r w:rsidRPr="00573284">
        <w:t xml:space="preserve"> the Torah, and second part </w:t>
      </w:r>
      <w:r w:rsidR="00FD6885">
        <w:t>is comprised of</w:t>
      </w:r>
      <w:r w:rsidRPr="00573284">
        <w:t xml:space="preserve"> sermons for various events and </w:t>
      </w:r>
      <w:r w:rsidR="00FD6885">
        <w:t>commentaries</w:t>
      </w:r>
      <w:r w:rsidRPr="00573284">
        <w:t xml:space="preserve"> </w:t>
      </w:r>
      <w:r w:rsidR="00FD6885">
        <w:t>on</w:t>
      </w:r>
      <w:r w:rsidRPr="00573284">
        <w:t xml:space="preserve"> the Prophets and the Writings. The two books remained </w:t>
      </w:r>
      <w:r w:rsidR="00FD6885">
        <w:t>unpublished</w:t>
      </w:r>
      <w:r w:rsidRPr="00573284">
        <w:t xml:space="preserve"> manuscript</w:t>
      </w:r>
      <w:r w:rsidR="00FD6885">
        <w:t>s</w:t>
      </w:r>
      <w:r w:rsidRPr="00573284">
        <w:t xml:space="preserve"> for many years and were only published at the beginning of the twentieth century. </w:t>
      </w:r>
      <w:r w:rsidR="00FD6885">
        <w:t xml:space="preserve">Ben </w:t>
      </w:r>
      <w:r w:rsidR="00FD6885" w:rsidRPr="00573284">
        <w:t xml:space="preserve">Zion Koenka, the </w:t>
      </w:r>
      <w:r w:rsidR="00FD6885">
        <w:t>editor</w:t>
      </w:r>
      <w:r w:rsidR="00FD6885" w:rsidRPr="00573284">
        <w:t xml:space="preserve"> of the book</w:t>
      </w:r>
      <w:r w:rsidR="00FD6885">
        <w:t>s</w:t>
      </w:r>
      <w:r w:rsidR="00FD6885" w:rsidRPr="00573284">
        <w:t xml:space="preserve"> (among the senior rabbis of the Sephardic community in Jerusalem and the editor and founder of the Torah journal </w:t>
      </w:r>
      <w:r w:rsidR="00FD6885" w:rsidRPr="00FD6885">
        <w:rPr>
          <w:i/>
          <w:iCs/>
        </w:rPr>
        <w:t>HaMe’asef</w:t>
      </w:r>
      <w:r w:rsidR="00FD6885" w:rsidRPr="00573284">
        <w:t xml:space="preserve">) </w:t>
      </w:r>
      <w:r w:rsidR="00FD6885">
        <w:t xml:space="preserve">wrote </w:t>
      </w:r>
      <w:r w:rsidRPr="00573284">
        <w:t>short introductions</w:t>
      </w:r>
      <w:r w:rsidR="00FD6885">
        <w:t xml:space="preserve"> to each alongside introductions by</w:t>
      </w:r>
      <w:r w:rsidRPr="00573284">
        <w:t xml:space="preserve"> Toled</w:t>
      </w:r>
      <w:r w:rsidR="00FD6885">
        <w:t>an</w:t>
      </w:r>
      <w:r w:rsidRPr="00573284">
        <w:t xml:space="preserve">o, </w:t>
      </w:r>
      <w:r w:rsidR="00FD6885">
        <w:t>and</w:t>
      </w:r>
      <w:r w:rsidRPr="00573284">
        <w:t xml:space="preserve"> the author</w:t>
      </w:r>
      <w:r w:rsidR="009E41BD">
        <w:t>’</w:t>
      </w:r>
      <w:r w:rsidRPr="00573284">
        <w:t>s introduction</w:t>
      </w:r>
      <w:r w:rsidR="00FD6885">
        <w:t>s</w:t>
      </w:r>
      <w:r w:rsidRPr="00573284">
        <w:t>. Ben-Zaken</w:t>
      </w:r>
      <w:r w:rsidR="00FD6885">
        <w:t xml:space="preserve"> implies</w:t>
      </w:r>
      <w:r w:rsidRPr="00573284">
        <w:t xml:space="preserve"> that he also wrote a </w:t>
      </w:r>
      <w:r w:rsidR="00FD6885">
        <w:t>h</w:t>
      </w:r>
      <w:r w:rsidRPr="00573284">
        <w:t xml:space="preserve">alakhic composition named </w:t>
      </w:r>
      <w:r w:rsidRPr="00FD6885">
        <w:rPr>
          <w:i/>
          <w:iCs/>
        </w:rPr>
        <w:t>Pri Megadim</w:t>
      </w:r>
      <w:r w:rsidRPr="00573284">
        <w:t xml:space="preserve"> </w:t>
      </w:r>
      <w:r w:rsidR="00FD6885">
        <w:t>which</w:t>
      </w:r>
      <w:r w:rsidRPr="00573284">
        <w:t xml:space="preserve"> </w:t>
      </w:r>
      <w:r w:rsidR="00FD6885">
        <w:t xml:space="preserve">has </w:t>
      </w:r>
      <w:r w:rsidRPr="00573284">
        <w:t>apparently</w:t>
      </w:r>
      <w:r w:rsidR="00FD6885">
        <w:t xml:space="preserve"> been</w:t>
      </w:r>
      <w:r w:rsidRPr="00573284">
        <w:t xml:space="preserve"> lost.</w:t>
      </w:r>
      <w:r w:rsidRPr="00573284">
        <w:rPr>
          <w:rStyle w:val="FootnoteReference"/>
          <w:rFonts w:cstheme="majorBidi"/>
          <w:rtl/>
        </w:rPr>
        <w:footnoteReference w:id="5"/>
      </w:r>
    </w:p>
    <w:p w14:paraId="4DB555A5" w14:textId="6BC91BBA" w:rsidR="001F43A0" w:rsidRPr="00573284" w:rsidRDefault="002F291C" w:rsidP="009E41BD">
      <w:pPr>
        <w:rPr>
          <w:rtl/>
        </w:rPr>
      </w:pPr>
      <w:r w:rsidRPr="00573284">
        <w:t>Ben-Zak</w:t>
      </w:r>
      <w:r w:rsidR="00FD6885">
        <w:t>e</w:t>
      </w:r>
      <w:r w:rsidRPr="00573284">
        <w:t xml:space="preserve">n was not </w:t>
      </w:r>
      <w:r w:rsidR="00F3527B">
        <w:t>part of</w:t>
      </w:r>
      <w:r w:rsidRPr="00573284">
        <w:t xml:space="preserve"> the Kabbalistic circles in Morocco during his time, and his </w:t>
      </w:r>
      <w:r w:rsidR="00F3527B">
        <w:t>afore</w:t>
      </w:r>
      <w:r w:rsidRPr="00573284">
        <w:t xml:space="preserve">mentioned writings </w:t>
      </w:r>
      <w:r w:rsidR="00F3527B">
        <w:t>were</w:t>
      </w:r>
      <w:r w:rsidRPr="00573284">
        <w:t xml:space="preserve"> not Kabbalistic compositions</w:t>
      </w:r>
      <w:r w:rsidR="00F3527B">
        <w:t>.</w:t>
      </w:r>
      <w:r w:rsidRPr="00573284">
        <w:t xml:space="preserve"> </w:t>
      </w:r>
      <w:r w:rsidR="00F3527B">
        <w:t>H</w:t>
      </w:r>
      <w:r w:rsidRPr="00573284">
        <w:t>owever, like many others of his time and place, he quoted many times from the Zoharic literature,</w:t>
      </w:r>
      <w:r w:rsidRPr="00573284">
        <w:rPr>
          <w:rStyle w:val="FootnoteReference"/>
          <w:rFonts w:cstheme="majorBidi"/>
          <w:rtl/>
        </w:rPr>
        <w:footnoteReference w:id="6"/>
      </w:r>
      <w:r w:rsidRPr="00573284">
        <w:t xml:space="preserve"> </w:t>
      </w:r>
      <w:r w:rsidR="00F3527B">
        <w:t xml:space="preserve">the </w:t>
      </w:r>
      <w:r w:rsidRPr="00573284">
        <w:t>Safed Kabbalists</w:t>
      </w:r>
      <w:r w:rsidR="00F3527B">
        <w:t>,</w:t>
      </w:r>
      <w:r w:rsidR="00F3527B" w:rsidRPr="00F3527B">
        <w:t xml:space="preserve"> </w:t>
      </w:r>
      <w:r w:rsidR="00F3527B" w:rsidRPr="00573284">
        <w:t>and other</w:t>
      </w:r>
      <w:r w:rsidR="00F3527B">
        <w:t>s,</w:t>
      </w:r>
      <w:r w:rsidRPr="00573284">
        <w:t xml:space="preserve"> </w:t>
      </w:r>
      <w:r w:rsidR="00F3527B">
        <w:t>including</w:t>
      </w:r>
      <w:r w:rsidRPr="00573284">
        <w:t xml:space="preserve"> Moshe </w:t>
      </w:r>
      <w:r w:rsidR="00F3527B">
        <w:t>A</w:t>
      </w:r>
      <w:r w:rsidRPr="00573284">
        <w:t xml:space="preserve">lsheikh, Avraham Galanti, Shlomo </w:t>
      </w:r>
      <w:r w:rsidR="00F3527B">
        <w:t>A</w:t>
      </w:r>
      <w:r w:rsidRPr="00573284">
        <w:t>lkab</w:t>
      </w:r>
      <w:r w:rsidR="00F3527B">
        <w:t>e</w:t>
      </w:r>
      <w:r w:rsidRPr="00573284">
        <w:t>tz and Yeshaya Horvitz.</w:t>
      </w:r>
      <w:r w:rsidRPr="00573284">
        <w:rPr>
          <w:rStyle w:val="FootnoteReference"/>
          <w:rFonts w:cstheme="majorBidi"/>
          <w:rtl/>
        </w:rPr>
        <w:footnoteReference w:id="7"/>
      </w:r>
      <w:r w:rsidRPr="00573284">
        <w:t xml:space="preserve"> </w:t>
      </w:r>
      <w:r w:rsidR="00F3527B">
        <w:t>He</w:t>
      </w:r>
      <w:r w:rsidRPr="00573284">
        <w:t xml:space="preserve"> also referred to medieval thinkers such as Maimonides, Hasdai Crescas, Joseph Albo, Isaac Abarbanel, Isaac Arama, and others.</w:t>
      </w:r>
      <w:r w:rsidRPr="00573284">
        <w:rPr>
          <w:rStyle w:val="FootnoteReference"/>
          <w:rFonts w:cstheme="majorBidi"/>
          <w:rtl/>
        </w:rPr>
        <w:footnoteReference w:id="8"/>
      </w:r>
    </w:p>
    <w:p w14:paraId="40A36F76" w14:textId="1E005FE8" w:rsidR="00770D96" w:rsidRPr="00573284" w:rsidRDefault="002F291C" w:rsidP="009E41BD">
      <w:pPr>
        <w:rPr>
          <w:rtl/>
        </w:rPr>
      </w:pPr>
      <w:r w:rsidRPr="00573284">
        <w:t xml:space="preserve">In the following section, I will present </w:t>
      </w:r>
      <w:r>
        <w:t>b</w:t>
      </w:r>
      <w:r w:rsidRPr="00573284">
        <w:t>en-Zaken</w:t>
      </w:r>
      <w:r w:rsidR="009E41BD">
        <w:t>’</w:t>
      </w:r>
      <w:r w:rsidRPr="00573284">
        <w:t xml:space="preserve">s traditional conception of human perfection. In the section following this, I will present the confrontation between this </w:t>
      </w:r>
      <w:r w:rsidR="009E41BD">
        <w:t>conception</w:t>
      </w:r>
      <w:r w:rsidRPr="00573284">
        <w:t xml:space="preserve"> and the Zoharic one on the subject, and in the section thereafter, I will present the conflict between the traditional </w:t>
      </w:r>
      <w:r w:rsidR="009E41BD">
        <w:t>conception</w:t>
      </w:r>
      <w:r w:rsidRPr="00573284">
        <w:t xml:space="preserve"> and the Lurianic one.</w:t>
      </w:r>
    </w:p>
    <w:p w14:paraId="371387AB" w14:textId="1F47834A" w:rsidR="00CD27F5" w:rsidRPr="00573284" w:rsidRDefault="002F291C" w:rsidP="00F3527B">
      <w:pPr>
        <w:pStyle w:val="Heading1"/>
        <w:rPr>
          <w:rtl/>
        </w:rPr>
      </w:pPr>
      <w:r w:rsidRPr="00573284">
        <w:t>B.</w:t>
      </w:r>
    </w:p>
    <w:p w14:paraId="0348851D" w14:textId="15846B7A" w:rsidR="0058600B" w:rsidRPr="00573284" w:rsidRDefault="00F3527B" w:rsidP="009E41BD">
      <w:pPr>
        <w:rPr>
          <w:b/>
          <w:bCs/>
          <w:rtl/>
        </w:rPr>
      </w:pPr>
      <w:r>
        <w:t>H</w:t>
      </w:r>
      <w:r w:rsidRPr="00573284">
        <w:t>uman perfection was extensively discussed in Jewish thought during the Middle Ages.</w:t>
      </w:r>
      <w:r w:rsidRPr="00573284">
        <w:rPr>
          <w:rStyle w:val="FootnoteReference"/>
          <w:rFonts w:cstheme="majorBidi"/>
          <w:rtl/>
        </w:rPr>
        <w:footnoteReference w:id="9"/>
      </w:r>
      <w:r w:rsidRPr="00573284">
        <w:t xml:space="preserve"> </w:t>
      </w:r>
      <w:r>
        <w:t>A</w:t>
      </w:r>
      <w:r w:rsidRPr="00573284">
        <w:t xml:space="preserve">fter the expulsion from Spain, Jewish </w:t>
      </w:r>
      <w:r>
        <w:t>thinkers</w:t>
      </w:r>
      <w:r w:rsidRPr="00573284">
        <w:t xml:space="preserve"> and </w:t>
      </w:r>
      <w:r>
        <w:t>commentators</w:t>
      </w:r>
      <w:r w:rsidRPr="00573284">
        <w:t xml:space="preserve"> </w:t>
      </w:r>
      <w:r>
        <w:t>continued</w:t>
      </w:r>
      <w:r w:rsidRPr="00573284">
        <w:t xml:space="preserve"> to do so, especially when </w:t>
      </w:r>
      <w:r>
        <w:t>in eulogies</w:t>
      </w:r>
      <w:r w:rsidRPr="00573284">
        <w:t xml:space="preserve"> for men and women from their community.</w:t>
      </w:r>
      <w:r w:rsidRPr="00573284">
        <w:rPr>
          <w:rStyle w:val="FootnoteReference"/>
          <w:rFonts w:cstheme="majorBidi"/>
          <w:rtl/>
        </w:rPr>
        <w:footnoteReference w:id="10"/>
      </w:r>
      <w:r w:rsidRPr="00573284">
        <w:t xml:space="preserve"> </w:t>
      </w:r>
      <w:r>
        <w:t xml:space="preserve">Elsewhere, </w:t>
      </w:r>
      <w:r w:rsidRPr="00573284">
        <w:t xml:space="preserve">I </w:t>
      </w:r>
      <w:r>
        <w:t xml:space="preserve">have </w:t>
      </w:r>
      <w:r w:rsidRPr="00573284">
        <w:t xml:space="preserve">pointed out that </w:t>
      </w:r>
      <w:r>
        <w:t xml:space="preserve">one of the </w:t>
      </w:r>
      <w:r w:rsidRPr="00573284">
        <w:t xml:space="preserve">prevalent </w:t>
      </w:r>
      <w:r>
        <w:t>conceptions</w:t>
      </w:r>
      <w:r w:rsidRPr="00573284">
        <w:t xml:space="preserve"> of human </w:t>
      </w:r>
      <w:r w:rsidR="00EE323C">
        <w:t>perfection</w:t>
      </w:r>
      <w:r w:rsidRPr="00573284">
        <w:t xml:space="preserve"> </w:t>
      </w:r>
      <w:r>
        <w:t xml:space="preserve">among </w:t>
      </w:r>
      <w:r w:rsidRPr="00573284">
        <w:t xml:space="preserve">North African </w:t>
      </w:r>
      <w:r>
        <w:t>intellectuals</w:t>
      </w:r>
      <w:r w:rsidRPr="00573284">
        <w:t xml:space="preserve"> of the early modern period </w:t>
      </w:r>
      <w:r>
        <w:t>was</w:t>
      </w:r>
      <w:r w:rsidRPr="00573284">
        <w:t xml:space="preserve"> </w:t>
      </w:r>
      <w:r>
        <w:t xml:space="preserve">what </w:t>
      </w:r>
      <w:r w:rsidRPr="00573284">
        <w:t>Yair Lorberbaum</w:t>
      </w:r>
      <w:r>
        <w:t xml:space="preserve"> has called </w:t>
      </w:r>
      <w:r w:rsidR="009E41BD">
        <w:t>‘</w:t>
      </w:r>
      <w:r w:rsidRPr="00573284">
        <w:t>halakhic religiosity of obedience and servitude</w:t>
      </w:r>
      <w:r>
        <w:t>.</w:t>
      </w:r>
      <w:r w:rsidR="009E41BD">
        <w:t>’</w:t>
      </w:r>
      <w:r w:rsidRPr="00573284">
        <w:rPr>
          <w:rStyle w:val="FootnoteReference"/>
          <w:rFonts w:cstheme="majorBidi"/>
          <w:rtl/>
        </w:rPr>
        <w:footnoteReference w:id="11"/>
      </w:r>
    </w:p>
    <w:p w14:paraId="102762C9" w14:textId="7995A74F" w:rsidR="00846305" w:rsidRPr="00573284" w:rsidRDefault="002F291C" w:rsidP="009E41BD">
      <w:pPr>
        <w:rPr>
          <w:rtl/>
        </w:rPr>
      </w:pPr>
      <w:r w:rsidRPr="00573284">
        <w:t xml:space="preserve">According to </w:t>
      </w:r>
      <w:r w:rsidR="00F3527B" w:rsidRPr="00573284">
        <w:t>Lorberbaum</w:t>
      </w:r>
      <w:r w:rsidRPr="00573284">
        <w:t>, those who h</w:t>
      </w:r>
      <w:r w:rsidR="00F3527B">
        <w:t>e</w:t>
      </w:r>
      <w:r w:rsidRPr="00573284">
        <w:t xml:space="preserve">ld this view believed that obedience to God and servitude to Him are what give a person religious integrity, </w:t>
      </w:r>
      <w:r w:rsidR="00F3527B">
        <w:t>such</w:t>
      </w:r>
      <w:r w:rsidRPr="00573284">
        <w:t xml:space="preserve"> that </w:t>
      </w:r>
      <w:r w:rsidR="00F3527B">
        <w:t>“</w:t>
      </w:r>
      <w:r w:rsidRPr="00573284">
        <w:t>accepting the yoke of the kingdom of heaven</w:t>
      </w:r>
      <w:r w:rsidR="00F3527B">
        <w:t>,”</w:t>
      </w:r>
      <w:r w:rsidRPr="00573284">
        <w:t xml:space="preserve"> that is, submissive submission to God through obedience to His decrees, is the purpose of religious life. The foundation of this </w:t>
      </w:r>
      <w:r w:rsidR="00F3527B">
        <w:t>idea</w:t>
      </w:r>
      <w:r w:rsidRPr="00573284">
        <w:t xml:space="preserve"> lies in a theological </w:t>
      </w:r>
      <w:r>
        <w:t>approach</w:t>
      </w:r>
      <w:r w:rsidRPr="00573284">
        <w:t xml:space="preserve"> focused on God and </w:t>
      </w:r>
      <w:r w:rsidR="00F3527B">
        <w:t>H</w:t>
      </w:r>
      <w:r w:rsidRPr="00573284">
        <w:t xml:space="preserve">is exalted sovereignty and </w:t>
      </w:r>
      <w:r w:rsidR="00F3527B">
        <w:t xml:space="preserve">the meaning of </w:t>
      </w:r>
      <w:r w:rsidRPr="00573284">
        <w:t xml:space="preserve">standing before </w:t>
      </w:r>
      <w:r w:rsidR="00F3527B">
        <w:t>H</w:t>
      </w:r>
      <w:r w:rsidRPr="00573284">
        <w:t xml:space="preserve">im. </w:t>
      </w:r>
      <w:r w:rsidR="00F3527B">
        <w:t>T</w:t>
      </w:r>
      <w:r w:rsidRPr="00573284">
        <w:t xml:space="preserve">his </w:t>
      </w:r>
      <w:r w:rsidR="00F3527B">
        <w:t>approach</w:t>
      </w:r>
      <w:r w:rsidRPr="00573284">
        <w:t xml:space="preserve"> emphasizes an anthropomorphic theology according to which God is like a commanding king who imposes his yoke on his creatures and </w:t>
      </w:r>
      <w:r w:rsidR="00F3527B">
        <w:t>subjugates</w:t>
      </w:r>
      <w:r w:rsidRPr="00573284">
        <w:t xml:space="preserve"> them. The mild version of</w:t>
      </w:r>
      <w:r w:rsidR="00F3527B">
        <w:t xml:space="preserve"> this form of</w:t>
      </w:r>
      <w:r w:rsidRPr="00573284">
        <w:t xml:space="preserve"> religiosity does not negate the reasons for commandments, but </w:t>
      </w:r>
      <w:r w:rsidR="00F3527B">
        <w:t xml:space="preserve">advocates </w:t>
      </w:r>
      <w:r w:rsidRPr="00573284">
        <w:t>that these should not motivate a person to fulfill commandments; a person is required to distinguish between the reason for the commandment and the motive to perf</w:t>
      </w:r>
      <w:r w:rsidRPr="00573284">
        <w:t xml:space="preserve">orm it. Therefore, even the fulfillment of commandments whose rationale, according to Maimonides, is </w:t>
      </w:r>
      <w:r w:rsidR="00573284">
        <w:t>“</w:t>
      </w:r>
      <w:r w:rsidRPr="00573284">
        <w:t>manifest and the benefits of their performance in this world are known</w:t>
      </w:r>
      <w:r w:rsidR="00573284">
        <w:t>”</w:t>
      </w:r>
      <w:r w:rsidRPr="00573284">
        <w:t xml:space="preserve"> (</w:t>
      </w:r>
      <w:r w:rsidR="00F3527B" w:rsidRPr="002F291C">
        <w:rPr>
          <w:i/>
          <w:iCs/>
        </w:rPr>
        <w:t>Hilkhot Me‘ilah</w:t>
      </w:r>
      <w:r w:rsidRPr="00573284">
        <w:t xml:space="preserve">, 8:8) requires blind obedience. In other words, the consciousness of submission and servitude should be expressed not only when a person fulfills the </w:t>
      </w:r>
      <w:commentRangeStart w:id="3"/>
      <w:r w:rsidR="00F3527B" w:rsidRPr="00F3527B">
        <w:rPr>
          <w:i/>
          <w:iCs/>
        </w:rPr>
        <w:t>hukim</w:t>
      </w:r>
      <w:r w:rsidR="00F3527B">
        <w:t xml:space="preserve"> </w:t>
      </w:r>
      <w:commentRangeEnd w:id="3"/>
      <w:r w:rsidR="00F3527B">
        <w:rPr>
          <w:rStyle w:val="CommentReference"/>
        </w:rPr>
        <w:commentReference w:id="3"/>
      </w:r>
      <w:r w:rsidRPr="00573284">
        <w:t xml:space="preserve">type of commandments </w:t>
      </w:r>
      <w:commentRangeStart w:id="4"/>
      <w:r w:rsidRPr="00573284">
        <w:t xml:space="preserve">(or refrains from </w:t>
      </w:r>
      <w:r w:rsidR="00F3527B">
        <w:t>such prohibitions</w:t>
      </w:r>
      <w:r w:rsidRPr="00573284">
        <w:t>)</w:t>
      </w:r>
      <w:commentRangeEnd w:id="4"/>
      <w:r w:rsidR="00F3527B">
        <w:rPr>
          <w:rStyle w:val="CommentReference"/>
        </w:rPr>
        <w:commentReference w:id="4"/>
      </w:r>
      <w:r w:rsidRPr="00573284">
        <w:t xml:space="preserve">, but also when he fulfills the </w:t>
      </w:r>
      <w:r w:rsidR="00F3527B" w:rsidRPr="00F3527B">
        <w:rPr>
          <w:i/>
          <w:iCs/>
          <w:lang w:val="en-US"/>
        </w:rPr>
        <w:t>mishpatim</w:t>
      </w:r>
      <w:r w:rsidRPr="00573284">
        <w:t xml:space="preserve"> type of commandments (or alternatively refrains from </w:t>
      </w:r>
      <w:r w:rsidR="00F3527B">
        <w:t>prohibitions</w:t>
      </w:r>
      <w:r w:rsidR="00F3527B" w:rsidRPr="00573284">
        <w:t xml:space="preserve"> </w:t>
      </w:r>
      <w:r w:rsidRPr="00573284">
        <w:t xml:space="preserve">of this type). Lorberbaum </w:t>
      </w:r>
      <w:r w:rsidR="00F3527B">
        <w:rPr>
          <w:lang w:val="en-US"/>
        </w:rPr>
        <w:t>finds</w:t>
      </w:r>
      <w:r w:rsidRPr="00573284">
        <w:t xml:space="preserve"> this </w:t>
      </w:r>
      <w:r w:rsidR="00F3527B">
        <w:t>approach</w:t>
      </w:r>
      <w:r w:rsidRPr="00573284">
        <w:t xml:space="preserve"> already </w:t>
      </w:r>
      <w:r w:rsidR="00F3527B">
        <w:t>in Rabbinic literature</w:t>
      </w:r>
      <w:r w:rsidRPr="00573284">
        <w:rPr>
          <w:rStyle w:val="FootnoteReference"/>
          <w:rFonts w:cstheme="majorBidi"/>
          <w:rtl/>
        </w:rPr>
        <w:footnoteReference w:id="12"/>
      </w:r>
      <w:r w:rsidR="00F3527B">
        <w:t xml:space="preserve"> and identifies it in the thinking of </w:t>
      </w:r>
      <w:r w:rsidR="00F3527B" w:rsidRPr="00573284">
        <w:t xml:space="preserve">Rashi and </w:t>
      </w:r>
      <w:r w:rsidR="00F3527B">
        <w:t xml:space="preserve">other medieval </w:t>
      </w:r>
      <w:r w:rsidR="00F3527B" w:rsidRPr="00573284">
        <w:t xml:space="preserve">Ashkenazi </w:t>
      </w:r>
      <w:r w:rsidR="00F3527B">
        <w:t>rabbis.</w:t>
      </w:r>
      <w:r w:rsidRPr="00573284">
        <w:rPr>
          <w:rStyle w:val="FootnoteReference"/>
          <w:rFonts w:cstheme="majorBidi"/>
          <w:rtl/>
        </w:rPr>
        <w:footnoteReference w:id="13"/>
      </w:r>
      <w:r w:rsidRPr="00573284">
        <w:t xml:space="preserve"> </w:t>
      </w:r>
      <w:r w:rsidR="00F3527B">
        <w:t>At</w:t>
      </w:r>
      <w:r w:rsidRPr="00573284">
        <w:t xml:space="preserve"> the end of the period</w:t>
      </w:r>
      <w:r w:rsidR="00F3527B">
        <w:t>, he claims it can be found in</w:t>
      </w:r>
      <w:r w:rsidRPr="00573284">
        <w:t xml:space="preserve"> Yitzhak Abarban</w:t>
      </w:r>
      <w:r w:rsidR="00F3527B">
        <w:t>e</w:t>
      </w:r>
      <w:r w:rsidRPr="00573284">
        <w:t>l.</w:t>
      </w:r>
      <w:r w:rsidRPr="00573284">
        <w:rPr>
          <w:rStyle w:val="FootnoteReference"/>
          <w:rFonts w:cstheme="majorBidi"/>
          <w:rtl/>
        </w:rPr>
        <w:footnoteReference w:id="14"/>
      </w:r>
      <w:r w:rsidRPr="00573284">
        <w:t xml:space="preserve"> As stated above, I </w:t>
      </w:r>
      <w:r w:rsidR="00F3527B">
        <w:t xml:space="preserve">have elsewhere </w:t>
      </w:r>
      <w:r w:rsidRPr="00573284">
        <w:t xml:space="preserve">noted </w:t>
      </w:r>
      <w:r w:rsidR="00F3527B">
        <w:t>t</w:t>
      </w:r>
      <w:r w:rsidRPr="00573284">
        <w:t xml:space="preserve">hat this </w:t>
      </w:r>
      <w:r w:rsidR="009E41BD">
        <w:t>conception</w:t>
      </w:r>
      <w:r w:rsidRPr="00573284">
        <w:t xml:space="preserve"> continued to exist in North Africa during the early modern period</w:t>
      </w:r>
      <w:r w:rsidR="00F3527B">
        <w:t>.</w:t>
      </w:r>
      <w:r w:rsidRPr="00573284">
        <w:t xml:space="preserve"> </w:t>
      </w:r>
      <w:r w:rsidR="00F3527B">
        <w:t>F</w:t>
      </w:r>
      <w:r w:rsidRPr="00573284">
        <w:t>or example, Yehuda Uziel, Shlomo Duran, Yehuda Ayash, M</w:t>
      </w:r>
      <w:r w:rsidR="00F3527B">
        <w:t>a</w:t>
      </w:r>
      <w:r w:rsidRPr="00573284">
        <w:t xml:space="preserve">khluf </w:t>
      </w:r>
      <w:r w:rsidR="00F3527B">
        <w:t>‘</w:t>
      </w:r>
      <w:r w:rsidRPr="00573284">
        <w:t>Amar</w:t>
      </w:r>
      <w:r w:rsidR="00F3527B">
        <w:t>,</w:t>
      </w:r>
      <w:r w:rsidRPr="00573284">
        <w:t xml:space="preserve"> and others </w:t>
      </w:r>
      <w:r w:rsidR="00F3527B">
        <w:t>all accepted this idea</w:t>
      </w:r>
      <w:r w:rsidRPr="00573284">
        <w:t xml:space="preserve">. </w:t>
      </w:r>
      <w:r w:rsidR="00F3527B">
        <w:t>Ben-Zaken also</w:t>
      </w:r>
      <w:r w:rsidRPr="00573284">
        <w:t xml:space="preserve"> </w:t>
      </w:r>
      <w:r w:rsidR="00F3527B">
        <w:t>endorsed it in</w:t>
      </w:r>
      <w:r w:rsidRPr="00573284">
        <w:t xml:space="preserve"> his </w:t>
      </w:r>
      <w:r w:rsidR="00F3527B">
        <w:t>commentary</w:t>
      </w:r>
      <w:r w:rsidRPr="00573284">
        <w:t xml:space="preserve"> o</w:t>
      </w:r>
      <w:r w:rsidR="00F3527B">
        <w:t>n</w:t>
      </w:r>
      <w:r w:rsidRPr="00573284">
        <w:t xml:space="preserve"> the verse </w:t>
      </w:r>
      <w:r w:rsidR="00573284">
        <w:t>“</w:t>
      </w:r>
      <w:r w:rsidR="00F3527B">
        <w:t>T</w:t>
      </w:r>
      <w:r w:rsidR="00F3527B" w:rsidRPr="00F3527B">
        <w:t>he Israelites went and did just as the Lord had commanded Moses and Aaron; so they did</w:t>
      </w:r>
      <w:r w:rsidR="00573284">
        <w:t>”</w:t>
      </w:r>
      <w:r w:rsidRPr="00573284">
        <w:t xml:space="preserve"> (Exodus 12:28)</w:t>
      </w:r>
      <w:r w:rsidR="00F3527B">
        <w:t>.</w:t>
      </w:r>
    </w:p>
    <w:p w14:paraId="520563CE" w14:textId="01F6A3B7" w:rsidR="00846305" w:rsidRPr="00573284" w:rsidRDefault="002F291C" w:rsidP="006F2CEB">
      <w:pPr>
        <w:pStyle w:val="Quote"/>
        <w:rPr>
          <w:rtl/>
        </w:rPr>
      </w:pPr>
      <w:r w:rsidRPr="00573284">
        <w:t xml:space="preserve">When they performed the mitzvah (commandment) that the Lord had commanded, they would say, </w:t>
      </w:r>
      <w:r w:rsidR="00573284">
        <w:t>“</w:t>
      </w:r>
      <w:r w:rsidRPr="006F2CEB">
        <w:t>As</w:t>
      </w:r>
      <w:r w:rsidRPr="00573284">
        <w:t xml:space="preserve"> the Lord, my God, commanded.</w:t>
      </w:r>
      <w:r w:rsidR="00573284">
        <w:t>”</w:t>
      </w:r>
      <w:r w:rsidRPr="00573284">
        <w:t xml:space="preserve"> Even if </w:t>
      </w:r>
      <w:r w:rsidR="00A76308">
        <w:t>it [the commandment] was rational</w:t>
      </w:r>
      <w:r w:rsidR="009F4A88">
        <w:t xml:space="preserve"> and they would have done so without the command</w:t>
      </w:r>
      <w:r w:rsidR="00A76308">
        <w:t xml:space="preserve"> </w:t>
      </w:r>
      <w:r w:rsidR="005579A4">
        <w:t xml:space="preserve">from their own reason, </w:t>
      </w:r>
      <w:r w:rsidRPr="00573284">
        <w:t>they still made their action dependent on the will of their Creator, based on what the</w:t>
      </w:r>
      <w:r w:rsidR="005010EF">
        <w:t>y,</w:t>
      </w:r>
      <w:r w:rsidRPr="00573284">
        <w:t xml:space="preserve"> </w:t>
      </w:r>
      <w:r w:rsidR="00C86FB1">
        <w:t>[t</w:t>
      </w:r>
      <w:r w:rsidR="005010EF">
        <w:t xml:space="preserve">he </w:t>
      </w:r>
      <w:r w:rsidR="00C86FB1">
        <w:t>S</w:t>
      </w:r>
      <w:r w:rsidRPr="00573284">
        <w:t>ages</w:t>
      </w:r>
      <w:r w:rsidR="005010EF">
        <w:t>], may their memory be a blessing</w:t>
      </w:r>
      <w:r w:rsidRPr="00573284">
        <w:t xml:space="preserve"> said, </w:t>
      </w:r>
      <w:r w:rsidR="00573284">
        <w:t>“</w:t>
      </w:r>
      <w:r w:rsidRPr="00573284">
        <w:t>A man should not say I have no desire for pig meat</w:t>
      </w:r>
      <w:r>
        <w:t>,</w:t>
      </w:r>
      <w:r w:rsidRPr="00573284">
        <w:t xml:space="preserve"> etc.</w:t>
      </w:r>
      <w:r w:rsidR="00573284">
        <w:t>”</w:t>
      </w:r>
      <w:r w:rsidR="00977777">
        <w:t>...</w:t>
      </w:r>
      <w:r w:rsidRPr="00573284">
        <w:t xml:space="preserve"> They made the thing dependent on the will of the </w:t>
      </w:r>
      <w:r w:rsidR="006848B1">
        <w:t>commandment</w:t>
      </w:r>
      <w:r w:rsidRPr="00573284">
        <w:t>.</w:t>
      </w:r>
      <w:r w:rsidRPr="00573284">
        <w:rPr>
          <w:rStyle w:val="FootnoteReference"/>
          <w:rFonts w:asciiTheme="majorBidi" w:hAnsiTheme="majorBidi" w:cstheme="majorBidi"/>
          <w:szCs w:val="24"/>
          <w:rtl/>
        </w:rPr>
        <w:footnoteReference w:id="15"/>
      </w:r>
    </w:p>
    <w:p w14:paraId="33D2BBD0" w14:textId="141BE6A3" w:rsidR="002B6000" w:rsidRPr="00573284" w:rsidRDefault="002F291C" w:rsidP="009E41BD">
      <w:pPr>
        <w:rPr>
          <w:rtl/>
        </w:rPr>
      </w:pPr>
      <w:r w:rsidRPr="00573284">
        <w:t>This</w:t>
      </w:r>
      <w:r w:rsidRPr="00573284">
        <w:t xml:space="preserve"> idea that human </w:t>
      </w:r>
      <w:r w:rsidR="00EE323C">
        <w:t>perfection</w:t>
      </w:r>
      <w:r w:rsidRPr="00573284">
        <w:t xml:space="preserve"> is acquired by doing God</w:t>
      </w:r>
      <w:r w:rsidR="009E41BD">
        <w:t>’</w:t>
      </w:r>
      <w:r w:rsidRPr="00573284">
        <w:t xml:space="preserve">s will </w:t>
      </w:r>
      <w:r w:rsidR="005520DC">
        <w:t>appears in</w:t>
      </w:r>
      <w:r w:rsidRPr="00573284">
        <w:t xml:space="preserve"> </w:t>
      </w:r>
      <w:r>
        <w:t>b</w:t>
      </w:r>
      <w:r w:rsidRPr="00573284">
        <w:t>en-Zaken</w:t>
      </w:r>
      <w:r w:rsidR="009E41BD">
        <w:t>’</w:t>
      </w:r>
      <w:r w:rsidRPr="00573284">
        <w:t xml:space="preserve">s eulogy for a woman, </w:t>
      </w:r>
      <w:r w:rsidR="005520DC">
        <w:t>where</w:t>
      </w:r>
      <w:r w:rsidRPr="00573284">
        <w:t xml:space="preserve"> he sought to reconcile </w:t>
      </w:r>
      <w:r w:rsidR="00541EDB">
        <w:t>it</w:t>
      </w:r>
      <w:r w:rsidRPr="00573284">
        <w:t xml:space="preserve"> with two other Kabbalistic </w:t>
      </w:r>
      <w:r w:rsidR="00007389">
        <w:t>approaches</w:t>
      </w:r>
      <w:r w:rsidRPr="00573284">
        <w:t xml:space="preserve"> according to which human </w:t>
      </w:r>
      <w:r w:rsidR="00EE323C">
        <w:t>perfection</w:t>
      </w:r>
      <w:r w:rsidRPr="00573284">
        <w:t xml:space="preserve"> involves other </w:t>
      </w:r>
      <w:r w:rsidR="00007389">
        <w:t>elements</w:t>
      </w:r>
      <w:r w:rsidRPr="00573284">
        <w:t xml:space="preserve">. He opened the eulogy </w:t>
      </w:r>
      <w:r w:rsidR="0096562A">
        <w:t>with the assertion that</w:t>
      </w:r>
      <w:r w:rsidRPr="00573284">
        <w:t xml:space="preserve"> the perfection of a person is not contingent on the fulfillment of the entire Torah, but can also be achieved by </w:t>
      </w:r>
      <w:r w:rsidRPr="00573284">
        <w:t xml:space="preserve">fulfilling one </w:t>
      </w:r>
      <w:r w:rsidR="006A54AA">
        <w:t>part of it</w:t>
      </w:r>
      <w:r w:rsidRPr="00573284">
        <w:t xml:space="preserve">. This discussion echoes </w:t>
      </w:r>
      <w:r w:rsidRPr="00573284">
        <w:t>Yosef Albo, whom Ben-Zakan mention</w:t>
      </w:r>
      <w:r w:rsidR="00B45DC4">
        <w:t>s</w:t>
      </w:r>
      <w:r w:rsidRPr="00573284">
        <w:t xml:space="preserve"> </w:t>
      </w:r>
      <w:r w:rsidR="00B45DC4">
        <w:t>subsequently</w:t>
      </w:r>
      <w:r w:rsidR="00390009">
        <w:t>,</w:t>
      </w:r>
      <w:r w:rsidRPr="00573284">
        <w:t xml:space="preserve"> </w:t>
      </w:r>
      <w:r w:rsidRPr="00573284">
        <w:t>that perfection is achieved by fulfilling a mitzvah</w:t>
      </w:r>
      <w:r w:rsidRPr="00573284">
        <w:t>, meaning to fulfill God</w:t>
      </w:r>
      <w:r w:rsidR="009E41BD">
        <w:t>’</w:t>
      </w:r>
      <w:r w:rsidRPr="00573284">
        <w:t>s will without any external intentions.</w:t>
      </w:r>
      <w:r w:rsidRPr="00573284">
        <w:rPr>
          <w:rStyle w:val="FootnoteReference"/>
          <w:rFonts w:cstheme="majorBidi"/>
          <w:rtl/>
        </w:rPr>
        <w:footnoteReference w:id="16"/>
      </w:r>
      <w:r w:rsidRPr="00573284">
        <w:t xml:space="preserve"> </w:t>
      </w:r>
      <w:r w:rsidR="00D01AA6">
        <w:t>According to Albo, this</w:t>
      </w:r>
      <w:r w:rsidRPr="00573284">
        <w:t xml:space="preserve"> </w:t>
      </w:r>
      <w:r w:rsidR="00D01AA6">
        <w:t>end</w:t>
      </w:r>
      <w:r w:rsidRPr="00573284">
        <w:t xml:space="preserve"> is already achieved by </w:t>
      </w:r>
      <w:r w:rsidR="003A4FB5">
        <w:t>the complete fulfillment of a single</w:t>
      </w:r>
      <w:r w:rsidRPr="00573284">
        <w:t xml:space="preserve"> commandment</w:t>
      </w:r>
      <w:r w:rsidR="0089332E">
        <w:t>. T</w:t>
      </w:r>
      <w:r w:rsidRPr="00573284">
        <w:t xml:space="preserve">he multitude of commandments </w:t>
      </w:r>
      <w:r w:rsidR="0089332E">
        <w:t>provides</w:t>
      </w:r>
      <w:r w:rsidRPr="00573284">
        <w:t xml:space="preserve"> </w:t>
      </w:r>
      <w:r w:rsidRPr="00573284">
        <w:t>multiple ways to achieve th</w:t>
      </w:r>
      <w:r w:rsidR="0089332E">
        <w:t>is</w:t>
      </w:r>
      <w:r w:rsidRPr="00573284">
        <w:t xml:space="preserve"> goal </w:t>
      </w:r>
      <w:r w:rsidR="00ED528F">
        <w:t>and thus makes its</w:t>
      </w:r>
      <w:r w:rsidRPr="00573284">
        <w:t xml:space="preserve"> attainment</w:t>
      </w:r>
      <w:r w:rsidR="00ED528F">
        <w:t xml:space="preserve"> easier</w:t>
      </w:r>
      <w:r w:rsidRPr="00573284">
        <w:t>.</w:t>
      </w:r>
      <w:r w:rsidRPr="00573284">
        <w:rPr>
          <w:rStyle w:val="FootnoteReference"/>
          <w:rFonts w:cstheme="majorBidi"/>
          <w:rtl/>
        </w:rPr>
        <w:footnoteReference w:id="17"/>
      </w:r>
      <w:r w:rsidRPr="00573284">
        <w:t xml:space="preserve"> </w:t>
      </w:r>
      <w:r w:rsidR="00ED528F">
        <w:t xml:space="preserve">In </w:t>
      </w:r>
      <w:r>
        <w:t>b</w:t>
      </w:r>
      <w:r w:rsidR="00ED528F">
        <w:t>en</w:t>
      </w:r>
      <w:r w:rsidR="000E58FC">
        <w:t>-Zaken’s words:</w:t>
      </w:r>
    </w:p>
    <w:p w14:paraId="367BFC92" w14:textId="388F6FA1" w:rsidR="002B6000" w:rsidRPr="00573284" w:rsidRDefault="002F291C" w:rsidP="000E58FC">
      <w:pPr>
        <w:pStyle w:val="Quote"/>
        <w:rPr>
          <w:rtl/>
        </w:rPr>
      </w:pPr>
      <w:r w:rsidRPr="00573284">
        <w:t>For the Torah grants perfection in its parts</w:t>
      </w:r>
      <w:r w:rsidR="00977777">
        <w:t>...</w:t>
      </w:r>
      <w:r w:rsidRPr="00573284">
        <w:t xml:space="preserve"> and even though we have seen that the Lord commanded 613 commandments</w:t>
      </w:r>
      <w:r w:rsidR="00977777">
        <w:t>, [that is]</w:t>
      </w:r>
      <w:r w:rsidRPr="00573284">
        <w:t xml:space="preserve"> as the words of the Tanna</w:t>
      </w:r>
      <w:r w:rsidR="00977777">
        <w:t>:</w:t>
      </w:r>
      <w:r w:rsidRPr="00573284">
        <w:t xml:space="preserve"> The Holy One, blessed be He, wanted to </w:t>
      </w:r>
      <w:r w:rsidR="00977777">
        <w:t xml:space="preserve">give </w:t>
      </w:r>
      <w:r w:rsidRPr="00573284">
        <w:t xml:space="preserve">merit </w:t>
      </w:r>
      <w:r w:rsidR="00977777">
        <w:t xml:space="preserve">to </w:t>
      </w:r>
      <w:r w:rsidRPr="00573284">
        <w:t xml:space="preserve">Israel, therefore, He </w:t>
      </w:r>
      <w:r w:rsidR="00977777">
        <w:t>expanded</w:t>
      </w:r>
      <w:r w:rsidRPr="00573284">
        <w:t xml:space="preserve"> the Torah and commandments for them</w:t>
      </w:r>
      <w:r w:rsidR="00977777">
        <w:t>...</w:t>
      </w:r>
      <w:r w:rsidRPr="00573284">
        <w:t xml:space="preserve"> Do not think that what the Lord has multiplied </w:t>
      </w:r>
      <w:r w:rsidR="00977777">
        <w:t xml:space="preserve">its ways </w:t>
      </w:r>
      <w:r w:rsidRPr="00573284">
        <w:t xml:space="preserve">will be a stumbling block for you, saying </w:t>
      </w:r>
      <w:r w:rsidR="00977777">
        <w:t>“W</w:t>
      </w:r>
      <w:r w:rsidRPr="00573284">
        <w:t xml:space="preserve">ho can </w:t>
      </w:r>
      <w:r w:rsidR="00977777">
        <w:t>fulfill all</w:t>
      </w:r>
      <w:r w:rsidRPr="00573284">
        <w:t xml:space="preserve"> these</w:t>
      </w:r>
      <w:r w:rsidR="00977777">
        <w:t xml:space="preserve">?” </w:t>
      </w:r>
      <w:r w:rsidRPr="00573284">
        <w:t xml:space="preserve">No, but even with one of them you will </w:t>
      </w:r>
      <w:r w:rsidRPr="00573284">
        <w:t>merit</w:t>
      </w:r>
      <w:r w:rsidR="00977777">
        <w:t>...</w:t>
      </w:r>
      <w:r w:rsidRPr="00573284">
        <w:t xml:space="preserve"> as </w:t>
      </w:r>
      <w:r w:rsidR="00977777">
        <w:t xml:space="preserve">the author of the </w:t>
      </w:r>
      <w:r w:rsidR="00977777" w:rsidRPr="00977777">
        <w:rPr>
          <w:i/>
          <w:iCs/>
        </w:rPr>
        <w:t>Ikkarim</w:t>
      </w:r>
      <w:r w:rsidR="00977777">
        <w:t xml:space="preserve"> wrote</w:t>
      </w:r>
      <w:r w:rsidRPr="00573284">
        <w:t xml:space="preserve"> that </w:t>
      </w:r>
      <w:r w:rsidR="00977777">
        <w:t>reason so decrees that</w:t>
      </w:r>
      <w:r w:rsidRPr="00573284">
        <w:t xml:space="preserve"> surely </w:t>
      </w:r>
      <w:r w:rsidR="00977777">
        <w:t xml:space="preserve">He did not give us </w:t>
      </w:r>
      <w:r w:rsidRPr="00573284">
        <w:t xml:space="preserve">the Torah </w:t>
      </w:r>
      <w:r w:rsidRPr="00573284">
        <w:t>for revenge, God forbid.</w:t>
      </w:r>
      <w:r w:rsidRPr="00573284">
        <w:rPr>
          <w:rStyle w:val="FootnoteReference"/>
          <w:rFonts w:cstheme="majorBidi"/>
          <w:szCs w:val="24"/>
          <w:rtl/>
        </w:rPr>
        <w:footnoteReference w:id="18"/>
      </w:r>
    </w:p>
    <w:p w14:paraId="4D9536FE" w14:textId="462805BB" w:rsidR="008A48C6" w:rsidRPr="00573284" w:rsidRDefault="002F291C" w:rsidP="009E41BD">
      <w:pPr>
        <w:rPr>
          <w:rtl/>
        </w:rPr>
      </w:pPr>
      <w:r w:rsidRPr="00573284">
        <w:t xml:space="preserve">This is how a woman achieves </w:t>
      </w:r>
      <w:r w:rsidR="00D349F6">
        <w:t>perfection</w:t>
      </w:r>
      <w:r w:rsidRPr="00573284">
        <w:t xml:space="preserve">, </w:t>
      </w:r>
      <w:r w:rsidR="00977777">
        <w:t>even though</w:t>
      </w:r>
      <w:r w:rsidRPr="00573284">
        <w:t xml:space="preserve"> she is exempt from some time-bound commandments, she is obligated </w:t>
      </w:r>
      <w:r w:rsidR="00DE4B68">
        <w:t>in</w:t>
      </w:r>
      <w:r w:rsidRPr="00573284">
        <w:t xml:space="preserve"> </w:t>
      </w:r>
      <w:r w:rsidR="006763E8">
        <w:t xml:space="preserve">other </w:t>
      </w:r>
      <w:r w:rsidR="008F5C5C">
        <w:t>commandments</w:t>
      </w:r>
      <w:r w:rsidR="006763E8">
        <w:t>. A</w:t>
      </w:r>
      <w:r w:rsidRPr="00573284">
        <w:t xml:space="preserve">s mentioned above, </w:t>
      </w:r>
      <w:r w:rsidR="008F5C5C">
        <w:t>human</w:t>
      </w:r>
      <w:r w:rsidRPr="00573284">
        <w:t xml:space="preserve"> </w:t>
      </w:r>
      <w:r w:rsidR="00977777">
        <w:t>perfection</w:t>
      </w:r>
      <w:r w:rsidRPr="00573284">
        <w:t xml:space="preserve"> </w:t>
      </w:r>
      <w:r w:rsidR="008F5C5C">
        <w:t>does not depend up</w:t>
      </w:r>
      <w:r w:rsidRPr="00573284">
        <w:t>on the fulfillment of all 613 commandments</w:t>
      </w:r>
      <w:r w:rsidRPr="00573284">
        <w:t xml:space="preserve"> but is achieved even by the </w:t>
      </w:r>
      <w:r w:rsidR="003870F3">
        <w:t xml:space="preserve">partial </w:t>
      </w:r>
      <w:r w:rsidRPr="00573284">
        <w:t xml:space="preserve">fulfillment </w:t>
      </w:r>
      <w:r w:rsidRPr="00573284">
        <w:t xml:space="preserve">of them. Moreover, a woman is also </w:t>
      </w:r>
      <w:r w:rsidR="003870F3">
        <w:t>obligated in all the Torah’s prohibitions</w:t>
      </w:r>
      <w:r w:rsidRPr="00573284">
        <w:t xml:space="preserve">, and refraining from </w:t>
      </w:r>
      <w:r w:rsidR="00ED76B1">
        <w:t xml:space="preserve">transgressing </w:t>
      </w:r>
      <w:r w:rsidRPr="00573284">
        <w:t xml:space="preserve">them also </w:t>
      </w:r>
      <w:r w:rsidR="00AA068C">
        <w:t xml:space="preserve">manifests </w:t>
      </w:r>
      <w:r w:rsidRPr="00573284">
        <w:t>a person</w:t>
      </w:r>
      <w:r w:rsidR="009E41BD">
        <w:t>’</w:t>
      </w:r>
      <w:r w:rsidRPr="00573284">
        <w:t>s consciousness to do the</w:t>
      </w:r>
      <w:r w:rsidR="00AA068C">
        <w:t xml:space="preserve"> Creator’s</w:t>
      </w:r>
      <w:r w:rsidRPr="00573284">
        <w:t xml:space="preserve"> will</w:t>
      </w:r>
      <w:r w:rsidR="00AA068C">
        <w:t xml:space="preserve"> by</w:t>
      </w:r>
      <w:r w:rsidRPr="00573284">
        <w:t xml:space="preserve"> refrain</w:t>
      </w:r>
      <w:r w:rsidR="00AA068C">
        <w:t>ing</w:t>
      </w:r>
      <w:r w:rsidRPr="00573284">
        <w:t xml:space="preserve"> from doing what he commanded not to do. </w:t>
      </w:r>
      <w:r w:rsidR="00AA068C">
        <w:t>T</w:t>
      </w:r>
      <w:r w:rsidRPr="00573284">
        <w:t>his claim</w:t>
      </w:r>
      <w:r w:rsidR="00AA068C">
        <w:t xml:space="preserve"> also</w:t>
      </w:r>
      <w:r w:rsidRPr="00573284">
        <w:t xml:space="preserve"> echoes </w:t>
      </w:r>
      <w:r w:rsidR="00AA068C">
        <w:t>Albo</w:t>
      </w:r>
      <w:r w:rsidRPr="00573284">
        <w:t xml:space="preserve"> </w:t>
      </w:r>
      <w:r w:rsidR="00291859">
        <w:t>in its emphasis on the centrality of</w:t>
      </w:r>
      <w:r w:rsidRPr="00573284">
        <w:t xml:space="preserve"> intention </w:t>
      </w:r>
      <w:r w:rsidR="00291859">
        <w:t>in fulf</w:t>
      </w:r>
      <w:r w:rsidR="00EB49F8">
        <w:t xml:space="preserve">illing a </w:t>
      </w:r>
      <w:r w:rsidRPr="00573284">
        <w:t xml:space="preserve">mitzvah. Since </w:t>
      </w:r>
      <w:r w:rsidRPr="00573284">
        <w:t xml:space="preserve">intent </w:t>
      </w:r>
      <w:r w:rsidRPr="00573284">
        <w:t xml:space="preserve">is primary, </w:t>
      </w:r>
      <w:r w:rsidR="0094122B">
        <w:t>fulfilling</w:t>
      </w:r>
      <w:r w:rsidRPr="00573284">
        <w:t xml:space="preserve"> </w:t>
      </w:r>
      <w:r w:rsidR="0094122B">
        <w:t>“</w:t>
      </w:r>
      <w:r w:rsidR="0094122B" w:rsidRPr="00573284">
        <w:t>Thou shall not</w:t>
      </w:r>
      <w:r w:rsidR="0094122B">
        <w:t>”</w:t>
      </w:r>
      <w:r w:rsidR="0094122B" w:rsidRPr="00573284">
        <w:t xml:space="preserve"> </w:t>
      </w:r>
      <w:r w:rsidRPr="00573284">
        <w:t>commandment</w:t>
      </w:r>
      <w:r w:rsidR="0094122B">
        <w:t>s</w:t>
      </w:r>
      <w:r w:rsidRPr="00573284">
        <w:t xml:space="preserve"> </w:t>
      </w:r>
      <w:r w:rsidRPr="00573284">
        <w:t xml:space="preserve">also imparts perfection to a person, because the proper intent, the fear of God, applies to </w:t>
      </w:r>
      <w:r w:rsidR="0094122B">
        <w:t>them</w:t>
      </w:r>
      <w:r w:rsidRPr="00573284">
        <w:t xml:space="preserve"> as well.</w:t>
      </w:r>
      <w:r w:rsidRPr="00573284">
        <w:rPr>
          <w:rStyle w:val="FootnoteReference"/>
          <w:rFonts w:cstheme="majorBidi"/>
          <w:szCs w:val="24"/>
          <w:rtl/>
        </w:rPr>
        <w:footnoteReference w:id="19"/>
      </w:r>
      <w:r w:rsidRPr="00573284">
        <w:t xml:space="preserve"> </w:t>
      </w:r>
      <w:r w:rsidR="0070406C">
        <w:t>T</w:t>
      </w:r>
      <w:r w:rsidRPr="00573284">
        <w:t xml:space="preserve">his time </w:t>
      </w:r>
      <w:r>
        <w:t>b</w:t>
      </w:r>
      <w:r w:rsidRPr="00573284">
        <w:t>en-Zaken did not mention Albo</w:t>
      </w:r>
      <w:r w:rsidRPr="00573284">
        <w:t>:</w:t>
      </w:r>
    </w:p>
    <w:p w14:paraId="706B92D3" w14:textId="0F5FE8D5" w:rsidR="002B6000" w:rsidRPr="00573284" w:rsidRDefault="002F291C" w:rsidP="00671509">
      <w:pPr>
        <w:pStyle w:val="Quote"/>
        <w:rPr>
          <w:rtl/>
        </w:rPr>
      </w:pPr>
      <w:r w:rsidRPr="00573284">
        <w:t xml:space="preserve">And since this is so, do not despair about the matter of women and say, </w:t>
      </w:r>
      <w:r>
        <w:t xml:space="preserve">that </w:t>
      </w:r>
      <w:r w:rsidRPr="00573284">
        <w:t xml:space="preserve">since they are not involved in the study of Torah and </w:t>
      </w:r>
      <w:r w:rsidRPr="00573284">
        <w:t xml:space="preserve">the fulfillment of most of its commandments, they will not see God in the Land of Life. Not so, because for every commandment </w:t>
      </w:r>
      <w:r w:rsidR="0019035C">
        <w:t xml:space="preserve">has the power to </w:t>
      </w:r>
      <w:r w:rsidR="002932E3">
        <w:t xml:space="preserve">do a lot, </w:t>
      </w:r>
      <w:r w:rsidRPr="00573284">
        <w:t xml:space="preserve">and </w:t>
      </w:r>
      <w:r w:rsidR="00DB296F">
        <w:t>they are [obligated</w:t>
      </w:r>
      <w:r w:rsidR="009C2A82">
        <w:t>] in many</w:t>
      </w:r>
      <w:r w:rsidRPr="00573284">
        <w:t xml:space="preserve"> time-independent commandments</w:t>
      </w:r>
      <w:r w:rsidR="00977777">
        <w:t>...</w:t>
      </w:r>
      <w:r w:rsidRPr="00573284">
        <w:t xml:space="preserve"> and added </w:t>
      </w:r>
      <w:r w:rsidR="009C2A82">
        <w:t>for</w:t>
      </w:r>
      <w:r w:rsidRPr="00573284">
        <w:t xml:space="preserve"> her is a part </w:t>
      </w:r>
      <w:r w:rsidR="009C2A82">
        <w:t>in</w:t>
      </w:r>
      <w:r w:rsidRPr="00573284">
        <w:t xml:space="preserve"> the </w:t>
      </w:r>
      <w:r w:rsidR="009C2A82">
        <w:t>prohibitions</w:t>
      </w:r>
      <w:r w:rsidR="00B01591">
        <w:t xml:space="preserve"> alongside them</w:t>
      </w:r>
      <w:r w:rsidRPr="00573284">
        <w:t>. And do not think to say that a person will not attain perfection by just sitting and not committing a sin, this is not so. For when he refrains on account of God</w:t>
      </w:r>
      <w:r w:rsidR="009E41BD">
        <w:t>’</w:t>
      </w:r>
      <w:r w:rsidRPr="00573284">
        <w:t xml:space="preserve">s commandment, as </w:t>
      </w:r>
      <w:r w:rsidR="00ED6F11">
        <w:t>they [</w:t>
      </w:r>
      <w:r w:rsidRPr="00573284">
        <w:t>our sages</w:t>
      </w:r>
      <w:r w:rsidR="00ED6F11">
        <w:t>]</w:t>
      </w:r>
      <w:r w:rsidRPr="00573284">
        <w:t xml:space="preserve"> of blessed memory say, a person should not say </w:t>
      </w:r>
      <w:r w:rsidR="003C570B">
        <w:t>“</w:t>
      </w:r>
      <w:r w:rsidRPr="00573284">
        <w:t>I have no desire for pig meat</w:t>
      </w:r>
      <w:r w:rsidR="003C570B">
        <w:t>”</w:t>
      </w:r>
      <w:r w:rsidRPr="00573284">
        <w:t xml:space="preserve"> etc.</w:t>
      </w:r>
      <w:r w:rsidR="00372DE7">
        <w:t xml:space="preserve"> In this he</w:t>
      </w:r>
      <w:r w:rsidRPr="00573284">
        <w:t xml:space="preserve"> is doing the will of God</w:t>
      </w:r>
      <w:r w:rsidR="00372DE7">
        <w:t>, a</w:t>
      </w:r>
      <w:r w:rsidRPr="00573284">
        <w:t xml:space="preserve">s it is written in Genesis Rabbah, what difference does it make to God whether one slaughters from the nape or the throat, see in the </w:t>
      </w:r>
      <w:r w:rsidRPr="00A6363B">
        <w:rPr>
          <w:i/>
          <w:iCs/>
        </w:rPr>
        <w:t>Guide</w:t>
      </w:r>
      <w:r w:rsidRPr="00573284">
        <w:t xml:space="preserve">, part </w:t>
      </w:r>
      <w:r w:rsidR="00A6363B">
        <w:t>II</w:t>
      </w:r>
      <w:r>
        <w:t>I</w:t>
      </w:r>
      <w:r w:rsidRPr="00573284">
        <w:t xml:space="preserve">, and in the Novellae of Rashba, chapter </w:t>
      </w:r>
      <w:r w:rsidR="00B72215">
        <w:t xml:space="preserve">“He who is sleeping.” </w:t>
      </w:r>
      <w:r w:rsidRPr="00573284">
        <w:t xml:space="preserve">For this is a great principle in our </w:t>
      </w:r>
      <w:r w:rsidR="0020719C">
        <w:t xml:space="preserve">possession about </w:t>
      </w:r>
      <w:r w:rsidRPr="00573284">
        <w:t xml:space="preserve">the reasons for the commandments </w:t>
      </w:r>
      <w:r w:rsidR="0020719C">
        <w:t>–</w:t>
      </w:r>
      <w:r w:rsidRPr="00573284">
        <w:t xml:space="preserve"> to fulfill the word of God, His commandments, His statutes, and His laws. I have declared and </w:t>
      </w:r>
      <w:r w:rsidR="00C744BE">
        <w:t xml:space="preserve">we </w:t>
      </w:r>
      <w:r w:rsidRPr="00573284">
        <w:t>will do His will.</w:t>
      </w:r>
      <w:r w:rsidRPr="00573284">
        <w:rPr>
          <w:rStyle w:val="FootnoteReference"/>
          <w:rFonts w:cstheme="majorBidi"/>
          <w:rtl/>
        </w:rPr>
        <w:footnoteReference w:id="20"/>
      </w:r>
    </w:p>
    <w:p w14:paraId="69EC9FB6" w14:textId="11F2C377" w:rsidR="0031374D" w:rsidRPr="00573284" w:rsidRDefault="008F6E52" w:rsidP="00C744BE">
      <w:pPr>
        <w:pStyle w:val="Heading1"/>
        <w:rPr>
          <w:rtl/>
        </w:rPr>
      </w:pPr>
      <w:r>
        <w:t>C</w:t>
      </w:r>
      <w:r w:rsidR="002F291C" w:rsidRPr="00573284">
        <w:t>.1.</w:t>
      </w:r>
    </w:p>
    <w:p w14:paraId="35B7FB16" w14:textId="0D6BC15A" w:rsidR="009C7A70" w:rsidRPr="00573284" w:rsidRDefault="00467445" w:rsidP="009E41BD">
      <w:pPr>
        <w:rPr>
          <w:rtl/>
        </w:rPr>
      </w:pPr>
      <w:r>
        <w:t>T</w:t>
      </w:r>
      <w:r w:rsidR="002F291C" w:rsidRPr="00573284">
        <w:t>he discussion could have ended here: the perfection of man is achieved by fulfilling God</w:t>
      </w:r>
      <w:r w:rsidR="009E41BD">
        <w:t>’</w:t>
      </w:r>
      <w:r w:rsidR="002F291C" w:rsidRPr="00573284">
        <w:t xml:space="preserve">s will, this purpose is also achieved by </w:t>
      </w:r>
      <w:r w:rsidR="00D77811">
        <w:t xml:space="preserve">even </w:t>
      </w:r>
      <w:r w:rsidR="002F291C" w:rsidRPr="00573284">
        <w:t>partial</w:t>
      </w:r>
      <w:r w:rsidR="002F291C" w:rsidRPr="00573284">
        <w:t xml:space="preserve"> fulfi</w:t>
      </w:r>
      <w:r w:rsidR="00FD48E0">
        <w:t>l</w:t>
      </w:r>
      <w:r w:rsidR="002F291C" w:rsidRPr="00573284">
        <w:t>l</w:t>
      </w:r>
      <w:r w:rsidR="00D77811">
        <w:t>m</w:t>
      </w:r>
      <w:r w:rsidR="00FD48E0">
        <w:t>ent of</w:t>
      </w:r>
      <w:r w:rsidR="002F291C" w:rsidRPr="00573284">
        <w:t xml:space="preserve"> the commandments of the Torah, both </w:t>
      </w:r>
      <w:r w:rsidR="002F291C" w:rsidRPr="00573284">
        <w:t xml:space="preserve">positive commandments and </w:t>
      </w:r>
      <w:r w:rsidR="002F291C" w:rsidRPr="00573284">
        <w:t>prohibitions. The abundance of commandments is intended to make things easier for a person (not harder)</w:t>
      </w:r>
      <w:r w:rsidR="002F291C" w:rsidRPr="00573284">
        <w:t xml:space="preserve"> and to create many and varied opportunities for achieving the goal. Therefore, </w:t>
      </w:r>
      <w:r w:rsidR="002F291C" w:rsidRPr="00573284">
        <w:t>wom</w:t>
      </w:r>
      <w:r w:rsidR="001D0BFE">
        <w:t>e</w:t>
      </w:r>
      <w:r w:rsidR="002F291C" w:rsidRPr="00573284">
        <w:t>n</w:t>
      </w:r>
      <w:r w:rsidR="009E41BD">
        <w:t>’</w:t>
      </w:r>
      <w:r w:rsidR="002F291C" w:rsidRPr="00573284">
        <w:t xml:space="preserve">s </w:t>
      </w:r>
      <w:r w:rsidR="001D0BFE">
        <w:t>capacity for achieving perfection</w:t>
      </w:r>
      <w:r w:rsidR="002F291C" w:rsidRPr="00573284">
        <w:t xml:space="preserve"> is not </w:t>
      </w:r>
      <w:r w:rsidR="00015C8A">
        <w:t>significant</w:t>
      </w:r>
      <w:r w:rsidR="001D0BFE">
        <w:t>ly</w:t>
      </w:r>
      <w:r w:rsidR="004D7CFD">
        <w:t xml:space="preserve"> inhibited</w:t>
      </w:r>
      <w:r w:rsidR="002F291C" w:rsidRPr="00573284">
        <w:t>, even though she is exempt from many positive time-bound commandments.</w:t>
      </w:r>
    </w:p>
    <w:p w14:paraId="6E283908" w14:textId="79E54DC4" w:rsidR="009C4BA9" w:rsidRPr="00573284" w:rsidRDefault="002F291C" w:rsidP="009E41BD">
      <w:pPr>
        <w:rPr>
          <w:rtl/>
        </w:rPr>
      </w:pPr>
      <w:r w:rsidRPr="00573284">
        <w:t>However, Ben-Zakan</w:t>
      </w:r>
      <w:r w:rsidR="009E41BD">
        <w:t>’</w:t>
      </w:r>
      <w:r w:rsidRPr="00573284">
        <w:t>s eulogy does not end at this stage</w:t>
      </w:r>
      <w:r w:rsidR="00292C41">
        <w:t xml:space="preserve">. He then addresses </w:t>
      </w:r>
      <w:r w:rsidRPr="00573284">
        <w:t xml:space="preserve">a view that holds otherwise, and his language </w:t>
      </w:r>
      <w:r w:rsidR="00292C41">
        <w:t>indicates</w:t>
      </w:r>
      <w:r w:rsidRPr="00573284">
        <w:t xml:space="preserve"> that this is a Kabbalistic view, and more precisely a Zoharite view, </w:t>
      </w:r>
      <w:r w:rsidR="00573284">
        <w:t>“</w:t>
      </w:r>
      <w:r w:rsidR="008639ED">
        <w:t>While</w:t>
      </w:r>
      <w:r w:rsidR="006306CB" w:rsidRPr="00573284">
        <w:t xml:space="preserve"> the light of God, </w:t>
      </w:r>
      <w:r w:rsidR="00522887">
        <w:t>Rashbi (Rabbi Shimon bar Yochai</w:t>
      </w:r>
      <w:r w:rsidR="008C647C">
        <w:t xml:space="preserve"> – to whom the Zohar is traditionally attributed</w:t>
      </w:r>
      <w:r w:rsidR="0017228A">
        <w:t>)</w:t>
      </w:r>
      <w:r w:rsidR="006306CB" w:rsidRPr="00573284">
        <w:t>,</w:t>
      </w:r>
      <w:r w:rsidR="008C647C">
        <w:t xml:space="preserve"> may his memory be a blessing</w:t>
      </w:r>
      <w:r w:rsidR="00641B3C">
        <w:t>,</w:t>
      </w:r>
      <w:r w:rsidR="006306CB" w:rsidRPr="00573284">
        <w:t xml:space="preserve"> has shone upon us and we know faithfully that the </w:t>
      </w:r>
      <w:r w:rsidR="008639ED">
        <w:t>commandments</w:t>
      </w:r>
      <w:r w:rsidR="006306CB" w:rsidRPr="00573284">
        <w:t xml:space="preserve"> are necessary in themselves to achieve </w:t>
      </w:r>
      <w:r w:rsidR="00977777">
        <w:t>perfection</w:t>
      </w:r>
      <w:r w:rsidR="00573284">
        <w:t>.”</w:t>
      </w:r>
      <w:r w:rsidRPr="00573284">
        <w:rPr>
          <w:rStyle w:val="FootnoteReference"/>
          <w:rFonts w:cstheme="majorBidi"/>
        </w:rPr>
        <w:footnoteReference w:id="21"/>
      </w:r>
    </w:p>
    <w:p w14:paraId="1820D109" w14:textId="6CD6FFCD" w:rsidR="009C4BA9" w:rsidRPr="00573284" w:rsidRDefault="002F291C" w:rsidP="009E41BD">
      <w:pPr>
        <w:rPr>
          <w:rtl/>
        </w:rPr>
      </w:pPr>
      <w:r w:rsidRPr="00573284">
        <w:t xml:space="preserve">In Morocco, there </w:t>
      </w:r>
      <w:r w:rsidR="0051296A">
        <w:t>was</w:t>
      </w:r>
      <w:r w:rsidRPr="00573284">
        <w:t xml:space="preserve"> a long-standing tradition of engagement in Kabbalah </w:t>
      </w:r>
      <w:r w:rsidRPr="00573284">
        <w:t>since the mid-thirteenth century</w:t>
      </w:r>
      <w:commentRangeStart w:id="5"/>
      <w:r w:rsidRPr="00573284">
        <w:t>,</w:t>
      </w:r>
      <w:r w:rsidRPr="00573284">
        <w:rPr>
          <w:vertAlign w:val="superscript"/>
          <w:rtl/>
        </w:rPr>
        <w:footnoteReference w:id="22"/>
      </w:r>
      <w:commentRangeEnd w:id="5"/>
      <w:r w:rsidR="00C37E5C">
        <w:rPr>
          <w:rStyle w:val="CommentReference"/>
        </w:rPr>
        <w:commentReference w:id="5"/>
      </w:r>
      <w:r w:rsidRPr="00573284">
        <w:t xml:space="preserve"> and </w:t>
      </w:r>
      <w:r w:rsidR="00F23055">
        <w:t xml:space="preserve">agents of Kabbalist </w:t>
      </w:r>
      <w:r w:rsidRPr="00573284">
        <w:t>cultu</w:t>
      </w:r>
      <w:r w:rsidR="009B20E0">
        <w:t>r</w:t>
      </w:r>
      <w:r w:rsidR="00F23055">
        <w:t>e</w:t>
      </w:r>
      <w:r w:rsidRPr="00573284">
        <w:t xml:space="preserve"> </w:t>
      </w:r>
      <w:r w:rsidRPr="00573284">
        <w:t xml:space="preserve">involved in editing the Zohar collections in Italy even sought to complete their editions </w:t>
      </w:r>
      <w:r w:rsidR="00F23055">
        <w:t>based on</w:t>
      </w:r>
      <w:r w:rsidRPr="00573284">
        <w:t xml:space="preserve"> Zoharic manuscripts from Fez.</w:t>
      </w:r>
      <w:r w:rsidRPr="00573284">
        <w:rPr>
          <w:vertAlign w:val="superscript"/>
          <w:rtl/>
        </w:rPr>
        <w:footnoteReference w:id="23"/>
      </w:r>
      <w:r w:rsidRPr="00573284">
        <w:t xml:space="preserve"> According to Idel, after the </w:t>
      </w:r>
      <w:r>
        <w:t>e</w:t>
      </w:r>
      <w:r w:rsidRPr="00573284">
        <w:t xml:space="preserve">xpulsion, two tracks of Spanish Kabbalah were formed, one </w:t>
      </w:r>
      <w:r w:rsidRPr="00573284">
        <w:t xml:space="preserve">European and the other </w:t>
      </w:r>
      <w:r w:rsidRPr="00573284">
        <w:t xml:space="preserve">North African. He argues that even </w:t>
      </w:r>
      <w:r w:rsidR="002A3E31">
        <w:t>Kabbalists</w:t>
      </w:r>
      <w:r w:rsidRPr="00573284">
        <w:t xml:space="preserve"> </w:t>
      </w:r>
      <w:r w:rsidR="002A3E31" w:rsidRPr="00573284">
        <w:t>who were in Morocco for only a short period</w:t>
      </w:r>
      <w:r w:rsidR="002A3E31">
        <w:t>,</w:t>
      </w:r>
      <w:r w:rsidR="002A3E31" w:rsidRPr="00573284">
        <w:t xml:space="preserve"> </w:t>
      </w:r>
      <w:r w:rsidRPr="00573284">
        <w:t>like</w:t>
      </w:r>
      <w:r w:rsidRPr="00573284">
        <w:t xml:space="preserve"> Judah Hay</w:t>
      </w:r>
      <w:r w:rsidR="002A3E31">
        <w:t>a</w:t>
      </w:r>
      <w:r w:rsidRPr="00573284">
        <w:t>t and Abraham S</w:t>
      </w:r>
      <w:r w:rsidR="002A3E31">
        <w:t>a</w:t>
      </w:r>
      <w:r w:rsidRPr="00573284">
        <w:t>ba,</w:t>
      </w:r>
      <w:r w:rsidRPr="00573284">
        <w:t xml:space="preserve"> had a great influence on the development of Kabbalah in the region, and </w:t>
      </w:r>
      <w:r w:rsidRPr="00573284">
        <w:t>descendants of the exiles</w:t>
      </w:r>
      <w:r w:rsidR="002A3E31">
        <w:t xml:space="preserve"> from Spain</w:t>
      </w:r>
      <w:r w:rsidRPr="00573284">
        <w:t xml:space="preserve"> such as Abraham Adr</w:t>
      </w:r>
      <w:r w:rsidR="008F1E32">
        <w:t>o</w:t>
      </w:r>
      <w:r w:rsidRPr="00573284">
        <w:t xml:space="preserve">tiel, Simon </w:t>
      </w:r>
      <w:r w:rsidR="006A5A50">
        <w:t>Lavi</w:t>
      </w:r>
      <w:r w:rsidRPr="00573284">
        <w:t xml:space="preserve">, Joseph Alashkar, and Judah </w:t>
      </w:r>
      <w:r w:rsidR="00B40EDE">
        <w:t>Haliwa</w:t>
      </w:r>
      <w:r w:rsidRPr="00573284">
        <w:t xml:space="preserve"> wrote significant Kabbalistic works. Furthermore, </w:t>
      </w:r>
      <w:r w:rsidR="00A12ED3">
        <w:t>Idel claims</w:t>
      </w:r>
      <w:r w:rsidRPr="00573284">
        <w:t xml:space="preserve">, the most significant change that occurred following the arrival of </w:t>
      </w:r>
      <w:r w:rsidR="00A12ED3">
        <w:t xml:space="preserve">the </w:t>
      </w:r>
      <w:r w:rsidRPr="00573284">
        <w:t xml:space="preserve">many exiles was the acceptance of the Zoharic literature as the main text of the Kabbalah </w:t>
      </w:r>
      <w:r w:rsidRPr="00573284">
        <w:t>and its transformation into canonical literature.</w:t>
      </w:r>
      <w:r w:rsidRPr="00573284">
        <w:rPr>
          <w:rStyle w:val="FootnoteReference"/>
          <w:rFonts w:eastAsia="Calibri" w:cstheme="majorBidi"/>
          <w:rtl/>
        </w:rPr>
        <w:footnoteReference w:id="24"/>
      </w:r>
      <w:r w:rsidRPr="00573284">
        <w:t xml:space="preserve"> The </w:t>
      </w:r>
      <w:r w:rsidRPr="0092363C">
        <w:rPr>
          <w:i/>
          <w:iCs/>
        </w:rPr>
        <w:t>Zohar</w:t>
      </w:r>
      <w:r w:rsidRPr="00573284">
        <w:t xml:space="preserve"> </w:t>
      </w:r>
      <w:r w:rsidRPr="00573284">
        <w:t xml:space="preserve">also </w:t>
      </w:r>
      <w:r w:rsidRPr="00573284">
        <w:t xml:space="preserve">played a central role at that time </w:t>
      </w:r>
      <w:r w:rsidRPr="00573284">
        <w:t>in the Kabbalah circle that operated in Dar</w:t>
      </w:r>
      <w:r w:rsidR="005A09B9">
        <w:t>‘</w:t>
      </w:r>
      <w:r w:rsidRPr="00573284">
        <w:t xml:space="preserve">a around the figure of Moses Maimon </w:t>
      </w:r>
      <w:r w:rsidR="007251F5">
        <w:t>E</w:t>
      </w:r>
      <w:r w:rsidRPr="00573284">
        <w:t>lbaz.</w:t>
      </w:r>
      <w:r w:rsidRPr="00573284">
        <w:rPr>
          <w:vertAlign w:val="superscript"/>
          <w:rtl/>
        </w:rPr>
        <w:footnoteReference w:id="25"/>
      </w:r>
      <w:r w:rsidRPr="00573284">
        <w:t xml:space="preserve"> As stated above, in the generations after the expulsion from Spain, even the scholars of the Maghreb, who did not belong to the Kabbalistic movement, quoted from the Zohar literature because they perceived it as a Tannaitic source. </w:t>
      </w:r>
      <w:r w:rsidR="009B4226" w:rsidRPr="00573284">
        <w:t>According to</w:t>
      </w:r>
      <w:r w:rsidRPr="00573284">
        <w:t xml:space="preserve"> Huss, the reliance on the Zohar and the emphasis on its authority practiced among Sephardic </w:t>
      </w:r>
      <w:r w:rsidR="009177B6">
        <w:t>scholars</w:t>
      </w:r>
      <w:r w:rsidRPr="00573284">
        <w:t xml:space="preserve"> in the sixteenth century</w:t>
      </w:r>
      <w:r w:rsidRPr="00573284">
        <w:t xml:space="preserve"> played an important role in the struggle of the Sephardic exiles to gain hegemony in their new places of residence. </w:t>
      </w:r>
      <w:r w:rsidR="00E5612D">
        <w:t xml:space="preserve">The </w:t>
      </w:r>
      <w:r w:rsidR="00E5612D">
        <w:t>Zoharic</w:t>
      </w:r>
      <w:r w:rsidR="00E5612D" w:rsidRPr="00573284">
        <w:t xml:space="preserve"> texts</w:t>
      </w:r>
      <w:r w:rsidR="00E5612D">
        <w:t xml:space="preserve">’ </w:t>
      </w:r>
      <w:r w:rsidRPr="00573284">
        <w:t xml:space="preserve">accessibility </w:t>
      </w:r>
      <w:r w:rsidR="00E5612D">
        <w:t>for them and their</w:t>
      </w:r>
      <w:r w:rsidRPr="00573284">
        <w:t xml:space="preserve"> </w:t>
      </w:r>
      <w:r w:rsidRPr="00573284">
        <w:t xml:space="preserve">ability to quote from them strengthened their cultural power and helped them achieve a dominant status. According to </w:t>
      </w:r>
      <w:r w:rsidR="00CE21C3">
        <w:t>Huss</w:t>
      </w:r>
      <w:r w:rsidRPr="00573284">
        <w:t xml:space="preserve">, </w:t>
      </w:r>
      <w:r w:rsidR="006D5601" w:rsidRPr="00573284">
        <w:t>the expatriates who settled in the Ottoman Empire and North Africa</w:t>
      </w:r>
      <w:r w:rsidR="006D5601">
        <w:t>’s</w:t>
      </w:r>
      <w:r w:rsidRPr="00573284">
        <w:t xml:space="preserve"> </w:t>
      </w:r>
      <w:r w:rsidR="005E00A8">
        <w:t>frequent assertions</w:t>
      </w:r>
      <w:r w:rsidRPr="00573284">
        <w:t xml:space="preserve"> </w:t>
      </w:r>
      <w:r w:rsidR="006D5601">
        <w:t>of</w:t>
      </w:r>
      <w:r w:rsidRPr="00573284">
        <w:t xml:space="preserve"> the authority and precedence of the </w:t>
      </w:r>
      <w:r w:rsidRPr="00874909">
        <w:rPr>
          <w:i/>
          <w:iCs/>
        </w:rPr>
        <w:t>Zohar</w:t>
      </w:r>
      <w:r w:rsidRPr="00573284">
        <w:t xml:space="preserve">, as well as </w:t>
      </w:r>
      <w:r w:rsidR="006D5601">
        <w:t>their frequent</w:t>
      </w:r>
      <w:r w:rsidRPr="00573284">
        <w:t xml:space="preserve"> quot</w:t>
      </w:r>
      <w:r w:rsidR="006D5601">
        <w:t>ations of</w:t>
      </w:r>
      <w:r w:rsidRPr="00573284">
        <w:t xml:space="preserve"> it</w:t>
      </w:r>
      <w:r w:rsidRPr="00573284">
        <w:t xml:space="preserve"> were </w:t>
      </w:r>
      <w:r w:rsidR="00C91F4A">
        <w:t>a means of overcoming the</w:t>
      </w:r>
      <w:r w:rsidRPr="00573284">
        <w:t xml:space="preserve"> other philosophical and Kabbalistic schools they encountered</w:t>
      </w:r>
      <w:commentRangeStart w:id="6"/>
      <w:r w:rsidRPr="00573284">
        <w:t>.</w:t>
      </w:r>
      <w:r w:rsidRPr="00573284">
        <w:rPr>
          <w:rStyle w:val="FootnoteReference"/>
          <w:rFonts w:cstheme="majorBidi"/>
          <w:szCs w:val="24"/>
          <w:rtl/>
        </w:rPr>
        <w:footnoteReference w:id="26"/>
      </w:r>
      <w:r w:rsidRPr="00573284">
        <w:t xml:space="preserve"> </w:t>
      </w:r>
      <w:commentRangeEnd w:id="6"/>
      <w:r w:rsidR="002C4EF5">
        <w:rPr>
          <w:rStyle w:val="CommentReference"/>
        </w:rPr>
        <w:commentReference w:id="6"/>
      </w:r>
      <w:r w:rsidRPr="00573284">
        <w:t xml:space="preserve">However, </w:t>
      </w:r>
      <w:r w:rsidR="004B4FBD">
        <w:t xml:space="preserve">not </w:t>
      </w:r>
      <w:r w:rsidR="004B4FBD" w:rsidRPr="00573284">
        <w:t xml:space="preserve">all the descendants of </w:t>
      </w:r>
      <w:r w:rsidR="0094458A">
        <w:t>the Jews</w:t>
      </w:r>
      <w:r w:rsidR="004B4FBD" w:rsidRPr="00573284">
        <w:t xml:space="preserve"> expelled </w:t>
      </w:r>
      <w:r w:rsidR="0094458A">
        <w:t xml:space="preserve">from Spain who settled </w:t>
      </w:r>
      <w:r w:rsidR="004B4FBD" w:rsidRPr="00573284">
        <w:t>in North Africa</w:t>
      </w:r>
      <w:r w:rsidR="004B4FBD" w:rsidRPr="00573284">
        <w:t xml:space="preserve"> </w:t>
      </w:r>
      <w:r w:rsidR="0088546B">
        <w:t>can be associated with this trend. M</w:t>
      </w:r>
      <w:r w:rsidRPr="00573284">
        <w:t xml:space="preserve">any </w:t>
      </w:r>
      <w:r w:rsidRPr="00573284">
        <w:t xml:space="preserve">who were not </w:t>
      </w:r>
      <w:r w:rsidR="0088546B">
        <w:t>Kabbalists</w:t>
      </w:r>
      <w:r w:rsidR="005E6E65">
        <w:t xml:space="preserve"> and did not compose </w:t>
      </w:r>
      <w:r w:rsidRPr="00573284">
        <w:t xml:space="preserve">Kabbalistic </w:t>
      </w:r>
      <w:r w:rsidR="005E6E65">
        <w:t>works</w:t>
      </w:r>
      <w:r w:rsidRPr="00573284">
        <w:t>,</w:t>
      </w:r>
      <w:r w:rsidR="005E6E65">
        <w:t xml:space="preserve"> nevertheless</w:t>
      </w:r>
      <w:r w:rsidRPr="00573284">
        <w:t xml:space="preserve"> </w:t>
      </w:r>
      <w:r w:rsidR="00AA5DFE">
        <w:t>made use of</w:t>
      </w:r>
      <w:r w:rsidRPr="00573284">
        <w:t xml:space="preserve"> Kabbalistic literature and adopted Kabbalistic content and concepts, alongside their </w:t>
      </w:r>
      <w:r w:rsidR="00AA5DFE">
        <w:t xml:space="preserve">use of </w:t>
      </w:r>
      <w:r w:rsidRPr="00573284">
        <w:t xml:space="preserve">philosophical literature and </w:t>
      </w:r>
      <w:r w:rsidRPr="00573284">
        <w:t xml:space="preserve">philosophical content and terms. </w:t>
      </w:r>
      <w:r w:rsidR="003A4C6F">
        <w:t>As</w:t>
      </w:r>
      <w:r w:rsidRPr="00573284">
        <w:t xml:space="preserve"> mentioned above, they mostly did not address </w:t>
      </w:r>
      <w:r w:rsidRPr="00573284">
        <w:t xml:space="preserve">the </w:t>
      </w:r>
      <w:r w:rsidR="007D58C3">
        <w:t xml:space="preserve">very </w:t>
      </w:r>
      <w:r w:rsidRPr="00573284">
        <w:t xml:space="preserve">different </w:t>
      </w:r>
      <w:r w:rsidR="007D58C3">
        <w:t>worldviews of their sources</w:t>
      </w:r>
      <w:r w:rsidRPr="00573284">
        <w:t xml:space="preserve"> </w:t>
      </w:r>
      <w:r w:rsidR="007D58C3">
        <w:t>and simply</w:t>
      </w:r>
      <w:r w:rsidRPr="00573284">
        <w:t xml:space="preserve"> expressed </w:t>
      </w:r>
      <w:r w:rsidR="00241DF0">
        <w:t xml:space="preserve">themselves </w:t>
      </w:r>
      <w:r w:rsidR="00110232">
        <w:t xml:space="preserve">at different times one way or the other, </w:t>
      </w:r>
      <w:r w:rsidR="00F202DA">
        <w:t xml:space="preserve">or </w:t>
      </w:r>
      <w:r w:rsidR="00110232">
        <w:t>presented</w:t>
      </w:r>
      <w:r w:rsidRPr="00573284">
        <w:t xml:space="preserve"> two parallel </w:t>
      </w:r>
      <w:r w:rsidR="009E41BD">
        <w:t>conception</w:t>
      </w:r>
      <w:r w:rsidRPr="00573284">
        <w:t>s (</w:t>
      </w:r>
      <w:r w:rsidR="00110232">
        <w:t>one Kabbalistic</w:t>
      </w:r>
      <w:r w:rsidRPr="00573284">
        <w:t xml:space="preserve"> and the other </w:t>
      </w:r>
      <w:r w:rsidRPr="00573284">
        <w:t xml:space="preserve">not) without </w:t>
      </w:r>
      <w:r w:rsidR="00110232">
        <w:t>attempting to resolve the differences.</w:t>
      </w:r>
      <w:r w:rsidRPr="00573284">
        <w:rPr>
          <w:rStyle w:val="FootnoteReference"/>
          <w:rFonts w:cstheme="majorBidi"/>
          <w:rtl/>
        </w:rPr>
        <w:footnoteReference w:id="27"/>
      </w:r>
      <w:r w:rsidRPr="00573284">
        <w:t xml:space="preserve"> Ben-Zaken </w:t>
      </w:r>
      <w:r w:rsidR="00F202DA">
        <w:t>can be numbered</w:t>
      </w:r>
      <w:r w:rsidRPr="00573284">
        <w:t xml:space="preserve"> among those Moroccan sages who were not </w:t>
      </w:r>
      <w:r w:rsidR="00F202DA">
        <w:t>Kabbalists</w:t>
      </w:r>
      <w:r w:rsidRPr="00573284">
        <w:t xml:space="preserve"> and yet resorted to Zoharic literature, and like his peers, he mostly did not distinguish between </w:t>
      </w:r>
      <w:r w:rsidR="00F202DA">
        <w:t xml:space="preserve">the </w:t>
      </w:r>
      <w:r w:rsidRPr="00573284">
        <w:t xml:space="preserve">different </w:t>
      </w:r>
      <w:r>
        <w:t>approaches</w:t>
      </w:r>
      <w:r w:rsidRPr="00573284">
        <w:t xml:space="preserve">, </w:t>
      </w:r>
      <w:r w:rsidR="00F202DA">
        <w:t>with one exception</w:t>
      </w:r>
      <w:r w:rsidRPr="00573284">
        <w:t>, which is the eulogy at the center of this study.</w:t>
      </w:r>
    </w:p>
    <w:p w14:paraId="3DFFF3C0" w14:textId="14949975" w:rsidR="00F663A7" w:rsidRPr="00573284" w:rsidRDefault="002F291C" w:rsidP="009E41BD">
      <w:pPr>
        <w:rPr>
          <w:b/>
          <w:bCs/>
          <w:rtl/>
        </w:rPr>
      </w:pPr>
      <w:r w:rsidRPr="00573284">
        <w:t xml:space="preserve">Ben-Zaken </w:t>
      </w:r>
      <w:r w:rsidRPr="00573284">
        <w:t xml:space="preserve">did not elaborate on the </w:t>
      </w:r>
      <w:r w:rsidR="00E470FB">
        <w:t>perspective</w:t>
      </w:r>
      <w:r w:rsidRPr="00573284">
        <w:t xml:space="preserve"> in question</w:t>
      </w:r>
      <w:r w:rsidRPr="00573284">
        <w:t xml:space="preserve"> but </w:t>
      </w:r>
      <w:r w:rsidR="00DC1249">
        <w:t>appears to be referring</w:t>
      </w:r>
      <w:r w:rsidRPr="00573284">
        <w:t xml:space="preserve"> to </w:t>
      </w:r>
      <w:r w:rsidRPr="00573284">
        <w:t xml:space="preserve">Kabbalistic discourse that from its inception, and especially since the Zohar, </w:t>
      </w:r>
      <w:r w:rsidR="009B6644">
        <w:t>showed</w:t>
      </w:r>
      <w:r w:rsidRPr="00573284">
        <w:t xml:space="preserve"> a great deal </w:t>
      </w:r>
      <w:r w:rsidR="00FE49DF">
        <w:t>of interest in</w:t>
      </w:r>
      <w:r w:rsidRPr="00573284">
        <w:t xml:space="preserve"> the fulfillment of the commandments and </w:t>
      </w:r>
      <w:r w:rsidR="0088386B">
        <w:t>ascribed to them</w:t>
      </w:r>
      <w:r w:rsidRPr="00573284">
        <w:t>, in their details and subtleties, with many meanings</w:t>
      </w:r>
      <w:r w:rsidR="002E7DA8">
        <w:t>, including some radical ones: mitzvot draw</w:t>
      </w:r>
      <w:r w:rsidRPr="00573284">
        <w:t xml:space="preserve"> abundance </w:t>
      </w:r>
      <w:r w:rsidR="002E7DA8">
        <w:t>in</w:t>
      </w:r>
      <w:r w:rsidRPr="00573284">
        <w:t>to this world</w:t>
      </w:r>
      <w:r w:rsidR="006651AA">
        <w:t>,</w:t>
      </w:r>
      <w:r w:rsidR="00C24925">
        <w:t xml:space="preserve"> or between the Sephirot</w:t>
      </w:r>
      <w:r w:rsidR="00B2047C">
        <w:t xml:space="preserve">, </w:t>
      </w:r>
      <w:r w:rsidR="006651AA">
        <w:t xml:space="preserve">or </w:t>
      </w:r>
      <w:r w:rsidR="00632EB9">
        <w:t xml:space="preserve">the fulfillment of commandments </w:t>
      </w:r>
      <w:r w:rsidRPr="00573284">
        <w:t>influence</w:t>
      </w:r>
      <w:r w:rsidR="00B2047C">
        <w:t>s</w:t>
      </w:r>
      <w:r w:rsidRPr="00573284">
        <w:t xml:space="preserve"> </w:t>
      </w:r>
      <w:r w:rsidRPr="00573284">
        <w:t>the divinity</w:t>
      </w:r>
      <w:r w:rsidR="00B2047C">
        <w:t>,</w:t>
      </w:r>
      <w:r w:rsidRPr="00573284">
        <w:t xml:space="preserve"> and more. This </w:t>
      </w:r>
      <w:r w:rsidR="00A150E7">
        <w:t>discourse</w:t>
      </w:r>
      <w:r w:rsidRPr="00573284">
        <w:t xml:space="preserve"> </w:t>
      </w:r>
      <w:r w:rsidR="00987697">
        <w:t>continued</w:t>
      </w:r>
      <w:r w:rsidRPr="00573284">
        <w:t xml:space="preserve"> in North Africa in</w:t>
      </w:r>
      <w:r w:rsidR="00987697">
        <w:t xml:space="preserve"> the</w:t>
      </w:r>
      <w:r w:rsidRPr="00573284">
        <w:t xml:space="preserve"> generations after the expulsion, as </w:t>
      </w:r>
      <w:r w:rsidR="00987697">
        <w:t>can be seen</w:t>
      </w:r>
      <w:r w:rsidRPr="00573284">
        <w:t xml:space="preserve"> from Shimon </w:t>
      </w:r>
      <w:r w:rsidR="00987697">
        <w:t>Ibn Lavi’s</w:t>
      </w:r>
      <w:r w:rsidRPr="00573284">
        <w:t xml:space="preserve"> </w:t>
      </w:r>
      <w:r w:rsidR="00987697">
        <w:t xml:space="preserve">commentary on </w:t>
      </w:r>
      <w:r w:rsidRPr="00573284">
        <w:t>the Zohar</w:t>
      </w:r>
      <w:r w:rsidR="00120ECD">
        <w:t>,</w:t>
      </w:r>
      <w:r w:rsidR="00987697">
        <w:t xml:space="preserve"> </w:t>
      </w:r>
      <w:r w:rsidR="00D96B40">
        <w:rPr>
          <w:i/>
          <w:iCs/>
        </w:rPr>
        <w:t>Qetem</w:t>
      </w:r>
      <w:r w:rsidR="00987697" w:rsidRPr="00987697">
        <w:rPr>
          <w:i/>
          <w:iCs/>
        </w:rPr>
        <w:t xml:space="preserve"> Paz</w:t>
      </w:r>
      <w:r w:rsidRPr="00573284">
        <w:t>.</w:t>
      </w:r>
      <w:r w:rsidRPr="00573284">
        <w:rPr>
          <w:rStyle w:val="FootnoteReference"/>
          <w:rFonts w:cstheme="majorBidi"/>
          <w:rtl/>
        </w:rPr>
        <w:footnoteReference w:id="28"/>
      </w:r>
      <w:r w:rsidRPr="00573284">
        <w:t xml:space="preserve"> </w:t>
      </w:r>
      <w:r w:rsidR="00CC7FFE" w:rsidRPr="00573284">
        <w:t>Ben-Zak</w:t>
      </w:r>
      <w:r w:rsidR="005D32F4">
        <w:t xml:space="preserve">en nevertheless believed that </w:t>
      </w:r>
      <w:r w:rsidR="00A33A3D">
        <w:t>this</w:t>
      </w:r>
      <w:r w:rsidR="005D32F4">
        <w:t xml:space="preserve"> </w:t>
      </w:r>
      <w:r w:rsidR="00A33A3D">
        <w:t>Zoharic</w:t>
      </w:r>
      <w:r w:rsidR="00CC7FFE" w:rsidRPr="00573284">
        <w:t xml:space="preserve"> conception </w:t>
      </w:r>
      <w:r w:rsidR="00A33A3D">
        <w:t xml:space="preserve">of the commandments does </w:t>
      </w:r>
      <w:r w:rsidR="00CC7FFE" w:rsidRPr="00573284">
        <w:t xml:space="preserve">not </w:t>
      </w:r>
      <w:r w:rsidR="00A33A3D">
        <w:t>contradict</w:t>
      </w:r>
      <w:r w:rsidR="00CC7FFE" w:rsidRPr="00573284">
        <w:t xml:space="preserve"> the traditional </w:t>
      </w:r>
      <w:r w:rsidR="009E41BD">
        <w:t>conception</w:t>
      </w:r>
      <w:r w:rsidR="00CC7FFE" w:rsidRPr="00573284">
        <w:t>, because one must distinguish between the reasons for the commandments and the motive for their fulfillment</w:t>
      </w:r>
      <w:r w:rsidR="00342B3E">
        <w:t>. It is the latter that</w:t>
      </w:r>
      <w:r w:rsidR="00CC7FFE" w:rsidRPr="00573284">
        <w:t xml:space="preserve"> leads to the perfection of man and not the theurgical implications of the </w:t>
      </w:r>
      <w:r w:rsidR="0082385E">
        <w:t>performance of</w:t>
      </w:r>
      <w:r w:rsidR="00CC7FFE" w:rsidRPr="00573284">
        <w:t xml:space="preserve"> the commandments (</w:t>
      </w:r>
      <w:r w:rsidR="00640392">
        <w:t xml:space="preserve">service </w:t>
      </w:r>
      <w:r w:rsidR="000025DB">
        <w:t>as a need of</w:t>
      </w:r>
      <w:r w:rsidR="00640392">
        <w:t xml:space="preserve"> the On High</w:t>
      </w:r>
      <w:r w:rsidR="00CC7FFE" w:rsidRPr="00573284">
        <w:t>).</w:t>
      </w:r>
    </w:p>
    <w:p w14:paraId="1F36F068" w14:textId="48C8D436" w:rsidR="00F663A7" w:rsidRPr="00573284" w:rsidRDefault="000150F2" w:rsidP="006651AA">
      <w:pPr>
        <w:pStyle w:val="Quote"/>
        <w:rPr>
          <w:rtl/>
        </w:rPr>
      </w:pPr>
      <w:r>
        <w:t>Since</w:t>
      </w:r>
      <w:r w:rsidR="002F291C" w:rsidRPr="00573284">
        <w:t xml:space="preserve"> the divine light of Rabbi Shimon bar Yochai, may </w:t>
      </w:r>
      <w:r w:rsidR="00EB5C5D">
        <w:t>his memory be a blessing</w:t>
      </w:r>
      <w:r w:rsidR="002F291C" w:rsidRPr="00573284">
        <w:t xml:space="preserve">, </w:t>
      </w:r>
      <w:r w:rsidR="00EB5C5D">
        <w:t>has shone</w:t>
      </w:r>
      <w:r w:rsidR="002F291C" w:rsidRPr="00573284">
        <w:t xml:space="preserve"> upon us and we </w:t>
      </w:r>
      <w:r w:rsidR="004176F5">
        <w:t>confidently</w:t>
      </w:r>
      <w:r w:rsidR="002F291C" w:rsidRPr="00573284">
        <w:t xml:space="preserve"> know that the commandments are inherently necessary for achieving perfection, </w:t>
      </w:r>
      <w:r w:rsidR="00F46522">
        <w:t>nevertheless, this</w:t>
      </w:r>
      <w:r w:rsidR="002F291C" w:rsidRPr="00573284">
        <w:t xml:space="preserve"> introduction does not fall away </w:t>
      </w:r>
      <w:r w:rsidR="00F46522">
        <w:t>at all</w:t>
      </w:r>
      <w:r w:rsidR="002F291C" w:rsidRPr="00573284">
        <w:t xml:space="preserve">, but rather both </w:t>
      </w:r>
      <w:r w:rsidR="003C42BF">
        <w:t>are the case</w:t>
      </w:r>
      <w:r w:rsidR="002F291C" w:rsidRPr="00573284">
        <w:t xml:space="preserve">, for we have a great general principle that the reward from God does not depend on the </w:t>
      </w:r>
      <w:r w:rsidR="00956BCF">
        <w:t xml:space="preserve">value of the </w:t>
      </w:r>
      <w:r w:rsidR="002F291C" w:rsidRPr="00573284">
        <w:t xml:space="preserve">action but on the </w:t>
      </w:r>
      <w:r w:rsidR="00956BCF">
        <w:t>value of the person acting</w:t>
      </w:r>
      <w:r w:rsidR="002F291C" w:rsidRPr="00573284">
        <w:t>. Everything depends on the intentions of the heart</w:t>
      </w:r>
      <w:r w:rsidR="0090029C">
        <w:t xml:space="preserve">; </w:t>
      </w:r>
      <w:r w:rsidR="002F291C" w:rsidRPr="00573284">
        <w:t xml:space="preserve">therefore, </w:t>
      </w:r>
      <w:r w:rsidR="002F291C" w:rsidRPr="00573284">
        <w:t xml:space="preserve">we learn </w:t>
      </w:r>
      <w:r w:rsidR="0090029C" w:rsidRPr="00573284">
        <w:t xml:space="preserve">from this </w:t>
      </w:r>
      <w:r w:rsidR="002F291C" w:rsidRPr="00573284">
        <w:t>that it is not the act itself that is primary, but the intention of the heart in doing God</w:t>
      </w:r>
      <w:r w:rsidR="009E41BD">
        <w:t>’</w:t>
      </w:r>
      <w:r w:rsidR="002F291C" w:rsidRPr="00573284">
        <w:t>s will.</w:t>
      </w:r>
      <w:r w:rsidR="002F291C" w:rsidRPr="00573284">
        <w:rPr>
          <w:rStyle w:val="FootnoteReference"/>
          <w:rFonts w:cstheme="majorBidi"/>
          <w:szCs w:val="24"/>
          <w:rtl/>
        </w:rPr>
        <w:footnoteReference w:id="29"/>
      </w:r>
    </w:p>
    <w:p w14:paraId="19B18F97" w14:textId="666E2B46" w:rsidR="00F663A7" w:rsidRPr="00573284" w:rsidRDefault="00144FA1" w:rsidP="009E41BD">
      <w:pPr>
        <w:rPr>
          <w:color w:val="A6A6A6" w:themeColor="background1" w:themeShade="A6"/>
          <w:rtl/>
        </w:rPr>
      </w:pPr>
      <w:r>
        <w:t>At</w:t>
      </w:r>
      <w:r w:rsidR="002F291C" w:rsidRPr="00573284">
        <w:t xml:space="preserve"> the core of </w:t>
      </w:r>
      <w:r w:rsidR="002F291C">
        <w:t>b</w:t>
      </w:r>
      <w:r w:rsidR="002F291C" w:rsidRPr="00573284">
        <w:t>en-Zaken</w:t>
      </w:r>
      <w:r w:rsidR="009E41BD">
        <w:t>’</w:t>
      </w:r>
      <w:r w:rsidR="002F291C" w:rsidRPr="00573284">
        <w:t xml:space="preserve">s eulogy stands the traditional </w:t>
      </w:r>
      <w:r w:rsidR="009E41BD">
        <w:t>conception</w:t>
      </w:r>
      <w:r w:rsidR="002F291C" w:rsidRPr="00573284">
        <w:t xml:space="preserve"> that human perfection is achieved by intending to do</w:t>
      </w:r>
      <w:r w:rsidR="002F291C" w:rsidRPr="00573284">
        <w:t xml:space="preserve"> the will of </w:t>
      </w:r>
      <w:r>
        <w:t>the</w:t>
      </w:r>
      <w:r w:rsidR="002F291C" w:rsidRPr="00573284">
        <w:t xml:space="preserve"> Creator. However, as someone who </w:t>
      </w:r>
      <w:r w:rsidR="00216BE3">
        <w:t>was active</w:t>
      </w:r>
      <w:r w:rsidR="002F291C" w:rsidRPr="00573284">
        <w:t xml:space="preserve"> after the </w:t>
      </w:r>
      <w:r w:rsidR="00216BE3">
        <w:t>Zoharic</w:t>
      </w:r>
      <w:r w:rsidR="002F291C" w:rsidRPr="00573284">
        <w:t xml:space="preserve"> literature was already accepted as canonical (in North Africa and in general), he felt the need to refer </w:t>
      </w:r>
      <w:r w:rsidR="002F291C" w:rsidRPr="00573284">
        <w:t xml:space="preserve">to </w:t>
      </w:r>
      <w:r w:rsidR="00216BE3">
        <w:t>the</w:t>
      </w:r>
      <w:r w:rsidR="002F291C" w:rsidRPr="00573284">
        <w:t xml:space="preserve"> widespread Kabbalistic </w:t>
      </w:r>
      <w:r w:rsidR="002F291C">
        <w:t>approach</w:t>
      </w:r>
      <w:r w:rsidR="002F291C" w:rsidRPr="00573284">
        <w:t xml:space="preserve">. He was aware of the apparent tension between the two </w:t>
      </w:r>
      <w:r w:rsidR="002F291C">
        <w:t>approaches</w:t>
      </w:r>
      <w:r w:rsidR="002F291C" w:rsidRPr="00573284">
        <w:t>, and therefore</w:t>
      </w:r>
      <w:r w:rsidR="00933351">
        <w:t>, in contrast to many of his peers,</w:t>
      </w:r>
      <w:r w:rsidR="002F291C" w:rsidRPr="00573284">
        <w:t xml:space="preserve"> </w:t>
      </w:r>
      <w:r w:rsidR="002F291C" w:rsidRPr="00573284">
        <w:t xml:space="preserve">explicitly </w:t>
      </w:r>
      <w:r w:rsidR="007F70A0">
        <w:t xml:space="preserve">addressed it rather than ignoring it or assuming that the </w:t>
      </w:r>
      <w:r w:rsidR="002F291C">
        <w:t>approaches</w:t>
      </w:r>
      <w:r w:rsidR="007F70A0">
        <w:t xml:space="preserve"> </w:t>
      </w:r>
      <w:r w:rsidR="002F291C" w:rsidRPr="00573284">
        <w:t>complement each other without explaining how</w:t>
      </w:r>
      <w:r w:rsidR="00933351">
        <w:t>.</w:t>
      </w:r>
    </w:p>
    <w:p w14:paraId="28E7BF1D" w14:textId="77777777" w:rsidR="0031374D" w:rsidRPr="00573284" w:rsidRDefault="002F291C" w:rsidP="00933351">
      <w:pPr>
        <w:pStyle w:val="Heading1"/>
        <w:rPr>
          <w:rtl/>
        </w:rPr>
      </w:pPr>
      <w:r w:rsidRPr="00573284">
        <w:t>2.3.</w:t>
      </w:r>
    </w:p>
    <w:p w14:paraId="5D9B8650" w14:textId="6CE5619F" w:rsidR="00FE5245" w:rsidRPr="00573284" w:rsidRDefault="002F291C" w:rsidP="009E41BD">
      <w:pPr>
        <w:rPr>
          <w:rtl/>
        </w:rPr>
      </w:pPr>
      <w:r w:rsidRPr="00573284">
        <w:t xml:space="preserve">This </w:t>
      </w:r>
      <w:r w:rsidR="005F071C" w:rsidRPr="00573284">
        <w:t xml:space="preserve">was not the only </w:t>
      </w:r>
      <w:r w:rsidRPr="00573284">
        <w:t xml:space="preserve">Kabbalistic </w:t>
      </w:r>
      <w:r w:rsidR="008B0A81">
        <w:t>approach</w:t>
      </w:r>
      <w:r w:rsidRPr="00573284">
        <w:t xml:space="preserve"> </w:t>
      </w:r>
      <w:r w:rsidR="008B0A81">
        <w:t>that</w:t>
      </w:r>
      <w:r w:rsidRPr="00573284">
        <w:t xml:space="preserve"> </w:t>
      </w:r>
      <w:r>
        <w:t>b</w:t>
      </w:r>
      <w:r w:rsidRPr="00573284">
        <w:t xml:space="preserve">en-Zaken chose to openly and explicitly confront. </w:t>
      </w:r>
      <w:r w:rsidR="008B0A81">
        <w:t>Later in the eulogy</w:t>
      </w:r>
      <w:r w:rsidRPr="00573284">
        <w:t xml:space="preserve">, he presented </w:t>
      </w:r>
      <w:r w:rsidR="00BE5C01">
        <w:t>also</w:t>
      </w:r>
      <w:r w:rsidR="006466BD">
        <w:t xml:space="preserve"> the</w:t>
      </w:r>
      <w:r w:rsidR="00BE5C01">
        <w:t xml:space="preserve"> L</w:t>
      </w:r>
      <w:r w:rsidRPr="00573284">
        <w:t xml:space="preserve">urianic </w:t>
      </w:r>
      <w:r w:rsidR="007C381F">
        <w:t>approach</w:t>
      </w:r>
      <w:r w:rsidRPr="00573284">
        <w:t>. According to H</w:t>
      </w:r>
      <w:r w:rsidR="00BE5C01">
        <w:t>us</w:t>
      </w:r>
      <w:r w:rsidRPr="00573284">
        <w:t xml:space="preserve">s, following the formation of the Zoharic canon in the second half of the sixteenth century, the </w:t>
      </w:r>
      <w:r w:rsidR="006466BD">
        <w:t xml:space="preserve">way the </w:t>
      </w:r>
      <w:r w:rsidRPr="00573284">
        <w:t>Kabbalists established their authority and cultural power</w:t>
      </w:r>
      <w:r w:rsidR="006466BD">
        <w:t xml:space="preserve"> changed. It was no longer based on their</w:t>
      </w:r>
      <w:r w:rsidRPr="00573284">
        <w:t xml:space="preserve"> possession and citation of Zoharic texts</w:t>
      </w:r>
      <w:r w:rsidR="00B35A13">
        <w:t>,</w:t>
      </w:r>
      <w:r w:rsidRPr="00573284">
        <w:t xml:space="preserve"> </w:t>
      </w:r>
      <w:r w:rsidRPr="00573284">
        <w:t>but through their mastery of the text</w:t>
      </w:r>
      <w:r w:rsidR="009E41BD">
        <w:t>’</w:t>
      </w:r>
      <w:r w:rsidRPr="00573284">
        <w:t xml:space="preserve">s meaning, namely the interpretation of the Zohar. </w:t>
      </w:r>
      <w:r w:rsidR="00B35A13">
        <w:t>The</w:t>
      </w:r>
      <w:r w:rsidRPr="00573284">
        <w:t xml:space="preserve"> interpretation of the Zohar became a central genre in Kabbalah literature, and the hermeneutic field became an arena where the struggle for hegemony in the Kabbalistic creative field took place. The undisputed victor in this struggle was the </w:t>
      </w:r>
      <w:r w:rsidR="00AF6C58">
        <w:t>Kabbalah</w:t>
      </w:r>
      <w:r w:rsidRPr="00573284">
        <w:t xml:space="preserve"> of the Ari</w:t>
      </w:r>
      <w:r w:rsidR="00DA7508">
        <w:t>, or Lurianic Kabbalah.</w:t>
      </w:r>
      <w:r w:rsidRPr="00573284">
        <w:rPr>
          <w:rStyle w:val="FootnoteReference"/>
          <w:rFonts w:cstheme="majorBidi"/>
          <w:rtl/>
        </w:rPr>
        <w:footnoteReference w:id="30"/>
      </w:r>
    </w:p>
    <w:p w14:paraId="327C8F8B" w14:textId="5688C1CB" w:rsidR="0031374D" w:rsidRPr="00573284" w:rsidRDefault="002F291C" w:rsidP="009E41BD">
      <w:pPr>
        <w:rPr>
          <w:rtl/>
        </w:rPr>
      </w:pPr>
      <w:r w:rsidRPr="00573284">
        <w:t xml:space="preserve">According to Lurianic Kabbalah, </w:t>
      </w:r>
      <w:r w:rsidR="00274D8B">
        <w:t>“</w:t>
      </w:r>
      <w:r w:rsidRPr="00573284">
        <w:t>repairing</w:t>
      </w:r>
      <w:r w:rsidR="00274D8B">
        <w:t>”</w:t>
      </w:r>
      <w:r w:rsidRPr="00573284">
        <w:t xml:space="preserve"> the world is </w:t>
      </w:r>
      <w:r w:rsidR="00274D8B">
        <w:t>a human task. B</w:t>
      </w:r>
      <w:r w:rsidRPr="00573284">
        <w:t xml:space="preserve">y keeping the commandments (and his prayers) </w:t>
      </w:r>
      <w:r w:rsidR="004D0264">
        <w:t xml:space="preserve">one </w:t>
      </w:r>
      <w:r w:rsidRPr="00573284">
        <w:t>restore</w:t>
      </w:r>
      <w:r w:rsidR="004D0264">
        <w:t>s</w:t>
      </w:r>
      <w:r w:rsidRPr="00573284">
        <w:t xml:space="preserve"> the harmony that was disrupted by the primal catastrophe</w:t>
      </w:r>
      <w:r w:rsidR="004D0264">
        <w:t>, “</w:t>
      </w:r>
      <w:r w:rsidRPr="00573284">
        <w:t>the breaking of the vessels</w:t>
      </w:r>
      <w:r w:rsidR="00DD76C2">
        <w:t>,</w:t>
      </w:r>
      <w:r w:rsidR="004D0264">
        <w:t>”</w:t>
      </w:r>
      <w:r w:rsidRPr="00573284">
        <w:t xml:space="preserve"> and by the forces of evil that </w:t>
      </w:r>
      <w:r w:rsidR="00DD76C2">
        <w:t>arose from it</w:t>
      </w:r>
      <w:r w:rsidRPr="00573284">
        <w:t xml:space="preserve">. Moreover, through the fulfillment of commandments, a person has the power to unite the </w:t>
      </w:r>
      <w:r w:rsidR="00DD76C2">
        <w:t>“</w:t>
      </w:r>
      <w:r w:rsidRPr="00573284">
        <w:t>sparks</w:t>
      </w:r>
      <w:r w:rsidR="00DD76C2">
        <w:t>”</w:t>
      </w:r>
      <w:r w:rsidRPr="00573284">
        <w:t xml:space="preserve"> that were dispersed following the sin of the first man and to raise them to their true place. The Ari</w:t>
      </w:r>
      <w:r w:rsidRPr="00573284">
        <w:t xml:space="preserve"> developed </w:t>
      </w:r>
      <w:r w:rsidR="00797CAD">
        <w:t>an approach wherein</w:t>
      </w:r>
      <w:r w:rsidRPr="00573284">
        <w:t xml:space="preserve"> </w:t>
      </w:r>
      <w:r w:rsidRPr="00573284">
        <w:t>there is a connection between the 613 commandments and the limbs of the human body</w:t>
      </w:r>
      <w:r w:rsidRPr="00573284">
        <w:t xml:space="preserve"> and proposed that </w:t>
      </w:r>
      <w:r w:rsidRPr="00573284">
        <w:t xml:space="preserve">the soul, which </w:t>
      </w:r>
      <w:r w:rsidR="005F4860">
        <w:t>was</w:t>
      </w:r>
      <w:r w:rsidRPr="00573284">
        <w:t xml:space="preserve"> the original form of a person before his exile into the body, </w:t>
      </w:r>
      <w:r w:rsidR="008D3F6B">
        <w:t xml:space="preserve">also </w:t>
      </w:r>
      <w:r w:rsidR="00797CAD">
        <w:t>has</w:t>
      </w:r>
      <w:r w:rsidRPr="00573284">
        <w:t xml:space="preserve"> 613 parts.</w:t>
      </w:r>
      <w:r w:rsidRPr="00573284">
        <w:rPr>
          <w:rStyle w:val="FootnoteReference"/>
          <w:rFonts w:cstheme="majorBidi"/>
          <w:rtl/>
        </w:rPr>
        <w:footnoteReference w:id="31"/>
      </w:r>
      <w:r w:rsidRPr="00573284">
        <w:t xml:space="preserve"> By performing the commandments, a person restores his spiritual structure and redraws it through his actions. </w:t>
      </w:r>
      <w:r w:rsidR="00387294">
        <w:t>The</w:t>
      </w:r>
      <w:r w:rsidRPr="00573284">
        <w:t xml:space="preserve"> conclusion </w:t>
      </w:r>
      <w:r w:rsidRPr="00573284">
        <w:t xml:space="preserve">this Lurianic </w:t>
      </w:r>
      <w:r w:rsidR="00387294">
        <w:t xml:space="preserve">idea </w:t>
      </w:r>
      <w:r w:rsidR="00854135">
        <w:t>leads to</w:t>
      </w:r>
      <w:r w:rsidRPr="00573284">
        <w:t xml:space="preserve"> is</w:t>
      </w:r>
      <w:r w:rsidR="00F0599F">
        <w:t xml:space="preserve">, in the words of </w:t>
      </w:r>
      <w:r w:rsidR="00F0599F" w:rsidRPr="00573284">
        <w:t>Gershom Scholem</w:t>
      </w:r>
      <w:r w:rsidR="00F0599F">
        <w:t>,</w:t>
      </w:r>
      <w:r w:rsidR="00F0599F" w:rsidRPr="00573284">
        <w:t xml:space="preserve"> </w:t>
      </w:r>
      <w:r w:rsidRPr="00573284">
        <w:t xml:space="preserve">that </w:t>
      </w:r>
      <w:r w:rsidR="00573284">
        <w:t>“</w:t>
      </w:r>
      <w:r w:rsidR="00F0599F" w:rsidRPr="00F0599F">
        <w:t>since every part corresponds to a command</w:t>
      </w:r>
      <w:r w:rsidR="00F0599F">
        <w:t>m</w:t>
      </w:r>
      <w:r w:rsidR="00F0599F" w:rsidRPr="00F0599F">
        <w:t>ent, the solution of the task demands the complete fulfi</w:t>
      </w:r>
      <w:r w:rsidR="00F0599F">
        <w:t>l</w:t>
      </w:r>
      <w:r w:rsidR="00F0599F" w:rsidRPr="00F0599F">
        <w:t>lment of all the 613 commandments</w:t>
      </w:r>
      <w:r w:rsidR="00F0599F">
        <w:t>.</w:t>
      </w:r>
      <w:r w:rsidR="00F0599F" w:rsidRPr="00F0599F">
        <w:t>”</w:t>
      </w:r>
      <w:r w:rsidRPr="00573284">
        <w:rPr>
          <w:rStyle w:val="FootnoteReference"/>
          <w:rFonts w:cstheme="majorBidi"/>
          <w:szCs w:val="24"/>
          <w:rtl/>
        </w:rPr>
        <w:footnoteReference w:id="32"/>
      </w:r>
    </w:p>
    <w:p w14:paraId="6F9B9139" w14:textId="36DEEFB2" w:rsidR="0031374D" w:rsidRPr="00573284" w:rsidRDefault="00B54DB6" w:rsidP="00011774">
      <w:pPr>
        <w:jc w:val="left"/>
        <w:rPr>
          <w:highlight w:val="red"/>
          <w:rtl/>
        </w:rPr>
      </w:pPr>
      <w:r>
        <w:t>By</w:t>
      </w:r>
      <w:r w:rsidR="002F291C" w:rsidRPr="00573284">
        <w:t xml:space="preserve"> the end of the sixteenth century, </w:t>
      </w:r>
      <w:r w:rsidR="002F291C" w:rsidRPr="00573284">
        <w:t>the</w:t>
      </w:r>
      <w:r w:rsidR="00C633CC">
        <w:t xml:space="preserve"> influence of the</w:t>
      </w:r>
      <w:r w:rsidR="002F291C" w:rsidRPr="00573284">
        <w:t xml:space="preserve"> Safed Kabbalists </w:t>
      </w:r>
      <w:r w:rsidR="002362B1">
        <w:t>had grown</w:t>
      </w:r>
      <w:r w:rsidR="00C633CC">
        <w:t xml:space="preserve"> and became dominant</w:t>
      </w:r>
      <w:r w:rsidR="002F291C" w:rsidRPr="00573284">
        <w:t xml:space="preserve">. Some </w:t>
      </w:r>
      <w:r w:rsidR="002362B1">
        <w:t>Kabbalists from</w:t>
      </w:r>
      <w:r w:rsidR="002F291C" w:rsidRPr="00573284">
        <w:t xml:space="preserve"> Dara</w:t>
      </w:r>
      <w:r w:rsidR="009E41BD">
        <w:t>’</w:t>
      </w:r>
      <w:r w:rsidR="002F291C" w:rsidRPr="00573284">
        <w:t xml:space="preserve">a </w:t>
      </w:r>
      <w:r>
        <w:t>immigrated</w:t>
      </w:r>
      <w:r w:rsidR="002F291C" w:rsidRPr="00573284">
        <w:t xml:space="preserve"> to the land</w:t>
      </w:r>
      <w:r>
        <w:t xml:space="preserve"> of Israel</w:t>
      </w:r>
      <w:r w:rsidR="002F291C" w:rsidRPr="00573284">
        <w:t xml:space="preserve"> </w:t>
      </w:r>
      <w:r>
        <w:t>over</w:t>
      </w:r>
      <w:r w:rsidR="002F291C" w:rsidRPr="00573284">
        <w:t xml:space="preserve"> the century, settled in Safed, and even </w:t>
      </w:r>
      <w:r w:rsidR="007C6AAF">
        <w:t>held</w:t>
      </w:r>
      <w:r w:rsidR="002F291C" w:rsidRPr="00573284">
        <w:t xml:space="preserve"> an important place in the circles of Kabbalists there.</w:t>
      </w:r>
      <w:r w:rsidR="002F291C" w:rsidRPr="00573284">
        <w:rPr>
          <w:rStyle w:val="FootnoteReference"/>
          <w:rFonts w:cstheme="majorBidi"/>
          <w:szCs w:val="24"/>
          <w:rtl/>
        </w:rPr>
        <w:footnoteReference w:id="33"/>
      </w:r>
      <w:r w:rsidR="002F291C" w:rsidRPr="00573284">
        <w:t xml:space="preserve"> At the same time, emissaries from Israel who visited the Moroccan Jewish community brought with them Kabbalistic literature that </w:t>
      </w:r>
      <w:r w:rsidR="008E2D27">
        <w:t>originated in the land of</w:t>
      </w:r>
      <w:r w:rsidR="002F291C" w:rsidRPr="00573284">
        <w:t xml:space="preserve"> Israel; Abraham Azulai (1570-1643), for example, became acquainted with Moses Cordovero</w:t>
      </w:r>
      <w:r w:rsidR="009E41BD">
        <w:t>’</w:t>
      </w:r>
      <w:r w:rsidR="002F291C" w:rsidRPr="00573284">
        <w:t xml:space="preserve">s </w:t>
      </w:r>
      <w:r w:rsidR="002F291C" w:rsidRPr="008E2D27">
        <w:rPr>
          <w:i/>
          <w:iCs/>
        </w:rPr>
        <w:t>Pardes Rimonim</w:t>
      </w:r>
      <w:r w:rsidR="002F291C" w:rsidRPr="00573284">
        <w:t xml:space="preserve"> while he was still in Fez.</w:t>
      </w:r>
      <w:r w:rsidR="002F291C" w:rsidRPr="00573284">
        <w:rPr>
          <w:rStyle w:val="FootnoteReference"/>
          <w:rFonts w:cstheme="majorBidi"/>
          <w:szCs w:val="24"/>
          <w:rtl/>
        </w:rPr>
        <w:footnoteReference w:id="34"/>
      </w:r>
      <w:r w:rsidR="002F291C" w:rsidRPr="00573284">
        <w:t xml:space="preserve"> </w:t>
      </w:r>
      <w:r w:rsidR="00107560">
        <w:t>In t</w:t>
      </w:r>
      <w:r w:rsidR="002F291C" w:rsidRPr="00573284">
        <w:t xml:space="preserve">he literature that developed in North Africa </w:t>
      </w:r>
      <w:r w:rsidR="00107560">
        <w:t>beginning in</w:t>
      </w:r>
      <w:r w:rsidR="002F291C" w:rsidRPr="00573284">
        <w:t xml:space="preserve"> the second half of the sixteenth century, </w:t>
      </w:r>
      <w:r w:rsidR="00107560">
        <w:t>there are</w:t>
      </w:r>
      <w:r w:rsidR="002F291C" w:rsidRPr="00573284">
        <w:t xml:space="preserve"> notable reference</w:t>
      </w:r>
      <w:r w:rsidR="00107560">
        <w:t>s</w:t>
      </w:r>
      <w:r w:rsidR="002F291C" w:rsidRPr="00573284">
        <w:t xml:space="preserve"> to the works of </w:t>
      </w:r>
      <w:r w:rsidR="002F291C" w:rsidRPr="00573284">
        <w:t>Safed</w:t>
      </w:r>
      <w:r w:rsidR="00107560">
        <w:t xml:space="preserve"> Kabbalists </w:t>
      </w:r>
      <w:r w:rsidR="002F291C" w:rsidRPr="00573284">
        <w:t>such as</w:t>
      </w:r>
      <w:r w:rsidR="002F291C" w:rsidRPr="00573284">
        <w:t xml:space="preserve"> Moshe Cordovero, Moshe Alsheich, Shlomo Alkabetz, Elisha Gallico, Eliezer Azkari, Shmuel Ozida, and others.</w:t>
      </w:r>
      <w:r w:rsidR="002F291C" w:rsidRPr="00573284">
        <w:rPr>
          <w:rStyle w:val="FootnoteReference"/>
          <w:rFonts w:cstheme="majorBidi"/>
          <w:rtl/>
        </w:rPr>
        <w:footnoteReference w:id="35"/>
      </w:r>
      <w:r w:rsidR="002F291C" w:rsidRPr="00573284">
        <w:t xml:space="preserve"> According to</w:t>
      </w:r>
      <w:r w:rsidR="005B17B1">
        <w:t xml:space="preserve"> Yosef</w:t>
      </w:r>
      <w:r w:rsidR="002F291C" w:rsidRPr="00573284">
        <w:t xml:space="preserve"> Avivi, </w:t>
      </w:r>
      <w:r w:rsidR="002F291C" w:rsidRPr="00573284">
        <w:t xml:space="preserve">the first Lurianic texts were brought to Morocco </w:t>
      </w:r>
      <w:r w:rsidR="005B17B1" w:rsidRPr="00573284">
        <w:t xml:space="preserve">in the middle of the seventeenth century, </w:t>
      </w:r>
      <w:r w:rsidR="002F291C" w:rsidRPr="00573284">
        <w:t xml:space="preserve">by </w:t>
      </w:r>
      <w:r w:rsidR="005B17B1">
        <w:t>the emissary</w:t>
      </w:r>
      <w:r w:rsidR="002F291C" w:rsidRPr="00573284">
        <w:t xml:space="preserve"> Elisha Haim Ashkenazi (father of Na</w:t>
      </w:r>
      <w:r w:rsidR="003937C4">
        <w:t>than of Gaza</w:t>
      </w:r>
      <w:r w:rsidR="002F291C" w:rsidRPr="00573284">
        <w:t>) during his travels there in 1650 or 1662</w:t>
      </w:r>
      <w:r w:rsidR="003937C4">
        <w:t>.</w:t>
      </w:r>
      <w:r w:rsidR="002F291C" w:rsidRPr="00573284">
        <w:rPr>
          <w:rStyle w:val="FootnoteReference"/>
          <w:rFonts w:cstheme="majorBidi"/>
          <w:szCs w:val="24"/>
          <w:rtl/>
        </w:rPr>
        <w:footnoteReference w:id="36"/>
      </w:r>
      <w:r w:rsidR="002F291C" w:rsidRPr="00573284">
        <w:t xml:space="preserve"> </w:t>
      </w:r>
      <w:r w:rsidR="003937C4">
        <w:t>L</w:t>
      </w:r>
      <w:r w:rsidR="002F291C" w:rsidRPr="00573284">
        <w:t>ittle by little</w:t>
      </w:r>
      <w:r w:rsidR="003937C4">
        <w:t>,</w:t>
      </w:r>
      <w:r w:rsidR="002F291C" w:rsidRPr="00573284">
        <w:t xml:space="preserve"> </w:t>
      </w:r>
      <w:r w:rsidR="002F291C" w:rsidRPr="00573284">
        <w:t xml:space="preserve">Lurianic Kabbalah supplanted the </w:t>
      </w:r>
      <w:r w:rsidR="002F291C" w:rsidRPr="00573284">
        <w:t>Kabbalah</w:t>
      </w:r>
      <w:r w:rsidR="003937C4">
        <w:t xml:space="preserve"> of Cor</w:t>
      </w:r>
      <w:r w:rsidR="00773B3C">
        <w:t>dovero</w:t>
      </w:r>
      <w:r w:rsidR="002F291C" w:rsidRPr="00573284">
        <w:t xml:space="preserve"> in Morocco.</w:t>
      </w:r>
      <w:r w:rsidR="002F291C" w:rsidRPr="00573284">
        <w:rPr>
          <w:rStyle w:val="FootnoteReference"/>
          <w:rFonts w:cstheme="majorBidi"/>
          <w:rtl/>
        </w:rPr>
        <w:footnoteReference w:id="37"/>
      </w:r>
      <w:r w:rsidR="002F291C" w:rsidRPr="00573284">
        <w:t xml:space="preserve"> Circles </w:t>
      </w:r>
      <w:r w:rsidR="00BD6BE5">
        <w:t>of Kabbalists</w:t>
      </w:r>
      <w:r w:rsidR="002F291C" w:rsidRPr="00573284">
        <w:t xml:space="preserve"> </w:t>
      </w:r>
      <w:r w:rsidR="00BD6BE5">
        <w:t>focused on Lurianic Kabbalah</w:t>
      </w:r>
      <w:r w:rsidR="002F291C" w:rsidRPr="00573284">
        <w:t xml:space="preserve"> began to spread in Morocco at the beginning of the eighteenth century</w:t>
      </w:r>
      <w:r w:rsidR="00BD6BE5">
        <w:t>. F</w:t>
      </w:r>
      <w:r w:rsidR="002F291C" w:rsidRPr="00573284">
        <w:t xml:space="preserve">oremost among them </w:t>
      </w:r>
      <w:r w:rsidR="00BD6BE5">
        <w:t>was</w:t>
      </w:r>
      <w:r w:rsidR="002F291C" w:rsidRPr="00573284">
        <w:t xml:space="preserve"> the circle of Jacob Maragi in Tetouan, whose peers</w:t>
      </w:r>
      <w:r w:rsidR="000E059F">
        <w:t xml:space="preserve"> and </w:t>
      </w:r>
      <w:r w:rsidR="002F291C" w:rsidRPr="00573284">
        <w:t>students encouraged him to write a</w:t>
      </w:r>
      <w:r w:rsidR="00BD6BE5">
        <w:t xml:space="preserve"> </w:t>
      </w:r>
      <w:r w:rsidR="00D166C2">
        <w:t>L</w:t>
      </w:r>
      <w:r w:rsidR="000E059F">
        <w:t xml:space="preserve">urianic </w:t>
      </w:r>
      <w:r w:rsidR="00BD6BE5">
        <w:t>commentary on</w:t>
      </w:r>
      <w:r w:rsidR="002F291C" w:rsidRPr="00573284">
        <w:t xml:space="preserve"> </w:t>
      </w:r>
      <w:r w:rsidR="00BD6BE5">
        <w:t>t</w:t>
      </w:r>
      <w:r w:rsidR="002F291C" w:rsidRPr="00573284">
        <w:t xml:space="preserve">he </w:t>
      </w:r>
      <w:r w:rsidR="002F291C" w:rsidRPr="00BD6BE5">
        <w:rPr>
          <w:i/>
          <w:iCs/>
        </w:rPr>
        <w:t>Zohar</w:t>
      </w:r>
      <w:r w:rsidR="002F291C" w:rsidRPr="00573284">
        <w:t>. It</w:t>
      </w:r>
      <w:r w:rsidR="007624EC">
        <w:t xml:space="preserve"> is </w:t>
      </w:r>
      <w:r w:rsidR="004600B8">
        <w:t>a comprehensive commentary</w:t>
      </w:r>
      <w:r w:rsidR="002F291C" w:rsidRPr="00573284">
        <w:t xml:space="preserve"> but only a small part of it </w:t>
      </w:r>
      <w:r w:rsidR="004600B8" w:rsidRPr="00573284">
        <w:t xml:space="preserve">(Vienna, 1887) </w:t>
      </w:r>
      <w:r w:rsidR="004600B8">
        <w:t>was</w:t>
      </w:r>
      <w:r w:rsidR="002F291C" w:rsidRPr="00573284">
        <w:t xml:space="preserve"> published </w:t>
      </w:r>
      <w:r w:rsidR="004600B8">
        <w:t>until recently.</w:t>
      </w:r>
      <w:r w:rsidR="00A32E56">
        <w:t xml:space="preserve"> T</w:t>
      </w:r>
      <w:r w:rsidR="002F291C" w:rsidRPr="00573284">
        <w:t xml:space="preserve">he entire </w:t>
      </w:r>
      <w:r w:rsidR="00A32E56">
        <w:t>work,</w:t>
      </w:r>
      <w:r w:rsidR="002F291C" w:rsidRPr="00573284">
        <w:t xml:space="preserve"> </w:t>
      </w:r>
      <w:r w:rsidR="002F291C" w:rsidRPr="00A32E56">
        <w:rPr>
          <w:i/>
          <w:iCs/>
        </w:rPr>
        <w:t>Emet LeYaakov</w:t>
      </w:r>
      <w:r w:rsidR="00BA586B">
        <w:rPr>
          <w:i/>
          <w:iCs/>
        </w:rPr>
        <w:t>,</w:t>
      </w:r>
      <w:r w:rsidR="002F291C" w:rsidRPr="00573284">
        <w:t xml:space="preserve"> </w:t>
      </w:r>
      <w:r w:rsidR="00A32E56">
        <w:t xml:space="preserve">has </w:t>
      </w:r>
      <w:r w:rsidR="00C67173">
        <w:t xml:space="preserve">now </w:t>
      </w:r>
      <w:r w:rsidR="00A32E56">
        <w:t>been published</w:t>
      </w:r>
      <w:r w:rsidR="002F291C" w:rsidRPr="00573284">
        <w:t xml:space="preserve"> (Jerusalem, 2021). Some of the Kabbalists from Tetouan</w:t>
      </w:r>
      <w:r w:rsidR="00C67173">
        <w:t>,</w:t>
      </w:r>
      <w:r w:rsidR="00C67173" w:rsidRPr="00C67173">
        <w:t xml:space="preserve"> </w:t>
      </w:r>
      <w:r w:rsidR="00C67173" w:rsidRPr="00573284">
        <w:t>like Abraham ben-Musa (1660?- 1733)</w:t>
      </w:r>
      <w:r w:rsidR="00C67173">
        <w:t>,</w:t>
      </w:r>
      <w:r w:rsidR="002F291C" w:rsidRPr="00573284">
        <w:t xml:space="preserve"> immigrated to Sali</w:t>
      </w:r>
      <w:r w:rsidR="00C67173">
        <w:t xml:space="preserve"> where</w:t>
      </w:r>
      <w:r w:rsidR="002F291C" w:rsidRPr="00573284">
        <w:t xml:space="preserve"> they </w:t>
      </w:r>
      <w:r w:rsidR="00C67173">
        <w:t>came into contact with</w:t>
      </w:r>
      <w:r w:rsidR="002F291C" w:rsidRPr="00573284">
        <w:t xml:space="preserve"> other Kabbalists </w:t>
      </w:r>
      <w:r w:rsidR="00C67173">
        <w:t>such as</w:t>
      </w:r>
      <w:r w:rsidR="002F291C" w:rsidRPr="00573284">
        <w:t xml:space="preserve"> Moshe </w:t>
      </w:r>
      <w:r w:rsidR="00264F03">
        <w:t>Ibn Tz</w:t>
      </w:r>
      <w:r w:rsidR="002F291C" w:rsidRPr="00573284">
        <w:t xml:space="preserve">ur. Ben-Musa wrote glosses </w:t>
      </w:r>
      <w:r w:rsidR="004B1494">
        <w:t>on</w:t>
      </w:r>
      <w:r w:rsidR="002F291C" w:rsidRPr="00573284">
        <w:t xml:space="preserve"> the books</w:t>
      </w:r>
      <w:r w:rsidR="004B1494">
        <w:t xml:space="preserve"> </w:t>
      </w:r>
      <w:r w:rsidR="004B1494" w:rsidRPr="004B1494">
        <w:rPr>
          <w:i/>
          <w:iCs/>
        </w:rPr>
        <w:t>Otzarot Ha</w:t>
      </w:r>
      <w:r w:rsidR="00791365">
        <w:rPr>
          <w:i/>
          <w:iCs/>
        </w:rPr>
        <w:t>y</w:t>
      </w:r>
      <w:r w:rsidR="004B1494" w:rsidRPr="004B1494">
        <w:rPr>
          <w:i/>
          <w:iCs/>
        </w:rPr>
        <w:t>yim</w:t>
      </w:r>
      <w:r w:rsidR="004B1494">
        <w:rPr>
          <w:i/>
          <w:iCs/>
        </w:rPr>
        <w:t>,</w:t>
      </w:r>
      <w:r w:rsidR="004B1494">
        <w:t xml:space="preserve"> </w:t>
      </w:r>
      <w:r w:rsidR="00791365" w:rsidRPr="00017CE8">
        <w:rPr>
          <w:i/>
          <w:iCs/>
        </w:rPr>
        <w:t>Etz Hayyim</w:t>
      </w:r>
      <w:r w:rsidR="002F291C" w:rsidRPr="00017CE8">
        <w:rPr>
          <w:i/>
          <w:iCs/>
        </w:rPr>
        <w:t xml:space="preserve">, </w:t>
      </w:r>
      <w:r w:rsidR="00791365" w:rsidRPr="00017CE8">
        <w:rPr>
          <w:i/>
          <w:iCs/>
        </w:rPr>
        <w:t xml:space="preserve">Sefer HaKavanot, </w:t>
      </w:r>
      <w:r w:rsidR="00017CE8" w:rsidRPr="00017CE8">
        <w:t>and</w:t>
      </w:r>
      <w:r w:rsidR="00017CE8" w:rsidRPr="00017CE8">
        <w:rPr>
          <w:i/>
          <w:iCs/>
        </w:rPr>
        <w:t xml:space="preserve"> Mavo She‘arim</w:t>
      </w:r>
      <w:r w:rsidR="00017CE8">
        <w:t xml:space="preserve">. Ibn </w:t>
      </w:r>
      <w:r w:rsidR="002F291C" w:rsidRPr="00573284">
        <w:t xml:space="preserve">Tzur composed </w:t>
      </w:r>
      <w:r w:rsidR="00AD2BB4" w:rsidRPr="00AD2BB4">
        <w:rPr>
          <w:i/>
          <w:iCs/>
        </w:rPr>
        <w:t>Me‘arat Sedeh HaMakhpelah</w:t>
      </w:r>
      <w:r w:rsidR="002F291C" w:rsidRPr="00573284">
        <w:t xml:space="preserve"> (Jerusalem 5688), </w:t>
      </w:r>
      <w:r w:rsidR="00D13D2D">
        <w:t xml:space="preserve">a poetic synopsis of </w:t>
      </w:r>
      <w:r w:rsidR="00D13D2D" w:rsidRPr="004B1494">
        <w:rPr>
          <w:i/>
          <w:iCs/>
        </w:rPr>
        <w:t>Otzarot Ha</w:t>
      </w:r>
      <w:r w:rsidR="00D13D2D">
        <w:rPr>
          <w:i/>
          <w:iCs/>
        </w:rPr>
        <w:t>y</w:t>
      </w:r>
      <w:r w:rsidR="00D13D2D" w:rsidRPr="004B1494">
        <w:rPr>
          <w:i/>
          <w:iCs/>
        </w:rPr>
        <w:t>yim</w:t>
      </w:r>
      <w:r w:rsidR="002F291C" w:rsidRPr="00573284">
        <w:t xml:space="preserve">. Another significant center was in Marrakech, led by Abraham Azulai (b. 1741, who </w:t>
      </w:r>
      <w:r w:rsidR="00BA586B">
        <w:t>was in contact with</w:t>
      </w:r>
      <w:r w:rsidR="002F291C" w:rsidRPr="00573284">
        <w:t xml:space="preserve"> Abraham </w:t>
      </w:r>
      <w:r w:rsidR="00BA586B">
        <w:t>b</w:t>
      </w:r>
      <w:r w:rsidR="002F291C" w:rsidRPr="00573284">
        <w:t>en</w:t>
      </w:r>
      <w:r w:rsidR="00BA586B">
        <w:t>-</w:t>
      </w:r>
      <w:r w:rsidR="002F291C" w:rsidRPr="00573284">
        <w:t>Musa)</w:t>
      </w:r>
      <w:r w:rsidR="00BA586B">
        <w:t>. Among Azulai’s</w:t>
      </w:r>
      <w:r w:rsidR="002F291C" w:rsidRPr="00573284">
        <w:t xml:space="preserve"> </w:t>
      </w:r>
      <w:r w:rsidR="002F291C" w:rsidRPr="00573284">
        <w:t>colleagues</w:t>
      </w:r>
      <w:r w:rsidR="00BA586B">
        <w:t xml:space="preserve"> and </w:t>
      </w:r>
      <w:r w:rsidR="002F291C" w:rsidRPr="00573284">
        <w:t xml:space="preserve">students were </w:t>
      </w:r>
      <w:r w:rsidR="00BA586B">
        <w:t>Shlomo</w:t>
      </w:r>
      <w:r w:rsidR="002F291C" w:rsidRPr="00573284">
        <w:t xml:space="preserve"> Amar (b. 1735), </w:t>
      </w:r>
      <w:r w:rsidR="00BA586B">
        <w:t>Yaakov</w:t>
      </w:r>
      <w:r w:rsidR="002F291C" w:rsidRPr="00573284">
        <w:t xml:space="preserve"> Pinto (b. 1765)</w:t>
      </w:r>
      <w:r w:rsidR="00BA586B">
        <w:t>,</w:t>
      </w:r>
      <w:r w:rsidR="002F291C" w:rsidRPr="00573284">
        <w:t xml:space="preserve"> and Shalom Bouzaglo (1700-1780)</w:t>
      </w:r>
      <w:r w:rsidR="007E5044">
        <w:t xml:space="preserve">. The last </w:t>
      </w:r>
      <w:r w:rsidR="002F291C" w:rsidRPr="00573284">
        <w:t xml:space="preserve">is </w:t>
      </w:r>
      <w:r w:rsidR="007E5044" w:rsidRPr="00573284">
        <w:t xml:space="preserve">primarily </w:t>
      </w:r>
      <w:r w:rsidR="002F291C" w:rsidRPr="00573284">
        <w:t xml:space="preserve">known </w:t>
      </w:r>
      <w:r w:rsidR="002F291C" w:rsidRPr="00573284">
        <w:t xml:space="preserve">for his comprehensive </w:t>
      </w:r>
      <w:r w:rsidR="007E5044">
        <w:t xml:space="preserve">Lurianic </w:t>
      </w:r>
      <w:r w:rsidR="002F291C" w:rsidRPr="00573284">
        <w:t xml:space="preserve">commentary on the </w:t>
      </w:r>
      <w:r w:rsidR="002F291C" w:rsidRPr="007E5044">
        <w:rPr>
          <w:i/>
          <w:iCs/>
        </w:rPr>
        <w:t>Zohar</w:t>
      </w:r>
      <w:r w:rsidR="002F291C" w:rsidRPr="00573284">
        <w:t xml:space="preserve"> </w:t>
      </w:r>
      <w:r w:rsidR="002F291C" w:rsidRPr="007E5044">
        <w:rPr>
          <w:i/>
          <w:iCs/>
        </w:rPr>
        <w:t>Mikdash Mele</w:t>
      </w:r>
      <w:r w:rsidR="007E5044" w:rsidRPr="007E5044">
        <w:rPr>
          <w:i/>
          <w:iCs/>
        </w:rPr>
        <w:t>kh</w:t>
      </w:r>
      <w:r w:rsidR="002F291C" w:rsidRPr="00573284">
        <w:t xml:space="preserve"> (Amsterdam, 1796), which is partially based on the interpretations of his teachers and colleagues in Marrakech.</w:t>
      </w:r>
      <w:r w:rsidR="002F291C" w:rsidRPr="00573284">
        <w:br/>
      </w:r>
      <w:r w:rsidR="00680BB3">
        <w:t>They</w:t>
      </w:r>
      <w:r w:rsidR="002F291C" w:rsidRPr="00573284">
        <w:t xml:space="preserve"> engaged in Lurianic Kabbalah</w:t>
      </w:r>
      <w:r w:rsidR="00680BB3">
        <w:t xml:space="preserve"> also in Fez</w:t>
      </w:r>
      <w:r w:rsidR="002F291C" w:rsidRPr="00573284">
        <w:t>, where Moshe Ben-Moshe (1695?</w:t>
      </w:r>
      <w:r w:rsidR="002F291C" w:rsidRPr="00573284">
        <w:t>-</w:t>
      </w:r>
      <w:r w:rsidR="002F291C" w:rsidRPr="00573284">
        <w:t xml:space="preserve">1758) </w:t>
      </w:r>
      <w:r w:rsidR="00CA519B">
        <w:t xml:space="preserve">attested that he </w:t>
      </w:r>
      <w:r w:rsidR="002F291C" w:rsidRPr="00573284">
        <w:t>acquired his knowledge on the subject from Morde</w:t>
      </w:r>
      <w:r w:rsidR="00680BB3">
        <w:t>k</w:t>
      </w:r>
      <w:r w:rsidR="002F291C" w:rsidRPr="00573284">
        <w:t>hai Bus</w:t>
      </w:r>
      <w:r w:rsidR="002F291C" w:rsidRPr="00573284">
        <w:t>kila</w:t>
      </w:r>
      <w:r w:rsidR="002F291C" w:rsidRPr="00573284">
        <w:t>. The</w:t>
      </w:r>
      <w:r w:rsidR="00CA519B">
        <w:t xml:space="preserve">se </w:t>
      </w:r>
      <w:r w:rsidR="002F291C" w:rsidRPr="00573284">
        <w:t xml:space="preserve">Lurianic Kabbalists mostly wrote commentaries on the writings of the </w:t>
      </w:r>
      <w:r w:rsidR="002F291C" w:rsidRPr="00573284">
        <w:t>Ari and Ra</w:t>
      </w:r>
      <w:r w:rsidR="004C0FE5">
        <w:t>bbi Hayyim Vital</w:t>
      </w:r>
      <w:r w:rsidR="002F291C" w:rsidRPr="00573284">
        <w:t xml:space="preserve">, some of which were published in the book </w:t>
      </w:r>
      <w:r w:rsidR="004C0FE5" w:rsidRPr="004C0FE5">
        <w:rPr>
          <w:i/>
          <w:iCs/>
        </w:rPr>
        <w:t>Makom Binah</w:t>
      </w:r>
      <w:r w:rsidR="002F291C" w:rsidRPr="00573284">
        <w:t xml:space="preserve"> (Salonika, 1733), and some </w:t>
      </w:r>
      <w:r w:rsidR="006D7169">
        <w:t xml:space="preserve">that </w:t>
      </w:r>
      <w:r w:rsidR="00FD02CF">
        <w:t xml:space="preserve">have been preserved </w:t>
      </w:r>
      <w:r w:rsidR="002F291C" w:rsidRPr="00573284">
        <w:t>in manuscript</w:t>
      </w:r>
      <w:r w:rsidR="002F291C" w:rsidRPr="00573284">
        <w:t>.</w:t>
      </w:r>
      <w:r w:rsidR="002F291C" w:rsidRPr="00573284">
        <w:rPr>
          <w:rStyle w:val="FootnoteReference"/>
          <w:rFonts w:cstheme="majorBidi"/>
          <w:rtl/>
        </w:rPr>
        <w:footnoteReference w:id="38"/>
      </w:r>
    </w:p>
    <w:p w14:paraId="3E1F2DB8" w14:textId="7345B89F" w:rsidR="00E201F6" w:rsidRPr="00573284" w:rsidRDefault="002F291C" w:rsidP="009E41BD">
      <w:pPr>
        <w:rPr>
          <w:rtl/>
        </w:rPr>
      </w:pPr>
      <w:r w:rsidRPr="00573284">
        <w:t xml:space="preserve">It seems that in light of the spread of Lurianic Kabbalah in Morocco (and </w:t>
      </w:r>
      <w:r w:rsidR="006D7169">
        <w:t>in</w:t>
      </w:r>
      <w:r w:rsidRPr="00573284">
        <w:t xml:space="preserve"> the Jewish diaspora in general) and the acceptance of the Lurianic concept that all 613 commandments are necessary for achieving individual perfection, </w:t>
      </w:r>
      <w:r>
        <w:t>b</w:t>
      </w:r>
      <w:r w:rsidRPr="00573284">
        <w:t xml:space="preserve">en-Zaken felt the need to clarify and emphasize that the </w:t>
      </w:r>
      <w:r w:rsidR="0042498D">
        <w:t>idea to which he subscribes</w:t>
      </w:r>
      <w:r w:rsidRPr="00573284">
        <w:t xml:space="preserve"> and frequently revisited in his eulogy </w:t>
      </w:r>
      <w:r w:rsidR="0042498D">
        <w:t xml:space="preserve">– </w:t>
      </w:r>
      <w:r w:rsidRPr="00573284">
        <w:t>that a person</w:t>
      </w:r>
      <w:r w:rsidR="009E41BD">
        <w:t>’</w:t>
      </w:r>
      <w:r w:rsidRPr="00573284">
        <w:t>s perfection is achieved by fulfilling God</w:t>
      </w:r>
      <w:r w:rsidR="009E41BD">
        <w:t>’</w:t>
      </w:r>
      <w:r w:rsidRPr="00573284">
        <w:t>s will, and therefore</w:t>
      </w:r>
      <w:r w:rsidR="002F3827">
        <w:t xml:space="preserve"> even</w:t>
      </w:r>
      <w:r w:rsidRPr="00573284">
        <w:t xml:space="preserve"> by partially fulfilling the 613 commandments </w:t>
      </w:r>
      <w:r w:rsidR="002F3827">
        <w:t>–</w:t>
      </w:r>
      <w:r w:rsidRPr="00573284">
        <w:t xml:space="preserve"> does not contradict the Lurianic view. According to him, the two </w:t>
      </w:r>
      <w:r w:rsidR="002F3827">
        <w:t>ideas can</w:t>
      </w:r>
      <w:r w:rsidRPr="00573284">
        <w:t xml:space="preserve"> coexist</w:t>
      </w:r>
      <w:r w:rsidR="002F3827">
        <w:t>;</w:t>
      </w:r>
      <w:r w:rsidRPr="00573284">
        <w:t xml:space="preserve"> this time his solution is embedded in another Kabbalistic concept</w:t>
      </w:r>
      <w:r w:rsidR="002F3827">
        <w:t xml:space="preserve"> – </w:t>
      </w:r>
      <w:r w:rsidRPr="00573284">
        <w:t>reincarnation</w:t>
      </w:r>
      <w:r w:rsidRPr="00573284">
        <w:t>.</w:t>
      </w:r>
    </w:p>
    <w:p w14:paraId="4D29C8FB" w14:textId="2E7ADA95" w:rsidR="00E201F6" w:rsidRPr="00573284" w:rsidRDefault="002F291C" w:rsidP="007D732C">
      <w:pPr>
        <w:pStyle w:val="Quote"/>
        <w:rPr>
          <w:rtl/>
        </w:rPr>
      </w:pPr>
      <w:r w:rsidRPr="00573284">
        <w:t>And let no one suspect me of saying that these words are against the Ari of blessed memory</w:t>
      </w:r>
      <w:r w:rsidR="00D05CE7">
        <w:t xml:space="preserve"> as it is </w:t>
      </w:r>
      <w:r w:rsidRPr="00573284">
        <w:t xml:space="preserve">found in his writings that there is no </w:t>
      </w:r>
      <w:r w:rsidR="00FA5C5B">
        <w:t>way</w:t>
      </w:r>
      <w:r w:rsidRPr="00573284">
        <w:t xml:space="preserve"> for a person to achieve </w:t>
      </w:r>
      <w:r w:rsidR="00EE323C">
        <w:t>perfection</w:t>
      </w:r>
      <w:r w:rsidRPr="00573284">
        <w:t xml:space="preserve"> except in </w:t>
      </w:r>
      <w:r w:rsidR="0043393E">
        <w:t xml:space="preserve">all </w:t>
      </w:r>
      <w:r w:rsidRPr="00573284">
        <w:t>the 613 commandments</w:t>
      </w:r>
      <w:r w:rsidRPr="00573284">
        <w:t xml:space="preserve">, not one of them is missing. But </w:t>
      </w:r>
      <w:r w:rsidR="00F5068B">
        <w:t>my</w:t>
      </w:r>
      <w:r w:rsidRPr="00573284">
        <w:t xml:space="preserve"> words will </w:t>
      </w:r>
      <w:r w:rsidRPr="00573284">
        <w:t xml:space="preserve">fit him </w:t>
      </w:r>
      <w:r w:rsidR="008269B8">
        <w:t>from a certain perspective</w:t>
      </w:r>
      <w:r w:rsidRPr="00573284">
        <w:t xml:space="preserve">, </w:t>
      </w:r>
      <w:r w:rsidRPr="00573284">
        <w:t>according to what he</w:t>
      </w:r>
      <w:r w:rsidR="005E1915">
        <w:t xml:space="preserve">, </w:t>
      </w:r>
      <w:r w:rsidR="005E1915" w:rsidRPr="00573284">
        <w:t>of blessed memory</w:t>
      </w:r>
      <w:r w:rsidR="005E1915">
        <w:t>,</w:t>
      </w:r>
      <w:r w:rsidRPr="00573284">
        <w:t xml:space="preserve"> said, </w:t>
      </w:r>
      <w:r w:rsidR="005E1915">
        <w:t>about</w:t>
      </w:r>
      <w:r w:rsidRPr="00573284">
        <w:t xml:space="preserve"> the verse </w:t>
      </w:r>
      <w:r w:rsidR="005E1915">
        <w:t>“</w:t>
      </w:r>
      <w:r w:rsidR="00FB358F">
        <w:t>twice, three times, with mortals</w:t>
      </w:r>
      <w:r w:rsidR="007D732C">
        <w:t xml:space="preserve"> [</w:t>
      </w:r>
      <w:commentRangeStart w:id="7"/>
      <w:r w:rsidR="00FB358F">
        <w:t>to bring back their souls from the Pit</w:t>
      </w:r>
      <w:r w:rsidR="007D732C">
        <w:t xml:space="preserve"> </w:t>
      </w:r>
      <w:r w:rsidR="00FB358F">
        <w:t>so that they may see the light of life</w:t>
      </w:r>
      <w:r w:rsidR="007D732C">
        <w:t>]”</w:t>
      </w:r>
      <w:r w:rsidR="00FB358F" w:rsidRPr="00573284">
        <w:t xml:space="preserve"> </w:t>
      </w:r>
      <w:commentRangeEnd w:id="7"/>
      <w:r w:rsidR="007D732C">
        <w:rPr>
          <w:rStyle w:val="CommentReference"/>
          <w:rFonts w:asciiTheme="majorBidi" w:eastAsiaTheme="minorHAnsi" w:hAnsiTheme="majorBidi" w:cstheme="majorBidi"/>
        </w:rPr>
        <w:commentReference w:id="7"/>
      </w:r>
      <w:r w:rsidRPr="00573284">
        <w:t>(Job 33</w:t>
      </w:r>
      <w:r w:rsidR="007D732C">
        <w:t>:</w:t>
      </w:r>
      <w:r w:rsidRPr="00573284">
        <w:t>2</w:t>
      </w:r>
      <w:r w:rsidR="007D732C">
        <w:t>9-30</w:t>
      </w:r>
      <w:r w:rsidRPr="00573284">
        <w:t>)</w:t>
      </w:r>
      <w:r w:rsidR="00F47214">
        <w:rPr>
          <w:lang w:val="en-US"/>
        </w:rPr>
        <w:t>.</w:t>
      </w:r>
      <w:r w:rsidRPr="00573284">
        <w:t xml:space="preserve"> </w:t>
      </w:r>
      <w:r w:rsidR="00F47214">
        <w:t>One who</w:t>
      </w:r>
      <w:r w:rsidRPr="00573284">
        <w:t xml:space="preserve"> did not perform even a single mitzvah in</w:t>
      </w:r>
      <w:r w:rsidR="00F47214">
        <w:t xml:space="preserve"> his</w:t>
      </w:r>
      <w:r w:rsidRPr="00573284">
        <w:t xml:space="preserve"> </w:t>
      </w:r>
      <w:r w:rsidR="00F47214" w:rsidRPr="00573284">
        <w:t>first, second</w:t>
      </w:r>
      <w:r w:rsidR="002D4EFC">
        <w:t>,</w:t>
      </w:r>
      <w:r w:rsidR="00F47214" w:rsidRPr="00573284">
        <w:t xml:space="preserve"> </w:t>
      </w:r>
      <w:r w:rsidR="00F47214">
        <w:t>or</w:t>
      </w:r>
      <w:r w:rsidR="00F47214" w:rsidRPr="00573284">
        <w:t xml:space="preserve"> third, </w:t>
      </w:r>
      <w:r w:rsidRPr="00573284">
        <w:t xml:space="preserve">reincarnation </w:t>
      </w:r>
      <w:r w:rsidR="00CB2025">
        <w:t>cannot be rehabilitated</w:t>
      </w:r>
      <w:r w:rsidR="005C3B36">
        <w:t>, but if</w:t>
      </w:r>
      <w:r w:rsidRPr="00573284">
        <w:t xml:space="preserve"> he </w:t>
      </w:r>
      <w:r w:rsidR="005C3B36">
        <w:t>sets his mind</w:t>
      </w:r>
      <w:r w:rsidRPr="00573284">
        <w:t xml:space="preserve"> to do a good deed in one of these three then </w:t>
      </w:r>
      <w:r w:rsidR="005C3B36">
        <w:t>He reincarnates him</w:t>
      </w:r>
      <w:r w:rsidRPr="00573284">
        <w:t xml:space="preserve"> </w:t>
      </w:r>
      <w:r w:rsidRPr="00573284">
        <w:t xml:space="preserve">until </w:t>
      </w:r>
      <w:r w:rsidR="00CD7E03">
        <w:t>he accomplishes enough</w:t>
      </w:r>
      <w:r>
        <w:t>,</w:t>
      </w:r>
      <w:r w:rsidR="00CD7E03">
        <w:t xml:space="preserve"> </w:t>
      </w:r>
      <w:r w:rsidRPr="00573284">
        <w:t xml:space="preserve">and then he will return to God who </w:t>
      </w:r>
      <w:r w:rsidR="00F53F79">
        <w:t>made</w:t>
      </w:r>
      <w:r w:rsidRPr="00573284">
        <w:t xml:space="preserve"> him</w:t>
      </w:r>
      <w:r w:rsidR="00F53F79">
        <w:t xml:space="preserve">. </w:t>
      </w:r>
      <w:commentRangeStart w:id="8"/>
      <w:r w:rsidR="00AA3D08" w:rsidRPr="00E201F6">
        <w:rPr>
          <w:rFonts w:ascii="David" w:hAnsi="David"/>
          <w:rtl/>
        </w:rPr>
        <w:t>נמצא מי היה לו סיבה בזה יחידית</w:t>
      </w:r>
      <w:r w:rsidR="007A7321">
        <w:rPr>
          <w:rFonts w:hint="cs"/>
          <w:rtl/>
        </w:rPr>
        <w:t xml:space="preserve"> </w:t>
      </w:r>
      <w:commentRangeEnd w:id="8"/>
      <w:r w:rsidR="00257F96">
        <w:rPr>
          <w:rStyle w:val="CommentReference"/>
          <w:rFonts w:asciiTheme="majorBidi" w:eastAsiaTheme="minorHAnsi" w:hAnsiTheme="majorBidi" w:cstheme="majorBidi"/>
        </w:rPr>
        <w:commentReference w:id="8"/>
      </w:r>
      <w:r w:rsidR="007A7321">
        <w:rPr>
          <w:lang w:val="en-US"/>
        </w:rPr>
        <w:t>. The result is that these and these are words of the living God</w:t>
      </w:r>
      <w:r w:rsidR="00257F96">
        <w:rPr>
          <w:lang w:val="en-US"/>
        </w:rPr>
        <w:t xml:space="preserve"> and they fit together.</w:t>
      </w:r>
      <w:r w:rsidRPr="00573284">
        <w:t xml:space="preserve"> </w:t>
      </w:r>
      <w:r w:rsidRPr="00573284">
        <w:t xml:space="preserve">We </w:t>
      </w:r>
      <w:r w:rsidR="00B303DE">
        <w:t>may conclude</w:t>
      </w:r>
      <w:r w:rsidRPr="00573284">
        <w:t xml:space="preserve"> that the Torah provides </w:t>
      </w:r>
      <w:r w:rsidR="00977777">
        <w:t>perfection</w:t>
      </w:r>
      <w:r w:rsidRPr="00573284">
        <w:t xml:space="preserve"> even </w:t>
      </w:r>
      <w:r w:rsidR="00B303DE">
        <w:t xml:space="preserve">regarding the part </w:t>
      </w:r>
      <w:r w:rsidR="004D1BBC">
        <w:t>o</w:t>
      </w:r>
      <w:r w:rsidR="00B303DE">
        <w:t>f it that is prohibitions</w:t>
      </w:r>
      <w:r w:rsidR="004D1BBC">
        <w:t xml:space="preserve"> and a</w:t>
      </w:r>
      <w:r w:rsidRPr="00573284">
        <w:t xml:space="preserve">ll the more so </w:t>
      </w:r>
      <w:r w:rsidR="004D1BBC">
        <w:t>regarding the positive commandments</w:t>
      </w:r>
      <w:r w:rsidRPr="00573284">
        <w:t>.</w:t>
      </w:r>
      <w:r w:rsidR="00977777">
        <w:t>...</w:t>
      </w:r>
      <w:r w:rsidRPr="00573284">
        <w:t xml:space="preserve"> </w:t>
      </w:r>
      <w:r w:rsidR="009C50B8">
        <w:t>in</w:t>
      </w:r>
      <w:r w:rsidRPr="00573284">
        <w:t xml:space="preserve"> a </w:t>
      </w:r>
      <w:r w:rsidR="009C50B8">
        <w:t>manner</w:t>
      </w:r>
      <w:r w:rsidRPr="00573284">
        <w:t xml:space="preserve"> that is not dependent on action, but on </w:t>
      </w:r>
      <w:r w:rsidRPr="00573284">
        <w:t>intention</w:t>
      </w:r>
      <w:r w:rsidRPr="00573284">
        <w:t>, even</w:t>
      </w:r>
      <w:r w:rsidR="009C50B8">
        <w:t xml:space="preserve"> </w:t>
      </w:r>
      <w:r w:rsidR="007610B4">
        <w:t>if it be</w:t>
      </w:r>
      <w:r w:rsidRPr="00573284">
        <w:t xml:space="preserve"> a </w:t>
      </w:r>
      <w:r w:rsidR="007610B4">
        <w:t>transgression for the sake of good</w:t>
      </w:r>
      <w:r w:rsidRPr="00573284">
        <w:t>.</w:t>
      </w:r>
      <w:r w:rsidRPr="00573284">
        <w:rPr>
          <w:rStyle w:val="FootnoteReference"/>
          <w:rFonts w:cstheme="majorBidi"/>
          <w:rtl/>
        </w:rPr>
        <w:footnoteReference w:id="39"/>
      </w:r>
    </w:p>
    <w:p w14:paraId="5710168E" w14:textId="53AB7239" w:rsidR="00886021" w:rsidRPr="00573284" w:rsidRDefault="002F291C" w:rsidP="009E41BD">
      <w:pPr>
        <w:rPr>
          <w:rtl/>
        </w:rPr>
      </w:pPr>
      <w:r w:rsidRPr="00573284">
        <w:t xml:space="preserve">With the publication of the Zohar, the term </w:t>
      </w:r>
      <w:r w:rsidR="00B201D5" w:rsidRPr="00B201D5">
        <w:rPr>
          <w:i/>
          <w:iCs/>
        </w:rPr>
        <w:t>gilgul neshamot</w:t>
      </w:r>
      <w:r w:rsidR="00B201D5">
        <w:t xml:space="preserve">, the </w:t>
      </w:r>
      <w:r w:rsidRPr="00573284">
        <w:t>reincarnation of souls</w:t>
      </w:r>
      <w:r w:rsidR="00BC0AD1">
        <w:t>,</w:t>
      </w:r>
      <w:r w:rsidRPr="00573284">
        <w:t xml:space="preserve"> became widely used</w:t>
      </w:r>
      <w:r w:rsidR="00E43779">
        <w:t>. Ben-Zaken’s approach</w:t>
      </w:r>
      <w:r w:rsidRPr="00573284">
        <w:t xml:space="preserve"> actually </w:t>
      </w:r>
      <w:r w:rsidR="00BC0AD1">
        <w:t>reduces</w:t>
      </w:r>
      <w:r w:rsidRPr="00573284">
        <w:t xml:space="preserve"> the significance of reincarnation, </w:t>
      </w:r>
      <w:r w:rsidR="000E6813">
        <w:t xml:space="preserve">as </w:t>
      </w:r>
      <w:r w:rsidRPr="00573284">
        <w:t>not all souls</w:t>
      </w:r>
      <w:r w:rsidR="000E6813">
        <w:t xml:space="preserve"> are</w:t>
      </w:r>
      <w:r w:rsidRPr="00573284">
        <w:t xml:space="preserve"> reincarnat</w:t>
      </w:r>
      <w:r w:rsidRPr="00573284">
        <w:t>e</w:t>
      </w:r>
      <w:r w:rsidR="000E6813">
        <w:t>d</w:t>
      </w:r>
      <w:r w:rsidR="002D4EFC">
        <w:t>,</w:t>
      </w:r>
      <w:r w:rsidRPr="00573284">
        <w:t xml:space="preserve"> and not all actions require rebirth in a new body; in fact, there is only one commandment that its avoidance leads to reincarnation as punishment </w:t>
      </w:r>
      <w:r w:rsidR="003103FB">
        <w:t>–</w:t>
      </w:r>
      <w:r w:rsidRPr="00573284">
        <w:t xml:space="preserve"> the commandment of procreation. In contrast, in the later layers</w:t>
      </w:r>
      <w:r w:rsidR="004D51CC">
        <w:t xml:space="preserve"> of the Zoharic literature</w:t>
      </w:r>
      <w:r w:rsidRPr="00573284">
        <w:t xml:space="preserve">, in </w:t>
      </w:r>
      <w:r w:rsidR="004D51CC" w:rsidRPr="004D51CC">
        <w:rPr>
          <w:i/>
          <w:iCs/>
        </w:rPr>
        <w:t>Tikkunei</w:t>
      </w:r>
      <w:r w:rsidRPr="004D51CC">
        <w:rPr>
          <w:i/>
          <w:iCs/>
        </w:rPr>
        <w:t xml:space="preserve"> Zohar</w:t>
      </w:r>
      <w:r w:rsidRPr="00573284">
        <w:t xml:space="preserve"> and </w:t>
      </w:r>
      <w:r w:rsidRPr="004D51CC">
        <w:rPr>
          <w:i/>
          <w:iCs/>
        </w:rPr>
        <w:t>Ra</w:t>
      </w:r>
      <w:r w:rsidR="0024794F">
        <w:rPr>
          <w:i/>
          <w:iCs/>
        </w:rPr>
        <w:t>‘</w:t>
      </w:r>
      <w:r w:rsidRPr="004D51CC">
        <w:rPr>
          <w:i/>
          <w:iCs/>
        </w:rPr>
        <w:t>aya Mehemna</w:t>
      </w:r>
      <w:r w:rsidRPr="00573284">
        <w:t xml:space="preserve">, </w:t>
      </w:r>
      <w:r w:rsidR="0024794F">
        <w:t xml:space="preserve">the </w:t>
      </w:r>
      <w:r w:rsidRPr="00573284">
        <w:t xml:space="preserve">approach </w:t>
      </w:r>
      <w:r w:rsidR="0024794F">
        <w:t xml:space="preserve">to reincarnation </w:t>
      </w:r>
      <w:r w:rsidRPr="00573284">
        <w:t xml:space="preserve">found </w:t>
      </w:r>
      <w:r w:rsidR="0024794F">
        <w:t>is more radica</w:t>
      </w:r>
      <w:r w:rsidR="002824FE">
        <w:t xml:space="preserve">l, </w:t>
      </w:r>
      <w:r w:rsidR="00C20E38">
        <w:t>and</w:t>
      </w:r>
      <w:r w:rsidR="002824FE">
        <w:t xml:space="preserve"> </w:t>
      </w:r>
      <w:r w:rsidRPr="00573284">
        <w:t xml:space="preserve">reincarnation occurs </w:t>
      </w:r>
      <w:r w:rsidR="002824FE">
        <w:t>for</w:t>
      </w:r>
      <w:r w:rsidRPr="00573284">
        <w:t xml:space="preserve"> anyone who has not completed the fulfillment of all the commandments</w:t>
      </w:r>
      <w:r w:rsidR="00CC7866">
        <w:t>. Each</w:t>
      </w:r>
      <w:r w:rsidRPr="00573284">
        <w:t xml:space="preserve"> person</w:t>
      </w:r>
      <w:r w:rsidR="00A95FDB">
        <w:t xml:space="preserve"> is reincarnated</w:t>
      </w:r>
      <w:r w:rsidRPr="00573284">
        <w:t xml:space="preserve"> for each commandment he has not fulfilled </w:t>
      </w:r>
      <w:r w:rsidRPr="00573284">
        <w:t xml:space="preserve">to </w:t>
      </w:r>
      <w:r w:rsidR="00AE137E">
        <w:t>repair the spiritual</w:t>
      </w:r>
      <w:r w:rsidRPr="00573284">
        <w:t xml:space="preserve"> </w:t>
      </w:r>
      <w:r w:rsidRPr="00573284">
        <w:t xml:space="preserve">limb damaged by the sin </w:t>
      </w:r>
      <w:r w:rsidR="00AE137E">
        <w:t>o</w:t>
      </w:r>
      <w:r w:rsidR="00A95FDB">
        <w:t>f</w:t>
      </w:r>
      <w:r w:rsidRPr="00573284">
        <w:t xml:space="preserve"> his body.</w:t>
      </w:r>
      <w:r w:rsidRPr="00573284">
        <w:rPr>
          <w:rStyle w:val="FootnoteReference"/>
          <w:rFonts w:cstheme="majorBidi"/>
          <w:szCs w:val="24"/>
          <w:rtl/>
        </w:rPr>
        <w:footnoteReference w:id="40"/>
      </w:r>
      <w:r w:rsidR="00717595">
        <w:t xml:space="preserve"> S</w:t>
      </w:r>
      <w:r w:rsidRPr="00573284">
        <w:t>ome Kabbalists no longer saw reincarnation as a punishment but as an opportunity to correct sins</w:t>
      </w:r>
      <w:r w:rsidR="00717595">
        <w:t xml:space="preserve"> and</w:t>
      </w:r>
      <w:r w:rsidRPr="00573284">
        <w:t xml:space="preserve"> </w:t>
      </w:r>
      <w:r w:rsidRPr="00573284">
        <w:t xml:space="preserve">they </w:t>
      </w:r>
      <w:r w:rsidR="00717595" w:rsidRPr="00573284">
        <w:t xml:space="preserve">therefore </w:t>
      </w:r>
      <w:r w:rsidRPr="00573284">
        <w:t xml:space="preserve">believed that the number of reincarnations is not limited, and a person can be reincarnated a thousand times until he corrects and completes himself. </w:t>
      </w:r>
      <w:r w:rsidR="00485D48">
        <w:t xml:space="preserve">Others held </w:t>
      </w:r>
      <w:r w:rsidRPr="00573284">
        <w:t xml:space="preserve">a more restrictive view, </w:t>
      </w:r>
      <w:r w:rsidR="00485D48">
        <w:t>in which reincarnatio</w:t>
      </w:r>
      <w:r w:rsidR="00004837">
        <w:t>n</w:t>
      </w:r>
      <w:r w:rsidR="00485D48">
        <w:t xml:space="preserve"> was limited</w:t>
      </w:r>
      <w:r w:rsidRPr="00573284">
        <w:t xml:space="preserve"> to only three times. </w:t>
      </w:r>
      <w:r w:rsidR="00004837">
        <w:t>Ben-Zaken apparently adopted a compromise position</w:t>
      </w:r>
      <w:r w:rsidRPr="00573284">
        <w:t xml:space="preserve"> </w:t>
      </w:r>
      <w:r w:rsidR="00004837">
        <w:t xml:space="preserve">according to which </w:t>
      </w:r>
      <w:r w:rsidRPr="00573284">
        <w:t xml:space="preserve">a person who has not been able to fulfill all 613 commandments </w:t>
      </w:r>
      <w:r w:rsidR="00FA566A">
        <w:t>continues to return</w:t>
      </w:r>
      <w:r w:rsidRPr="00573284">
        <w:t xml:space="preserve"> in a cycle of reincarnation </w:t>
      </w:r>
      <w:r w:rsidR="00FA566A">
        <w:t>until completing all of them</w:t>
      </w:r>
      <w:r w:rsidRPr="00573284">
        <w:t xml:space="preserve">. </w:t>
      </w:r>
      <w:r w:rsidR="009E5FE0">
        <w:t>If he</w:t>
      </w:r>
      <w:r w:rsidRPr="00573284">
        <w:t xml:space="preserve"> does not bother to </w:t>
      </w:r>
      <w:r w:rsidR="009E5FE0">
        <w:t>fulfill at least one commandment</w:t>
      </w:r>
      <w:r w:rsidRPr="00573284">
        <w:t xml:space="preserve"> in the first three reincarnations, then he will not have another opportunity. However, if </w:t>
      </w:r>
      <w:r w:rsidR="00A756A2">
        <w:t xml:space="preserve">he </w:t>
      </w:r>
      <w:r w:rsidRPr="00573284">
        <w:t xml:space="preserve">completes </w:t>
      </w:r>
      <w:r w:rsidR="00A756A2">
        <w:t xml:space="preserve">some of the missing commandments </w:t>
      </w:r>
      <w:r w:rsidRPr="00573284">
        <w:t>in his reincarnation</w:t>
      </w:r>
      <w:r w:rsidRPr="00573284">
        <w:t xml:space="preserve">, then infinite reincarnations </w:t>
      </w:r>
      <w:r w:rsidRPr="00573284">
        <w:t>stand at his disposal until he completes all 613</w:t>
      </w:r>
      <w:r w:rsidRPr="00573284">
        <w:t xml:space="preserve">. In other words, according to </w:t>
      </w:r>
      <w:r w:rsidRPr="00573284">
        <w:t>ben</w:t>
      </w:r>
      <w:r>
        <w:t>-</w:t>
      </w:r>
      <w:r w:rsidRPr="00573284">
        <w:t xml:space="preserve">Zaken, there are two planes for achieving </w:t>
      </w:r>
      <w:r w:rsidR="00941DCC">
        <w:t xml:space="preserve">human </w:t>
      </w:r>
      <w:r w:rsidRPr="00573284">
        <w:t xml:space="preserve">perfection, which </w:t>
      </w:r>
      <w:r w:rsidR="0026775D">
        <w:t>fit</w:t>
      </w:r>
      <w:r w:rsidRPr="00573284">
        <w:t xml:space="preserve"> </w:t>
      </w:r>
      <w:r w:rsidR="0026775D">
        <w:t xml:space="preserve">both the </w:t>
      </w:r>
      <w:r w:rsidRPr="00573284">
        <w:t xml:space="preserve">traditional and </w:t>
      </w:r>
      <w:r w:rsidR="0026775D">
        <w:t xml:space="preserve">the </w:t>
      </w:r>
      <w:r w:rsidRPr="00573284">
        <w:t xml:space="preserve">Lurianic </w:t>
      </w:r>
      <w:r w:rsidR="0026775D">
        <w:t>approaches</w:t>
      </w:r>
      <w:r w:rsidRPr="00573284">
        <w:t>: within a given lifetime, it is up to the person to achieve his or her perfection by doing God</w:t>
      </w:r>
      <w:r w:rsidR="009E41BD">
        <w:t>’</w:t>
      </w:r>
      <w:r w:rsidRPr="00573284">
        <w:t xml:space="preserve">s will, </w:t>
      </w:r>
      <w:r w:rsidR="0026775D">
        <w:t>while</w:t>
      </w:r>
      <w:r w:rsidRPr="00573284">
        <w:t xml:space="preserve"> over all of his or her reincarnations in this world, he or she is to fulfill all 613 commandments.</w:t>
      </w:r>
    </w:p>
    <w:p w14:paraId="1F3E2978" w14:textId="7349D849" w:rsidR="002D0E21" w:rsidRPr="00573284" w:rsidRDefault="009901A4" w:rsidP="00F23AC9">
      <w:pPr>
        <w:jc w:val="left"/>
        <w:rPr>
          <w:rtl/>
        </w:rPr>
      </w:pPr>
      <w:r>
        <w:t>As a scholar active</w:t>
      </w:r>
      <w:r w:rsidR="002F291C" w:rsidRPr="00573284">
        <w:t xml:space="preserve"> in the seventeenth and eighteenth centuries when the Lurianic Kabbalah </w:t>
      </w:r>
      <w:r>
        <w:t xml:space="preserve">had thoroughly </w:t>
      </w:r>
      <w:r w:rsidR="002F291C" w:rsidRPr="00573284">
        <w:t xml:space="preserve">penetrated </w:t>
      </w:r>
      <w:r w:rsidR="002F291C" w:rsidRPr="00573284">
        <w:t xml:space="preserve">North African communities, </w:t>
      </w:r>
      <w:r w:rsidR="002F291C">
        <w:t>b</w:t>
      </w:r>
      <w:r w:rsidR="002F291C" w:rsidRPr="00573284">
        <w:t xml:space="preserve">en-Zaken felt the need to clear himself from the suspicion that </w:t>
      </w:r>
      <w:r w:rsidR="00284191">
        <w:t>his</w:t>
      </w:r>
      <w:r w:rsidR="002F291C" w:rsidRPr="00573284">
        <w:t xml:space="preserve"> traditional </w:t>
      </w:r>
      <w:r w:rsidR="00284191">
        <w:t>approach</w:t>
      </w:r>
      <w:r w:rsidR="002F291C" w:rsidRPr="00573284">
        <w:t xml:space="preserve"> </w:t>
      </w:r>
      <w:r w:rsidR="00284191">
        <w:t xml:space="preserve">did not fit </w:t>
      </w:r>
      <w:r w:rsidR="002F291C" w:rsidRPr="00573284">
        <w:t>the Lurianic</w:t>
      </w:r>
      <w:r w:rsidR="00284191">
        <w:t xml:space="preserve"> a</w:t>
      </w:r>
      <w:r w:rsidR="00F23AC9">
        <w:t xml:space="preserve">pproach. </w:t>
      </w:r>
      <w:r w:rsidR="002F291C" w:rsidRPr="00573284">
        <w:t xml:space="preserve">This time too, he chose to openly address the apparent contradiction between them and resolve it. </w:t>
      </w:r>
      <w:r w:rsidR="00F23AC9">
        <w:t>He</w:t>
      </w:r>
      <w:r w:rsidR="002F291C" w:rsidRPr="00573284">
        <w:t xml:space="preserve"> did not ignore </w:t>
      </w:r>
      <w:r w:rsidR="00735B7E">
        <w:t>it</w:t>
      </w:r>
      <w:r w:rsidR="002F291C" w:rsidRPr="00573284">
        <w:t xml:space="preserve"> or assume that the </w:t>
      </w:r>
      <w:r w:rsidR="00735B7E">
        <w:t>approaches</w:t>
      </w:r>
      <w:r w:rsidR="002F291C" w:rsidRPr="00573284">
        <w:t xml:space="preserve"> complement </w:t>
      </w:r>
      <w:r w:rsidR="00735B7E">
        <w:t>one</w:t>
      </w:r>
      <w:r w:rsidR="002F291C" w:rsidRPr="00573284">
        <w:t xml:space="preserve"> </w:t>
      </w:r>
      <w:r w:rsidR="00735B7E">
        <w:t>an</w:t>
      </w:r>
      <w:r w:rsidR="002F291C" w:rsidRPr="00573284">
        <w:t xml:space="preserve">other without explaining how, as many of his peers </w:t>
      </w:r>
      <w:r w:rsidR="002F291C" w:rsidRPr="00573284">
        <w:t>did.</w:t>
      </w:r>
    </w:p>
    <w:p w14:paraId="06FD1FCF" w14:textId="72FB51B7" w:rsidR="00DD5978" w:rsidRPr="00573284" w:rsidRDefault="002F291C" w:rsidP="009E41BD">
      <w:pPr>
        <w:rPr>
          <w:rtl/>
        </w:rPr>
      </w:pPr>
      <w:r w:rsidRPr="00573284">
        <w:t xml:space="preserve">In summary, </w:t>
      </w:r>
      <w:r w:rsidR="00E07207">
        <w:t>Zoharic</w:t>
      </w:r>
      <w:r w:rsidRPr="00573284">
        <w:t xml:space="preserve"> and Lurianic Kabbalah </w:t>
      </w:r>
      <w:r w:rsidRPr="00573284">
        <w:t>penetrate</w:t>
      </w:r>
      <w:r w:rsidR="00E07207">
        <w:t>d deep</w:t>
      </w:r>
      <w:r w:rsidR="007F335A">
        <w:t>ly into the Maghreb and influenced scholars and t</w:t>
      </w:r>
      <w:r w:rsidRPr="00573284">
        <w:t>exts that did not have a Kabbalistic orientation in the early modern period. Ben-Zaken</w:t>
      </w:r>
      <w:r w:rsidR="009E41BD">
        <w:t>’</w:t>
      </w:r>
      <w:r w:rsidRPr="00573284">
        <w:t xml:space="preserve">s </w:t>
      </w:r>
      <w:r w:rsidR="00B6677B">
        <w:t xml:space="preserve">approach to </w:t>
      </w:r>
      <w:r w:rsidRPr="00573284">
        <w:t xml:space="preserve">human perfection reflects the complex relationship of </w:t>
      </w:r>
      <w:r w:rsidR="000D5BA3">
        <w:t>the</w:t>
      </w:r>
      <w:r w:rsidRPr="00573284">
        <w:t xml:space="preserve"> rabbis in the </w:t>
      </w:r>
      <w:r w:rsidR="000D5BA3">
        <w:t xml:space="preserve">Maghreb </w:t>
      </w:r>
      <w:r w:rsidRPr="00573284">
        <w:t xml:space="preserve">to </w:t>
      </w:r>
      <w:r w:rsidRPr="00573284">
        <w:t xml:space="preserve">Zoharic </w:t>
      </w:r>
      <w:r w:rsidRPr="00573284">
        <w:t xml:space="preserve">and </w:t>
      </w:r>
      <w:r w:rsidRPr="00573284">
        <w:t>Lurianic Kabbalah. Ben-Zaken (like his peers) was influenced by them and internalized them, but</w:t>
      </w:r>
      <w:r w:rsidR="00575038">
        <w:t xml:space="preserve"> this did not cause him to abandon</w:t>
      </w:r>
      <w:r w:rsidRPr="00573284">
        <w:t xml:space="preserve"> traditional </w:t>
      </w:r>
      <w:r w:rsidR="00575038">
        <w:t>approaches</w:t>
      </w:r>
      <w:r w:rsidRPr="00573284">
        <w:t xml:space="preserve">, nor did </w:t>
      </w:r>
      <w:r w:rsidR="00674F4F">
        <w:t>regard the Kabbalistic approaches as the only option</w:t>
      </w:r>
      <w:r w:rsidRPr="00573284">
        <w:t>. The eulogy</w:t>
      </w:r>
      <w:r w:rsidR="00674F4F">
        <w:t xml:space="preserve"> discussed here</w:t>
      </w:r>
      <w:r w:rsidRPr="00573284">
        <w:t xml:space="preserve"> </w:t>
      </w:r>
      <w:r w:rsidR="000B0235">
        <w:t>is an almost unique expression of</w:t>
      </w:r>
      <w:r w:rsidRPr="00573284">
        <w:t xml:space="preserve"> the awareness </w:t>
      </w:r>
      <w:r w:rsidR="002628D6">
        <w:t>possessed</w:t>
      </w:r>
      <w:r w:rsidR="002628D6">
        <w:t xml:space="preserve"> </w:t>
      </w:r>
      <w:r w:rsidR="002628D6" w:rsidRPr="00573284">
        <w:t xml:space="preserve">(and expressed) </w:t>
      </w:r>
      <w:r w:rsidR="002628D6">
        <w:t xml:space="preserve">by a </w:t>
      </w:r>
      <w:r w:rsidRPr="00573284">
        <w:t>North African rabbi</w:t>
      </w:r>
      <w:r w:rsidRPr="00573284">
        <w:t xml:space="preserve"> </w:t>
      </w:r>
      <w:r w:rsidRPr="00573284">
        <w:t xml:space="preserve">who was not </w:t>
      </w:r>
      <w:r w:rsidR="009A1F92">
        <w:t>a Kabbalist of the</w:t>
      </w:r>
      <w:r w:rsidRPr="00573284">
        <w:t xml:space="preserve"> conflict </w:t>
      </w:r>
      <w:r w:rsidRPr="00573284">
        <w:t xml:space="preserve">(apparently or not) </w:t>
      </w:r>
      <w:r w:rsidR="00891E4F">
        <w:t xml:space="preserve">between these approaches </w:t>
      </w:r>
      <w:r w:rsidRPr="00573284">
        <w:t>and opens</w:t>
      </w:r>
      <w:r w:rsidR="00891E4F">
        <w:t xml:space="preserve"> for us</w:t>
      </w:r>
      <w:r w:rsidRPr="00573284">
        <w:t xml:space="preserve"> a small window </w:t>
      </w:r>
      <w:r w:rsidR="00891E4F">
        <w:t>in</w:t>
      </w:r>
      <w:r w:rsidRPr="00573284">
        <w:t>to his thought process</w:t>
      </w:r>
      <w:r w:rsidR="00891E4F">
        <w:t>es</w:t>
      </w:r>
      <w:r w:rsidRPr="00573284">
        <w:t xml:space="preserve"> and concerns.</w:t>
      </w:r>
    </w:p>
    <w:p w14:paraId="37B9FBE7" w14:textId="77777777" w:rsidR="002D0E21" w:rsidRPr="00573284" w:rsidRDefault="002D0E21" w:rsidP="009E41BD">
      <w:pPr>
        <w:rPr>
          <w:rtl/>
        </w:rPr>
      </w:pPr>
    </w:p>
    <w:bookmarkEnd w:id="0"/>
    <w:p w14:paraId="75018D21" w14:textId="77777777" w:rsidR="002D0E21" w:rsidRPr="00573284" w:rsidRDefault="002D0E21" w:rsidP="009E41BD"/>
    <w:sectPr w:rsidR="002D0E21" w:rsidRPr="00573284" w:rsidSect="00600A62">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3-11-13T17:07:00Z" w:initials="JA">
    <w:p w14:paraId="1721D6AA" w14:textId="488F7244" w:rsidR="009202DA" w:rsidRPr="00CA7F63" w:rsidRDefault="009202DA" w:rsidP="00CA7F63">
      <w:pPr>
        <w:pStyle w:val="CommentText"/>
        <w:bidi/>
        <w:rPr>
          <w:lang w:val="en-US"/>
        </w:rPr>
      </w:pPr>
      <w:r>
        <w:rPr>
          <w:rStyle w:val="CommentReference"/>
        </w:rPr>
        <w:annotationRef/>
      </w:r>
      <w:r w:rsidR="00CA7F63">
        <w:rPr>
          <w:rFonts w:hint="cs"/>
          <w:rtl/>
        </w:rPr>
        <w:t xml:space="preserve">את צריכה להוסיף תקציר ו </w:t>
      </w:r>
      <w:r w:rsidR="00CA7F63">
        <w:rPr>
          <w:lang w:val="en-US"/>
        </w:rPr>
        <w:t>keywords</w:t>
      </w:r>
    </w:p>
  </w:comment>
  <w:comment w:id="2" w:author="JA" w:date="2023-10-23T17:01:00Z" w:initials="JA">
    <w:p w14:paraId="7B3D6A81" w14:textId="0D38831B" w:rsidR="009E41BD" w:rsidRDefault="009E41BD" w:rsidP="009E41BD">
      <w:pPr>
        <w:pStyle w:val="CommentText"/>
        <w:bidi/>
        <w:rPr>
          <w:rtl/>
        </w:rPr>
      </w:pPr>
      <w:r>
        <w:rPr>
          <w:rStyle w:val="CommentReference"/>
        </w:rPr>
        <w:annotationRef/>
      </w:r>
      <w:r>
        <w:rPr>
          <w:rFonts w:hint="cs"/>
          <w:rtl/>
        </w:rPr>
        <w:t>נא לבדוק את כל השמות והכותרות בהערות</w:t>
      </w:r>
    </w:p>
  </w:comment>
  <w:comment w:id="3" w:author="JA" w:date="2023-10-24T16:29:00Z" w:initials="JA">
    <w:p w14:paraId="48DA1DA0" w14:textId="3729F901" w:rsidR="00F3527B" w:rsidRDefault="00F3527B" w:rsidP="00F3527B">
      <w:pPr>
        <w:pStyle w:val="CommentText"/>
        <w:bidi/>
        <w:rPr>
          <w:rtl/>
        </w:rPr>
      </w:pPr>
      <w:r>
        <w:rPr>
          <w:rStyle w:val="CommentReference"/>
        </w:rPr>
        <w:annotationRef/>
      </w:r>
      <w:r>
        <w:rPr>
          <w:rFonts w:hint="cs"/>
          <w:rtl/>
        </w:rPr>
        <w:t>לא תרגמתי כי אי אפשר. אולי כדאי להוסיף כאן הערה מסבירה</w:t>
      </w:r>
      <w:r>
        <w:t xml:space="preserve"> </w:t>
      </w:r>
      <w:r>
        <w:rPr>
          <w:rFonts w:hint="cs"/>
          <w:rtl/>
        </w:rPr>
        <w:t xml:space="preserve"> את ההבחנה בין חוקים ומשפטים</w:t>
      </w:r>
    </w:p>
  </w:comment>
  <w:comment w:id="4" w:author="JA" w:date="2023-10-24T16:30:00Z" w:initials="JA">
    <w:p w14:paraId="517CF20C" w14:textId="3E860B34" w:rsidR="00F3527B" w:rsidRDefault="00F3527B" w:rsidP="00F3527B">
      <w:pPr>
        <w:pStyle w:val="CommentText"/>
        <w:bidi/>
        <w:rPr>
          <w:rtl/>
        </w:rPr>
      </w:pPr>
      <w:r>
        <w:rPr>
          <w:rStyle w:val="CommentReference"/>
        </w:rPr>
        <w:annotationRef/>
      </w:r>
      <w:r>
        <w:rPr>
          <w:rFonts w:hint="cs"/>
          <w:rtl/>
        </w:rPr>
        <w:t>לדעתי כדאי להשמיט פה ובהמשך. זה מסורבל וגם מצוות לא תעשה מקיימים על ידי המנעות מפעולה. לא צריך להוסיף את ההבחנה.</w:t>
      </w:r>
    </w:p>
  </w:comment>
  <w:comment w:id="5" w:author="JA" w:date="2023-11-14T17:32:00Z" w:initials="JA">
    <w:p w14:paraId="2617E354" w14:textId="1F8FC1C8" w:rsidR="00C37E5C" w:rsidRPr="003143BD" w:rsidRDefault="00C37E5C" w:rsidP="003143BD">
      <w:pPr>
        <w:pStyle w:val="CommentText"/>
        <w:bidi/>
        <w:jc w:val="right"/>
        <w:rPr>
          <w:lang w:val="en-US"/>
        </w:rPr>
      </w:pPr>
      <w:r>
        <w:rPr>
          <w:rStyle w:val="CommentReference"/>
        </w:rPr>
        <w:annotationRef/>
      </w:r>
      <w:r w:rsidR="004B378A">
        <w:rPr>
          <w:rFonts w:hint="cs"/>
          <w:rtl/>
        </w:rPr>
        <w:t xml:space="preserve">בהערה חסרים שם העורך ושם המו"ל של הספר </w:t>
      </w:r>
      <w:r w:rsidR="003143BD">
        <w:rPr>
          <w:rFonts w:hint="cs"/>
          <w:rtl/>
        </w:rPr>
        <w:t xml:space="preserve">בו מופיע המאמר של </w:t>
      </w:r>
      <w:r w:rsidR="003143BD">
        <w:rPr>
          <w:lang w:val="en-US"/>
        </w:rPr>
        <w:t>Vajda</w:t>
      </w:r>
    </w:p>
  </w:comment>
  <w:comment w:id="6" w:author="JA" w:date="2023-11-15T04:47:00Z" w:initials="JA">
    <w:p w14:paraId="4FC8EEA9" w14:textId="776F66CC" w:rsidR="002C4EF5" w:rsidRDefault="002C4EF5">
      <w:pPr>
        <w:pStyle w:val="CommentText"/>
        <w:rPr>
          <w:rFonts w:hint="cs"/>
          <w:rtl/>
        </w:rPr>
      </w:pPr>
      <w:r>
        <w:rPr>
          <w:rStyle w:val="CommentReference"/>
        </w:rPr>
        <w:annotationRef/>
      </w:r>
      <w:r>
        <w:rPr>
          <w:rFonts w:hint="cs"/>
          <w:rtl/>
        </w:rPr>
        <w:t>שיניתי את הרפרנס על פי האינטרנט:</w:t>
      </w:r>
      <w:r>
        <w:rPr>
          <w:rFonts w:hint="cs"/>
        </w:rPr>
        <w:t xml:space="preserve"> </w:t>
      </w:r>
      <w:r w:rsidR="00F25D7D" w:rsidRPr="00F25D7D">
        <w:t>https://www.jstor.org/stable/j.ctvhn0btp</w:t>
      </w:r>
    </w:p>
  </w:comment>
  <w:comment w:id="7" w:author="JA" w:date="2023-11-16T13:42:00Z" w:initials="JA">
    <w:p w14:paraId="1221A963" w14:textId="08D47A69" w:rsidR="007D732C" w:rsidRDefault="007D732C" w:rsidP="00F47214">
      <w:pPr>
        <w:pStyle w:val="CommentText"/>
        <w:bidi/>
        <w:rPr>
          <w:rFonts w:hint="cs"/>
          <w:rtl/>
        </w:rPr>
      </w:pPr>
      <w:r>
        <w:rPr>
          <w:rStyle w:val="CommentReference"/>
        </w:rPr>
        <w:annotationRef/>
      </w:r>
      <w:r w:rsidR="00F47214">
        <w:rPr>
          <w:rFonts w:hint="cs"/>
          <w:rtl/>
        </w:rPr>
        <w:t>הוספתי מהפסוקים כדי שההקשר יובן</w:t>
      </w:r>
    </w:p>
  </w:comment>
  <w:comment w:id="8" w:author="JA" w:date="2023-11-16T13:49:00Z" w:initials="JA">
    <w:p w14:paraId="34A7DFE2" w14:textId="37EEA10F" w:rsidR="00257F96" w:rsidRDefault="00257F96">
      <w:pPr>
        <w:pStyle w:val="CommentText"/>
        <w:rPr>
          <w:rFonts w:hint="cs"/>
          <w:rtl/>
        </w:rPr>
      </w:pPr>
      <w:r>
        <w:rPr>
          <w:rStyle w:val="CommentReference"/>
        </w:rPr>
        <w:annotationRef/>
      </w:r>
      <w:r>
        <w:rPr>
          <w:rFonts w:hint="cs"/>
          <w:rtl/>
        </w:rPr>
        <w:t xml:space="preserve">לא </w:t>
      </w:r>
      <w:r w:rsidR="001A6B8C">
        <w:rPr>
          <w:rFonts w:hint="cs"/>
          <w:rtl/>
        </w:rPr>
        <w:t>ידעתי כיצד לתרגם. אשמח להבהרה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1D6AA" w15:done="0"/>
  <w15:commentEx w15:paraId="7B3D6A81" w15:done="0"/>
  <w15:commentEx w15:paraId="48DA1DA0" w15:done="0"/>
  <w15:commentEx w15:paraId="517CF20C" w15:done="0"/>
  <w15:commentEx w15:paraId="2617E354" w15:done="0"/>
  <w15:commentEx w15:paraId="4FC8EEA9" w15:done="0"/>
  <w15:commentEx w15:paraId="1221A963" w15:done="0"/>
  <w15:commentEx w15:paraId="34A7D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5B86DF" w16cex:dateUtc="2023-11-13T15:07:00Z"/>
  <w16cex:commentExtensible w16cex:durableId="3BE855EC" w16cex:dateUtc="2023-10-23T14:01:00Z"/>
  <w16cex:commentExtensible w16cex:durableId="7350B249" w16cex:dateUtc="2023-10-24T13:29:00Z"/>
  <w16cex:commentExtensible w16cex:durableId="081B0B36" w16cex:dateUtc="2023-10-24T13:30:00Z"/>
  <w16cex:commentExtensible w16cex:durableId="54E3980D" w16cex:dateUtc="2023-11-14T15:32:00Z"/>
  <w16cex:commentExtensible w16cex:durableId="1B0C0DD3" w16cex:dateUtc="2023-11-15T09:47:00Z"/>
  <w16cex:commentExtensible w16cex:durableId="69408C2E" w16cex:dateUtc="2023-11-16T11:42:00Z"/>
  <w16cex:commentExtensible w16cex:durableId="1F52A637" w16cex:dateUtc="2023-11-16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1D6AA" w16cid:durableId="3A5B86DF"/>
  <w16cid:commentId w16cid:paraId="7B3D6A81" w16cid:durableId="3BE855EC"/>
  <w16cid:commentId w16cid:paraId="48DA1DA0" w16cid:durableId="7350B249"/>
  <w16cid:commentId w16cid:paraId="517CF20C" w16cid:durableId="081B0B36"/>
  <w16cid:commentId w16cid:paraId="2617E354" w16cid:durableId="54E3980D"/>
  <w16cid:commentId w16cid:paraId="4FC8EEA9" w16cid:durableId="1B0C0DD3"/>
  <w16cid:commentId w16cid:paraId="1221A963" w16cid:durableId="69408C2E"/>
  <w16cid:commentId w16cid:paraId="34A7DFE2" w16cid:durableId="1F52A6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BEF6" w14:textId="77777777" w:rsidR="00DB344C" w:rsidRDefault="00DB344C" w:rsidP="009E41BD">
      <w:r>
        <w:separator/>
      </w:r>
    </w:p>
  </w:endnote>
  <w:endnote w:type="continuationSeparator" w:id="0">
    <w:p w14:paraId="7EFEAF49" w14:textId="77777777" w:rsidR="00DB344C" w:rsidRDefault="00DB344C" w:rsidP="009E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18229"/>
      <w:docPartObj>
        <w:docPartGallery w:val="Page Numbers (Bottom of Page)"/>
        <w:docPartUnique/>
      </w:docPartObj>
    </w:sdtPr>
    <w:sdtEndPr>
      <w:rPr>
        <w:cs/>
      </w:rPr>
    </w:sdtEndPr>
    <w:sdtContent>
      <w:p w14:paraId="5122C6D0" w14:textId="77777777" w:rsidR="00C05E39" w:rsidRDefault="002F291C" w:rsidP="009E41BD">
        <w:pPr>
          <w:pStyle w:val="Footer"/>
          <w:rPr>
            <w:rtl/>
            <w:cs/>
          </w:rPr>
        </w:pPr>
        <w:r>
          <w:fldChar w:fldCharType="begin"/>
        </w:r>
        <w:r>
          <w:rPr>
            <w:rtl/>
            <w:cs/>
          </w:rPr>
          <w:instrText>PAGE   \* MERGEFORMAT</w:instrText>
        </w:r>
        <w:r>
          <w:fldChar w:fldCharType="separate"/>
        </w:r>
        <w:r w:rsidR="00E529EB" w:rsidRPr="00E529EB">
          <w:rPr>
            <w:noProof/>
            <w:rtl/>
            <w:lang w:val="he-IL"/>
          </w:rPr>
          <w:t>21</w:t>
        </w:r>
        <w:r>
          <w:fldChar w:fldCharType="end"/>
        </w:r>
      </w:p>
    </w:sdtContent>
  </w:sdt>
  <w:p w14:paraId="3E31EE4F" w14:textId="77777777" w:rsidR="00C05E39" w:rsidRDefault="00C05E39" w:rsidP="009E4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D402" w14:textId="77777777" w:rsidR="00DB344C" w:rsidRDefault="00DB344C" w:rsidP="009E41BD">
      <w:r>
        <w:separator/>
      </w:r>
    </w:p>
  </w:footnote>
  <w:footnote w:type="continuationSeparator" w:id="0">
    <w:p w14:paraId="1832AF85" w14:textId="77777777" w:rsidR="00DB344C" w:rsidRDefault="00DB344C" w:rsidP="009E41BD">
      <w:r>
        <w:continuationSeparator/>
      </w:r>
    </w:p>
  </w:footnote>
  <w:footnote w:id="1">
    <w:p w14:paraId="24EF26D3" w14:textId="78EF8391" w:rsidR="00753D85" w:rsidRPr="00573284" w:rsidRDefault="002F291C" w:rsidP="00C34C0B">
      <w:pPr>
        <w:pStyle w:val="FootnoteText"/>
      </w:pPr>
      <w:r w:rsidRPr="00573284">
        <w:rPr>
          <w:rStyle w:val="FootnoteReference"/>
          <w:rFonts w:cstheme="majorBidi"/>
          <w:szCs w:val="24"/>
        </w:rPr>
        <w:footnoteRef/>
      </w:r>
      <w:r w:rsidR="00F3527B">
        <w:t xml:space="preserve"> </w:t>
      </w:r>
      <w:r w:rsidRPr="00573284">
        <w:t xml:space="preserve">For comprehensive reviews see: Moshe Idel, </w:t>
      </w:r>
      <w:r w:rsidR="00573284" w:rsidRPr="00573284">
        <w:t>“</w:t>
      </w:r>
      <w:r w:rsidRPr="00573284">
        <w:t xml:space="preserve">The Kabbalah in Morocco: a </w:t>
      </w:r>
      <w:r w:rsidR="009E41BD">
        <w:t>S</w:t>
      </w:r>
      <w:r w:rsidRPr="00573284">
        <w:t>urvey</w:t>
      </w:r>
      <w:r w:rsidR="00573284" w:rsidRPr="00573284">
        <w:t>,”</w:t>
      </w:r>
      <w:r w:rsidRPr="00573284">
        <w:t xml:space="preserve"> </w:t>
      </w:r>
      <w:r w:rsidR="00305128">
        <w:t xml:space="preserve">in </w:t>
      </w:r>
      <w:r w:rsidRPr="009E41BD">
        <w:rPr>
          <w:i/>
          <w:iCs/>
        </w:rPr>
        <w:t>Morocco-Jews and Art in a Muslim Land</w:t>
      </w:r>
      <w:r w:rsidRPr="00573284">
        <w:t xml:space="preserve">, </w:t>
      </w:r>
      <w:r w:rsidR="00305128">
        <w:t>ed</w:t>
      </w:r>
      <w:r w:rsidR="001D26C3">
        <w:t>.</w:t>
      </w:r>
      <w:r w:rsidR="00305128">
        <w:t xml:space="preserve"> </w:t>
      </w:r>
      <w:r w:rsidR="00305128" w:rsidRPr="00573284">
        <w:t xml:space="preserve">Vivian B. Mann </w:t>
      </w:r>
      <w:r w:rsidR="00E577A6">
        <w:t>(</w:t>
      </w:r>
      <w:r w:rsidRPr="00573284">
        <w:t>New York</w:t>
      </w:r>
      <w:r w:rsidR="00FF2B40">
        <w:t>:</w:t>
      </w:r>
      <w:r w:rsidR="00E577A6">
        <w:t xml:space="preserve"> </w:t>
      </w:r>
      <w:r w:rsidR="00FF2B40">
        <w:t>Merre</w:t>
      </w:r>
      <w:r w:rsidR="00D36A44">
        <w:t>l</w:t>
      </w:r>
      <w:r w:rsidR="00FF2B40">
        <w:t>l</w:t>
      </w:r>
      <w:r w:rsidR="00E577A6">
        <w:t>,</w:t>
      </w:r>
      <w:r w:rsidR="009E41BD">
        <w:t xml:space="preserve"> </w:t>
      </w:r>
      <w:r w:rsidRPr="00573284">
        <w:t>2000</w:t>
      </w:r>
      <w:r w:rsidR="00E577A6">
        <w:t>)</w:t>
      </w:r>
      <w:r w:rsidRPr="00573284">
        <w:t>, 105</w:t>
      </w:r>
      <w:r w:rsidR="009E41BD">
        <w:t>-</w:t>
      </w:r>
      <w:r w:rsidRPr="00573284">
        <w:t xml:space="preserve">124. Moshe </w:t>
      </w:r>
      <w:r w:rsidR="009E41BD">
        <w:t>H</w:t>
      </w:r>
      <w:r w:rsidRPr="00573284">
        <w:t>al</w:t>
      </w:r>
      <w:r w:rsidR="006953D0">
        <w:t>l</w:t>
      </w:r>
      <w:r w:rsidRPr="00573284">
        <w:t xml:space="preserve">amish, </w:t>
      </w:r>
      <w:r w:rsidRPr="009E41BD">
        <w:rPr>
          <w:i/>
          <w:iCs/>
        </w:rPr>
        <w:t>The Kabbalah in North Africa</w:t>
      </w:r>
      <w:r w:rsidRPr="00573284">
        <w:t xml:space="preserve"> </w:t>
      </w:r>
      <w:r w:rsidR="009F3C01">
        <w:t>(</w:t>
      </w:r>
      <w:r w:rsidRPr="00573284">
        <w:t>Tel Aviv</w:t>
      </w:r>
      <w:r w:rsidR="00CC4A0A">
        <w:t>: HaKibbutz HaMeuchad</w:t>
      </w:r>
      <w:r w:rsidR="009E41BD">
        <w:t>,</w:t>
      </w:r>
      <w:r w:rsidRPr="00573284">
        <w:t xml:space="preserve"> 2001</w:t>
      </w:r>
      <w:r w:rsidR="009521BD">
        <w:t>)</w:t>
      </w:r>
      <w:r w:rsidR="009E41BD">
        <w:t xml:space="preserve"> (Hebrew)</w:t>
      </w:r>
      <w:r w:rsidRPr="00573284">
        <w:t xml:space="preserve">, 14-21. </w:t>
      </w:r>
    </w:p>
  </w:footnote>
  <w:footnote w:id="2">
    <w:p w14:paraId="05B141B3" w14:textId="003A2C1D" w:rsidR="00541224" w:rsidRPr="00573284" w:rsidRDefault="002F291C" w:rsidP="00C34C0B">
      <w:pPr>
        <w:pStyle w:val="FootnoteText"/>
      </w:pPr>
      <w:r w:rsidRPr="00573284">
        <w:rPr>
          <w:rStyle w:val="FootnoteReference"/>
          <w:rFonts w:cstheme="majorBidi"/>
          <w:szCs w:val="24"/>
        </w:rPr>
        <w:footnoteRef/>
      </w:r>
      <w:r w:rsidRPr="00573284">
        <w:t xml:space="preserve"> For example</w:t>
      </w:r>
      <w:r w:rsidR="000275F3">
        <w:t>,</w:t>
      </w:r>
      <w:r w:rsidRPr="00573284">
        <w:t xml:space="preserve"> Meir Benayahu, </w:t>
      </w:r>
      <w:r w:rsidR="00573284" w:rsidRPr="00573284">
        <w:t>“</w:t>
      </w:r>
      <w:r w:rsidRPr="00573284">
        <w:t xml:space="preserve">Rabbi Abraham ben Moses and his son Rabbi Moses: </w:t>
      </w:r>
      <w:r w:rsidR="009E41BD">
        <w:t>T</w:t>
      </w:r>
      <w:r w:rsidRPr="00573284">
        <w:t xml:space="preserve">he </w:t>
      </w:r>
      <w:r w:rsidR="009E41BD">
        <w:t>Leading Figures of Lurianic Kabbalah</w:t>
      </w:r>
      <w:r w:rsidRPr="00573284">
        <w:t xml:space="preserve"> in North Africa</w:t>
      </w:r>
      <w:r w:rsidR="00573284" w:rsidRPr="00573284">
        <w:t>,”</w:t>
      </w:r>
      <w:r w:rsidRPr="00573284">
        <w:t xml:space="preserve"> </w:t>
      </w:r>
      <w:r w:rsidR="00270D88" w:rsidRPr="00270D88">
        <w:rPr>
          <w:i/>
          <w:iCs/>
        </w:rPr>
        <w:t>Mikhael</w:t>
      </w:r>
      <w:r w:rsidR="00270D88">
        <w:t xml:space="preserve"> </w:t>
      </w:r>
      <w:r w:rsidRPr="00573284">
        <w:t xml:space="preserve">5 </w:t>
      </w:r>
      <w:r w:rsidRPr="00573284">
        <w:t>(1978)</w:t>
      </w:r>
      <w:r w:rsidR="009E41BD">
        <w:t xml:space="preserve"> (Hebrew)</w:t>
      </w:r>
      <w:r w:rsidRPr="00573284">
        <w:t xml:space="preserve">, 29-53; Moshe Idel, </w:t>
      </w:r>
      <w:r w:rsidR="00573284" w:rsidRPr="00573284">
        <w:t>“</w:t>
      </w:r>
      <w:r w:rsidRPr="00573284">
        <w:t>R</w:t>
      </w:r>
      <w:r w:rsidR="009E41BD">
        <w:t>’</w:t>
      </w:r>
      <w:r w:rsidRPr="00573284">
        <w:t xml:space="preserve"> Yehuda </w:t>
      </w:r>
      <w:r w:rsidR="009E41BD">
        <w:t>Haliva</w:t>
      </w:r>
      <w:r w:rsidRPr="00573284">
        <w:t xml:space="preserve"> and his book </w:t>
      </w:r>
      <w:r w:rsidRPr="009E41BD">
        <w:rPr>
          <w:i/>
          <w:iCs/>
        </w:rPr>
        <w:t>Z</w:t>
      </w:r>
      <w:r w:rsidR="009E41BD" w:rsidRPr="009E41BD">
        <w:rPr>
          <w:i/>
          <w:iCs/>
        </w:rPr>
        <w:t>o</w:t>
      </w:r>
      <w:r w:rsidRPr="009E41BD">
        <w:rPr>
          <w:i/>
          <w:iCs/>
        </w:rPr>
        <w:t>fenat Pa</w:t>
      </w:r>
      <w:r w:rsidR="009E41BD" w:rsidRPr="009E41BD">
        <w:rPr>
          <w:i/>
          <w:iCs/>
        </w:rPr>
        <w:t>‘</w:t>
      </w:r>
      <w:r w:rsidRPr="009E41BD">
        <w:rPr>
          <w:i/>
          <w:iCs/>
        </w:rPr>
        <w:t>aneah</w:t>
      </w:r>
      <w:r w:rsidR="009E41BD">
        <w:t>,</w:t>
      </w:r>
      <w:r w:rsidR="00573284" w:rsidRPr="00573284">
        <w:t>”</w:t>
      </w:r>
      <w:r w:rsidRPr="00573284">
        <w:t xml:space="preserve"> </w:t>
      </w:r>
      <w:r w:rsidRPr="009E41BD">
        <w:rPr>
          <w:i/>
          <w:iCs/>
        </w:rPr>
        <w:t>Shalem</w:t>
      </w:r>
      <w:r w:rsidRPr="00573284">
        <w:t xml:space="preserve"> 4 (1984)</w:t>
      </w:r>
      <w:r w:rsidR="009E41BD">
        <w:t xml:space="preserve"> (Hebrew)</w:t>
      </w:r>
      <w:r w:rsidRPr="00573284">
        <w:t xml:space="preserve">, 119-148; Rachel Elior, </w:t>
      </w:r>
      <w:r w:rsidR="00573284" w:rsidRPr="00573284">
        <w:t>“</w:t>
      </w:r>
      <w:r w:rsidR="009E41BD">
        <w:t>Kabbalists</w:t>
      </w:r>
      <w:r w:rsidRPr="00573284">
        <w:t xml:space="preserve"> of D</w:t>
      </w:r>
      <w:r w:rsidR="00ED5F40">
        <w:t>ar‘</w:t>
      </w:r>
      <w:r w:rsidRPr="00573284">
        <w:t>a</w:t>
      </w:r>
      <w:r w:rsidR="00573284" w:rsidRPr="00573284">
        <w:t>,”</w:t>
      </w:r>
      <w:r w:rsidRPr="00573284">
        <w:t xml:space="preserve"> </w:t>
      </w:r>
      <w:r w:rsidR="009E41BD" w:rsidRPr="009E41BD">
        <w:rPr>
          <w:i/>
          <w:iCs/>
        </w:rPr>
        <w:t>Pe‘amim</w:t>
      </w:r>
      <w:r w:rsidRPr="00573284">
        <w:t xml:space="preserve"> 24 (1985)</w:t>
      </w:r>
      <w:r w:rsidR="009E41BD">
        <w:t xml:space="preserve"> (Hebrew)</w:t>
      </w:r>
      <w:r w:rsidRPr="00573284">
        <w:t xml:space="preserve">, 36-73; </w:t>
      </w:r>
      <w:r w:rsidR="009E41BD">
        <w:t>Yosef</w:t>
      </w:r>
      <w:r w:rsidRPr="00573284">
        <w:t xml:space="preserve"> </w:t>
      </w:r>
      <w:r w:rsidR="009E41BD">
        <w:t>A</w:t>
      </w:r>
      <w:r w:rsidRPr="00573284">
        <w:t>l</w:t>
      </w:r>
      <w:r w:rsidR="009E41BD">
        <w:t>a</w:t>
      </w:r>
      <w:r w:rsidRPr="00573284">
        <w:t>shk</w:t>
      </w:r>
      <w:r w:rsidR="009E41BD">
        <w:t>a</w:t>
      </w:r>
      <w:r w:rsidRPr="00573284">
        <w:t xml:space="preserve">r, </w:t>
      </w:r>
      <w:r w:rsidRPr="009E41BD">
        <w:rPr>
          <w:i/>
          <w:iCs/>
        </w:rPr>
        <w:t>Z</w:t>
      </w:r>
      <w:r w:rsidR="009E41BD" w:rsidRPr="009E41BD">
        <w:rPr>
          <w:i/>
          <w:iCs/>
        </w:rPr>
        <w:t>o</w:t>
      </w:r>
      <w:r w:rsidRPr="009E41BD">
        <w:rPr>
          <w:i/>
          <w:iCs/>
        </w:rPr>
        <w:t>fenat Pa</w:t>
      </w:r>
      <w:r w:rsidR="009E41BD" w:rsidRPr="009E41BD">
        <w:rPr>
          <w:i/>
          <w:iCs/>
        </w:rPr>
        <w:t>‘</w:t>
      </w:r>
      <w:r w:rsidRPr="009E41BD">
        <w:rPr>
          <w:i/>
          <w:iCs/>
        </w:rPr>
        <w:t>aneah</w:t>
      </w:r>
      <w:r w:rsidRPr="00573284">
        <w:t xml:space="preserve">, Introduction by Moshe Idel </w:t>
      </w:r>
      <w:r w:rsidR="00CD3CA1">
        <w:t>(</w:t>
      </w:r>
      <w:r w:rsidRPr="00573284">
        <w:t>Jerusalem</w:t>
      </w:r>
      <w:r w:rsidR="00682AFE">
        <w:t>:</w:t>
      </w:r>
      <w:r w:rsidR="009E3140">
        <w:t xml:space="preserve"> </w:t>
      </w:r>
      <w:r w:rsidR="00682AFE">
        <w:t>Misgav</w:t>
      </w:r>
      <w:r w:rsidR="00CD3CA1">
        <w:t>,</w:t>
      </w:r>
      <w:r w:rsidRPr="00573284">
        <w:t xml:space="preserve"> 1991</w:t>
      </w:r>
      <w:r w:rsidR="00CD3CA1">
        <w:t>)</w:t>
      </w:r>
      <w:r w:rsidR="009E41BD">
        <w:t xml:space="preserve"> (Hebrew)</w:t>
      </w:r>
      <w:r w:rsidRPr="00573284">
        <w:t xml:space="preserve">; Boaz Huss, </w:t>
      </w:r>
      <w:r w:rsidR="009E41BD" w:rsidRPr="009E41BD">
        <w:rPr>
          <w:i/>
          <w:iCs/>
        </w:rPr>
        <w:t>‘Al Adnei Paz’</w:t>
      </w:r>
      <w:r w:rsidRPr="009E41BD">
        <w:rPr>
          <w:i/>
          <w:iCs/>
        </w:rPr>
        <w:t xml:space="preserve">: The Kabbalah of Rabbi Shimon Ibn </w:t>
      </w:r>
      <w:r w:rsidR="009E41BD">
        <w:rPr>
          <w:i/>
          <w:iCs/>
        </w:rPr>
        <w:t>Lavi</w:t>
      </w:r>
      <w:r w:rsidRPr="00573284">
        <w:t xml:space="preserve"> </w:t>
      </w:r>
      <w:r w:rsidR="00CD3CA1">
        <w:t>(</w:t>
      </w:r>
      <w:r w:rsidRPr="00573284">
        <w:t>Jerusalem</w:t>
      </w:r>
      <w:r w:rsidR="003E6C26">
        <w:t>: Magnes</w:t>
      </w:r>
      <w:r w:rsidR="009E41BD">
        <w:t>,</w:t>
      </w:r>
      <w:r w:rsidRPr="00573284">
        <w:t xml:space="preserve"> 2000</w:t>
      </w:r>
      <w:r w:rsidR="00CD3CA1">
        <w:t>)</w:t>
      </w:r>
      <w:r w:rsidR="009E41BD">
        <w:t xml:space="preserve"> (Hebrew)</w:t>
      </w:r>
      <w:r w:rsidRPr="00573284">
        <w:t>; Dan M</w:t>
      </w:r>
      <w:r w:rsidR="009E41BD">
        <w:t>a</w:t>
      </w:r>
      <w:r w:rsidRPr="00573284">
        <w:t xml:space="preserve">nor, </w:t>
      </w:r>
      <w:r w:rsidR="00573284" w:rsidRPr="00573284">
        <w:t>“</w:t>
      </w:r>
      <w:r w:rsidRPr="00573284">
        <w:t>R</w:t>
      </w:r>
      <w:r w:rsidR="009E41BD">
        <w:t>abbi</w:t>
      </w:r>
      <w:r w:rsidRPr="00573284">
        <w:t xml:space="preserve"> Moses Bar Maimon (</w:t>
      </w:r>
      <w:r w:rsidR="009E41BD">
        <w:t>E</w:t>
      </w:r>
      <w:r w:rsidRPr="00573284">
        <w:t xml:space="preserve">lbaz) </w:t>
      </w:r>
      <w:r w:rsidR="009E41BD">
        <w:t>–</w:t>
      </w:r>
      <w:r w:rsidR="00F3527B">
        <w:t xml:space="preserve"> </w:t>
      </w:r>
      <w:r w:rsidRPr="00573284">
        <w:t xml:space="preserve">Kabbalistic </w:t>
      </w:r>
      <w:r w:rsidR="009E41BD">
        <w:t>I</w:t>
      </w:r>
      <w:r w:rsidRPr="00573284">
        <w:t xml:space="preserve">nterpretation and its </w:t>
      </w:r>
      <w:r w:rsidR="009E41BD">
        <w:t>S</w:t>
      </w:r>
      <w:r w:rsidRPr="00573284">
        <w:t>ources</w:t>
      </w:r>
      <w:r w:rsidR="00573284" w:rsidRPr="00573284">
        <w:t>,”</w:t>
      </w:r>
      <w:r w:rsidRPr="00573284">
        <w:t xml:space="preserve"> </w:t>
      </w:r>
      <w:r w:rsidRPr="009E41BD">
        <w:rPr>
          <w:i/>
          <w:iCs/>
        </w:rPr>
        <w:t>Kabbalah</w:t>
      </w:r>
      <w:r w:rsidRPr="00573284">
        <w:t xml:space="preserve"> 7 (2002) </w:t>
      </w:r>
      <w:r w:rsidR="009E41BD">
        <w:t>(Hebrew)</w:t>
      </w:r>
      <w:r w:rsidR="009E3140">
        <w:t xml:space="preserve"> </w:t>
      </w:r>
      <w:r w:rsidRPr="00573284">
        <w:t xml:space="preserve">199-223; </w:t>
      </w:r>
      <w:r w:rsidR="00171D51">
        <w:t>Jonathan</w:t>
      </w:r>
      <w:r w:rsidRPr="00573284">
        <w:t xml:space="preserve"> Garb, </w:t>
      </w:r>
      <w:r w:rsidR="00171D51" w:rsidRPr="00171D51">
        <w:rPr>
          <w:i/>
          <w:iCs/>
        </w:rPr>
        <w:t xml:space="preserve">Manifestations of </w:t>
      </w:r>
      <w:r w:rsidRPr="009E41BD">
        <w:rPr>
          <w:i/>
          <w:iCs/>
        </w:rPr>
        <w:t>Power in Jewish Mysticism</w:t>
      </w:r>
      <w:r w:rsidRPr="00573284">
        <w:t xml:space="preserve"> </w:t>
      </w:r>
      <w:r w:rsidR="0009310A">
        <w:t>(</w:t>
      </w:r>
      <w:r w:rsidRPr="00573284">
        <w:t>Jerusalem</w:t>
      </w:r>
      <w:r w:rsidR="0009310A">
        <w:t>: Magnes,)</w:t>
      </w:r>
      <w:r w:rsidRPr="00573284">
        <w:t xml:space="preserve"> 2005</w:t>
      </w:r>
      <w:r w:rsidR="009E41BD">
        <w:t xml:space="preserve"> (Hebrew)</w:t>
      </w:r>
      <w:r w:rsidRPr="00573284">
        <w:t xml:space="preserve"> 224-231; Ariel Evan Mayse, </w:t>
      </w:r>
      <w:r w:rsidR="00573284" w:rsidRPr="00573284">
        <w:t>“</w:t>
      </w:r>
      <w:r w:rsidRPr="00573284">
        <w:t>Or haHayyim: Creativity, Tradition, and Mysticism in the Torah Commentary of R. Hayyim ibn Attar</w:t>
      </w:r>
      <w:r w:rsidR="00573284" w:rsidRPr="00573284">
        <w:t>,”</w:t>
      </w:r>
      <w:r w:rsidRPr="00573284">
        <w:t xml:space="preserve"> </w:t>
      </w:r>
      <w:r w:rsidRPr="00500951">
        <w:rPr>
          <w:i/>
          <w:iCs/>
        </w:rPr>
        <w:t>Conversation</w:t>
      </w:r>
      <w:r w:rsidRPr="00573284">
        <w:t xml:space="preserve"> 13 (2012) 68-89. Further studies will be mentioned later </w:t>
      </w:r>
      <w:r w:rsidR="00500951">
        <w:t>where relevant</w:t>
      </w:r>
      <w:r w:rsidRPr="00573284">
        <w:t>.</w:t>
      </w:r>
    </w:p>
  </w:footnote>
  <w:footnote w:id="3">
    <w:p w14:paraId="7C3229B8" w14:textId="6A4C98A8" w:rsidR="00A947C3" w:rsidRPr="00573284" w:rsidRDefault="002F291C" w:rsidP="00C34C0B">
      <w:pPr>
        <w:pStyle w:val="FootnoteText"/>
        <w:rPr>
          <w:rtl/>
        </w:rPr>
      </w:pPr>
      <w:r w:rsidRPr="00573284">
        <w:rPr>
          <w:rStyle w:val="FootnoteReference"/>
          <w:rFonts w:cstheme="majorBidi"/>
          <w:szCs w:val="24"/>
        </w:rPr>
        <w:footnoteRef/>
      </w:r>
      <w:r w:rsidR="00F3527B">
        <w:t xml:space="preserve"> </w:t>
      </w:r>
      <w:r w:rsidRPr="00573284">
        <w:t>H</w:t>
      </w:r>
      <w:r w:rsidR="009E41BD">
        <w:t>a</w:t>
      </w:r>
      <w:r w:rsidRPr="00573284">
        <w:t xml:space="preserve">lamish, </w:t>
      </w:r>
      <w:r w:rsidRPr="009E41BD">
        <w:rPr>
          <w:i/>
          <w:iCs/>
        </w:rPr>
        <w:t>The Kabbalah</w:t>
      </w:r>
      <w:r w:rsidRPr="00573284">
        <w:t>, 20.</w:t>
      </w:r>
    </w:p>
  </w:footnote>
  <w:footnote w:id="4">
    <w:p w14:paraId="2B7772CD" w14:textId="7583096E" w:rsidR="009C4BA9" w:rsidRPr="00573284" w:rsidRDefault="002F291C" w:rsidP="00C34C0B">
      <w:pPr>
        <w:pStyle w:val="FootnoteText"/>
        <w:rPr>
          <w:rtl/>
        </w:rPr>
      </w:pPr>
      <w:r w:rsidRPr="00573284">
        <w:rPr>
          <w:rStyle w:val="FootnoteReference"/>
          <w:rFonts w:cstheme="majorBidi"/>
          <w:szCs w:val="24"/>
        </w:rPr>
        <w:footnoteRef/>
      </w:r>
      <w:r w:rsidR="00F3527B">
        <w:t xml:space="preserve"> </w:t>
      </w:r>
      <w:r w:rsidR="00417559">
        <w:t xml:space="preserve">Michal Ohana, </w:t>
      </w:r>
      <w:r w:rsidRPr="009E41BD">
        <w:t>Between Three Cities</w:t>
      </w:r>
      <w:r w:rsidR="009E41BD" w:rsidRPr="009E41BD">
        <w:t xml:space="preserve"> – </w:t>
      </w:r>
      <w:r w:rsidRPr="009E41BD">
        <w:t>Jewish Thought in North Africa After the Expulsion from Spain</w:t>
      </w:r>
      <w:r w:rsidRPr="00573284">
        <w:t xml:space="preserve"> (in print)</w:t>
      </w:r>
      <w:r w:rsidR="009E41BD">
        <w:t xml:space="preserve"> (Hebrew).</w:t>
      </w:r>
    </w:p>
  </w:footnote>
  <w:footnote w:id="5">
    <w:p w14:paraId="207BFF29" w14:textId="4AFABA40" w:rsidR="00F663A7" w:rsidRPr="00573284" w:rsidRDefault="002F291C" w:rsidP="00C34C0B">
      <w:pPr>
        <w:pStyle w:val="FootnoteText"/>
      </w:pPr>
      <w:r w:rsidRPr="00573284">
        <w:rPr>
          <w:rStyle w:val="FootnoteReference"/>
          <w:rFonts w:cstheme="majorBidi"/>
          <w:szCs w:val="24"/>
        </w:rPr>
        <w:footnoteRef/>
      </w:r>
      <w:r w:rsidRPr="00573284">
        <w:t xml:space="preserve"> Shmuel ben Zaken, </w:t>
      </w:r>
      <w:r w:rsidR="00FD6885" w:rsidRPr="00FD6885">
        <w:rPr>
          <w:i/>
          <w:iCs/>
        </w:rPr>
        <w:t>Pri ‘Etz HaGan</w:t>
      </w:r>
      <w:r w:rsidR="00FD6885" w:rsidRPr="00FD6885">
        <w:t xml:space="preserve"> </w:t>
      </w:r>
      <w:r w:rsidR="00FD6885">
        <w:t>with an i</w:t>
      </w:r>
      <w:r w:rsidR="00FD6885" w:rsidRPr="00573284">
        <w:t xml:space="preserve">ntroduction by the </w:t>
      </w:r>
      <w:r w:rsidR="00FD6885">
        <w:t>editor</w:t>
      </w:r>
      <w:r w:rsidRPr="00573284">
        <w:t>, Jerusalem</w:t>
      </w:r>
      <w:r w:rsidR="00FD6885">
        <w:t>,</w:t>
      </w:r>
      <w:r w:rsidRPr="00573284">
        <w:t xml:space="preserve"> 1904</w:t>
      </w:r>
      <w:r w:rsidR="00FD6885">
        <w:t xml:space="preserve"> (Hebrew)</w:t>
      </w:r>
      <w:r w:rsidRPr="00573284">
        <w:t xml:space="preserve">; </w:t>
      </w:r>
      <w:r w:rsidR="00FD6885">
        <w:t>loc.cit.</w:t>
      </w:r>
      <w:r w:rsidRPr="00573284">
        <w:t xml:space="preserve">, </w:t>
      </w:r>
      <w:r w:rsidR="00FD6885">
        <w:t>“A</w:t>
      </w:r>
      <w:r w:rsidRPr="00573284">
        <w:t xml:space="preserve"> </w:t>
      </w:r>
      <w:r w:rsidR="00FD6885">
        <w:t>F</w:t>
      </w:r>
      <w:r w:rsidRPr="00573284">
        <w:t xml:space="preserve">ew </w:t>
      </w:r>
      <w:r w:rsidR="00FD6885">
        <w:t>Comments</w:t>
      </w:r>
      <w:r w:rsidRPr="00573284">
        <w:t xml:space="preserve"> </w:t>
      </w:r>
      <w:r w:rsidR="00FD6885">
        <w:t>A</w:t>
      </w:r>
      <w:r w:rsidRPr="00573284">
        <w:t xml:space="preserve">bout the </w:t>
      </w:r>
      <w:r w:rsidR="00FD6885">
        <w:t>L</w:t>
      </w:r>
      <w:r w:rsidRPr="00573284">
        <w:t xml:space="preserve">ate </w:t>
      </w:r>
      <w:r w:rsidR="00FD6885">
        <w:t>A</w:t>
      </w:r>
      <w:r w:rsidRPr="00573284">
        <w:t>uthor</w:t>
      </w:r>
      <w:r w:rsidR="00FD6885">
        <w:t>” (Hebrew)</w:t>
      </w:r>
      <w:r w:rsidRPr="00573284">
        <w:t>; Dan M</w:t>
      </w:r>
      <w:r w:rsidR="00FD6885">
        <w:t>a</w:t>
      </w:r>
      <w:r w:rsidRPr="00573284">
        <w:t xml:space="preserve">nor, </w:t>
      </w:r>
      <w:r w:rsidR="00573284" w:rsidRPr="00573284">
        <w:t>“</w:t>
      </w:r>
      <w:r w:rsidRPr="00573284">
        <w:t>Man in Rabbi Shmuel ben Zaken</w:t>
      </w:r>
      <w:r w:rsidR="009E41BD">
        <w:t>’</w:t>
      </w:r>
      <w:r w:rsidRPr="00573284">
        <w:t>s Teachings</w:t>
      </w:r>
      <w:r w:rsidR="00573284" w:rsidRPr="00573284">
        <w:t>,”</w:t>
      </w:r>
      <w:r w:rsidRPr="00573284">
        <w:t xml:space="preserve"> Issachar ben Ami (editor), </w:t>
      </w:r>
      <w:r w:rsidR="00FD6885" w:rsidRPr="00FD6885">
        <w:rPr>
          <w:i/>
          <w:iCs/>
        </w:rPr>
        <w:t>Studies</w:t>
      </w:r>
      <w:r w:rsidRPr="00FD6885">
        <w:rPr>
          <w:i/>
          <w:iCs/>
        </w:rPr>
        <w:t xml:space="preserve"> in the Culture of North African Jews</w:t>
      </w:r>
      <w:r w:rsidRPr="00573284">
        <w:t>, Jerusalem 1991</w:t>
      </w:r>
      <w:r w:rsidR="00FD6885">
        <w:t xml:space="preserve"> (Hebrew)</w:t>
      </w:r>
      <w:r w:rsidRPr="00573284">
        <w:t>, 133- 140.</w:t>
      </w:r>
    </w:p>
  </w:footnote>
  <w:footnote w:id="6">
    <w:p w14:paraId="4FF895D2" w14:textId="36FBA9F6" w:rsidR="001F43A0" w:rsidRPr="00573284" w:rsidRDefault="002F291C" w:rsidP="00C34C0B">
      <w:pPr>
        <w:pStyle w:val="FootnoteText"/>
        <w:rPr>
          <w:rtl/>
        </w:rPr>
      </w:pPr>
      <w:r w:rsidRPr="00573284">
        <w:rPr>
          <w:rStyle w:val="FootnoteReference"/>
          <w:rFonts w:cstheme="majorBidi"/>
          <w:szCs w:val="24"/>
        </w:rPr>
        <w:footnoteRef/>
      </w:r>
      <w:r w:rsidRPr="00573284">
        <w:t xml:space="preserve"> See for example</w:t>
      </w:r>
      <w:r w:rsidR="00F3527B">
        <w:t>,</w:t>
      </w:r>
      <w:r w:rsidRPr="00573284">
        <w:t xml:space="preserve"> </w:t>
      </w:r>
      <w:r w:rsidR="00F3527B" w:rsidRPr="00FD6885">
        <w:rPr>
          <w:i/>
          <w:iCs/>
        </w:rPr>
        <w:t>Pri ‘Etz HaGan</w:t>
      </w:r>
      <w:r w:rsidR="00F3527B">
        <w:t>, part II:</w:t>
      </w:r>
      <w:r w:rsidRPr="00573284">
        <w:t xml:space="preserve"> </w:t>
      </w:r>
      <w:r w:rsidR="00573284" w:rsidRPr="00573284">
        <w:t>“</w:t>
      </w:r>
      <w:r w:rsidRPr="00573284">
        <w:t>And as</w:t>
      </w:r>
      <w:r w:rsidR="00F3527B">
        <w:t xml:space="preserve"> it is written</w:t>
      </w:r>
      <w:r w:rsidRPr="00573284">
        <w:t xml:space="preserve"> in</w:t>
      </w:r>
      <w:r w:rsidR="00F3527B">
        <w:t xml:space="preserve"> the</w:t>
      </w:r>
      <w:r w:rsidRPr="00573284">
        <w:t xml:space="preserve"> Zohar</w:t>
      </w:r>
      <w:r w:rsidR="00F3527B">
        <w:t xml:space="preserve"> parashat VaYigash,” 1a; “As explained in the Zohar, parashat Bo,” 4a; “It is already well-known that which is written in the Zohar,” 10b; “As </w:t>
      </w:r>
      <w:r w:rsidRPr="00573284">
        <w:t xml:space="preserve">explained </w:t>
      </w:r>
      <w:r w:rsidR="00F3527B">
        <w:t>at length</w:t>
      </w:r>
      <w:r w:rsidRPr="00573284">
        <w:t xml:space="preserve"> in </w:t>
      </w:r>
      <w:r w:rsidR="00F3527B">
        <w:t>the parashat VaYishlah,” 21a.</w:t>
      </w:r>
    </w:p>
  </w:footnote>
  <w:footnote w:id="7">
    <w:p w14:paraId="0E986F89" w14:textId="077B5BE2" w:rsidR="001F43A0" w:rsidRPr="00573284" w:rsidRDefault="002F291C" w:rsidP="00C34C0B">
      <w:pPr>
        <w:pStyle w:val="FootnoteText"/>
        <w:rPr>
          <w:rtl/>
        </w:rPr>
      </w:pPr>
      <w:r w:rsidRPr="00573284">
        <w:rPr>
          <w:rStyle w:val="FootnoteReference"/>
          <w:rFonts w:cstheme="majorBidi"/>
          <w:szCs w:val="24"/>
        </w:rPr>
        <w:footnoteRef/>
      </w:r>
      <w:r w:rsidRPr="00573284">
        <w:t xml:space="preserve"> See</w:t>
      </w:r>
      <w:r w:rsidR="00F3527B">
        <w:t>,</w:t>
      </w:r>
      <w:r w:rsidRPr="00573284">
        <w:t xml:space="preserve"> for example</w:t>
      </w:r>
      <w:r w:rsidR="00F3527B">
        <w:t>,</w:t>
      </w:r>
      <w:r w:rsidRPr="00573284">
        <w:t xml:space="preserve"> </w:t>
      </w:r>
      <w:r w:rsidR="00F3527B" w:rsidRPr="00F3527B">
        <w:rPr>
          <w:i/>
          <w:iCs/>
        </w:rPr>
        <w:t>loc. cit.</w:t>
      </w:r>
      <w:r w:rsidRPr="00573284">
        <w:t xml:space="preserve"> 5a; 11b; 16a.</w:t>
      </w:r>
    </w:p>
  </w:footnote>
  <w:footnote w:id="8">
    <w:p w14:paraId="08FB90DF" w14:textId="5DC4CA56" w:rsidR="008374A3" w:rsidRPr="00573284" w:rsidRDefault="002F291C" w:rsidP="00C34C0B">
      <w:pPr>
        <w:pStyle w:val="FootnoteText"/>
      </w:pPr>
      <w:r w:rsidRPr="00573284">
        <w:rPr>
          <w:rStyle w:val="FootnoteReference"/>
          <w:rFonts w:cstheme="majorBidi"/>
          <w:szCs w:val="24"/>
        </w:rPr>
        <w:footnoteRef/>
      </w:r>
      <w:r w:rsidRPr="00573284">
        <w:t xml:space="preserve"> See</w:t>
      </w:r>
      <w:r w:rsidR="00F3527B">
        <w:t>,</w:t>
      </w:r>
      <w:r w:rsidRPr="00573284">
        <w:t xml:space="preserve"> for example</w:t>
      </w:r>
      <w:r w:rsidR="00F3527B">
        <w:t>,</w:t>
      </w:r>
      <w:r w:rsidRPr="00573284">
        <w:t xml:space="preserve"> </w:t>
      </w:r>
      <w:r w:rsidR="00F3527B" w:rsidRPr="00F3527B">
        <w:rPr>
          <w:i/>
          <w:iCs/>
        </w:rPr>
        <w:t>loc. cit</w:t>
      </w:r>
      <w:r w:rsidR="00F3527B">
        <w:rPr>
          <w:i/>
          <w:iCs/>
        </w:rPr>
        <w:t>.</w:t>
      </w:r>
      <w:r w:rsidRPr="00573284">
        <w:t xml:space="preserve"> 2b; 14b; 21a.</w:t>
      </w:r>
    </w:p>
  </w:footnote>
  <w:footnote w:id="9">
    <w:p w14:paraId="35F17408" w14:textId="6560CDB4" w:rsidR="00FF28E2" w:rsidRPr="00573284" w:rsidRDefault="002F291C" w:rsidP="00C34C0B">
      <w:pPr>
        <w:pStyle w:val="FootnoteText"/>
        <w:rPr>
          <w:highlight w:val="yellow"/>
          <w:rtl/>
        </w:rPr>
      </w:pPr>
      <w:r w:rsidRPr="00573284">
        <w:rPr>
          <w:rStyle w:val="FootnoteReference"/>
          <w:rFonts w:cstheme="majorBidi"/>
          <w:szCs w:val="24"/>
        </w:rPr>
        <w:footnoteRef/>
      </w:r>
      <w:r w:rsidRPr="00573284">
        <w:t xml:space="preserve"> </w:t>
      </w:r>
      <w:r w:rsidR="00F3527B">
        <w:t xml:space="preserve">Hava </w:t>
      </w:r>
      <w:r w:rsidRPr="00573284">
        <w:t xml:space="preserve">Tirosh-Samuelson, </w:t>
      </w:r>
      <w:r w:rsidRPr="00F3527B">
        <w:t>Happiness in Premodern Judaism</w:t>
      </w:r>
      <w:r w:rsidR="00F3527B" w:rsidRPr="00F3527B">
        <w:t xml:space="preserve"> – V</w:t>
      </w:r>
      <w:r w:rsidRPr="00F3527B">
        <w:t xml:space="preserve">irtue, </w:t>
      </w:r>
      <w:r w:rsidR="00F3527B" w:rsidRPr="00F3527B">
        <w:t>K</w:t>
      </w:r>
      <w:r w:rsidRPr="00F3527B">
        <w:t xml:space="preserve">nowledge and </w:t>
      </w:r>
      <w:r w:rsidR="00F3527B" w:rsidRPr="00F3527B">
        <w:t>W</w:t>
      </w:r>
      <w:r w:rsidRPr="00F3527B">
        <w:t>ell-being</w:t>
      </w:r>
      <w:r w:rsidRPr="00573284">
        <w:t xml:space="preserve"> </w:t>
      </w:r>
      <w:r w:rsidR="007C7E4C">
        <w:t>(</w:t>
      </w:r>
      <w:r w:rsidR="007C7E4C" w:rsidRPr="007C7E4C">
        <w:t>Cincinnati: Hebrew Union College Press, 2003</w:t>
      </w:r>
      <w:r w:rsidR="007C7E4C">
        <w:t>)</w:t>
      </w:r>
      <w:r w:rsidRPr="00573284">
        <w:t xml:space="preserve">; Yehuda Halper (ed.), </w:t>
      </w:r>
      <w:r w:rsidRPr="00F3527B">
        <w:t xml:space="preserve">Pursuit of </w:t>
      </w:r>
      <w:r w:rsidR="00F3527B" w:rsidRPr="00F3527B">
        <w:t>H</w:t>
      </w:r>
      <w:r w:rsidRPr="00F3527B">
        <w:t xml:space="preserve">appiness in </w:t>
      </w:r>
      <w:r w:rsidR="00F3527B" w:rsidRPr="00F3527B">
        <w:t>M</w:t>
      </w:r>
      <w:r w:rsidRPr="00F3527B">
        <w:t xml:space="preserve">edieval Jewish and Islamic </w:t>
      </w:r>
      <w:r w:rsidR="00F3527B" w:rsidRPr="00F3527B">
        <w:t>T</w:t>
      </w:r>
      <w:r w:rsidRPr="00F3527B">
        <w:t>hought: Studies dedicated to Steven Harvey</w:t>
      </w:r>
      <w:r w:rsidRPr="00573284">
        <w:t xml:space="preserve">, </w:t>
      </w:r>
      <w:r w:rsidR="003B19DB" w:rsidRPr="003B19DB">
        <w:t>(Turnhout: Brepols, 2021)</w:t>
      </w:r>
      <w:r w:rsidRPr="00573284">
        <w:t>.</w:t>
      </w:r>
    </w:p>
  </w:footnote>
  <w:footnote w:id="10">
    <w:p w14:paraId="0AFD3984" w14:textId="0FB7326C" w:rsidR="0052250B" w:rsidRPr="00573284" w:rsidRDefault="002F291C" w:rsidP="00C34C0B">
      <w:pPr>
        <w:pStyle w:val="FootnoteText"/>
        <w:rPr>
          <w:rtl/>
        </w:rPr>
      </w:pPr>
      <w:r w:rsidRPr="00573284">
        <w:rPr>
          <w:rStyle w:val="FootnoteReference"/>
          <w:rFonts w:cstheme="majorBidi"/>
          <w:szCs w:val="24"/>
        </w:rPr>
        <w:footnoteRef/>
      </w:r>
      <w:r w:rsidRPr="00573284">
        <w:t xml:space="preserve"> For example, the eulogies of Israel Na</w:t>
      </w:r>
      <w:r w:rsidR="00F3527B">
        <w:t>g</w:t>
      </w:r>
      <w:r w:rsidRPr="00573284">
        <w:t>arah, Mos</w:t>
      </w:r>
      <w:r w:rsidR="00F3527B">
        <w:t>he Almoshninu</w:t>
      </w:r>
      <w:r w:rsidRPr="00573284">
        <w:t>, Mo</w:t>
      </w:r>
      <w:r w:rsidR="00F3527B">
        <w:t xml:space="preserve">she </w:t>
      </w:r>
      <w:r w:rsidRPr="00573284">
        <w:t>Alb</w:t>
      </w:r>
      <w:r w:rsidR="00F3527B">
        <w:t>i</w:t>
      </w:r>
      <w:r w:rsidRPr="00573284">
        <w:t>lda and Yaakov Metlon (from the Ottoman Empire) and S</w:t>
      </w:r>
      <w:r w:rsidR="00F3527B">
        <w:t>h</w:t>
      </w:r>
      <w:r w:rsidRPr="00573284">
        <w:t xml:space="preserve">aul Sirero and </w:t>
      </w:r>
      <w:r w:rsidR="00F3527B">
        <w:t>Yitzhak</w:t>
      </w:r>
      <w:r w:rsidRPr="00573284">
        <w:t xml:space="preserve"> Tsarfati (from North Africa). For precise references see: Michal Ohana, </w:t>
      </w:r>
      <w:r w:rsidR="00573284" w:rsidRPr="00573284">
        <w:t>“</w:t>
      </w:r>
      <w:r w:rsidR="009E41BD">
        <w:t>‘</w:t>
      </w:r>
      <w:r w:rsidR="00F3527B" w:rsidRPr="00F3527B">
        <w:t>Through What Do Women Merit?</w:t>
      </w:r>
      <w:r w:rsidR="00B131A5">
        <w:t>’</w:t>
      </w:r>
      <w:r w:rsidR="00F3527B" w:rsidRPr="00F3527B">
        <w:t xml:space="preserve"> – Women’s Ultimate Perfection and Their Reward in the World-to-Come, in the Thought of Rabbi Yizhak Zarfati</w:t>
      </w:r>
      <w:r w:rsidR="00573284" w:rsidRPr="00573284">
        <w:t>,”</w:t>
      </w:r>
      <w:r w:rsidRPr="00573284">
        <w:t xml:space="preserve"> </w:t>
      </w:r>
      <w:r w:rsidRPr="00F3527B">
        <w:rPr>
          <w:i/>
          <w:iCs/>
        </w:rPr>
        <w:t>Daat</w:t>
      </w:r>
      <w:r w:rsidRPr="00573284">
        <w:t xml:space="preserve"> 81 (2016)</w:t>
      </w:r>
      <w:r w:rsidR="00F3527B">
        <w:t xml:space="preserve"> (Hebrew)</w:t>
      </w:r>
      <w:r w:rsidRPr="00573284">
        <w:t>, 252- 277, footnote 27.</w:t>
      </w:r>
    </w:p>
  </w:footnote>
  <w:footnote w:id="11">
    <w:p w14:paraId="2F9431EE" w14:textId="155F3B78" w:rsidR="00F663A7" w:rsidRPr="00573284" w:rsidRDefault="002F291C" w:rsidP="00C34C0B">
      <w:pPr>
        <w:pStyle w:val="FootnoteText"/>
        <w:rPr>
          <w:rtl/>
        </w:rPr>
      </w:pPr>
      <w:r w:rsidRPr="00573284">
        <w:rPr>
          <w:rStyle w:val="FootnoteReference"/>
          <w:rFonts w:cstheme="majorBidi"/>
          <w:szCs w:val="24"/>
        </w:rPr>
        <w:footnoteRef/>
      </w:r>
      <w:r w:rsidRPr="00573284">
        <w:t xml:space="preserve"> Yair Lorberbaum, </w:t>
      </w:r>
      <w:r w:rsidR="00573284" w:rsidRPr="00573284">
        <w:t>“</w:t>
      </w:r>
      <w:r w:rsidR="00F3527B">
        <w:t>Halakhic Religiosity of Mystery and Transcendence, Halakhic Religiosity of Obedience and Servitude, and Other Forms of Rejecting Reasons of the Commandments</w:t>
      </w:r>
      <w:r w:rsidR="00573284" w:rsidRPr="00573284">
        <w:t>,”</w:t>
      </w:r>
      <w:r w:rsidRPr="00573284">
        <w:t xml:space="preserve"> </w:t>
      </w:r>
      <w:r w:rsidR="00F3527B" w:rsidRPr="00F3527B">
        <w:rPr>
          <w:i/>
          <w:iCs/>
        </w:rPr>
        <w:t>Dinei Yisrael</w:t>
      </w:r>
      <w:r w:rsidRPr="00573284">
        <w:t xml:space="preserve"> 32 (2018)</w:t>
      </w:r>
      <w:r w:rsidR="00F3527B">
        <w:t xml:space="preserve"> (Hebrew)</w:t>
      </w:r>
      <w:r w:rsidRPr="00573284">
        <w:t xml:space="preserve">, 69-114; </w:t>
      </w:r>
      <w:r w:rsidR="00F3527B" w:rsidRPr="00573284">
        <w:t>Yair Lorberbaum</w:t>
      </w:r>
      <w:r w:rsidRPr="00573284">
        <w:t xml:space="preserve">, </w:t>
      </w:r>
      <w:r w:rsidR="00573284" w:rsidRPr="00573284">
        <w:t>“</w:t>
      </w:r>
      <w:r w:rsidR="009E41BD">
        <w:t>‘</w:t>
      </w:r>
      <w:r w:rsidR="00F3527B" w:rsidRPr="00F3527B">
        <w:t>What Would Please Them Most is that the Intellect Would Not Find a Meaning for the Commandments and the Prohibitions,</w:t>
      </w:r>
      <w:r w:rsidR="00F3527B">
        <w:t>’</w:t>
      </w:r>
      <w:r w:rsidR="00F3527B" w:rsidRPr="00F3527B">
        <w:t xml:space="preserve"> – On Transcending the Rationales of the Commandments: A Close Reading of </w:t>
      </w:r>
      <w:r w:rsidR="00F3527B" w:rsidRPr="00F3527B">
        <w:rPr>
          <w:i/>
          <w:iCs/>
        </w:rPr>
        <w:t>The Guide of the Perplexed</w:t>
      </w:r>
      <w:r w:rsidR="00F3527B" w:rsidRPr="00F3527B">
        <w:t xml:space="preserve"> III 31</w:t>
      </w:r>
      <w:r w:rsidR="00573284" w:rsidRPr="00573284">
        <w:t>,”</w:t>
      </w:r>
      <w:r w:rsidRPr="00573284">
        <w:t xml:space="preserve"> </w:t>
      </w:r>
      <w:r w:rsidRPr="00F3527B">
        <w:rPr>
          <w:i/>
          <w:iCs/>
        </w:rPr>
        <w:t>Daat</w:t>
      </w:r>
      <w:r w:rsidRPr="00573284">
        <w:t xml:space="preserve"> 77 (2014)</w:t>
      </w:r>
      <w:r w:rsidR="00F3527B">
        <w:t xml:space="preserve"> (Hebrew)</w:t>
      </w:r>
      <w:r w:rsidRPr="00573284">
        <w:t>, 17-50;</w:t>
      </w:r>
      <w:r w:rsidR="00F3527B">
        <w:t xml:space="preserve"> </w:t>
      </w:r>
      <w:r w:rsidR="00F3527B" w:rsidRPr="00573284">
        <w:t>Yair Lorberbaum</w:t>
      </w:r>
      <w:r w:rsidR="00F3527B">
        <w:t>,</w:t>
      </w:r>
      <w:r w:rsidRPr="00573284">
        <w:t xml:space="preserve"> </w:t>
      </w:r>
      <w:r w:rsidR="00573284" w:rsidRPr="00573284">
        <w:t>“</w:t>
      </w:r>
      <w:r w:rsidR="009E41BD">
        <w:t>‘</w:t>
      </w:r>
      <w:r w:rsidRPr="00573284">
        <w:t xml:space="preserve">To </w:t>
      </w:r>
      <w:r w:rsidR="00F3527B">
        <w:t>D</w:t>
      </w:r>
      <w:r w:rsidRPr="00573284">
        <w:t xml:space="preserve">o the will of </w:t>
      </w:r>
      <w:r w:rsidR="00F3527B">
        <w:t>His</w:t>
      </w:r>
      <w:r w:rsidRPr="00573284">
        <w:t xml:space="preserve"> </w:t>
      </w:r>
      <w:r w:rsidR="00F3527B">
        <w:t>C</w:t>
      </w:r>
      <w:r w:rsidRPr="00573284">
        <w:t xml:space="preserve">reator... </w:t>
      </w:r>
      <w:r w:rsidR="00F3527B">
        <w:t>F</w:t>
      </w:r>
      <w:r w:rsidRPr="00573284">
        <w:t xml:space="preserve">or in </w:t>
      </w:r>
      <w:r w:rsidR="00F3527B">
        <w:t>T</w:t>
      </w:r>
      <w:r w:rsidRPr="00573284">
        <w:t xml:space="preserve">his </w:t>
      </w:r>
      <w:r w:rsidR="00F3527B">
        <w:t>O</w:t>
      </w:r>
      <w:r w:rsidRPr="00573284">
        <w:t xml:space="preserve">ne </w:t>
      </w:r>
      <w:r w:rsidR="00F3527B">
        <w:t>W</w:t>
      </w:r>
      <w:r w:rsidRPr="00573284">
        <w:t xml:space="preserve">ill </w:t>
      </w:r>
      <w:r w:rsidR="00F3527B">
        <w:t>A</w:t>
      </w:r>
      <w:r w:rsidRPr="00573284">
        <w:t xml:space="preserve">ttain </w:t>
      </w:r>
      <w:r w:rsidR="00F3527B">
        <w:t>H</w:t>
      </w:r>
      <w:r w:rsidRPr="00573284">
        <w:t>appiness</w:t>
      </w:r>
      <w:r w:rsidR="009E41BD">
        <w:t>’</w:t>
      </w:r>
      <w:r w:rsidR="00F3527B">
        <w:t xml:space="preserve"> – </w:t>
      </w:r>
      <w:r w:rsidRPr="00573284">
        <w:t xml:space="preserve">Halakhic </w:t>
      </w:r>
      <w:r w:rsidR="00F3527B">
        <w:t>R</w:t>
      </w:r>
      <w:r w:rsidRPr="00573284">
        <w:t xml:space="preserve">eligiosity of </w:t>
      </w:r>
      <w:r w:rsidR="00F3527B">
        <w:t>O</w:t>
      </w:r>
      <w:r w:rsidRPr="00573284">
        <w:t xml:space="preserve">bedience and </w:t>
      </w:r>
      <w:r w:rsidR="00F3527B">
        <w:t>S</w:t>
      </w:r>
      <w:r w:rsidRPr="00573284">
        <w:t xml:space="preserve">ervitude in Jewish communities in North Africa in the </w:t>
      </w:r>
      <w:r w:rsidR="00F3527B">
        <w:t>E</w:t>
      </w:r>
      <w:r w:rsidRPr="00573284">
        <w:t xml:space="preserve">arly </w:t>
      </w:r>
      <w:r w:rsidR="00F3527B">
        <w:t>M</w:t>
      </w:r>
      <w:r w:rsidRPr="00573284">
        <w:t xml:space="preserve">odern </w:t>
      </w:r>
      <w:r w:rsidR="00F3527B">
        <w:t>A</w:t>
      </w:r>
      <w:r w:rsidRPr="00573284">
        <w:t>ge</w:t>
      </w:r>
      <w:r w:rsidR="00573284" w:rsidRPr="00573284">
        <w:t>”</w:t>
      </w:r>
      <w:r w:rsidRPr="00573284">
        <w:t xml:space="preserve"> (in print).</w:t>
      </w:r>
    </w:p>
  </w:footnote>
  <w:footnote w:id="12">
    <w:p w14:paraId="634C3B0B" w14:textId="60B67145" w:rsidR="002B6000" w:rsidRPr="00573284" w:rsidRDefault="002F291C" w:rsidP="00C34C0B">
      <w:pPr>
        <w:pStyle w:val="FootnoteText"/>
        <w:rPr>
          <w:rtl/>
        </w:rPr>
      </w:pPr>
      <w:r w:rsidRPr="00573284">
        <w:rPr>
          <w:rStyle w:val="FootnoteReference"/>
          <w:rFonts w:cstheme="majorBidi"/>
          <w:szCs w:val="24"/>
        </w:rPr>
        <w:footnoteRef/>
      </w:r>
      <w:r w:rsidRPr="00573284">
        <w:t xml:space="preserve"> </w:t>
      </w:r>
      <w:r w:rsidRPr="00F3527B">
        <w:rPr>
          <w:i/>
          <w:iCs/>
        </w:rPr>
        <w:t>Sifra</w:t>
      </w:r>
      <w:r w:rsidRPr="00573284">
        <w:t xml:space="preserve"> 10</w:t>
      </w:r>
      <w:r w:rsidR="00F3527B">
        <w:t>:</w:t>
      </w:r>
      <w:r w:rsidRPr="00573284">
        <w:t xml:space="preserve">22; </w:t>
      </w:r>
      <w:r w:rsidR="00F3527B">
        <w:t>b.</w:t>
      </w:r>
      <w:r w:rsidRPr="00573284">
        <w:t>Kiddushin 31a.</w:t>
      </w:r>
    </w:p>
  </w:footnote>
  <w:footnote w:id="13">
    <w:p w14:paraId="7E820F0D" w14:textId="5EA7079D" w:rsidR="002B6000" w:rsidRPr="00573284" w:rsidRDefault="002F291C" w:rsidP="00C34C0B">
      <w:pPr>
        <w:pStyle w:val="FootnoteText"/>
        <w:rPr>
          <w:rtl/>
        </w:rPr>
      </w:pPr>
      <w:r w:rsidRPr="00573284">
        <w:rPr>
          <w:rStyle w:val="FootnoteReference"/>
          <w:rFonts w:cstheme="majorBidi"/>
          <w:szCs w:val="24"/>
        </w:rPr>
        <w:footnoteRef/>
      </w:r>
      <w:r w:rsidRPr="00573284">
        <w:t xml:space="preserve"> Rashi</w:t>
      </w:r>
      <w:r w:rsidR="009E41BD">
        <w:t>’</w:t>
      </w:r>
      <w:r w:rsidRPr="00573284">
        <w:t xml:space="preserve">s </w:t>
      </w:r>
      <w:r w:rsidRPr="00573284">
        <w:t>commentary on the Torah: Exodus 15, 26; Leviticus 19, 19. Rashi</w:t>
      </w:r>
      <w:r w:rsidR="009E41BD">
        <w:t>’</w:t>
      </w:r>
      <w:r w:rsidRPr="00573284">
        <w:t xml:space="preserve">s commentary on the Talmud: Megillah 25a. Moshe MiKotzi, </w:t>
      </w:r>
      <w:r w:rsidR="00F3527B" w:rsidRPr="00F3527B">
        <w:rPr>
          <w:i/>
          <w:iCs/>
        </w:rPr>
        <w:t>Sefer Mitzvot Gadol</w:t>
      </w:r>
      <w:r w:rsidR="00F3527B">
        <w:t xml:space="preserve">, </w:t>
      </w:r>
      <w:r w:rsidRPr="00573284">
        <w:t>positive commandment 3</w:t>
      </w:r>
      <w:r w:rsidR="00F3527B">
        <w:t xml:space="preserve"> (at the end)</w:t>
      </w:r>
      <w:r w:rsidRPr="00573284">
        <w:t xml:space="preserve">. </w:t>
      </w:r>
      <w:r w:rsidR="00F3527B">
        <w:t xml:space="preserve">Rabbi </w:t>
      </w:r>
      <w:r w:rsidRPr="00573284">
        <w:t xml:space="preserve">Yaakov, son of the </w:t>
      </w:r>
      <w:r w:rsidR="00F3527B">
        <w:t>Rabbenu Asher</w:t>
      </w:r>
      <w:r w:rsidRPr="00573284">
        <w:t xml:space="preserve">, </w:t>
      </w:r>
      <w:r w:rsidRPr="00F3527B">
        <w:rPr>
          <w:i/>
          <w:iCs/>
        </w:rPr>
        <w:t>Arbaah Turim</w:t>
      </w:r>
      <w:r w:rsidRPr="00573284">
        <w:t xml:space="preserve">, </w:t>
      </w:r>
      <w:r w:rsidRPr="00F3527B">
        <w:rPr>
          <w:i/>
          <w:iCs/>
        </w:rPr>
        <w:t>Yoreh De</w:t>
      </w:r>
      <w:r w:rsidR="00F3527B">
        <w:rPr>
          <w:i/>
          <w:iCs/>
        </w:rPr>
        <w:t>‘</w:t>
      </w:r>
      <w:r w:rsidRPr="00F3527B">
        <w:rPr>
          <w:i/>
          <w:iCs/>
        </w:rPr>
        <w:t>ah</w:t>
      </w:r>
      <w:r w:rsidRPr="00573284">
        <w:t xml:space="preserve">, </w:t>
      </w:r>
      <w:r w:rsidR="00F3527B">
        <w:t>1</w:t>
      </w:r>
      <w:r w:rsidRPr="00573284">
        <w:t>81.</w:t>
      </w:r>
    </w:p>
  </w:footnote>
  <w:footnote w:id="14">
    <w:p w14:paraId="5E8861CD" w14:textId="64FB1CA3" w:rsidR="002B6000" w:rsidRPr="00573284" w:rsidRDefault="002F291C" w:rsidP="00C34C0B">
      <w:pPr>
        <w:pStyle w:val="FootnoteText"/>
        <w:rPr>
          <w:rtl/>
        </w:rPr>
      </w:pPr>
      <w:r w:rsidRPr="00573284">
        <w:rPr>
          <w:rStyle w:val="FootnoteReference"/>
          <w:rFonts w:cstheme="majorBidi"/>
          <w:szCs w:val="24"/>
        </w:rPr>
        <w:footnoteRef/>
      </w:r>
      <w:r w:rsidRPr="00573284">
        <w:t xml:space="preserve"> </w:t>
      </w:r>
      <w:r w:rsidR="00F3527B" w:rsidRPr="00573284">
        <w:t>Rabbi Yitzchak Abarban</w:t>
      </w:r>
      <w:r w:rsidR="00F3527B">
        <w:t>e</w:t>
      </w:r>
      <w:r w:rsidR="00F3527B" w:rsidRPr="00573284">
        <w:t>l</w:t>
      </w:r>
      <w:r w:rsidR="00F3527B">
        <w:t>,</w:t>
      </w:r>
      <w:r w:rsidR="00F3527B" w:rsidRPr="00573284">
        <w:t xml:space="preserve"> </w:t>
      </w:r>
      <w:r w:rsidR="00667C98" w:rsidRPr="00F3527B">
        <w:rPr>
          <w:i/>
          <w:iCs/>
        </w:rPr>
        <w:t>Commentary</w:t>
      </w:r>
      <w:r w:rsidRPr="00F3527B">
        <w:rPr>
          <w:i/>
          <w:iCs/>
        </w:rPr>
        <w:t xml:space="preserve"> on the Torah</w:t>
      </w:r>
      <w:r w:rsidR="00F3527B">
        <w:t xml:space="preserve"> vol.</w:t>
      </w:r>
      <w:r w:rsidRPr="00573284">
        <w:t xml:space="preserve"> 1, Jerusalem </w:t>
      </w:r>
      <w:r w:rsidR="00F3527B">
        <w:t>2007</w:t>
      </w:r>
      <w:r w:rsidRPr="00573284">
        <w:t xml:space="preserve">, 488. It seems to me that </w:t>
      </w:r>
      <w:r w:rsidR="00F3527B">
        <w:t>Yosef</w:t>
      </w:r>
      <w:r w:rsidRPr="00573284">
        <w:t xml:space="preserve"> </w:t>
      </w:r>
      <w:r w:rsidR="00F3527B">
        <w:t>A</w:t>
      </w:r>
      <w:r w:rsidRPr="00573284">
        <w:t xml:space="preserve">lbo, at least </w:t>
      </w:r>
      <w:r w:rsidR="00F3527B">
        <w:t>at</w:t>
      </w:r>
      <w:r w:rsidRPr="00573284">
        <w:t xml:space="preserve"> the exoteric </w:t>
      </w:r>
      <w:r w:rsidR="00F3527B">
        <w:t>level of his writing</w:t>
      </w:r>
      <w:r w:rsidRPr="00573284">
        <w:t>, holds the view that human perfection is achieved through awareness of God</w:t>
      </w:r>
      <w:r w:rsidR="009E41BD">
        <w:t>’</w:t>
      </w:r>
      <w:r w:rsidRPr="00573284">
        <w:t xml:space="preserve">s will, as will </w:t>
      </w:r>
      <w:r w:rsidRPr="00573284">
        <w:t>become clear shortly. According to E</w:t>
      </w:r>
      <w:r w:rsidR="00F3527B">
        <w:t>h</w:t>
      </w:r>
      <w:r w:rsidRPr="00573284">
        <w:t>rlich, Albo</w:t>
      </w:r>
      <w:r w:rsidR="009E41BD">
        <w:t>’</w:t>
      </w:r>
      <w:r w:rsidRPr="00573284">
        <w:t>s esoteric understanding is that the human perfection of a person is defined as the attainment of intellectual knowledge of the world, see Dror E</w:t>
      </w:r>
      <w:r w:rsidR="00F3527B">
        <w:t>h</w:t>
      </w:r>
      <w:r w:rsidRPr="00573284">
        <w:t xml:space="preserve">rlich, </w:t>
      </w:r>
      <w:r w:rsidR="00F3527B" w:rsidRPr="00F3527B">
        <w:rPr>
          <w:i/>
          <w:iCs/>
        </w:rPr>
        <w:t>T</w:t>
      </w:r>
      <w:r w:rsidRPr="00F3527B">
        <w:rPr>
          <w:i/>
          <w:iCs/>
        </w:rPr>
        <w:t xml:space="preserve">he </w:t>
      </w:r>
      <w:r w:rsidR="00F3527B" w:rsidRPr="00F3527B">
        <w:rPr>
          <w:i/>
          <w:iCs/>
        </w:rPr>
        <w:t>T</w:t>
      </w:r>
      <w:r w:rsidRPr="00F3527B">
        <w:rPr>
          <w:i/>
          <w:iCs/>
        </w:rPr>
        <w:t>hought of Rabbi Joseph Albo</w:t>
      </w:r>
      <w:r w:rsidR="00F3527B">
        <w:rPr>
          <w:i/>
          <w:iCs/>
        </w:rPr>
        <w:t>:</w:t>
      </w:r>
      <w:r w:rsidRPr="00F3527B">
        <w:rPr>
          <w:i/>
          <w:iCs/>
        </w:rPr>
        <w:t xml:space="preserve"> </w:t>
      </w:r>
      <w:r w:rsidR="00F3527B">
        <w:rPr>
          <w:i/>
          <w:iCs/>
        </w:rPr>
        <w:t>E</w:t>
      </w:r>
      <w:r w:rsidRPr="00F3527B">
        <w:rPr>
          <w:i/>
          <w:iCs/>
        </w:rPr>
        <w:t xml:space="preserve">soteric </w:t>
      </w:r>
      <w:r w:rsidR="00F3527B">
        <w:rPr>
          <w:i/>
          <w:iCs/>
        </w:rPr>
        <w:t>W</w:t>
      </w:r>
      <w:r w:rsidRPr="00F3527B">
        <w:rPr>
          <w:i/>
          <w:iCs/>
        </w:rPr>
        <w:t xml:space="preserve">riting in the </w:t>
      </w:r>
      <w:r w:rsidR="00F3527B">
        <w:rPr>
          <w:i/>
          <w:iCs/>
        </w:rPr>
        <w:t>L</w:t>
      </w:r>
      <w:r w:rsidRPr="00F3527B">
        <w:rPr>
          <w:i/>
          <w:iCs/>
        </w:rPr>
        <w:t>ate Middle Ages</w:t>
      </w:r>
      <w:r w:rsidRPr="00573284">
        <w:t xml:space="preserve"> </w:t>
      </w:r>
      <w:r w:rsidR="00B25E2B">
        <w:t>(</w:t>
      </w:r>
      <w:r w:rsidRPr="00573284">
        <w:t>Ramat Gan</w:t>
      </w:r>
      <w:r w:rsidR="00B25E2B">
        <w:t>: Bar Ilan University Press</w:t>
      </w:r>
      <w:r w:rsidR="00F54CFA">
        <w:t>,</w:t>
      </w:r>
      <w:r w:rsidRPr="00573284">
        <w:t xml:space="preserve"> 2010</w:t>
      </w:r>
      <w:r w:rsidR="00F15D3B">
        <w:t>)</w:t>
      </w:r>
      <w:r w:rsidR="00F3527B">
        <w:t xml:space="preserve"> (Hebrew)</w:t>
      </w:r>
      <w:r w:rsidRPr="00573284">
        <w:t>, 152-175.</w:t>
      </w:r>
    </w:p>
  </w:footnote>
  <w:footnote w:id="15">
    <w:p w14:paraId="311CEDE2" w14:textId="70ACADC6" w:rsidR="00846305" w:rsidRPr="00573284" w:rsidRDefault="002F291C" w:rsidP="00C34C0B">
      <w:pPr>
        <w:pStyle w:val="FootnoteText"/>
        <w:rPr>
          <w:rtl/>
        </w:rPr>
      </w:pPr>
      <w:r w:rsidRPr="00573284">
        <w:rPr>
          <w:rStyle w:val="FootnoteReference"/>
          <w:rFonts w:cstheme="majorBidi"/>
          <w:szCs w:val="24"/>
        </w:rPr>
        <w:footnoteRef/>
      </w:r>
      <w:r w:rsidRPr="00573284">
        <w:t xml:space="preserve"> </w:t>
      </w:r>
      <w:r w:rsidR="00F3527B" w:rsidRPr="00FD6885">
        <w:rPr>
          <w:i/>
          <w:iCs/>
        </w:rPr>
        <w:t>Pri ‘Etz HaGan</w:t>
      </w:r>
      <w:r w:rsidRPr="00573284">
        <w:t xml:space="preserve">, Part </w:t>
      </w:r>
      <w:r w:rsidR="00F3527B">
        <w:t>I</w:t>
      </w:r>
      <w:r w:rsidRPr="00573284">
        <w:t>, 46</w:t>
      </w:r>
      <w:r w:rsidR="00F3527B">
        <w:t>b</w:t>
      </w:r>
      <w:r w:rsidRPr="00573284">
        <w:t>.</w:t>
      </w:r>
      <w:r w:rsidRPr="00573284">
        <w:br/>
      </w:r>
    </w:p>
  </w:footnote>
  <w:footnote w:id="16">
    <w:p w14:paraId="3DDECCF8" w14:textId="40943999" w:rsidR="002B6000" w:rsidRPr="00573284" w:rsidRDefault="002F291C" w:rsidP="00C34C0B">
      <w:pPr>
        <w:pStyle w:val="FootnoteText"/>
      </w:pPr>
      <w:r w:rsidRPr="00573284">
        <w:rPr>
          <w:rStyle w:val="FootnoteReference"/>
          <w:rFonts w:cstheme="majorBidi"/>
          <w:szCs w:val="24"/>
        </w:rPr>
        <w:footnoteRef/>
      </w:r>
      <w:r w:rsidRPr="00573284">
        <w:t xml:space="preserve"> </w:t>
      </w:r>
      <w:r w:rsidR="00573284" w:rsidRPr="00573284">
        <w:t>“</w:t>
      </w:r>
      <w:r w:rsidRPr="00573284">
        <w:t xml:space="preserve">The </w:t>
      </w:r>
      <w:r w:rsidR="00703917">
        <w:t>intellectual</w:t>
      </w:r>
      <w:r w:rsidRPr="00573284">
        <w:t xml:space="preserve"> </w:t>
      </w:r>
      <w:r w:rsidR="00703917">
        <w:t>activity</w:t>
      </w:r>
      <w:r w:rsidRPr="00573284">
        <w:t xml:space="preserve"> that we said will give spiritual perfection</w:t>
      </w:r>
      <w:r w:rsidR="00703917">
        <w:t xml:space="preserve"> </w:t>
      </w:r>
      <w:r w:rsidRPr="00573284">
        <w:t xml:space="preserve">by connecting </w:t>
      </w:r>
      <w:r w:rsidR="00217A53">
        <w:t xml:space="preserve">[intention] </w:t>
      </w:r>
      <w:r w:rsidRPr="00573284">
        <w:t xml:space="preserve">to </w:t>
      </w:r>
      <w:r w:rsidRPr="00573284">
        <w:t>action</w:t>
      </w:r>
      <w:r w:rsidRPr="00573284">
        <w:t xml:space="preserve">, is not the </w:t>
      </w:r>
      <w:r w:rsidR="00A57BDF">
        <w:t>intellectual grasp</w:t>
      </w:r>
      <w:r w:rsidRPr="00573284">
        <w:t xml:space="preserve"> of the intelligible</w:t>
      </w:r>
      <w:r w:rsidR="00A57BDF">
        <w:t>s</w:t>
      </w:r>
      <w:r w:rsidRPr="00573284">
        <w:t xml:space="preserve">, but it is that the </w:t>
      </w:r>
      <w:r w:rsidR="00A57BDF">
        <w:t>performer</w:t>
      </w:r>
      <w:r w:rsidRPr="00573284">
        <w:t xml:space="preserve"> of </w:t>
      </w:r>
      <w:r w:rsidR="00A57BDF">
        <w:t>a</w:t>
      </w:r>
      <w:r w:rsidRPr="00573284">
        <w:t xml:space="preserve"> physical action will direct it to the service of the Lord in its performance, </w:t>
      </w:r>
      <w:r w:rsidRPr="00573284">
        <w:t xml:space="preserve">with </w:t>
      </w:r>
      <w:r w:rsidR="005C385A">
        <w:t xml:space="preserve">the </w:t>
      </w:r>
      <w:r w:rsidRPr="00573284">
        <w:t xml:space="preserve">intention </w:t>
      </w:r>
      <w:r w:rsidR="005E3AA5">
        <w:t>of</w:t>
      </w:r>
      <w:r w:rsidRPr="00573284">
        <w:t xml:space="preserve"> do</w:t>
      </w:r>
      <w:r w:rsidR="005E3AA5">
        <w:t>ing</w:t>
      </w:r>
      <w:r w:rsidRPr="00573284">
        <w:t xml:space="preserve"> the good and the </w:t>
      </w:r>
      <w:r w:rsidR="005C385A">
        <w:t>right</w:t>
      </w:r>
      <w:r w:rsidRPr="00573284">
        <w:t xml:space="preserve"> in the eyes of the Lord, not for his own enjoyment, and not </w:t>
      </w:r>
      <w:r w:rsidR="005E3AA5">
        <w:t>with</w:t>
      </w:r>
      <w:r w:rsidRPr="00573284">
        <w:t xml:space="preserve"> any other intention at all</w:t>
      </w:r>
      <w:r w:rsidR="005E3AA5">
        <w:t>.</w:t>
      </w:r>
      <w:r w:rsidR="00573284" w:rsidRPr="00573284">
        <w:t>”</w:t>
      </w:r>
      <w:r w:rsidRPr="00573284">
        <w:t xml:space="preserve"> Joseph Albo, </w:t>
      </w:r>
      <w:r w:rsidR="005E3AA5" w:rsidRPr="005E3AA5">
        <w:rPr>
          <w:i/>
          <w:iCs/>
        </w:rPr>
        <w:t>Sefer HaIkkarim</w:t>
      </w:r>
      <w:r w:rsidRPr="00573284">
        <w:t xml:space="preserve">, </w:t>
      </w:r>
      <w:r w:rsidR="005E3AA5">
        <w:t>III</w:t>
      </w:r>
      <w:r w:rsidR="00AE0402">
        <w:t>:</w:t>
      </w:r>
      <w:r w:rsidRPr="00573284">
        <w:t>5,</w:t>
      </w:r>
      <w:r w:rsidR="00AE0402">
        <w:t xml:space="preserve"> 309</w:t>
      </w:r>
      <w:r w:rsidRPr="00573284">
        <w:t>.</w:t>
      </w:r>
    </w:p>
  </w:footnote>
  <w:footnote w:id="17">
    <w:p w14:paraId="276A2614" w14:textId="6F27757D" w:rsidR="002B6000" w:rsidRPr="00573284" w:rsidRDefault="002F291C" w:rsidP="00C34C0B">
      <w:pPr>
        <w:pStyle w:val="FootnoteText"/>
        <w:rPr>
          <w:rtl/>
        </w:rPr>
      </w:pPr>
      <w:r w:rsidRPr="00573284">
        <w:rPr>
          <w:rStyle w:val="FootnoteReference"/>
          <w:rFonts w:cstheme="majorBidi"/>
          <w:szCs w:val="24"/>
        </w:rPr>
        <w:footnoteRef/>
      </w:r>
      <w:r w:rsidRPr="00573284">
        <w:t xml:space="preserve"> </w:t>
      </w:r>
      <w:r w:rsidR="00573284" w:rsidRPr="00573284">
        <w:t>“</w:t>
      </w:r>
      <w:r w:rsidRPr="00573284">
        <w:t xml:space="preserve">And it </w:t>
      </w:r>
      <w:r w:rsidR="00AE0402">
        <w:t>has been</w:t>
      </w:r>
      <w:r w:rsidRPr="00573284">
        <w:t xml:space="preserve"> explained according to what we said, that a single commandment can suffice to </w:t>
      </w:r>
      <w:r w:rsidR="00AE0402">
        <w:t>grant</w:t>
      </w:r>
      <w:r w:rsidRPr="00573284">
        <w:t xml:space="preserve"> human perfection</w:t>
      </w:r>
      <w:r w:rsidR="00AE0402">
        <w:t>;</w:t>
      </w:r>
      <w:r w:rsidRPr="00573284">
        <w:t xml:space="preserve"> but the fact that many </w:t>
      </w:r>
      <w:r w:rsidRPr="00573284">
        <w:t xml:space="preserve">commandments are found in the Torah, this was not necessary, it was rather for the better so that no man from Israel </w:t>
      </w:r>
      <w:r w:rsidR="00AE0402">
        <w:t>is missed</w:t>
      </w:r>
      <w:r w:rsidRPr="00573284">
        <w:t xml:space="preserve"> that he </w:t>
      </w:r>
      <w:r w:rsidR="00AE0402">
        <w:t>does</w:t>
      </w:r>
      <w:r w:rsidRPr="00573284">
        <w:t xml:space="preserve"> not </w:t>
      </w:r>
      <w:r w:rsidR="00AE0402">
        <w:t>merit</w:t>
      </w:r>
      <w:r w:rsidRPr="00573284">
        <w:t xml:space="preserve"> the </w:t>
      </w:r>
      <w:r w:rsidR="00AE0402">
        <w:t>W</w:t>
      </w:r>
      <w:r w:rsidRPr="00573284">
        <w:t>orld</w:t>
      </w:r>
      <w:r w:rsidR="00AE0402">
        <w:t>-</w:t>
      </w:r>
      <w:r w:rsidRPr="00573284">
        <w:t>to</w:t>
      </w:r>
      <w:r w:rsidR="00AE0402">
        <w:t>-C</w:t>
      </w:r>
      <w:r w:rsidRPr="00573284">
        <w:t xml:space="preserve">ome through one of them, whichever </w:t>
      </w:r>
      <w:r w:rsidRPr="00573284">
        <w:t>it may be</w:t>
      </w:r>
      <w:r w:rsidR="00573284" w:rsidRPr="00573284">
        <w:t>,”</w:t>
      </w:r>
      <w:r w:rsidRPr="00573284">
        <w:t xml:space="preserve"> </w:t>
      </w:r>
      <w:r w:rsidR="00AE0402" w:rsidRPr="00573284">
        <w:t xml:space="preserve">Joseph Albo, </w:t>
      </w:r>
      <w:r w:rsidR="00AE0402" w:rsidRPr="005E3AA5">
        <w:rPr>
          <w:i/>
          <w:iCs/>
        </w:rPr>
        <w:t>Sefer HaIkkarim</w:t>
      </w:r>
      <w:r w:rsidR="00AE0402" w:rsidRPr="00573284">
        <w:t xml:space="preserve">, </w:t>
      </w:r>
      <w:r w:rsidR="00AE0402">
        <w:t>III</w:t>
      </w:r>
      <w:r w:rsidR="00AE0402">
        <w:t>:29,</w:t>
      </w:r>
      <w:r w:rsidRPr="00573284">
        <w:t xml:space="preserve"> 405.</w:t>
      </w:r>
    </w:p>
  </w:footnote>
  <w:footnote w:id="18">
    <w:p w14:paraId="2E439AE5" w14:textId="0B7B4111" w:rsidR="002B6000" w:rsidRPr="001F0F7E" w:rsidRDefault="002F291C" w:rsidP="00C34C0B">
      <w:pPr>
        <w:pStyle w:val="FootnoteText"/>
        <w:rPr>
          <w:lang w:val="en-US"/>
        </w:rPr>
      </w:pPr>
      <w:r w:rsidRPr="00573284">
        <w:rPr>
          <w:rStyle w:val="FootnoteReference"/>
          <w:rFonts w:cstheme="majorBidi"/>
          <w:szCs w:val="24"/>
        </w:rPr>
        <w:footnoteRef/>
      </w:r>
      <w:r w:rsidRPr="001F0F7E">
        <w:rPr>
          <w:lang w:val="en-US"/>
        </w:rPr>
        <w:t xml:space="preserve"> </w:t>
      </w:r>
      <w:r w:rsidR="00AE0402" w:rsidRPr="001F0F7E">
        <w:rPr>
          <w:i/>
          <w:iCs/>
          <w:lang w:val="en-US"/>
        </w:rPr>
        <w:t>Pri ‘Etz HaGan</w:t>
      </w:r>
      <w:r w:rsidRPr="001F0F7E">
        <w:rPr>
          <w:lang w:val="en-US"/>
        </w:rPr>
        <w:t xml:space="preserve">, Part </w:t>
      </w:r>
      <w:r w:rsidR="00AE0402" w:rsidRPr="001F0F7E">
        <w:rPr>
          <w:lang w:val="en-US"/>
        </w:rPr>
        <w:t>II</w:t>
      </w:r>
      <w:r w:rsidRPr="001F0F7E">
        <w:rPr>
          <w:lang w:val="en-US"/>
        </w:rPr>
        <w:t xml:space="preserve">, </w:t>
      </w:r>
      <w:r w:rsidRPr="001F0F7E">
        <w:rPr>
          <w:lang w:val="en-US"/>
        </w:rPr>
        <w:t>35b.</w:t>
      </w:r>
    </w:p>
  </w:footnote>
  <w:footnote w:id="19">
    <w:p w14:paraId="7299FD8F" w14:textId="19A30E30" w:rsidR="008A48C6" w:rsidRPr="00573284" w:rsidRDefault="002F291C" w:rsidP="00C34C0B">
      <w:pPr>
        <w:pStyle w:val="FootnoteText"/>
        <w:rPr>
          <w:rtl/>
        </w:rPr>
      </w:pPr>
      <w:r w:rsidRPr="00573284">
        <w:rPr>
          <w:rStyle w:val="FootnoteReference"/>
          <w:rFonts w:cstheme="majorBidi"/>
          <w:szCs w:val="24"/>
        </w:rPr>
        <w:footnoteRef/>
      </w:r>
      <w:r w:rsidRPr="00573284">
        <w:t xml:space="preserve"> </w:t>
      </w:r>
      <w:r w:rsidR="00573284" w:rsidRPr="00573284">
        <w:t>“</w:t>
      </w:r>
      <w:r w:rsidRPr="00573284">
        <w:t xml:space="preserve">Also the avoidance of doing evil deeds because of fear of the Lord will yield </w:t>
      </w:r>
      <w:r w:rsidR="001F0F7E">
        <w:t>perfection</w:t>
      </w:r>
      <w:r w:rsidRPr="00573284">
        <w:t xml:space="preserve"> in the soul</w:t>
      </w:r>
      <w:r w:rsidR="00573284" w:rsidRPr="00573284">
        <w:t>,”</w:t>
      </w:r>
      <w:r w:rsidRPr="00573284">
        <w:t xml:space="preserve"> </w:t>
      </w:r>
      <w:r w:rsidR="001F0F7E">
        <w:t>Joseph</w:t>
      </w:r>
      <w:r w:rsidRPr="00573284">
        <w:t xml:space="preserve"> Albo, </w:t>
      </w:r>
      <w:r w:rsidRPr="001F0F7E">
        <w:rPr>
          <w:i/>
          <w:iCs/>
        </w:rPr>
        <w:t>Sefer HaIkkarim</w:t>
      </w:r>
      <w:r w:rsidRPr="00573284">
        <w:t xml:space="preserve">, </w:t>
      </w:r>
      <w:r w:rsidR="001F0F7E">
        <w:t>III:</w:t>
      </w:r>
      <w:r w:rsidRPr="00573284">
        <w:t xml:space="preserve">27, </w:t>
      </w:r>
      <w:r w:rsidRPr="00573284">
        <w:t xml:space="preserve">397. </w:t>
      </w:r>
    </w:p>
  </w:footnote>
  <w:footnote w:id="20">
    <w:p w14:paraId="18A143E6" w14:textId="73A468C8" w:rsidR="008A48C6" w:rsidRPr="00573284" w:rsidRDefault="002F291C" w:rsidP="00C34C0B">
      <w:pPr>
        <w:pStyle w:val="FootnoteText"/>
        <w:rPr>
          <w:rtl/>
        </w:rPr>
      </w:pPr>
      <w:r w:rsidRPr="00573284">
        <w:rPr>
          <w:rStyle w:val="FootnoteReference"/>
          <w:rFonts w:cstheme="majorBidi"/>
          <w:szCs w:val="24"/>
        </w:rPr>
        <w:footnoteRef/>
      </w:r>
      <w:r w:rsidRPr="00AE0402">
        <w:rPr>
          <w:lang w:val="fr-FR"/>
        </w:rPr>
        <w:t xml:space="preserve"> </w:t>
      </w:r>
      <w:r w:rsidR="00AE0402" w:rsidRPr="00AE0402">
        <w:rPr>
          <w:i/>
          <w:iCs/>
          <w:lang w:val="fr-FR"/>
        </w:rPr>
        <w:t>Pri ‘Etz HaGan</w:t>
      </w:r>
      <w:r w:rsidRPr="00AE0402">
        <w:rPr>
          <w:lang w:val="fr-FR"/>
        </w:rPr>
        <w:t xml:space="preserve">, Part </w:t>
      </w:r>
      <w:r w:rsidR="00C744BE">
        <w:rPr>
          <w:lang w:val="fr-FR"/>
        </w:rPr>
        <w:t>II</w:t>
      </w:r>
      <w:r w:rsidRPr="00AE0402">
        <w:rPr>
          <w:lang w:val="fr-FR"/>
        </w:rPr>
        <w:t xml:space="preserve">, </w:t>
      </w:r>
      <w:r w:rsidRPr="00AE0402">
        <w:rPr>
          <w:lang w:val="fr-FR"/>
        </w:rPr>
        <w:t>35</w:t>
      </w:r>
      <w:r w:rsidR="00C744BE">
        <w:rPr>
          <w:lang w:val="fr-FR"/>
        </w:rPr>
        <w:t>b</w:t>
      </w:r>
      <w:r w:rsidRPr="00AE0402">
        <w:rPr>
          <w:lang w:val="fr-FR"/>
        </w:rPr>
        <w:t>.</w:t>
      </w:r>
    </w:p>
  </w:footnote>
  <w:footnote w:id="21">
    <w:p w14:paraId="7DB68639" w14:textId="4934206F" w:rsidR="00766B1C" w:rsidRPr="00573284" w:rsidRDefault="002F291C" w:rsidP="00C34C0B">
      <w:pPr>
        <w:pStyle w:val="FootnoteText"/>
        <w:rPr>
          <w:rtl/>
        </w:rPr>
      </w:pPr>
      <w:r w:rsidRPr="00573284">
        <w:rPr>
          <w:rStyle w:val="FootnoteReference"/>
          <w:rFonts w:cstheme="majorBidi"/>
          <w:szCs w:val="24"/>
        </w:rPr>
        <w:footnoteRef/>
      </w:r>
      <w:r w:rsidR="00F3527B">
        <w:rPr>
          <w:lang w:val="fr-FR"/>
        </w:rPr>
        <w:t xml:space="preserve"> </w:t>
      </w:r>
      <w:r w:rsidR="00F3527B" w:rsidRPr="00F3527B">
        <w:rPr>
          <w:lang w:val="fr-FR"/>
        </w:rPr>
        <w:t>Loc. cit</w:t>
      </w:r>
      <w:r w:rsidR="007559D4">
        <w:rPr>
          <w:lang w:val="fr-FR"/>
        </w:rPr>
        <w:t>.</w:t>
      </w:r>
    </w:p>
  </w:footnote>
  <w:footnote w:id="22">
    <w:p w14:paraId="5E483756" w14:textId="31854FAF" w:rsidR="00F03373" w:rsidRPr="00573284" w:rsidRDefault="002F291C" w:rsidP="00C34C0B">
      <w:pPr>
        <w:pStyle w:val="FootnoteText"/>
        <w:rPr>
          <w:highlight w:val="yellow"/>
        </w:rPr>
      </w:pPr>
      <w:r w:rsidRPr="00573284">
        <w:rPr>
          <w:rStyle w:val="FootnoteReference"/>
          <w:rFonts w:cstheme="majorBidi"/>
          <w:szCs w:val="24"/>
        </w:rPr>
        <w:footnoteRef/>
      </w:r>
      <w:r w:rsidR="00F3527B">
        <w:rPr>
          <w:lang w:val="fr-FR"/>
        </w:rPr>
        <w:t xml:space="preserve"> </w:t>
      </w:r>
      <w:r w:rsidRPr="00573284">
        <w:rPr>
          <w:lang w:val="fr-FR"/>
        </w:rPr>
        <w:t xml:space="preserve">Georges Vajda, </w:t>
      </w:r>
      <w:r w:rsidR="00573284" w:rsidRPr="00573284">
        <w:rPr>
          <w:lang w:val="fr-FR"/>
        </w:rPr>
        <w:t>“</w:t>
      </w:r>
      <w:r w:rsidRPr="00573284">
        <w:rPr>
          <w:lang w:val="fr-FR"/>
        </w:rPr>
        <w:t>La doctrine astrologique de Juda ben Nissim ibn Malka</w:t>
      </w:r>
      <w:r w:rsidR="00935824">
        <w:rPr>
          <w:lang w:val="fr-FR"/>
        </w:rPr>
        <w:t>.</w:t>
      </w:r>
      <w:r w:rsidR="00573284" w:rsidRPr="00573284">
        <w:rPr>
          <w:lang w:val="fr-FR"/>
        </w:rPr>
        <w:t>”</w:t>
      </w:r>
      <w:r w:rsidRPr="00573284">
        <w:rPr>
          <w:lang w:val="fr-FR"/>
        </w:rPr>
        <w:t xml:space="preserve"> </w:t>
      </w:r>
      <w:r w:rsidR="00066E85" w:rsidRPr="00C37E5C">
        <w:rPr>
          <w:lang w:val="en-US"/>
        </w:rPr>
        <w:t>I</w:t>
      </w:r>
      <w:r w:rsidR="0086736B" w:rsidRPr="00C37E5C">
        <w:rPr>
          <w:lang w:val="en-US"/>
        </w:rPr>
        <w:t>n</w:t>
      </w:r>
      <w:r w:rsidR="00066E85" w:rsidRPr="00C37E5C">
        <w:rPr>
          <w:lang w:val="en-US"/>
        </w:rPr>
        <w:t xml:space="preserve"> </w:t>
      </w:r>
      <w:r w:rsidRPr="00C37E5C">
        <w:rPr>
          <w:i/>
          <w:iCs/>
          <w:lang w:val="en-US"/>
        </w:rPr>
        <w:t>Homenaje a</w:t>
      </w:r>
      <w:r w:rsidR="009E41BD" w:rsidRPr="00C37E5C">
        <w:rPr>
          <w:i/>
          <w:iCs/>
          <w:lang w:val="en-US"/>
        </w:rPr>
        <w:t>’</w:t>
      </w:r>
      <w:r w:rsidRPr="00C37E5C">
        <w:rPr>
          <w:i/>
          <w:iCs/>
          <w:lang w:val="en-US"/>
        </w:rPr>
        <w:t xml:space="preserve"> Milla</w:t>
      </w:r>
      <w:r w:rsidR="009E41BD" w:rsidRPr="00C37E5C">
        <w:rPr>
          <w:i/>
          <w:iCs/>
          <w:lang w:val="en-US"/>
        </w:rPr>
        <w:t>’</w:t>
      </w:r>
      <w:r w:rsidRPr="00C37E5C">
        <w:rPr>
          <w:i/>
          <w:iCs/>
          <w:lang w:val="en-US"/>
        </w:rPr>
        <w:t>s- Valicrosa,</w:t>
      </w:r>
      <w:r w:rsidRPr="00C37E5C">
        <w:rPr>
          <w:lang w:val="en-US"/>
        </w:rPr>
        <w:t xml:space="preserve"> vol. </w:t>
      </w:r>
      <w:r w:rsidRPr="00573284">
        <w:t>II</w:t>
      </w:r>
      <w:r w:rsidR="00C37E5C">
        <w:t xml:space="preserve"> (</w:t>
      </w:r>
      <w:r w:rsidRPr="00573284">
        <w:t>Barcelona</w:t>
      </w:r>
      <w:r w:rsidR="00C37E5C">
        <w:t>,</w:t>
      </w:r>
      <w:r w:rsidRPr="00573284">
        <w:t xml:space="preserve"> 1956</w:t>
      </w:r>
      <w:r w:rsidR="00C37E5C">
        <w:t>)</w:t>
      </w:r>
      <w:r w:rsidRPr="00573284">
        <w:t xml:space="preserve"> 483-500; </w:t>
      </w:r>
      <w:r w:rsidRPr="00573284">
        <w:t xml:space="preserve">Moshe Idel, </w:t>
      </w:r>
      <w:r w:rsidR="00573284" w:rsidRPr="00573284">
        <w:t>“</w:t>
      </w:r>
      <w:r w:rsidRPr="00573284">
        <w:t>The Beginnings of Kabbalah in North Africa</w:t>
      </w:r>
      <w:r w:rsidR="00C36CF4">
        <w:t xml:space="preserve">: A Lost Document </w:t>
      </w:r>
      <w:r w:rsidR="00A132EA">
        <w:t>by</w:t>
      </w:r>
      <w:r w:rsidRPr="00573284">
        <w:t xml:space="preserve"> Rabbi Yehuda ben Nissim Ibn Malka</w:t>
      </w:r>
      <w:r w:rsidR="00573284" w:rsidRPr="00573284">
        <w:t>”</w:t>
      </w:r>
      <w:r w:rsidRPr="00573284">
        <w:t xml:space="preserve"> </w:t>
      </w:r>
      <w:r w:rsidR="0060641A" w:rsidRPr="0060641A">
        <w:rPr>
          <w:i/>
          <w:iCs/>
        </w:rPr>
        <w:t>Pe’amim</w:t>
      </w:r>
      <w:r w:rsidRPr="00573284">
        <w:t xml:space="preserve"> 43 (1990</w:t>
      </w:r>
      <w:r w:rsidR="0060641A">
        <w:t>) (Hebrew)</w:t>
      </w:r>
      <w:r w:rsidR="00EE05D6">
        <w:t xml:space="preserve">: </w:t>
      </w:r>
      <w:r w:rsidRPr="00573284">
        <w:t>4-15.</w:t>
      </w:r>
    </w:p>
  </w:footnote>
  <w:footnote w:id="23">
    <w:p w14:paraId="137FB72F" w14:textId="1C34132C" w:rsidR="00830439" w:rsidRPr="00573284" w:rsidRDefault="002F291C" w:rsidP="00C34C0B">
      <w:pPr>
        <w:pStyle w:val="FootnoteText"/>
        <w:rPr>
          <w:rtl/>
        </w:rPr>
      </w:pPr>
      <w:r w:rsidRPr="00573284">
        <w:rPr>
          <w:rStyle w:val="FootnoteReference"/>
          <w:rFonts w:eastAsia="Times New Roman" w:cstheme="majorBidi"/>
          <w:szCs w:val="24"/>
        </w:rPr>
        <w:footnoteRef/>
      </w:r>
      <w:r w:rsidRPr="00573284">
        <w:t xml:space="preserve"> Boaz H</w:t>
      </w:r>
      <w:r w:rsidR="00E95EE7">
        <w:t>us</w:t>
      </w:r>
      <w:r w:rsidRPr="00573284">
        <w:t xml:space="preserve">s, </w:t>
      </w:r>
      <w:r w:rsidR="00E95EE7" w:rsidRPr="0082691F">
        <w:t xml:space="preserve">Like the Radiance of the Sky: </w:t>
      </w:r>
      <w:r w:rsidR="00E95EE7" w:rsidRPr="0082691F">
        <w:t>Chapters in the Reception History of the Zohar and the Construction of its Symbolic Value</w:t>
      </w:r>
      <w:r w:rsidR="0082691F">
        <w:t xml:space="preserve"> (</w:t>
      </w:r>
      <w:r w:rsidRPr="00573284">
        <w:t>Jerusalem</w:t>
      </w:r>
      <w:r w:rsidR="0082691F">
        <w:t>: Mossad Bialik,</w:t>
      </w:r>
      <w:r w:rsidRPr="00573284">
        <w:t xml:space="preserve"> 2008</w:t>
      </w:r>
      <w:r w:rsidR="0082691F">
        <w:t>)</w:t>
      </w:r>
      <w:r w:rsidR="000B2D57">
        <w:t xml:space="preserve">, </w:t>
      </w:r>
      <w:r w:rsidRPr="00573284">
        <w:t>118-119.</w:t>
      </w:r>
    </w:p>
  </w:footnote>
  <w:footnote w:id="24">
    <w:p w14:paraId="25A350DB" w14:textId="77777777" w:rsidR="00830439" w:rsidRPr="00573284" w:rsidRDefault="002F291C" w:rsidP="00C34C0B">
      <w:pPr>
        <w:pStyle w:val="FootnoteText"/>
        <w:rPr>
          <w:rtl/>
        </w:rPr>
      </w:pPr>
      <w:r w:rsidRPr="00573284">
        <w:rPr>
          <w:rStyle w:val="FootnoteReference"/>
          <w:rFonts w:cstheme="majorBidi"/>
          <w:szCs w:val="24"/>
        </w:rPr>
        <w:footnoteRef/>
      </w:r>
      <w:r w:rsidRPr="00573284">
        <w:t xml:space="preserve"> Idel, </w:t>
      </w:r>
      <w:r w:rsidRPr="000B2D57">
        <w:rPr>
          <w:i/>
          <w:iCs/>
        </w:rPr>
        <w:t>The Kabbalah</w:t>
      </w:r>
      <w:r w:rsidRPr="00573284">
        <w:t xml:space="preserve">, 112-116. </w:t>
      </w:r>
    </w:p>
  </w:footnote>
  <w:footnote w:id="25">
    <w:p w14:paraId="05619FAE" w14:textId="3F532BCD" w:rsidR="00F03373" w:rsidRPr="00573284" w:rsidRDefault="002F291C" w:rsidP="00C34C0B">
      <w:pPr>
        <w:pStyle w:val="FootnoteText"/>
      </w:pPr>
      <w:r w:rsidRPr="00573284">
        <w:rPr>
          <w:rStyle w:val="FootnoteReference"/>
          <w:rFonts w:eastAsia="Times New Roman" w:cstheme="majorBidi"/>
          <w:szCs w:val="24"/>
        </w:rPr>
        <w:footnoteRef/>
      </w:r>
      <w:r w:rsidR="00F3527B">
        <w:t xml:space="preserve"> </w:t>
      </w:r>
      <w:r w:rsidR="00CB35EE" w:rsidRPr="00CB35EE">
        <w:rPr>
          <w:i/>
          <w:iCs/>
        </w:rPr>
        <w:t>Loc. cit</w:t>
      </w:r>
      <w:r w:rsidR="00CB35EE">
        <w:t>.</w:t>
      </w:r>
      <w:r w:rsidRPr="00573284">
        <w:t xml:space="preserve">, 117- 118. According to Idel, the </w:t>
      </w:r>
      <w:r w:rsidRPr="005A09B9">
        <w:rPr>
          <w:i/>
          <w:iCs/>
        </w:rPr>
        <w:t>Zohar</w:t>
      </w:r>
      <w:r w:rsidRPr="00573284">
        <w:t xml:space="preserve"> </w:t>
      </w:r>
      <w:r w:rsidR="005A09B9">
        <w:t>was not at</w:t>
      </w:r>
      <w:r w:rsidRPr="00573284">
        <w:t xml:space="preserve"> the center of interest of the other Kabbalistic circle that operated in Dar</w:t>
      </w:r>
      <w:r w:rsidR="005A09B9">
        <w:t>‘</w:t>
      </w:r>
      <w:r w:rsidRPr="00573284">
        <w:t xml:space="preserve">a </w:t>
      </w:r>
      <w:r w:rsidR="00463BCA">
        <w:t xml:space="preserve">whose central </w:t>
      </w:r>
      <w:r w:rsidRPr="00573284">
        <w:t xml:space="preserve">figure </w:t>
      </w:r>
      <w:r w:rsidR="00463BCA">
        <w:t>was</w:t>
      </w:r>
      <w:r w:rsidRPr="00573284">
        <w:t xml:space="preserve"> David Halevi.</w:t>
      </w:r>
      <w:r w:rsidR="00F3527B">
        <w:t xml:space="preserve"> </w:t>
      </w:r>
      <w:r w:rsidRPr="00573284">
        <w:t xml:space="preserve">For more on the </w:t>
      </w:r>
      <w:r w:rsidR="00062A2D">
        <w:t>Kabbalist</w:t>
      </w:r>
      <w:r w:rsidRPr="00573284">
        <w:t xml:space="preserve"> circle in D</w:t>
      </w:r>
      <w:r w:rsidR="00577DFA">
        <w:t>a</w:t>
      </w:r>
      <w:r w:rsidRPr="00573284">
        <w:t>r</w:t>
      </w:r>
      <w:r w:rsidR="00577DFA">
        <w:t>‘</w:t>
      </w:r>
      <w:r w:rsidRPr="00573284">
        <w:t>a, see</w:t>
      </w:r>
      <w:r w:rsidR="00EC2F7A">
        <w:t xml:space="preserve"> </w:t>
      </w:r>
      <w:r w:rsidR="00EC2F7A" w:rsidRPr="00EC2F7A">
        <w:t>Elior, “Kabbalists of Dar‘a</w:t>
      </w:r>
      <w:r w:rsidR="00902FA4">
        <w:t>”; Garb</w:t>
      </w:r>
      <w:r w:rsidR="00D21396">
        <w:t xml:space="preserve">, </w:t>
      </w:r>
      <w:r w:rsidR="00D21396" w:rsidRPr="005C1674">
        <w:rPr>
          <w:i/>
          <w:iCs/>
        </w:rPr>
        <w:t>Manifestations of Power</w:t>
      </w:r>
      <w:r w:rsidR="00D21396">
        <w:t xml:space="preserve">, </w:t>
      </w:r>
      <w:r w:rsidRPr="00573284">
        <w:t>224-231.</w:t>
      </w:r>
    </w:p>
  </w:footnote>
  <w:footnote w:id="26">
    <w:p w14:paraId="0D377995" w14:textId="5105A918" w:rsidR="00F03373" w:rsidRPr="00573284" w:rsidRDefault="002F291C" w:rsidP="00C34C0B">
      <w:pPr>
        <w:pStyle w:val="FootnoteText"/>
        <w:rPr>
          <w:highlight w:val="yellow"/>
        </w:rPr>
      </w:pPr>
      <w:r w:rsidRPr="00573284">
        <w:rPr>
          <w:rStyle w:val="FootnoteReference"/>
          <w:rFonts w:eastAsiaTheme="majorEastAsia" w:cstheme="majorBidi"/>
          <w:szCs w:val="24"/>
        </w:rPr>
        <w:footnoteRef/>
      </w:r>
      <w:r w:rsidRPr="00573284">
        <w:t xml:space="preserve"> </w:t>
      </w:r>
      <w:r w:rsidR="00917E1D" w:rsidRPr="00917E1D">
        <w:t>Boaz</w:t>
      </w:r>
      <w:r w:rsidR="00917E1D" w:rsidRPr="00917E1D">
        <w:t xml:space="preserve"> Huss,</w:t>
      </w:r>
      <w:r w:rsidR="00917E1D">
        <w:t xml:space="preserve"> </w:t>
      </w:r>
      <w:r w:rsidR="00917E1D" w:rsidRPr="00917E1D">
        <w:t>Yudith Nave</w:t>
      </w:r>
      <w:r w:rsidR="00917E1D" w:rsidRPr="00917E1D">
        <w:t xml:space="preserve">. </w:t>
      </w:r>
      <w:r w:rsidR="00917E1D" w:rsidRPr="00917E1D">
        <w:rPr>
          <w:i/>
          <w:iCs/>
        </w:rPr>
        <w:t>The Zohar: Reception and Impact</w:t>
      </w:r>
      <w:r w:rsidR="00917E1D">
        <w:t xml:space="preserve"> (Liverpool:</w:t>
      </w:r>
      <w:r w:rsidR="00917E1D" w:rsidRPr="00917E1D">
        <w:t>Liverpool University Press, 2016</w:t>
      </w:r>
      <w:r w:rsidR="00917E1D">
        <w:t xml:space="preserve">), </w:t>
      </w:r>
      <w:r w:rsidR="00917E1D" w:rsidRPr="00573284">
        <w:t>133-138</w:t>
      </w:r>
      <w:r w:rsidR="00917E1D">
        <w:t xml:space="preserve"> </w:t>
      </w:r>
      <w:r w:rsidR="00917E1D" w:rsidRPr="00917E1D">
        <w:t>https://doi.org/10.2307/j.ctvhn0btp.</w:t>
      </w:r>
    </w:p>
  </w:footnote>
  <w:footnote w:id="27">
    <w:p w14:paraId="243FF26B" w14:textId="5BE7E6C9" w:rsidR="00426760" w:rsidRPr="00573284" w:rsidRDefault="002F291C" w:rsidP="00C34C0B">
      <w:pPr>
        <w:pStyle w:val="FootnoteText"/>
        <w:rPr>
          <w:highlight w:val="yellow"/>
          <w:rtl/>
        </w:rPr>
      </w:pPr>
      <w:r w:rsidRPr="00573284">
        <w:rPr>
          <w:rStyle w:val="FootnoteReference"/>
          <w:rFonts w:cstheme="majorBidi"/>
          <w:szCs w:val="24"/>
        </w:rPr>
        <w:footnoteRef/>
      </w:r>
      <w:r w:rsidR="00F3527B">
        <w:t xml:space="preserve"> </w:t>
      </w:r>
      <w:r w:rsidR="001D30B6">
        <w:t xml:space="preserve">Ohana, </w:t>
      </w:r>
      <w:r w:rsidR="001D30B6" w:rsidRPr="009E41BD">
        <w:t xml:space="preserve">Between Three Cities </w:t>
      </w:r>
      <w:r w:rsidRPr="00573284">
        <w:t>(In Print).</w:t>
      </w:r>
    </w:p>
  </w:footnote>
  <w:footnote w:id="28">
    <w:p w14:paraId="4443A992" w14:textId="42E14EE0" w:rsidR="002910A4" w:rsidRPr="00573284" w:rsidRDefault="002F291C" w:rsidP="00C34C0B">
      <w:pPr>
        <w:pStyle w:val="FootnoteText"/>
      </w:pPr>
      <w:r w:rsidRPr="00573284">
        <w:rPr>
          <w:rStyle w:val="FootnoteReference"/>
          <w:rFonts w:cstheme="majorBidi"/>
          <w:szCs w:val="24"/>
        </w:rPr>
        <w:footnoteRef/>
      </w:r>
      <w:r w:rsidR="00F3527B">
        <w:t xml:space="preserve"> </w:t>
      </w:r>
      <w:r w:rsidRPr="00573284">
        <w:t xml:space="preserve">Boaz Huss, </w:t>
      </w:r>
      <w:r w:rsidR="000E3B0C" w:rsidRPr="000E3B0C">
        <w:t>Sockets of Fine Gold</w:t>
      </w:r>
      <w:r w:rsidR="00825D70">
        <w:t xml:space="preserve">: </w:t>
      </w:r>
      <w:r w:rsidR="000E3B0C" w:rsidRPr="000E3B0C">
        <w:t>The Kabbalah of Rabi Shim'on Ibn Lavi</w:t>
      </w:r>
      <w:r w:rsidR="000E3B0C" w:rsidRPr="000E3B0C">
        <w:t xml:space="preserve"> </w:t>
      </w:r>
      <w:r w:rsidR="00825D70">
        <w:t>(</w:t>
      </w:r>
      <w:r w:rsidRPr="00573284">
        <w:t>Jerusalem</w:t>
      </w:r>
      <w:r w:rsidR="00825D70">
        <w:t>:Magnes,</w:t>
      </w:r>
      <w:r w:rsidRPr="00573284">
        <w:t xml:space="preserve"> 2000</w:t>
      </w:r>
      <w:r w:rsidR="00825D70">
        <w:t>)</w:t>
      </w:r>
      <w:r w:rsidR="00F118BB">
        <w:t xml:space="preserve"> (Hebrew)</w:t>
      </w:r>
      <w:r w:rsidRPr="00573284">
        <w:t>, 192 - 211.</w:t>
      </w:r>
    </w:p>
  </w:footnote>
  <w:footnote w:id="29">
    <w:p w14:paraId="72CD1071" w14:textId="787D351D" w:rsidR="00E72AB1" w:rsidRPr="00573284" w:rsidRDefault="002F291C" w:rsidP="00C34C0B">
      <w:pPr>
        <w:pStyle w:val="FootnoteText"/>
      </w:pPr>
      <w:r w:rsidRPr="00573284">
        <w:rPr>
          <w:rStyle w:val="FootnoteReference"/>
          <w:rFonts w:cstheme="majorBidi"/>
          <w:szCs w:val="24"/>
        </w:rPr>
        <w:footnoteRef/>
      </w:r>
      <w:r w:rsidR="00F3527B">
        <w:t xml:space="preserve"> </w:t>
      </w:r>
      <w:r w:rsidR="00AE0402" w:rsidRPr="00AE0402">
        <w:rPr>
          <w:i/>
          <w:iCs/>
        </w:rPr>
        <w:t>Pri ‘Etz HaGan</w:t>
      </w:r>
      <w:r w:rsidRPr="00573284">
        <w:t xml:space="preserve">, </w:t>
      </w:r>
      <w:r w:rsidRPr="00573284">
        <w:t>35b - 36a.</w:t>
      </w:r>
    </w:p>
  </w:footnote>
  <w:footnote w:id="30">
    <w:p w14:paraId="3FFCA70D" w14:textId="23492B51" w:rsidR="00FE5245" w:rsidRPr="00573284" w:rsidRDefault="002F291C" w:rsidP="00C34C0B">
      <w:pPr>
        <w:pStyle w:val="FootnoteText"/>
      </w:pPr>
      <w:r w:rsidRPr="00573284">
        <w:rPr>
          <w:rStyle w:val="FootnoteReference"/>
          <w:rFonts w:cstheme="majorBidi"/>
          <w:szCs w:val="24"/>
        </w:rPr>
        <w:footnoteRef/>
      </w:r>
      <w:r w:rsidR="00F3527B">
        <w:t xml:space="preserve"> </w:t>
      </w:r>
      <w:r w:rsidRPr="00573284">
        <w:t xml:space="preserve">Huss, </w:t>
      </w:r>
      <w:r w:rsidRPr="00BE0E49">
        <w:rPr>
          <w:i/>
          <w:iCs/>
        </w:rPr>
        <w:t>The Zohar Reception</w:t>
      </w:r>
      <w:r w:rsidRPr="00573284">
        <w:t>, 155-165.</w:t>
      </w:r>
    </w:p>
  </w:footnote>
  <w:footnote w:id="31">
    <w:p w14:paraId="5AA17C0E" w14:textId="4DDA2757" w:rsidR="00F2213A" w:rsidRPr="00573284" w:rsidRDefault="002F291C" w:rsidP="00C34C0B">
      <w:pPr>
        <w:pStyle w:val="FootnoteText"/>
        <w:rPr>
          <w:rtl/>
        </w:rPr>
      </w:pPr>
      <w:r w:rsidRPr="00573284">
        <w:rPr>
          <w:rStyle w:val="FootnoteReference"/>
          <w:rFonts w:cstheme="majorBidi"/>
          <w:szCs w:val="24"/>
        </w:rPr>
        <w:footnoteRef/>
      </w:r>
      <w:r w:rsidRPr="00573284">
        <w:t xml:space="preserve"> This </w:t>
      </w:r>
      <w:r w:rsidR="008D3F6B">
        <w:t>idea</w:t>
      </w:r>
      <w:r w:rsidRPr="00573284">
        <w:t xml:space="preserve"> has roots in the Talmud (</w:t>
      </w:r>
      <w:r w:rsidRPr="008D3F6B">
        <w:rPr>
          <w:i/>
          <w:iCs/>
        </w:rPr>
        <w:t>Makkot</w:t>
      </w:r>
      <w:r w:rsidRPr="00573284">
        <w:t xml:space="preserve"> 23</w:t>
      </w:r>
      <w:r w:rsidR="008D3F6B">
        <w:t>b</w:t>
      </w:r>
      <w:r w:rsidRPr="00573284">
        <w:t xml:space="preserve">), and it was </w:t>
      </w:r>
      <w:r w:rsidR="00BE2073">
        <w:t>discussed extensively</w:t>
      </w:r>
      <w:r w:rsidRPr="00573284">
        <w:t xml:space="preserve"> in the Midrash (</w:t>
      </w:r>
      <w:r w:rsidRPr="00FD4DFE">
        <w:rPr>
          <w:i/>
          <w:iCs/>
        </w:rPr>
        <w:t xml:space="preserve">Yalkut Shimoni </w:t>
      </w:r>
      <w:r w:rsidR="00626685" w:rsidRPr="00FD4DFE">
        <w:rPr>
          <w:i/>
          <w:iCs/>
        </w:rPr>
        <w:t>on Prophets and Writings</w:t>
      </w:r>
      <w:r w:rsidRPr="00573284">
        <w:t xml:space="preserve">, </w:t>
      </w:r>
      <w:r w:rsidR="00626685" w:rsidRPr="00FD4DFE">
        <w:rPr>
          <w:i/>
          <w:iCs/>
        </w:rPr>
        <w:t>remez</w:t>
      </w:r>
      <w:r w:rsidRPr="00573284">
        <w:t xml:space="preserve"> </w:t>
      </w:r>
      <w:r w:rsidR="00FD4DFE">
        <w:t>937</w:t>
      </w:r>
      <w:r w:rsidRPr="00573284">
        <w:t xml:space="preserve">). </w:t>
      </w:r>
      <w:r w:rsidR="00FD4DFE">
        <w:t>T</w:t>
      </w:r>
      <w:r w:rsidRPr="00573284">
        <w:t>he Zoharic literature</w:t>
      </w:r>
      <w:r w:rsidR="00FD4DFE">
        <w:t xml:space="preserve"> also contains </w:t>
      </w:r>
      <w:r w:rsidR="0011488D">
        <w:t>an</w:t>
      </w:r>
      <w:r w:rsidR="00FD4DFE">
        <w:t xml:space="preserve"> approach</w:t>
      </w:r>
      <w:r w:rsidRPr="00573284">
        <w:t xml:space="preserve"> </w:t>
      </w:r>
      <w:r w:rsidRPr="00C34C0B">
        <w:t>that</w:t>
      </w:r>
      <w:r w:rsidRPr="00573284">
        <w:t xml:space="preserve"> suggests the existence of a link between </w:t>
      </w:r>
      <w:r w:rsidR="0011488D">
        <w:t xml:space="preserve">the </w:t>
      </w:r>
      <w:r w:rsidRPr="00573284">
        <w:t>human organs and the 613 commandments (</w:t>
      </w:r>
      <w:r w:rsidRPr="0011488D">
        <w:rPr>
          <w:i/>
          <w:iCs/>
        </w:rPr>
        <w:t>Zohar</w:t>
      </w:r>
      <w:r w:rsidRPr="00573284">
        <w:t xml:space="preserve"> Part I, 17</w:t>
      </w:r>
      <w:r w:rsidR="002B6A1D">
        <w:t>0</w:t>
      </w:r>
      <w:r w:rsidR="003C0F62">
        <w:t xml:space="preserve"> </w:t>
      </w:r>
      <w:r w:rsidRPr="00573284">
        <w:t>b).</w:t>
      </w:r>
    </w:p>
  </w:footnote>
  <w:footnote w:id="32">
    <w:p w14:paraId="524FDD94" w14:textId="0055FC4A" w:rsidR="00B346C5" w:rsidRPr="00573284" w:rsidRDefault="002F291C" w:rsidP="00C34C0B">
      <w:pPr>
        <w:pStyle w:val="FootnoteText"/>
        <w:rPr>
          <w:rtl/>
        </w:rPr>
      </w:pPr>
      <w:r w:rsidRPr="00573284">
        <w:rPr>
          <w:rStyle w:val="FootnoteReference"/>
          <w:rFonts w:cstheme="majorBidi"/>
          <w:szCs w:val="24"/>
        </w:rPr>
        <w:footnoteRef/>
      </w:r>
      <w:r w:rsidRPr="00573284">
        <w:t xml:space="preserve"> Gershom Scholem, </w:t>
      </w:r>
      <w:r w:rsidRPr="00854135">
        <w:rPr>
          <w:i/>
          <w:iCs/>
        </w:rPr>
        <w:t>Major Trends in Jewish Mysticism</w:t>
      </w:r>
      <w:r w:rsidR="00C15AC2">
        <w:t xml:space="preserve"> (New York: Schocken, 1941</w:t>
      </w:r>
      <w:r w:rsidR="00E71305">
        <w:t>)</w:t>
      </w:r>
      <w:r w:rsidRPr="00573284">
        <w:t>, 2</w:t>
      </w:r>
      <w:r w:rsidR="00E71305">
        <w:t>79</w:t>
      </w:r>
      <w:r w:rsidRPr="00573284">
        <w:t xml:space="preserve">. </w:t>
      </w:r>
      <w:r w:rsidR="00C34C0B">
        <w:t>S</w:t>
      </w:r>
      <w:r w:rsidRPr="00573284">
        <w:t xml:space="preserve">ee also: Moshe </w:t>
      </w:r>
      <w:r w:rsidR="00C34C0B">
        <w:t>H</w:t>
      </w:r>
      <w:r w:rsidRPr="00573284">
        <w:t>al</w:t>
      </w:r>
      <w:r w:rsidR="006953D0">
        <w:t>l</w:t>
      </w:r>
      <w:r w:rsidRPr="00573284">
        <w:t xml:space="preserve">amish, </w:t>
      </w:r>
      <w:r w:rsidR="00573284" w:rsidRPr="00573284">
        <w:t>“</w:t>
      </w:r>
      <w:r w:rsidR="00447831" w:rsidRPr="00447831">
        <w:t>Everyone, One Commandment and One Letter</w:t>
      </w:r>
      <w:r w:rsidR="00573284" w:rsidRPr="00573284">
        <w:t>,”</w:t>
      </w:r>
      <w:r w:rsidRPr="00573284">
        <w:t xml:space="preserve"> </w:t>
      </w:r>
      <w:r w:rsidRPr="00DF00B7">
        <w:rPr>
          <w:i/>
          <w:iCs/>
        </w:rPr>
        <w:t>Daat</w:t>
      </w:r>
      <w:r w:rsidRPr="00573284">
        <w:t xml:space="preserve"> 71 </w:t>
      </w:r>
      <w:r w:rsidR="00DF00B7">
        <w:t>(</w:t>
      </w:r>
      <w:r w:rsidRPr="00573284">
        <w:t>2011</w:t>
      </w:r>
      <w:r w:rsidR="00DF00B7">
        <w:t>)</w:t>
      </w:r>
      <w:r w:rsidR="006953D0">
        <w:t xml:space="preserve"> (Hebrew)</w:t>
      </w:r>
      <w:r w:rsidRPr="00573284">
        <w:t xml:space="preserve">, </w:t>
      </w:r>
      <w:r w:rsidRPr="00573284">
        <w:t xml:space="preserve">25-52, </w:t>
      </w:r>
      <w:r w:rsidR="00DF00B7">
        <w:t>especially</w:t>
      </w:r>
      <w:r w:rsidRPr="00573284">
        <w:t xml:space="preserve"> </w:t>
      </w:r>
      <w:r w:rsidRPr="00573284">
        <w:t xml:space="preserve">30-39. </w:t>
      </w:r>
    </w:p>
  </w:footnote>
  <w:footnote w:id="33">
    <w:p w14:paraId="5CF463C4" w14:textId="672DB262" w:rsidR="00426760" w:rsidRPr="00573284" w:rsidRDefault="002F291C" w:rsidP="00C34C0B">
      <w:pPr>
        <w:pStyle w:val="FootnoteText"/>
      </w:pPr>
      <w:r w:rsidRPr="00573284">
        <w:rPr>
          <w:rStyle w:val="FootnoteReference"/>
          <w:rFonts w:eastAsiaTheme="majorEastAsia" w:cstheme="majorBidi"/>
          <w:szCs w:val="24"/>
        </w:rPr>
        <w:footnoteRef/>
      </w:r>
      <w:r w:rsidRPr="00573284">
        <w:t xml:space="preserve"> Abraham David, </w:t>
      </w:r>
      <w:r w:rsidR="00573284" w:rsidRPr="00573284">
        <w:t>“</w:t>
      </w:r>
      <w:r w:rsidRPr="00573284">
        <w:t>The Ties Between North African Jews and the Land of Israel in the 16th and 17th Centuries</w:t>
      </w:r>
      <w:r w:rsidR="00573284" w:rsidRPr="00573284">
        <w:t>,”</w:t>
      </w:r>
      <w:r w:rsidRPr="00573284">
        <w:t xml:space="preserve"> </w:t>
      </w:r>
      <w:r w:rsidR="00BD6BE5" w:rsidRPr="00BD6BE5">
        <w:rPr>
          <w:i/>
          <w:iCs/>
        </w:rPr>
        <w:t>Pe‘amim</w:t>
      </w:r>
      <w:r w:rsidRPr="00573284">
        <w:t xml:space="preserve"> 24 (1985)</w:t>
      </w:r>
      <w:r w:rsidR="00270221">
        <w:t xml:space="preserve"> </w:t>
      </w:r>
      <w:r w:rsidR="00270221">
        <w:t>(Hebrew)</w:t>
      </w:r>
      <w:r w:rsidRPr="00573284">
        <w:t xml:space="preserve">, 74-86, </w:t>
      </w:r>
      <w:r w:rsidR="00270221">
        <w:t>especially</w:t>
      </w:r>
      <w:r w:rsidRPr="00573284">
        <w:t xml:space="preserve"> </w:t>
      </w:r>
      <w:r w:rsidRPr="00573284">
        <w:t>79-81. On the influences and similarities between the center in D</w:t>
      </w:r>
      <w:r w:rsidR="007C43F9">
        <w:t>a</w:t>
      </w:r>
      <w:r w:rsidRPr="00573284">
        <w:t>ra</w:t>
      </w:r>
      <w:r w:rsidR="007C43F9">
        <w:t>‘</w:t>
      </w:r>
      <w:r w:rsidRPr="00573284">
        <w:t xml:space="preserve">a and the Safed center, see: </w:t>
      </w:r>
      <w:r w:rsidR="007C43F9">
        <w:t>Jonathan</w:t>
      </w:r>
      <w:r w:rsidRPr="00573284">
        <w:t xml:space="preserve"> Garb, </w:t>
      </w:r>
      <w:r w:rsidR="007C43F9">
        <w:t>“</w:t>
      </w:r>
      <w:r w:rsidRPr="00573284">
        <w:t>Magic and Mysticism</w:t>
      </w:r>
      <w:r w:rsidR="007C43F9">
        <w:t>:</w:t>
      </w:r>
      <w:r w:rsidRPr="00573284">
        <w:t xml:space="preserve"> Between North Africa and Israel,</w:t>
      </w:r>
      <w:r w:rsidR="007C43F9">
        <w:t>”</w:t>
      </w:r>
      <w:r w:rsidRPr="00573284">
        <w:t xml:space="preserve"> </w:t>
      </w:r>
      <w:r w:rsidR="00BD6BE5" w:rsidRPr="00BD6BE5">
        <w:rPr>
          <w:i/>
          <w:iCs/>
        </w:rPr>
        <w:t>Pe‘amim</w:t>
      </w:r>
      <w:r w:rsidRPr="00573284">
        <w:t xml:space="preserve"> 85 (2001)</w:t>
      </w:r>
      <w:r w:rsidR="007C43F9">
        <w:t xml:space="preserve"> </w:t>
      </w:r>
      <w:r w:rsidR="007C43F9">
        <w:t>(Hebrew)</w:t>
      </w:r>
      <w:r w:rsidRPr="00573284">
        <w:t>, 121-123.</w:t>
      </w:r>
    </w:p>
  </w:footnote>
  <w:footnote w:id="34">
    <w:p w14:paraId="26A442ED" w14:textId="15E66739" w:rsidR="00426760" w:rsidRPr="00573284" w:rsidRDefault="002F291C" w:rsidP="00C34C0B">
      <w:pPr>
        <w:pStyle w:val="FootnoteText"/>
        <w:rPr>
          <w:rtl/>
        </w:rPr>
      </w:pPr>
      <w:r w:rsidRPr="00573284">
        <w:rPr>
          <w:rStyle w:val="FootnoteReference"/>
          <w:rFonts w:eastAsiaTheme="majorEastAsia" w:cstheme="majorBidi"/>
          <w:szCs w:val="24"/>
        </w:rPr>
        <w:footnoteRef/>
      </w:r>
      <w:r w:rsidRPr="00573284">
        <w:t xml:space="preserve"> Abraham Azulai, </w:t>
      </w:r>
      <w:r w:rsidRPr="003060B0">
        <w:rPr>
          <w:i/>
          <w:iCs/>
        </w:rPr>
        <w:t>Or HaChama</w:t>
      </w:r>
      <w:r w:rsidRPr="00573284">
        <w:t xml:space="preserve"> </w:t>
      </w:r>
      <w:r w:rsidR="003060B0">
        <w:t>(</w:t>
      </w:r>
      <w:r w:rsidRPr="00573284">
        <w:t>Thessaloniki</w:t>
      </w:r>
      <w:r w:rsidR="003060B0">
        <w:t>,</w:t>
      </w:r>
      <w:r w:rsidRPr="00573284">
        <w:t xml:space="preserve"> 5622</w:t>
      </w:r>
      <w:r w:rsidR="003060B0">
        <w:t>)</w:t>
      </w:r>
      <w:r w:rsidRPr="00573284">
        <w:t>, introduction.</w:t>
      </w:r>
    </w:p>
  </w:footnote>
  <w:footnote w:id="35">
    <w:p w14:paraId="06A84715" w14:textId="1B77B0EC" w:rsidR="00DF0C39" w:rsidRPr="00573284" w:rsidRDefault="002F291C" w:rsidP="00C34C0B">
      <w:pPr>
        <w:pStyle w:val="FootnoteText"/>
      </w:pPr>
      <w:r w:rsidRPr="00573284">
        <w:rPr>
          <w:rStyle w:val="FootnoteReference"/>
          <w:rFonts w:cstheme="majorBidi"/>
          <w:szCs w:val="24"/>
        </w:rPr>
        <w:footnoteRef/>
      </w:r>
      <w:r w:rsidR="00F3527B">
        <w:t xml:space="preserve"> </w:t>
      </w:r>
      <w:r w:rsidR="005D7953" w:rsidRPr="005D7953">
        <w:t xml:space="preserve">Ohana, </w:t>
      </w:r>
      <w:r w:rsidR="005D7953" w:rsidRPr="005D7953">
        <w:rPr>
          <w:i/>
          <w:iCs/>
        </w:rPr>
        <w:t>Between Three Cities</w:t>
      </w:r>
      <w:r w:rsidR="005D7953" w:rsidRPr="005D7953">
        <w:t xml:space="preserve"> </w:t>
      </w:r>
      <w:r w:rsidRPr="00573284">
        <w:t>(in print).</w:t>
      </w:r>
    </w:p>
  </w:footnote>
  <w:footnote w:id="36">
    <w:p w14:paraId="00BBA0F6" w14:textId="11100325" w:rsidR="00426760" w:rsidRPr="00573284" w:rsidRDefault="002F291C" w:rsidP="00C34C0B">
      <w:pPr>
        <w:pStyle w:val="FootnoteText"/>
        <w:rPr>
          <w:rtl/>
        </w:rPr>
      </w:pPr>
      <w:r w:rsidRPr="00573284">
        <w:rPr>
          <w:rStyle w:val="FootnoteReference"/>
          <w:rFonts w:eastAsiaTheme="majorEastAsia" w:cstheme="majorBidi"/>
          <w:szCs w:val="24"/>
        </w:rPr>
        <w:footnoteRef/>
      </w:r>
      <w:r w:rsidRPr="00573284">
        <w:t xml:space="preserve"> Yosef Aviv</w:t>
      </w:r>
      <w:r w:rsidR="00773B3C">
        <w:t>i</w:t>
      </w:r>
      <w:r w:rsidRPr="00573284">
        <w:t xml:space="preserve">, </w:t>
      </w:r>
      <w:r w:rsidR="00A56CFE" w:rsidRPr="00A56CFE">
        <w:rPr>
          <w:i/>
          <w:iCs/>
        </w:rPr>
        <w:t>Qabbala Luriana</w:t>
      </w:r>
      <w:r w:rsidRPr="00573284">
        <w:t xml:space="preserve"> </w:t>
      </w:r>
      <w:r w:rsidR="00BB1B58">
        <w:t>(</w:t>
      </w:r>
      <w:r w:rsidRPr="00573284">
        <w:t>Jerusalem</w:t>
      </w:r>
      <w:r w:rsidR="00BB1B58">
        <w:t>:Bet Tzvi,</w:t>
      </w:r>
      <w:r w:rsidRPr="00573284">
        <w:t xml:space="preserve"> 2007</w:t>
      </w:r>
      <w:r w:rsidR="00BB1B58">
        <w:t>)</w:t>
      </w:r>
      <w:r w:rsidRPr="00573284">
        <w:t xml:space="preserve"> </w:t>
      </w:r>
      <w:r w:rsidR="00BB1B58">
        <w:t xml:space="preserve">(Hebrew), </w:t>
      </w:r>
      <w:r w:rsidRPr="00573284">
        <w:t xml:space="preserve">746-748. </w:t>
      </w:r>
      <w:r w:rsidRPr="00573284">
        <w:t>S</w:t>
      </w:r>
      <w:r w:rsidR="00BB1B58">
        <w:t>cho</w:t>
      </w:r>
      <w:r w:rsidRPr="00573284">
        <w:t>l</w:t>
      </w:r>
      <w:r w:rsidR="00BB1B58">
        <w:t>e</w:t>
      </w:r>
      <w:r w:rsidRPr="00573284">
        <w:t>m</w:t>
      </w:r>
      <w:r w:rsidR="00C15785">
        <w:t xml:space="preserve"> (</w:t>
      </w:r>
      <w:r w:rsidR="00C15785" w:rsidRPr="00E9622E">
        <w:rPr>
          <w:i/>
          <w:iCs/>
        </w:rPr>
        <w:t>Major Trends</w:t>
      </w:r>
      <w:r w:rsidR="00C15785" w:rsidRPr="00573284">
        <w:t>, 287-288</w:t>
      </w:r>
      <w:r w:rsidR="00C15785">
        <w:t>)</w:t>
      </w:r>
      <w:r w:rsidRPr="00573284">
        <w:t xml:space="preserve"> </w:t>
      </w:r>
      <w:r w:rsidR="00BB1B58">
        <w:t>had determined that</w:t>
      </w:r>
      <w:r w:rsidRPr="00573284">
        <w:t xml:space="preserve"> </w:t>
      </w:r>
      <w:r w:rsidR="00E9622E">
        <w:t>Lurianic Kabbalah spread</w:t>
      </w:r>
      <w:r w:rsidRPr="00573284">
        <w:t xml:space="preserve"> at the beginning of the 17th century</w:t>
      </w:r>
      <w:r w:rsidRPr="00573284">
        <w:t>. However, Gri</w:t>
      </w:r>
      <w:r w:rsidR="00EA25AD">
        <w:t>e</w:t>
      </w:r>
      <w:r w:rsidRPr="00573284">
        <w:t>s and Idel postponed it to the second half of the 17th century. See: Ze</w:t>
      </w:r>
      <w:r w:rsidR="00EA25AD">
        <w:t>’</w:t>
      </w:r>
      <w:r w:rsidRPr="00573284">
        <w:t>ev Gries</w:t>
      </w:r>
      <w:r w:rsidRPr="00BD6BE5">
        <w:rPr>
          <w:i/>
          <w:iCs/>
        </w:rPr>
        <w:t xml:space="preserve">, </w:t>
      </w:r>
      <w:r w:rsidR="004455BA" w:rsidRPr="00BD6BE5">
        <w:rPr>
          <w:i/>
          <w:iCs/>
        </w:rPr>
        <w:t>Conduct Literature (Rgimen Vitae)</w:t>
      </w:r>
      <w:r w:rsidRPr="00BD6BE5">
        <w:rPr>
          <w:i/>
          <w:iCs/>
        </w:rPr>
        <w:t xml:space="preserve">: Its History and Place in The Life of </w:t>
      </w:r>
      <w:r w:rsidR="00185B01" w:rsidRPr="00BD6BE5">
        <w:rPr>
          <w:i/>
          <w:iCs/>
        </w:rPr>
        <w:t>Besht</w:t>
      </w:r>
      <w:r w:rsidR="00185B01" w:rsidRPr="00BD6BE5">
        <w:rPr>
          <w:i/>
          <w:iCs/>
        </w:rPr>
        <w:t xml:space="preserve">ian </w:t>
      </w:r>
      <w:r w:rsidRPr="00BD6BE5">
        <w:rPr>
          <w:i/>
          <w:iCs/>
        </w:rPr>
        <w:t>Hasidi</w:t>
      </w:r>
      <w:r w:rsidR="00185B01" w:rsidRPr="00BD6BE5">
        <w:rPr>
          <w:i/>
          <w:iCs/>
        </w:rPr>
        <w:t>s</w:t>
      </w:r>
      <w:r w:rsidRPr="00BD6BE5">
        <w:rPr>
          <w:i/>
          <w:iCs/>
        </w:rPr>
        <w:t>m</w:t>
      </w:r>
      <w:r w:rsidRPr="00573284">
        <w:t xml:space="preserve"> </w:t>
      </w:r>
      <w:r w:rsidR="00BD6BE5">
        <w:t>(</w:t>
      </w:r>
      <w:r w:rsidRPr="00573284">
        <w:t>Jerusalem</w:t>
      </w:r>
      <w:r w:rsidR="00BD6BE5">
        <w:t>: Mossad Bialik,</w:t>
      </w:r>
      <w:r w:rsidRPr="00573284">
        <w:t xml:space="preserve"> 1990</w:t>
      </w:r>
      <w:r w:rsidR="00BD6BE5">
        <w:t>) (Hebrew)</w:t>
      </w:r>
      <w:r w:rsidRPr="00573284">
        <w:t xml:space="preserve">, 80-91; Moshe Idel, </w:t>
      </w:r>
      <w:r w:rsidR="00573284" w:rsidRPr="00573284">
        <w:t>“</w:t>
      </w:r>
      <w:r w:rsidR="009E41BD">
        <w:t>‘</w:t>
      </w:r>
      <w:r w:rsidRPr="00573284">
        <w:t>One From a City and Two From a Family</w:t>
      </w:r>
      <w:r w:rsidR="009E41BD">
        <w:t>’</w:t>
      </w:r>
      <w:r w:rsidRPr="00573284">
        <w:t xml:space="preserve">: A </w:t>
      </w:r>
      <w:r w:rsidR="00BD6BE5">
        <w:t>New Look at t</w:t>
      </w:r>
      <w:r w:rsidRPr="00573284">
        <w:t xml:space="preserve">he Dissemination of </w:t>
      </w:r>
      <w:r w:rsidR="00BD6BE5">
        <w:t>t</w:t>
      </w:r>
      <w:r w:rsidRPr="00573284">
        <w:t>he Kabbalah of</w:t>
      </w:r>
      <w:r w:rsidR="00BD6BE5">
        <w:t xml:space="preserve"> the</w:t>
      </w:r>
      <w:r w:rsidRPr="00573284">
        <w:t xml:space="preserve"> Ari and </w:t>
      </w:r>
      <w:r w:rsidR="00BD6BE5">
        <w:t>t</w:t>
      </w:r>
      <w:r w:rsidRPr="00573284">
        <w:t>he Sabbateans</w:t>
      </w:r>
      <w:r w:rsidR="00573284" w:rsidRPr="00573284">
        <w:t>,”</w:t>
      </w:r>
      <w:r w:rsidRPr="00573284">
        <w:t xml:space="preserve"> </w:t>
      </w:r>
      <w:r w:rsidR="00BD6BE5" w:rsidRPr="00BD6BE5">
        <w:rPr>
          <w:i/>
          <w:iCs/>
        </w:rPr>
        <w:t>Pe</w:t>
      </w:r>
      <w:r w:rsidR="00BD6BE5">
        <w:rPr>
          <w:i/>
          <w:iCs/>
        </w:rPr>
        <w:t>‘</w:t>
      </w:r>
      <w:r w:rsidR="00BD6BE5" w:rsidRPr="00BD6BE5">
        <w:rPr>
          <w:i/>
          <w:iCs/>
        </w:rPr>
        <w:t>amim</w:t>
      </w:r>
      <w:r w:rsidRPr="00573284">
        <w:t xml:space="preserve"> 44 (1990)</w:t>
      </w:r>
      <w:r w:rsidR="00BD6BE5" w:rsidRPr="00BD6BE5">
        <w:t xml:space="preserve"> </w:t>
      </w:r>
      <w:r w:rsidR="00BD6BE5">
        <w:t>(Hebrew)</w:t>
      </w:r>
      <w:r w:rsidR="00BD6BE5" w:rsidRPr="00573284">
        <w:t>,</w:t>
      </w:r>
      <w:r w:rsidRPr="00573284">
        <w:t xml:space="preserve"> 30-5.</w:t>
      </w:r>
    </w:p>
  </w:footnote>
  <w:footnote w:id="37">
    <w:p w14:paraId="391AB6EA" w14:textId="29D3438C" w:rsidR="00426760" w:rsidRPr="00573284" w:rsidRDefault="002F291C" w:rsidP="00C34C0B">
      <w:pPr>
        <w:pStyle w:val="FootnoteText"/>
      </w:pPr>
      <w:r w:rsidRPr="00573284">
        <w:rPr>
          <w:rStyle w:val="FootnoteReference"/>
          <w:rFonts w:cstheme="majorBidi"/>
          <w:szCs w:val="24"/>
        </w:rPr>
        <w:footnoteRef/>
      </w:r>
      <w:r w:rsidRPr="00573284">
        <w:t xml:space="preserve"> </w:t>
      </w:r>
      <w:r w:rsidR="006953D0">
        <w:t>Hallamish</w:t>
      </w:r>
      <w:r w:rsidRPr="00573284">
        <w:t xml:space="preserve">, </w:t>
      </w:r>
      <w:r w:rsidRPr="00BE0E49">
        <w:rPr>
          <w:i/>
          <w:iCs/>
        </w:rPr>
        <w:t>Kabbalah</w:t>
      </w:r>
      <w:r w:rsidRPr="00573284">
        <w:t xml:space="preserve">, 137-138. According to </w:t>
      </w:r>
      <w:r w:rsidR="00BE0E49">
        <w:t>Hallamish</w:t>
      </w:r>
      <w:r w:rsidRPr="00573284">
        <w:t xml:space="preserve">, Lurianic influence can already be found in </w:t>
      </w:r>
      <w:r w:rsidR="00BD6BE5" w:rsidRPr="00573284">
        <w:t xml:space="preserve">Moshe </w:t>
      </w:r>
      <w:r w:rsidR="00BD6BE5">
        <w:t>E</w:t>
      </w:r>
      <w:r w:rsidR="00BD6BE5" w:rsidRPr="00573284">
        <w:t>lba</w:t>
      </w:r>
      <w:r w:rsidR="00BD6BE5">
        <w:t>z’s</w:t>
      </w:r>
      <w:r w:rsidR="00BD6BE5" w:rsidRPr="00573284">
        <w:t xml:space="preserve"> </w:t>
      </w:r>
      <w:r w:rsidRPr="00573284">
        <w:t>commentary on the prayers</w:t>
      </w:r>
      <w:r w:rsidR="00BD6BE5" w:rsidRPr="00BD6BE5">
        <w:t xml:space="preserve"> </w:t>
      </w:r>
      <w:r w:rsidR="00BD6BE5" w:rsidRPr="00BD6BE5">
        <w:rPr>
          <w:i/>
          <w:iCs/>
        </w:rPr>
        <w:t>Heikhal HaKadosh</w:t>
      </w:r>
      <w:r w:rsidR="00BD6BE5" w:rsidRPr="00573284">
        <w:t xml:space="preserve"> (Amsterdam, 1633)</w:t>
      </w:r>
      <w:r w:rsidR="00BD6BE5">
        <w:t>. Elbaz</w:t>
      </w:r>
      <w:r w:rsidRPr="00573284">
        <w:t xml:space="preserve"> </w:t>
      </w:r>
      <w:r w:rsidR="00BD6BE5">
        <w:t>was active</w:t>
      </w:r>
      <w:r w:rsidRPr="00573284">
        <w:t xml:space="preserve"> </w:t>
      </w:r>
      <w:r w:rsidR="00BD6BE5">
        <w:t>the end of the</w:t>
      </w:r>
      <w:r w:rsidRPr="00573284">
        <w:t xml:space="preserve"> sixteenth and</w:t>
      </w:r>
      <w:r w:rsidR="00BD6BE5">
        <w:t xml:space="preserve"> the beginning of the</w:t>
      </w:r>
      <w:r w:rsidRPr="00573284">
        <w:t xml:space="preserve"> seventeenth centur</w:t>
      </w:r>
      <w:r w:rsidR="00BD6BE5">
        <w:t>ies</w:t>
      </w:r>
      <w:r w:rsidRPr="00573284">
        <w:t xml:space="preserve"> in the area of </w:t>
      </w:r>
      <w:r w:rsidR="00BD6BE5">
        <w:t>Dar‘a.</w:t>
      </w:r>
      <w:r w:rsidRPr="00573284">
        <w:t xml:space="preserve"> </w:t>
      </w:r>
      <w:r w:rsidR="00BD6BE5">
        <w:t xml:space="preserve">See </w:t>
      </w:r>
      <w:r w:rsidR="00BD6BE5" w:rsidRPr="00573284">
        <w:t>M</w:t>
      </w:r>
      <w:r w:rsidR="00BD6BE5">
        <w:t>a</w:t>
      </w:r>
      <w:r w:rsidR="00BD6BE5" w:rsidRPr="00573284">
        <w:t>nor, “R</w:t>
      </w:r>
      <w:r w:rsidR="00BD6BE5">
        <w:t>abbi</w:t>
      </w:r>
      <w:r w:rsidR="00BD6BE5" w:rsidRPr="00573284">
        <w:t xml:space="preserve"> Moses Bar Maimon (</w:t>
      </w:r>
      <w:r w:rsidR="00BD6BE5">
        <w:t>E</w:t>
      </w:r>
      <w:r w:rsidR="00BD6BE5" w:rsidRPr="00573284">
        <w:t>lbaz)</w:t>
      </w:r>
      <w:r w:rsidR="00BD6BE5">
        <w:t xml:space="preserve">,” </w:t>
      </w:r>
      <w:r w:rsidR="00BD6BE5" w:rsidRPr="00573284">
        <w:t>218-222</w:t>
      </w:r>
      <w:r w:rsidR="00BD6BE5">
        <w:t>, who</w:t>
      </w:r>
      <w:r w:rsidRPr="00573284">
        <w:t xml:space="preserve"> </w:t>
      </w:r>
      <w:r w:rsidR="00BD6BE5">
        <w:t>rejects</w:t>
      </w:r>
      <w:r w:rsidRPr="00573284">
        <w:t xml:space="preserve"> this possibility.</w:t>
      </w:r>
    </w:p>
  </w:footnote>
  <w:footnote w:id="38">
    <w:p w14:paraId="50E7F5AA" w14:textId="257A413F" w:rsidR="005F725C" w:rsidRPr="00573284" w:rsidRDefault="002F291C" w:rsidP="00C34C0B">
      <w:pPr>
        <w:pStyle w:val="FootnoteText"/>
        <w:rPr>
          <w:rtl/>
        </w:rPr>
      </w:pPr>
      <w:r w:rsidRPr="00573284">
        <w:rPr>
          <w:rStyle w:val="FootnoteReference"/>
          <w:rFonts w:cstheme="majorBidi"/>
          <w:szCs w:val="24"/>
        </w:rPr>
        <w:footnoteRef/>
      </w:r>
      <w:r w:rsidR="00F3527B">
        <w:t xml:space="preserve"> </w:t>
      </w:r>
      <w:r w:rsidRPr="00573284">
        <w:t xml:space="preserve">On the spread of Lurianic Kabbalah in Morocco, see: Benayahu, </w:t>
      </w:r>
      <w:r w:rsidR="007920DF" w:rsidRPr="00573284">
        <w:t>“Rabbi Abraham ben Moses and his son Rabbi Moses</w:t>
      </w:r>
      <w:r w:rsidR="007920DF">
        <w:t>,”</w:t>
      </w:r>
      <w:r w:rsidR="007920DF" w:rsidRPr="00573284">
        <w:t xml:space="preserve"> </w:t>
      </w:r>
      <w:r w:rsidRPr="00573284">
        <w:t xml:space="preserve">10-14,21-26, 44-45, 70-76; Idel, </w:t>
      </w:r>
      <w:r w:rsidRPr="007920DF">
        <w:rPr>
          <w:i/>
          <w:iCs/>
        </w:rPr>
        <w:t>Kabbalah</w:t>
      </w:r>
      <w:r w:rsidRPr="00573284">
        <w:t xml:space="preserve">, </w:t>
      </w:r>
      <w:r w:rsidRPr="00573284">
        <w:t xml:space="preserve">121, </w:t>
      </w:r>
      <w:r w:rsidR="007920DF">
        <w:t>Hall</w:t>
      </w:r>
      <w:r w:rsidRPr="00573284">
        <w:t xml:space="preserve">amish, </w:t>
      </w:r>
      <w:r w:rsidRPr="007920DF">
        <w:rPr>
          <w:i/>
          <w:iCs/>
        </w:rPr>
        <w:t>Kabbalah</w:t>
      </w:r>
      <w:r w:rsidRPr="00573284">
        <w:t>, 138- 141.</w:t>
      </w:r>
    </w:p>
  </w:footnote>
  <w:footnote w:id="39">
    <w:p w14:paraId="6DC86B13" w14:textId="49A7BAA7" w:rsidR="00E201F6" w:rsidRPr="0019344A" w:rsidRDefault="002F291C" w:rsidP="00C34C0B">
      <w:pPr>
        <w:pStyle w:val="FootnoteText"/>
        <w:rPr>
          <w:lang w:val="en-US"/>
        </w:rPr>
      </w:pPr>
      <w:r w:rsidRPr="00573284">
        <w:rPr>
          <w:rStyle w:val="FootnoteReference"/>
          <w:rFonts w:cstheme="majorBidi"/>
          <w:szCs w:val="24"/>
        </w:rPr>
        <w:footnoteRef/>
      </w:r>
      <w:r w:rsidRPr="0019344A">
        <w:rPr>
          <w:lang w:val="en-US"/>
        </w:rPr>
        <w:t xml:space="preserve"> </w:t>
      </w:r>
      <w:r w:rsidR="00AE0402" w:rsidRPr="0019344A">
        <w:rPr>
          <w:i/>
          <w:iCs/>
          <w:lang w:val="en-US"/>
        </w:rPr>
        <w:t>Pri ‘Etz HaGan</w:t>
      </w:r>
      <w:r w:rsidRPr="0019344A">
        <w:rPr>
          <w:lang w:val="en-US"/>
        </w:rPr>
        <w:t xml:space="preserve">, </w:t>
      </w:r>
      <w:r w:rsidR="007610B4" w:rsidRPr="0019344A">
        <w:rPr>
          <w:lang w:val="en-US"/>
        </w:rPr>
        <w:t>vol.2,</w:t>
      </w:r>
      <w:r w:rsidRPr="0019344A">
        <w:rPr>
          <w:lang w:val="en-US"/>
        </w:rPr>
        <w:t xml:space="preserve"> 36a. </w:t>
      </w:r>
      <w:r w:rsidRPr="00573284">
        <w:t xml:space="preserve">And see also </w:t>
      </w:r>
      <w:r w:rsidR="0019344A" w:rsidRPr="0019344A">
        <w:rPr>
          <w:rFonts w:hint="cs"/>
          <w:highlight w:val="yellow"/>
          <w:rtl/>
        </w:rPr>
        <w:t>ח??</w:t>
      </w:r>
      <w:r w:rsidR="0019344A" w:rsidRPr="0019344A">
        <w:rPr>
          <w:highlight w:val="yellow"/>
          <w:lang w:val="en-US"/>
        </w:rPr>
        <w:t>,</w:t>
      </w:r>
      <w:r w:rsidR="0019344A">
        <w:rPr>
          <w:lang w:val="en-US"/>
        </w:rPr>
        <w:t xml:space="preserve"> 45a</w:t>
      </w:r>
    </w:p>
  </w:footnote>
  <w:footnote w:id="40">
    <w:p w14:paraId="3CC09C75" w14:textId="0673918A" w:rsidR="00886021" w:rsidRPr="00573284" w:rsidRDefault="002F291C" w:rsidP="00C34C0B">
      <w:pPr>
        <w:pStyle w:val="FootnoteText"/>
        <w:rPr>
          <w:rtl/>
        </w:rPr>
      </w:pPr>
      <w:r w:rsidRPr="00573284">
        <w:rPr>
          <w:rStyle w:val="FootnoteReference"/>
          <w:rFonts w:cstheme="majorBidi"/>
          <w:szCs w:val="24"/>
        </w:rPr>
        <w:footnoteRef/>
      </w:r>
      <w:r w:rsidR="00F3527B">
        <w:t xml:space="preserve"> </w:t>
      </w:r>
      <w:r w:rsidRPr="00573284">
        <w:t xml:space="preserve">See: Gershom Scholem, </w:t>
      </w:r>
      <w:r w:rsidR="001C3D11" w:rsidRPr="003E4DBA">
        <w:rPr>
          <w:i/>
          <w:iCs/>
        </w:rPr>
        <w:t>Elements of the Kabbalah and its Symbolism</w:t>
      </w:r>
      <w:r w:rsidRPr="00573284">
        <w:t xml:space="preserve"> </w:t>
      </w:r>
      <w:r w:rsidR="003E4DBA">
        <w:t>(</w:t>
      </w:r>
      <w:r w:rsidRPr="00573284">
        <w:t>Jerusalem</w:t>
      </w:r>
      <w:r w:rsidR="003E4DBA">
        <w:t>: Mossad Bialik,</w:t>
      </w:r>
      <w:r w:rsidRPr="00573284">
        <w:t>1981</w:t>
      </w:r>
      <w:r w:rsidR="003E4DBA">
        <w:t>) (Hebrew)</w:t>
      </w:r>
      <w:r w:rsidRPr="00573284">
        <w:t>, 319- 322.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1tjA3NjY0sjQ0srBQ0lEKTi0uzszPAykwrgUAnkBt5SwAAAA="/>
  </w:docVars>
  <w:rsids>
    <w:rsidRoot w:val="00DD5978"/>
    <w:rsid w:val="000025DB"/>
    <w:rsid w:val="00004837"/>
    <w:rsid w:val="00007389"/>
    <w:rsid w:val="00011774"/>
    <w:rsid w:val="000150F2"/>
    <w:rsid w:val="00015C8A"/>
    <w:rsid w:val="00017CE8"/>
    <w:rsid w:val="000275F3"/>
    <w:rsid w:val="00062A2D"/>
    <w:rsid w:val="00066E85"/>
    <w:rsid w:val="0009310A"/>
    <w:rsid w:val="000B00B6"/>
    <w:rsid w:val="000B0235"/>
    <w:rsid w:val="000B2D57"/>
    <w:rsid w:val="000C02D1"/>
    <w:rsid w:val="000D5BA3"/>
    <w:rsid w:val="000E059F"/>
    <w:rsid w:val="000E3B0C"/>
    <w:rsid w:val="000E58FC"/>
    <w:rsid w:val="000E6813"/>
    <w:rsid w:val="000F144C"/>
    <w:rsid w:val="000F7F90"/>
    <w:rsid w:val="00102692"/>
    <w:rsid w:val="00107560"/>
    <w:rsid w:val="00110232"/>
    <w:rsid w:val="0011488D"/>
    <w:rsid w:val="00117BD7"/>
    <w:rsid w:val="00120ECD"/>
    <w:rsid w:val="00144FA1"/>
    <w:rsid w:val="00157EC8"/>
    <w:rsid w:val="00171D51"/>
    <w:rsid w:val="0017228A"/>
    <w:rsid w:val="00175A53"/>
    <w:rsid w:val="00185B01"/>
    <w:rsid w:val="0019035C"/>
    <w:rsid w:val="0019344A"/>
    <w:rsid w:val="00197631"/>
    <w:rsid w:val="001A6B8C"/>
    <w:rsid w:val="001A79AC"/>
    <w:rsid w:val="001C31D9"/>
    <w:rsid w:val="001C3D11"/>
    <w:rsid w:val="001D0BFE"/>
    <w:rsid w:val="001D26C3"/>
    <w:rsid w:val="001D30B6"/>
    <w:rsid w:val="001D41B5"/>
    <w:rsid w:val="001E23AE"/>
    <w:rsid w:val="001F0F7E"/>
    <w:rsid w:val="001F1842"/>
    <w:rsid w:val="001F43A0"/>
    <w:rsid w:val="0020719C"/>
    <w:rsid w:val="0021224C"/>
    <w:rsid w:val="00216BE3"/>
    <w:rsid w:val="00217A53"/>
    <w:rsid w:val="00234327"/>
    <w:rsid w:val="002362B1"/>
    <w:rsid w:val="00241DF0"/>
    <w:rsid w:val="0024794F"/>
    <w:rsid w:val="00257F96"/>
    <w:rsid w:val="002628D6"/>
    <w:rsid w:val="00264F03"/>
    <w:rsid w:val="0026775D"/>
    <w:rsid w:val="00270221"/>
    <w:rsid w:val="00270D88"/>
    <w:rsid w:val="00274D8B"/>
    <w:rsid w:val="002824FE"/>
    <w:rsid w:val="00284191"/>
    <w:rsid w:val="002910A4"/>
    <w:rsid w:val="00291859"/>
    <w:rsid w:val="00292C41"/>
    <w:rsid w:val="002932E3"/>
    <w:rsid w:val="002A3E31"/>
    <w:rsid w:val="002B43AE"/>
    <w:rsid w:val="002B6000"/>
    <w:rsid w:val="002B6A1D"/>
    <w:rsid w:val="002C12E5"/>
    <w:rsid w:val="002C4EF5"/>
    <w:rsid w:val="002D0E21"/>
    <w:rsid w:val="002D4C74"/>
    <w:rsid w:val="002D4EFC"/>
    <w:rsid w:val="002E548B"/>
    <w:rsid w:val="002E58B4"/>
    <w:rsid w:val="002E7DA8"/>
    <w:rsid w:val="002F291C"/>
    <w:rsid w:val="002F3827"/>
    <w:rsid w:val="00305128"/>
    <w:rsid w:val="003060B0"/>
    <w:rsid w:val="0030662C"/>
    <w:rsid w:val="003103FB"/>
    <w:rsid w:val="0031374D"/>
    <w:rsid w:val="003143BD"/>
    <w:rsid w:val="00334281"/>
    <w:rsid w:val="00342B3E"/>
    <w:rsid w:val="003520FA"/>
    <w:rsid w:val="00365649"/>
    <w:rsid w:val="00372137"/>
    <w:rsid w:val="00372DE7"/>
    <w:rsid w:val="00377953"/>
    <w:rsid w:val="003870F3"/>
    <w:rsid w:val="00387294"/>
    <w:rsid w:val="00390009"/>
    <w:rsid w:val="003937C4"/>
    <w:rsid w:val="003A4C6F"/>
    <w:rsid w:val="003A4FB5"/>
    <w:rsid w:val="003B19DB"/>
    <w:rsid w:val="003C0F62"/>
    <w:rsid w:val="003C42BF"/>
    <w:rsid w:val="003C553F"/>
    <w:rsid w:val="003C570B"/>
    <w:rsid w:val="003D100B"/>
    <w:rsid w:val="003D56D6"/>
    <w:rsid w:val="003D6FCA"/>
    <w:rsid w:val="003E4DBA"/>
    <w:rsid w:val="003E6C26"/>
    <w:rsid w:val="003F4D1C"/>
    <w:rsid w:val="003F7649"/>
    <w:rsid w:val="0040692D"/>
    <w:rsid w:val="00417559"/>
    <w:rsid w:val="004176F5"/>
    <w:rsid w:val="0042498D"/>
    <w:rsid w:val="00426760"/>
    <w:rsid w:val="00426F26"/>
    <w:rsid w:val="00430273"/>
    <w:rsid w:val="0043393E"/>
    <w:rsid w:val="004455BA"/>
    <w:rsid w:val="00447831"/>
    <w:rsid w:val="00450791"/>
    <w:rsid w:val="004600B8"/>
    <w:rsid w:val="004606CB"/>
    <w:rsid w:val="00462271"/>
    <w:rsid w:val="00463BCA"/>
    <w:rsid w:val="00467445"/>
    <w:rsid w:val="004826EC"/>
    <w:rsid w:val="004833DB"/>
    <w:rsid w:val="00485D48"/>
    <w:rsid w:val="004A0B22"/>
    <w:rsid w:val="004A1A86"/>
    <w:rsid w:val="004B1494"/>
    <w:rsid w:val="004B378A"/>
    <w:rsid w:val="004B3EBB"/>
    <w:rsid w:val="004B4FBD"/>
    <w:rsid w:val="004C0FE5"/>
    <w:rsid w:val="004D0264"/>
    <w:rsid w:val="004D1BBC"/>
    <w:rsid w:val="004D51CC"/>
    <w:rsid w:val="004D7131"/>
    <w:rsid w:val="004D7CFD"/>
    <w:rsid w:val="004E3784"/>
    <w:rsid w:val="004E7E40"/>
    <w:rsid w:val="004F0E59"/>
    <w:rsid w:val="004F4C0B"/>
    <w:rsid w:val="004F6CEB"/>
    <w:rsid w:val="00500951"/>
    <w:rsid w:val="005010EF"/>
    <w:rsid w:val="005062D1"/>
    <w:rsid w:val="00512083"/>
    <w:rsid w:val="0051296A"/>
    <w:rsid w:val="005212E8"/>
    <w:rsid w:val="0052250B"/>
    <w:rsid w:val="00522887"/>
    <w:rsid w:val="00527B38"/>
    <w:rsid w:val="00541224"/>
    <w:rsid w:val="00541EDB"/>
    <w:rsid w:val="00550B24"/>
    <w:rsid w:val="00551947"/>
    <w:rsid w:val="005520DC"/>
    <w:rsid w:val="005579A4"/>
    <w:rsid w:val="00573284"/>
    <w:rsid w:val="00575038"/>
    <w:rsid w:val="00577DFA"/>
    <w:rsid w:val="0058372E"/>
    <w:rsid w:val="0058600B"/>
    <w:rsid w:val="00597BD0"/>
    <w:rsid w:val="005A062F"/>
    <w:rsid w:val="005A09B9"/>
    <w:rsid w:val="005A24F7"/>
    <w:rsid w:val="005A622D"/>
    <w:rsid w:val="005B17B1"/>
    <w:rsid w:val="005C1674"/>
    <w:rsid w:val="005C385A"/>
    <w:rsid w:val="005C3B36"/>
    <w:rsid w:val="005D32F4"/>
    <w:rsid w:val="005D7953"/>
    <w:rsid w:val="005E00A8"/>
    <w:rsid w:val="005E1915"/>
    <w:rsid w:val="005E3AA5"/>
    <w:rsid w:val="005E6E65"/>
    <w:rsid w:val="005F071C"/>
    <w:rsid w:val="005F4860"/>
    <w:rsid w:val="005F5B8A"/>
    <w:rsid w:val="005F725C"/>
    <w:rsid w:val="00600A62"/>
    <w:rsid w:val="00602D7B"/>
    <w:rsid w:val="0060641A"/>
    <w:rsid w:val="0060698B"/>
    <w:rsid w:val="00606C7A"/>
    <w:rsid w:val="006203E3"/>
    <w:rsid w:val="00622B9E"/>
    <w:rsid w:val="00624A34"/>
    <w:rsid w:val="00626685"/>
    <w:rsid w:val="006306CB"/>
    <w:rsid w:val="00632EB9"/>
    <w:rsid w:val="00635188"/>
    <w:rsid w:val="00640392"/>
    <w:rsid w:val="00641B3C"/>
    <w:rsid w:val="006466BD"/>
    <w:rsid w:val="00650F9D"/>
    <w:rsid w:val="00656F45"/>
    <w:rsid w:val="006609FE"/>
    <w:rsid w:val="006651AA"/>
    <w:rsid w:val="00667C98"/>
    <w:rsid w:val="00671509"/>
    <w:rsid w:val="00674F4F"/>
    <w:rsid w:val="006763E8"/>
    <w:rsid w:val="00680BB3"/>
    <w:rsid w:val="00682AFE"/>
    <w:rsid w:val="006848B1"/>
    <w:rsid w:val="006953D0"/>
    <w:rsid w:val="006A54AA"/>
    <w:rsid w:val="006A5A50"/>
    <w:rsid w:val="006B479E"/>
    <w:rsid w:val="006D1AD7"/>
    <w:rsid w:val="006D5601"/>
    <w:rsid w:val="006D7169"/>
    <w:rsid w:val="006E6B71"/>
    <w:rsid w:val="006F2CEB"/>
    <w:rsid w:val="00703917"/>
    <w:rsid w:val="0070406C"/>
    <w:rsid w:val="0071022C"/>
    <w:rsid w:val="00715C10"/>
    <w:rsid w:val="00717595"/>
    <w:rsid w:val="00720765"/>
    <w:rsid w:val="0072457E"/>
    <w:rsid w:val="007251F5"/>
    <w:rsid w:val="00730576"/>
    <w:rsid w:val="00735B7E"/>
    <w:rsid w:val="00745767"/>
    <w:rsid w:val="0075272E"/>
    <w:rsid w:val="00752E00"/>
    <w:rsid w:val="00753D85"/>
    <w:rsid w:val="007559D4"/>
    <w:rsid w:val="007610B4"/>
    <w:rsid w:val="007624EC"/>
    <w:rsid w:val="00766B1C"/>
    <w:rsid w:val="00770D96"/>
    <w:rsid w:val="00772F09"/>
    <w:rsid w:val="00773B3C"/>
    <w:rsid w:val="00786EBA"/>
    <w:rsid w:val="00791365"/>
    <w:rsid w:val="007920DF"/>
    <w:rsid w:val="00797CAD"/>
    <w:rsid w:val="007A7321"/>
    <w:rsid w:val="007B19C5"/>
    <w:rsid w:val="007C381F"/>
    <w:rsid w:val="007C389E"/>
    <w:rsid w:val="007C43F9"/>
    <w:rsid w:val="007C6AAF"/>
    <w:rsid w:val="007C7E4C"/>
    <w:rsid w:val="007D20BE"/>
    <w:rsid w:val="007D58C3"/>
    <w:rsid w:val="007D6FE7"/>
    <w:rsid w:val="007D732C"/>
    <w:rsid w:val="007E214E"/>
    <w:rsid w:val="007E5044"/>
    <w:rsid w:val="007F275C"/>
    <w:rsid w:val="007F335A"/>
    <w:rsid w:val="007F4779"/>
    <w:rsid w:val="007F67DC"/>
    <w:rsid w:val="007F70A0"/>
    <w:rsid w:val="0082385E"/>
    <w:rsid w:val="00825D70"/>
    <w:rsid w:val="0082691F"/>
    <w:rsid w:val="008269B8"/>
    <w:rsid w:val="00830439"/>
    <w:rsid w:val="00831904"/>
    <w:rsid w:val="00835145"/>
    <w:rsid w:val="008374A3"/>
    <w:rsid w:val="0084094E"/>
    <w:rsid w:val="00846305"/>
    <w:rsid w:val="00854135"/>
    <w:rsid w:val="008639ED"/>
    <w:rsid w:val="0086736B"/>
    <w:rsid w:val="00874909"/>
    <w:rsid w:val="0088386B"/>
    <w:rsid w:val="0088546B"/>
    <w:rsid w:val="00886021"/>
    <w:rsid w:val="00891E4F"/>
    <w:rsid w:val="0089332E"/>
    <w:rsid w:val="008A48C6"/>
    <w:rsid w:val="008B0A81"/>
    <w:rsid w:val="008B203D"/>
    <w:rsid w:val="008C647C"/>
    <w:rsid w:val="008D364C"/>
    <w:rsid w:val="008D3F6B"/>
    <w:rsid w:val="008E2D27"/>
    <w:rsid w:val="008F1E32"/>
    <w:rsid w:val="008F5C5C"/>
    <w:rsid w:val="008F6E52"/>
    <w:rsid w:val="0090029C"/>
    <w:rsid w:val="00902FA4"/>
    <w:rsid w:val="009177B6"/>
    <w:rsid w:val="00917E1D"/>
    <w:rsid w:val="009202DA"/>
    <w:rsid w:val="0092363C"/>
    <w:rsid w:val="0093114A"/>
    <w:rsid w:val="00933351"/>
    <w:rsid w:val="00935824"/>
    <w:rsid w:val="0094122B"/>
    <w:rsid w:val="00941DCC"/>
    <w:rsid w:val="0094458A"/>
    <w:rsid w:val="00945F4D"/>
    <w:rsid w:val="009521BD"/>
    <w:rsid w:val="00956BCF"/>
    <w:rsid w:val="0096562A"/>
    <w:rsid w:val="00973DFA"/>
    <w:rsid w:val="0097581F"/>
    <w:rsid w:val="00977777"/>
    <w:rsid w:val="00987697"/>
    <w:rsid w:val="009901A4"/>
    <w:rsid w:val="0099214F"/>
    <w:rsid w:val="009A1F92"/>
    <w:rsid w:val="009B20E0"/>
    <w:rsid w:val="009B4226"/>
    <w:rsid w:val="009B4CFE"/>
    <w:rsid w:val="009B6644"/>
    <w:rsid w:val="009C2A82"/>
    <w:rsid w:val="009C4BA9"/>
    <w:rsid w:val="009C50B8"/>
    <w:rsid w:val="009C7A70"/>
    <w:rsid w:val="009D62BB"/>
    <w:rsid w:val="009E3140"/>
    <w:rsid w:val="009E41BD"/>
    <w:rsid w:val="009E5FE0"/>
    <w:rsid w:val="009E6967"/>
    <w:rsid w:val="009F3C01"/>
    <w:rsid w:val="009F4A88"/>
    <w:rsid w:val="00A12ED3"/>
    <w:rsid w:val="00A132EA"/>
    <w:rsid w:val="00A150E7"/>
    <w:rsid w:val="00A23FBB"/>
    <w:rsid w:val="00A3112A"/>
    <w:rsid w:val="00A32E56"/>
    <w:rsid w:val="00A33A3D"/>
    <w:rsid w:val="00A3432B"/>
    <w:rsid w:val="00A37500"/>
    <w:rsid w:val="00A4048D"/>
    <w:rsid w:val="00A45FB3"/>
    <w:rsid w:val="00A51FE6"/>
    <w:rsid w:val="00A56CFE"/>
    <w:rsid w:val="00A57BDF"/>
    <w:rsid w:val="00A57DC2"/>
    <w:rsid w:val="00A6363B"/>
    <w:rsid w:val="00A65FB2"/>
    <w:rsid w:val="00A65FC3"/>
    <w:rsid w:val="00A756A2"/>
    <w:rsid w:val="00A76308"/>
    <w:rsid w:val="00A947C3"/>
    <w:rsid w:val="00A95FDB"/>
    <w:rsid w:val="00AA068C"/>
    <w:rsid w:val="00AA3D08"/>
    <w:rsid w:val="00AA5DFE"/>
    <w:rsid w:val="00AC0B61"/>
    <w:rsid w:val="00AD2BB4"/>
    <w:rsid w:val="00AE0402"/>
    <w:rsid w:val="00AE137E"/>
    <w:rsid w:val="00AF4B53"/>
    <w:rsid w:val="00AF6249"/>
    <w:rsid w:val="00AF6C58"/>
    <w:rsid w:val="00B0119C"/>
    <w:rsid w:val="00B01591"/>
    <w:rsid w:val="00B131A5"/>
    <w:rsid w:val="00B147EE"/>
    <w:rsid w:val="00B201D5"/>
    <w:rsid w:val="00B20470"/>
    <w:rsid w:val="00B2047C"/>
    <w:rsid w:val="00B22356"/>
    <w:rsid w:val="00B25E2B"/>
    <w:rsid w:val="00B303DE"/>
    <w:rsid w:val="00B30B77"/>
    <w:rsid w:val="00B346C5"/>
    <w:rsid w:val="00B35A13"/>
    <w:rsid w:val="00B40EDE"/>
    <w:rsid w:val="00B41625"/>
    <w:rsid w:val="00B454CE"/>
    <w:rsid w:val="00B45DC4"/>
    <w:rsid w:val="00B50A88"/>
    <w:rsid w:val="00B52A4B"/>
    <w:rsid w:val="00B52AA0"/>
    <w:rsid w:val="00B54DB6"/>
    <w:rsid w:val="00B57194"/>
    <w:rsid w:val="00B6150C"/>
    <w:rsid w:val="00B6677B"/>
    <w:rsid w:val="00B72215"/>
    <w:rsid w:val="00B90A0D"/>
    <w:rsid w:val="00B949B2"/>
    <w:rsid w:val="00BA586B"/>
    <w:rsid w:val="00BB1B58"/>
    <w:rsid w:val="00BC0AD1"/>
    <w:rsid w:val="00BD0721"/>
    <w:rsid w:val="00BD3D2F"/>
    <w:rsid w:val="00BD6BE5"/>
    <w:rsid w:val="00BD6F24"/>
    <w:rsid w:val="00BE0E49"/>
    <w:rsid w:val="00BE1F1C"/>
    <w:rsid w:val="00BE2073"/>
    <w:rsid w:val="00BE228D"/>
    <w:rsid w:val="00BE5C01"/>
    <w:rsid w:val="00C05E39"/>
    <w:rsid w:val="00C12CBB"/>
    <w:rsid w:val="00C15785"/>
    <w:rsid w:val="00C15AC2"/>
    <w:rsid w:val="00C20E38"/>
    <w:rsid w:val="00C24925"/>
    <w:rsid w:val="00C34C0B"/>
    <w:rsid w:val="00C36CF4"/>
    <w:rsid w:val="00C37E5C"/>
    <w:rsid w:val="00C42563"/>
    <w:rsid w:val="00C61153"/>
    <w:rsid w:val="00C633CC"/>
    <w:rsid w:val="00C65B13"/>
    <w:rsid w:val="00C67173"/>
    <w:rsid w:val="00C744BE"/>
    <w:rsid w:val="00C86FB1"/>
    <w:rsid w:val="00C91F4A"/>
    <w:rsid w:val="00CA519B"/>
    <w:rsid w:val="00CA5252"/>
    <w:rsid w:val="00CA7F63"/>
    <w:rsid w:val="00CB2025"/>
    <w:rsid w:val="00CB35EE"/>
    <w:rsid w:val="00CC4911"/>
    <w:rsid w:val="00CC4A0A"/>
    <w:rsid w:val="00CC7866"/>
    <w:rsid w:val="00CC7FFE"/>
    <w:rsid w:val="00CD27F5"/>
    <w:rsid w:val="00CD3CA1"/>
    <w:rsid w:val="00CD7E03"/>
    <w:rsid w:val="00CE21C3"/>
    <w:rsid w:val="00CE48D6"/>
    <w:rsid w:val="00CF51C2"/>
    <w:rsid w:val="00D00E5F"/>
    <w:rsid w:val="00D01AA6"/>
    <w:rsid w:val="00D05CE7"/>
    <w:rsid w:val="00D11C20"/>
    <w:rsid w:val="00D12585"/>
    <w:rsid w:val="00D13D2D"/>
    <w:rsid w:val="00D153AA"/>
    <w:rsid w:val="00D166C2"/>
    <w:rsid w:val="00D21396"/>
    <w:rsid w:val="00D349F6"/>
    <w:rsid w:val="00D35403"/>
    <w:rsid w:val="00D36A44"/>
    <w:rsid w:val="00D37F81"/>
    <w:rsid w:val="00D77811"/>
    <w:rsid w:val="00D90542"/>
    <w:rsid w:val="00D93378"/>
    <w:rsid w:val="00D96B40"/>
    <w:rsid w:val="00DA7508"/>
    <w:rsid w:val="00DB296F"/>
    <w:rsid w:val="00DB344C"/>
    <w:rsid w:val="00DC1249"/>
    <w:rsid w:val="00DD5978"/>
    <w:rsid w:val="00DD76C2"/>
    <w:rsid w:val="00DE4B68"/>
    <w:rsid w:val="00DE524A"/>
    <w:rsid w:val="00DF00B7"/>
    <w:rsid w:val="00DF0C39"/>
    <w:rsid w:val="00DF0EA7"/>
    <w:rsid w:val="00E07207"/>
    <w:rsid w:val="00E201F6"/>
    <w:rsid w:val="00E30220"/>
    <w:rsid w:val="00E43779"/>
    <w:rsid w:val="00E440B6"/>
    <w:rsid w:val="00E470FB"/>
    <w:rsid w:val="00E529EB"/>
    <w:rsid w:val="00E5612D"/>
    <w:rsid w:val="00E577A6"/>
    <w:rsid w:val="00E60ABA"/>
    <w:rsid w:val="00E71305"/>
    <w:rsid w:val="00E72AB1"/>
    <w:rsid w:val="00E95CB5"/>
    <w:rsid w:val="00E95EE7"/>
    <w:rsid w:val="00E9622E"/>
    <w:rsid w:val="00E96A4F"/>
    <w:rsid w:val="00E977BD"/>
    <w:rsid w:val="00EA25AD"/>
    <w:rsid w:val="00EA2686"/>
    <w:rsid w:val="00EB49F8"/>
    <w:rsid w:val="00EB5C5D"/>
    <w:rsid w:val="00EB72B4"/>
    <w:rsid w:val="00EC2F7A"/>
    <w:rsid w:val="00ED528F"/>
    <w:rsid w:val="00ED5D3C"/>
    <w:rsid w:val="00ED5F40"/>
    <w:rsid w:val="00ED6F11"/>
    <w:rsid w:val="00ED76B1"/>
    <w:rsid w:val="00EE05D6"/>
    <w:rsid w:val="00EE1C80"/>
    <w:rsid w:val="00EE323C"/>
    <w:rsid w:val="00EE628A"/>
    <w:rsid w:val="00EE7C5E"/>
    <w:rsid w:val="00F02C63"/>
    <w:rsid w:val="00F03373"/>
    <w:rsid w:val="00F0599F"/>
    <w:rsid w:val="00F118BB"/>
    <w:rsid w:val="00F13A11"/>
    <w:rsid w:val="00F15D3B"/>
    <w:rsid w:val="00F202DA"/>
    <w:rsid w:val="00F2213A"/>
    <w:rsid w:val="00F23055"/>
    <w:rsid w:val="00F23AC9"/>
    <w:rsid w:val="00F25646"/>
    <w:rsid w:val="00F25D7D"/>
    <w:rsid w:val="00F3527B"/>
    <w:rsid w:val="00F46522"/>
    <w:rsid w:val="00F47214"/>
    <w:rsid w:val="00F5068B"/>
    <w:rsid w:val="00F53F79"/>
    <w:rsid w:val="00F54CFA"/>
    <w:rsid w:val="00F663A7"/>
    <w:rsid w:val="00F76660"/>
    <w:rsid w:val="00F77220"/>
    <w:rsid w:val="00F86F3D"/>
    <w:rsid w:val="00FA566A"/>
    <w:rsid w:val="00FA5C5B"/>
    <w:rsid w:val="00FB358F"/>
    <w:rsid w:val="00FD02CF"/>
    <w:rsid w:val="00FD48E0"/>
    <w:rsid w:val="00FD4DFE"/>
    <w:rsid w:val="00FD6885"/>
    <w:rsid w:val="00FE49DF"/>
    <w:rsid w:val="00FE5245"/>
    <w:rsid w:val="00FF28E2"/>
    <w:rsid w:val="00FF2B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42517"/>
  <w15:chartTrackingRefBased/>
  <w15:docId w15:val="{CD60FB89-3A08-42A9-8074-33F4C1BE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1BD"/>
    <w:pPr>
      <w:spacing w:after="200" w:line="480" w:lineRule="auto"/>
      <w:contextualSpacing/>
      <w:jc w:val="both"/>
    </w:pPr>
    <w:rPr>
      <w:rFonts w:asciiTheme="majorBidi" w:hAnsiTheme="majorBidi" w:cstheme="majorBidi"/>
      <w:color w:val="000000" w:themeColor="text1"/>
      <w:sz w:val="24"/>
      <w:szCs w:val="24"/>
      <w:lang w:val="en"/>
    </w:rPr>
  </w:style>
  <w:style w:type="paragraph" w:styleId="Heading1">
    <w:name w:val="heading 1"/>
    <w:basedOn w:val="Normal"/>
    <w:next w:val="Normal"/>
    <w:link w:val="Heading1Char"/>
    <w:uiPriority w:val="9"/>
    <w:qFormat/>
    <w:rsid w:val="00F3527B"/>
    <w:pPr>
      <w:jc w:val="lef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C34C0B"/>
  </w:style>
  <w:style w:type="character" w:customStyle="1" w:styleId="FootnoteTextChar">
    <w:name w:val="Footnote Text Char"/>
    <w:basedOn w:val="DefaultParagraphFont"/>
    <w:link w:val="FootnoteText"/>
    <w:rsid w:val="00C34C0B"/>
    <w:rPr>
      <w:rFonts w:asciiTheme="majorBidi" w:hAnsiTheme="majorBidi" w:cstheme="majorBidi"/>
      <w:color w:val="000000" w:themeColor="text1"/>
      <w:sz w:val="24"/>
      <w:szCs w:val="24"/>
      <w:lang w:val="en"/>
    </w:rPr>
  </w:style>
  <w:style w:type="character" w:styleId="FootnoteReference">
    <w:name w:val="footnote reference"/>
    <w:basedOn w:val="DefaultParagraphFont"/>
    <w:semiHidden/>
    <w:rsid w:val="00DD5978"/>
    <w:rPr>
      <w:rFonts w:cs="David"/>
      <w:szCs w:val="22"/>
      <w:vertAlign w:val="superscript"/>
    </w:rPr>
  </w:style>
  <w:style w:type="paragraph" w:styleId="ListParagraph">
    <w:name w:val="List Paragraph"/>
    <w:basedOn w:val="Normal"/>
    <w:uiPriority w:val="34"/>
    <w:qFormat/>
    <w:rsid w:val="00F663A7"/>
    <w:pPr>
      <w:ind w:left="720"/>
    </w:pPr>
  </w:style>
  <w:style w:type="paragraph" w:styleId="NoSpacing">
    <w:name w:val="No Spacing"/>
    <w:uiPriority w:val="1"/>
    <w:qFormat/>
    <w:rsid w:val="00846305"/>
    <w:pPr>
      <w:bidi/>
      <w:spacing w:after="0" w:line="240" w:lineRule="auto"/>
    </w:pPr>
  </w:style>
  <w:style w:type="paragraph" w:styleId="Quote">
    <w:name w:val="Quote"/>
    <w:basedOn w:val="Normal"/>
    <w:next w:val="Normal"/>
    <w:link w:val="QuoteChar"/>
    <w:uiPriority w:val="99"/>
    <w:qFormat/>
    <w:rsid w:val="006F2CEB"/>
    <w:pPr>
      <w:spacing w:after="0"/>
      <w:ind w:left="720" w:right="720"/>
    </w:pPr>
    <w:rPr>
      <w:rFonts w:ascii="Times New Roman" w:eastAsia="Times New Roman" w:hAnsi="Times New Roman" w:cs="David"/>
    </w:rPr>
  </w:style>
  <w:style w:type="character" w:customStyle="1" w:styleId="QuoteChar">
    <w:name w:val="Quote Char"/>
    <w:basedOn w:val="DefaultParagraphFont"/>
    <w:link w:val="Quote"/>
    <w:uiPriority w:val="99"/>
    <w:rsid w:val="006F2CEB"/>
    <w:rPr>
      <w:rFonts w:ascii="Times New Roman" w:eastAsia="Times New Roman" w:hAnsi="Times New Roman" w:cs="David"/>
      <w:color w:val="000000" w:themeColor="text1"/>
      <w:sz w:val="24"/>
      <w:szCs w:val="24"/>
      <w:lang w:val="en"/>
    </w:rPr>
  </w:style>
  <w:style w:type="paragraph" w:styleId="Header">
    <w:name w:val="header"/>
    <w:basedOn w:val="Normal"/>
    <w:link w:val="HeaderChar"/>
    <w:uiPriority w:val="99"/>
    <w:unhideWhenUsed/>
    <w:rsid w:val="00C05E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05E39"/>
  </w:style>
  <w:style w:type="paragraph" w:styleId="Footer">
    <w:name w:val="footer"/>
    <w:basedOn w:val="Normal"/>
    <w:link w:val="FooterChar"/>
    <w:uiPriority w:val="99"/>
    <w:unhideWhenUsed/>
    <w:rsid w:val="00C05E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05E39"/>
  </w:style>
  <w:style w:type="character" w:customStyle="1" w:styleId="Heading1Char">
    <w:name w:val="Heading 1 Char"/>
    <w:basedOn w:val="DefaultParagraphFont"/>
    <w:link w:val="Heading1"/>
    <w:uiPriority w:val="9"/>
    <w:rsid w:val="00F3527B"/>
    <w:rPr>
      <w:rFonts w:asciiTheme="majorBidi" w:hAnsiTheme="majorBidi" w:cstheme="majorBidi"/>
      <w:b/>
      <w:bCs/>
      <w:color w:val="000000" w:themeColor="text1"/>
      <w:sz w:val="24"/>
      <w:szCs w:val="24"/>
      <w:lang w:val="en"/>
    </w:rPr>
  </w:style>
  <w:style w:type="paragraph" w:styleId="Title">
    <w:name w:val="Title"/>
    <w:basedOn w:val="Normal"/>
    <w:next w:val="Normal"/>
    <w:link w:val="TitleChar"/>
    <w:uiPriority w:val="10"/>
    <w:qFormat/>
    <w:rsid w:val="009E41BD"/>
    <w:pPr>
      <w:jc w:val="center"/>
    </w:pPr>
    <w:rPr>
      <w:sz w:val="28"/>
      <w:szCs w:val="28"/>
    </w:rPr>
  </w:style>
  <w:style w:type="character" w:customStyle="1" w:styleId="TitleChar">
    <w:name w:val="Title Char"/>
    <w:basedOn w:val="DefaultParagraphFont"/>
    <w:link w:val="Title"/>
    <w:uiPriority w:val="10"/>
    <w:rsid w:val="009E41BD"/>
    <w:rPr>
      <w:rFonts w:asciiTheme="majorBidi" w:hAnsiTheme="majorBidi" w:cstheme="majorBidi"/>
      <w:color w:val="000000" w:themeColor="text1"/>
      <w:sz w:val="28"/>
      <w:szCs w:val="28"/>
      <w:lang w:val="en"/>
    </w:rPr>
  </w:style>
  <w:style w:type="character" w:styleId="CommentReference">
    <w:name w:val="annotation reference"/>
    <w:basedOn w:val="DefaultParagraphFont"/>
    <w:uiPriority w:val="99"/>
    <w:semiHidden/>
    <w:unhideWhenUsed/>
    <w:rsid w:val="009E41BD"/>
    <w:rPr>
      <w:sz w:val="16"/>
      <w:szCs w:val="16"/>
    </w:rPr>
  </w:style>
  <w:style w:type="paragraph" w:styleId="CommentText">
    <w:name w:val="annotation text"/>
    <w:basedOn w:val="Normal"/>
    <w:link w:val="CommentTextChar"/>
    <w:uiPriority w:val="99"/>
    <w:semiHidden/>
    <w:unhideWhenUsed/>
    <w:rsid w:val="009E41BD"/>
    <w:pPr>
      <w:spacing w:line="240" w:lineRule="auto"/>
    </w:pPr>
    <w:rPr>
      <w:sz w:val="20"/>
      <w:szCs w:val="20"/>
    </w:rPr>
  </w:style>
  <w:style w:type="character" w:customStyle="1" w:styleId="CommentTextChar">
    <w:name w:val="Comment Text Char"/>
    <w:basedOn w:val="DefaultParagraphFont"/>
    <w:link w:val="CommentText"/>
    <w:uiPriority w:val="99"/>
    <w:semiHidden/>
    <w:rsid w:val="009E41BD"/>
    <w:rPr>
      <w:rFonts w:asciiTheme="majorBidi" w:hAnsiTheme="majorBidi" w:cstheme="majorBidi"/>
      <w:color w:val="000000" w:themeColor="text1"/>
      <w:sz w:val="20"/>
      <w:szCs w:val="20"/>
      <w:lang w:val="en"/>
    </w:rPr>
  </w:style>
  <w:style w:type="paragraph" w:styleId="CommentSubject">
    <w:name w:val="annotation subject"/>
    <w:basedOn w:val="CommentText"/>
    <w:next w:val="CommentText"/>
    <w:link w:val="CommentSubjectChar"/>
    <w:uiPriority w:val="99"/>
    <w:semiHidden/>
    <w:unhideWhenUsed/>
    <w:rsid w:val="009E41BD"/>
    <w:rPr>
      <w:b/>
      <w:bCs/>
    </w:rPr>
  </w:style>
  <w:style w:type="character" w:customStyle="1" w:styleId="CommentSubjectChar">
    <w:name w:val="Comment Subject Char"/>
    <w:basedOn w:val="CommentTextChar"/>
    <w:link w:val="CommentSubject"/>
    <w:uiPriority w:val="99"/>
    <w:semiHidden/>
    <w:rsid w:val="009E41BD"/>
    <w:rPr>
      <w:rFonts w:asciiTheme="majorBidi" w:hAnsiTheme="majorBidi" w:cstheme="majorBidi"/>
      <w:b/>
      <w:bCs/>
      <w:color w:val="000000" w:themeColor="text1"/>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62B4-FCB9-497E-A954-4DB991A6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6744</TotalTime>
  <Pages>22</Pages>
  <Words>4453</Words>
  <Characters>23084</Characters>
  <Application>Microsoft Office Word</Application>
  <DocSecurity>0</DocSecurity>
  <Lines>357</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Ohana</dc:creator>
  <cp:lastModifiedBy>JA</cp:lastModifiedBy>
  <cp:revision>377</cp:revision>
  <dcterms:created xsi:type="dcterms:W3CDTF">2023-04-18T09:58:00Z</dcterms:created>
  <dcterms:modified xsi:type="dcterms:W3CDTF">2023-11-16T13:34:00Z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00df6d1d73e326cf9ff1216344d3bdbced2ee50dbdc89fba6e959c5ea1931743</vt:lpwstr>
  </property>
</Properties>
</file>