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66BC560" w:rsidR="00847AA3" w:rsidRPr="00AB0264" w:rsidRDefault="00885002" w:rsidP="00623295">
      <w:pPr>
        <w:pStyle w:val="Title"/>
      </w:pPr>
      <w:r w:rsidRPr="00AB0264">
        <w:t>The Story of Susann</w:t>
      </w:r>
      <w:r w:rsidR="00310B61" w:rsidRPr="00AB0264">
        <w:t>a</w:t>
      </w:r>
      <w:r w:rsidR="00AB0264">
        <w:t xml:space="preserve">: </w:t>
      </w:r>
      <w:r w:rsidRPr="00AB0264">
        <w:t xml:space="preserve">Its Versions, </w:t>
      </w:r>
      <w:r w:rsidR="00963CBD">
        <w:t>Motifs</w:t>
      </w:r>
      <w:r w:rsidRPr="00AB0264">
        <w:t xml:space="preserve">, and </w:t>
      </w:r>
      <w:r w:rsidR="00963CBD">
        <w:t xml:space="preserve">its </w:t>
      </w:r>
      <w:r w:rsidRPr="00AB0264">
        <w:t>Connection to the Heifer Whose Neck is</w:t>
      </w:r>
      <w:r w:rsidR="00AB0264">
        <w:t xml:space="preserve"> </w:t>
      </w:r>
      <w:r w:rsidRPr="00AB0264">
        <w:t>Broken</w:t>
      </w:r>
    </w:p>
    <w:p w14:paraId="00000003" w14:textId="77777777" w:rsidR="00847AA3" w:rsidRPr="00AB0264" w:rsidRDefault="00885002" w:rsidP="00623295">
      <w:r w:rsidRPr="00AB0264">
        <w:t>Naama Golan</w:t>
      </w:r>
    </w:p>
    <w:p w14:paraId="4A791976" w14:textId="77777777" w:rsidR="00FF25AB" w:rsidRDefault="00FF25AB" w:rsidP="000A7656"/>
    <w:p w14:paraId="00000004" w14:textId="0BC2CDB8" w:rsidR="00847AA3" w:rsidRPr="00D362F9" w:rsidRDefault="00AB0264" w:rsidP="00623295">
      <w:pPr>
        <w:pStyle w:val="Heading1"/>
        <w:rPr>
          <w:rtl/>
        </w:rPr>
      </w:pPr>
      <w:r w:rsidRPr="00AB0264">
        <w:t>Introduction</w:t>
      </w:r>
    </w:p>
    <w:p w14:paraId="631A6808" w14:textId="2528D3A9" w:rsidR="00BB6FA3" w:rsidRDefault="00885002" w:rsidP="000A7656">
      <w:r w:rsidRPr="004C65B4">
        <w:t xml:space="preserve">The story of Susanna is one of the three additions to the </w:t>
      </w:r>
      <w:r w:rsidR="00593A9C">
        <w:t>b</w:t>
      </w:r>
      <w:r w:rsidRPr="004C65B4">
        <w:t>ook of Daniel</w:t>
      </w:r>
      <w:r w:rsidR="00646152">
        <w:t>. It</w:t>
      </w:r>
      <w:r w:rsidRPr="004C65B4">
        <w:t xml:space="preserve"> does not appear in the</w:t>
      </w:r>
      <w:r w:rsidR="00646152">
        <w:t xml:space="preserve"> text of Daniel, but</w:t>
      </w:r>
      <w:r w:rsidR="007260B1">
        <w:t xml:space="preserve"> </w:t>
      </w:r>
      <w:r w:rsidRPr="004C65B4">
        <w:t xml:space="preserve">is found in two Greek versions: the </w:t>
      </w:r>
      <w:r w:rsidR="00E57D42">
        <w:t xml:space="preserve">Septuagint </w:t>
      </w:r>
      <w:r w:rsidRPr="004C65B4">
        <w:t>(OG) and the</w:t>
      </w:r>
      <w:r w:rsidR="00903A02">
        <w:t xml:space="preserve"> </w:t>
      </w:r>
      <w:r w:rsidRPr="004C65B4">
        <w:t>Theodotion</w:t>
      </w:r>
      <w:r w:rsidR="00DA7B2C">
        <w:t xml:space="preserve">. </w:t>
      </w:r>
      <w:r w:rsidR="007950B2">
        <w:t xml:space="preserve">Scholars disagree </w:t>
      </w:r>
      <w:r w:rsidR="007260B1">
        <w:t xml:space="preserve">regarding whether the story was originally </w:t>
      </w:r>
      <w:r w:rsidRPr="004C65B4">
        <w:t xml:space="preserve">written in a Semitic language (Hebrew or Aramaic) or </w:t>
      </w:r>
      <w:r w:rsidR="007260B1">
        <w:t xml:space="preserve">in </w:t>
      </w:r>
      <w:commentRangeStart w:id="0"/>
      <w:r w:rsidRPr="004C65B4">
        <w:t>Greek</w:t>
      </w:r>
      <w:commentRangeEnd w:id="0"/>
      <w:r w:rsidR="00151B95">
        <w:rPr>
          <w:rStyle w:val="CommentReference"/>
        </w:rPr>
        <w:commentReference w:id="0"/>
      </w:r>
      <w:r w:rsidRPr="004C65B4">
        <w:t>.</w:t>
      </w:r>
      <w:r w:rsidR="007950B2">
        <w:rPr>
          <w:rStyle w:val="FootnoteReference"/>
          <w:rFonts w:cstheme="majorBidi"/>
          <w:color w:val="000000"/>
          <w:szCs w:val="24"/>
        </w:rPr>
        <w:footnoteReference w:id="1"/>
      </w:r>
      <w:r w:rsidR="00D67A22">
        <w:t xml:space="preserve"> </w:t>
      </w:r>
      <w:r w:rsidR="007260B1">
        <w:t xml:space="preserve">There are significant differences between </w:t>
      </w:r>
      <w:r w:rsidRPr="004C65B4">
        <w:t>the two Greek versions.</w:t>
      </w:r>
      <w:r w:rsidR="00BA633A">
        <w:rPr>
          <w:rStyle w:val="FootnoteReference"/>
          <w:rFonts w:cstheme="majorBidi"/>
          <w:color w:val="000000"/>
          <w:szCs w:val="24"/>
        </w:rPr>
        <w:footnoteReference w:id="2"/>
      </w:r>
      <w:r w:rsidR="00BB6FA3">
        <w:t xml:space="preserve"> </w:t>
      </w:r>
      <w:r w:rsidR="00903A02">
        <w:t xml:space="preserve">Canonized </w:t>
      </w:r>
      <w:r w:rsidRPr="004C65B4">
        <w:t xml:space="preserve">by the Church, </w:t>
      </w:r>
      <w:r w:rsidR="00903A02">
        <w:t>the Theod</w:t>
      </w:r>
      <w:r w:rsidR="00DA7B2C">
        <w:t>otion</w:t>
      </w:r>
      <w:r w:rsidR="00903A02">
        <w:t xml:space="preserve"> version </w:t>
      </w:r>
      <w:r w:rsidRPr="004C65B4">
        <w:t>is significantly longer than the OG</w:t>
      </w:r>
      <w:r w:rsidR="00BA633A">
        <w:rPr>
          <w:rStyle w:val="FootnoteReference"/>
          <w:rFonts w:cstheme="majorBidi"/>
          <w:color w:val="000000"/>
          <w:szCs w:val="24"/>
        </w:rPr>
        <w:footnoteReference w:id="3"/>
      </w:r>
      <w:r w:rsidRPr="004C65B4">
        <w:t xml:space="preserve"> </w:t>
      </w:r>
      <w:r w:rsidR="00903A02">
        <w:t>and</w:t>
      </w:r>
      <w:r w:rsidR="00E93108">
        <w:t xml:space="preserve"> </w:t>
      </w:r>
      <w:r w:rsidR="00E20DD6">
        <w:t xml:space="preserve">is located </w:t>
      </w:r>
      <w:r w:rsidR="00985996">
        <w:t xml:space="preserve">before the beginning of the </w:t>
      </w:r>
      <w:r w:rsidR="00593A9C">
        <w:t>b</w:t>
      </w:r>
      <w:r w:rsidR="00985996">
        <w:t>ook of Daniel</w:t>
      </w:r>
      <w:r w:rsidR="00004652">
        <w:t xml:space="preserve"> whereas</w:t>
      </w:r>
      <w:r w:rsidR="005C5FA6">
        <w:t xml:space="preserve"> </w:t>
      </w:r>
      <w:r w:rsidRPr="004C65B4">
        <w:t xml:space="preserve">the </w:t>
      </w:r>
      <w:r w:rsidR="0095542E">
        <w:t xml:space="preserve">Susanna </w:t>
      </w:r>
      <w:r w:rsidRPr="004C65B4">
        <w:t xml:space="preserve">story </w:t>
      </w:r>
      <w:r w:rsidR="0095542E">
        <w:t>appears</w:t>
      </w:r>
      <w:r w:rsidR="00985996">
        <w:t xml:space="preserve"> in </w:t>
      </w:r>
      <w:r w:rsidR="0095542E">
        <w:t xml:space="preserve">different places </w:t>
      </w:r>
      <w:r w:rsidR="00AB0264">
        <w:t>in the</w:t>
      </w:r>
      <w:r w:rsidR="0095542E">
        <w:t xml:space="preserve"> various</w:t>
      </w:r>
      <w:r w:rsidRPr="004C65B4">
        <w:t xml:space="preserve"> versions</w:t>
      </w:r>
      <w:r w:rsidR="005C5FA6">
        <w:t xml:space="preserve"> of the OG</w:t>
      </w:r>
      <w:r w:rsidR="00985996">
        <w:t>,</w:t>
      </w:r>
      <w:r w:rsidR="00985996">
        <w:rPr>
          <w:rStyle w:val="FootnoteReference"/>
          <w:rFonts w:cstheme="majorBidi"/>
          <w:color w:val="000000"/>
          <w:szCs w:val="24"/>
        </w:rPr>
        <w:footnoteReference w:id="4"/>
      </w:r>
      <w:r w:rsidR="00985996">
        <w:t xml:space="preserve"> </w:t>
      </w:r>
      <w:r w:rsidR="00BB6FA3">
        <w:t>suggesting</w:t>
      </w:r>
      <w:r w:rsidR="00985996">
        <w:t xml:space="preserve"> </w:t>
      </w:r>
      <w:r w:rsidRPr="004C65B4">
        <w:t xml:space="preserve">that </w:t>
      </w:r>
      <w:r w:rsidR="005C5FA6">
        <w:t>Susanna</w:t>
      </w:r>
      <w:r w:rsidRPr="004C65B4">
        <w:t xml:space="preserve"> was added to the </w:t>
      </w:r>
      <w:r w:rsidR="00593A9C">
        <w:t>b</w:t>
      </w:r>
      <w:r w:rsidRPr="004C65B4">
        <w:t>ook of Daniel at a later stage.</w:t>
      </w:r>
    </w:p>
    <w:p w14:paraId="00000005" w14:textId="0882F59E" w:rsidR="00847AA3" w:rsidRPr="004C65B4" w:rsidRDefault="00885002" w:rsidP="000A7656">
      <w:r w:rsidRPr="004C65B4">
        <w:t xml:space="preserve">In this article, I intend to address the relationship between the different versions of the </w:t>
      </w:r>
      <w:r w:rsidRPr="004C65B4">
        <w:lastRenderedPageBreak/>
        <w:t xml:space="preserve">story of Susanna, the genre of the story, to highlight the connection between the story of Susanna and the law of the </w:t>
      </w:r>
      <w:r w:rsidR="005C5FA6">
        <w:t>h</w:t>
      </w:r>
      <w:r w:rsidRPr="004C65B4">
        <w:t xml:space="preserve">eifer </w:t>
      </w:r>
      <w:r w:rsidR="005C5FA6">
        <w:t>w</w:t>
      </w:r>
      <w:r w:rsidRPr="004C65B4">
        <w:t xml:space="preserve">hose </w:t>
      </w:r>
      <w:r w:rsidR="005C5FA6">
        <w:t>n</w:t>
      </w:r>
      <w:r w:rsidRPr="004C65B4">
        <w:t xml:space="preserve">eck is </w:t>
      </w:r>
      <w:r w:rsidR="005C5FA6">
        <w:t>b</w:t>
      </w:r>
      <w:r w:rsidRPr="004C65B4">
        <w:t>roken, and to discuss the meaning of th</w:t>
      </w:r>
      <w:r w:rsidR="005C5FA6">
        <w:t>at</w:t>
      </w:r>
      <w:r w:rsidRPr="004C65B4">
        <w:t xml:space="preserve"> </w:t>
      </w:r>
      <w:commentRangeStart w:id="1"/>
      <w:r w:rsidRPr="004C65B4">
        <w:t>connection</w:t>
      </w:r>
      <w:commentRangeEnd w:id="1"/>
      <w:r w:rsidR="005C5FA6">
        <w:rPr>
          <w:rStyle w:val="CommentReference"/>
        </w:rPr>
        <w:commentReference w:id="1"/>
      </w:r>
      <w:r w:rsidRPr="004C65B4">
        <w:t>.</w:t>
      </w:r>
    </w:p>
    <w:p w14:paraId="00000006" w14:textId="3E90A7CD" w:rsidR="00847AA3" w:rsidRPr="004C65B4" w:rsidRDefault="00D362F9" w:rsidP="00623295">
      <w:pPr>
        <w:pStyle w:val="Heading1"/>
      </w:pPr>
      <w:r>
        <w:t xml:space="preserve">1. </w:t>
      </w:r>
      <w:r w:rsidR="00AB0264" w:rsidRPr="008E4E8B">
        <w:t>Reconstruction</w:t>
      </w:r>
      <w:r w:rsidR="00AB0264">
        <w:t xml:space="preserve"> of the Original Story of Susanna</w:t>
      </w:r>
      <w:commentRangeStart w:id="2"/>
      <w:commentRangeEnd w:id="2"/>
      <w:r w:rsidR="00DA7B2C">
        <w:rPr>
          <w:rStyle w:val="CommentReference"/>
        </w:rPr>
        <w:commentReference w:id="2"/>
      </w:r>
    </w:p>
    <w:p w14:paraId="19392F3D" w14:textId="354FC692" w:rsidR="00D362F9" w:rsidRDefault="00C6421A" w:rsidP="000A7656">
      <w:pPr>
        <w:rPr>
          <w:rFonts w:cstheme="majorBidi"/>
          <w:color w:val="000000"/>
          <w:szCs w:val="24"/>
        </w:rPr>
      </w:pPr>
      <w:r>
        <w:t xml:space="preserve">Applying the methodology that </w:t>
      </w:r>
      <w:r w:rsidR="00E93108">
        <w:t xml:space="preserve">he </w:t>
      </w:r>
      <w:r>
        <w:t xml:space="preserve">employed in his </w:t>
      </w:r>
      <w:r w:rsidR="00E93108">
        <w:t xml:space="preserve">study </w:t>
      </w:r>
      <w:r>
        <w:t>of</w:t>
      </w:r>
      <w:r w:rsidR="00885002" w:rsidRPr="004C65B4">
        <w:t xml:space="preserve"> the relationship between the different versions of Daniel 4-6</w:t>
      </w:r>
      <w:r>
        <w:t>,</w:t>
      </w:r>
      <w:r w:rsidR="00AA022F">
        <w:rPr>
          <w:rStyle w:val="FootnoteReference"/>
          <w:rFonts w:cstheme="majorBidi"/>
          <w:color w:val="000000"/>
          <w:szCs w:val="24"/>
        </w:rPr>
        <w:footnoteReference w:id="5"/>
      </w:r>
      <w:r w:rsidR="00885002" w:rsidRPr="004C65B4">
        <w:t xml:space="preserve"> </w:t>
      </w:r>
      <w:r w:rsidR="00E93108">
        <w:t xml:space="preserve">Michael </w:t>
      </w:r>
      <w:r w:rsidR="00885002" w:rsidRPr="004C65B4">
        <w:t xml:space="preserve">Segal </w:t>
      </w:r>
      <w:r w:rsidR="00E93108">
        <w:t xml:space="preserve">has argued </w:t>
      </w:r>
      <w:r w:rsidR="00885002" w:rsidRPr="004C65B4">
        <w:t xml:space="preserve">that it is possible to reconstruct the original </w:t>
      </w:r>
      <w:r w:rsidR="00E93108">
        <w:t xml:space="preserve">Susanna </w:t>
      </w:r>
      <w:r w:rsidR="00885002" w:rsidRPr="004C65B4">
        <w:t>story</w:t>
      </w:r>
      <w:r w:rsidR="00E93108">
        <w:t xml:space="preserve"> </w:t>
      </w:r>
      <w:r w:rsidR="00885002" w:rsidRPr="004C65B4">
        <w:t xml:space="preserve">from which </w:t>
      </w:r>
      <w:r w:rsidR="009F7731">
        <w:t xml:space="preserve">the </w:t>
      </w:r>
      <w:r w:rsidR="00E93108">
        <w:t xml:space="preserve">later </w:t>
      </w:r>
      <w:r w:rsidR="00885002" w:rsidRPr="004C65B4">
        <w:t xml:space="preserve">versions developed. The methodological principle </w:t>
      </w:r>
      <w:r w:rsidR="006672A8">
        <w:t xml:space="preserve">he applies </w:t>
      </w:r>
      <w:r w:rsidR="00885002" w:rsidRPr="004C65B4">
        <w:t>is</w:t>
      </w:r>
      <w:r w:rsidR="00915D42">
        <w:t xml:space="preserve"> clear</w:t>
      </w:r>
      <w:r w:rsidR="00FE2133">
        <w:t>-</w:t>
      </w:r>
      <w:r w:rsidR="00915D42">
        <w:t>cut</w:t>
      </w:r>
      <w:r w:rsidR="00E93108">
        <w:t xml:space="preserve">: </w:t>
      </w:r>
      <w:r w:rsidR="00885002" w:rsidRPr="004C65B4">
        <w:t xml:space="preserve">the narrative core common to all versions constitutes the original literary core of the story. Accordingly, Segal </w:t>
      </w:r>
      <w:r w:rsidR="00E93108">
        <w:t xml:space="preserve">has </w:t>
      </w:r>
      <w:r w:rsidR="00885002" w:rsidRPr="004C65B4">
        <w:t>divide</w:t>
      </w:r>
      <w:r w:rsidR="00E93108">
        <w:t>d</w:t>
      </w:r>
      <w:r w:rsidR="00885002" w:rsidRPr="004C65B4">
        <w:t xml:space="preserve"> the verses of the story of Susanna into three</w:t>
      </w:r>
      <w:r w:rsidR="00915D42">
        <w:t xml:space="preserve"> groups</w:t>
      </w:r>
      <w:r w:rsidR="00885002" w:rsidRPr="004C65B4">
        <w:t xml:space="preserve">: </w:t>
      </w:r>
      <w:r w:rsidR="009F7731">
        <w:t>V</w:t>
      </w:r>
      <w:r w:rsidR="00885002" w:rsidRPr="004C65B4">
        <w:t>erses common to the OG and the Theod</w:t>
      </w:r>
      <w:r w:rsidR="00DA7B2C">
        <w:t>otion</w:t>
      </w:r>
      <w:r w:rsidR="00885002" w:rsidRPr="004C65B4">
        <w:t xml:space="preserve"> version</w:t>
      </w:r>
      <w:r w:rsidR="00E93108">
        <w:t>s</w:t>
      </w:r>
      <w:r w:rsidR="00A72698">
        <w:t xml:space="preserve">, specifically </w:t>
      </w:r>
      <w:r w:rsidR="00A72698" w:rsidRPr="00A72698">
        <w:t>v</w:t>
      </w:r>
      <w:r w:rsidR="00A72698">
        <w:t>v</w:t>
      </w:r>
      <w:r w:rsidR="00A72698" w:rsidRPr="00A72698">
        <w:t>. 5b, 6b, 7b, 8b-10, 14a, 19b, 22-23, 28-35, 36a, 37-39, 40-41, 45, 48, 51-62</w:t>
      </w:r>
      <w:r w:rsidR="00A72698">
        <w:t xml:space="preserve">, constitute the ancient </w:t>
      </w:r>
      <w:r w:rsidR="00885002" w:rsidRPr="004C65B4">
        <w:t>narrative core.</w:t>
      </w:r>
      <w:r w:rsidR="0087515F">
        <w:t xml:space="preserve"> </w:t>
      </w:r>
      <w:r w:rsidR="009F7731">
        <w:t xml:space="preserve">Verses </w:t>
      </w:r>
      <w:r w:rsidR="00903A02">
        <w:t xml:space="preserve">found </w:t>
      </w:r>
      <w:r w:rsidR="00A72698">
        <w:t xml:space="preserve">in </w:t>
      </w:r>
      <w:r w:rsidR="0087515F">
        <w:t xml:space="preserve">the </w:t>
      </w:r>
      <w:r w:rsidR="00A72698">
        <w:t>Theod</w:t>
      </w:r>
      <w:r w:rsidR="00DA7B2C">
        <w:t>otion</w:t>
      </w:r>
      <w:r w:rsidR="00915D42">
        <w:t xml:space="preserve"> version</w:t>
      </w:r>
      <w:r w:rsidR="00903A02">
        <w:t xml:space="preserve"> but not </w:t>
      </w:r>
      <w:r w:rsidR="00885002" w:rsidRPr="004C65B4">
        <w:t>in the OG</w:t>
      </w:r>
      <w:r w:rsidR="00A72698">
        <w:t>, specifically vv.</w:t>
      </w:r>
      <w:r w:rsidR="00885002" w:rsidRPr="004C65B4">
        <w:t xml:space="preserve"> 1-5a, 6a, 7a, 8a, 11-13, 14b-19a, 20-21, 24-27, 46-47, 49-50</w:t>
      </w:r>
      <w:r w:rsidR="009F7731">
        <w:t>,</w:t>
      </w:r>
      <w:r w:rsidR="00885002" w:rsidRPr="004C65B4">
        <w:t xml:space="preserve"> </w:t>
      </w:r>
      <w:r w:rsidR="009F7731">
        <w:t xml:space="preserve">are </w:t>
      </w:r>
      <w:r w:rsidR="00FE2133">
        <w:t>“</w:t>
      </w:r>
      <w:r w:rsidR="00885002" w:rsidRPr="004C65B4">
        <w:t xml:space="preserve">almost certainly additions to the original </w:t>
      </w:r>
      <w:commentRangeStart w:id="3"/>
      <w:r w:rsidR="00885002" w:rsidRPr="004C65B4">
        <w:t>core</w:t>
      </w:r>
      <w:commentRangeEnd w:id="3"/>
      <w:r w:rsidR="006A358C">
        <w:rPr>
          <w:rStyle w:val="CommentReference"/>
        </w:rPr>
        <w:commentReference w:id="3"/>
      </w:r>
      <w:r w:rsidR="006A358C">
        <w:t>.</w:t>
      </w:r>
      <w:r w:rsidR="00FE2133">
        <w:t>”</w:t>
      </w:r>
      <w:r w:rsidR="00885002" w:rsidRPr="004C65B4">
        <w:t xml:space="preserve"> </w:t>
      </w:r>
      <w:r w:rsidR="009F7731">
        <w:t>S</w:t>
      </w:r>
      <w:r w:rsidR="0087515F">
        <w:t>egal does not</w:t>
      </w:r>
      <w:r w:rsidR="009F7731">
        <w:t xml:space="preserve"> </w:t>
      </w:r>
      <w:r w:rsidR="00915D42">
        <w:t xml:space="preserve">present </w:t>
      </w:r>
      <w:r w:rsidR="00562E32">
        <w:t xml:space="preserve">the </w:t>
      </w:r>
      <w:r w:rsidR="0087515F">
        <w:t>verses that appear in the OG but ar</w:t>
      </w:r>
      <w:r w:rsidR="00562E32">
        <w:t>e</w:t>
      </w:r>
      <w:r w:rsidR="0087515F">
        <w:t xml:space="preserve"> missing from Theod</w:t>
      </w:r>
      <w:r w:rsidR="004E552F">
        <w:t>otion,</w:t>
      </w:r>
      <w:r w:rsidR="0087515F">
        <w:t xml:space="preserve"> specifically </w:t>
      </w:r>
      <w:r w:rsidR="009F7731">
        <w:t>vs. 7, 10b, 12-13,</w:t>
      </w:r>
      <w:r w:rsidR="0087515F">
        <w:t xml:space="preserve"> </w:t>
      </w:r>
      <w:r w:rsidR="009F7731">
        <w:t>28, 30b, 51b, 62b</w:t>
      </w:r>
      <w:r w:rsidR="00562E32">
        <w:t xml:space="preserve">, as </w:t>
      </w:r>
      <w:r w:rsidR="001921AE">
        <w:t xml:space="preserve">a </w:t>
      </w:r>
      <w:r w:rsidR="00562E32">
        <w:t>formal</w:t>
      </w:r>
      <w:r w:rsidR="0087515F">
        <w:t xml:space="preserve"> category. Instead, he </w:t>
      </w:r>
      <w:r w:rsidR="0087515F" w:rsidRPr="004C65B4">
        <w:t>inclu</w:t>
      </w:r>
      <w:r w:rsidR="00903A02">
        <w:t>des some of these verses under the</w:t>
      </w:r>
      <w:r w:rsidR="0087515F" w:rsidRPr="004C65B4">
        <w:t xml:space="preserve"> general </w:t>
      </w:r>
      <w:r w:rsidR="00562E32">
        <w:t xml:space="preserve">rubric </w:t>
      </w:r>
      <w:r w:rsidR="0087515F" w:rsidRPr="004C65B4">
        <w:t>of</w:t>
      </w:r>
      <w:r w:rsidR="0087515F">
        <w:t xml:space="preserve"> </w:t>
      </w:r>
      <w:r w:rsidR="00FE2133">
        <w:t>“</w:t>
      </w:r>
      <w:r w:rsidR="0087515F">
        <w:t>parts in which OG and Theod</w:t>
      </w:r>
      <w:r w:rsidR="005508D2">
        <w:t>otion</w:t>
      </w:r>
      <w:r w:rsidR="0087515F">
        <w:t xml:space="preserve"> preserve different </w:t>
      </w:r>
      <w:commentRangeStart w:id="4"/>
      <w:r w:rsidR="0087515F">
        <w:t>readings</w:t>
      </w:r>
      <w:commentRangeEnd w:id="4"/>
      <w:r w:rsidR="006672A8">
        <w:rPr>
          <w:rStyle w:val="CommentReference"/>
        </w:rPr>
        <w:commentReference w:id="4"/>
      </w:r>
      <w:r w:rsidR="00593A9C">
        <w:t>”</w:t>
      </w:r>
      <w:r w:rsidR="0087515F" w:rsidRPr="004C65B4">
        <w:t xml:space="preserve"> and </w:t>
      </w:r>
      <w:r w:rsidR="0087515F">
        <w:t>in this context</w:t>
      </w:r>
      <w:r w:rsidR="00FE2133">
        <w:t>,</w:t>
      </w:r>
      <w:r w:rsidR="0087515F">
        <w:t xml:space="preserve"> </w:t>
      </w:r>
      <w:r w:rsidR="00562E32">
        <w:t xml:space="preserve">he </w:t>
      </w:r>
      <w:r w:rsidR="0087515F" w:rsidRPr="004C65B4">
        <w:t>mentions the final verses (</w:t>
      </w:r>
      <w:r w:rsidR="00915D42">
        <w:t>63-64</w:t>
      </w:r>
      <w:r w:rsidR="0087515F" w:rsidRPr="004C65B4">
        <w:t xml:space="preserve">). </w:t>
      </w:r>
      <w:r w:rsidR="00D5678E">
        <w:t>The division reflects Segal</w:t>
      </w:r>
      <w:r w:rsidR="008E4E8B">
        <w:t>’</w:t>
      </w:r>
      <w:r w:rsidR="00D5678E">
        <w:t xml:space="preserve">s general approach which, in the case of Susanna, </w:t>
      </w:r>
      <w:r w:rsidR="004D545D">
        <w:t xml:space="preserve">regards </w:t>
      </w:r>
      <w:r w:rsidR="00D5678E">
        <w:t xml:space="preserve">the ancient core </w:t>
      </w:r>
      <w:r w:rsidR="00885002" w:rsidRPr="004C65B4">
        <w:t xml:space="preserve">of the story </w:t>
      </w:r>
      <w:r w:rsidR="00D5678E">
        <w:t xml:space="preserve">as </w:t>
      </w:r>
      <w:r w:rsidR="00885002" w:rsidRPr="004C65B4">
        <w:t xml:space="preserve">very similar, or maybe even identical, to the </w:t>
      </w:r>
      <w:r w:rsidR="00D5678E">
        <w:t xml:space="preserve">version in the </w:t>
      </w:r>
      <w:r w:rsidR="00885002" w:rsidRPr="004C65B4">
        <w:t>OG.</w:t>
      </w:r>
      <w:r w:rsidR="004D545D">
        <w:t xml:space="preserve"> </w:t>
      </w:r>
      <w:r w:rsidR="00915D42">
        <w:t>I</w:t>
      </w:r>
      <w:r w:rsidR="005701F3">
        <w:t>n the first part of this</w:t>
      </w:r>
      <w:r w:rsidR="00915D42">
        <w:t xml:space="preserve"> essay</w:t>
      </w:r>
      <w:r w:rsidR="00FE2133">
        <w:t>,</w:t>
      </w:r>
      <w:r w:rsidR="00915D42">
        <w:t xml:space="preserve"> </w:t>
      </w:r>
      <w:r w:rsidR="00D5678E" w:rsidRPr="00D5678E">
        <w:t xml:space="preserve">I take issue with </w:t>
      </w:r>
      <w:r w:rsidR="009940C8">
        <w:t xml:space="preserve">some </w:t>
      </w:r>
      <w:r w:rsidR="00061E39">
        <w:t xml:space="preserve">aspects </w:t>
      </w:r>
      <w:r w:rsidR="009940C8">
        <w:t>of Segal</w:t>
      </w:r>
      <w:r w:rsidR="008E4E8B">
        <w:t>’</w:t>
      </w:r>
      <w:r w:rsidR="009940C8">
        <w:t xml:space="preserve">s analysis. </w:t>
      </w:r>
      <w:commentRangeStart w:id="5"/>
      <w:r w:rsidR="009940C8">
        <w:t>Specifically</w:t>
      </w:r>
      <w:commentRangeEnd w:id="5"/>
      <w:r w:rsidR="00FE2133">
        <w:rPr>
          <w:rStyle w:val="CommentReference"/>
        </w:rPr>
        <w:commentReference w:id="5"/>
      </w:r>
      <w:r w:rsidR="009940C8">
        <w:t xml:space="preserve">, I demonstrate </w:t>
      </w:r>
      <w:r w:rsidR="006672A8">
        <w:t xml:space="preserve">that although </w:t>
      </w:r>
      <w:r w:rsidR="009940C8">
        <w:t>verses 51</w:t>
      </w:r>
      <w:r w:rsidR="00FE2133">
        <w:t>b</w:t>
      </w:r>
      <w:r w:rsidR="009940C8">
        <w:t xml:space="preserve">, 63-64 </w:t>
      </w:r>
      <w:r w:rsidR="00D5678E" w:rsidRPr="00D5678E">
        <w:t xml:space="preserve">are </w:t>
      </w:r>
      <w:r w:rsidR="00915D42">
        <w:t>significant</w:t>
      </w:r>
      <w:r w:rsidR="006672A8">
        <w:t>,</w:t>
      </w:r>
      <w:r w:rsidR="00061E39">
        <w:t xml:space="preserve"> </w:t>
      </w:r>
      <w:r w:rsidR="00F45F4E">
        <w:t xml:space="preserve">they do not </w:t>
      </w:r>
      <w:commentRangeStart w:id="6"/>
      <w:r w:rsidR="00F45F4E">
        <w:t>belong</w:t>
      </w:r>
      <w:commentRangeEnd w:id="6"/>
      <w:r w:rsidR="00061E39">
        <w:rPr>
          <w:rStyle w:val="CommentReference"/>
        </w:rPr>
        <w:commentReference w:id="6"/>
      </w:r>
      <w:r w:rsidR="00F45F4E">
        <w:t xml:space="preserve"> to the </w:t>
      </w:r>
      <w:r w:rsidR="00F45F4E">
        <w:rPr>
          <w:rFonts w:cstheme="majorBidi"/>
          <w:color w:val="000000"/>
          <w:szCs w:val="24"/>
        </w:rPr>
        <w:t xml:space="preserve">ancient </w:t>
      </w:r>
      <w:r w:rsidR="00061E39">
        <w:rPr>
          <w:rFonts w:cstheme="majorBidi"/>
          <w:color w:val="000000"/>
          <w:szCs w:val="24"/>
        </w:rPr>
        <w:t xml:space="preserve">narrative </w:t>
      </w:r>
      <w:r w:rsidR="00F45F4E">
        <w:rPr>
          <w:rFonts w:cstheme="majorBidi"/>
          <w:color w:val="000000"/>
          <w:szCs w:val="24"/>
        </w:rPr>
        <w:t>core</w:t>
      </w:r>
      <w:r w:rsidR="00061E39">
        <w:rPr>
          <w:rFonts w:cstheme="majorBidi"/>
          <w:color w:val="000000"/>
          <w:szCs w:val="24"/>
        </w:rPr>
        <w:t xml:space="preserve"> of the story</w:t>
      </w:r>
      <w:r w:rsidR="00F45F4E">
        <w:rPr>
          <w:rFonts w:cstheme="majorBidi"/>
          <w:color w:val="000000"/>
          <w:szCs w:val="24"/>
        </w:rPr>
        <w:t>.</w:t>
      </w:r>
      <w:r w:rsidR="00061E39">
        <w:rPr>
          <w:rFonts w:cstheme="majorBidi"/>
          <w:color w:val="000000"/>
          <w:szCs w:val="24"/>
        </w:rPr>
        <w:t xml:space="preserve"> In addition, I explore the possibility that facets of the OG version </w:t>
      </w:r>
      <w:r w:rsidR="001921AE">
        <w:rPr>
          <w:rFonts w:cstheme="majorBidi"/>
          <w:color w:val="000000"/>
          <w:szCs w:val="24"/>
        </w:rPr>
        <w:t xml:space="preserve">may </w:t>
      </w:r>
      <w:r w:rsidR="00061E39">
        <w:rPr>
          <w:rFonts w:cstheme="majorBidi"/>
          <w:color w:val="000000"/>
          <w:szCs w:val="24"/>
        </w:rPr>
        <w:t xml:space="preserve">reflect awareness of </w:t>
      </w:r>
      <w:r w:rsidR="001921AE">
        <w:rPr>
          <w:rFonts w:cstheme="majorBidi"/>
          <w:color w:val="000000"/>
          <w:szCs w:val="24"/>
        </w:rPr>
        <w:t xml:space="preserve">the </w:t>
      </w:r>
      <w:r w:rsidR="00061E39">
        <w:rPr>
          <w:rFonts w:cstheme="majorBidi"/>
          <w:color w:val="000000"/>
          <w:szCs w:val="24"/>
        </w:rPr>
        <w:t>Theod</w:t>
      </w:r>
      <w:r w:rsidR="00DA7B2C">
        <w:rPr>
          <w:rFonts w:cstheme="majorBidi"/>
          <w:color w:val="000000"/>
          <w:szCs w:val="24"/>
        </w:rPr>
        <w:t>otion</w:t>
      </w:r>
      <w:r w:rsidR="00061E39">
        <w:rPr>
          <w:rFonts w:cstheme="majorBidi"/>
          <w:color w:val="000000"/>
          <w:szCs w:val="24"/>
        </w:rPr>
        <w:t xml:space="preserve"> version</w:t>
      </w:r>
      <w:r w:rsidR="00E454EC">
        <w:rPr>
          <w:rFonts w:cstheme="majorBidi"/>
          <w:color w:val="000000"/>
          <w:szCs w:val="24"/>
        </w:rPr>
        <w:t>, suggesting that the Theodotion is the older</w:t>
      </w:r>
      <w:r w:rsidR="00FE2133">
        <w:rPr>
          <w:rFonts w:cstheme="majorBidi"/>
          <w:color w:val="000000"/>
          <w:szCs w:val="24"/>
        </w:rPr>
        <w:t xml:space="preserve"> </w:t>
      </w:r>
      <w:r w:rsidR="00E454EC">
        <w:rPr>
          <w:rFonts w:cstheme="majorBidi"/>
          <w:color w:val="000000"/>
          <w:szCs w:val="24"/>
        </w:rPr>
        <w:t>rescension.</w:t>
      </w:r>
    </w:p>
    <w:p w14:paraId="0000000A" w14:textId="238FC052" w:rsidR="00847AA3" w:rsidRPr="00D362F9" w:rsidRDefault="00D362F9" w:rsidP="00623295">
      <w:pPr>
        <w:pStyle w:val="Heading1"/>
      </w:pPr>
      <w:r w:rsidRPr="00D362F9">
        <w:t xml:space="preserve">1.1 </w:t>
      </w:r>
      <w:commentRangeStart w:id="7"/>
      <w:r w:rsidR="00885002" w:rsidRPr="00D362F9">
        <w:t xml:space="preserve">Homiletical </w:t>
      </w:r>
      <w:r w:rsidR="004D545D" w:rsidRPr="00D362F9">
        <w:t>I</w:t>
      </w:r>
      <w:r w:rsidR="00885002" w:rsidRPr="00D362F9">
        <w:t xml:space="preserve">nterpretation </w:t>
      </w:r>
      <w:r w:rsidR="004D545D" w:rsidRPr="00D362F9">
        <w:t>A</w:t>
      </w:r>
      <w:r w:rsidR="00885002" w:rsidRPr="00D362F9">
        <w:t xml:space="preserve">t the </w:t>
      </w:r>
      <w:r w:rsidR="004D545D" w:rsidRPr="00D362F9">
        <w:t>E</w:t>
      </w:r>
      <w:r w:rsidR="00885002" w:rsidRPr="00D362F9">
        <w:t>nd: (</w:t>
      </w:r>
      <w:r w:rsidR="003C650F" w:rsidRPr="00D362F9">
        <w:t>63-</w:t>
      </w:r>
      <w:commentRangeStart w:id="8"/>
      <w:r w:rsidR="003C650F" w:rsidRPr="00D362F9">
        <w:t>64</w:t>
      </w:r>
      <w:commentRangeEnd w:id="8"/>
      <w:r w:rsidR="004E552F" w:rsidRPr="00D362F9">
        <w:rPr>
          <w:rStyle w:val="CommentReference"/>
          <w:b w:val="0"/>
        </w:rPr>
        <w:commentReference w:id="8"/>
      </w:r>
      <w:r w:rsidR="00885002" w:rsidRPr="00D362F9">
        <w:t>)</w:t>
      </w:r>
      <w:commentRangeEnd w:id="7"/>
      <w:r w:rsidRPr="00D362F9">
        <w:rPr>
          <w:rStyle w:val="CommentReference"/>
          <w:b w:val="0"/>
        </w:rPr>
        <w:commentReference w:id="7"/>
      </w:r>
    </w:p>
    <w:p w14:paraId="72F07D7A" w14:textId="1A860DEA" w:rsidR="00F45F4E" w:rsidRDefault="003F6145" w:rsidP="000A7656">
      <w:r>
        <w:t>I</w:t>
      </w:r>
      <w:r w:rsidR="00885002" w:rsidRPr="004C65B4">
        <w:t>n a</w:t>
      </w:r>
      <w:r w:rsidR="00383D3D">
        <w:t>n earlier</w:t>
      </w:r>
      <w:r w:rsidR="00AC1527">
        <w:t xml:space="preserve"> study</w:t>
      </w:r>
      <w:r w:rsidR="00885002" w:rsidRPr="004C65B4">
        <w:t>, Segal point</w:t>
      </w:r>
      <w:r w:rsidR="00383D3D">
        <w:t>s</w:t>
      </w:r>
      <w:r w:rsidR="00885002" w:rsidRPr="004C65B4">
        <w:t xml:space="preserve"> out that the story of Susanna</w:t>
      </w:r>
      <w:r w:rsidR="00383D3D">
        <w:t xml:space="preserve"> in</w:t>
      </w:r>
      <w:r w:rsidR="00885002" w:rsidRPr="004C65B4">
        <w:t xml:space="preserve"> the OG version</w:t>
      </w:r>
      <w:r w:rsidR="00383D3D">
        <w:t xml:space="preserve"> </w:t>
      </w:r>
      <w:r w:rsidR="00885002" w:rsidRPr="004C65B4">
        <w:t>opens</w:t>
      </w:r>
      <w:r w:rsidR="00383D3D">
        <w:t xml:space="preserve"> and closes with homiletic interpretations. The opening</w:t>
      </w:r>
      <w:r>
        <w:t xml:space="preserve"> </w:t>
      </w:r>
      <w:r>
        <w:rPr>
          <w:rFonts w:ascii="Calibri" w:hAnsi="Calibri" w:cs="Calibri"/>
        </w:rPr>
        <w:t>–</w:t>
      </w:r>
      <w:r w:rsidR="00383D3D">
        <w:t xml:space="preserve"> </w:t>
      </w:r>
      <w:r w:rsidR="00FE2133">
        <w:t>“</w:t>
      </w:r>
      <w:r>
        <w:t>I</w:t>
      </w:r>
      <w:r w:rsidR="00885002" w:rsidRPr="004C65B4">
        <w:t>n that year, two elders from among the people were appointed as judges, about whom the Lord said: wickedness will come out of Babylon</w:t>
      </w:r>
      <w:r w:rsidR="00FE2133">
        <w:t>”</w:t>
      </w:r>
      <w:r w:rsidR="00885002" w:rsidRPr="004C65B4">
        <w:t xml:space="preserve"> (5) </w:t>
      </w:r>
      <w:r>
        <w:rPr>
          <w:rFonts w:ascii="Calibri" w:hAnsi="Calibri" w:cs="Calibri"/>
        </w:rPr>
        <w:t>–</w:t>
      </w:r>
      <w:r>
        <w:t xml:space="preserve"> </w:t>
      </w:r>
      <w:r w:rsidR="00885002" w:rsidRPr="004C65B4">
        <w:t xml:space="preserve">is an interpretation of the verse </w:t>
      </w:r>
      <w:r w:rsidR="00FE2133">
        <w:t>“</w:t>
      </w:r>
      <w:r w:rsidR="00885002" w:rsidRPr="004C65B4">
        <w:t>For out of Zion shall go forth the law</w:t>
      </w:r>
      <w:r w:rsidR="00FE2133">
        <w:t>”</w:t>
      </w:r>
      <w:r>
        <w:t xml:space="preserve"> (Is</w:t>
      </w:r>
      <w:r w:rsidR="003C650F">
        <w:t>a.</w:t>
      </w:r>
      <w:r>
        <w:t xml:space="preserve"> 2:3) that</w:t>
      </w:r>
      <w:r w:rsidR="00885002" w:rsidRPr="004C65B4">
        <w:t xml:space="preserve"> emphasizes the contrast between Zion and Babylon, between law (νόμος), and wickedness (ἀνομία).</w:t>
      </w:r>
      <w:r w:rsidR="00D510F5">
        <w:rPr>
          <w:rStyle w:val="FootnoteReference"/>
          <w:rFonts w:cstheme="majorBidi"/>
          <w:color w:val="000000"/>
          <w:szCs w:val="24"/>
        </w:rPr>
        <w:footnoteReference w:id="6"/>
      </w:r>
      <w:r>
        <w:t xml:space="preserve"> The closing</w:t>
      </w:r>
      <w:r w:rsidRPr="00623C4C">
        <w:rPr>
          <w:rFonts w:ascii="Times New Roman" w:hAnsi="Times New Roman" w:cs="Times New Roman"/>
        </w:rPr>
        <w:t xml:space="preserve"> – </w:t>
      </w:r>
      <w:r w:rsidR="00FE2133">
        <w:t>“</w:t>
      </w:r>
      <w:r w:rsidR="00885002" w:rsidRPr="004C65B4">
        <w:t>Therefore the boys are the beloved of Jacob in the innocence</w:t>
      </w:r>
      <w:r w:rsidR="009E37AE">
        <w:t xml:space="preserve"> (</w:t>
      </w:r>
      <w:r w:rsidR="009E37AE" w:rsidRPr="00623C4C">
        <w:rPr>
          <w:i/>
          <w:iCs/>
        </w:rPr>
        <w:t>tom</w:t>
      </w:r>
      <w:r w:rsidR="009E37AE">
        <w:t>)</w:t>
      </w:r>
      <w:r w:rsidR="00885002" w:rsidRPr="004C65B4">
        <w:t xml:space="preserve"> of their hearts</w:t>
      </w:r>
      <w:r w:rsidR="00FE2133">
        <w:t>”</w:t>
      </w:r>
      <w:r w:rsidR="00885002" w:rsidRPr="004C65B4">
        <w:t xml:space="preserve"> (63</w:t>
      </w:r>
      <w:r w:rsidR="00885002" w:rsidRPr="003F6145">
        <w:t xml:space="preserve">) </w:t>
      </w:r>
      <w:r w:rsidRPr="00623C4C">
        <w:t xml:space="preserve">– </w:t>
      </w:r>
      <w:r>
        <w:t xml:space="preserve">is </w:t>
      </w:r>
      <w:r w:rsidR="003C650F">
        <w:t xml:space="preserve">an </w:t>
      </w:r>
      <w:r>
        <w:t>interpretatio</w:t>
      </w:r>
      <w:r w:rsidR="003C650F">
        <w:t>n of the biblical description of</w:t>
      </w:r>
      <w:r>
        <w:t xml:space="preserve"> </w:t>
      </w:r>
      <w:r w:rsidR="00885002" w:rsidRPr="004C65B4">
        <w:t xml:space="preserve">Jacob and Esau: </w:t>
      </w:r>
      <w:r w:rsidR="00FE2133">
        <w:t>“</w:t>
      </w:r>
      <w:r w:rsidR="00885002" w:rsidRPr="004C65B4">
        <w:t xml:space="preserve">And the boys grew up, and Esau was a cunning hunter, a man of the field, and Jacob was a </w:t>
      </w:r>
      <w:r w:rsidR="009E37AE">
        <w:t>simple (</w:t>
      </w:r>
      <w:r w:rsidR="009E37AE" w:rsidRPr="00623C4C">
        <w:rPr>
          <w:i/>
          <w:iCs/>
        </w:rPr>
        <w:t>tam</w:t>
      </w:r>
      <w:r w:rsidR="009E37AE">
        <w:t xml:space="preserve">) </w:t>
      </w:r>
      <w:r w:rsidR="00885002" w:rsidRPr="004C65B4">
        <w:t>man, dwelling in tents: And Isaac loved Esau because he ate of his venison, but Rebekah loved Jacob</w:t>
      </w:r>
      <w:r w:rsidR="00FE2133">
        <w:t>”</w:t>
      </w:r>
      <w:r w:rsidR="00885002" w:rsidRPr="004C65B4">
        <w:t xml:space="preserve"> (Gen 25:27-28). Four common motifs appear</w:t>
      </w:r>
      <w:r w:rsidR="003C650F">
        <w:t xml:space="preserve"> in the</w:t>
      </w:r>
      <w:r w:rsidR="006672A8">
        <w:t xml:space="preserve"> last </w:t>
      </w:r>
      <w:r w:rsidR="003C650F">
        <w:t>verses</w:t>
      </w:r>
      <w:r w:rsidR="00885002" w:rsidRPr="004C65B4">
        <w:t>: Jacob, love, boys, and the innocence</w:t>
      </w:r>
      <w:r w:rsidR="009E37AE">
        <w:t xml:space="preserve"> (</w:t>
      </w:r>
      <w:r w:rsidR="009E37AE" w:rsidRPr="00623C4C">
        <w:rPr>
          <w:i/>
          <w:iCs/>
        </w:rPr>
        <w:t>tom</w:t>
      </w:r>
      <w:r w:rsidR="009E37AE">
        <w:t>)</w:t>
      </w:r>
      <w:r w:rsidR="00885002" w:rsidRPr="004C65B4">
        <w:t xml:space="preserve"> of their hearts </w:t>
      </w:r>
      <w:r w:rsidR="009E37AE">
        <w:t xml:space="preserve">reflecting </w:t>
      </w:r>
      <w:r w:rsidR="00FE2133">
        <w:t>“</w:t>
      </w:r>
      <w:r w:rsidR="009E37AE">
        <w:t>simple (</w:t>
      </w:r>
      <w:r w:rsidR="009E37AE" w:rsidRPr="00623C4C">
        <w:rPr>
          <w:i/>
          <w:iCs/>
        </w:rPr>
        <w:t>tam</w:t>
      </w:r>
      <w:r w:rsidR="009E37AE">
        <w:t>)</w:t>
      </w:r>
      <w:r w:rsidR="00885002" w:rsidRPr="004C65B4">
        <w:t xml:space="preserve"> man</w:t>
      </w:r>
      <w:r w:rsidR="00FE2133">
        <w:t>”</w:t>
      </w:r>
      <w:r w:rsidR="00885002" w:rsidRPr="004C65B4">
        <w:t>.</w:t>
      </w:r>
    </w:p>
    <w:p w14:paraId="6FBC9068" w14:textId="2A4CC6D3" w:rsidR="00FE2133" w:rsidRPr="004C65B4" w:rsidRDefault="0032192E" w:rsidP="000A7656">
      <w:r>
        <w:t xml:space="preserve">Focusing in </w:t>
      </w:r>
      <w:commentRangeStart w:id="9"/>
      <w:r>
        <w:t>this</w:t>
      </w:r>
      <w:commentRangeEnd w:id="9"/>
      <w:r>
        <w:rPr>
          <w:rStyle w:val="CommentReference"/>
        </w:rPr>
        <w:commentReference w:id="9"/>
      </w:r>
      <w:r>
        <w:t xml:space="preserve"> article on the closing homily, Segal</w:t>
      </w:r>
      <w:r w:rsidR="00547C7A">
        <w:t xml:space="preserve"> argues that the allusion to the Genesis 25 passage contributes to the negative portrayal of the elders, for the elevation of the younger (Jacob) over the elder (Esau) parallels the elevation of the young Daniel over the elders in the Susanna story particularly as it appears in the OG.</w:t>
      </w:r>
      <w:r w:rsidR="00FE2133">
        <w:t xml:space="preserve"> </w:t>
      </w:r>
      <w:r w:rsidR="000C717B">
        <w:t xml:space="preserve">The </w:t>
      </w:r>
      <w:r w:rsidR="00937896">
        <w:t xml:space="preserve">identification </w:t>
      </w:r>
      <w:r w:rsidR="00885002" w:rsidRPr="004C65B4">
        <w:t xml:space="preserve">of this homiletical interpretation is of </w:t>
      </w:r>
      <w:r w:rsidR="00FE2133">
        <w:t xml:space="preserve">import as </w:t>
      </w:r>
      <w:r w:rsidR="00885002" w:rsidRPr="004C65B4">
        <w:t>the literary gen</w:t>
      </w:r>
      <w:r w:rsidR="00547C7A">
        <w:t xml:space="preserve">re of opening and </w:t>
      </w:r>
      <w:r w:rsidR="00FE2133">
        <w:t>closing a literary unit with a</w:t>
      </w:r>
      <w:r w:rsidR="00547C7A">
        <w:t xml:space="preserve"> </w:t>
      </w:r>
      <w:r w:rsidR="00885002" w:rsidRPr="004C65B4">
        <w:t xml:space="preserve">homiletical interpretation </w:t>
      </w:r>
      <w:r w:rsidR="00FE2133">
        <w:t xml:space="preserve">is also found </w:t>
      </w:r>
      <w:r w:rsidR="00885002" w:rsidRPr="004C65B4">
        <w:t xml:space="preserve">in </w:t>
      </w:r>
      <w:r w:rsidR="00FE2133">
        <w:t xml:space="preserve">Rabbinic </w:t>
      </w:r>
      <w:r w:rsidR="00885002" w:rsidRPr="004C65B4">
        <w:t xml:space="preserve">literature (such as the Midrash </w:t>
      </w:r>
      <w:r w:rsidR="00885002" w:rsidRPr="00623C4C">
        <w:rPr>
          <w:i/>
          <w:iCs/>
        </w:rPr>
        <w:t>Tanhuma</w:t>
      </w:r>
      <w:r w:rsidR="00937896" w:rsidRPr="00623C4C">
        <w:rPr>
          <w:i/>
          <w:iCs/>
        </w:rPr>
        <w:t>/</w:t>
      </w:r>
      <w:r w:rsidR="000C717B" w:rsidRPr="00623C4C">
        <w:rPr>
          <w:i/>
          <w:iCs/>
        </w:rPr>
        <w:t>Yelamdenu</w:t>
      </w:r>
      <w:r w:rsidR="00885002" w:rsidRPr="004C65B4">
        <w:t>)</w:t>
      </w:r>
      <w:r w:rsidR="00937896">
        <w:t xml:space="preserve">. </w:t>
      </w:r>
      <w:r w:rsidR="00FE2133">
        <w:t>This appears to be</w:t>
      </w:r>
      <w:r w:rsidR="00937896">
        <w:t xml:space="preserve"> </w:t>
      </w:r>
      <w:r w:rsidR="00885002" w:rsidRPr="004C65B4">
        <w:t>an early example of the genre.</w:t>
      </w:r>
    </w:p>
    <w:p w14:paraId="2B89141B" w14:textId="5E744A9E" w:rsidR="00FE2133" w:rsidRDefault="00FE2133" w:rsidP="000A7656">
      <w:r>
        <w:t>Going</w:t>
      </w:r>
      <w:r w:rsidR="00937896">
        <w:t xml:space="preserve"> beyond </w:t>
      </w:r>
      <w:r w:rsidR="00885002" w:rsidRPr="004C65B4">
        <w:t xml:space="preserve">identifying the homiletical interpretation, </w:t>
      </w:r>
      <w:r w:rsidR="00937896">
        <w:t xml:space="preserve">Segal </w:t>
      </w:r>
      <w:r w:rsidR="00885002" w:rsidRPr="004C65B4">
        <w:t xml:space="preserve">claims that </w:t>
      </w:r>
      <w:r w:rsidR="00937896">
        <w:t xml:space="preserve">it </w:t>
      </w:r>
      <w:r w:rsidR="00885002" w:rsidRPr="004C65B4">
        <w:t xml:space="preserve">belongs to the ancient core of the story. In this regard, Segal deviates from </w:t>
      </w:r>
      <w:r w:rsidR="00937896">
        <w:t>his own</w:t>
      </w:r>
      <w:r w:rsidR="00885002" w:rsidRPr="004C65B4">
        <w:t xml:space="preserve"> </w:t>
      </w:r>
      <w:r w:rsidR="00937896">
        <w:t xml:space="preserve">classification </w:t>
      </w:r>
      <w:r w:rsidR="00885002" w:rsidRPr="004C65B4">
        <w:t>method</w:t>
      </w:r>
      <w:r w:rsidR="00DF5EAA">
        <w:t>,</w:t>
      </w:r>
      <w:r w:rsidR="00885002" w:rsidRPr="004C65B4">
        <w:t xml:space="preserve"> </w:t>
      </w:r>
      <w:r w:rsidR="00937896">
        <w:t xml:space="preserve">for the homiletical interpretation does not appear in </w:t>
      </w:r>
      <w:r w:rsidR="00A105C8">
        <w:t>the Theod</w:t>
      </w:r>
      <w:r w:rsidR="00DA7B2C">
        <w:t>otion</w:t>
      </w:r>
      <w:r>
        <w:t xml:space="preserve"> version</w:t>
      </w:r>
      <w:r w:rsidR="00885002" w:rsidRPr="004C65B4">
        <w:t xml:space="preserve">. He justifies </w:t>
      </w:r>
      <w:r w:rsidR="0038081C">
        <w:t xml:space="preserve">the </w:t>
      </w:r>
      <w:r w:rsidR="0038081C">
        <w:rPr>
          <w:lang w:bidi="he-IL"/>
        </w:rPr>
        <w:t xml:space="preserve">exception with the argument that </w:t>
      </w:r>
      <w:r w:rsidR="00885002" w:rsidRPr="004C65B4">
        <w:t xml:space="preserve">the </w:t>
      </w:r>
      <w:r w:rsidR="0038081C">
        <w:t xml:space="preserve">criterion </w:t>
      </w:r>
      <w:r w:rsidR="00885002" w:rsidRPr="004C65B4">
        <w:t xml:space="preserve">does not apply to changes </w:t>
      </w:r>
      <w:r w:rsidR="0038081C">
        <w:t>that occur</w:t>
      </w:r>
      <w:r>
        <w:t>red</w:t>
      </w:r>
      <w:r w:rsidR="0038081C">
        <w:t xml:space="preserve"> in the course of </w:t>
      </w:r>
      <w:r w:rsidR="00885002" w:rsidRPr="004C65B4">
        <w:t xml:space="preserve">updating and rewriting. </w:t>
      </w:r>
      <w:r w:rsidR="00A105C8">
        <w:t xml:space="preserve">Consequently, he considers </w:t>
      </w:r>
      <w:r w:rsidR="00885002" w:rsidRPr="004C65B4">
        <w:t>the</w:t>
      </w:r>
      <w:r w:rsidR="0038081C">
        <w:t xml:space="preserve"> homiletical</w:t>
      </w:r>
      <w:r w:rsidR="00885002" w:rsidRPr="004C65B4">
        <w:t xml:space="preserve"> verses </w:t>
      </w:r>
      <w:r w:rsidR="00A105C8">
        <w:t xml:space="preserve">part of </w:t>
      </w:r>
      <w:r w:rsidR="0038081C">
        <w:t xml:space="preserve">the core because of their thematic </w:t>
      </w:r>
      <w:r w:rsidR="0038081C">
        <w:rPr>
          <w:lang w:bidi="he-IL"/>
        </w:rPr>
        <w:t xml:space="preserve">compatibility </w:t>
      </w:r>
      <w:r w:rsidR="0038081C">
        <w:t>with the narrative.</w:t>
      </w:r>
      <w:r w:rsidR="00885002" w:rsidRPr="004C65B4">
        <w:t xml:space="preserve"> </w:t>
      </w:r>
      <w:r w:rsidR="0038081C">
        <w:t xml:space="preserve">I find it </w:t>
      </w:r>
      <w:r w:rsidR="00885002" w:rsidRPr="004C65B4">
        <w:t xml:space="preserve">difficult to accept </w:t>
      </w:r>
      <w:r>
        <w:t>this</w:t>
      </w:r>
      <w:r w:rsidR="009167B9">
        <w:t xml:space="preserve"> claim</w:t>
      </w:r>
      <w:r w:rsidR="00885002" w:rsidRPr="004C65B4">
        <w:t>. A</w:t>
      </w:r>
      <w:r w:rsidR="009167B9">
        <w:t xml:space="preserve"> full citation of </w:t>
      </w:r>
      <w:r w:rsidR="00DA7B2C">
        <w:t xml:space="preserve">the </w:t>
      </w:r>
      <w:r w:rsidR="00885002" w:rsidRPr="004C65B4">
        <w:t xml:space="preserve">verses </w:t>
      </w:r>
      <w:r w:rsidR="009167B9">
        <w:t xml:space="preserve">conveys </w:t>
      </w:r>
      <w:r w:rsidR="00885002" w:rsidRPr="004C65B4">
        <w:t>a sense of disconnection</w:t>
      </w:r>
      <w:r w:rsidR="009167B9">
        <w:t xml:space="preserve">. </w:t>
      </w:r>
      <w:r>
        <w:t>“</w:t>
      </w:r>
      <w:r w:rsidR="00885002" w:rsidRPr="004C65B4">
        <w:t>Therefore the boys are beloved of Jacob in the innocence of their hearts, and we will keep the boys to be men of valor because the boys will fear the Lord and there will be in them a spirit of understanding and knowledge forever and ever</w:t>
      </w:r>
      <w:r>
        <w:t>”</w:t>
      </w:r>
      <w:r w:rsidR="00885002" w:rsidRPr="004C65B4">
        <w:t xml:space="preserve"> (47-</w:t>
      </w:r>
      <w:commentRangeStart w:id="10"/>
      <w:r w:rsidR="00885002" w:rsidRPr="004C65B4">
        <w:t>48</w:t>
      </w:r>
      <w:commentRangeEnd w:id="10"/>
      <w:r w:rsidR="009167B9">
        <w:rPr>
          <w:rStyle w:val="CommentReference"/>
        </w:rPr>
        <w:commentReference w:id="10"/>
      </w:r>
      <w:r w:rsidR="00885002" w:rsidRPr="004C65B4">
        <w:t xml:space="preserve">). The connection between these final verses and the rest of the story </w:t>
      </w:r>
      <w:r>
        <w:t>is</w:t>
      </w:r>
      <w:r w:rsidR="0001222A">
        <w:t xml:space="preserve"> </w:t>
      </w:r>
      <w:r>
        <w:t xml:space="preserve">very </w:t>
      </w:r>
      <w:commentRangeStart w:id="11"/>
      <w:r w:rsidR="00885002" w:rsidRPr="004C65B4">
        <w:t>weak</w:t>
      </w:r>
      <w:commentRangeEnd w:id="11"/>
      <w:r w:rsidR="00E20F24">
        <w:rPr>
          <w:rStyle w:val="CommentReference"/>
        </w:rPr>
        <w:commentReference w:id="11"/>
      </w:r>
      <w:r w:rsidR="00885002" w:rsidRPr="004C65B4">
        <w:t xml:space="preserve">. </w:t>
      </w:r>
      <w:r>
        <w:t>I</w:t>
      </w:r>
      <w:r w:rsidR="00885002" w:rsidRPr="004C65B4">
        <w:t>t is not even clear which boys are being referred to</w:t>
      </w:r>
      <w:r w:rsidR="009167B9">
        <w:t>. Why boys</w:t>
      </w:r>
      <w:r>
        <w:t xml:space="preserve"> in the plural</w:t>
      </w:r>
      <w:r w:rsidR="009167B9">
        <w:t>? In the story</w:t>
      </w:r>
      <w:r>
        <w:t>,</w:t>
      </w:r>
      <w:r w:rsidR="009167B9">
        <w:t xml:space="preserve"> Daniel is the only boy mentioned.</w:t>
      </w:r>
      <w:r w:rsidR="00885002" w:rsidRPr="004C65B4">
        <w:t xml:space="preserve"> </w:t>
      </w:r>
      <w:r>
        <w:t>This</w:t>
      </w:r>
      <w:r w:rsidR="009167B9">
        <w:t xml:space="preserve"> </w:t>
      </w:r>
      <w:r w:rsidR="002229D4">
        <w:t>incomp</w:t>
      </w:r>
      <w:r w:rsidR="009167B9">
        <w:t xml:space="preserve">atibility </w:t>
      </w:r>
      <w:r w:rsidR="002229D4">
        <w:t xml:space="preserve">suggests </w:t>
      </w:r>
      <w:r w:rsidR="00885002" w:rsidRPr="004C65B4">
        <w:t xml:space="preserve">that </w:t>
      </w:r>
      <w:r w:rsidR="002229D4">
        <w:t xml:space="preserve">the closing verses may be a </w:t>
      </w:r>
      <w:r w:rsidR="00885002" w:rsidRPr="004C65B4">
        <w:t>late</w:t>
      </w:r>
      <w:r w:rsidR="002229D4">
        <w:t>r</w:t>
      </w:r>
      <w:r w:rsidR="00885002" w:rsidRPr="004C65B4">
        <w:t xml:space="preserve"> addition.</w:t>
      </w:r>
    </w:p>
    <w:p w14:paraId="00000011" w14:textId="2E5F718E" w:rsidR="00847AA3" w:rsidRPr="004C65B4" w:rsidRDefault="00FE2133" w:rsidP="000A7656">
      <w:r>
        <w:t xml:space="preserve">A </w:t>
      </w:r>
      <w:r w:rsidR="002229D4">
        <w:t xml:space="preserve">comparison </w:t>
      </w:r>
      <w:r>
        <w:t>of the</w:t>
      </w:r>
      <w:r w:rsidR="007B49F6">
        <w:t xml:space="preserve"> endings of the Theod</w:t>
      </w:r>
      <w:r w:rsidR="000620E8">
        <w:t>otion</w:t>
      </w:r>
      <w:r w:rsidR="007B49F6">
        <w:t xml:space="preserve"> and OG versions </w:t>
      </w:r>
      <w:r w:rsidR="00784C46">
        <w:t xml:space="preserve">suggests that </w:t>
      </w:r>
      <w:r w:rsidR="00885002" w:rsidRPr="004C65B4">
        <w:t>this is a secondary addition</w:t>
      </w:r>
      <w:commentRangeStart w:id="12"/>
      <w:r w:rsidR="00885002" w:rsidRPr="004C65B4">
        <w:t>.</w:t>
      </w:r>
      <w:r w:rsidR="00D510F5">
        <w:rPr>
          <w:rStyle w:val="FootnoteReference"/>
          <w:rFonts w:cstheme="majorBidi"/>
          <w:color w:val="000000"/>
          <w:szCs w:val="24"/>
        </w:rPr>
        <w:footnoteReference w:id="7"/>
      </w:r>
      <w:commentRangeEnd w:id="12"/>
      <w:r w:rsidR="000620E8">
        <w:rPr>
          <w:rStyle w:val="CommentReference"/>
        </w:rPr>
        <w:commentReference w:id="12"/>
      </w:r>
      <w:r w:rsidR="00885002" w:rsidRPr="004C65B4">
        <w:t xml:space="preserve"> </w:t>
      </w:r>
      <w:r w:rsidR="007B49F6">
        <w:t xml:space="preserve">The closure to </w:t>
      </w:r>
      <w:r w:rsidR="00885002" w:rsidRPr="004C65B4">
        <w:t xml:space="preserve">the </w:t>
      </w:r>
      <w:r w:rsidR="007B49F6">
        <w:t>Theod</w:t>
      </w:r>
      <w:r w:rsidR="00784C46">
        <w:t>otion</w:t>
      </w:r>
      <w:r w:rsidR="007B49F6">
        <w:t xml:space="preserve"> version of the </w:t>
      </w:r>
      <w:r w:rsidR="00885002" w:rsidRPr="004C65B4">
        <w:t xml:space="preserve">story is very similar to the classic ending of court </w:t>
      </w:r>
      <w:r w:rsidR="007B49F6">
        <w:t xml:space="preserve">tales in which </w:t>
      </w:r>
      <w:r w:rsidR="00885002" w:rsidRPr="004C65B4">
        <w:t>words of praise for God follow</w:t>
      </w:r>
      <w:r w:rsidR="007B49F6">
        <w:t xml:space="preserve"> upon</w:t>
      </w:r>
      <w:r w:rsidR="00885002" w:rsidRPr="004C65B4">
        <w:t xml:space="preserve"> </w:t>
      </w:r>
      <w:r w:rsidR="007B49F6">
        <w:t xml:space="preserve">a </w:t>
      </w:r>
      <w:r w:rsidR="00885002" w:rsidRPr="004C65B4">
        <w:t xml:space="preserve">rescue (similar to Dan </w:t>
      </w:r>
      <w:r w:rsidR="007B49F6">
        <w:t>2:47; 3:</w:t>
      </w:r>
      <w:r w:rsidR="00885002" w:rsidRPr="004C65B4">
        <w:t xml:space="preserve">28-30; </w:t>
      </w:r>
      <w:r w:rsidR="007B49F6">
        <w:t>4:</w:t>
      </w:r>
      <w:r w:rsidR="00885002" w:rsidRPr="004C65B4">
        <w:t>31,</w:t>
      </w:r>
      <w:r w:rsidR="007B49F6">
        <w:t xml:space="preserve"> </w:t>
      </w:r>
      <w:r w:rsidR="00885002" w:rsidRPr="004C65B4">
        <w:t xml:space="preserve">34; </w:t>
      </w:r>
      <w:r w:rsidR="007B49F6">
        <w:t>5:</w:t>
      </w:r>
      <w:r w:rsidR="00885002" w:rsidRPr="004C65B4">
        <w:t xml:space="preserve">2-28) </w:t>
      </w:r>
      <w:r w:rsidR="007B49F6">
        <w:t>and the hero rises to greatness (</w:t>
      </w:r>
      <w:r>
        <w:t>“</w:t>
      </w:r>
      <w:r w:rsidR="00885002" w:rsidRPr="004C65B4">
        <w:t xml:space="preserve">And Daniel became great in the eyes of the people from that day </w:t>
      </w:r>
      <w:commentRangeStart w:id="13"/>
      <w:r w:rsidR="00885002" w:rsidRPr="004C65B4">
        <w:t>forth</w:t>
      </w:r>
      <w:commentRangeEnd w:id="13"/>
      <w:r w:rsidR="00BA7DAE">
        <w:rPr>
          <w:rStyle w:val="CommentReference"/>
        </w:rPr>
        <w:commentReference w:id="13"/>
      </w:r>
      <w:r w:rsidR="00593A9C">
        <w:t>”</w:t>
      </w:r>
      <w:r w:rsidR="0001222A">
        <w:t>).</w:t>
      </w:r>
      <w:r w:rsidR="00885002" w:rsidRPr="004C65B4">
        <w:t xml:space="preserve"> (</w:t>
      </w:r>
      <w:r w:rsidR="00BA7DAE">
        <w:t xml:space="preserve">Compare </w:t>
      </w:r>
      <w:r w:rsidR="00885002" w:rsidRPr="004C65B4">
        <w:t xml:space="preserve">Dan </w:t>
      </w:r>
      <w:r w:rsidR="007B49F6">
        <w:t>1:</w:t>
      </w:r>
      <w:r w:rsidR="00885002" w:rsidRPr="004C65B4">
        <w:t xml:space="preserve">21; </w:t>
      </w:r>
      <w:r w:rsidR="007B49F6">
        <w:t>2:</w:t>
      </w:r>
      <w:r w:rsidR="00885002" w:rsidRPr="004C65B4">
        <w:t xml:space="preserve">48; </w:t>
      </w:r>
      <w:r w:rsidR="007B49F6">
        <w:t>3:</w:t>
      </w:r>
      <w:r w:rsidR="00885002" w:rsidRPr="004C65B4">
        <w:t xml:space="preserve">30; </w:t>
      </w:r>
      <w:r w:rsidR="00BA7DAE">
        <w:t>5:</w:t>
      </w:r>
      <w:r w:rsidR="00885002" w:rsidRPr="004C65B4">
        <w:t xml:space="preserve">29; </w:t>
      </w:r>
      <w:r w:rsidR="00BA7DAE">
        <w:t>6:</w:t>
      </w:r>
      <w:r w:rsidR="00885002" w:rsidRPr="004C65B4">
        <w:t xml:space="preserve">29). </w:t>
      </w:r>
      <w:r w:rsidR="00BA7DAE">
        <w:t xml:space="preserve">By contrast, the closure to the OG version of Susanna stands out as an exception precisely because it does not include the </w:t>
      </w:r>
      <w:r w:rsidR="00885002" w:rsidRPr="004C65B4">
        <w:t xml:space="preserve">two </w:t>
      </w:r>
      <w:r w:rsidR="00BA7DAE">
        <w:t xml:space="preserve">common </w:t>
      </w:r>
      <w:r w:rsidR="00885002" w:rsidRPr="004C65B4">
        <w:t>motif</w:t>
      </w:r>
      <w:r w:rsidR="003F16BA">
        <w:t>s of court stories.</w:t>
      </w:r>
    </w:p>
    <w:p w14:paraId="00000017" w14:textId="1E942C7B" w:rsidR="00847AA3" w:rsidRPr="00D362F9" w:rsidRDefault="00885002" w:rsidP="000A7656">
      <w:r w:rsidRPr="004C65B4">
        <w:t>Segal</w:t>
      </w:r>
      <w:r w:rsidR="00BA7DAE">
        <w:t xml:space="preserve"> argues that the concluding verses </w:t>
      </w:r>
      <w:r w:rsidRPr="004C65B4">
        <w:t>belong to the original core of the story because they emphasize the tension between the elders and the young</w:t>
      </w:r>
      <w:r w:rsidR="00967CA7">
        <w:t xml:space="preserve"> </w:t>
      </w:r>
      <w:r w:rsidRPr="004C65B4">
        <w:t xml:space="preserve">which is a central theme in the </w:t>
      </w:r>
      <w:r w:rsidR="00BA7DAE">
        <w:t>OG</w:t>
      </w:r>
      <w:r w:rsidR="00967CA7">
        <w:t>.</w:t>
      </w:r>
      <w:r w:rsidR="00BA7DAE">
        <w:t xml:space="preserve"> </w:t>
      </w:r>
      <w:r w:rsidRPr="004C65B4">
        <w:t xml:space="preserve">However, this theme is </w:t>
      </w:r>
      <w:r w:rsidR="00967CA7">
        <w:t xml:space="preserve">particularly </w:t>
      </w:r>
      <w:r w:rsidRPr="004C65B4">
        <w:t>emphasized in verses</w:t>
      </w:r>
      <w:r w:rsidR="0033212B">
        <w:t xml:space="preserve"> </w:t>
      </w:r>
      <w:r w:rsidRPr="004C65B4">
        <w:t xml:space="preserve">that appear in the </w:t>
      </w:r>
      <w:r w:rsidR="00BA7DAE">
        <w:t>OG</w:t>
      </w:r>
      <w:r w:rsidR="00967CA7">
        <w:t xml:space="preserve"> and</w:t>
      </w:r>
      <w:r w:rsidR="00BA7DAE">
        <w:t xml:space="preserve"> not in the Theod</w:t>
      </w:r>
      <w:r w:rsidR="00784C46">
        <w:t>otion.</w:t>
      </w:r>
      <w:r w:rsidR="00BA7DAE">
        <w:t xml:space="preserve"> </w:t>
      </w:r>
      <w:r w:rsidR="00967CA7">
        <w:t xml:space="preserve">The words voiced by Daniel in the first part of verse 51 offer a prime </w:t>
      </w:r>
      <w:commentRangeStart w:id="14"/>
      <w:r w:rsidR="00967CA7">
        <w:t>example</w:t>
      </w:r>
      <w:commentRangeEnd w:id="14"/>
      <w:r w:rsidR="00FE2133">
        <w:rPr>
          <w:rStyle w:val="CommentReference"/>
        </w:rPr>
        <w:commentReference w:id="14"/>
      </w:r>
      <w:r w:rsidR="00784C46">
        <w:t xml:space="preserve">: </w:t>
      </w:r>
      <w:r w:rsidR="00FE2133">
        <w:t>“</w:t>
      </w:r>
      <w:r w:rsidRPr="004C65B4">
        <w:t>Now do not look at them as elders to say they will not lie for I will thoroughly investigate them as it was revealed to me</w:t>
      </w:r>
      <w:r w:rsidR="00967CA7">
        <w:t>.</w:t>
      </w:r>
      <w:r w:rsidR="00FE2133">
        <w:t>”</w:t>
      </w:r>
      <w:r w:rsidRPr="004C65B4">
        <w:t xml:space="preserve"> </w:t>
      </w:r>
      <w:r w:rsidR="00967CA7">
        <w:t>Subversively challenging the</w:t>
      </w:r>
      <w:r w:rsidRPr="004C65B4">
        <w:t xml:space="preserve"> prevailing assumption tha</w:t>
      </w:r>
      <w:r w:rsidRPr="00325548">
        <w:t>t the status of the elders grants them immunity</w:t>
      </w:r>
      <w:r w:rsidR="00967CA7">
        <w:t xml:space="preserve">, the young </w:t>
      </w:r>
      <w:r w:rsidRPr="00325548">
        <w:t xml:space="preserve">Daniel </w:t>
      </w:r>
      <w:r w:rsidR="00784C46">
        <w:t xml:space="preserve">insists </w:t>
      </w:r>
      <w:r w:rsidRPr="00325548">
        <w:t>that the</w:t>
      </w:r>
      <w:r w:rsidR="00967CA7">
        <w:t>y</w:t>
      </w:r>
      <w:r w:rsidRPr="00325548">
        <w:t xml:space="preserve"> too need to be investigated. </w:t>
      </w:r>
      <w:r w:rsidR="00967CA7">
        <w:t>Again</w:t>
      </w:r>
      <w:r w:rsidR="00D67A11">
        <w:t xml:space="preserve"> deviating from his classification system,</w:t>
      </w:r>
      <w:r w:rsidR="00967CA7">
        <w:t xml:space="preserve"> </w:t>
      </w:r>
      <w:r w:rsidRPr="00325548">
        <w:t>Segal argues that verse 51 belongs to the original core of the story</w:t>
      </w:r>
      <w:r w:rsidR="00D67A11">
        <w:t xml:space="preserve"> </w:t>
      </w:r>
      <w:r w:rsidRPr="00325548">
        <w:t xml:space="preserve">even though it </w:t>
      </w:r>
      <w:r w:rsidR="00784C46">
        <w:t xml:space="preserve">also </w:t>
      </w:r>
      <w:r w:rsidRPr="00325548">
        <w:t xml:space="preserve">does not appear in </w:t>
      </w:r>
      <w:r w:rsidR="00D67A11">
        <w:t>the Theo</w:t>
      </w:r>
      <w:r w:rsidR="00784C46">
        <w:t>dotion</w:t>
      </w:r>
      <w:r w:rsidRPr="00325548">
        <w:t xml:space="preserve">. </w:t>
      </w:r>
      <w:r w:rsidR="00D67A11">
        <w:t xml:space="preserve">He </w:t>
      </w:r>
      <w:r w:rsidRPr="00325548">
        <w:t>suggests two possibilities</w:t>
      </w:r>
      <w:r w:rsidR="00D67A11">
        <w:t>: either the verse was deleted by Theodotion</w:t>
      </w:r>
      <w:r w:rsidR="00325548" w:rsidRPr="00325548">
        <w:rPr>
          <w:rStyle w:val="FootnoteReference"/>
          <w:rFonts w:cstheme="majorBidi"/>
          <w:color w:val="000000"/>
          <w:szCs w:val="24"/>
        </w:rPr>
        <w:footnoteReference w:id="8"/>
      </w:r>
      <w:r w:rsidRPr="00325548">
        <w:t xml:space="preserve"> or it is a rewrit</w:t>
      </w:r>
      <w:r w:rsidR="00D67A11">
        <w:t>ing</w:t>
      </w:r>
      <w:r w:rsidR="00BF06C4">
        <w:t xml:space="preserve">, neither </w:t>
      </w:r>
      <w:r w:rsidR="007610DE">
        <w:t xml:space="preserve">of </w:t>
      </w:r>
      <w:r w:rsidR="00BF06C4">
        <w:t xml:space="preserve">which is </w:t>
      </w:r>
      <w:r w:rsidR="007610DE">
        <w:t xml:space="preserve">particularly </w:t>
      </w:r>
      <w:r w:rsidR="003F16BA">
        <w:t>convincing</w:t>
      </w:r>
      <w:commentRangeStart w:id="15"/>
      <w:r w:rsidRPr="00325548">
        <w:t>.</w:t>
      </w:r>
      <w:r w:rsidR="00325548" w:rsidRPr="00325548">
        <w:rPr>
          <w:rStyle w:val="FootnoteReference"/>
          <w:rFonts w:cstheme="majorBidi"/>
          <w:color w:val="000000"/>
          <w:szCs w:val="24"/>
        </w:rPr>
        <w:footnoteReference w:id="9"/>
      </w:r>
      <w:commentRangeEnd w:id="15"/>
      <w:r w:rsidR="00D67A11">
        <w:rPr>
          <w:rStyle w:val="CommentReference"/>
        </w:rPr>
        <w:commentReference w:id="15"/>
      </w:r>
      <w:r w:rsidR="007610DE">
        <w:t xml:space="preserve"> </w:t>
      </w:r>
      <w:r w:rsidR="007610DE" w:rsidRPr="007610DE">
        <w:t>S</w:t>
      </w:r>
      <w:r w:rsidRPr="00623C4C">
        <w:t>ince the preference for the young over the elderly appears</w:t>
      </w:r>
      <w:r w:rsidRPr="00623C4C">
        <w:rPr>
          <w:b/>
          <w:bCs/>
        </w:rPr>
        <w:t xml:space="preserve"> </w:t>
      </w:r>
      <w:r w:rsidR="00D361B3">
        <w:rPr>
          <w:bCs/>
        </w:rPr>
        <w:t xml:space="preserve">in the closing verses as well as here (v 51), </w:t>
      </w:r>
      <w:r w:rsidR="007610DE">
        <w:rPr>
          <w:bCs/>
        </w:rPr>
        <w:t xml:space="preserve">all </w:t>
      </w:r>
      <w:r w:rsidR="00D361B3">
        <w:rPr>
          <w:bCs/>
        </w:rPr>
        <w:t xml:space="preserve">unique to the OG, </w:t>
      </w:r>
      <w:r w:rsidRPr="00623C4C">
        <w:t xml:space="preserve">it seems more reasonable to claim, as Segal has argued </w:t>
      </w:r>
      <w:r w:rsidR="008E4E8B" w:rsidRPr="00623C4C">
        <w:t xml:space="preserve">himself </w:t>
      </w:r>
      <w:r w:rsidRPr="00623C4C">
        <w:t>in the past,</w:t>
      </w:r>
      <w:r w:rsidR="00325548" w:rsidRPr="00623C4C">
        <w:rPr>
          <w:rStyle w:val="FootnoteReference"/>
          <w:rFonts w:cstheme="majorBidi"/>
          <w:szCs w:val="24"/>
        </w:rPr>
        <w:footnoteReference w:id="10"/>
      </w:r>
      <w:r w:rsidRPr="00623C4C">
        <w:t xml:space="preserve"> that </w:t>
      </w:r>
      <w:r w:rsidR="008E4E8B">
        <w:t>these are</w:t>
      </w:r>
      <w:r w:rsidR="00D361B3" w:rsidRPr="007610DE">
        <w:t xml:space="preserve"> </w:t>
      </w:r>
      <w:r w:rsidRPr="00623C4C">
        <w:t>later editorial addition</w:t>
      </w:r>
      <w:r w:rsidR="00D361B3" w:rsidRPr="007610DE">
        <w:t>s</w:t>
      </w:r>
      <w:r w:rsidRPr="00623C4C">
        <w:t xml:space="preserve"> which sought to paint the classic courtyard story in a different color and emphasize</w:t>
      </w:r>
      <w:r w:rsidR="008E4E8B">
        <w:t xml:space="preserve"> the</w:t>
      </w:r>
      <w:r w:rsidR="005413E9" w:rsidRPr="007610DE">
        <w:t xml:space="preserve"> </w:t>
      </w:r>
      <w:r w:rsidR="008E4E8B" w:rsidRPr="007610DE">
        <w:t>theme</w:t>
      </w:r>
      <w:r w:rsidR="008E4E8B">
        <w:t xml:space="preserve"> of </w:t>
      </w:r>
      <w:r w:rsidR="005413E9" w:rsidRPr="007610DE">
        <w:t xml:space="preserve">the </w:t>
      </w:r>
      <w:r w:rsidR="00D71A08">
        <w:t>elevation of the young</w:t>
      </w:r>
      <w:r w:rsidRPr="00623C4C">
        <w:t>.</w:t>
      </w:r>
      <w:r w:rsidR="00325548" w:rsidRPr="007610DE">
        <w:rPr>
          <w:rStyle w:val="FootnoteReference"/>
          <w:rFonts w:cstheme="majorBidi"/>
          <w:szCs w:val="24"/>
        </w:rPr>
        <w:footnoteReference w:id="11"/>
      </w:r>
      <w:r w:rsidRPr="00623C4C">
        <w:t xml:space="preserve"> </w:t>
      </w:r>
      <w:r w:rsidR="00D71A08">
        <w:t xml:space="preserve">If so, </w:t>
      </w:r>
      <w:r w:rsidR="00473330">
        <w:t>Rofe</w:t>
      </w:r>
      <w:r w:rsidR="00E20F24">
        <w:t>,</w:t>
      </w:r>
      <w:r w:rsidR="00473330">
        <w:t xml:space="preserve"> </w:t>
      </w:r>
      <w:r w:rsidRPr="00623C4C">
        <w:t xml:space="preserve">who </w:t>
      </w:r>
      <w:r w:rsidR="00473330">
        <w:t xml:space="preserve">thinks </w:t>
      </w:r>
      <w:r w:rsidRPr="00D362F9">
        <w:t>the OG underwent editing by circles close to the Qumran sect</w:t>
      </w:r>
      <w:r w:rsidR="005413E9" w:rsidRPr="007610DE">
        <w:t xml:space="preserve"> which stressed </w:t>
      </w:r>
      <w:r w:rsidRPr="00D362F9">
        <w:t xml:space="preserve">that the young are </w:t>
      </w:r>
      <w:r w:rsidR="005413E9" w:rsidRPr="007610DE">
        <w:rPr>
          <w:lang w:bidi="he-IL"/>
        </w:rPr>
        <w:t>beloved of God</w:t>
      </w:r>
      <w:r w:rsidRPr="00D362F9">
        <w:t xml:space="preserve">, </w:t>
      </w:r>
      <w:r w:rsidR="005413E9" w:rsidRPr="007610DE">
        <w:t>may</w:t>
      </w:r>
      <w:r w:rsidR="00D71A08">
        <w:t xml:space="preserve"> </w:t>
      </w:r>
      <w:r w:rsidR="00473330">
        <w:t xml:space="preserve">be </w:t>
      </w:r>
      <w:r w:rsidR="005413E9" w:rsidRPr="007610DE">
        <w:t>correct.</w:t>
      </w:r>
      <w:r w:rsidR="00325548" w:rsidRPr="007610DE">
        <w:rPr>
          <w:rStyle w:val="FootnoteReference"/>
          <w:rFonts w:cstheme="majorBidi"/>
          <w:szCs w:val="24"/>
        </w:rPr>
        <w:footnoteReference w:id="12"/>
      </w:r>
    </w:p>
    <w:p w14:paraId="00000018" w14:textId="107113C7" w:rsidR="00847AA3" w:rsidRPr="004C65B4" w:rsidRDefault="00885002" w:rsidP="00623295">
      <w:pPr>
        <w:pStyle w:val="Heading1"/>
        <w:numPr>
          <w:ilvl w:val="1"/>
          <w:numId w:val="1"/>
        </w:numPr>
      </w:pPr>
      <w:r w:rsidRPr="008E4E8B">
        <w:t xml:space="preserve">Verses </w:t>
      </w:r>
      <w:r w:rsidR="00AD4F33">
        <w:t>T</w:t>
      </w:r>
      <w:r w:rsidRPr="008E4E8B">
        <w:t xml:space="preserve">hat </w:t>
      </w:r>
      <w:r w:rsidR="00AD4F33">
        <w:t>A</w:t>
      </w:r>
      <w:r w:rsidRPr="008E4E8B">
        <w:t xml:space="preserve">ppear in </w:t>
      </w:r>
      <w:r w:rsidR="00AD4F33">
        <w:t>Theod</w:t>
      </w:r>
      <w:r w:rsidR="00D71A08">
        <w:t>otion</w:t>
      </w:r>
      <w:r w:rsidR="00AD4F33">
        <w:t xml:space="preserve"> and Not in the OG Version</w:t>
      </w:r>
    </w:p>
    <w:p w14:paraId="0000001C" w14:textId="09181EFD" w:rsidR="00847AA3" w:rsidRPr="00D362F9" w:rsidRDefault="00134FE4" w:rsidP="000A7656">
      <w:r>
        <w:t>As for the verses that appear in Theod</w:t>
      </w:r>
      <w:r w:rsidR="005D3D4A">
        <w:t>otion</w:t>
      </w:r>
      <w:r>
        <w:t xml:space="preserve"> but are not mentioned in the OG, </w:t>
      </w:r>
      <w:r w:rsidR="00885002" w:rsidRPr="004C65B4">
        <w:t xml:space="preserve">Segal </w:t>
      </w:r>
      <w:r>
        <w:t xml:space="preserve">argues that </w:t>
      </w:r>
      <w:r w:rsidR="00FE2133">
        <w:t>“</w:t>
      </w:r>
      <w:r w:rsidR="00885002" w:rsidRPr="004C65B4">
        <w:t>they are almost certainly an addition to the original core</w:t>
      </w:r>
      <w:r>
        <w:t>.</w:t>
      </w:r>
      <w:r w:rsidR="00FE2133">
        <w:t>”</w:t>
      </w:r>
      <w:r>
        <w:t xml:space="preserve"> I </w:t>
      </w:r>
      <w:r w:rsidR="008E4E8B">
        <w:t>question</w:t>
      </w:r>
      <w:r>
        <w:t xml:space="preserve"> such an absolute claim, not to </w:t>
      </w:r>
      <w:r w:rsidR="00F21249">
        <w:t>claim</w:t>
      </w:r>
      <w:r w:rsidR="00B52112">
        <w:t xml:space="preserve"> categorically</w:t>
      </w:r>
      <w:r w:rsidR="00F21249">
        <w:t xml:space="preserve"> </w:t>
      </w:r>
      <w:r w:rsidR="00885002" w:rsidRPr="004C65B4">
        <w:t xml:space="preserve">that </w:t>
      </w:r>
      <w:r w:rsidR="00F21249">
        <w:t xml:space="preserve">the </w:t>
      </w:r>
      <w:r w:rsidR="00885002" w:rsidRPr="004C65B4">
        <w:t>Theod</w:t>
      </w:r>
      <w:r w:rsidR="005D3D4A">
        <w:t>otion</w:t>
      </w:r>
      <w:r w:rsidR="00885002" w:rsidRPr="004C65B4">
        <w:t xml:space="preserve"> predates</w:t>
      </w:r>
      <w:r>
        <w:t xml:space="preserve"> the OG</w:t>
      </w:r>
      <w:r w:rsidR="00885002" w:rsidRPr="004C65B4">
        <w:t xml:space="preserve">, but to suggest that in specific </w:t>
      </w:r>
      <w:r w:rsidR="00B52112">
        <w:t xml:space="preserve">instances </w:t>
      </w:r>
      <w:r w:rsidR="00885002" w:rsidRPr="004C65B4">
        <w:t xml:space="preserve">the OG </w:t>
      </w:r>
      <w:commentRangeStart w:id="16"/>
      <w:r w:rsidR="00885002" w:rsidRPr="004C65B4">
        <w:t>recognizes</w:t>
      </w:r>
      <w:commentRangeEnd w:id="16"/>
      <w:r w:rsidR="00E20F24">
        <w:rPr>
          <w:rStyle w:val="CommentReference"/>
        </w:rPr>
        <w:commentReference w:id="16"/>
      </w:r>
      <w:r w:rsidR="00885002" w:rsidRPr="004C65B4">
        <w:t xml:space="preserve"> and perhaps</w:t>
      </w:r>
      <w:r w:rsidR="00F21249">
        <w:t xml:space="preserve"> is</w:t>
      </w:r>
      <w:r w:rsidR="00885002" w:rsidRPr="004C65B4">
        <w:t xml:space="preserve"> based on </w:t>
      </w:r>
      <w:r w:rsidR="005D3D4A">
        <w:t xml:space="preserve">the </w:t>
      </w:r>
      <w:r w:rsidR="00F21249">
        <w:t>Theod</w:t>
      </w:r>
      <w:r w:rsidR="005D3D4A">
        <w:t>otion</w:t>
      </w:r>
      <w:r w:rsidR="00F21249">
        <w:t xml:space="preserve"> </w:t>
      </w:r>
      <w:r w:rsidR="00885002" w:rsidRPr="004C65B4">
        <w:t xml:space="preserve">or on a similar </w:t>
      </w:r>
      <w:commentRangeStart w:id="17"/>
      <w:r w:rsidR="00885002" w:rsidRPr="004C65B4">
        <w:t>version</w:t>
      </w:r>
      <w:commentRangeEnd w:id="17"/>
      <w:r w:rsidR="008E4E8B">
        <w:rPr>
          <w:rStyle w:val="CommentReference"/>
          <w:rtl/>
        </w:rPr>
        <w:commentReference w:id="17"/>
      </w:r>
      <w:r w:rsidR="00885002" w:rsidRPr="004C65B4">
        <w:t xml:space="preserve">. </w:t>
      </w:r>
      <w:r w:rsidR="00F21249">
        <w:t>T</w:t>
      </w:r>
      <w:r w:rsidR="00885002" w:rsidRPr="004C65B4">
        <w:t xml:space="preserve">wo prominent </w:t>
      </w:r>
      <w:r w:rsidR="00F21249">
        <w:t xml:space="preserve">examples support such a possibility. </w:t>
      </w:r>
      <w:r w:rsidR="00885002" w:rsidRPr="004C65B4">
        <w:t xml:space="preserve">In verse 14, according to the OG, the elders </w:t>
      </w:r>
      <w:r w:rsidR="00D71A08">
        <w:t xml:space="preserve">reveal their desires </w:t>
      </w:r>
      <w:r w:rsidR="00885002" w:rsidRPr="004C65B4">
        <w:t xml:space="preserve">to </w:t>
      </w:r>
      <w:r w:rsidR="00D71A08">
        <w:t xml:space="preserve">one another </w:t>
      </w:r>
      <w:r w:rsidR="00885002" w:rsidRPr="004C65B4">
        <w:t xml:space="preserve">and </w:t>
      </w:r>
      <w:r w:rsidR="00D71A08">
        <w:t xml:space="preserve">make a </w:t>
      </w:r>
      <w:r w:rsidR="00885002" w:rsidRPr="004C65B4">
        <w:t xml:space="preserve">plan to conquer Susanna together. </w:t>
      </w:r>
      <w:commentRangeStart w:id="18"/>
      <w:r w:rsidR="00B52112">
        <w:t>Thereafter</w:t>
      </w:r>
      <w:commentRangeEnd w:id="18"/>
      <w:r w:rsidR="00B52112">
        <w:rPr>
          <w:rStyle w:val="CommentReference"/>
        </w:rPr>
        <w:commentReference w:id="18"/>
      </w:r>
      <w:r w:rsidR="00B52112">
        <w:t xml:space="preserve"> there is a leap </w:t>
      </w:r>
      <w:r w:rsidR="00885002" w:rsidRPr="004C65B4">
        <w:t>and suddenly we hear about Susanna</w:t>
      </w:r>
      <w:r w:rsidR="008E4E8B">
        <w:t>’</w:t>
      </w:r>
      <w:r w:rsidR="00885002" w:rsidRPr="004C65B4">
        <w:t xml:space="preserve">s response </w:t>
      </w:r>
      <w:r w:rsidR="00FE2133">
        <w:t>“</w:t>
      </w:r>
      <w:r w:rsidR="00885002" w:rsidRPr="004C65B4">
        <w:t>And the Judean woman said to them, if I do this, I am a daughter of death and if I do not do it</w:t>
      </w:r>
      <w:r w:rsidR="00A7091E">
        <w:t xml:space="preserve">, </w:t>
      </w:r>
      <w:r w:rsidR="00885002" w:rsidRPr="004C65B4">
        <w:t>I will not escape from your hands, it is good that I will not do it and fall from your hands from sinning before the Lord</w:t>
      </w:r>
      <w:r w:rsidR="00FE2133">
        <w:t>”</w:t>
      </w:r>
      <w:r w:rsidR="00885002" w:rsidRPr="004C65B4">
        <w:t xml:space="preserve"> (22). </w:t>
      </w:r>
      <w:r w:rsidR="00A7091E">
        <w:t>Without the threat from the elders that elicits Susanna</w:t>
      </w:r>
      <w:r w:rsidR="008E4E8B">
        <w:t>’</w:t>
      </w:r>
      <w:r w:rsidR="00A7091E">
        <w:t xml:space="preserve">s response in the Theodotian text, the OG version seems abrupt. </w:t>
      </w:r>
      <w:r w:rsidR="00885002" w:rsidRPr="004C65B4">
        <w:t xml:space="preserve">Rofe rightly </w:t>
      </w:r>
      <w:r w:rsidR="00A7091E">
        <w:t xml:space="preserve">suggests </w:t>
      </w:r>
      <w:r w:rsidR="00885002" w:rsidRPr="004C65B4">
        <w:t xml:space="preserve">that </w:t>
      </w:r>
      <w:r w:rsidR="00FE2133">
        <w:t>“</w:t>
      </w:r>
      <w:r w:rsidR="00885002" w:rsidRPr="004C65B4">
        <w:t>since both the elders</w:t>
      </w:r>
      <w:r w:rsidR="008E4E8B">
        <w:t>’</w:t>
      </w:r>
      <w:r w:rsidR="00885002" w:rsidRPr="004C65B4">
        <w:t xml:space="preserve"> threats and Susanna</w:t>
      </w:r>
      <w:r w:rsidR="008E4E8B">
        <w:t>’</w:t>
      </w:r>
      <w:r w:rsidR="00885002" w:rsidRPr="004C65B4">
        <w:t xml:space="preserve">s response are essential to the story, it seems that at this point the OG version </w:t>
      </w:r>
      <w:r w:rsidR="00971721">
        <w:t>is a shortened</w:t>
      </w:r>
      <w:r w:rsidR="00707D5F">
        <w:t xml:space="preserve"> form of </w:t>
      </w:r>
      <w:r w:rsidR="00885002" w:rsidRPr="004C65B4">
        <w:t>a longer version such as that of Theodotion</w:t>
      </w:r>
      <w:r w:rsidR="00473330">
        <w:t>.</w:t>
      </w:r>
      <w:r w:rsidR="00FE2133">
        <w:t>”</w:t>
      </w:r>
      <w:r w:rsidR="00325548">
        <w:rPr>
          <w:rStyle w:val="FootnoteReference"/>
          <w:rFonts w:cstheme="majorBidi"/>
          <w:color w:val="000000"/>
          <w:szCs w:val="24"/>
        </w:rPr>
        <w:footnoteReference w:id="13"/>
      </w:r>
    </w:p>
    <w:p w14:paraId="00000021" w14:textId="357B20A2" w:rsidR="00847AA3" w:rsidRDefault="00707D5F" w:rsidP="000A7656">
      <w:r>
        <w:t>T</w:t>
      </w:r>
      <w:r w:rsidR="00885002" w:rsidRPr="004C65B4">
        <w:t>he location of Susanna</w:t>
      </w:r>
      <w:r w:rsidR="008E4E8B">
        <w:t>’</w:t>
      </w:r>
      <w:r w:rsidR="00885002" w:rsidRPr="004C65B4">
        <w:t>s prayer</w:t>
      </w:r>
      <w:r>
        <w:t xml:space="preserve"> provides another example</w:t>
      </w:r>
      <w:r w:rsidR="00885002" w:rsidRPr="004C65B4">
        <w:t xml:space="preserve">. In </w:t>
      </w:r>
      <w:r w:rsidR="0064537A">
        <w:t xml:space="preserve">the </w:t>
      </w:r>
      <w:r>
        <w:t>Theod</w:t>
      </w:r>
      <w:r w:rsidR="0064537A">
        <w:t>otion version</w:t>
      </w:r>
      <w:r w:rsidR="008E4E8B">
        <w:t>,</w:t>
      </w:r>
      <w:r>
        <w:t xml:space="preserve"> </w:t>
      </w:r>
      <w:r w:rsidR="00885002" w:rsidRPr="004C65B4">
        <w:t xml:space="preserve">the prayer appears at </w:t>
      </w:r>
      <w:r w:rsidR="00D82F57">
        <w:t xml:space="preserve">the climax </w:t>
      </w:r>
      <w:r w:rsidR="0003692C">
        <w:t xml:space="preserve">of </w:t>
      </w:r>
      <w:r>
        <w:t>the story</w:t>
      </w:r>
      <w:r w:rsidR="00D82F57">
        <w:t>:</w:t>
      </w:r>
      <w:r>
        <w:t xml:space="preserve"> the elders have testified falsely before the congregation; </w:t>
      </w:r>
      <w:r w:rsidR="00D82F57">
        <w:t xml:space="preserve">they have been believed; </w:t>
      </w:r>
      <w:r>
        <w:t>and</w:t>
      </w:r>
      <w:r w:rsidR="0003692C">
        <w:t xml:space="preserve"> the</w:t>
      </w:r>
      <w:r>
        <w:t xml:space="preserve"> judges </w:t>
      </w:r>
      <w:r w:rsidR="0003692C">
        <w:t xml:space="preserve">have </w:t>
      </w:r>
      <w:r>
        <w:t>sentence</w:t>
      </w:r>
      <w:r w:rsidR="00D82F57">
        <w:t>d</w:t>
      </w:r>
      <w:r>
        <w:t xml:space="preserve"> Susann</w:t>
      </w:r>
      <w:r w:rsidR="0003692C">
        <w:t>a</w:t>
      </w:r>
      <w:r>
        <w:t xml:space="preserve"> to death. </w:t>
      </w:r>
      <w:r w:rsidR="00D82F57">
        <w:t>At this point</w:t>
      </w:r>
      <w:r w:rsidR="00885002" w:rsidRPr="004C65B4">
        <w:t xml:space="preserve">, </w:t>
      </w:r>
      <w:r w:rsidR="00D82F57">
        <w:t>Susanna</w:t>
      </w:r>
      <w:r w:rsidR="008E4E8B">
        <w:t>’</w:t>
      </w:r>
      <w:r w:rsidR="00D82F57">
        <w:t xml:space="preserve">s prayer </w:t>
      </w:r>
      <w:r w:rsidR="00D174F2">
        <w:t xml:space="preserve">brings the story to </w:t>
      </w:r>
      <w:r w:rsidR="0064537A">
        <w:t>its</w:t>
      </w:r>
      <w:r w:rsidR="00D82F57">
        <w:t xml:space="preserve"> turning point: the Lord hears her prayer; places His spirit in the young Daniel; and he saves </w:t>
      </w:r>
      <w:r w:rsidR="00885002" w:rsidRPr="004C65B4">
        <w:t xml:space="preserve">Susanna from death. </w:t>
      </w:r>
      <w:r w:rsidR="00D82F57">
        <w:t>From a plot perspective, the location is particularly suitable</w:t>
      </w:r>
      <w:r w:rsidR="0064537A">
        <w:t xml:space="preserve">. </w:t>
      </w:r>
      <w:commentRangeStart w:id="19"/>
      <w:r w:rsidR="0064537A">
        <w:t>Moreover</w:t>
      </w:r>
      <w:commentRangeEnd w:id="19"/>
      <w:r w:rsidR="0064537A">
        <w:rPr>
          <w:rStyle w:val="CommentReference"/>
        </w:rPr>
        <w:commentReference w:id="19"/>
      </w:r>
      <w:r w:rsidR="0064537A">
        <w:t xml:space="preserve">, </w:t>
      </w:r>
      <w:r w:rsidR="00D174F2">
        <w:t xml:space="preserve">it is similar to the location of prayers in other narratives. </w:t>
      </w:r>
      <w:r w:rsidR="00AE4C61">
        <w:t>B</w:t>
      </w:r>
      <w:r w:rsidR="00AE4C61" w:rsidRPr="00AE4C61">
        <w:t>eyond the content/lexical similarity between Susanna</w:t>
      </w:r>
      <w:r w:rsidR="008E4E8B">
        <w:t>’</w:t>
      </w:r>
      <w:r w:rsidR="00AE4C61" w:rsidRPr="00AE4C61">
        <w:t>s prayer and Daniel</w:t>
      </w:r>
      <w:r w:rsidR="008E4E8B">
        <w:t>’</w:t>
      </w:r>
      <w:r w:rsidR="00AE4C61" w:rsidRPr="00AE4C61">
        <w:t>s prayer,</w:t>
      </w:r>
      <w:r w:rsidR="00AE4C61">
        <w:rPr>
          <w:rStyle w:val="FootnoteReference"/>
          <w:rFonts w:cstheme="majorBidi"/>
          <w:color w:val="000000"/>
          <w:szCs w:val="24"/>
        </w:rPr>
        <w:footnoteReference w:id="14"/>
      </w:r>
      <w:r w:rsidR="00AE4C61">
        <w:t xml:space="preserve"> </w:t>
      </w:r>
      <w:r w:rsidR="00AE4C61" w:rsidRPr="00AE4C61">
        <w:t>the location of the prayer is also similar: Daniel and the rest of B</w:t>
      </w:r>
      <w:r w:rsidR="00AE4C61">
        <w:t>abylon</w:t>
      </w:r>
      <w:r w:rsidR="008E4E8B">
        <w:t>’</w:t>
      </w:r>
      <w:r w:rsidR="00AE4C61">
        <w:t>s wise men are in danger;</w:t>
      </w:r>
      <w:r w:rsidR="00AE4C61" w:rsidRPr="00AE4C61">
        <w:t xml:space="preserve"> </w:t>
      </w:r>
      <w:r w:rsidR="00AE4C61">
        <w:t xml:space="preserve">Daniel prays; </w:t>
      </w:r>
      <w:r w:rsidR="00AE4C61" w:rsidRPr="00AE4C61">
        <w:t>the Lord reveals the content of Nebuchadnezzar</w:t>
      </w:r>
      <w:r w:rsidR="008E4E8B">
        <w:t>’</w:t>
      </w:r>
      <w:r w:rsidR="00AE4C61" w:rsidRPr="00AE4C61">
        <w:t>s dream</w:t>
      </w:r>
      <w:r w:rsidR="00AE4C61">
        <w:t>;</w:t>
      </w:r>
      <w:r w:rsidR="00AE4C61" w:rsidRPr="00AE4C61">
        <w:t xml:space="preserve"> and </w:t>
      </w:r>
      <w:r w:rsidR="00AE4C61">
        <w:t xml:space="preserve">Daniel </w:t>
      </w:r>
      <w:r w:rsidR="00AE4C61" w:rsidRPr="00AE4C61">
        <w:t>is saved from death.</w:t>
      </w:r>
      <w:r w:rsidR="005F34F8">
        <w:t xml:space="preserve"> </w:t>
      </w:r>
      <w:commentRangeStart w:id="20"/>
      <w:commentRangeEnd w:id="20"/>
      <w:r w:rsidR="008746CC">
        <w:rPr>
          <w:rStyle w:val="CommentReference"/>
        </w:rPr>
        <w:commentReference w:id="20"/>
      </w:r>
      <w:r w:rsidR="00885002" w:rsidRPr="004C65B4">
        <w:t>The placement of Susanna</w:t>
      </w:r>
      <w:r w:rsidR="008E4E8B">
        <w:t>’</w:t>
      </w:r>
      <w:r w:rsidR="00885002" w:rsidRPr="004C65B4">
        <w:t xml:space="preserve">s prayer is </w:t>
      </w:r>
      <w:r w:rsidR="00A3505D">
        <w:t xml:space="preserve">also </w:t>
      </w:r>
      <w:r w:rsidR="00885002" w:rsidRPr="004C65B4">
        <w:t>reminiscent of Tamar</w:t>
      </w:r>
      <w:r w:rsidR="008E4E8B">
        <w:t>’</w:t>
      </w:r>
      <w:r w:rsidR="00885002" w:rsidRPr="004C65B4">
        <w:t>s prayer</w:t>
      </w:r>
      <w:r w:rsidR="00A3505D">
        <w:t xml:space="preserve"> in the Palestinian Targumim to Gen 38:25: </w:t>
      </w:r>
      <w:r w:rsidR="005F34F8">
        <w:t>each woman</w:t>
      </w:r>
      <w:r w:rsidR="00A3505D">
        <w:t xml:space="preserve"> </w:t>
      </w:r>
      <w:r w:rsidR="005F34F8">
        <w:t>has</w:t>
      </w:r>
      <w:r w:rsidR="00A3505D">
        <w:t xml:space="preserve"> been accused of sexual misconduct; </w:t>
      </w:r>
      <w:r w:rsidR="005F34F8">
        <w:t xml:space="preserve">each </w:t>
      </w:r>
      <w:r w:rsidR="00A3505D">
        <w:t>utter</w:t>
      </w:r>
      <w:r w:rsidR="008E4E8B">
        <w:t>s</w:t>
      </w:r>
      <w:r w:rsidR="00A3505D">
        <w:t xml:space="preserve"> a moving prayer </w:t>
      </w:r>
      <w:r w:rsidR="00A3505D" w:rsidRPr="00A3505D">
        <w:t xml:space="preserve">at the dramatic moment when </w:t>
      </w:r>
      <w:r w:rsidR="005F34F8">
        <w:t xml:space="preserve">she has </w:t>
      </w:r>
      <w:r w:rsidR="00A3505D">
        <w:t xml:space="preserve">been sentenced to death; </w:t>
      </w:r>
      <w:r w:rsidR="005F34F8">
        <w:t>following her prayer</w:t>
      </w:r>
      <w:r w:rsidR="00A3505D" w:rsidRPr="00A3505D">
        <w:t xml:space="preserve"> </w:t>
      </w:r>
      <w:r w:rsidR="00A3505D">
        <w:t xml:space="preserve">each is </w:t>
      </w:r>
      <w:r w:rsidR="00A3505D" w:rsidRPr="00A3505D">
        <w:t xml:space="preserve">saved from death and </w:t>
      </w:r>
      <w:r w:rsidR="00A3505D">
        <w:t xml:space="preserve">her </w:t>
      </w:r>
      <w:r w:rsidR="00A3505D" w:rsidRPr="00A3505D">
        <w:t xml:space="preserve">innocence revealed. </w:t>
      </w:r>
      <w:r w:rsidR="00473330">
        <w:t>T</w:t>
      </w:r>
      <w:r w:rsidR="00EA3322">
        <w:t>amar</w:t>
      </w:r>
      <w:r w:rsidR="008E4E8B">
        <w:t>’</w:t>
      </w:r>
      <w:r w:rsidR="00EA3322">
        <w:t>s prayer</w:t>
      </w:r>
      <w:r w:rsidR="00885002" w:rsidRPr="004C65B4">
        <w:t xml:space="preserve"> </w:t>
      </w:r>
      <w:r w:rsidR="00EA3322">
        <w:t xml:space="preserve">does not appear in </w:t>
      </w:r>
      <w:r w:rsidR="00885002" w:rsidRPr="004C65B4">
        <w:t xml:space="preserve">Genesis 38, </w:t>
      </w:r>
      <w:r w:rsidR="00EA3322">
        <w:t xml:space="preserve">but as </w:t>
      </w:r>
      <w:r w:rsidR="00885002" w:rsidRPr="004C65B4">
        <w:t xml:space="preserve">Segal </w:t>
      </w:r>
      <w:r w:rsidR="008E4E8B">
        <w:t>notes</w:t>
      </w:r>
      <w:r w:rsidR="00885002" w:rsidRPr="004C65B4">
        <w:t xml:space="preserve">, </w:t>
      </w:r>
      <w:r w:rsidR="00FE2133">
        <w:t>“</w:t>
      </w:r>
      <w:r w:rsidR="00885002" w:rsidRPr="004C65B4">
        <w:t xml:space="preserve">Within the rich history of the interpretation of the story of Judah and Tamar (Gen 38), the phenomenological reception of the addition of an extensive prayer in all the </w:t>
      </w:r>
      <w:r w:rsidR="00A3505D">
        <w:t xml:space="preserve">Palestinian </w:t>
      </w:r>
      <w:r w:rsidR="00885002" w:rsidRPr="004C65B4">
        <w:t xml:space="preserve">Aramaic </w:t>
      </w:r>
      <w:r w:rsidR="00A3505D">
        <w:t xml:space="preserve">Targumim </w:t>
      </w:r>
      <w:r w:rsidR="00885002" w:rsidRPr="004C65B4">
        <w:t>to Gen 38:25 is worthy of mention. Indeed, there is no prayer in Gen 38 itself, but the interpretive tradition with the extensive evidence of Tamar</w:t>
      </w:r>
      <w:r w:rsidR="008E4E8B">
        <w:t>’</w:t>
      </w:r>
      <w:r w:rsidR="00885002" w:rsidRPr="004C65B4">
        <w:t>s prayer was perhaps familiar to the Jewish writer in ancient times</w:t>
      </w:r>
      <w:r w:rsidR="00EA3322">
        <w:t>.</w:t>
      </w:r>
      <w:r w:rsidR="00FE2133">
        <w:t>”</w:t>
      </w:r>
      <w:r w:rsidR="00EA3322">
        <w:t xml:space="preserve"> I would only add that the similarities in the placement of the prayer in the two narratives f</w:t>
      </w:r>
      <w:r w:rsidR="00473330">
        <w:t>urther buttress</w:t>
      </w:r>
      <w:r w:rsidR="00EA3322">
        <w:t xml:space="preserve"> the possibility of such familiarity.</w:t>
      </w:r>
    </w:p>
    <w:p w14:paraId="0BA6DB95" w14:textId="4F9FB84C" w:rsidR="008746CC" w:rsidRPr="004C65B4" w:rsidRDefault="008746CC" w:rsidP="000A7656">
      <w:r w:rsidRPr="008746CC">
        <w:t>In contrast, Susanna</w:t>
      </w:r>
      <w:r w:rsidR="008E4E8B">
        <w:t>’</w:t>
      </w:r>
      <w:r w:rsidRPr="008746CC">
        <w:t xml:space="preserve">s prayer </w:t>
      </w:r>
      <w:r>
        <w:t xml:space="preserve">in the OG </w:t>
      </w:r>
      <w:r w:rsidR="00473330">
        <w:t xml:space="preserve">does not come at a climactic point. </w:t>
      </w:r>
      <w:r w:rsidRPr="008746CC">
        <w:t xml:space="preserve">Segal argues that both locations seem reasonable and it is difficult to determine which reflects the original location and which </w:t>
      </w:r>
      <w:r w:rsidR="008E4E8B">
        <w:t xml:space="preserve">is </w:t>
      </w:r>
      <w:r w:rsidRPr="008746CC">
        <w:t xml:space="preserve">the </w:t>
      </w:r>
      <w:commentRangeStart w:id="21"/>
      <w:r w:rsidRPr="008746CC">
        <w:t>correction</w:t>
      </w:r>
      <w:commentRangeEnd w:id="21"/>
      <w:r w:rsidR="00873753">
        <w:rPr>
          <w:rStyle w:val="CommentReference"/>
        </w:rPr>
        <w:commentReference w:id="21"/>
      </w:r>
      <w:r w:rsidR="00B0237E">
        <w:t>. I, however, find</w:t>
      </w:r>
      <w:r w:rsidRPr="008746CC">
        <w:t xml:space="preserve"> the location of the prayer in the OG strange</w:t>
      </w:r>
      <w:r w:rsidR="00B0237E">
        <w:t xml:space="preserve"> for it has Susannah addressing God about the men who have accused her (v 25) before the elders have given their false testimony. </w:t>
      </w:r>
      <w:r w:rsidRPr="008746CC">
        <w:t>The awkward placement of the prayer suggests that it was added to the OG at a late stage</w:t>
      </w:r>
      <w:r>
        <w:t xml:space="preserve"> either</w:t>
      </w:r>
      <w:r w:rsidRPr="008746CC">
        <w:t xml:space="preserve"> under the influence of </w:t>
      </w:r>
      <w:r>
        <w:t xml:space="preserve">the </w:t>
      </w:r>
      <w:r w:rsidRPr="008746CC">
        <w:t>Theod</w:t>
      </w:r>
      <w:r>
        <w:t>otion</w:t>
      </w:r>
      <w:r w:rsidRPr="008746CC">
        <w:t xml:space="preserve"> or a similar version</w:t>
      </w:r>
      <w:r w:rsidR="00305D3E">
        <w:t>.</w:t>
      </w:r>
      <w:r w:rsidR="00305D3E">
        <w:rPr>
          <w:rStyle w:val="FootnoteReference"/>
          <w:rFonts w:cstheme="majorBidi"/>
          <w:color w:val="000000"/>
          <w:szCs w:val="24"/>
        </w:rPr>
        <w:footnoteReference w:id="15"/>
      </w:r>
    </w:p>
    <w:p w14:paraId="00000023" w14:textId="3D6E2675" w:rsidR="00847AA3" w:rsidRPr="004C65B4" w:rsidRDefault="00D362F9" w:rsidP="00623295">
      <w:pPr>
        <w:pStyle w:val="Heading1"/>
      </w:pPr>
      <w:r>
        <w:t xml:space="preserve">1.3 </w:t>
      </w:r>
      <w:commentRangeStart w:id="22"/>
      <w:commentRangeEnd w:id="22"/>
      <w:r w:rsidR="008746CC">
        <w:rPr>
          <w:rStyle w:val="CommentReference"/>
        </w:rPr>
        <w:commentReference w:id="22"/>
      </w:r>
      <w:r w:rsidR="00AD4F33" w:rsidRPr="00623C4C">
        <w:t xml:space="preserve">Characteristics of the </w:t>
      </w:r>
      <w:r w:rsidR="00885002" w:rsidRPr="00623C4C">
        <w:t>Theodotion</w:t>
      </w:r>
      <w:r w:rsidR="001F4390">
        <w:t xml:space="preserve"> Version</w:t>
      </w:r>
    </w:p>
    <w:p w14:paraId="11536718" w14:textId="1D2DD059" w:rsidR="008E4E8B" w:rsidRDefault="00885002" w:rsidP="000A7656">
      <w:r w:rsidRPr="004C65B4">
        <w:t>A comparison between the Septuagint OG and Theodotion</w:t>
      </w:r>
      <w:r w:rsidR="008E4E8B">
        <w:t>’</w:t>
      </w:r>
      <w:r w:rsidRPr="004C65B4">
        <w:t>s version</w:t>
      </w:r>
      <w:r w:rsidR="00767829">
        <w:t>s</w:t>
      </w:r>
      <w:r w:rsidRPr="004C65B4">
        <w:t xml:space="preserve"> shows that the prominent trend in Theodotion translation is to strengthen Susanna</w:t>
      </w:r>
      <w:r w:rsidR="008E4E8B">
        <w:t>’</w:t>
      </w:r>
      <w:r w:rsidRPr="004C65B4">
        <w:t xml:space="preserve">s character. Segal argues that Theodotion turns Susanna from a tool </w:t>
      </w:r>
      <w:r w:rsidR="00767829">
        <w:t>in</w:t>
      </w:r>
      <w:r w:rsidRPr="004C65B4">
        <w:t xml:space="preserve"> the conflict between the elders and Daniel into the heroine of the story.</w:t>
      </w:r>
      <w:r w:rsidR="00F428E3">
        <w:rPr>
          <w:rStyle w:val="FootnoteReference"/>
          <w:rFonts w:cstheme="majorBidi"/>
          <w:color w:val="000000"/>
          <w:szCs w:val="24"/>
        </w:rPr>
        <w:footnoteReference w:id="16"/>
      </w:r>
      <w:r w:rsidRPr="004C65B4">
        <w:t xml:space="preserve"> </w:t>
      </w:r>
      <w:r w:rsidR="00DE47E1">
        <w:t xml:space="preserve">This trend receives </w:t>
      </w:r>
      <w:r w:rsidRPr="004C65B4">
        <w:t>clear expression at the beginning of the story (1-5)</w:t>
      </w:r>
      <w:r w:rsidR="00F428E3">
        <w:rPr>
          <w:rStyle w:val="FootnoteReference"/>
          <w:rFonts w:cstheme="majorBidi"/>
          <w:color w:val="000000"/>
          <w:szCs w:val="24"/>
        </w:rPr>
        <w:footnoteReference w:id="17"/>
      </w:r>
      <w:r w:rsidRPr="004C65B4">
        <w:t xml:space="preserve"> and at its end (63-64). However</w:t>
      </w:r>
      <w:r w:rsidR="001F4390">
        <w:t xml:space="preserve">, </w:t>
      </w:r>
      <w:r w:rsidR="00DE47E1">
        <w:t>Segal</w:t>
      </w:r>
      <w:r w:rsidR="008E4E8B">
        <w:t>’</w:t>
      </w:r>
      <w:r w:rsidR="00DE47E1">
        <w:t xml:space="preserve">s </w:t>
      </w:r>
      <w:r w:rsidRPr="004C65B4">
        <w:t>claim</w:t>
      </w:r>
      <w:r w:rsidR="00DE47E1">
        <w:t xml:space="preserve"> needs to be qualified for in the OG there also are instances where Susanna or her virtue is glorified</w:t>
      </w:r>
      <w:r w:rsidR="00767829">
        <w:t xml:space="preserve">. </w:t>
      </w:r>
      <w:r w:rsidR="00DE47E1">
        <w:t xml:space="preserve">For example, </w:t>
      </w:r>
      <w:r w:rsidR="00767829">
        <w:t xml:space="preserve">in both </w:t>
      </w:r>
      <w:r w:rsidRPr="004C65B4">
        <w:t>versions the two elders desire Susanna and do not tell each other about i</w:t>
      </w:r>
      <w:r w:rsidR="00767829">
        <w:t>t</w:t>
      </w:r>
      <w:r w:rsidR="00CB136D">
        <w:t xml:space="preserve"> (</w:t>
      </w:r>
      <w:r w:rsidR="00DE47E1">
        <w:t>v</w:t>
      </w:r>
      <w:r w:rsidR="008E4E8B">
        <w:t xml:space="preserve">. </w:t>
      </w:r>
      <w:r w:rsidR="00CB136D">
        <w:t>10)</w:t>
      </w:r>
      <w:r w:rsidR="00767829">
        <w:t xml:space="preserve">; but only </w:t>
      </w:r>
      <w:r w:rsidRPr="004C65B4">
        <w:t xml:space="preserve">in the </w:t>
      </w:r>
      <w:r w:rsidR="00767829">
        <w:t xml:space="preserve">OG </w:t>
      </w:r>
      <w:r w:rsidRPr="004C65B4">
        <w:t xml:space="preserve">version </w:t>
      </w:r>
      <w:r w:rsidR="00767829">
        <w:t xml:space="preserve">is Susanna described as not knowing of their desire </w:t>
      </w:r>
      <w:r w:rsidRPr="004C65B4">
        <w:t>(10b)</w:t>
      </w:r>
      <w:r w:rsidR="00767829">
        <w:t xml:space="preserve">. </w:t>
      </w:r>
      <w:r w:rsidR="008E4E8B">
        <w:t>Possibly,</w:t>
      </w:r>
      <w:r w:rsidR="00767829">
        <w:t xml:space="preserve"> the intent is </w:t>
      </w:r>
      <w:r w:rsidRPr="004C65B4">
        <w:t xml:space="preserve">to </w:t>
      </w:r>
      <w:r w:rsidR="000B0B58">
        <w:t>indicate that</w:t>
      </w:r>
      <w:r w:rsidR="009878C0">
        <w:t xml:space="preserve"> Susanna did not try to entice the elders for she was unaware of their presence</w:t>
      </w:r>
      <w:r w:rsidR="000B0B58">
        <w:t xml:space="preserve">. </w:t>
      </w:r>
      <w:r w:rsidR="008E4E8B">
        <w:t>Another difference between the versions reflects Susanna’s positive image in OG. In</w:t>
      </w:r>
      <w:r w:rsidR="00DE47E1">
        <w:t xml:space="preserve"> </w:t>
      </w:r>
      <w:r w:rsidR="00474B64">
        <w:t>v. 30 OG the servants and maids who accompany Susanna in addition to her family and relatives</w:t>
      </w:r>
      <w:r w:rsidR="008E4E8B">
        <w:t>. These</w:t>
      </w:r>
      <w:r w:rsidR="00474B64">
        <w:t xml:space="preserve"> all together number the typological number of five hundred</w:t>
      </w:r>
      <w:r w:rsidR="008E4E8B">
        <w:t xml:space="preserve"> (see, for example, Job 1:3), and the number of her sons is also mentioned (four). These added characters serve to portray her as a person of high status.</w:t>
      </w:r>
    </w:p>
    <w:p w14:paraId="00000026" w14:textId="45C63118" w:rsidR="00847AA3" w:rsidRPr="004C65B4" w:rsidRDefault="008E4E8B" w:rsidP="000A7656">
      <w:commentRangeStart w:id="23"/>
      <w:r>
        <w:t xml:space="preserve">Besides the presentation of Susanna as a person of importance, there is another feature characteristic of the </w:t>
      </w:r>
      <w:r w:rsidRPr="004C65B4">
        <w:t>Theodotion</w:t>
      </w:r>
      <w:r>
        <w:t xml:space="preserve">. </w:t>
      </w:r>
      <w:commentRangeEnd w:id="23"/>
      <w:r>
        <w:rPr>
          <w:rStyle w:val="CommentReference"/>
        </w:rPr>
        <w:commentReference w:id="23"/>
      </w:r>
      <w:r>
        <w:rPr>
          <w:rFonts w:hint="cs"/>
        </w:rPr>
        <w:t>A</w:t>
      </w:r>
      <w:r>
        <w:rPr>
          <w:lang w:bidi="he-IL"/>
        </w:rPr>
        <w:t>s</w:t>
      </w:r>
      <w:r w:rsidR="0014321C">
        <w:t xml:space="preserve"> Moore long ago pointed </w:t>
      </w:r>
      <w:r w:rsidR="00885002" w:rsidRPr="004C65B4">
        <w:t>out,</w:t>
      </w:r>
      <w:r w:rsidR="00F428E3">
        <w:rPr>
          <w:rStyle w:val="FootnoteReference"/>
          <w:rFonts w:cstheme="majorBidi"/>
          <w:color w:val="000000"/>
          <w:szCs w:val="24"/>
        </w:rPr>
        <w:footnoteReference w:id="18"/>
      </w:r>
      <w:r w:rsidR="00885002" w:rsidRPr="004C65B4">
        <w:t xml:space="preserve"> Daniel</w:t>
      </w:r>
      <w:r>
        <w:t>’</w:t>
      </w:r>
      <w:r w:rsidR="00885002" w:rsidRPr="004C65B4">
        <w:t xml:space="preserve">s character </w:t>
      </w:r>
      <w:r w:rsidR="0014321C">
        <w:t>is developed</w:t>
      </w:r>
      <w:r w:rsidR="00885002" w:rsidRPr="004C65B4">
        <w:t xml:space="preserve"> in </w:t>
      </w:r>
      <w:r w:rsidR="0014321C">
        <w:t xml:space="preserve">the </w:t>
      </w:r>
      <w:r w:rsidR="00885002" w:rsidRPr="004C65B4">
        <w:t>Theodotion</w:t>
      </w:r>
      <w:r w:rsidR="0014321C">
        <w:t xml:space="preserve"> </w:t>
      </w:r>
      <w:r w:rsidR="00885002" w:rsidRPr="004C65B4">
        <w:t>version</w:t>
      </w:r>
      <w:r w:rsidR="0014321C">
        <w:t xml:space="preserve">. </w:t>
      </w:r>
      <w:r w:rsidR="00885002" w:rsidRPr="004C65B4">
        <w:t>For example,</w:t>
      </w:r>
      <w:r>
        <w:t xml:space="preserve"> only</w:t>
      </w:r>
      <w:r w:rsidR="00885002" w:rsidRPr="004C65B4">
        <w:t xml:space="preserve"> </w:t>
      </w:r>
      <w:r w:rsidR="00E35315">
        <w:t xml:space="preserve">in </w:t>
      </w:r>
      <w:r w:rsidR="0057367D">
        <w:t xml:space="preserve">the </w:t>
      </w:r>
      <w:r w:rsidR="00885002" w:rsidRPr="004C65B4">
        <w:t>Theodotion</w:t>
      </w:r>
      <w:r w:rsidR="0014321C">
        <w:t xml:space="preserve"> </w:t>
      </w:r>
      <w:r w:rsidR="0057367D">
        <w:t xml:space="preserve">account </w:t>
      </w:r>
      <w:r>
        <w:t xml:space="preserve">does </w:t>
      </w:r>
      <w:r w:rsidR="00885002" w:rsidRPr="004C65B4">
        <w:t xml:space="preserve">Daniel call out </w:t>
      </w:r>
      <w:r w:rsidR="00FE2133">
        <w:t>“</w:t>
      </w:r>
      <w:r w:rsidR="00885002" w:rsidRPr="004C65B4">
        <w:t>I am innocent of this woman</w:t>
      </w:r>
      <w:r>
        <w:t>’</w:t>
      </w:r>
      <w:r w:rsidR="00885002" w:rsidRPr="004C65B4">
        <w:t>s blood</w:t>
      </w:r>
      <w:r>
        <w:t>.</w:t>
      </w:r>
      <w:r w:rsidR="00FE2133">
        <w:t>”</w:t>
      </w:r>
      <w:r w:rsidR="0014321C">
        <w:t xml:space="preserve"> </w:t>
      </w:r>
      <w:r>
        <w:t xml:space="preserve">Subsequently, </w:t>
      </w:r>
      <w:r w:rsidRPr="004C65B4">
        <w:t xml:space="preserve">all the people turn to him, </w:t>
      </w:r>
      <w:r>
        <w:t>to clarify</w:t>
      </w:r>
      <w:r w:rsidRPr="004C65B4">
        <w:t xml:space="preserve"> his words</w:t>
      </w:r>
      <w:r>
        <w:t xml:space="preserve">. Then, in both versions, there is an account of </w:t>
      </w:r>
      <w:r w:rsidRPr="004C65B4">
        <w:t>how Daniel stands among the people and rebukes them for not investigating the matter and convicting an Israelite woman</w:t>
      </w:r>
      <w:r>
        <w:t xml:space="preserve">. The addition here is small but </w:t>
      </w:r>
      <w:r w:rsidR="00885002" w:rsidRPr="004C65B4">
        <w:t xml:space="preserve">adds </w:t>
      </w:r>
      <w:r w:rsidRPr="004C65B4">
        <w:t xml:space="preserve">to his character </w:t>
      </w:r>
      <w:r>
        <w:t xml:space="preserve">a stronger </w:t>
      </w:r>
      <w:r w:rsidR="00885002" w:rsidRPr="004C65B4">
        <w:t>sense of responsibility and leadership.</w:t>
      </w:r>
    </w:p>
    <w:p w14:paraId="00000027" w14:textId="1BC4E68E" w:rsidR="00847AA3" w:rsidRPr="004C65B4" w:rsidRDefault="00885002" w:rsidP="000A7656">
      <w:r w:rsidRPr="004C65B4">
        <w:t>These two trends (</w:t>
      </w:r>
      <w:r w:rsidR="00466FFB">
        <w:t xml:space="preserve">elevating </w:t>
      </w:r>
      <w:r w:rsidRPr="004C65B4">
        <w:t xml:space="preserve">Daniel and Susanna) are </w:t>
      </w:r>
      <w:r w:rsidR="00E35315">
        <w:t xml:space="preserve">emphasized through biblical analogies. </w:t>
      </w:r>
      <w:r w:rsidR="002B4B5E">
        <w:t>In his article</w:t>
      </w:r>
      <w:r w:rsidR="008E4E8B">
        <w:t>,</w:t>
      </w:r>
      <w:r w:rsidR="002B4B5E">
        <w:t xml:space="preserve"> </w:t>
      </w:r>
      <w:r w:rsidRPr="004C65B4">
        <w:t xml:space="preserve">Segal </w:t>
      </w:r>
      <w:r w:rsidR="002B4B5E">
        <w:t>mentions numerous analogies with biblical narrative and law in the Susanna story. A</w:t>
      </w:r>
      <w:r w:rsidRPr="004C65B4">
        <w:t>lthough some of these biblical analogies already appear in the OG version</w:t>
      </w:r>
      <w:r w:rsidR="002B4B5E">
        <w:t xml:space="preserve"> (for Segal, the earlier version), they are most fully developed in the Theodotian with the predominant trend of </w:t>
      </w:r>
      <w:r w:rsidRPr="004C65B4">
        <w:t>present</w:t>
      </w:r>
      <w:r w:rsidR="002B4B5E">
        <w:t>ing</w:t>
      </w:r>
      <w:r w:rsidRPr="004C65B4">
        <w:t xml:space="preserve"> Susanna in a more positive light. I agree with this claim</w:t>
      </w:r>
      <w:r w:rsidR="008E4E8B">
        <w:t>.</w:t>
      </w:r>
      <w:r w:rsidRPr="004C65B4">
        <w:t xml:space="preserve"> </w:t>
      </w:r>
      <w:r w:rsidR="008E4E8B">
        <w:t>H</w:t>
      </w:r>
      <w:r w:rsidR="008E4E8B" w:rsidRPr="004C65B4">
        <w:t>owever</w:t>
      </w:r>
      <w:r w:rsidRPr="004C65B4">
        <w:t xml:space="preserve">, in my opinion, </w:t>
      </w:r>
      <w:r w:rsidR="008E4E8B">
        <w:t xml:space="preserve">the purpose of the </w:t>
      </w:r>
      <w:r w:rsidRPr="004C65B4">
        <w:t xml:space="preserve">biblical analogies </w:t>
      </w:r>
      <w:r w:rsidR="008E4E8B">
        <w:t>was</w:t>
      </w:r>
      <w:r w:rsidR="008E4E8B" w:rsidRPr="004C65B4">
        <w:t xml:space="preserve"> </w:t>
      </w:r>
      <w:r w:rsidRPr="004C65B4">
        <w:t xml:space="preserve">not </w:t>
      </w:r>
      <w:r w:rsidR="008E4E8B">
        <w:t>merely</w:t>
      </w:r>
      <w:r w:rsidRPr="004C65B4">
        <w:t xml:space="preserve"> to glorify Susanna. Later in the article, I will point to an example in which the analogy to the biblical law already appears in the OG version, and is further developed in Theodotion</w:t>
      </w:r>
      <w:r w:rsidR="008E4E8B">
        <w:t>’</w:t>
      </w:r>
      <w:r w:rsidRPr="004C65B4">
        <w:t>s version.</w:t>
      </w:r>
      <w:r w:rsidR="0014321C">
        <w:t xml:space="preserve"> Moreover, </w:t>
      </w:r>
      <w:r w:rsidRPr="004C65B4">
        <w:t>its trend is not to glorify Susanna, but rather to glorify Daniel, while contrasting him with the elders and conveying sharp criticism of their behavior.</w:t>
      </w:r>
    </w:p>
    <w:p w14:paraId="00000028" w14:textId="77777777" w:rsidR="00847AA3" w:rsidRPr="004C65B4" w:rsidRDefault="00847AA3" w:rsidP="000A7656"/>
    <w:p w14:paraId="00000029" w14:textId="003D6F35" w:rsidR="00847AA3" w:rsidRPr="004C65B4" w:rsidRDefault="008E4E8B" w:rsidP="00623295">
      <w:pPr>
        <w:pStyle w:val="Heading1"/>
        <w:numPr>
          <w:ilvl w:val="0"/>
          <w:numId w:val="1"/>
        </w:numPr>
      </w:pPr>
      <w:r>
        <w:t>The Literary</w:t>
      </w:r>
      <w:r w:rsidR="00D362F9">
        <w:t xml:space="preserve"> Motifs</w:t>
      </w:r>
      <w:r>
        <w:t xml:space="preserve"> of the Story of Susanna</w:t>
      </w:r>
    </w:p>
    <w:p w14:paraId="0000002B" w14:textId="5F563059" w:rsidR="00847AA3" w:rsidRPr="004C65B4" w:rsidRDefault="00885002" w:rsidP="000A7656">
      <w:r w:rsidRPr="004C65B4">
        <w:t xml:space="preserve">Already in ancient times, in the famous correspondence between Origen and Africanus, we find a discussion about the status of the Story of Susanna. Their debate focused on whether it was an </w:t>
      </w:r>
      <w:r w:rsidR="00FE2133">
        <w:t>“</w:t>
      </w:r>
      <w:r w:rsidRPr="004C65B4">
        <w:t>authentic</w:t>
      </w:r>
      <w:r w:rsidR="00FE2133">
        <w:t>”</w:t>
      </w:r>
      <w:r w:rsidRPr="004C65B4">
        <w:t xml:space="preserve"> or</w:t>
      </w:r>
      <w:r w:rsidR="00A72D91">
        <w:t xml:space="preserve"> a </w:t>
      </w:r>
      <w:r w:rsidR="00FE2133">
        <w:t>“</w:t>
      </w:r>
      <w:r w:rsidRPr="004C65B4">
        <w:t>forged</w:t>
      </w:r>
      <w:r w:rsidR="00FE2133">
        <w:t>”</w:t>
      </w:r>
      <w:r w:rsidRPr="004C65B4">
        <w:t xml:space="preserve"> story.</w:t>
      </w:r>
      <w:r w:rsidR="000C7E73">
        <w:rPr>
          <w:rStyle w:val="FootnoteReference"/>
          <w:rFonts w:cstheme="majorBidi"/>
          <w:color w:val="000000"/>
          <w:szCs w:val="24"/>
        </w:rPr>
        <w:footnoteReference w:id="19"/>
      </w:r>
      <w:r w:rsidRPr="004C65B4">
        <w:t xml:space="preserve"> </w:t>
      </w:r>
      <w:r w:rsidR="00A72D91">
        <w:t>Scholars have never considered it a</w:t>
      </w:r>
      <w:r w:rsidRPr="004C65B4">
        <w:t xml:space="preserve"> historical story</w:t>
      </w:r>
      <w:r w:rsidR="00A72D91">
        <w:t xml:space="preserve"> and have taken different directions regarding its genre. Some have characterized it as a folktale with universal </w:t>
      </w:r>
      <w:r w:rsidRPr="004C65B4">
        <w:t>elements</w:t>
      </w:r>
      <w:r w:rsidR="009D521E">
        <w:t xml:space="preserve"> such as </w:t>
      </w:r>
      <w:r w:rsidRPr="004C65B4">
        <w:t xml:space="preserve">the wise </w:t>
      </w:r>
      <w:r w:rsidR="009D521E">
        <w:t xml:space="preserve">youth </w:t>
      </w:r>
      <w:r w:rsidRPr="004C65B4">
        <w:t>serving as a judge</w:t>
      </w:r>
      <w:r w:rsidR="009D521E">
        <w:t xml:space="preserve">, a common motif that appears in </w:t>
      </w:r>
      <w:r w:rsidR="009D521E" w:rsidRPr="009D521E">
        <w:rPr>
          <w:i/>
          <w:iCs/>
        </w:rPr>
        <w:t>One Thousand and One Nights</w:t>
      </w:r>
      <w:r w:rsidR="009D521E">
        <w:t xml:space="preserve"> and in other cultures.</w:t>
      </w:r>
      <w:r w:rsidR="000314BC">
        <w:rPr>
          <w:rStyle w:val="FootnoteReference"/>
          <w:rFonts w:cstheme="majorBidi"/>
          <w:color w:val="000000"/>
          <w:szCs w:val="24"/>
        </w:rPr>
        <w:footnoteReference w:id="20"/>
      </w:r>
      <w:r w:rsidR="009D521E">
        <w:t xml:space="preserve"> Focusing on </w:t>
      </w:r>
      <w:r w:rsidR="00DD4F33">
        <w:t>the similarities with Daniel 3</w:t>
      </w:r>
      <w:r w:rsidR="00DD4F33">
        <w:rPr>
          <w:rFonts w:hint="cs"/>
          <w:rtl/>
          <w:lang w:bidi="he-IL"/>
        </w:rPr>
        <w:t>:</w:t>
      </w:r>
      <w:r w:rsidR="009D521E">
        <w:t>6, others have considered Susanna a wisdom tale or m</w:t>
      </w:r>
      <w:r w:rsidRPr="004C65B4">
        <w:t>artyr legend.</w:t>
      </w:r>
      <w:r w:rsidR="000314BC">
        <w:rPr>
          <w:rStyle w:val="FootnoteReference"/>
          <w:rFonts w:cstheme="majorBidi"/>
          <w:color w:val="000000"/>
          <w:szCs w:val="24"/>
        </w:rPr>
        <w:footnoteReference w:id="21"/>
      </w:r>
      <w:r w:rsidRPr="004C65B4">
        <w:t xml:space="preserve"> </w:t>
      </w:r>
      <w:r w:rsidR="00C45922">
        <w:t>Others have described it as a homiletical interpretation and identi</w:t>
      </w:r>
      <w:r w:rsidR="00284AD6">
        <w:t>fied</w:t>
      </w:r>
      <w:r w:rsidR="00C45922">
        <w:t xml:space="preserve"> the two elders </w:t>
      </w:r>
      <w:r w:rsidRPr="004C65B4">
        <w:t>with Ahab son of Kolaiah and Zedekiah son of Maaseiah</w:t>
      </w:r>
      <w:r w:rsidR="009172BC">
        <w:t xml:space="preserve"> </w:t>
      </w:r>
      <w:r w:rsidRPr="004C65B4">
        <w:t>(Jeremiah 29 21-23).</w:t>
      </w:r>
      <w:r w:rsidR="000C7E73">
        <w:rPr>
          <w:rStyle w:val="FootnoteReference"/>
          <w:rFonts w:cstheme="majorBidi"/>
          <w:color w:val="000000"/>
          <w:szCs w:val="24"/>
        </w:rPr>
        <w:footnoteReference w:id="22"/>
      </w:r>
      <w:r w:rsidRPr="004C65B4">
        <w:t xml:space="preserve"> </w:t>
      </w:r>
      <w:r w:rsidR="000A2327">
        <w:t>Lawrence Wills</w:t>
      </w:r>
      <w:r w:rsidR="006903B7">
        <w:t xml:space="preserve"> </w:t>
      </w:r>
      <w:r w:rsidR="000E00B7">
        <w:t xml:space="preserve">has </w:t>
      </w:r>
      <w:r w:rsidR="006903B7">
        <w:t>noted that</w:t>
      </w:r>
      <w:r w:rsidR="000E00B7">
        <w:t xml:space="preserve"> the</w:t>
      </w:r>
      <w:r w:rsidR="006903B7">
        <w:t xml:space="preserve"> classification of the story as a homily is particular to the recension in the OG</w:t>
      </w:r>
      <w:r w:rsidRPr="004C65B4">
        <w:t>.</w:t>
      </w:r>
      <w:r w:rsidR="00532576">
        <w:rPr>
          <w:rStyle w:val="FootnoteReference"/>
          <w:rFonts w:cstheme="majorBidi"/>
          <w:color w:val="000000"/>
          <w:szCs w:val="24"/>
        </w:rPr>
        <w:footnoteReference w:id="23"/>
      </w:r>
      <w:r w:rsidRPr="004C65B4">
        <w:t xml:space="preserve"> In this </w:t>
      </w:r>
      <w:commentRangeStart w:id="24"/>
      <w:r w:rsidRPr="004C65B4">
        <w:t>article</w:t>
      </w:r>
      <w:commentRangeEnd w:id="24"/>
      <w:r w:rsidR="00DB6669">
        <w:rPr>
          <w:rStyle w:val="CommentReference"/>
        </w:rPr>
        <w:commentReference w:id="24"/>
      </w:r>
      <w:r w:rsidRPr="004C65B4">
        <w:t>, Segal</w:t>
      </w:r>
      <w:r w:rsidR="00316E7D">
        <w:t xml:space="preserve">, </w:t>
      </w:r>
      <w:r w:rsidR="00212A05">
        <w:t xml:space="preserve">in agreement with Wills regarding the OG, </w:t>
      </w:r>
      <w:r w:rsidR="00316E7D">
        <w:t xml:space="preserve">asserts </w:t>
      </w:r>
      <w:r w:rsidR="00212A05">
        <w:t xml:space="preserve">that the original </w:t>
      </w:r>
      <w:r w:rsidR="008E4E8B">
        <w:rPr>
          <w:lang w:bidi="he-IL"/>
        </w:rPr>
        <w:t>s</w:t>
      </w:r>
      <w:r w:rsidR="00212A05">
        <w:t xml:space="preserve">tory of </w:t>
      </w:r>
      <w:r w:rsidR="00316E7D">
        <w:t xml:space="preserve">Susanna </w:t>
      </w:r>
      <w:r w:rsidR="00212A05">
        <w:t xml:space="preserve">was constructed in the </w:t>
      </w:r>
      <w:r w:rsidRPr="004C65B4">
        <w:t xml:space="preserve">form of a </w:t>
      </w:r>
      <w:r w:rsidR="00212A05">
        <w:t>homily.</w:t>
      </w:r>
      <w:r w:rsidR="00873753">
        <w:t xml:space="preserve"> </w:t>
      </w:r>
      <w:r w:rsidRPr="004C65B4">
        <w:t xml:space="preserve">Contrary to these </w:t>
      </w:r>
      <w:r w:rsidR="008E4E8B">
        <w:t>characterizations of the story</w:t>
      </w:r>
      <w:r w:rsidRPr="004C65B4">
        <w:t xml:space="preserve">, I </w:t>
      </w:r>
      <w:r w:rsidR="008E4E8B">
        <w:t>will</w:t>
      </w:r>
      <w:r w:rsidR="008E4E8B" w:rsidRPr="004C65B4">
        <w:t xml:space="preserve"> </w:t>
      </w:r>
      <w:r w:rsidR="002663EC">
        <w:t>suggest</w:t>
      </w:r>
      <w:r w:rsidRPr="004C65B4">
        <w:t xml:space="preserve"> a different </w:t>
      </w:r>
      <w:r w:rsidR="00873753">
        <w:t xml:space="preserve">classification of the </w:t>
      </w:r>
      <w:r w:rsidR="008E4E8B">
        <w:t>s</w:t>
      </w:r>
      <w:r w:rsidR="00873753">
        <w:t xml:space="preserve">tory of </w:t>
      </w:r>
      <w:r w:rsidRPr="004C65B4">
        <w:t>Susanna</w:t>
      </w:r>
      <w:r w:rsidR="002663EC">
        <w:t>.</w:t>
      </w:r>
    </w:p>
    <w:p w14:paraId="0000002D" w14:textId="08899CE1" w:rsidR="00847AA3" w:rsidRPr="004C65B4" w:rsidRDefault="002663EC" w:rsidP="00623295">
      <w:r>
        <w:rPr>
          <w:rFonts w:cstheme="majorBidi"/>
          <w:b/>
          <w:bCs/>
          <w:color w:val="000000"/>
          <w:szCs w:val="24"/>
        </w:rPr>
        <w:tab/>
      </w:r>
      <w:r w:rsidR="00885002" w:rsidRPr="004C65B4">
        <w:t xml:space="preserve">It is customary to </w:t>
      </w:r>
      <w:r w:rsidR="00D362F9">
        <w:t>classify</w:t>
      </w:r>
      <w:r w:rsidR="00D362F9" w:rsidRPr="004C65B4">
        <w:t xml:space="preserve"> </w:t>
      </w:r>
      <w:r w:rsidR="00885002" w:rsidRPr="004C65B4">
        <w:t xml:space="preserve">the stories of Daniel </w:t>
      </w:r>
      <w:r w:rsidR="00D362F9">
        <w:t xml:space="preserve">as belonging to two different </w:t>
      </w:r>
      <w:r w:rsidR="00885002" w:rsidRPr="004C65B4">
        <w:t>genre</w:t>
      </w:r>
      <w:r w:rsidR="00D362F9">
        <w:t>s</w:t>
      </w:r>
      <w:r w:rsidR="00885002" w:rsidRPr="004C65B4">
        <w:t xml:space="preserve">: </w:t>
      </w:r>
      <w:r w:rsidR="00D362F9" w:rsidRPr="004C65B4">
        <w:t xml:space="preserve">Daniel 2, 4, </w:t>
      </w:r>
      <w:r w:rsidR="00D362F9">
        <w:t xml:space="preserve">and </w:t>
      </w:r>
      <w:r w:rsidR="00D362F9" w:rsidRPr="004C65B4">
        <w:t>5</w:t>
      </w:r>
      <w:r w:rsidR="00D362F9">
        <w:t xml:space="preserve"> are</w:t>
      </w:r>
      <w:r w:rsidR="00885002" w:rsidRPr="004C65B4">
        <w:t xml:space="preserve"> competition stor</w:t>
      </w:r>
      <w:r w:rsidR="00D362F9">
        <w:t xml:space="preserve">ies while chapters 3 and 6 are </w:t>
      </w:r>
      <w:r w:rsidR="00885002" w:rsidRPr="004C65B4">
        <w:t>conflict stor</w:t>
      </w:r>
      <w:r w:rsidR="00D362F9">
        <w:t>ies</w:t>
      </w:r>
      <w:r w:rsidR="00885002" w:rsidRPr="004C65B4">
        <w:t xml:space="preserve">. As early as 1973, Humphreys proposed these </w:t>
      </w:r>
      <w:r w:rsidR="0006294B">
        <w:t xml:space="preserve">classifications </w:t>
      </w:r>
      <w:r w:rsidR="00885002" w:rsidRPr="004C65B4">
        <w:t>and they have since been adopted by</w:t>
      </w:r>
      <w:r w:rsidR="0006294B">
        <w:t xml:space="preserve"> other scholars</w:t>
      </w:r>
      <w:commentRangeStart w:id="25"/>
      <w:r w:rsidR="00885002" w:rsidRPr="004C65B4">
        <w:t>.</w:t>
      </w:r>
      <w:r w:rsidR="00532576">
        <w:rPr>
          <w:rStyle w:val="FootnoteReference"/>
          <w:rFonts w:cstheme="majorBidi"/>
          <w:color w:val="000000"/>
          <w:szCs w:val="24"/>
        </w:rPr>
        <w:footnoteReference w:id="24"/>
      </w:r>
      <w:commentRangeEnd w:id="25"/>
      <w:r w:rsidR="0006294B">
        <w:rPr>
          <w:rStyle w:val="CommentReference"/>
        </w:rPr>
        <w:commentReference w:id="25"/>
      </w:r>
      <w:r w:rsidR="00885002" w:rsidRPr="004C65B4">
        <w:t xml:space="preserve"> </w:t>
      </w:r>
      <w:r w:rsidR="00D362F9">
        <w:t>He argued that the</w:t>
      </w:r>
      <w:r w:rsidR="00885002" w:rsidRPr="004C65B4">
        <w:t xml:space="preserve"> </w:t>
      </w:r>
      <w:r w:rsidR="008E4E8B">
        <w:t>‘</w:t>
      </w:r>
      <w:r w:rsidR="00885002" w:rsidRPr="004C65B4">
        <w:t>competition stories</w:t>
      </w:r>
      <w:r w:rsidR="008E4E8B">
        <w:t>’</w:t>
      </w:r>
      <w:r w:rsidR="00146841">
        <w:t xml:space="preserve"> </w:t>
      </w:r>
      <w:r w:rsidR="0037016C">
        <w:t xml:space="preserve">present the wisdom of </w:t>
      </w:r>
      <w:r w:rsidR="00885002" w:rsidRPr="004C65B4">
        <w:t>Daniel</w:t>
      </w:r>
      <w:r w:rsidR="00D362F9">
        <w:t xml:space="preserve"> as</w:t>
      </w:r>
      <w:r w:rsidR="00885002" w:rsidRPr="004C65B4">
        <w:t xml:space="preserve"> surpassing the wisdom of the Babylonian wise</w:t>
      </w:r>
      <w:r w:rsidR="00D362F9">
        <w:t xml:space="preserve"> </w:t>
      </w:r>
      <w:r w:rsidR="00885002" w:rsidRPr="004C65B4">
        <w:t>men</w:t>
      </w:r>
      <w:r w:rsidR="00D362F9">
        <w:t>.</w:t>
      </w:r>
      <w:r w:rsidR="00D362F9" w:rsidRPr="00D362F9">
        <w:t xml:space="preserve"> </w:t>
      </w:r>
      <w:r w:rsidR="00D362F9" w:rsidRPr="004C65B4">
        <w:t xml:space="preserve">While they fail to solve the king's dreams, Daniel </w:t>
      </w:r>
      <w:r w:rsidR="00D362F9">
        <w:t>possesses</w:t>
      </w:r>
      <w:r w:rsidR="00D362F9" w:rsidRPr="004C65B4">
        <w:t xml:space="preserve"> divine wisdom and with it, he is able to interpret the king's dreams (Daniel 2, 4) and the mysterious inscription (Daniel 5). </w:t>
      </w:r>
      <w:r w:rsidR="00D362F9">
        <w:t>T</w:t>
      </w:r>
      <w:r w:rsidR="0037016C">
        <w:t xml:space="preserve">he conflict stories highlight the struggle of the Jews living in a Diaspora setting. </w:t>
      </w:r>
      <w:r w:rsidR="00D362F9">
        <w:t xml:space="preserve">This tension </w:t>
      </w:r>
      <w:r w:rsidR="00885002" w:rsidRPr="004C65B4">
        <w:t>is expressed, for example, in Nebuchadnezzar's demand to worship the golden image he erected (Daniel 3</w:t>
      </w:r>
      <w:commentRangeStart w:id="26"/>
      <w:r w:rsidR="00885002" w:rsidRPr="004C65B4">
        <w:t>--</w:t>
      </w:r>
      <w:commentRangeEnd w:id="26"/>
      <w:r w:rsidR="00D362F9">
        <w:rPr>
          <w:rStyle w:val="CommentReference"/>
        </w:rPr>
        <w:commentReference w:id="26"/>
      </w:r>
      <w:r w:rsidR="00885002" w:rsidRPr="004C65B4">
        <w:t>) or in Darius' decree that prohibited the Jews from requesting anything from any man or god (Daniel 6--).</w:t>
      </w:r>
    </w:p>
    <w:p w14:paraId="5E21D521" w14:textId="4985B803" w:rsidR="00D362F9" w:rsidRDefault="00885002" w:rsidP="000A7656">
      <w:commentRangeStart w:id="27"/>
      <w:r w:rsidRPr="004C65B4">
        <w:t>In my d</w:t>
      </w:r>
      <w:r w:rsidR="00D362F9">
        <w:t>o</w:t>
      </w:r>
      <w:r w:rsidRPr="004C65B4">
        <w:t xml:space="preserve">ctoral work, </w:t>
      </w:r>
      <w:r w:rsidR="005F21BC">
        <w:t xml:space="preserve">I adopted </w:t>
      </w:r>
      <w:r w:rsidR="0037016C">
        <w:t>these categories but</w:t>
      </w:r>
      <w:r w:rsidRPr="004C65B4">
        <w:t xml:space="preserve"> </w:t>
      </w:r>
      <w:r w:rsidR="00DB7ACE">
        <w:t xml:space="preserve">suggested a different </w:t>
      </w:r>
      <w:r w:rsidR="00D362F9">
        <w:t xml:space="preserve">conception of </w:t>
      </w:r>
      <w:r w:rsidR="005F21BC">
        <w:t>t</w:t>
      </w:r>
      <w:r w:rsidRPr="004C65B4">
        <w:t>he conflict stories (Daniel 3, 6)</w:t>
      </w:r>
      <w:r w:rsidR="005F21BC">
        <w:t>.</w:t>
      </w:r>
      <w:r w:rsidR="00532576">
        <w:rPr>
          <w:rStyle w:val="FootnoteReference"/>
          <w:rFonts w:cstheme="majorBidi"/>
          <w:color w:val="000000"/>
          <w:szCs w:val="24"/>
        </w:rPr>
        <w:footnoteReference w:id="25"/>
      </w:r>
      <w:r w:rsidRPr="004C65B4">
        <w:t xml:space="preserve"> </w:t>
      </w:r>
      <w:r w:rsidR="00DB7ACE">
        <w:t xml:space="preserve">Whereas Humphreys </w:t>
      </w:r>
      <w:r w:rsidR="005F21BC">
        <w:t xml:space="preserve">highlighted the central conflict as </w:t>
      </w:r>
      <w:r w:rsidR="00DB7ACE">
        <w:t>the relationship between the Jew and the non-</w:t>
      </w:r>
      <w:r w:rsidR="005F21BC">
        <w:t>Jew</w:t>
      </w:r>
      <w:r w:rsidR="00DB7ACE">
        <w:t xml:space="preserve">, I </w:t>
      </w:r>
      <w:r w:rsidR="00D362F9">
        <w:t>argued</w:t>
      </w:r>
      <w:r w:rsidR="005F21BC">
        <w:t xml:space="preserve"> that </w:t>
      </w:r>
      <w:r w:rsidR="00D362F9">
        <w:t>they present an</w:t>
      </w:r>
      <w:r w:rsidR="005F21BC">
        <w:t xml:space="preserve"> identity conflict</w:t>
      </w:r>
      <w:r w:rsidR="00D362F9">
        <w:t>.</w:t>
      </w:r>
      <w:r w:rsidR="00DB7ACE">
        <w:t xml:space="preserve"> Specifically</w:t>
      </w:r>
      <w:r w:rsidR="00D362F9">
        <w:t>,</w:t>
      </w:r>
      <w:r w:rsidR="00DB7ACE">
        <w:t xml:space="preserve"> I point to the instances where, at risk </w:t>
      </w:r>
      <w:r w:rsidR="00D362F9">
        <w:t>of</w:t>
      </w:r>
      <w:r w:rsidR="00DB7ACE">
        <w:t xml:space="preserve"> </w:t>
      </w:r>
      <w:r w:rsidR="00D362F9">
        <w:t xml:space="preserve">his </w:t>
      </w:r>
      <w:r w:rsidR="00DB7ACE">
        <w:t xml:space="preserve">life, the court Jew places his loyalty to God over loyalty </w:t>
      </w:r>
      <w:r w:rsidRPr="004C65B4">
        <w:t>to the earthly king</w:t>
      </w:r>
      <w:r w:rsidR="00DB7ACE">
        <w:t>, e.g.</w:t>
      </w:r>
      <w:r w:rsidR="00E74252">
        <w:t xml:space="preserve"> Daniel decides not to defile himself with the king</w:t>
      </w:r>
      <w:r w:rsidR="008E4E8B">
        <w:t>’</w:t>
      </w:r>
      <w:r w:rsidR="00E74252">
        <w:t>s food or drink (Daniel 1:8);</w:t>
      </w:r>
      <w:r w:rsidR="00DB7ACE">
        <w:t xml:space="preserve"> </w:t>
      </w:r>
      <w:r w:rsidRPr="004C65B4">
        <w:t>Shadrach, Meshach, and Abednego refus</w:t>
      </w:r>
      <w:r w:rsidR="00D362F9">
        <w:t>e</w:t>
      </w:r>
      <w:r w:rsidRPr="004C65B4">
        <w:t xml:space="preserve"> to bow to the golden image erected by Nebuchadnezzar,</w:t>
      </w:r>
      <w:r w:rsidR="00DB7ACE">
        <w:t xml:space="preserve"> (</w:t>
      </w:r>
      <w:r w:rsidR="005F21BC">
        <w:t xml:space="preserve">Dan 3:18-17) and </w:t>
      </w:r>
      <w:r w:rsidR="00DB7ACE">
        <w:t>Daniel</w:t>
      </w:r>
      <w:r w:rsidR="005F21BC">
        <w:t xml:space="preserve"> violates</w:t>
      </w:r>
      <w:r w:rsidR="00DB7ACE">
        <w:t xml:space="preserve"> the king</w:t>
      </w:r>
      <w:r w:rsidR="008E4E8B">
        <w:t>’</w:t>
      </w:r>
      <w:r w:rsidR="00DB7ACE">
        <w:t>s command that he not pray to his god (Dan 6:11).</w:t>
      </w:r>
      <w:r w:rsidRPr="004C65B4">
        <w:t xml:space="preserve"> </w:t>
      </w:r>
      <w:r w:rsidR="00D362F9">
        <w:t>Understanding</w:t>
      </w:r>
      <w:r w:rsidR="00D362F9" w:rsidRPr="004C65B4">
        <w:t xml:space="preserve"> </w:t>
      </w:r>
      <w:r w:rsidRPr="004C65B4">
        <w:t>the</w:t>
      </w:r>
      <w:r w:rsidR="00D362F9">
        <w:t xml:space="preserve">se </w:t>
      </w:r>
      <w:r w:rsidRPr="004C65B4">
        <w:t>conflict</w:t>
      </w:r>
      <w:r w:rsidR="00D362F9">
        <w:t xml:space="preserve"> stories as expressing the hero’s</w:t>
      </w:r>
      <w:r w:rsidRPr="004C65B4">
        <w:t xml:space="preserve"> internal conflict has implications for the </w:t>
      </w:r>
      <w:r w:rsidR="00D362F9">
        <w:t>how we classify</w:t>
      </w:r>
      <w:r w:rsidRPr="004C65B4">
        <w:t xml:space="preserve"> chapter one. </w:t>
      </w:r>
      <w:r w:rsidR="00D362F9">
        <w:t xml:space="preserve">It is </w:t>
      </w:r>
      <w:r w:rsidR="00D362F9" w:rsidRPr="004C65B4">
        <w:t>not ju</w:t>
      </w:r>
      <w:r w:rsidR="00D362F9">
        <w:t>st an introductory chapter</w:t>
      </w:r>
      <w:r w:rsidR="00D362F9" w:rsidRPr="004C65B4">
        <w:t xml:space="preserve"> </w:t>
      </w:r>
      <w:r w:rsidR="00D362F9">
        <w:t xml:space="preserve">but </w:t>
      </w:r>
      <w:r w:rsidRPr="004C65B4">
        <w:t xml:space="preserve">should also be </w:t>
      </w:r>
      <w:r w:rsidR="00D362F9">
        <w:t>understood</w:t>
      </w:r>
      <w:r w:rsidR="00D362F9" w:rsidRPr="004C65B4">
        <w:t xml:space="preserve"> </w:t>
      </w:r>
      <w:r w:rsidRPr="004C65B4">
        <w:t>as an identity conflict story</w:t>
      </w:r>
      <w:r w:rsidR="00532576">
        <w:t>.</w:t>
      </w:r>
      <w:r w:rsidR="00532576">
        <w:rPr>
          <w:rStyle w:val="FootnoteReference"/>
          <w:rFonts w:cstheme="majorBidi"/>
          <w:color w:val="000000"/>
          <w:szCs w:val="24"/>
        </w:rPr>
        <w:footnoteReference w:id="26"/>
      </w:r>
      <w:r w:rsidRPr="004C65B4">
        <w:t xml:space="preserve"> In this story, Daniel has to decide whether to obey the king's command and eat the king's food and drink his wine or to </w:t>
      </w:r>
      <w:r w:rsidR="00D362F9">
        <w:t>stay loyal to</w:t>
      </w:r>
      <w:r w:rsidRPr="004C65B4">
        <w:t xml:space="preserve"> God, risking his life. Daniel decides in favor of loyalty to God (1 8), and miraculously succeeds and is saved</w:t>
      </w:r>
      <w:r w:rsidR="00D362F9">
        <w:t xml:space="preserve"> as</w:t>
      </w:r>
      <w:r w:rsidRPr="004C65B4">
        <w:t xml:space="preserve"> he and his friends look better and healthier than the boys who ate the king's food (1 15). </w:t>
      </w:r>
      <w:commentRangeEnd w:id="27"/>
      <w:r w:rsidR="00D362F9">
        <w:rPr>
          <w:rStyle w:val="CommentReference"/>
        </w:rPr>
        <w:commentReference w:id="27"/>
      </w:r>
    </w:p>
    <w:p w14:paraId="705AEE6A" w14:textId="2DA0148A" w:rsidR="00D362F9" w:rsidRDefault="00D362F9" w:rsidP="000A7656">
      <w:r w:rsidRPr="004C65B4">
        <w:t xml:space="preserve">In my opinion, unlike the stories of Daniel (1-6), which </w:t>
      </w:r>
      <w:r>
        <w:t>can be classified distinctly as either competition</w:t>
      </w:r>
      <w:r w:rsidRPr="004C65B4">
        <w:t xml:space="preserve"> stories (2, 4, 5) </w:t>
      </w:r>
      <w:r>
        <w:t>or</w:t>
      </w:r>
      <w:r w:rsidRPr="004C65B4">
        <w:t xml:space="preserve"> identity conflict stories (1, 3, 6), the </w:t>
      </w:r>
      <w:r>
        <w:t>s</w:t>
      </w:r>
      <w:r w:rsidRPr="004C65B4">
        <w:t xml:space="preserve">tory of Susanna </w:t>
      </w:r>
      <w:r>
        <w:t>(</w:t>
      </w:r>
      <w:r w:rsidRPr="004C65B4">
        <w:t>both OG and Theodotion</w:t>
      </w:r>
      <w:r>
        <w:t xml:space="preserve"> versions</w:t>
      </w:r>
      <w:r w:rsidRPr="004C65B4">
        <w:t>)</w:t>
      </w:r>
      <w:r>
        <w:t xml:space="preserve"> combines both motifs.</w:t>
      </w:r>
    </w:p>
    <w:p w14:paraId="06CB3117" w14:textId="563BD266" w:rsidR="00D362F9" w:rsidRDefault="00D362F9" w:rsidP="000A7656">
      <w:r>
        <w:t xml:space="preserve">In the competition stories in Daniel, </w:t>
      </w:r>
      <w:r w:rsidRPr="004C65B4">
        <w:t>Daniel prevails in his wisdom over the other Babylonian wise men and succeeds in solving the king's dreams, following the spirit of God in him (Daniel 4 5; Daniel 5 14). In chapter 2</w:t>
      </w:r>
      <w:r>
        <w:t>,</w:t>
      </w:r>
      <w:r w:rsidRPr="004C65B4">
        <w:t xml:space="preserve"> Daniel even explicitly tells King Nebuchadnezzar that only the revealer of mysteries knows his dream (Daniel 2 28), and Daniel's ability to tell the king his dream and interpret it does not testify to his wisdom but to God's revelation to him (2 30).</w:t>
      </w:r>
    </w:p>
    <w:p w14:paraId="1447E72C" w14:textId="22540F59" w:rsidR="00D362F9" w:rsidRPr="004C65B4" w:rsidRDefault="00D362F9" w:rsidP="000A7656">
      <w:r>
        <w:t xml:space="preserve">Comptetion story: </w:t>
      </w:r>
      <w:r w:rsidRPr="004C65B4">
        <w:t>In the story of Susanna, Daniel outsmarts the elder judges, thanks to divine intervention. According to</w:t>
      </w:r>
      <w:r>
        <w:t xml:space="preserve"> the</w:t>
      </w:r>
      <w:r w:rsidRPr="004C65B4">
        <w:t xml:space="preserve"> Theodotion version, </w:t>
      </w:r>
      <w:r>
        <w:t xml:space="preserve">this is due to </w:t>
      </w:r>
      <w:r w:rsidRPr="004C65B4">
        <w:t xml:space="preserve">direct divine intervention, while according to the Septuagint version, </w:t>
      </w:r>
      <w:r>
        <w:t xml:space="preserve">the </w:t>
      </w:r>
      <w:r w:rsidRPr="004C65B4">
        <w:t>divine intervention</w:t>
      </w:r>
      <w:r>
        <w:t xml:space="preserve"> is</w:t>
      </w:r>
      <w:r w:rsidRPr="004C65B4">
        <w:t xml:space="preserve"> mediated by an ange</w:t>
      </w:r>
      <w:r>
        <w:t>l</w:t>
      </w:r>
      <w:r w:rsidRPr="004C65B4">
        <w:t xml:space="preserve">. The Lord gives His Holy Spirit / Spirit of Understanding, </w:t>
      </w:r>
      <w:r>
        <w:t>which</w:t>
      </w:r>
      <w:r w:rsidRPr="004C65B4">
        <w:t xml:space="preserve"> revea</w:t>
      </w:r>
      <w:r>
        <w:t>ls</w:t>
      </w:r>
      <w:r w:rsidRPr="004C65B4">
        <w:t xml:space="preserve"> Daniel's wisdom </w:t>
      </w:r>
      <w:r>
        <w:t>through which he</w:t>
      </w:r>
      <w:r w:rsidRPr="004C65B4">
        <w:t xml:space="preserve"> disprove</w:t>
      </w:r>
      <w:r>
        <w:t>s</w:t>
      </w:r>
      <w:r w:rsidRPr="004C65B4">
        <w:t xml:space="preserve"> the false testimony of the elde</w:t>
      </w:r>
      <w:r>
        <w:t xml:space="preserve">rs by interrogating </w:t>
      </w:r>
      <w:r w:rsidRPr="004C65B4">
        <w:t xml:space="preserve">each of </w:t>
      </w:r>
      <w:r>
        <w:t>them</w:t>
      </w:r>
      <w:r w:rsidRPr="004C65B4">
        <w:t xml:space="preserve"> separately, delving into details (under which tree the event occurred)</w:t>
      </w:r>
      <w:r>
        <w:t>,</w:t>
      </w:r>
      <w:r w:rsidRPr="004C65B4">
        <w:t xml:space="preserve"> and thus prov</w:t>
      </w:r>
      <w:r>
        <w:t>ing</w:t>
      </w:r>
      <w:r w:rsidRPr="004C65B4">
        <w:t xml:space="preserve"> Susanna's innocence. Daniel's wisdom is revealed to </w:t>
      </w:r>
      <w:r>
        <w:t>everyone</w:t>
      </w:r>
      <w:r w:rsidRPr="004C65B4">
        <w:t xml:space="preserve"> and the entire congregation cheers him. Unlike the stories of Daniel, where the contrast is between the wisdom of </w:t>
      </w:r>
      <w:r>
        <w:t xml:space="preserve">the </w:t>
      </w:r>
      <w:r w:rsidRPr="004C65B4">
        <w:t xml:space="preserve">Jewish Daniel and </w:t>
      </w:r>
      <w:r>
        <w:t xml:space="preserve">that of the </w:t>
      </w:r>
      <w:r w:rsidRPr="004C65B4">
        <w:t>Babylonian wise men, here the contrast is internal</w:t>
      </w:r>
      <w:r>
        <w:t xml:space="preserve">ly Jewish – </w:t>
      </w:r>
      <w:r w:rsidRPr="004C65B4">
        <w:t>between the elder judges and Daniel.</w:t>
      </w:r>
    </w:p>
    <w:p w14:paraId="1B8DBF7F" w14:textId="0DDD983C" w:rsidR="00D362F9" w:rsidRDefault="00D362F9" w:rsidP="000A7656">
      <w:commentRangeStart w:id="28"/>
      <w:commentRangeStart w:id="29"/>
      <w:r>
        <w:t>Identity conflict</w:t>
      </w:r>
      <w:commentRangeEnd w:id="28"/>
      <w:r>
        <w:rPr>
          <w:rStyle w:val="CommentReference"/>
        </w:rPr>
        <w:commentReference w:id="28"/>
      </w:r>
      <w:commentRangeEnd w:id="29"/>
      <w:r>
        <w:rPr>
          <w:rStyle w:val="CommentReference"/>
          <w:rtl/>
        </w:rPr>
        <w:commentReference w:id="29"/>
      </w:r>
      <w:r>
        <w:t>: I</w:t>
      </w:r>
      <w:r w:rsidRPr="004C65B4">
        <w:t xml:space="preserve">n the stories of identity conflict </w:t>
      </w:r>
      <w:r>
        <w:t>in Daniel,</w:t>
      </w:r>
      <w:r w:rsidRPr="004C65B4">
        <w:t xml:space="preserve"> the </w:t>
      </w:r>
      <w:r>
        <w:t>court Jew</w:t>
      </w:r>
      <w:r w:rsidRPr="004C65B4">
        <w:t xml:space="preserve"> must decide whether to obey the king's command or God's word. Not obeying the king's word may put the hero's life at risk. In all cases, the hero chooses his faith in God: Daniel decides not to defile himself with the king's food or drink (</w:t>
      </w:r>
      <w:r>
        <w:t>1:</w:t>
      </w:r>
      <w:r w:rsidRPr="004C65B4">
        <w:t>8); Shadrach, Meshach, and Abednego refuse to bow down to the golden image set up by Nebuchadnezzar (</w:t>
      </w:r>
      <w:r>
        <w:t>3:</w:t>
      </w:r>
      <w:r w:rsidRPr="004C65B4">
        <w:t>17-18); Daniel continues to pray three times a day towards Jerusalem when the windows of his house are open wide (</w:t>
      </w:r>
      <w:r>
        <w:t>6:</w:t>
      </w:r>
      <w:r w:rsidRPr="004C65B4">
        <w:t xml:space="preserve">11). In all these cases, a life-threatening danger hovers over the heroes' heads, however, thanks to their decision in favor of their loyalty to God, there is divine intervention leading to miraculous salvation. </w:t>
      </w:r>
      <w:r>
        <w:t>In both</w:t>
      </w:r>
      <w:r w:rsidRPr="004C65B4">
        <w:t xml:space="preserve"> versions (OG and Theodotion)</w:t>
      </w:r>
      <w:r>
        <w:t xml:space="preserve"> of</w:t>
      </w:r>
      <w:r w:rsidRPr="004C65B4">
        <w:t xml:space="preserve"> </w:t>
      </w:r>
      <w:r>
        <w:t xml:space="preserve">the </w:t>
      </w:r>
      <w:r w:rsidRPr="004C65B4">
        <w:t xml:space="preserve">story of Susanna, Susanna finds herself in a similar identity conflict: the two elders ask Susanna to sleep with them, threatening that if she does not respond to their request they will testify that they saw her with a young man and thus seal her fate. Susanna understands that she </w:t>
      </w:r>
      <w:r>
        <w:t>has</w:t>
      </w:r>
      <w:r w:rsidRPr="004C65B4">
        <w:t xml:space="preserve"> no way out, and in any possibility she chooses, danger hovers: </w:t>
      </w:r>
      <w:r>
        <w:t>I</w:t>
      </w:r>
      <w:r w:rsidRPr="004C65B4">
        <w:t xml:space="preserve">f she </w:t>
      </w:r>
      <w:r>
        <w:t xml:space="preserve">capitulates, she is </w:t>
      </w:r>
      <w:commentRangeStart w:id="30"/>
      <w:commentRangeStart w:id="31"/>
      <w:commentRangeStart w:id="32"/>
      <w:r>
        <w:t>liable to receive the death penalty as an adulteress</w:t>
      </w:r>
      <w:commentRangeEnd w:id="30"/>
      <w:r>
        <w:rPr>
          <w:rStyle w:val="CommentReference"/>
        </w:rPr>
        <w:commentReference w:id="30"/>
      </w:r>
      <w:commentRangeEnd w:id="31"/>
      <w:r>
        <w:rPr>
          <w:rStyle w:val="CommentReference"/>
          <w:rtl/>
        </w:rPr>
        <w:commentReference w:id="31"/>
      </w:r>
      <w:commentRangeEnd w:id="32"/>
      <w:r>
        <w:rPr>
          <w:rStyle w:val="CommentReference"/>
          <w:rtl/>
        </w:rPr>
        <w:commentReference w:id="32"/>
      </w:r>
      <w:r w:rsidRPr="004C65B4">
        <w:t>, and if she does not</w:t>
      </w:r>
      <w:r>
        <w:t xml:space="preserve">, </w:t>
      </w:r>
      <w:r w:rsidRPr="004C65B4">
        <w:t xml:space="preserve">she will not be able to escape their </w:t>
      </w:r>
      <w:r>
        <w:t>accusation</w:t>
      </w:r>
      <w:r w:rsidRPr="004C65B4">
        <w:t xml:space="preserve">. </w:t>
      </w:r>
      <w:r>
        <w:t>S</w:t>
      </w:r>
      <w:r w:rsidRPr="004C65B4">
        <w:t>he</w:t>
      </w:r>
      <w:r>
        <w:t xml:space="preserve"> chooses</w:t>
      </w:r>
      <w:r w:rsidRPr="004C65B4">
        <w:t xml:space="preserve"> loyalty to God, and says this explicitly (according to both versions): </w:t>
      </w:r>
      <w:r>
        <w:t>“</w:t>
      </w:r>
      <w:r w:rsidRPr="004C65B4">
        <w:t>It is better that I do not do it and fall into your hands than to sin before the Lord</w:t>
      </w:r>
      <w:r>
        <w:t>”</w:t>
      </w:r>
      <w:r w:rsidRPr="004C65B4">
        <w:t xml:space="preserve"> (</w:t>
      </w:r>
      <w:r>
        <w:t xml:space="preserve">v. </w:t>
      </w:r>
      <w:r w:rsidRPr="004C65B4">
        <w:t>24). This explicit statement, expressing Susanna</w:t>
      </w:r>
      <w:r>
        <w:t>’</w:t>
      </w:r>
      <w:r w:rsidRPr="004C65B4">
        <w:t xml:space="preserve">s decision to prefer </w:t>
      </w:r>
      <w:r>
        <w:t>the risk of death</w:t>
      </w:r>
      <w:r w:rsidRPr="004C65B4">
        <w:t xml:space="preserve"> over sinning </w:t>
      </w:r>
      <w:r>
        <w:t>against God recalls the words of</w:t>
      </w:r>
      <w:r w:rsidRPr="004C65B4">
        <w:t xml:space="preserve"> Shadrach, Meshach, and Abednego, who are aware that it is not certain that God will save them from the furnace and say that whether they will be saved or not </w:t>
      </w:r>
      <w:r>
        <w:t>–</w:t>
      </w:r>
      <w:r w:rsidRPr="004C65B4">
        <w:t xml:space="preserve"> they refuse to bow down to Nebuchadnezzar</w:t>
      </w:r>
      <w:r>
        <w:t>’</w:t>
      </w:r>
      <w:r w:rsidRPr="004C65B4">
        <w:t>s golden image (Daniel 3</w:t>
      </w:r>
      <w:r>
        <w:t>:8</w:t>
      </w:r>
      <w:r w:rsidRPr="004C65B4">
        <w:t xml:space="preserve"> -17).</w:t>
      </w:r>
    </w:p>
    <w:p w14:paraId="5F928F14" w14:textId="27B7BE56" w:rsidR="00D362F9" w:rsidRPr="004C65B4" w:rsidRDefault="00D362F9" w:rsidP="000A7656">
      <w:r>
        <w:t xml:space="preserve">The </w:t>
      </w:r>
      <w:r w:rsidRPr="004C65B4">
        <w:t xml:space="preserve">two elements </w:t>
      </w:r>
      <w:r>
        <w:rPr>
          <w:rFonts w:ascii="Calibri" w:hAnsi="Calibri" w:cs="Calibri"/>
        </w:rPr>
        <w:t>–</w:t>
      </w:r>
      <w:r>
        <w:t xml:space="preserve"> </w:t>
      </w:r>
      <w:r w:rsidRPr="004C65B4">
        <w:t>the competition story</w:t>
      </w:r>
      <w:r>
        <w:t xml:space="preserve"> highlighting</w:t>
      </w:r>
      <w:r w:rsidRPr="004C65B4">
        <w:t xml:space="preserve"> Daniel</w:t>
      </w:r>
      <w:r>
        <w:t>’</w:t>
      </w:r>
      <w:r w:rsidRPr="004C65B4">
        <w:t>s wisdom</w:t>
      </w:r>
      <w:r>
        <w:t xml:space="preserve"> </w:t>
      </w:r>
      <w:r w:rsidRPr="004C65B4">
        <w:t>and the identity conflict</w:t>
      </w:r>
      <w:r>
        <w:t xml:space="preserve"> emphasizing</w:t>
      </w:r>
      <w:r w:rsidRPr="004C65B4">
        <w:t xml:space="preserve"> Susanna</w:t>
      </w:r>
      <w:r>
        <w:t>’</w:t>
      </w:r>
      <w:r w:rsidRPr="004C65B4">
        <w:t>s loyalty to God</w:t>
      </w:r>
      <w:r>
        <w:t xml:space="preserve"> </w:t>
      </w:r>
      <w:r>
        <w:rPr>
          <w:rFonts w:ascii="Calibri" w:hAnsi="Calibri" w:cs="Calibri"/>
        </w:rPr>
        <w:t>–</w:t>
      </w:r>
      <w:r w:rsidRPr="004C65B4">
        <w:t xml:space="preserve"> are present </w:t>
      </w:r>
      <w:r>
        <w:t>in the OG version</w:t>
      </w:r>
      <w:r>
        <w:rPr>
          <w:rStyle w:val="FootnoteReference"/>
          <w:rFonts w:cstheme="majorBidi"/>
          <w:color w:val="000000"/>
          <w:szCs w:val="24"/>
        </w:rPr>
        <w:footnoteReference w:id="27"/>
      </w:r>
      <w:r w:rsidRPr="004C65B4">
        <w:t xml:space="preserve"> </w:t>
      </w:r>
      <w:r>
        <w:t>and expanded and developed within the Theodotion version.</w:t>
      </w:r>
      <w:r w:rsidRPr="004C65B4">
        <w:t xml:space="preserve"> It should be noted that </w:t>
      </w:r>
      <w:r>
        <w:t>while the stories are similar, the story of</w:t>
      </w:r>
      <w:r w:rsidRPr="004C65B4">
        <w:t xml:space="preserve"> Susann </w:t>
      </w:r>
      <w:r>
        <w:t xml:space="preserve">is </w:t>
      </w:r>
      <w:r w:rsidRPr="004C65B4">
        <w:t>unique</w:t>
      </w:r>
      <w:r>
        <w:t xml:space="preserve"> in that </w:t>
      </w:r>
      <w:r w:rsidRPr="004C65B4">
        <w:t>both the competition and the conflict are not between a Jew and a non-Jew, but express an internal Jewish conflict: between the leadership of the Babylonian elder judges and young Daniel, and between loyalty to God's laws and Torah and violation of Torah laws (</w:t>
      </w:r>
      <w:r>
        <w:t>with</w:t>
      </w:r>
      <w:r w:rsidRPr="004C65B4">
        <w:t xml:space="preserve"> the one representing the sin is not the foreign king, but the corrupt judges).</w:t>
      </w:r>
    </w:p>
    <w:p w14:paraId="6D68C935" w14:textId="1487CA02" w:rsidR="00D362F9" w:rsidRPr="004C65B4" w:rsidRDefault="00D362F9" w:rsidP="000A7656"/>
    <w:p w14:paraId="00000037" w14:textId="2E92C707" w:rsidR="00847AA3" w:rsidRPr="004C65B4" w:rsidRDefault="00D362F9" w:rsidP="00623295">
      <w:pPr>
        <w:pStyle w:val="Heading1"/>
        <w:numPr>
          <w:ilvl w:val="0"/>
          <w:numId w:val="1"/>
        </w:numPr>
      </w:pPr>
      <w:r>
        <w:t>The Story of Susanna and the Laws of Testimony</w:t>
      </w:r>
    </w:p>
    <w:p w14:paraId="0000003B" w14:textId="0925F38B" w:rsidR="00847AA3" w:rsidRPr="004C65B4" w:rsidRDefault="00885002" w:rsidP="000A7656">
      <w:r w:rsidRPr="004C65B4">
        <w:t>The story of Susanna contains an abundance of references to various aspects of the laws of testimony.</w:t>
      </w:r>
      <w:r w:rsidR="00532576">
        <w:rPr>
          <w:rStyle w:val="FootnoteReference"/>
          <w:rFonts w:cstheme="majorBidi"/>
          <w:color w:val="000000"/>
          <w:szCs w:val="24"/>
        </w:rPr>
        <w:footnoteReference w:id="28"/>
      </w:r>
      <w:r w:rsidRPr="004C65B4">
        <w:t xml:space="preserve"> </w:t>
      </w:r>
      <w:r w:rsidR="007F1C69">
        <w:t>Orit Malka has emphasized the import</w:t>
      </w:r>
      <w:r w:rsidR="00D362F9">
        <w:t>ance</w:t>
      </w:r>
      <w:r w:rsidR="007F1C69">
        <w:t xml:space="preserve"> of the Susanna story in the development of ancient concepts of testimony and, most particularly, </w:t>
      </w:r>
      <w:r w:rsidR="003226F2">
        <w:t xml:space="preserve">in </w:t>
      </w:r>
      <w:r w:rsidR="007F1C69">
        <w:t>the role of witnesses in the legal process</w:t>
      </w:r>
      <w:r w:rsidRPr="004C65B4">
        <w:t>According to her, although in modern thinking the idea of examining witnesses seems trivial, in ancient thought the role of witnesses was different.</w:t>
      </w:r>
      <w:r w:rsidR="00532576">
        <w:rPr>
          <w:rStyle w:val="FootnoteReference"/>
          <w:rFonts w:cstheme="majorBidi"/>
          <w:color w:val="000000"/>
          <w:szCs w:val="24"/>
        </w:rPr>
        <w:footnoteReference w:id="29"/>
      </w:r>
      <w:r w:rsidRPr="004C65B4">
        <w:t xml:space="preserve"> The idea of examining witnesses separately, which is mentioned in </w:t>
      </w:r>
      <w:r w:rsidR="00593A9C">
        <w:t>R</w:t>
      </w:r>
      <w:r w:rsidRPr="004C65B4">
        <w:t>abbinic literature,</w:t>
      </w:r>
      <w:r w:rsidR="006D3AD3">
        <w:rPr>
          <w:rStyle w:val="FootnoteReference"/>
          <w:rFonts w:cstheme="majorBidi"/>
          <w:color w:val="000000"/>
          <w:szCs w:val="24"/>
        </w:rPr>
        <w:footnoteReference w:id="30"/>
      </w:r>
      <w:r w:rsidRPr="004C65B4">
        <w:t xml:space="preserve"> first appears in the story of Susanna, and in this respect, </w:t>
      </w:r>
      <w:r w:rsidR="007F1C69">
        <w:t xml:space="preserve">it is </w:t>
      </w:r>
      <w:r w:rsidRPr="004C65B4">
        <w:t>a precedent-setting story.</w:t>
      </w:r>
      <w:r w:rsidR="007F1C69">
        <w:t xml:space="preserve"> </w:t>
      </w:r>
      <w:r w:rsidR="00D362F9">
        <w:t xml:space="preserve">Daube even argued that </w:t>
      </w:r>
      <w:r w:rsidR="00F93210">
        <w:t xml:space="preserve">Susanna </w:t>
      </w:r>
      <w:r w:rsidR="00D362F9">
        <w:t>is</w:t>
      </w:r>
      <w:r w:rsidR="00F93210">
        <w:t xml:space="preserve"> a Pharisaic story </w:t>
      </w:r>
      <w:r w:rsidR="00D362F9" w:rsidRPr="004C65B4">
        <w:t xml:space="preserve">whose </w:t>
      </w:r>
      <w:r w:rsidR="00D362F9">
        <w:t>purpose was</w:t>
      </w:r>
      <w:r w:rsidR="00D362F9" w:rsidRPr="004C65B4">
        <w:t xml:space="preserve"> to ensure the acceptance of the new method of examining witnesses individually.</w:t>
      </w:r>
      <w:r w:rsidR="00D362F9">
        <w:t xml:space="preserve"> He went so far as to claim that the</w:t>
      </w:r>
      <w:r w:rsidRPr="004C65B4">
        <w:t xml:space="preserve"> narrative framework of the story of Susanna is nothing more than an excuse for dealing with the laws of testimony.</w:t>
      </w:r>
      <w:r w:rsidR="006D3AD3">
        <w:rPr>
          <w:rStyle w:val="FootnoteReference"/>
          <w:rFonts w:cstheme="majorBidi"/>
          <w:color w:val="000000"/>
          <w:szCs w:val="24"/>
        </w:rPr>
        <w:footnoteReference w:id="31"/>
      </w:r>
      <w:r w:rsidRPr="004C65B4">
        <w:t xml:space="preserve"> </w:t>
      </w:r>
      <w:r w:rsidR="00DC5E7C">
        <w:t xml:space="preserve">Conversely, </w:t>
      </w:r>
      <w:r w:rsidRPr="004C65B4">
        <w:t xml:space="preserve">Bernard Jackson pointed out significant differences between the laws of testimony </w:t>
      </w:r>
      <w:r w:rsidR="00DC5E7C">
        <w:t xml:space="preserve">as presented in Susanna </w:t>
      </w:r>
      <w:r w:rsidRPr="004C65B4">
        <w:t>and the</w:t>
      </w:r>
      <w:r w:rsidR="00D362F9">
        <w:t xml:space="preserve"> Rabbinic</w:t>
      </w:r>
      <w:r w:rsidRPr="004C65B4">
        <w:t xml:space="preserve"> laws of testimony</w:t>
      </w:r>
      <w:r w:rsidR="00A72D91">
        <w:t>.</w:t>
      </w:r>
      <w:commentRangeStart w:id="33"/>
      <w:r w:rsidR="006D3AD3">
        <w:rPr>
          <w:rStyle w:val="FootnoteReference"/>
          <w:rFonts w:cstheme="majorBidi"/>
          <w:color w:val="000000"/>
          <w:szCs w:val="24"/>
        </w:rPr>
        <w:footnoteReference w:id="32"/>
      </w:r>
      <w:commentRangeEnd w:id="33"/>
      <w:r w:rsidR="00337EB3">
        <w:rPr>
          <w:rStyle w:val="CommentReference"/>
        </w:rPr>
        <w:commentReference w:id="33"/>
      </w:r>
      <w:r w:rsidRPr="004C65B4">
        <w:t xml:space="preserve"> </w:t>
      </w:r>
      <w:r w:rsidR="00DC5E7C">
        <w:t xml:space="preserve">More recently, </w:t>
      </w:r>
      <w:r w:rsidRPr="004C65B4">
        <w:t xml:space="preserve">Malka </w:t>
      </w:r>
      <w:r w:rsidR="00DC5E7C">
        <w:t xml:space="preserve">has </w:t>
      </w:r>
      <w:r w:rsidR="00816725">
        <w:t xml:space="preserve">identified </w:t>
      </w:r>
      <w:r w:rsidR="00D362F9">
        <w:t xml:space="preserve">three </w:t>
      </w:r>
      <w:r w:rsidR="00DC5E7C">
        <w:t xml:space="preserve">instances where the testimony in Susanna </w:t>
      </w:r>
      <w:r w:rsidR="00D362F9">
        <w:t xml:space="preserve">more closely </w:t>
      </w:r>
      <w:r w:rsidRPr="004C65B4">
        <w:t xml:space="preserve">resembles biblical </w:t>
      </w:r>
      <w:r w:rsidR="00D362F9">
        <w:t>testimony rather than that</w:t>
      </w:r>
      <w:r w:rsidR="003226F2">
        <w:t xml:space="preserve"> </w:t>
      </w:r>
      <w:r w:rsidR="00D362F9">
        <w:t>which</w:t>
      </w:r>
      <w:r w:rsidRPr="004C65B4">
        <w:t xml:space="preserve"> </w:t>
      </w:r>
      <w:r w:rsidR="00816725">
        <w:t xml:space="preserve">appears </w:t>
      </w:r>
      <w:r w:rsidR="006D3AD3">
        <w:t xml:space="preserve">in </w:t>
      </w:r>
      <w:r w:rsidR="00593A9C">
        <w:t>R</w:t>
      </w:r>
      <w:r w:rsidR="006D3AD3">
        <w:t>abbinic literature.</w:t>
      </w:r>
      <w:r w:rsidR="006D3AD3">
        <w:rPr>
          <w:rStyle w:val="FootnoteReference"/>
          <w:rFonts w:cstheme="majorBidi"/>
          <w:color w:val="000000"/>
          <w:szCs w:val="24"/>
        </w:rPr>
        <w:footnoteReference w:id="33"/>
      </w:r>
      <w:r w:rsidR="00816725">
        <w:t xml:space="preserve"> </w:t>
      </w:r>
      <w:r w:rsidR="00F740C1">
        <w:t xml:space="preserve">Comparing </w:t>
      </w:r>
      <w:r w:rsidR="00107A30">
        <w:t>the laying of hands</w:t>
      </w:r>
      <w:r w:rsidR="00F740C1">
        <w:t xml:space="preserve"> on Susannah</w:t>
      </w:r>
      <w:r w:rsidR="008E4E8B">
        <w:t>’</w:t>
      </w:r>
      <w:r w:rsidR="00F740C1">
        <w:t>s head in the course of the elders</w:t>
      </w:r>
      <w:r w:rsidR="008E4E8B">
        <w:t>’</w:t>
      </w:r>
      <w:r w:rsidR="00F740C1">
        <w:t xml:space="preserve"> testimony (v. 34) with the laying of hands on the </w:t>
      </w:r>
      <w:r w:rsidR="008C67E3">
        <w:t>head of the blasphemer (Lev 24:1</w:t>
      </w:r>
      <w:r w:rsidR="00F740C1">
        <w:t>4)</w:t>
      </w:r>
      <w:r w:rsidR="005C250D">
        <w:t xml:space="preserve">, </w:t>
      </w:r>
      <w:r w:rsidRPr="004C65B4">
        <w:t>Malka</w:t>
      </w:r>
      <w:r w:rsidR="008C67E3">
        <w:t xml:space="preserve"> argues that the laying of hands on the accused is an essential part of testimony.</w:t>
      </w:r>
      <w:r w:rsidR="00285F8D">
        <w:rPr>
          <w:rStyle w:val="FootnoteReference"/>
          <w:rFonts w:cstheme="majorBidi"/>
          <w:color w:val="000000"/>
          <w:szCs w:val="24"/>
        </w:rPr>
        <w:footnoteReference w:id="34"/>
      </w:r>
      <w:r w:rsidRPr="004C65B4">
        <w:t xml:space="preserve"> </w:t>
      </w:r>
      <w:commentRangeStart w:id="34"/>
      <w:r w:rsidRPr="004C65B4">
        <w:t>This claim is interesting and important, and can be strengthened in light of the fact that in the blasphemer's story (Leviticus 24:14), those who lay their hands on the blasphemer's head are all those who heard him, while those who stone him are the entire congregation. This difference may be related to this point. Anyone who did not hear the blasphemer cannot testify about it and therefore does not lay their hands on him</w:t>
      </w:r>
      <w:commentRangeEnd w:id="34"/>
      <w:r w:rsidR="00337EB3">
        <w:rPr>
          <w:rStyle w:val="CommentReference"/>
        </w:rPr>
        <w:commentReference w:id="34"/>
      </w:r>
      <w:r w:rsidRPr="004C65B4">
        <w:t>.</w:t>
      </w:r>
    </w:p>
    <w:p w14:paraId="791539A5" w14:textId="0FFCC263" w:rsidR="00D254D1" w:rsidRDefault="00337EB3" w:rsidP="000A7656">
      <w:r>
        <w:rPr>
          <w:rFonts w:hint="cs"/>
        </w:rPr>
        <w:t>M</w:t>
      </w:r>
      <w:r>
        <w:rPr>
          <w:lang w:bidi="he-IL"/>
        </w:rPr>
        <w:t xml:space="preserve">alka’s reading ignores the </w:t>
      </w:r>
      <w:r w:rsidR="00885002" w:rsidRPr="004C65B4">
        <w:t xml:space="preserve">connection between the story of Susanna and another biblical law </w:t>
      </w:r>
      <w:r>
        <w:t xml:space="preserve">of </w:t>
      </w:r>
      <w:r w:rsidR="00885002" w:rsidRPr="004C65B4">
        <w:t xml:space="preserve">the </w:t>
      </w:r>
      <w:commentRangeStart w:id="35"/>
      <w:r w:rsidR="00885002" w:rsidRPr="004C65B4">
        <w:t xml:space="preserve">heifer whose neck is broken </w:t>
      </w:r>
      <w:commentRangeEnd w:id="35"/>
      <w:r>
        <w:rPr>
          <w:rStyle w:val="CommentReference"/>
        </w:rPr>
        <w:commentReference w:id="35"/>
      </w:r>
      <w:r w:rsidR="00885002" w:rsidRPr="004C65B4">
        <w:t>(Deut 21:</w:t>
      </w:r>
      <w:r w:rsidR="00D254D1">
        <w:t>1-9</w:t>
      </w:r>
      <w:r w:rsidR="00885002" w:rsidRPr="004C65B4">
        <w:t xml:space="preserve">). Although this law </w:t>
      </w:r>
      <w:r w:rsidR="00D254D1">
        <w:t>mentions the washing of hands rather than the laying of hands, there are numerous connections between this text and the testimony in Susanna that do not appear to be coincidental.</w:t>
      </w:r>
    </w:p>
    <w:p w14:paraId="62BDA654" w14:textId="35AF54B3" w:rsidR="00864673" w:rsidRPr="001426CF" w:rsidRDefault="008B275B" w:rsidP="000A7656">
      <w:pPr>
        <w:pStyle w:val="Heading1"/>
      </w:pPr>
      <w:r>
        <w:t xml:space="preserve">3.1 </w:t>
      </w:r>
      <w:r w:rsidR="001426CF">
        <w:t>The Story of Susanna and the Law of the Heifer Whose Neck is Broken (Deut 21:1-9).</w:t>
      </w:r>
    </w:p>
    <w:p w14:paraId="0000003F" w14:textId="1700B729" w:rsidR="00847AA3" w:rsidRPr="004C65B4" w:rsidRDefault="00885002" w:rsidP="000A7656">
      <w:r w:rsidRPr="004C65B4">
        <w:t xml:space="preserve">First, </w:t>
      </w:r>
      <w:r w:rsidR="005D12C2">
        <w:t xml:space="preserve">I would note the reference to </w:t>
      </w:r>
      <w:r w:rsidR="00FE2133">
        <w:t>“</w:t>
      </w:r>
      <w:r w:rsidR="005D12C2">
        <w:t>your elders and your judges</w:t>
      </w:r>
      <w:r w:rsidR="00FE2133">
        <w:t>”</w:t>
      </w:r>
      <w:r w:rsidR="005D12C2">
        <w:t xml:space="preserve"> who are commanded to measure the distance of the corpse to nearby towns (Deut 21:2). Subsequently, </w:t>
      </w:r>
      <w:r w:rsidRPr="004C65B4">
        <w:t>only the elders are mentioned without the judges, and in verse 5</w:t>
      </w:r>
      <w:r w:rsidR="008E5B7A">
        <w:t>,</w:t>
      </w:r>
      <w:r w:rsidRPr="004C65B4">
        <w:t xml:space="preserve"> </w:t>
      </w:r>
      <w:commentRangeStart w:id="36"/>
      <w:r w:rsidRPr="004C65B4">
        <w:t xml:space="preserve">priests </w:t>
      </w:r>
      <w:commentRangeEnd w:id="36"/>
      <w:r w:rsidR="00910088">
        <w:rPr>
          <w:rStyle w:val="CommentReference"/>
        </w:rPr>
        <w:commentReference w:id="36"/>
      </w:r>
      <w:r w:rsidRPr="004C65B4">
        <w:t>are also mentioned.</w:t>
      </w:r>
      <w:r w:rsidR="00285F8D">
        <w:rPr>
          <w:rStyle w:val="FootnoteReference"/>
          <w:rFonts w:cstheme="majorBidi"/>
          <w:color w:val="000000"/>
          <w:szCs w:val="24"/>
        </w:rPr>
        <w:footnoteReference w:id="35"/>
      </w:r>
      <w:r w:rsidRPr="004C65B4">
        <w:t xml:space="preserve"> In any case, the combination of elders and judges corresponds </w:t>
      </w:r>
      <w:r w:rsidR="00585789">
        <w:t xml:space="preserve">to the reference to the elders of the people being appointed judges at the beginning of the Susanna story (v. 5). </w:t>
      </w:r>
      <w:r w:rsidRPr="004C65B4">
        <w:t xml:space="preserve">Note that in both places </w:t>
      </w:r>
      <w:r w:rsidR="005F1B52">
        <w:t>there is no reference to</w:t>
      </w:r>
      <w:r w:rsidRPr="004C65B4">
        <w:t xml:space="preserve"> a single leader</w:t>
      </w:r>
      <w:r w:rsidR="005F1B52">
        <w:t xml:space="preserve"> but to a group</w:t>
      </w:r>
      <w:r w:rsidRPr="004C65B4">
        <w:t xml:space="preserve">. </w:t>
      </w:r>
      <w:r w:rsidR="00921AB1">
        <w:t>In addition, in both the OG and Theodotion versions of Susanna</w:t>
      </w:r>
      <w:r w:rsidR="00802221">
        <w:t>,</w:t>
      </w:r>
      <w:r w:rsidR="00921AB1">
        <w:t xml:space="preserve"> there is a scene where the </w:t>
      </w:r>
      <w:commentRangeStart w:id="37"/>
      <w:r w:rsidR="00921AB1">
        <w:t>elders</w:t>
      </w:r>
      <w:commentRangeEnd w:id="37"/>
      <w:r w:rsidR="00921AB1">
        <w:rPr>
          <w:rStyle w:val="CommentReference"/>
        </w:rPr>
        <w:commentReference w:id="37"/>
      </w:r>
      <w:r w:rsidR="00921AB1">
        <w:t xml:space="preserve"> lay their hands upon Susanna</w:t>
      </w:r>
      <w:r w:rsidR="008E4E8B">
        <w:t>’</w:t>
      </w:r>
      <w:r w:rsidR="00921AB1">
        <w:t xml:space="preserve">s head </w:t>
      </w:r>
      <w:r w:rsidRPr="004C65B4">
        <w:t xml:space="preserve">(34). </w:t>
      </w:r>
      <w:r w:rsidR="00921AB1">
        <w:t xml:space="preserve">I would suggest a parallel with the command that </w:t>
      </w:r>
      <w:r w:rsidR="00921AB1" w:rsidRPr="00623295">
        <w:t>elders</w:t>
      </w:r>
      <w:r w:rsidR="00921AB1">
        <w:t xml:space="preserve"> of </w:t>
      </w:r>
      <w:r w:rsidR="00802221">
        <w:t xml:space="preserve">the </w:t>
      </w:r>
      <w:r w:rsidR="00921AB1">
        <w:t>town nearest the corpse</w:t>
      </w:r>
      <w:r w:rsidR="00D50455">
        <w:t xml:space="preserve">: </w:t>
      </w:r>
      <w:r w:rsidR="00FE2133">
        <w:t>“</w:t>
      </w:r>
      <w:r w:rsidR="00921AB1">
        <w:t xml:space="preserve">shall wash their hands over </w:t>
      </w:r>
      <w:r w:rsidRPr="004C65B4">
        <w:t xml:space="preserve">the heifer whose neck </w:t>
      </w:r>
      <w:r w:rsidR="008A6669">
        <w:t>was</w:t>
      </w:r>
      <w:r w:rsidRPr="004C65B4">
        <w:t xml:space="preserve"> broken in the </w:t>
      </w:r>
      <w:r w:rsidR="008A6669">
        <w:t>wadi</w:t>
      </w:r>
      <w:r w:rsidR="00FE2133">
        <w:t>”</w:t>
      </w:r>
      <w:r w:rsidR="008A6669">
        <w:t xml:space="preserve"> </w:t>
      </w:r>
      <w:r w:rsidRPr="004C65B4">
        <w:t xml:space="preserve">(Deut 21:6). The connection between the two texts </w:t>
      </w:r>
      <w:r w:rsidR="008A6669">
        <w:t>is even closer in the LXX w</w:t>
      </w:r>
      <w:r w:rsidR="00D50455">
        <w:t>h</w:t>
      </w:r>
      <w:r w:rsidR="008A6669">
        <w:t xml:space="preserve">ere the elders are </w:t>
      </w:r>
      <w:r w:rsidR="005B72D5" w:rsidRPr="004C65B4">
        <w:t>:</w:t>
      </w:r>
      <w:r w:rsidR="005B72D5">
        <w:t xml:space="preserve"> </w:t>
      </w:r>
      <w:r w:rsidR="005B72D5" w:rsidRPr="00824B5D">
        <w:rPr>
          <w:rFonts w:ascii="Calibri" w:hAnsi="Calibri" w:cs="Calibri"/>
        </w:rPr>
        <w:t>ν</w:t>
      </w:r>
      <w:r w:rsidR="005B72D5" w:rsidRPr="00824B5D">
        <w:rPr>
          <w:rFonts w:ascii="Arial" w:hAnsi="Arial"/>
        </w:rPr>
        <w:t>ί</w:t>
      </w:r>
      <w:r w:rsidR="005B72D5" w:rsidRPr="00824B5D">
        <w:rPr>
          <w:rFonts w:ascii="Calibri" w:hAnsi="Calibri" w:cs="Calibri"/>
        </w:rPr>
        <w:t>ψονται</w:t>
      </w:r>
      <w:r w:rsidR="005B72D5" w:rsidRPr="00824B5D">
        <w:rPr>
          <w:rFonts w:ascii="David" w:hAnsi="David" w:cs="David"/>
        </w:rPr>
        <w:t xml:space="preserve"> </w:t>
      </w:r>
      <w:r w:rsidR="005B72D5" w:rsidRPr="00824B5D">
        <w:rPr>
          <w:rFonts w:ascii="Calibri" w:hAnsi="Calibri" w:cs="Calibri"/>
        </w:rPr>
        <w:t>τ</w:t>
      </w:r>
      <w:r w:rsidR="005B72D5" w:rsidRPr="00824B5D">
        <w:rPr>
          <w:rFonts w:ascii="Arial" w:hAnsi="Arial"/>
        </w:rPr>
        <w:t>ὰ</w:t>
      </w:r>
      <w:r w:rsidR="005B72D5" w:rsidRPr="00824B5D">
        <w:rPr>
          <w:rFonts w:ascii="Calibri" w:hAnsi="Calibri" w:cs="Calibri"/>
        </w:rPr>
        <w:t>ς</w:t>
      </w:r>
      <w:r w:rsidR="005B72D5" w:rsidRPr="00824B5D">
        <w:rPr>
          <w:rFonts w:ascii="David" w:hAnsi="David" w:cs="David"/>
        </w:rPr>
        <w:t xml:space="preserve"> </w:t>
      </w:r>
      <w:r w:rsidR="005B72D5" w:rsidRPr="00824B5D">
        <w:rPr>
          <w:rFonts w:ascii="Calibri" w:hAnsi="Calibri" w:cs="Calibri"/>
        </w:rPr>
        <w:t>χε</w:t>
      </w:r>
      <w:r w:rsidR="005B72D5" w:rsidRPr="00824B5D">
        <w:rPr>
          <w:rFonts w:ascii="Arial" w:hAnsi="Arial"/>
        </w:rPr>
        <w:t>ῖ</w:t>
      </w:r>
      <w:r w:rsidR="005B72D5" w:rsidRPr="00824B5D">
        <w:rPr>
          <w:rFonts w:ascii="Calibri" w:hAnsi="Calibri" w:cs="Calibri"/>
        </w:rPr>
        <w:t>ρας</w:t>
      </w:r>
      <w:r w:rsidR="005B72D5" w:rsidRPr="00824B5D">
        <w:rPr>
          <w:rFonts w:ascii="David" w:hAnsi="David" w:cs="David"/>
        </w:rPr>
        <w:t xml:space="preserve"> </w:t>
      </w:r>
      <w:r w:rsidR="005B72D5" w:rsidRPr="00824B5D">
        <w:rPr>
          <w:rFonts w:ascii="Arial" w:hAnsi="Arial"/>
        </w:rPr>
        <w:t>ἐ</w:t>
      </w:r>
      <w:r w:rsidR="005B72D5" w:rsidRPr="00824B5D">
        <w:rPr>
          <w:rFonts w:ascii="Calibri" w:hAnsi="Calibri" w:cs="Calibri"/>
        </w:rPr>
        <w:t>π</w:t>
      </w:r>
      <w:r w:rsidR="005B72D5" w:rsidRPr="00824B5D">
        <w:rPr>
          <w:rFonts w:ascii="Arial" w:hAnsi="Arial"/>
        </w:rPr>
        <w:t>ὶ</w:t>
      </w:r>
      <w:r w:rsidR="005B72D5" w:rsidRPr="00824B5D">
        <w:rPr>
          <w:rFonts w:ascii="David" w:hAnsi="David" w:cs="David"/>
        </w:rPr>
        <w:t xml:space="preserve"> </w:t>
      </w:r>
      <w:r w:rsidR="005B72D5" w:rsidRPr="00824B5D">
        <w:rPr>
          <w:rFonts w:ascii="Calibri" w:hAnsi="Calibri" w:cs="Calibri"/>
        </w:rPr>
        <w:t>τ</w:t>
      </w:r>
      <w:r w:rsidR="005B72D5" w:rsidRPr="00824B5D">
        <w:rPr>
          <w:rFonts w:ascii="Arial" w:hAnsi="Arial"/>
        </w:rPr>
        <w:t>ὴ</w:t>
      </w:r>
      <w:r w:rsidR="005B72D5" w:rsidRPr="00824B5D">
        <w:rPr>
          <w:rFonts w:ascii="Calibri" w:hAnsi="Calibri" w:cs="Calibri"/>
        </w:rPr>
        <w:t>ν</w:t>
      </w:r>
      <w:r w:rsidR="005B72D5" w:rsidRPr="00824B5D">
        <w:rPr>
          <w:rFonts w:ascii="David" w:hAnsi="David" w:cs="David"/>
        </w:rPr>
        <w:t xml:space="preserve"> </w:t>
      </w:r>
      <w:r w:rsidR="005B72D5" w:rsidRPr="00824B5D">
        <w:rPr>
          <w:rFonts w:ascii="Calibri" w:hAnsi="Calibri" w:cs="Calibri"/>
          <w:b/>
          <w:bCs/>
        </w:rPr>
        <w:t>κεφαλ</w:t>
      </w:r>
      <w:r w:rsidR="005B72D5" w:rsidRPr="00824B5D">
        <w:rPr>
          <w:rFonts w:ascii="Arial" w:hAnsi="Arial"/>
          <w:b/>
          <w:bCs/>
        </w:rPr>
        <w:t>ὴ</w:t>
      </w:r>
      <w:r w:rsidR="005B72D5" w:rsidRPr="00824B5D">
        <w:rPr>
          <w:rFonts w:ascii="Calibri" w:hAnsi="Calibri" w:cs="Calibri"/>
          <w:b/>
          <w:bCs/>
        </w:rPr>
        <w:t>ν</w:t>
      </w:r>
      <w:r w:rsidR="005B72D5" w:rsidRPr="00824B5D">
        <w:rPr>
          <w:rFonts w:ascii="David" w:hAnsi="David" w:cs="David"/>
        </w:rPr>
        <w:t xml:space="preserve"> </w:t>
      </w:r>
      <w:r w:rsidR="005B72D5" w:rsidRPr="00824B5D">
        <w:rPr>
          <w:rFonts w:ascii="Calibri" w:hAnsi="Calibri" w:cs="Calibri"/>
        </w:rPr>
        <w:t>τ</w:t>
      </w:r>
      <w:r w:rsidR="005B72D5" w:rsidRPr="00824B5D">
        <w:rPr>
          <w:rFonts w:ascii="Arial" w:hAnsi="Arial"/>
        </w:rPr>
        <w:t>ῆ</w:t>
      </w:r>
      <w:r w:rsidR="005B72D5" w:rsidRPr="00824B5D">
        <w:rPr>
          <w:rFonts w:ascii="Calibri" w:hAnsi="Calibri" w:cs="Calibri"/>
        </w:rPr>
        <w:t>ς</w:t>
      </w:r>
      <w:r w:rsidR="005B72D5" w:rsidRPr="00824B5D">
        <w:rPr>
          <w:rFonts w:ascii="David" w:hAnsi="David" w:cs="David"/>
        </w:rPr>
        <w:t xml:space="preserve"> </w:t>
      </w:r>
      <w:r w:rsidR="005B72D5" w:rsidRPr="00824B5D">
        <w:rPr>
          <w:rFonts w:ascii="Calibri" w:hAnsi="Calibri" w:cs="Calibri"/>
        </w:rPr>
        <w:t>δαμ</w:t>
      </w:r>
      <w:r w:rsidR="005B72D5" w:rsidRPr="00824B5D">
        <w:rPr>
          <w:rFonts w:ascii="Arial" w:hAnsi="Arial"/>
        </w:rPr>
        <w:t>ά</w:t>
      </w:r>
      <w:r w:rsidR="005B72D5" w:rsidRPr="00824B5D">
        <w:rPr>
          <w:rFonts w:ascii="Calibri" w:hAnsi="Calibri" w:cs="Calibri"/>
        </w:rPr>
        <w:t>λεως</w:t>
      </w:r>
      <w:r w:rsidR="005B72D5" w:rsidRPr="00824B5D">
        <w:rPr>
          <w:rFonts w:ascii="David" w:hAnsi="David" w:cs="David"/>
        </w:rPr>
        <w:t xml:space="preserve"> </w:t>
      </w:r>
      <w:r w:rsidR="005B72D5" w:rsidRPr="00824B5D">
        <w:rPr>
          <w:rFonts w:ascii="Calibri" w:hAnsi="Calibri" w:cs="Calibri"/>
        </w:rPr>
        <w:t>τ</w:t>
      </w:r>
      <w:r w:rsidR="005B72D5" w:rsidRPr="00824B5D">
        <w:rPr>
          <w:rFonts w:ascii="Arial" w:hAnsi="Arial"/>
        </w:rPr>
        <w:t>ῆ</w:t>
      </w:r>
      <w:r w:rsidR="005B72D5" w:rsidRPr="00824B5D">
        <w:rPr>
          <w:rFonts w:ascii="Calibri" w:hAnsi="Calibri" w:cs="Calibri"/>
        </w:rPr>
        <w:t>ς</w:t>
      </w:r>
      <w:r w:rsidR="005B72D5" w:rsidRPr="00824B5D">
        <w:rPr>
          <w:rFonts w:ascii="David" w:hAnsi="David" w:cs="David"/>
        </w:rPr>
        <w:t xml:space="preserve"> </w:t>
      </w:r>
      <w:r w:rsidR="005B72D5" w:rsidRPr="00824B5D">
        <w:rPr>
          <w:rFonts w:ascii="Calibri" w:hAnsi="Calibri" w:cs="Calibri"/>
        </w:rPr>
        <w:t>νενευροκοπημ</w:t>
      </w:r>
      <w:r w:rsidR="005B72D5" w:rsidRPr="00824B5D">
        <w:rPr>
          <w:rFonts w:ascii="Arial" w:hAnsi="Arial"/>
        </w:rPr>
        <w:t>έ</w:t>
      </w:r>
      <w:r w:rsidR="005B72D5" w:rsidRPr="00824B5D">
        <w:rPr>
          <w:rFonts w:ascii="Calibri" w:hAnsi="Calibri" w:cs="Calibri"/>
        </w:rPr>
        <w:t>νης</w:t>
      </w:r>
      <w:r w:rsidR="005B72D5" w:rsidDel="00FE2133">
        <w:t xml:space="preserve"> </w:t>
      </w:r>
      <w:r w:rsidR="00FE2133">
        <w:t>“</w:t>
      </w:r>
      <w:r w:rsidR="008A6669">
        <w:t>wash their hands on the heifer</w:t>
      </w:r>
      <w:r w:rsidR="008E4E8B">
        <w:t>’</w:t>
      </w:r>
      <w:r w:rsidR="008A6669">
        <w:t xml:space="preserve">s </w:t>
      </w:r>
      <w:commentRangeStart w:id="38"/>
      <w:r w:rsidR="008A6669">
        <w:t>head</w:t>
      </w:r>
      <w:commentRangeEnd w:id="38"/>
      <w:r w:rsidR="008A6669">
        <w:rPr>
          <w:rStyle w:val="CommentReference"/>
        </w:rPr>
        <w:commentReference w:id="38"/>
      </w:r>
      <w:r w:rsidR="00593A9C">
        <w:t>”</w:t>
      </w:r>
      <w:r w:rsidR="008A6669">
        <w:t xml:space="preserve"> (LXX Deut 21:6).</w:t>
      </w:r>
      <w:r w:rsidRPr="004C65B4">
        <w:t xml:space="preserve"> The act of washing hands </w:t>
      </w:r>
      <w:r w:rsidR="008A6669">
        <w:t xml:space="preserve">over or </w:t>
      </w:r>
      <w:r w:rsidRPr="004C65B4">
        <w:t>on the head of the heifer</w:t>
      </w:r>
      <w:r w:rsidR="008A6669">
        <w:t xml:space="preserve"> is a symbolic act that immediately precedes a proclamation by the elders</w:t>
      </w:r>
      <w:r w:rsidR="005B72D5">
        <w:rPr>
          <w:rFonts w:ascii="Calibri" w:hAnsi="Calibri" w:cs="Calibri"/>
        </w:rPr>
        <w:t xml:space="preserve"> </w:t>
      </w:r>
      <w:r w:rsidR="005B72D5">
        <w:t>“</w:t>
      </w:r>
      <w:r w:rsidR="005B72D5" w:rsidRPr="004C65B4">
        <w:t>Our hands did not spill this blood, and our eyes did not see</w:t>
      </w:r>
      <w:r w:rsidR="005B72D5">
        <w:t>”</w:t>
      </w:r>
      <w:r w:rsidR="005B72D5" w:rsidRPr="004C65B4">
        <w:t xml:space="preserve"> (Deut 21:7). </w:t>
      </w:r>
      <w:r w:rsidR="00E35002">
        <w:t xml:space="preserve">The physical act of washing expresses a moral cleansing </w:t>
      </w:r>
      <w:r w:rsidR="008A6669">
        <w:t xml:space="preserve">such as found in Isaiah 1:16: </w:t>
      </w:r>
      <w:r w:rsidR="00FE2133">
        <w:t>“</w:t>
      </w:r>
      <w:r w:rsidRPr="004C65B4">
        <w:t>Wash, purify yourselves, remove your evil deeds from before my eyes, stop doing evil</w:t>
      </w:r>
      <w:r w:rsidR="008A6669">
        <w:t>.</w:t>
      </w:r>
      <w:r w:rsidR="00FE2133">
        <w:t>”</w:t>
      </w:r>
      <w:r w:rsidR="008A6669">
        <w:t xml:space="preserve"> </w:t>
      </w:r>
      <w:commentRangeStart w:id="39"/>
      <w:r w:rsidRPr="004C65B4">
        <w:t xml:space="preserve">This </w:t>
      </w:r>
      <w:r w:rsidR="002342D0">
        <w:t>similar ritual and language suggests</w:t>
      </w:r>
      <w:r w:rsidR="002342D0" w:rsidRPr="004C65B4">
        <w:t xml:space="preserve"> </w:t>
      </w:r>
      <w:r w:rsidRPr="004C65B4">
        <w:t>a comparison between the heifer and Susanna. Both are presented as innocent victims.</w:t>
      </w:r>
      <w:commentRangeEnd w:id="39"/>
      <w:r w:rsidR="002342D0">
        <w:rPr>
          <w:rStyle w:val="CommentReference"/>
        </w:rPr>
        <w:commentReference w:id="39"/>
      </w:r>
    </w:p>
    <w:p w14:paraId="198B6FCC" w14:textId="77777777" w:rsidR="004D3DEE" w:rsidRDefault="004D3DEE" w:rsidP="000A7656"/>
    <w:p w14:paraId="00000041" w14:textId="67534BAD" w:rsidR="00847AA3" w:rsidRPr="004C65B4" w:rsidRDefault="00885002" w:rsidP="000A7656">
      <w:r w:rsidRPr="004C65B4">
        <w:t xml:space="preserve"> The phrase </w:t>
      </w:r>
      <w:r w:rsidR="00FE2133">
        <w:t>“</w:t>
      </w:r>
      <w:r w:rsidRPr="004C65B4">
        <w:t>innocent blood</w:t>
      </w:r>
      <w:r w:rsidR="00FE2133">
        <w:t>”</w:t>
      </w:r>
      <w:r w:rsidRPr="004C65B4">
        <w:t xml:space="preserve"> is mentioned in both texts. </w:t>
      </w:r>
      <w:commentRangeStart w:id="40"/>
      <w:r w:rsidRPr="004C65B4">
        <w:t xml:space="preserve">In the story of Susanna, in both versions, the phrase </w:t>
      </w:r>
      <w:r w:rsidR="00FE2133">
        <w:t>“</w:t>
      </w:r>
      <w:r w:rsidRPr="004C65B4">
        <w:t>innocent blood was spared that day</w:t>
      </w:r>
      <w:r w:rsidR="00FE2133">
        <w:t>”</w:t>
      </w:r>
      <w:r w:rsidRPr="004C65B4">
        <w:t xml:space="preserve"> is mentioned (62). However, in Theodotion</w:t>
      </w:r>
      <w:r w:rsidR="008E4E8B">
        <w:t>’</w:t>
      </w:r>
      <w:r w:rsidRPr="004C65B4">
        <w:t xml:space="preserve">s version, there is a broader connection, as it is told that when Susanna was found guilty, the Lord gave His Holy Spirit to a young man named Daniel. In verse 46, it is told that Daniel cried out loudly </w:t>
      </w:r>
      <w:r w:rsidR="00FE2133">
        <w:t>“</w:t>
      </w:r>
      <w:r w:rsidRPr="004C65B4">
        <w:t>I am innocent of the blood of this woman</w:t>
      </w:r>
      <w:r w:rsidR="00FE2133">
        <w:t>”</w:t>
      </w:r>
      <w:r w:rsidRPr="004C65B4">
        <w:t xml:space="preserve">. Following this, all the people turned to him and asked him what he meant, and then Daniel claimed that </w:t>
      </w:r>
      <w:r w:rsidR="00FE2133">
        <w:t>“</w:t>
      </w:r>
      <w:r w:rsidRPr="004C65B4">
        <w:t>you are foolish, sons of Israel</w:t>
      </w:r>
      <w:r w:rsidR="00FE2133">
        <w:t>”</w:t>
      </w:r>
      <w:r w:rsidRPr="004C65B4">
        <w:t xml:space="preserve"> and reproached them for not properly investigating the witnesses, and falsely accusing the innocent</w:t>
      </w:r>
      <w:commentRangeStart w:id="41"/>
      <w:r w:rsidRPr="004C65B4">
        <w:t xml:space="preserve">. </w:t>
      </w:r>
      <w:commentRangeEnd w:id="40"/>
      <w:r w:rsidR="002342D0">
        <w:rPr>
          <w:rStyle w:val="CommentReference"/>
          <w:rtl/>
        </w:rPr>
        <w:commentReference w:id="40"/>
      </w:r>
      <w:r w:rsidRPr="004C65B4">
        <w:t xml:space="preserve">The phrase </w:t>
      </w:r>
      <w:r w:rsidR="00FE2133">
        <w:t>“</w:t>
      </w:r>
      <w:r w:rsidRPr="004C65B4">
        <w:t>innocent blood</w:t>
      </w:r>
      <w:r w:rsidR="00FE2133">
        <w:t>”</w:t>
      </w:r>
      <w:r w:rsidRPr="004C65B4">
        <w:t xml:space="preserve"> is repeated twice in the law of the heifer whose neck is broken: </w:t>
      </w:r>
      <w:r w:rsidR="00FE2133">
        <w:t>“</w:t>
      </w:r>
      <w:r w:rsidRPr="004C65B4">
        <w:t>[8] Atonement shall be made for your people Israel whom you, Lord, have redeemed: do not set the guilt of innocent blood among your people Israel, and they shall be absolved of bloodguilt. [9] You shall purge the innocent blood from your midst; do the right in the sight of the Lord</w:t>
      </w:r>
      <w:r w:rsidR="00FE2133">
        <w:t>”</w:t>
      </w:r>
      <w:r w:rsidRPr="004C65B4">
        <w:t xml:space="preserve"> (once it appears in a prayer to God, asking Him to forgive His people and not to set innocent blood among His people, and the second time the verse is directed to the people - you shall purge the innocent blood).</w:t>
      </w:r>
      <w:commentRangeEnd w:id="41"/>
      <w:r w:rsidR="002342D0">
        <w:rPr>
          <w:rStyle w:val="CommentReference"/>
          <w:rtl/>
        </w:rPr>
        <w:commentReference w:id="41"/>
      </w:r>
    </w:p>
    <w:p w14:paraId="00000042" w14:textId="1DCCFD8F" w:rsidR="00847AA3" w:rsidRPr="004C65B4" w:rsidRDefault="00885002" w:rsidP="000A7656">
      <w:commentRangeStart w:id="42"/>
      <w:r w:rsidRPr="004C65B4">
        <w:t xml:space="preserve">The motif of body </w:t>
      </w:r>
      <w:r w:rsidR="00AD4AB0">
        <w:t>dis</w:t>
      </w:r>
      <w:r w:rsidR="009C4C8A">
        <w:t>s</w:t>
      </w:r>
      <w:r w:rsidR="00F84B9D">
        <w:t>ection</w:t>
      </w:r>
      <w:r w:rsidR="00AD4AB0">
        <w:t xml:space="preserve"> </w:t>
      </w:r>
      <w:r w:rsidRPr="004C65B4">
        <w:t>appears in both places: in the story of Susanna, after Daniel separates the elders, he questions the first elder and reveals that he lied, he informs him that the angel of the Lord will tear him in two (55). According to Theodotion</w:t>
      </w:r>
      <w:r w:rsidR="008E4E8B">
        <w:t>’</w:t>
      </w:r>
      <w:r w:rsidRPr="004C65B4">
        <w:t>s version, this is also the fate of the second elder (59)</w:t>
      </w:r>
      <w:commentRangeEnd w:id="42"/>
      <w:r w:rsidR="009C4C8A">
        <w:rPr>
          <w:rStyle w:val="CommentReference"/>
        </w:rPr>
        <w:commentReference w:id="42"/>
      </w:r>
      <w:r w:rsidRPr="004C65B4">
        <w:t>. Similarly, according to the law in Deuteronomy 21 - the heifer is to be broken in the stream (Deuteronomy 21 4). The breaking of the heifer serves as atonement for the innocent blood spilled and it is not known who spilled it.</w:t>
      </w:r>
    </w:p>
    <w:p w14:paraId="00000043" w14:textId="6F07E088" w:rsidR="00847AA3" w:rsidRPr="004C65B4" w:rsidRDefault="00885002" w:rsidP="000A7656">
      <w:r w:rsidRPr="004C65B4">
        <w:t>According to Theodotion</w:t>
      </w:r>
      <w:r w:rsidR="008E4E8B">
        <w:t>’</w:t>
      </w:r>
      <w:r w:rsidRPr="004C65B4">
        <w:t>s version, the action of the elders occurred while Susanna was bathing in the orchard in the heat of the day. She asked her maidens to bring her cosmetics and emphasized that they should close the doors of the orchard</w:t>
      </w:r>
      <w:r w:rsidR="009C4C8A">
        <w:t>. S</w:t>
      </w:r>
      <w:r w:rsidRPr="004C65B4">
        <w:t xml:space="preserve">he did not know that the two elders were hiding at that hour in the orchard. The law of the heifer whose neck is broken also mentions </w:t>
      </w:r>
      <w:r w:rsidR="00FE2133">
        <w:t>“</w:t>
      </w:r>
      <w:commentRangeStart w:id="43"/>
      <w:r w:rsidRPr="004C65B4">
        <w:t xml:space="preserve">a perennial stream which </w:t>
      </w:r>
      <w:commentRangeEnd w:id="43"/>
      <w:r w:rsidR="009A78A1">
        <w:rPr>
          <w:rStyle w:val="CommentReference"/>
        </w:rPr>
        <w:commentReference w:id="43"/>
      </w:r>
      <w:r w:rsidRPr="004C65B4">
        <w:t>has not been worked and has not been sown</w:t>
      </w:r>
      <w:r w:rsidR="00FE2133">
        <w:t>”</w:t>
      </w:r>
      <w:r w:rsidRPr="004C65B4">
        <w:t xml:space="preserve"> (Deuteronomy 21:8). The elders are commanded to take the heifer down and break it there. The meaning of the phrase </w:t>
      </w:r>
      <w:r w:rsidR="00FE2133">
        <w:t>“</w:t>
      </w:r>
      <w:r w:rsidR="009A78A1" w:rsidRPr="000A7656">
        <w:rPr>
          <w:i/>
          <w:iCs/>
        </w:rPr>
        <w:t>eytan</w:t>
      </w:r>
      <w:r w:rsidR="009A78A1" w:rsidRPr="004C65B4">
        <w:t xml:space="preserve"> </w:t>
      </w:r>
      <w:r w:rsidRPr="004C65B4">
        <w:t>stream</w:t>
      </w:r>
      <w:r w:rsidR="00FE2133">
        <w:t>”</w:t>
      </w:r>
      <w:r w:rsidRPr="004C65B4">
        <w:t xml:space="preserve"> is disputed</w:t>
      </w:r>
      <w:commentRangeStart w:id="44"/>
      <w:r w:rsidRPr="004C65B4">
        <w:t>.</w:t>
      </w:r>
      <w:r w:rsidR="00285F8D">
        <w:rPr>
          <w:rStyle w:val="FootnoteReference"/>
          <w:rFonts w:cstheme="majorBidi"/>
          <w:color w:val="000000"/>
          <w:szCs w:val="24"/>
        </w:rPr>
        <w:footnoteReference w:id="36"/>
      </w:r>
      <w:commentRangeEnd w:id="44"/>
      <w:r w:rsidR="004D3DEE">
        <w:rPr>
          <w:rStyle w:val="CommentReference"/>
        </w:rPr>
        <w:commentReference w:id="44"/>
      </w:r>
      <w:r w:rsidRPr="004C65B4">
        <w:t xml:space="preserve"> If we accept the meaning of the phrase as a flowing stream, we can also point to this similarity.</w:t>
      </w:r>
    </w:p>
    <w:p w14:paraId="00000047" w14:textId="6EBA0DDA" w:rsidR="00847AA3" w:rsidRPr="004C65B4" w:rsidRDefault="00AD4AB0" w:rsidP="000A7656">
      <w:r>
        <w:tab/>
      </w:r>
      <w:r w:rsidR="00885002" w:rsidRPr="004C65B4">
        <w:t xml:space="preserve">In addition to these similarities, I would add </w:t>
      </w:r>
      <w:r>
        <w:t xml:space="preserve">the use of the </w:t>
      </w:r>
      <w:r w:rsidR="00885002" w:rsidRPr="004C65B4">
        <w:t>verb ἔρριψαν</w:t>
      </w:r>
      <w:r w:rsidR="00BC1DD7">
        <w:t>in the wordplay regarding the identity of the trees in Susanna</w:t>
      </w:r>
      <w:r w:rsidR="00C655B6">
        <w:t xml:space="preserve"> as pointed out by </w:t>
      </w:r>
      <w:r w:rsidR="00C655B6" w:rsidRPr="004C65B4">
        <w:t>Mionik</w:t>
      </w:r>
      <w:r w:rsidR="00BC1DD7">
        <w:t>.</w:t>
      </w:r>
      <w:r w:rsidR="00885002" w:rsidRPr="004C65B4">
        <w:t xml:space="preserve"> There is a debate in </w:t>
      </w:r>
      <w:r w:rsidR="00C655B6">
        <w:t>the scholarship</w:t>
      </w:r>
      <w:r w:rsidR="00C655B6" w:rsidRPr="004C65B4">
        <w:t xml:space="preserve"> </w:t>
      </w:r>
      <w:r w:rsidR="00885002" w:rsidRPr="004C65B4">
        <w:t>about the original language of the story of Susanna</w:t>
      </w:r>
      <w:r w:rsidR="00C655B6">
        <w:t xml:space="preserve"> whe</w:t>
      </w:r>
      <w:r w:rsidR="00885002" w:rsidRPr="004C65B4">
        <w:t>ther it was written in Greek or Semitic (Hebrew or Aramaic). One reason in favor of the claim that the story</w:t>
      </w:r>
      <w:r w:rsidR="00C655B6">
        <w:t xml:space="preserve"> was originally written in</w:t>
      </w:r>
      <w:r w:rsidR="00885002" w:rsidRPr="004C65B4">
        <w:t xml:space="preserve"> Greek is related to the wordplay regarding the identity of the trees. The mastic tree (σχῖνον) creates a link to the punishment of the first elder: the angel will split you in two (σχίσει) and the answer of the second elder - under the oak (πρῖνον) creates a link to the punishment of the second elder, the angel with his sword will cut you (καταπρίσῃ) into pieces.</w:t>
      </w:r>
      <w:r w:rsidR="00284669">
        <w:rPr>
          <w:rStyle w:val="FootnoteReference"/>
          <w:rFonts w:cstheme="majorBidi"/>
          <w:color w:val="000000"/>
          <w:szCs w:val="24"/>
        </w:rPr>
        <w:footnoteReference w:id="37"/>
      </w:r>
      <w:r w:rsidR="00B34E6E">
        <w:t xml:space="preserve"> </w:t>
      </w:r>
      <w:commentRangeStart w:id="45"/>
      <w:r w:rsidR="00885002" w:rsidRPr="004C65B4">
        <w:t>This wordplay received special attention, from an early period.</w:t>
      </w:r>
      <w:r w:rsidR="00B34E6E">
        <w:rPr>
          <w:rStyle w:val="FootnoteReference"/>
          <w:rFonts w:cstheme="majorBidi"/>
          <w:color w:val="000000"/>
          <w:szCs w:val="24"/>
        </w:rPr>
        <w:footnoteReference w:id="38"/>
      </w:r>
      <w:r w:rsidR="00885002" w:rsidRPr="004C65B4">
        <w:t xml:space="preserve"> Africanus wrote to Origen that the celebrated wordplay between the names of the trees and the punishment (54-55, 58-59</w:t>
      </w:r>
      <w:r w:rsidR="00285F8D">
        <w:t>), has no parallel in Hebrew</w:t>
      </w:r>
      <w:r w:rsidR="00240E26">
        <w:t xml:space="preserve">. </w:t>
      </w:r>
      <w:r w:rsidR="00885002" w:rsidRPr="004C65B4">
        <w:t xml:space="preserve">Porphyry, a Neo-Platonic </w:t>
      </w:r>
      <w:r w:rsidR="00240E26" w:rsidRPr="004C65B4">
        <w:t>Christian</w:t>
      </w:r>
      <w:r w:rsidR="00240E26" w:rsidRPr="004C65B4">
        <w:t xml:space="preserve"> </w:t>
      </w:r>
      <w:r w:rsidR="00885002" w:rsidRPr="004C65B4">
        <w:t>philosopher</w:t>
      </w:r>
      <w:r w:rsidR="00240E26">
        <w:t>,</w:t>
      </w:r>
      <w:r w:rsidR="00885002" w:rsidRPr="004C65B4">
        <w:t xml:space="preserve"> used this wordplay to prove that the entire book o</w:t>
      </w:r>
      <w:r w:rsidR="00285F8D">
        <w:t xml:space="preserve">f Daniel </w:t>
      </w:r>
      <w:r w:rsidR="00240E26">
        <w:t>was</w:t>
      </w:r>
      <w:r w:rsidR="00240E26">
        <w:t xml:space="preserve"> </w:t>
      </w:r>
      <w:r w:rsidR="00285F8D">
        <w:t>a Greek invention</w:t>
      </w:r>
      <w:r w:rsidR="00240E26">
        <w:t>.</w:t>
      </w:r>
      <w:r w:rsidR="00240E26" w:rsidRPr="00240E26">
        <w:rPr>
          <w:rStyle w:val="FootnoteText"/>
          <w:rFonts w:cstheme="majorBidi"/>
          <w:color w:val="000000"/>
          <w:szCs w:val="24"/>
        </w:rPr>
        <w:t xml:space="preserve"> </w:t>
      </w:r>
      <w:commentRangeEnd w:id="45"/>
      <w:r w:rsidR="00242968">
        <w:rPr>
          <w:rStyle w:val="CommentReference"/>
        </w:rPr>
        <w:commentReference w:id="45"/>
      </w:r>
      <w:r w:rsidR="00240E26">
        <w:rPr>
          <w:rStyle w:val="FootnoteReference"/>
          <w:rFonts w:cstheme="majorBidi"/>
          <w:color w:val="000000"/>
          <w:szCs w:val="24"/>
        </w:rPr>
        <w:footnoteReference w:id="39"/>
      </w:r>
      <w:r w:rsidR="00885002" w:rsidRPr="004C65B4">
        <w:t xml:space="preserve"> </w:t>
      </w:r>
      <w:r w:rsidR="009C6746">
        <w:t xml:space="preserve">The wordplay has led some scholars to claim a Greek origin for Susanna </w:t>
      </w:r>
      <w:r w:rsidR="00F97D0A">
        <w:t xml:space="preserve">whereas </w:t>
      </w:r>
      <w:r w:rsidR="009C6746">
        <w:t xml:space="preserve">others have viewed it as a later addition to </w:t>
      </w:r>
      <w:r w:rsidR="00F97D0A">
        <w:t xml:space="preserve">a Greek translation of the </w:t>
      </w:r>
      <w:r w:rsidR="009C6746">
        <w:t xml:space="preserve">Semitic </w:t>
      </w:r>
      <w:r w:rsidR="00A9185A">
        <w:t>o</w:t>
      </w:r>
      <w:r w:rsidR="00D4219A">
        <w:t>riginal</w:t>
      </w:r>
      <w:r w:rsidR="00F97D0A">
        <w:t>.</w:t>
      </w:r>
      <w:r w:rsidR="00F97D0A">
        <w:rPr>
          <w:rStyle w:val="FootnoteReference"/>
          <w:rFonts w:cstheme="majorBidi"/>
          <w:color w:val="000000"/>
          <w:szCs w:val="24"/>
        </w:rPr>
        <w:footnoteReference w:id="40"/>
      </w:r>
      <w:r w:rsidR="00A81F8B">
        <w:t xml:space="preserve"> Arguing that the focus on the wordplay in Greek misses </w:t>
      </w:r>
      <w:r w:rsidR="00FE2133">
        <w:t>“</w:t>
      </w:r>
      <w:r w:rsidR="00A81F8B">
        <w:t>the forest for the trees,</w:t>
      </w:r>
      <w:r w:rsidR="00FE2133">
        <w:t>”</w:t>
      </w:r>
      <w:r w:rsidR="00A81F8B">
        <w:t xml:space="preserve"> Mionik claims </w:t>
      </w:r>
      <w:r w:rsidR="001E49CA">
        <w:t xml:space="preserve">that through lexical and syntactic analyses it is possible to prove that Susanna was originally written in a Semitic language and translated into Greek in the Septuagint. Moreover, the Theodotian version </w:t>
      </w:r>
      <w:r w:rsidR="001E49CA">
        <w:rPr>
          <w:lang w:bidi="he-IL"/>
        </w:rPr>
        <w:t>constitutes</w:t>
      </w:r>
      <w:r w:rsidR="001E49CA">
        <w:t xml:space="preserve"> a reworking of the Septuagint Susanna</w:t>
      </w:r>
      <w:commentRangeStart w:id="46"/>
      <w:r w:rsidR="001E49CA">
        <w:t>.</w:t>
      </w:r>
      <w:r w:rsidR="001E49CA">
        <w:rPr>
          <w:rStyle w:val="FootnoteReference"/>
          <w:rFonts w:cstheme="majorBidi"/>
          <w:color w:val="000000"/>
          <w:szCs w:val="24"/>
        </w:rPr>
        <w:footnoteReference w:id="41"/>
      </w:r>
      <w:commentRangeEnd w:id="46"/>
      <w:r w:rsidR="009907C6">
        <w:rPr>
          <w:rStyle w:val="CommentReference"/>
        </w:rPr>
        <w:commentReference w:id="46"/>
      </w:r>
      <w:r w:rsidR="001E49CA" w:rsidRPr="001E49CA">
        <w:t xml:space="preserve"> </w:t>
      </w:r>
      <w:r w:rsidR="001E49CA">
        <w:t xml:space="preserve">As for the wordplay, although it is not part of the original, Mionik </w:t>
      </w:r>
      <w:r w:rsidR="004A2633">
        <w:t xml:space="preserve">claims that the </w:t>
      </w:r>
      <w:r w:rsidR="004A2633">
        <w:rPr>
          <w:lang w:bidi="he-IL"/>
        </w:rPr>
        <w:t xml:space="preserve">ambience of wordplay was probably already embedded in </w:t>
      </w:r>
      <w:r w:rsidR="00885002" w:rsidRPr="004C65B4">
        <w:t>the Semitic source.</w:t>
      </w:r>
      <w:r w:rsidR="004E0A73">
        <w:rPr>
          <w:rStyle w:val="FootnoteReference"/>
          <w:rFonts w:cstheme="majorBidi"/>
          <w:color w:val="000000"/>
          <w:szCs w:val="24"/>
        </w:rPr>
        <w:footnoteReference w:id="42"/>
      </w:r>
      <w:r w:rsidR="00885002" w:rsidRPr="004C65B4">
        <w:t xml:space="preserve"> He claim</w:t>
      </w:r>
      <w:r w:rsidR="004A2633">
        <w:t>s</w:t>
      </w:r>
      <w:r w:rsidR="00885002" w:rsidRPr="004C65B4">
        <w:t xml:space="preserve"> that homonyms can be reconstructed in the </w:t>
      </w:r>
      <w:r w:rsidR="007668DE">
        <w:t>surmised</w:t>
      </w:r>
      <w:r w:rsidR="007668DE" w:rsidRPr="004C65B4">
        <w:t xml:space="preserve"> </w:t>
      </w:r>
      <w:r w:rsidR="00885002" w:rsidRPr="004C65B4">
        <w:t xml:space="preserve">Hebrew </w:t>
      </w:r>
      <w:r w:rsidR="00DB1B8F">
        <w:t>origina</w:t>
      </w:r>
      <w:r w:rsidR="00351DEA">
        <w:t>l</w:t>
      </w:r>
      <w:r w:rsidR="00DB1B8F">
        <w:t xml:space="preserve"> </w:t>
      </w:r>
      <w:r w:rsidR="004A2633">
        <w:t xml:space="preserve">and </w:t>
      </w:r>
      <w:r w:rsidR="00885002" w:rsidRPr="004C65B4">
        <w:t>demonstrat</w:t>
      </w:r>
      <w:r w:rsidR="004A2633">
        <w:t>es</w:t>
      </w:r>
      <w:r w:rsidR="00885002" w:rsidRPr="004C65B4">
        <w:t xml:space="preserve"> this claim </w:t>
      </w:r>
      <w:r w:rsidR="004A2633">
        <w:t xml:space="preserve">with </w:t>
      </w:r>
      <w:r w:rsidR="00885002" w:rsidRPr="004C65B4">
        <w:t>the verb ἔρριψαν</w:t>
      </w:r>
      <w:r w:rsidR="004A2633">
        <w:t>, which is often</w:t>
      </w:r>
      <w:r w:rsidR="00885002" w:rsidRPr="004C65B4">
        <w:t xml:space="preserve"> repeated at the end of the story in the OG version.</w:t>
      </w:r>
      <w:r w:rsidR="00951B92">
        <w:rPr>
          <w:rStyle w:val="FootnoteReference"/>
          <w:rFonts w:cstheme="majorBidi"/>
          <w:color w:val="000000"/>
          <w:szCs w:val="24"/>
        </w:rPr>
        <w:footnoteReference w:id="43"/>
      </w:r>
      <w:r w:rsidR="00885002" w:rsidRPr="004C65B4">
        <w:t xml:space="preserve"> </w:t>
      </w:r>
      <w:r w:rsidR="004A2633">
        <w:t xml:space="preserve">The </w:t>
      </w:r>
      <w:r w:rsidR="00885002" w:rsidRPr="004C65B4">
        <w:t xml:space="preserve">source of this verb can be reconstructed as the Hebrew verb </w:t>
      </w:r>
      <w:r w:rsidR="00DB1B8F" w:rsidRPr="000A7656">
        <w:rPr>
          <w:i/>
          <w:iCs/>
        </w:rPr>
        <w:t>‘.r.f</w:t>
      </w:r>
      <w:r w:rsidR="004A2633">
        <w:t>,</w:t>
      </w:r>
      <w:r w:rsidR="00951B92">
        <w:rPr>
          <w:rStyle w:val="FootnoteReference"/>
          <w:rFonts w:cstheme="majorBidi"/>
          <w:color w:val="000000"/>
          <w:szCs w:val="24"/>
        </w:rPr>
        <w:footnoteReference w:id="44"/>
      </w:r>
      <w:r w:rsidR="00885002" w:rsidRPr="004C65B4">
        <w:t xml:space="preserve"> </w:t>
      </w:r>
      <w:r w:rsidR="004A2633">
        <w:t xml:space="preserve">which has </w:t>
      </w:r>
      <w:r w:rsidR="00885002" w:rsidRPr="004C65B4">
        <w:t>two meanings: to drip/ trickle and to break the neck of an animal</w:t>
      </w:r>
      <w:r w:rsidR="00951B92">
        <w:t>.</w:t>
      </w:r>
      <w:r w:rsidR="00951B92">
        <w:rPr>
          <w:rStyle w:val="FootnoteReference"/>
          <w:rFonts w:cstheme="majorBidi"/>
          <w:color w:val="000000"/>
          <w:szCs w:val="24"/>
        </w:rPr>
        <w:footnoteReference w:id="45"/>
      </w:r>
      <w:r w:rsidR="00885002" w:rsidRPr="004C65B4">
        <w:t xml:space="preserve"> According to</w:t>
      </w:r>
      <w:r w:rsidR="004A2633">
        <w:t xml:space="preserve"> Mionik</w:t>
      </w:r>
      <w:r w:rsidR="00885002" w:rsidRPr="004C65B4">
        <w:t xml:space="preserve">, it is possible to identify </w:t>
      </w:r>
      <w:r w:rsidR="004A2633">
        <w:t>the use of both meanings in verse 62 of</w:t>
      </w:r>
      <w:r w:rsidR="00885002" w:rsidRPr="004C65B4">
        <w:t xml:space="preserve"> the Septuagint </w:t>
      </w:r>
      <w:commentRangeStart w:id="47"/>
      <w:r w:rsidR="00885002" w:rsidRPr="004C65B4">
        <w:t>version</w:t>
      </w:r>
      <w:commentRangeEnd w:id="47"/>
      <w:r w:rsidR="004A2633">
        <w:rPr>
          <w:rStyle w:val="CommentReference"/>
        </w:rPr>
        <w:commentReference w:id="47"/>
      </w:r>
      <w:r w:rsidR="004A2633">
        <w:t>.</w:t>
      </w:r>
      <w:r w:rsidR="00351DEA">
        <w:t xml:space="preserve"> We thus</w:t>
      </w:r>
      <w:r w:rsidR="00885002" w:rsidRPr="004C65B4">
        <w:t xml:space="preserve"> have another link between the story of Susanna and the law of the heifer whose neck is broken.</w:t>
      </w:r>
    </w:p>
    <w:p w14:paraId="00000049" w14:textId="72B265BE" w:rsidR="00847AA3" w:rsidRPr="000A7656" w:rsidRDefault="00351DEA" w:rsidP="000A7656">
      <w:pPr>
        <w:pStyle w:val="Heading1"/>
      </w:pPr>
      <w:r>
        <w:t xml:space="preserve">3.2 </w:t>
      </w:r>
      <w:r w:rsidR="00593A9C">
        <w:t>T</w:t>
      </w:r>
      <w:r w:rsidR="00885002" w:rsidRPr="000A7656">
        <w:t xml:space="preserve">he Meaning of </w:t>
      </w:r>
      <w:r>
        <w:t xml:space="preserve">the Connection to the Heifer </w:t>
      </w:r>
      <w:r w:rsidR="00593A9C">
        <w:t>W</w:t>
      </w:r>
      <w:r>
        <w:t xml:space="preserve">hose Neck </w:t>
      </w:r>
      <w:r w:rsidR="00593A9C">
        <w:t>I</w:t>
      </w:r>
      <w:r>
        <w:t>s Broken</w:t>
      </w:r>
    </w:p>
    <w:p w14:paraId="0000004A" w14:textId="40F62C79" w:rsidR="00847AA3" w:rsidRPr="004C65B4" w:rsidRDefault="00885002" w:rsidP="000A7656">
      <w:r w:rsidRPr="004C65B4">
        <w:t>The link between the story of Susanna and the law of the heifer whose neck is broken (Deuteronomy 21: 1-9) is meant, in my opinion, to criticize the elders</w:t>
      </w:r>
      <w:r w:rsidR="008E4E8B">
        <w:t>’</w:t>
      </w:r>
      <w:r w:rsidRPr="004C65B4">
        <w:t xml:space="preserve"> actions. According to biblical law, the elder judges are expected to take responsibility for injustices occurring in society. Even if they did </w:t>
      </w:r>
      <w:r w:rsidR="00351DEA">
        <w:t>not commit the crime</w:t>
      </w:r>
      <w:r w:rsidRPr="004C65B4">
        <w:t xml:space="preserve">, it is forbidden for leaders to be indifferent. They must take responsibility for what </w:t>
      </w:r>
      <w:r w:rsidR="00351DEA" w:rsidRPr="004C65B4">
        <w:t>happen</w:t>
      </w:r>
      <w:r w:rsidR="00351DEA">
        <w:t>s</w:t>
      </w:r>
      <w:r w:rsidR="00351DEA" w:rsidRPr="004C65B4">
        <w:t xml:space="preserve"> </w:t>
      </w:r>
      <w:r w:rsidRPr="004C65B4">
        <w:t>in their environment. They must perform the ceremony of breaking the heifer</w:t>
      </w:r>
      <w:r w:rsidR="008E4E8B">
        <w:t>’</w:t>
      </w:r>
      <w:r w:rsidRPr="004C65B4">
        <w:t>s neck so they can wash their hands and say that their hands did not spill this blood. This is the moral truth required of the elders and judges.</w:t>
      </w:r>
    </w:p>
    <w:p w14:paraId="0000004B" w14:textId="5E6493A3" w:rsidR="00847AA3" w:rsidRPr="004C65B4" w:rsidRDefault="00885002" w:rsidP="000A7656">
      <w:r w:rsidRPr="004C65B4">
        <w:t>In</w:t>
      </w:r>
      <w:r w:rsidR="00351DEA">
        <w:t xml:space="preserve"> Susanna, in</w:t>
      </w:r>
      <w:r w:rsidRPr="004C65B4">
        <w:t xml:space="preserve"> stark contrast, not only do the elders not take responsibility for society</w:t>
      </w:r>
      <w:r w:rsidR="008E4E8B">
        <w:t>’</w:t>
      </w:r>
      <w:r w:rsidRPr="004C65B4">
        <w:t xml:space="preserve">s injustices, but they </w:t>
      </w:r>
      <w:r w:rsidR="00351DEA">
        <w:t>are the</w:t>
      </w:r>
      <w:r w:rsidR="00351DEA" w:rsidRPr="004C65B4">
        <w:t xml:space="preserve"> </w:t>
      </w:r>
      <w:r w:rsidRPr="004C65B4">
        <w:t>cause</w:t>
      </w:r>
      <w:r w:rsidR="00351DEA">
        <w:t xml:space="preserve"> of</w:t>
      </w:r>
      <w:r w:rsidRPr="004C65B4">
        <w:t xml:space="preserve"> injustices, exploiting their position and role to sexually exploit Susanna, and are presented as hypocrites who cannot control their instincts.</w:t>
      </w:r>
    </w:p>
    <w:p w14:paraId="0000004C" w14:textId="39C1881B" w:rsidR="00847AA3" w:rsidRPr="004C65B4" w:rsidRDefault="00351DEA" w:rsidP="000A7656">
      <w:pPr>
        <w:pStyle w:val="Heading1"/>
      </w:pPr>
      <w:commentRangeStart w:id="48"/>
      <w:r>
        <w:t>Conclusion</w:t>
      </w:r>
      <w:commentRangeEnd w:id="48"/>
      <w:r>
        <w:rPr>
          <w:rStyle w:val="CommentReference"/>
          <w:rFonts w:cs="Arial"/>
          <w:b w:val="0"/>
          <w:bCs w:val="0"/>
          <w:color w:val="auto"/>
        </w:rPr>
        <w:commentReference w:id="48"/>
      </w:r>
    </w:p>
    <w:p w14:paraId="0000004D" w14:textId="095BBA1A" w:rsidR="00847AA3" w:rsidRPr="004C65B4" w:rsidRDefault="00885002" w:rsidP="000A7656">
      <w:r w:rsidRPr="004C65B4">
        <w:t xml:space="preserve">In summary, </w:t>
      </w:r>
      <w:r w:rsidR="00351DEA">
        <w:t xml:space="preserve">this article addresses the </w:t>
      </w:r>
      <w:r w:rsidRPr="004C65B4">
        <w:t>version</w:t>
      </w:r>
      <w:r w:rsidR="00351DEA">
        <w:t>s</w:t>
      </w:r>
      <w:r w:rsidRPr="004C65B4">
        <w:t xml:space="preserve"> of the story of Susanna, its literary </w:t>
      </w:r>
      <w:r w:rsidR="00351DEA">
        <w:t>motifs,</w:t>
      </w:r>
      <w:r w:rsidRPr="004C65B4">
        <w:t xml:space="preserve"> and the link between it and the law of the heifer whose neck is broken (Deuteronomy 21: 1-9). Restoring the original version of the story of Susanna is a complex task, and is done by comparing the OG version to the Theodotion version and finding the verses common to both. Although the Septuagint version is significantly shorter than the Theodotion version, we cannot ignore the isolated verses that appear in the Septuagint version and are missing from the Theodotion version. In this article, I explained why it is difficult for me to accept Segal</w:t>
      </w:r>
      <w:r w:rsidR="008E4E8B">
        <w:t>’</w:t>
      </w:r>
      <w:r w:rsidRPr="004C65B4">
        <w:t xml:space="preserve">s claim that these verses, especially verses 51, 63-64, belong to the core of the ancient narrative of the story of Susanna. Furthermore, contrary to the </w:t>
      </w:r>
      <w:r w:rsidR="00E55611">
        <w:rPr>
          <w:lang w:bidi="he-IL"/>
        </w:rPr>
        <w:t>categorical</w:t>
      </w:r>
      <w:r w:rsidR="00E55611" w:rsidRPr="004C65B4">
        <w:t xml:space="preserve"> </w:t>
      </w:r>
      <w:r w:rsidRPr="004C65B4">
        <w:t xml:space="preserve">assumption that </w:t>
      </w:r>
      <w:r w:rsidR="00FE2133">
        <w:t>“</w:t>
      </w:r>
      <w:r w:rsidRPr="004C65B4">
        <w:t>all verses that appear in the Theodotion version and do not appear in the Septuagint were added to the story, almost certainly, at a late stage</w:t>
      </w:r>
      <w:r w:rsidR="00E55611">
        <w:t>,</w:t>
      </w:r>
      <w:r w:rsidR="00FE2133">
        <w:t>”</w:t>
      </w:r>
      <w:r w:rsidRPr="004C65B4">
        <w:t xml:space="preserve"> I showed two examples of places where, based on content considerations, there is room to suspect that certain verses in the Septuagint version are based on the Theodotion version or a similar one.</w:t>
      </w:r>
    </w:p>
    <w:p w14:paraId="0000004F" w14:textId="56DA6D11" w:rsidR="00847AA3" w:rsidRPr="004C65B4" w:rsidRDefault="00885002" w:rsidP="000A7656">
      <w:r w:rsidRPr="004C65B4">
        <w:t xml:space="preserve">Regarding the literary </w:t>
      </w:r>
      <w:r w:rsidR="00E55611">
        <w:t>motifs in</w:t>
      </w:r>
      <w:r w:rsidRPr="004C65B4">
        <w:t xml:space="preserve"> the story of Susanna, I suggested seeing this story as a story that combines the two sub-genres of Daniel</w:t>
      </w:r>
      <w:r w:rsidR="008E4E8B">
        <w:t>’</w:t>
      </w:r>
      <w:r w:rsidRPr="004C65B4">
        <w:t xml:space="preserve">s stories: a competition story and a conflict of identity story. </w:t>
      </w:r>
      <w:r w:rsidR="00E55611">
        <w:t>Characterizing</w:t>
      </w:r>
      <w:r w:rsidR="00E55611" w:rsidRPr="004C65B4">
        <w:t xml:space="preserve"> </w:t>
      </w:r>
      <w:r w:rsidRPr="004C65B4">
        <w:t>the story of Susanna as a competition story puts Daniel</w:t>
      </w:r>
      <w:r w:rsidR="008E4E8B">
        <w:t>’</w:t>
      </w:r>
      <w:r w:rsidRPr="004C65B4">
        <w:t xml:space="preserve">s character at the center while </w:t>
      </w:r>
      <w:r w:rsidR="00E55611">
        <w:t>viewing</w:t>
      </w:r>
      <w:r w:rsidR="00E55611" w:rsidRPr="004C65B4">
        <w:t xml:space="preserve"> </w:t>
      </w:r>
      <w:r w:rsidR="00E55611">
        <w:t>it</w:t>
      </w:r>
      <w:r w:rsidRPr="004C65B4">
        <w:t xml:space="preserve"> as a conflict of identity story emphasizes Susanna</w:t>
      </w:r>
      <w:r w:rsidR="008E4E8B">
        <w:t>’</w:t>
      </w:r>
      <w:r w:rsidRPr="004C65B4">
        <w:t>s character. Contrary to the claim that the OG version emphasizes Daniel</w:t>
      </w:r>
      <w:r w:rsidR="008E4E8B">
        <w:t>’</w:t>
      </w:r>
      <w:r w:rsidRPr="004C65B4">
        <w:t>s place and the Theodotion version emphasizes Susanna</w:t>
      </w:r>
      <w:r w:rsidR="008E4E8B">
        <w:t>’</w:t>
      </w:r>
      <w:r w:rsidRPr="004C65B4">
        <w:t>s place, I showed that both elements already exist in the Septuagint version</w:t>
      </w:r>
      <w:r w:rsidR="00E55611">
        <w:t>,</w:t>
      </w:r>
      <w:r w:rsidRPr="004C65B4">
        <w:t xml:space="preserve"> and both </w:t>
      </w:r>
      <w:r w:rsidR="00E55611">
        <w:t xml:space="preserve">are </w:t>
      </w:r>
      <w:r w:rsidRPr="004C65B4">
        <w:t>develop</w:t>
      </w:r>
      <w:r w:rsidR="00E55611">
        <w:t>ed</w:t>
      </w:r>
      <w:r w:rsidRPr="004C65B4">
        <w:t xml:space="preserve"> more in the Theodotion version. The analogies between the story of Susanna and biblical </w:t>
      </w:r>
      <w:r w:rsidR="000E2D87">
        <w:t xml:space="preserve">narrative </w:t>
      </w:r>
      <w:r w:rsidRPr="004C65B4">
        <w:t xml:space="preserve">and law are more developed in the Theodotion version. However, it seems that the trend of these analogies is not only to </w:t>
      </w:r>
      <w:r w:rsidR="000E2D87">
        <w:t xml:space="preserve">elevate </w:t>
      </w:r>
      <w:r w:rsidRPr="004C65B4">
        <w:t>Susanna</w:t>
      </w:r>
      <w:r w:rsidR="00E55611">
        <w:t xml:space="preserve"> </w:t>
      </w:r>
      <w:r w:rsidRPr="004C65B4">
        <w:t xml:space="preserve">but also to </w:t>
      </w:r>
      <w:r w:rsidR="000E2D87">
        <w:t xml:space="preserve">elevate </w:t>
      </w:r>
      <w:r w:rsidRPr="004C65B4">
        <w:t xml:space="preserve">Daniel. We saw an example of this by pointing out the link between Susanna and </w:t>
      </w:r>
      <w:commentRangeStart w:id="49"/>
      <w:r w:rsidRPr="004C65B4">
        <w:t>the</w:t>
      </w:r>
      <w:commentRangeEnd w:id="49"/>
      <w:r w:rsidR="000E2D87">
        <w:rPr>
          <w:rStyle w:val="CommentReference"/>
        </w:rPr>
        <w:commentReference w:id="49"/>
      </w:r>
      <w:r w:rsidRPr="004C65B4">
        <w:t xml:space="preserve"> law of the heifer whose neck is broken (Deuteronomy 21: 1-9). This analogy taught us about the meaning of the act of placing hands on the heifer</w:t>
      </w:r>
      <w:r w:rsidR="008E4E8B">
        <w:t>’</w:t>
      </w:r>
      <w:r w:rsidRPr="004C65B4">
        <w:t>s head. But beyond that, we saw that this analogy contributes to the glorification of Daniel</w:t>
      </w:r>
      <w:r w:rsidR="008E4E8B">
        <w:t>’</w:t>
      </w:r>
      <w:r w:rsidRPr="004C65B4">
        <w:t>s character, and presents him as someone who takes responsibility and behaves in a way we would expect the elders to behave. This is in contrast to the corrupt and disgraceful behavior of the elders.</w:t>
      </w:r>
    </w:p>
    <w:p w14:paraId="00000050" w14:textId="77777777" w:rsidR="00847AA3" w:rsidRPr="004C65B4" w:rsidRDefault="00847AA3" w:rsidP="000A7656"/>
    <w:p w14:paraId="76F8159B" w14:textId="77777777" w:rsidR="009A1BFD" w:rsidRDefault="009A1BFD" w:rsidP="000A7656"/>
    <w:p w14:paraId="2661D8E4" w14:textId="77777777" w:rsidR="009A1BFD" w:rsidRDefault="009A1BFD" w:rsidP="000A7656"/>
    <w:p w14:paraId="12CA66CB" w14:textId="77777777" w:rsidR="009A1BFD" w:rsidRDefault="009A1BFD" w:rsidP="000A7656"/>
    <w:p w14:paraId="0000007F" w14:textId="354ACD42" w:rsidR="00847AA3" w:rsidRPr="004C65B4" w:rsidRDefault="00847AA3" w:rsidP="000A7656"/>
    <w:sectPr w:rsidR="00847AA3" w:rsidRPr="004C65B4">
      <w:footerReference w:type="default" r:id="rId11"/>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45C863A" w14:textId="74665099" w:rsidR="00151B95" w:rsidRDefault="00151B95" w:rsidP="00623295">
      <w:pPr>
        <w:pStyle w:val="CommentText"/>
      </w:pPr>
      <w:r>
        <w:rPr>
          <w:rStyle w:val="CommentReference"/>
        </w:rPr>
        <w:annotationRef/>
      </w:r>
      <w:r w:rsidR="004D69BB">
        <w:t>Is this really an issue amon</w:t>
      </w:r>
      <w:r w:rsidR="00AB0264">
        <w:t>g</w:t>
      </w:r>
      <w:r w:rsidR="004D69BB">
        <w:t xml:space="preserve"> contemporary (modern) scholars?  You might want to consider: Scholars have disagreed regarding the original language, some claiming a Semitic (Hebrew or </w:t>
      </w:r>
      <w:r w:rsidR="00AB0264">
        <w:t>Aramaic</w:t>
      </w:r>
      <w:r w:rsidR="004D69BB">
        <w:t>) original, others claiming a Greek one.  In contemporary scholarship</w:t>
      </w:r>
      <w:r w:rsidR="00AB0264">
        <w:t>,</w:t>
      </w:r>
      <w:r w:rsidR="004D69BB">
        <w:t xml:space="preserve"> the general </w:t>
      </w:r>
      <w:r w:rsidR="00AB0264">
        <w:t>consensus</w:t>
      </w:r>
      <w:r w:rsidR="004D69BB">
        <w:t xml:space="preserve"> is that Susanna was written in a Semitic language and subsequently translated into Greek. </w:t>
      </w:r>
    </w:p>
  </w:comment>
  <w:comment w:id="1" w:author="Author" w:initials="A">
    <w:p w14:paraId="55F1543C" w14:textId="6DEC9930" w:rsidR="001E49CA" w:rsidRDefault="001E49CA" w:rsidP="00623295">
      <w:pPr>
        <w:pStyle w:val="CommentText"/>
      </w:pPr>
      <w:r>
        <w:rPr>
          <w:rStyle w:val="CommentReference"/>
        </w:rPr>
        <w:annotationRef/>
      </w:r>
      <w:r>
        <w:t>I don</w:t>
      </w:r>
      <w:r w:rsidR="008E4E8B">
        <w:t>’</w:t>
      </w:r>
      <w:r>
        <w:t>t think you need to include here that you are going to be referring to the work of Segal and Malka.</w:t>
      </w:r>
    </w:p>
    <w:p w14:paraId="0827C8F8" w14:textId="01EBDB76" w:rsidR="001E49CA" w:rsidRDefault="001E49CA" w:rsidP="00623295">
      <w:pPr>
        <w:pStyle w:val="CommentText"/>
      </w:pPr>
      <w:r>
        <w:t xml:space="preserve">As you can see, I have taken some material from notes and inserted it into body. Trying to flesh out the intro.  </w:t>
      </w:r>
    </w:p>
    <w:p w14:paraId="5A5AAB98" w14:textId="7EA2F809" w:rsidR="001E49CA" w:rsidRDefault="001E49CA" w:rsidP="00623295">
      <w:pPr>
        <w:pStyle w:val="CommentText"/>
      </w:pPr>
    </w:p>
    <w:p w14:paraId="12D5DB8C" w14:textId="0B3CF5D4" w:rsidR="001E49CA" w:rsidRDefault="001E49CA" w:rsidP="00623295">
      <w:pPr>
        <w:pStyle w:val="CommentText"/>
      </w:pPr>
    </w:p>
    <w:p w14:paraId="7D05960F" w14:textId="77777777" w:rsidR="001E49CA" w:rsidRDefault="001E49CA" w:rsidP="00623295">
      <w:pPr>
        <w:pStyle w:val="CommentText"/>
      </w:pPr>
    </w:p>
  </w:comment>
  <w:comment w:id="2" w:author="Author" w:initials="A">
    <w:p w14:paraId="19441A4A" w14:textId="6F7C5603" w:rsidR="001E49CA" w:rsidRDefault="001E49CA" w:rsidP="00623295">
      <w:pPr>
        <w:pStyle w:val="CommentText"/>
      </w:pPr>
      <w:r>
        <w:rPr>
          <w:rStyle w:val="CommentReference"/>
        </w:rPr>
        <w:annotationRef/>
      </w:r>
      <w:r>
        <w:t>Since this section goes back and forth between the two versions, it would be really helpful for the reader to have the texts.  I would urge you to</w:t>
      </w:r>
      <w:r w:rsidR="00E454EC">
        <w:t xml:space="preserve"> append </w:t>
      </w:r>
      <w:r>
        <w:t xml:space="preserve"> a copy of the NETS where the English translations of the Greek versions are presented in parallel columns for the material you are discussing. Easy then for the reader to see what is in/not in each version and it avoids major problems of versification.  On that issue note the problem of your references  to vv 63-64 without indicating what version.</w:t>
      </w:r>
    </w:p>
  </w:comment>
  <w:comment w:id="3" w:author="Author" w:initials="A">
    <w:p w14:paraId="5E0F2BF0" w14:textId="176CAA5E" w:rsidR="001E49CA" w:rsidRDefault="001E49CA" w:rsidP="00623295">
      <w:pPr>
        <w:pStyle w:val="CommentText"/>
      </w:pPr>
      <w:r>
        <w:rPr>
          <w:rStyle w:val="CommentReference"/>
        </w:rPr>
        <w:annotationRef/>
      </w:r>
      <w:r>
        <w:t>You need a footnote here with specific source and page for the quotation.</w:t>
      </w:r>
    </w:p>
  </w:comment>
  <w:comment w:id="4" w:author="Author" w:initials="A">
    <w:p w14:paraId="466155E1" w14:textId="0F2F00AA" w:rsidR="001E49CA" w:rsidRDefault="001E49CA" w:rsidP="00623295">
      <w:pPr>
        <w:pStyle w:val="CommentText"/>
      </w:pPr>
      <w:r>
        <w:rPr>
          <w:rStyle w:val="CommentReference"/>
        </w:rPr>
        <w:annotationRef/>
      </w:r>
      <w:r>
        <w:t>Again you need to footnote cited material.</w:t>
      </w:r>
    </w:p>
  </w:comment>
  <w:comment w:id="5" w:author="Author" w:initials="A">
    <w:p w14:paraId="4B1C5664" w14:textId="42D84D54" w:rsidR="00FE2133" w:rsidRDefault="00FE2133" w:rsidP="00623295">
      <w:pPr>
        <w:pStyle w:val="CommentText"/>
      </w:pPr>
      <w:r>
        <w:rPr>
          <w:rStyle w:val="CommentReference"/>
        </w:rPr>
        <w:annotationRef/>
      </w:r>
      <w:r>
        <w:t>I attached this short paragraph to the previous one for better flow</w:t>
      </w:r>
    </w:p>
  </w:comment>
  <w:comment w:id="6" w:author="Author" w:initials="A">
    <w:p w14:paraId="169FBF6C" w14:textId="6C0AEC77" w:rsidR="001E49CA" w:rsidRDefault="001E49CA" w:rsidP="00623295">
      <w:pPr>
        <w:pStyle w:val="CommentText"/>
      </w:pPr>
      <w:r>
        <w:rPr>
          <w:rStyle w:val="CommentReference"/>
        </w:rPr>
        <w:annotationRef/>
      </w:r>
      <w:r>
        <w:t xml:space="preserve">I have inserted these few sentences as a suggestion for creating a transition to the first section of your paper. </w:t>
      </w:r>
    </w:p>
  </w:comment>
  <w:comment w:id="8" w:author="Author" w:initials="A">
    <w:p w14:paraId="2BDB8544" w14:textId="56498F29" w:rsidR="001E49CA" w:rsidRDefault="001E49CA" w:rsidP="00623295">
      <w:pPr>
        <w:pStyle w:val="CommentText"/>
      </w:pPr>
      <w:r>
        <w:rPr>
          <w:rStyle w:val="CommentReference"/>
        </w:rPr>
        <w:annotationRef/>
      </w:r>
      <w:r>
        <w:t>If you use the NETS you would have to note how this changed to vs 62a 62b OG in order to avoid totally different content in 63-64 of Theodotion.  If you stay with these numbers, you must indicate 63-64 OG.</w:t>
      </w:r>
    </w:p>
  </w:comment>
  <w:comment w:id="7" w:author="Author" w:initials="A">
    <w:p w14:paraId="092B7BCD" w14:textId="41F3F4E8" w:rsidR="00D362F9" w:rsidRDefault="00D362F9" w:rsidP="00623295">
      <w:pPr>
        <w:pStyle w:val="CommentText"/>
        <w:rPr>
          <w:rtl/>
          <w:lang w:bidi="he-IL"/>
        </w:rPr>
      </w:pPr>
      <w:r>
        <w:rPr>
          <w:rStyle w:val="CommentReference"/>
        </w:rPr>
        <w:annotationRef/>
      </w:r>
      <w:r>
        <w:rPr>
          <w:rFonts w:hint="cs"/>
          <w:rtl/>
          <w:lang w:bidi="he-IL"/>
        </w:rPr>
        <w:t>שינתי את המספור קצת</w:t>
      </w:r>
    </w:p>
  </w:comment>
  <w:comment w:id="9" w:author="Author" w:initials="A">
    <w:p w14:paraId="786D3C58" w14:textId="13FE8D61" w:rsidR="001E49CA" w:rsidRDefault="001E49CA" w:rsidP="00623295">
      <w:pPr>
        <w:pStyle w:val="CommentText"/>
      </w:pPr>
      <w:r>
        <w:rPr>
          <w:rStyle w:val="CommentReference"/>
        </w:rPr>
        <w:annotationRef/>
      </w:r>
      <w:r>
        <w:t xml:space="preserve">Which?  </w:t>
      </w:r>
      <w:r w:rsidR="00FE2133">
        <w:t>Y</w:t>
      </w:r>
      <w:r>
        <w:t>ou have mentioned two of Segal</w:t>
      </w:r>
      <w:r w:rsidR="008E4E8B">
        <w:t>’</w:t>
      </w:r>
      <w:r>
        <w:t>s works…the article on the opening homily and his book on Daniel.  Here you seem to be alluding to another article.</w:t>
      </w:r>
    </w:p>
  </w:comment>
  <w:comment w:id="10" w:author="Author" w:initials="A">
    <w:p w14:paraId="3515BF8D" w14:textId="2C619A76" w:rsidR="001E49CA" w:rsidRDefault="001E49CA" w:rsidP="00623295">
      <w:pPr>
        <w:pStyle w:val="CommentText"/>
      </w:pPr>
      <w:r>
        <w:rPr>
          <w:rStyle w:val="CommentReference"/>
        </w:rPr>
        <w:annotationRef/>
      </w:r>
      <w:r>
        <w:t xml:space="preserve"> Above you cited the verse as v. 63. Here it becomes 47-48??   </w:t>
      </w:r>
    </w:p>
  </w:comment>
  <w:comment w:id="11" w:author="Author" w:initials="A">
    <w:p w14:paraId="04424ED8" w14:textId="543B1005" w:rsidR="00E20F24" w:rsidRDefault="00E20F24" w:rsidP="00623295">
      <w:pPr>
        <w:pStyle w:val="CommentText"/>
      </w:pPr>
      <w:r>
        <w:rPr>
          <w:rStyle w:val="CommentReference"/>
        </w:rPr>
        <w:annotationRef/>
      </w:r>
      <w:r>
        <w:t>Is this your major argument against Segal</w:t>
      </w:r>
      <w:r w:rsidR="008E4E8B">
        <w:t>’</w:t>
      </w:r>
      <w:r>
        <w:t>s theory?</w:t>
      </w:r>
    </w:p>
  </w:comment>
  <w:comment w:id="12" w:author="Author" w:initials="A">
    <w:p w14:paraId="7F2A93F9" w14:textId="54BF2FDB" w:rsidR="001E49CA" w:rsidRDefault="001E49CA" w:rsidP="00623295">
      <w:pPr>
        <w:pStyle w:val="CommentText"/>
      </w:pPr>
      <w:r>
        <w:rPr>
          <w:rStyle w:val="CommentReference"/>
        </w:rPr>
        <w:annotationRef/>
      </w:r>
      <w:r>
        <w:t>Footnote 8. Why do you put the Collins note about the prologue here where you are discussing the ending? How does it help your argument about the ending vss of OG?</w:t>
      </w:r>
    </w:p>
  </w:comment>
  <w:comment w:id="13" w:author="Author" w:initials="A">
    <w:p w14:paraId="3B4D7AB1" w14:textId="69A0651A" w:rsidR="001E49CA" w:rsidRDefault="001E49CA" w:rsidP="00623295">
      <w:pPr>
        <w:pStyle w:val="CommentText"/>
      </w:pPr>
      <w:r>
        <w:rPr>
          <w:rStyle w:val="CommentReference"/>
        </w:rPr>
        <w:annotationRef/>
      </w:r>
      <w:r>
        <w:t>Identify vs. in Daniel. Put the Compare Dan 1:21, etc. in a footnote. Compare…. in a footnote.</w:t>
      </w:r>
    </w:p>
  </w:comment>
  <w:comment w:id="14" w:author="Author" w:initials="A">
    <w:p w14:paraId="768B896F" w14:textId="73A0C983" w:rsidR="00FE2133" w:rsidRDefault="00FE2133" w:rsidP="00623295">
      <w:pPr>
        <w:pStyle w:val="CommentText"/>
        <w:rPr>
          <w:rtl/>
          <w:lang w:bidi="he-IL"/>
        </w:rPr>
      </w:pPr>
      <w:r>
        <w:rPr>
          <w:rStyle w:val="CommentReference"/>
        </w:rPr>
        <w:annotationRef/>
      </w:r>
      <w:r>
        <w:rPr>
          <w:rFonts w:hint="cs"/>
          <w:rtl/>
          <w:lang w:bidi="he-IL"/>
        </w:rPr>
        <w:t>השמטתי את הכותרת כי היא הפריעה לזרימה</w:t>
      </w:r>
    </w:p>
  </w:comment>
  <w:comment w:id="15" w:author="Author" w:initials="A">
    <w:p w14:paraId="6F604B41" w14:textId="37EC72EB" w:rsidR="001E49CA" w:rsidRDefault="001E49CA" w:rsidP="00623295">
      <w:pPr>
        <w:pStyle w:val="CommentText"/>
      </w:pPr>
      <w:r>
        <w:rPr>
          <w:rStyle w:val="CommentReference"/>
        </w:rPr>
        <w:annotationRef/>
      </w:r>
      <w:r w:rsidR="00FE2133">
        <w:rPr>
          <w:rFonts w:hint="cs"/>
          <w:rtl/>
          <w:lang w:bidi="he-IL"/>
        </w:rPr>
        <w:t>אולי עדיף לשים את הטיעון בהערה בגוף המאמר</w:t>
      </w:r>
      <w:r>
        <w:t xml:space="preserve"> </w:t>
      </w:r>
    </w:p>
  </w:comment>
  <w:comment w:id="16" w:author="Author" w:initials="A">
    <w:p w14:paraId="656AA5E2" w14:textId="18F29657" w:rsidR="00E20F24" w:rsidRDefault="00E20F24" w:rsidP="00623295">
      <w:pPr>
        <w:pStyle w:val="CommentText"/>
        <w:bidi/>
      </w:pPr>
      <w:r>
        <w:rPr>
          <w:rStyle w:val="CommentReference"/>
        </w:rPr>
        <w:annotationRef/>
      </w:r>
      <w:r w:rsidR="008E4E8B">
        <w:rPr>
          <w:rFonts w:hint="cs"/>
          <w:rtl/>
          <w:lang w:bidi="he-IL"/>
        </w:rPr>
        <w:t>אולי כדאי להבהיר קצת מה המכניזם. אם תיואד. לא קדומה כיצד חלקים מהשבעים יכולים להיות מבוססים עליו?</w:t>
      </w:r>
      <w:r>
        <w:t xml:space="preserve"> </w:t>
      </w:r>
    </w:p>
  </w:comment>
  <w:comment w:id="17" w:author="Author" w:initials="A">
    <w:p w14:paraId="442CF8C5" w14:textId="67857503" w:rsidR="008E4E8B" w:rsidRDefault="008E4E8B" w:rsidP="00623295">
      <w:pPr>
        <w:pStyle w:val="CommentText"/>
        <w:rPr>
          <w:lang w:bidi="he-IL"/>
        </w:rPr>
      </w:pPr>
      <w:r>
        <w:rPr>
          <w:rStyle w:val="CommentReference"/>
        </w:rPr>
        <w:annotationRef/>
      </w:r>
      <w:r>
        <w:rPr>
          <w:rFonts w:hint="cs"/>
          <w:rtl/>
          <w:lang w:bidi="he-IL"/>
        </w:rPr>
        <w:t>שוב השמטתי כותרת לצורך זרימה</w:t>
      </w:r>
    </w:p>
  </w:comment>
  <w:comment w:id="18" w:author="Author" w:initials="A">
    <w:p w14:paraId="677072D7" w14:textId="77777777" w:rsidR="008E4E8B" w:rsidRDefault="001E49CA" w:rsidP="00623295">
      <w:pPr>
        <w:pStyle w:val="CommentText"/>
        <w:rPr>
          <w:rtl/>
        </w:rPr>
      </w:pPr>
      <w:r>
        <w:rPr>
          <w:rStyle w:val="CommentReference"/>
        </w:rPr>
        <w:annotationRef/>
      </w:r>
    </w:p>
    <w:p w14:paraId="753BFC91" w14:textId="644996D4" w:rsidR="008E4E8B" w:rsidRDefault="008E4E8B" w:rsidP="00623295">
      <w:pPr>
        <w:pStyle w:val="CommentText"/>
        <w:bidi/>
        <w:rPr>
          <w:rtl/>
          <w:lang w:bidi="he-IL"/>
        </w:rPr>
      </w:pPr>
      <w:r>
        <w:rPr>
          <w:rFonts w:hint="cs"/>
          <w:rtl/>
          <w:lang w:bidi="he-IL"/>
        </w:rPr>
        <w:t xml:space="preserve">אינני מבין איפה הקפיצה. הזקנים מתכננים בפסוק 14 ואחר כך מבצעים אותה בפסוק 19 בשבעים. דברי שושנה בפסוק 22 הנם התגובה לניסיון הזה. בתאוד. אין תיאור של הביצוע אלא רק של האיום ולזה היא מגיבה </w:t>
      </w:r>
    </w:p>
    <w:p w14:paraId="03EA6977" w14:textId="417002C9" w:rsidR="001E49CA" w:rsidRDefault="001E49CA" w:rsidP="00623295">
      <w:pPr>
        <w:pStyle w:val="CommentText"/>
      </w:pPr>
    </w:p>
  </w:comment>
  <w:comment w:id="19" w:author="Author" w:initials="A">
    <w:p w14:paraId="282C8117" w14:textId="14870E60" w:rsidR="001E49CA" w:rsidRDefault="001E49CA" w:rsidP="00623295">
      <w:pPr>
        <w:pStyle w:val="CommentText"/>
        <w:bidi/>
        <w:rPr>
          <w:rtl/>
          <w:lang w:bidi="he-IL"/>
        </w:rPr>
      </w:pPr>
      <w:r>
        <w:rPr>
          <w:rStyle w:val="CommentReference"/>
        </w:rPr>
        <w:annotationRef/>
      </w:r>
      <w:r w:rsidR="008E4E8B">
        <w:rPr>
          <w:rStyle w:val="CommentReference"/>
          <w:rFonts w:hint="cs"/>
          <w:rtl/>
          <w:lang w:bidi="he-IL"/>
        </w:rPr>
        <w:t>לשיפור הזרימה העברתי את זה לפה</w:t>
      </w:r>
    </w:p>
  </w:comment>
  <w:comment w:id="20" w:author="Author" w:initials="A">
    <w:p w14:paraId="472FEBF7" w14:textId="45562456" w:rsidR="001E49CA" w:rsidRDefault="001E49CA" w:rsidP="00623295">
      <w:pPr>
        <w:pStyle w:val="CommentText"/>
        <w:rPr>
          <w:lang w:bidi="he-IL"/>
        </w:rPr>
      </w:pPr>
      <w:r>
        <w:rPr>
          <w:rStyle w:val="CommentReference"/>
        </w:rPr>
        <w:annotationRef/>
      </w:r>
      <w:r w:rsidR="008E4E8B">
        <w:rPr>
          <w:rStyle w:val="CommentReference"/>
          <w:rFonts w:hint="cs"/>
          <w:rtl/>
          <w:lang w:bidi="he-IL"/>
        </w:rPr>
        <w:t>שימי לב שיש שינוי בסדר ההערות</w:t>
      </w:r>
    </w:p>
  </w:comment>
  <w:comment w:id="21" w:author="Author" w:initials="A">
    <w:p w14:paraId="291BAAD9" w14:textId="2ED734F9" w:rsidR="001E49CA" w:rsidRDefault="001E49CA" w:rsidP="00623295">
      <w:pPr>
        <w:pStyle w:val="CommentText"/>
        <w:rPr>
          <w:rtl/>
          <w:lang w:bidi="he-IL"/>
        </w:rPr>
      </w:pPr>
      <w:r>
        <w:rPr>
          <w:rStyle w:val="CommentReference"/>
        </w:rPr>
        <w:annotationRef/>
      </w:r>
      <w:r w:rsidR="008E4E8B">
        <w:rPr>
          <w:rFonts w:hint="cs"/>
          <w:rtl/>
          <w:lang w:bidi="he-IL"/>
        </w:rPr>
        <w:t>בכל מקום שאת מתייחסת לטיענוים לש סגל את צריכה לציין איפה הם</w:t>
      </w:r>
    </w:p>
  </w:comment>
  <w:comment w:id="22" w:author="Author" w:initials="A">
    <w:p w14:paraId="6F0A84D9" w14:textId="26A55758" w:rsidR="001E49CA" w:rsidRDefault="001E49CA" w:rsidP="00623295">
      <w:pPr>
        <w:pStyle w:val="CommentText"/>
      </w:pPr>
      <w:r>
        <w:rPr>
          <w:rStyle w:val="CommentReference"/>
        </w:rPr>
        <w:annotationRef/>
      </w:r>
      <w:r>
        <w:t>Omitted material here because it repeats what you have already stated</w:t>
      </w:r>
    </w:p>
  </w:comment>
  <w:comment w:id="23" w:author="Author" w:initials="A">
    <w:p w14:paraId="5E315E4C" w14:textId="7A7AF6C6" w:rsidR="008E4E8B" w:rsidRDefault="008E4E8B" w:rsidP="00623295">
      <w:pPr>
        <w:pStyle w:val="CommentText"/>
        <w:bidi/>
        <w:rPr>
          <w:rtl/>
          <w:lang w:bidi="he-IL"/>
        </w:rPr>
      </w:pPr>
      <w:r>
        <w:rPr>
          <w:rStyle w:val="CommentReference"/>
        </w:rPr>
        <w:annotationRef/>
      </w:r>
      <w:r>
        <w:rPr>
          <w:rFonts w:hint="cs"/>
          <w:rtl/>
          <w:lang w:bidi="he-IL"/>
        </w:rPr>
        <w:t xml:space="preserve">לא הבנתי </w:t>
      </w:r>
      <w:r>
        <w:rPr>
          <w:rtl/>
          <w:lang w:bidi="he-IL"/>
        </w:rPr>
        <w:t>–</w:t>
      </w:r>
      <w:r>
        <w:rPr>
          <w:rFonts w:hint="cs"/>
          <w:rtl/>
          <w:lang w:bidi="he-IL"/>
        </w:rPr>
        <w:t xml:space="preserve"> האדרת שמה מאפיינת את נוסח השבעים בפיסקה הקודמת, לא?</w:t>
      </w:r>
    </w:p>
  </w:comment>
  <w:comment w:id="24" w:author="Author" w:initials="A">
    <w:p w14:paraId="130D31BE" w14:textId="26F599DC" w:rsidR="001E49CA" w:rsidRDefault="001E49CA" w:rsidP="00623295">
      <w:pPr>
        <w:pStyle w:val="CommentText"/>
      </w:pPr>
      <w:r>
        <w:rPr>
          <w:rStyle w:val="CommentReference"/>
        </w:rPr>
        <w:annotationRef/>
      </w:r>
      <w:r w:rsidR="008E4E8B">
        <w:rPr>
          <w:rFonts w:hint="cs"/>
          <w:rtl/>
          <w:lang w:bidi="he-IL"/>
        </w:rPr>
        <w:t>איזה?</w:t>
      </w:r>
      <w:r>
        <w:t xml:space="preserve"> </w:t>
      </w:r>
    </w:p>
  </w:comment>
  <w:comment w:id="25" w:author="Author" w:initials="A">
    <w:p w14:paraId="7A0BD906" w14:textId="180ABB5C" w:rsidR="001E49CA" w:rsidRDefault="001E49CA" w:rsidP="00623295">
      <w:pPr>
        <w:pStyle w:val="CommentText"/>
      </w:pPr>
      <w:r>
        <w:rPr>
          <w:rStyle w:val="CommentReference"/>
        </w:rPr>
        <w:annotationRef/>
      </w:r>
      <w:r>
        <w:t>Note 2</w:t>
      </w:r>
      <w:r w:rsidR="00D362F9">
        <w:t>5</w:t>
      </w:r>
      <w:r>
        <w:t>. You need to identify the other scholars in addition to the reference to Humphrey.</w:t>
      </w:r>
    </w:p>
  </w:comment>
  <w:comment w:id="26" w:author="Author" w:initials="A">
    <w:p w14:paraId="32C23EDC" w14:textId="2D5615C1" w:rsidR="00D362F9" w:rsidRDefault="00D362F9" w:rsidP="00623295">
      <w:pPr>
        <w:pStyle w:val="CommentText"/>
        <w:bidi/>
        <w:rPr>
          <w:rtl/>
          <w:lang w:bidi="he-IL"/>
        </w:rPr>
      </w:pPr>
      <w:r>
        <w:rPr>
          <w:rStyle w:val="CommentReference"/>
        </w:rPr>
        <w:annotationRef/>
      </w:r>
      <w:r>
        <w:rPr>
          <w:rFonts w:hint="cs"/>
          <w:rtl/>
          <w:lang w:bidi="he-IL"/>
        </w:rPr>
        <w:t>לא ברור לי פשר המקף הכפול</w:t>
      </w:r>
    </w:p>
  </w:comment>
  <w:comment w:id="27" w:author="Author" w:initials="A">
    <w:p w14:paraId="6E679652" w14:textId="5CF2104D" w:rsidR="00D362F9" w:rsidRDefault="00D362F9" w:rsidP="00623295">
      <w:pPr>
        <w:pStyle w:val="CommentText"/>
        <w:bidi/>
        <w:rPr>
          <w:rtl/>
          <w:lang w:bidi="he-IL"/>
        </w:rPr>
      </w:pPr>
      <w:r>
        <w:rPr>
          <w:rStyle w:val="CommentReference"/>
        </w:rPr>
        <w:annotationRef/>
      </w:r>
      <w:r>
        <w:rPr>
          <w:rFonts w:hint="cs"/>
          <w:rtl/>
          <w:lang w:bidi="he-IL"/>
        </w:rPr>
        <w:t>לא ברור לי למה כל זה שייך.  אולי אפשר להסתפק בהערת שוליים?</w:t>
      </w:r>
      <w:r>
        <w:rPr>
          <w:lang w:bidi="he-IL"/>
        </w:rPr>
        <w:t xml:space="preserve"> </w:t>
      </w:r>
      <w:r>
        <w:rPr>
          <w:rFonts w:hint="cs"/>
          <w:rtl/>
          <w:lang w:bidi="he-IL"/>
        </w:rPr>
        <w:t>כמו"כ אם עניינך הסוגה הספרותית בשושנה, למה את מתעכבת כל כך על דניאל?</w:t>
      </w:r>
    </w:p>
  </w:comment>
  <w:comment w:id="28" w:author="Author" w:initials="A">
    <w:p w14:paraId="58A0F62B" w14:textId="34C4CD89" w:rsidR="00D362F9" w:rsidRDefault="00D362F9" w:rsidP="00623295">
      <w:pPr>
        <w:pStyle w:val="CommentText"/>
        <w:rPr>
          <w:rtl/>
          <w:lang w:bidi="he-IL"/>
        </w:rPr>
      </w:pPr>
      <w:r>
        <w:rPr>
          <w:rStyle w:val="CommentReference"/>
        </w:rPr>
        <w:annotationRef/>
      </w:r>
    </w:p>
  </w:comment>
  <w:comment w:id="29" w:author="Author" w:initials="A">
    <w:p w14:paraId="28442A7E" w14:textId="6B1139D3" w:rsidR="00D362F9" w:rsidRDefault="00D362F9" w:rsidP="00623295">
      <w:pPr>
        <w:pStyle w:val="CommentText"/>
        <w:rPr>
          <w:lang w:bidi="he-IL"/>
        </w:rPr>
      </w:pPr>
      <w:r>
        <w:rPr>
          <w:rStyle w:val="CommentReference"/>
        </w:rPr>
        <w:annotationRef/>
      </w:r>
      <w:r>
        <w:rPr>
          <w:rFonts w:hint="cs"/>
          <w:rtl/>
          <w:lang w:bidi="he-IL"/>
        </w:rPr>
        <w:t>קצרתי קצת את הפסקה הזאת . היא הרבה חזרות</w:t>
      </w:r>
    </w:p>
  </w:comment>
  <w:comment w:id="30" w:author="Author" w:initials="A">
    <w:p w14:paraId="1E8C6F98" w14:textId="48E3E0BD" w:rsidR="00D362F9" w:rsidRDefault="00D362F9" w:rsidP="00623295">
      <w:pPr>
        <w:pStyle w:val="CommentText"/>
        <w:bidi/>
        <w:rPr>
          <w:rtl/>
          <w:lang w:bidi="he-IL"/>
        </w:rPr>
      </w:pPr>
      <w:r>
        <w:rPr>
          <w:rStyle w:val="CommentReference"/>
        </w:rPr>
        <w:annotationRef/>
      </w:r>
    </w:p>
  </w:comment>
  <w:comment w:id="31" w:author="Author" w:initials="A">
    <w:p w14:paraId="1B650FE9" w14:textId="78D2A88C" w:rsidR="00D362F9" w:rsidRDefault="00D362F9" w:rsidP="00623295">
      <w:pPr>
        <w:pStyle w:val="CommentText"/>
        <w:bidi/>
        <w:rPr>
          <w:lang w:bidi="he-IL"/>
        </w:rPr>
      </w:pPr>
      <w:r>
        <w:rPr>
          <w:rStyle w:val="CommentReference"/>
        </w:rPr>
        <w:annotationRef/>
      </w:r>
      <w:r>
        <w:rPr>
          <w:rFonts w:hint="cs"/>
          <w:rtl/>
          <w:lang w:bidi="he-IL"/>
        </w:rPr>
        <w:t>אולי יותר טוב:</w:t>
      </w:r>
      <w:r>
        <w:rPr>
          <w:lang w:bidi="he-IL"/>
        </w:rPr>
        <w:t>she will sin against God</w:t>
      </w:r>
    </w:p>
    <w:p w14:paraId="0EDCCFF6" w14:textId="747A859F" w:rsidR="00D362F9" w:rsidRDefault="00D362F9" w:rsidP="00623295">
      <w:pPr>
        <w:pStyle w:val="CommentText"/>
        <w:bidi/>
        <w:rPr>
          <w:lang w:bidi="he-IL"/>
        </w:rPr>
      </w:pPr>
      <w:r>
        <w:rPr>
          <w:rFonts w:hint="cs"/>
          <w:rtl/>
          <w:lang w:bidi="he-IL"/>
        </w:rPr>
        <w:t xml:space="preserve"> </w:t>
      </w:r>
    </w:p>
  </w:comment>
  <w:comment w:id="32" w:author="Author" w:initials="A">
    <w:p w14:paraId="6FE3E9FE" w14:textId="0532C5CC" w:rsidR="00D362F9" w:rsidRDefault="00D362F9" w:rsidP="00623295">
      <w:pPr>
        <w:pStyle w:val="CommentText"/>
        <w:rPr>
          <w:lang w:bidi="he-IL"/>
        </w:rPr>
      </w:pPr>
      <w:r>
        <w:rPr>
          <w:rStyle w:val="CommentReference"/>
        </w:rPr>
        <w:annotationRef/>
      </w:r>
    </w:p>
  </w:comment>
  <w:comment w:id="33" w:author="Author" w:initials="A">
    <w:p w14:paraId="473BCBFA" w14:textId="10538C3D" w:rsidR="00337EB3" w:rsidRDefault="00337EB3" w:rsidP="00623295">
      <w:pPr>
        <w:pStyle w:val="CommentText"/>
        <w:bidi/>
        <w:rPr>
          <w:rtl/>
          <w:lang w:bidi="he-IL"/>
        </w:rPr>
      </w:pPr>
      <w:r>
        <w:rPr>
          <w:rStyle w:val="CommentReference"/>
        </w:rPr>
        <w:annotationRef/>
      </w:r>
      <w:r>
        <w:rPr>
          <w:rFonts w:hint="cs"/>
          <w:rtl/>
          <w:lang w:bidi="he-IL"/>
        </w:rPr>
        <w:t>ההערה נראית</w:t>
      </w:r>
      <w:r w:rsidR="00ED3058">
        <w:rPr>
          <w:lang w:bidi="he-IL"/>
        </w:rPr>
        <w:t xml:space="preserve"> </w:t>
      </w:r>
      <w:r>
        <w:rPr>
          <w:rFonts w:hint="cs"/>
          <w:rtl/>
          <w:lang w:bidi="he-IL"/>
        </w:rPr>
        <w:t>לי מיותרת</w:t>
      </w:r>
    </w:p>
  </w:comment>
  <w:comment w:id="34" w:author="Author" w:initials="A">
    <w:p w14:paraId="0154CBC7" w14:textId="3C7E1CD5" w:rsidR="00337EB3" w:rsidRDefault="00337EB3" w:rsidP="00623295">
      <w:pPr>
        <w:pStyle w:val="CommentText"/>
        <w:bidi/>
        <w:rPr>
          <w:rtl/>
          <w:lang w:bidi="he-IL"/>
        </w:rPr>
      </w:pPr>
      <w:r>
        <w:rPr>
          <w:rStyle w:val="CommentReference"/>
        </w:rPr>
        <w:annotationRef/>
      </w:r>
      <w:r>
        <w:rPr>
          <w:rFonts w:hint="cs"/>
          <w:rtl/>
          <w:lang w:bidi="he-IL"/>
        </w:rPr>
        <w:t>נקודה מענינית אבל לא כל כך רלוונטית למאמר שלך. זה לא קשור לשושנה. אולי להלשמט</w:t>
      </w:r>
    </w:p>
  </w:comment>
  <w:comment w:id="35" w:author="Author" w:initials="A">
    <w:p w14:paraId="121E14BA" w14:textId="1E4C4F84" w:rsidR="00337EB3" w:rsidRDefault="00337EB3" w:rsidP="00623295">
      <w:pPr>
        <w:pStyle w:val="CommentText"/>
        <w:bidi/>
        <w:rPr>
          <w:lang w:bidi="he-IL"/>
        </w:rPr>
      </w:pPr>
      <w:r>
        <w:rPr>
          <w:rStyle w:val="CommentReference"/>
        </w:rPr>
        <w:annotationRef/>
      </w:r>
      <w:r>
        <w:rPr>
          <w:rStyle w:val="CommentReference"/>
          <w:rFonts w:hint="cs"/>
          <w:rtl/>
          <w:lang w:bidi="he-IL"/>
        </w:rPr>
        <w:t>אולי כדאי לצטט את הפסוקים להקל על הקורא?</w:t>
      </w:r>
      <w:r>
        <w:rPr>
          <w:rStyle w:val="CommentReference"/>
          <w:rFonts w:hint="cs"/>
          <w:lang w:bidi="he-IL"/>
        </w:rPr>
        <w:t xml:space="preserve"> </w:t>
      </w:r>
    </w:p>
  </w:comment>
  <w:comment w:id="36" w:author="Author" w:initials="A">
    <w:p w14:paraId="11AB4539" w14:textId="285ECE56" w:rsidR="00910088" w:rsidRDefault="00910088" w:rsidP="00623295">
      <w:pPr>
        <w:pStyle w:val="CommentText"/>
        <w:bidi/>
        <w:rPr>
          <w:rFonts w:hint="cs"/>
          <w:rtl/>
          <w:lang w:bidi="he-IL"/>
        </w:rPr>
      </w:pPr>
      <w:r>
        <w:rPr>
          <w:rStyle w:val="CommentReference"/>
        </w:rPr>
        <w:annotationRef/>
      </w:r>
      <w:r w:rsidR="009F1B2C">
        <w:rPr>
          <w:rFonts w:hint="cs"/>
          <w:rtl/>
          <w:lang w:bidi="he-IL"/>
        </w:rPr>
        <w:t>קשה מאד לומר שהכ</w:t>
      </w:r>
      <w:r w:rsidR="0027147D">
        <w:rPr>
          <w:rFonts w:hint="cs"/>
          <w:rtl/>
          <w:lang w:bidi="he-IL"/>
        </w:rPr>
        <w:t>הנים אינם מזוהים עם השפטים בספר דברים.  עייני דברי יז: ט-יג</w:t>
      </w:r>
    </w:p>
  </w:comment>
  <w:comment w:id="37" w:author="Author" w:initials="A">
    <w:p w14:paraId="3899D7C1" w14:textId="68952E10" w:rsidR="001E49CA" w:rsidRDefault="001E49CA" w:rsidP="00623295">
      <w:pPr>
        <w:pStyle w:val="CommentText"/>
      </w:pPr>
      <w:r>
        <w:rPr>
          <w:rStyle w:val="CommentReference"/>
        </w:rPr>
        <w:annotationRef/>
      </w:r>
      <w:r>
        <w:t>Note in OG it is the “elders and judges”; in Theodotion it is the elders.</w:t>
      </w:r>
    </w:p>
  </w:comment>
  <w:comment w:id="38" w:author="Author" w:initials="A">
    <w:p w14:paraId="2E75346D" w14:textId="108BA6C3" w:rsidR="001E49CA" w:rsidRDefault="001E49CA" w:rsidP="00623295">
      <w:pPr>
        <w:pStyle w:val="CommentText"/>
      </w:pPr>
      <w:r>
        <w:rPr>
          <w:rStyle w:val="CommentReference"/>
        </w:rPr>
        <w:annotationRef/>
      </w:r>
      <w:r>
        <w:t>Perhaps bring the Greek in LXX and in Susanna.</w:t>
      </w:r>
    </w:p>
  </w:comment>
  <w:comment w:id="39" w:author="Author" w:initials="A">
    <w:p w14:paraId="2E8C6664" w14:textId="728F7B85" w:rsidR="002342D0" w:rsidRDefault="002342D0">
      <w:pPr>
        <w:pStyle w:val="CommentText"/>
        <w:rPr>
          <w:rFonts w:hint="cs"/>
          <w:rtl/>
          <w:lang w:bidi="he-IL"/>
        </w:rPr>
      </w:pPr>
      <w:r>
        <w:rPr>
          <w:rStyle w:val="CommentReference"/>
        </w:rPr>
        <w:annotationRef/>
      </w:r>
      <w:r>
        <w:rPr>
          <w:rFonts w:hint="cs"/>
          <w:rtl/>
          <w:lang w:bidi="he-IL"/>
        </w:rPr>
        <w:t>אני מודה שאינני רואה את זה. כדאי להרחיב קצת</w:t>
      </w:r>
    </w:p>
  </w:comment>
  <w:comment w:id="40" w:author="Author" w:initials="A">
    <w:p w14:paraId="184BAFBD" w14:textId="512E4FEA" w:rsidR="002342D0" w:rsidRDefault="002342D0">
      <w:pPr>
        <w:pStyle w:val="CommentText"/>
        <w:rPr>
          <w:rFonts w:hint="cs"/>
          <w:lang w:bidi="he-IL"/>
        </w:rPr>
      </w:pPr>
      <w:r>
        <w:rPr>
          <w:rStyle w:val="CommentReference"/>
        </w:rPr>
        <w:annotationRef/>
      </w:r>
      <w:r>
        <w:rPr>
          <w:rFonts w:hint="cs"/>
          <w:rtl/>
          <w:lang w:bidi="he-IL"/>
        </w:rPr>
        <w:t>למה את צריכה לספר את כל זה?  לא די בציון המקבילה של דם נקי?</w:t>
      </w:r>
    </w:p>
  </w:comment>
  <w:comment w:id="41" w:author="Author" w:initials="A">
    <w:p w14:paraId="236FCAEC" w14:textId="5BEB042B" w:rsidR="002342D0" w:rsidRDefault="002342D0">
      <w:pPr>
        <w:pStyle w:val="CommentText"/>
        <w:rPr>
          <w:rFonts w:hint="cs"/>
          <w:lang w:bidi="he-IL"/>
        </w:rPr>
      </w:pPr>
      <w:r>
        <w:rPr>
          <w:rStyle w:val="CommentReference"/>
        </w:rPr>
        <w:annotationRef/>
      </w:r>
      <w:r w:rsidR="009C4C8A">
        <w:rPr>
          <w:rFonts w:hint="cs"/>
          <w:rtl/>
          <w:lang w:bidi="he-IL"/>
        </w:rPr>
        <w:t>ראי הערה קודמת</w:t>
      </w:r>
    </w:p>
  </w:comment>
  <w:comment w:id="42" w:author="Author" w:initials="A">
    <w:p w14:paraId="003EF622" w14:textId="40DE9F1B" w:rsidR="009C4C8A" w:rsidRDefault="009C4C8A">
      <w:pPr>
        <w:pStyle w:val="CommentText"/>
        <w:rPr>
          <w:rFonts w:hint="cs"/>
          <w:rtl/>
          <w:lang w:bidi="he-IL"/>
        </w:rPr>
      </w:pPr>
      <w:r>
        <w:rPr>
          <w:rStyle w:val="CommentReference"/>
        </w:rPr>
        <w:annotationRef/>
      </w:r>
      <w:r>
        <w:rPr>
          <w:rFonts w:hint="cs"/>
          <w:rtl/>
          <w:lang w:bidi="he-IL"/>
        </w:rPr>
        <w:t xml:space="preserve">שוב </w:t>
      </w:r>
      <w:r>
        <w:rPr>
          <w:rtl/>
          <w:lang w:bidi="he-IL"/>
        </w:rPr>
        <w:t>–</w:t>
      </w:r>
      <w:r>
        <w:rPr>
          <w:rFonts w:hint="cs"/>
          <w:rtl/>
          <w:lang w:bidi="he-IL"/>
        </w:rPr>
        <w:t xml:space="preserve"> איני רואה כיצד זה קשור.  בשושנה זה עונש לחוטאים ואילו בעגלה ערופה זה חלק מהטקס</w:t>
      </w:r>
    </w:p>
  </w:comment>
  <w:comment w:id="43" w:author="Author" w:initials="A">
    <w:p w14:paraId="20008B44" w14:textId="5F7B715E" w:rsidR="009A78A1" w:rsidRDefault="009A78A1" w:rsidP="00A50E75">
      <w:pPr>
        <w:pStyle w:val="CommentText"/>
        <w:bidi/>
        <w:rPr>
          <w:rFonts w:hint="cs"/>
          <w:rtl/>
          <w:lang w:bidi="he-IL"/>
        </w:rPr>
      </w:pPr>
      <w:r>
        <w:rPr>
          <w:rStyle w:val="CommentReference"/>
        </w:rPr>
        <w:annotationRef/>
      </w:r>
      <w:r>
        <w:rPr>
          <w:rFonts w:hint="cs"/>
          <w:rtl/>
          <w:lang w:bidi="he-IL"/>
        </w:rPr>
        <w:t>הקשר הוא רק שבשניהם יש מים?</w:t>
      </w:r>
      <w:r>
        <w:rPr>
          <w:rFonts w:hint="cs"/>
          <w:lang w:bidi="he-IL"/>
        </w:rPr>
        <w:t xml:space="preserve"> </w:t>
      </w:r>
      <w:r w:rsidR="00A50E75">
        <w:rPr>
          <w:rFonts w:hint="cs"/>
          <w:rtl/>
          <w:lang w:bidi="he-IL"/>
        </w:rPr>
        <w:t xml:space="preserve"> זה קשר חלש</w:t>
      </w:r>
    </w:p>
  </w:comment>
  <w:comment w:id="44" w:author="Author" w:initials="A">
    <w:p w14:paraId="2A410B4B" w14:textId="634ECB78" w:rsidR="001E49CA" w:rsidRDefault="001E49CA" w:rsidP="00623295">
      <w:pPr>
        <w:pStyle w:val="CommentText"/>
      </w:pPr>
      <w:r>
        <w:rPr>
          <w:rStyle w:val="CommentReference"/>
        </w:rPr>
        <w:annotationRef/>
      </w:r>
      <w:r>
        <w:t>Check the Tigay source. The chapter verses here is odd.</w:t>
      </w:r>
    </w:p>
  </w:comment>
  <w:comment w:id="45" w:author="Author" w:initials="A">
    <w:p w14:paraId="43EABBCD" w14:textId="2E53F897" w:rsidR="00242968" w:rsidRDefault="00242968">
      <w:pPr>
        <w:pStyle w:val="CommentText"/>
        <w:rPr>
          <w:rFonts w:hint="cs"/>
          <w:rtl/>
          <w:lang w:bidi="he-IL"/>
        </w:rPr>
      </w:pPr>
      <w:r>
        <w:rPr>
          <w:rStyle w:val="CommentReference"/>
        </w:rPr>
        <w:annotationRef/>
      </w:r>
      <w:r>
        <w:rPr>
          <w:rFonts w:hint="cs"/>
          <w:rtl/>
          <w:lang w:bidi="he-IL"/>
        </w:rPr>
        <w:t>אולי כדאי להוריד את כל זה להערה</w:t>
      </w:r>
    </w:p>
  </w:comment>
  <w:comment w:id="46" w:author="Author" w:initials="A">
    <w:p w14:paraId="04B931C2" w14:textId="034F6C7A" w:rsidR="009907C6" w:rsidRDefault="009907C6" w:rsidP="00623295">
      <w:pPr>
        <w:pStyle w:val="CommentText"/>
      </w:pPr>
      <w:r>
        <w:rPr>
          <w:rStyle w:val="CommentReference"/>
        </w:rPr>
        <w:annotationRef/>
      </w:r>
      <w:r>
        <w:t>How does this fit with your critique of Segal and your claim that certain verses in LXX are based on Theodotian??</w:t>
      </w:r>
    </w:p>
  </w:comment>
  <w:comment w:id="47" w:author="Author" w:initials="A">
    <w:p w14:paraId="43343E6A" w14:textId="11F977D4" w:rsidR="004A2633" w:rsidRDefault="004A2633" w:rsidP="00623295">
      <w:pPr>
        <w:pStyle w:val="CommentText"/>
      </w:pPr>
      <w:r>
        <w:rPr>
          <w:rStyle w:val="CommentReference"/>
        </w:rPr>
        <w:annotationRef/>
      </w:r>
      <w:r>
        <w:t xml:space="preserve">Would be helpful to reader if you would cite verse 62 </w:t>
      </w:r>
    </w:p>
  </w:comment>
  <w:comment w:id="48" w:author="Author" w:initials="A">
    <w:p w14:paraId="264B2D01" w14:textId="25E931CB" w:rsidR="00351DEA" w:rsidRDefault="00351DEA">
      <w:pPr>
        <w:pStyle w:val="CommentText"/>
        <w:rPr>
          <w:rFonts w:hint="cs"/>
          <w:rtl/>
          <w:lang w:bidi="he-IL"/>
        </w:rPr>
      </w:pPr>
      <w:r>
        <w:rPr>
          <w:rStyle w:val="CommentReference"/>
        </w:rPr>
        <w:annotationRef/>
      </w:r>
      <w:r>
        <w:rPr>
          <w:rFonts w:hint="cs"/>
          <w:rtl/>
          <w:lang w:bidi="he-IL"/>
        </w:rPr>
        <w:t>לדעתי, את צריכה להרחיב פה. לא ברור מה הקשר בין חלקי המאמר ואת צריכה לקשור ביניהם</w:t>
      </w:r>
    </w:p>
  </w:comment>
  <w:comment w:id="49" w:author="Author" w:initials="A">
    <w:p w14:paraId="2FE2B0C4" w14:textId="32850BD4" w:rsidR="000E2D87" w:rsidRDefault="000E2D87" w:rsidP="00623295">
      <w:pPr>
        <w:pStyle w:val="CommentText"/>
      </w:pPr>
      <w:r>
        <w:rPr>
          <w:rStyle w:val="CommentReference"/>
        </w:rPr>
        <w:annotationRef/>
      </w:r>
      <w:r>
        <w:t xml:space="preserve">I do not see how the law of the heifer elevates or highlights Susanna.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5C863A" w15:done="0"/>
  <w15:commentEx w15:paraId="7D05960F" w15:done="0"/>
  <w15:commentEx w15:paraId="19441A4A" w15:done="0"/>
  <w15:commentEx w15:paraId="5E0F2BF0" w15:done="0"/>
  <w15:commentEx w15:paraId="466155E1" w15:done="0"/>
  <w15:commentEx w15:paraId="4B1C5664" w15:done="0"/>
  <w15:commentEx w15:paraId="169FBF6C" w15:done="0"/>
  <w15:commentEx w15:paraId="2BDB8544" w15:done="0"/>
  <w15:commentEx w15:paraId="092B7BCD" w15:done="0"/>
  <w15:commentEx w15:paraId="786D3C58" w15:done="0"/>
  <w15:commentEx w15:paraId="3515BF8D" w15:done="0"/>
  <w15:commentEx w15:paraId="04424ED8" w15:done="0"/>
  <w15:commentEx w15:paraId="7F2A93F9" w15:done="0"/>
  <w15:commentEx w15:paraId="3B4D7AB1" w15:done="0"/>
  <w15:commentEx w15:paraId="768B896F" w15:done="0"/>
  <w15:commentEx w15:paraId="6F604B41" w15:done="0"/>
  <w15:commentEx w15:paraId="656AA5E2" w15:done="0"/>
  <w15:commentEx w15:paraId="442CF8C5" w15:done="0"/>
  <w15:commentEx w15:paraId="03EA6977" w15:done="0"/>
  <w15:commentEx w15:paraId="282C8117" w15:done="0"/>
  <w15:commentEx w15:paraId="472FEBF7" w15:done="0"/>
  <w15:commentEx w15:paraId="291BAAD9" w15:done="0"/>
  <w15:commentEx w15:paraId="6F0A84D9" w15:done="0"/>
  <w15:commentEx w15:paraId="5E315E4C" w15:done="0"/>
  <w15:commentEx w15:paraId="130D31BE" w15:done="0"/>
  <w15:commentEx w15:paraId="7A0BD906" w15:done="0"/>
  <w15:commentEx w15:paraId="32C23EDC" w15:done="0"/>
  <w15:commentEx w15:paraId="6E679652" w15:done="0"/>
  <w15:commentEx w15:paraId="58A0F62B" w15:done="0"/>
  <w15:commentEx w15:paraId="28442A7E" w15:paraIdParent="58A0F62B" w15:done="0"/>
  <w15:commentEx w15:paraId="1E8C6F98" w15:done="0"/>
  <w15:commentEx w15:paraId="0EDCCFF6" w15:paraIdParent="1E8C6F98" w15:done="0"/>
  <w15:commentEx w15:paraId="6FE3E9FE" w15:paraIdParent="1E8C6F98" w15:done="0"/>
  <w15:commentEx w15:paraId="473BCBFA" w15:done="0"/>
  <w15:commentEx w15:paraId="0154CBC7" w15:done="0"/>
  <w15:commentEx w15:paraId="121E14BA" w15:done="0"/>
  <w15:commentEx w15:paraId="11AB4539" w15:done="0"/>
  <w15:commentEx w15:paraId="3899D7C1" w15:done="0"/>
  <w15:commentEx w15:paraId="2E75346D" w15:done="0"/>
  <w15:commentEx w15:paraId="2E8C6664" w15:done="0"/>
  <w15:commentEx w15:paraId="184BAFBD" w15:done="0"/>
  <w15:commentEx w15:paraId="236FCAEC" w15:done="0"/>
  <w15:commentEx w15:paraId="003EF622" w15:done="0"/>
  <w15:commentEx w15:paraId="20008B44" w15:done="0"/>
  <w15:commentEx w15:paraId="2A410B4B" w15:done="0"/>
  <w15:commentEx w15:paraId="43EABBCD" w15:done="0"/>
  <w15:commentEx w15:paraId="04B931C2" w15:done="0"/>
  <w15:commentEx w15:paraId="43343E6A" w15:done="0"/>
  <w15:commentEx w15:paraId="264B2D01" w15:done="0"/>
  <w15:commentEx w15:paraId="2FE2B0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C863A" w16cid:durableId="17AAEEE5"/>
  <w16cid:commentId w16cid:paraId="7D05960F" w16cid:durableId="3E67BB39"/>
  <w16cid:commentId w16cid:paraId="19441A4A" w16cid:durableId="16FF5100"/>
  <w16cid:commentId w16cid:paraId="5E0F2BF0" w16cid:durableId="099C1F6A"/>
  <w16cid:commentId w16cid:paraId="466155E1" w16cid:durableId="1E4BC379"/>
  <w16cid:commentId w16cid:paraId="4B1C5664" w16cid:durableId="3009B9D7"/>
  <w16cid:commentId w16cid:paraId="169FBF6C" w16cid:durableId="678A50F8"/>
  <w16cid:commentId w16cid:paraId="2BDB8544" w16cid:durableId="7B0656C2"/>
  <w16cid:commentId w16cid:paraId="092B7BCD" w16cid:durableId="058DE6BB"/>
  <w16cid:commentId w16cid:paraId="786D3C58" w16cid:durableId="2638C95A"/>
  <w16cid:commentId w16cid:paraId="3515BF8D" w16cid:durableId="69546142"/>
  <w16cid:commentId w16cid:paraId="04424ED8" w16cid:durableId="7AB5576E"/>
  <w16cid:commentId w16cid:paraId="7F2A93F9" w16cid:durableId="7774F667"/>
  <w16cid:commentId w16cid:paraId="3B4D7AB1" w16cid:durableId="29E7240E"/>
  <w16cid:commentId w16cid:paraId="768B896F" w16cid:durableId="50130A7C"/>
  <w16cid:commentId w16cid:paraId="6F604B41" w16cid:durableId="74765FA0"/>
  <w16cid:commentId w16cid:paraId="656AA5E2" w16cid:durableId="3E5B2903"/>
  <w16cid:commentId w16cid:paraId="442CF8C5" w16cid:durableId="5483BBD8"/>
  <w16cid:commentId w16cid:paraId="03EA6977" w16cid:durableId="1164C6FE"/>
  <w16cid:commentId w16cid:paraId="282C8117" w16cid:durableId="15069EEF"/>
  <w16cid:commentId w16cid:paraId="472FEBF7" w16cid:durableId="5358EA48"/>
  <w16cid:commentId w16cid:paraId="291BAAD9" w16cid:durableId="19CD81DF"/>
  <w16cid:commentId w16cid:paraId="6F0A84D9" w16cid:durableId="108E8C84"/>
  <w16cid:commentId w16cid:paraId="5E315E4C" w16cid:durableId="1DC9609B"/>
  <w16cid:commentId w16cid:paraId="130D31BE" w16cid:durableId="30094CEB"/>
  <w16cid:commentId w16cid:paraId="7A0BD906" w16cid:durableId="2981F8E1"/>
  <w16cid:commentId w16cid:paraId="32C23EDC" w16cid:durableId="01ED1BBF"/>
  <w16cid:commentId w16cid:paraId="6E679652" w16cid:durableId="44218963"/>
  <w16cid:commentId w16cid:paraId="58A0F62B" w16cid:durableId="71E50568"/>
  <w16cid:commentId w16cid:paraId="28442A7E" w16cid:durableId="29D60BCA"/>
  <w16cid:commentId w16cid:paraId="1E8C6F98" w16cid:durableId="7D0D6B97"/>
  <w16cid:commentId w16cid:paraId="0EDCCFF6" w16cid:durableId="532489B9"/>
  <w16cid:commentId w16cid:paraId="6FE3E9FE" w16cid:durableId="57F7FB7C"/>
  <w16cid:commentId w16cid:paraId="473BCBFA" w16cid:durableId="6870B62F"/>
  <w16cid:commentId w16cid:paraId="0154CBC7" w16cid:durableId="5C0A7D1B"/>
  <w16cid:commentId w16cid:paraId="121E14BA" w16cid:durableId="01072DCE"/>
  <w16cid:commentId w16cid:paraId="11AB4539" w16cid:durableId="1045B949"/>
  <w16cid:commentId w16cid:paraId="3899D7C1" w16cid:durableId="5017F49D"/>
  <w16cid:commentId w16cid:paraId="2E75346D" w16cid:durableId="5F9DB4E5"/>
  <w16cid:commentId w16cid:paraId="2E8C6664" w16cid:durableId="30D17BB6"/>
  <w16cid:commentId w16cid:paraId="184BAFBD" w16cid:durableId="373A61B6"/>
  <w16cid:commentId w16cid:paraId="236FCAEC" w16cid:durableId="20759F10"/>
  <w16cid:commentId w16cid:paraId="003EF622" w16cid:durableId="1347B3BE"/>
  <w16cid:commentId w16cid:paraId="20008B44" w16cid:durableId="11BF69EC"/>
  <w16cid:commentId w16cid:paraId="2A410B4B" w16cid:durableId="4F6BD367"/>
  <w16cid:commentId w16cid:paraId="43EABBCD" w16cid:durableId="29D041D2"/>
  <w16cid:commentId w16cid:paraId="04B931C2" w16cid:durableId="47196E34"/>
  <w16cid:commentId w16cid:paraId="43343E6A" w16cid:durableId="70A72212"/>
  <w16cid:commentId w16cid:paraId="264B2D01" w16cid:durableId="01FC409E"/>
  <w16cid:commentId w16cid:paraId="2FE2B0C4" w16cid:durableId="740C7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8F36" w14:textId="77777777" w:rsidR="00DC3417" w:rsidRDefault="00DC3417" w:rsidP="00623295">
      <w:r>
        <w:separator/>
      </w:r>
    </w:p>
  </w:endnote>
  <w:endnote w:type="continuationSeparator" w:id="0">
    <w:p w14:paraId="74BBA87C" w14:textId="77777777" w:rsidR="00DC3417" w:rsidRDefault="00DC3417" w:rsidP="0062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69970"/>
      <w:docPartObj>
        <w:docPartGallery w:val="Page Numbers (Bottom of Page)"/>
        <w:docPartUnique/>
      </w:docPartObj>
    </w:sdtPr>
    <w:sdtEndPr>
      <w:rPr>
        <w:noProof/>
      </w:rPr>
    </w:sdtEndPr>
    <w:sdtContent>
      <w:p w14:paraId="30773943" w14:textId="70D677ED" w:rsidR="001E49CA" w:rsidRDefault="001E49CA" w:rsidP="00623295">
        <w:pPr>
          <w:pStyle w:val="Footer"/>
        </w:pPr>
        <w:r>
          <w:fldChar w:fldCharType="begin"/>
        </w:r>
        <w:r>
          <w:instrText xml:space="preserve"> PAGE   \* MERGEFORMAT </w:instrText>
        </w:r>
        <w:r>
          <w:fldChar w:fldCharType="separate"/>
        </w:r>
        <w:r w:rsidR="0084261C">
          <w:rPr>
            <w:noProof/>
          </w:rPr>
          <w:t>25</w:t>
        </w:r>
        <w:r>
          <w:rPr>
            <w:noProof/>
          </w:rPr>
          <w:fldChar w:fldCharType="end"/>
        </w:r>
      </w:p>
    </w:sdtContent>
  </w:sdt>
  <w:p w14:paraId="4241E008" w14:textId="77777777" w:rsidR="001E49CA" w:rsidRDefault="001E49CA" w:rsidP="0062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C493" w14:textId="77777777" w:rsidR="00DC3417" w:rsidRDefault="00DC3417" w:rsidP="00623295">
      <w:r>
        <w:separator/>
      </w:r>
    </w:p>
  </w:footnote>
  <w:footnote w:type="continuationSeparator" w:id="0">
    <w:p w14:paraId="34E63EA3" w14:textId="77777777" w:rsidR="00DC3417" w:rsidRDefault="00DC3417" w:rsidP="00623295">
      <w:r>
        <w:continuationSeparator/>
      </w:r>
    </w:p>
  </w:footnote>
  <w:footnote w:id="1">
    <w:p w14:paraId="2E251A91" w14:textId="3F1500F0" w:rsidR="001E49CA" w:rsidRDefault="001E49CA" w:rsidP="00623295">
      <w:pPr>
        <w:pStyle w:val="FootnoteText"/>
      </w:pPr>
      <w:r>
        <w:rPr>
          <w:rStyle w:val="FootnoteReference"/>
        </w:rPr>
        <w:footnoteRef/>
      </w:r>
      <w:r>
        <w:t xml:space="preserve"> </w:t>
      </w:r>
      <w:r w:rsidRPr="008740A4">
        <w:t>See?</w:t>
      </w:r>
      <w:r>
        <w:t xml:space="preserve"> </w:t>
      </w:r>
      <w:r w:rsidRPr="007950B2">
        <w:t>Miunik</w:t>
      </w:r>
      <w:r>
        <w:t xml:space="preserve">, </w:t>
      </w:r>
      <w:r w:rsidR="00FE2133">
        <w:t>“</w:t>
      </w:r>
      <w:r>
        <w:t>???</w:t>
      </w:r>
      <w:r w:rsidR="00FE2133">
        <w:t>”</w:t>
      </w:r>
      <w:r>
        <w:t xml:space="preserve"> </w:t>
      </w:r>
      <w:r w:rsidRPr="007950B2">
        <w:t xml:space="preserve">and the overview there. Miunik </w:t>
      </w:r>
      <w:r>
        <w:t xml:space="preserve">argues </w:t>
      </w:r>
      <w:r w:rsidRPr="007950B2">
        <w:t xml:space="preserve">that lexical and syntactic considerations </w:t>
      </w:r>
      <w:r>
        <w:t xml:space="preserve">indicate </w:t>
      </w:r>
      <w:r w:rsidRPr="007950B2">
        <w:t xml:space="preserve">that the story of Susanna was originally written in </w:t>
      </w:r>
      <w:r>
        <w:t xml:space="preserve">a </w:t>
      </w:r>
      <w:r w:rsidRPr="007950B2">
        <w:t>Semitic language</w:t>
      </w:r>
      <w:r>
        <w:t>. It was</w:t>
      </w:r>
      <w:r w:rsidRPr="007950B2">
        <w:t xml:space="preserve"> translated into Greek in the </w:t>
      </w:r>
      <w:r>
        <w:t xml:space="preserve">LXX and the </w:t>
      </w:r>
      <w:r w:rsidRPr="007950B2">
        <w:t xml:space="preserve">Theodotion version </w:t>
      </w:r>
      <w:r>
        <w:t xml:space="preserve">was a later </w:t>
      </w:r>
      <w:r w:rsidRPr="007950B2">
        <w:t xml:space="preserve">Greek adaptation of the </w:t>
      </w:r>
      <w:r>
        <w:t>LXX story.</w:t>
      </w:r>
    </w:p>
  </w:footnote>
  <w:footnote w:id="2">
    <w:p w14:paraId="772FDDFF" w14:textId="7C17FC53" w:rsidR="001E49CA" w:rsidRPr="00623C4C" w:rsidRDefault="001E49CA" w:rsidP="00623295">
      <w:pPr>
        <w:pStyle w:val="FootnoteText"/>
      </w:pPr>
      <w:r>
        <w:rPr>
          <w:rStyle w:val="FootnoteReference"/>
        </w:rPr>
        <w:footnoteRef/>
      </w:r>
      <w:r>
        <w:t xml:space="preserve"> </w:t>
      </w:r>
      <w:r w:rsidRPr="00623C4C">
        <w:t xml:space="preserve">By contrast, there are minimal differences between </w:t>
      </w:r>
      <w:r w:rsidRPr="00691F2F">
        <w:t xml:space="preserve">the various versions of the other </w:t>
      </w:r>
      <w:r w:rsidR="00AB0264">
        <w:t>a</w:t>
      </w:r>
      <w:r w:rsidRPr="00691F2F">
        <w:t>dditions to Daniel (</w:t>
      </w:r>
      <w:r w:rsidR="00FE2133">
        <w:t>“</w:t>
      </w:r>
      <w:r w:rsidRPr="00691F2F">
        <w:t>The Prayer of Azariah and The Song of the Three Young Men,</w:t>
      </w:r>
      <w:r w:rsidR="00FE2133">
        <w:t>”</w:t>
      </w:r>
      <w:r w:rsidRPr="00691F2F">
        <w:t xml:space="preserve"> and </w:t>
      </w:r>
      <w:r w:rsidR="00FE2133">
        <w:t>“</w:t>
      </w:r>
      <w:r w:rsidRPr="00691F2F">
        <w:t>Bel and the Dragon</w:t>
      </w:r>
      <w:r w:rsidR="00FE2133">
        <w:t>”</w:t>
      </w:r>
      <w:r w:rsidRPr="00691F2F">
        <w:t>).</w:t>
      </w:r>
    </w:p>
  </w:footnote>
  <w:footnote w:id="3">
    <w:p w14:paraId="1FD46F02" w14:textId="0D8AF502" w:rsidR="001E49CA" w:rsidRPr="00623C4C" w:rsidRDefault="001E49CA" w:rsidP="00623295">
      <w:pPr>
        <w:pStyle w:val="FootnoteText"/>
      </w:pPr>
      <w:r w:rsidRPr="00623C4C">
        <w:rPr>
          <w:rStyle w:val="FootnoteReference"/>
          <w:rFonts w:cstheme="majorBidi"/>
          <w:sz w:val="24"/>
          <w:szCs w:val="24"/>
        </w:rPr>
        <w:footnoteRef/>
      </w:r>
      <w:r w:rsidRPr="00623C4C">
        <w:t xml:space="preserve"> Moore claims that </w:t>
      </w:r>
      <w:r w:rsidRPr="00691F2F">
        <w:t>only twenty-three percent of the sixty</w:t>
      </w:r>
      <w:r w:rsidRPr="00623C4C">
        <w:t xml:space="preserve"> verses</w:t>
      </w:r>
      <w:r>
        <w:t xml:space="preserve"> are common to the two versions</w:t>
      </w:r>
      <w:r w:rsidRPr="00691F2F">
        <w:t xml:space="preserve">. </w:t>
      </w:r>
      <w:r w:rsidRPr="00623C4C">
        <w:t xml:space="preserve">See Moore, </w:t>
      </w:r>
      <w:r w:rsidRPr="00623C4C">
        <w:rPr>
          <w:i/>
          <w:iCs/>
        </w:rPr>
        <w:t>Daniel</w:t>
      </w:r>
      <w:r w:rsidRPr="00623C4C">
        <w:t>, p. 79.</w:t>
      </w:r>
    </w:p>
  </w:footnote>
  <w:footnote w:id="4">
    <w:p w14:paraId="27EDEF71" w14:textId="2619CFBC" w:rsidR="001E49CA" w:rsidRDefault="001E49CA" w:rsidP="00623295">
      <w:pPr>
        <w:pStyle w:val="FootnoteText"/>
      </w:pPr>
      <w:r>
        <w:rPr>
          <w:rStyle w:val="FootnoteReference"/>
        </w:rPr>
        <w:footnoteRef/>
      </w:r>
      <w:r>
        <w:t xml:space="preserve"> </w:t>
      </w:r>
      <w:r w:rsidRPr="00985996">
        <w:t xml:space="preserve">In MS 88 and the Syro-Hexapla and the Vulgate, it is </w:t>
      </w:r>
      <w:r>
        <w:t xml:space="preserve">found </w:t>
      </w:r>
      <w:r w:rsidRPr="00985996">
        <w:t>immediately after Daniel 1</w:t>
      </w:r>
      <w:r>
        <w:t xml:space="preserve"> </w:t>
      </w:r>
      <w:r w:rsidRPr="00985996">
        <w:t xml:space="preserve">and prior to </w:t>
      </w:r>
      <w:r w:rsidR="00FE2133">
        <w:t>“</w:t>
      </w:r>
      <w:r w:rsidRPr="00985996">
        <w:t>Bel and the Dragon.</w:t>
      </w:r>
      <w:r w:rsidR="00FE2133">
        <w:t>”</w:t>
      </w:r>
      <w:r w:rsidRPr="00985996">
        <w:t xml:space="preserve"> In Papyrus 967 it is found after </w:t>
      </w:r>
      <w:r w:rsidR="00FE2133">
        <w:t>“</w:t>
      </w:r>
      <w:r w:rsidRPr="00985996">
        <w:t>Bel and the Dragon.</w:t>
      </w:r>
      <w:r w:rsidR="00FE2133">
        <w:t>”</w:t>
      </w:r>
      <w:r w:rsidRPr="00985996">
        <w:t xml:space="preserve"> </w:t>
      </w:r>
      <w:r>
        <w:t>On its location, s</w:t>
      </w:r>
      <w:r w:rsidRPr="00985996">
        <w:t xml:space="preserve">ee: Collins, </w:t>
      </w:r>
      <w:r w:rsidRPr="005C5FA6">
        <w:rPr>
          <w:i/>
          <w:iCs/>
        </w:rPr>
        <w:t>Daniel</w:t>
      </w:r>
      <w:r w:rsidRPr="00985996">
        <w:t>, p.</w:t>
      </w:r>
      <w:r w:rsidR="00AB0264">
        <w:t xml:space="preserve"> </w:t>
      </w:r>
      <w:r w:rsidRPr="00985996">
        <w:t>426.</w:t>
      </w:r>
      <w:r>
        <w:t xml:space="preserve"> </w:t>
      </w:r>
    </w:p>
  </w:footnote>
  <w:footnote w:id="5">
    <w:p w14:paraId="511FEBF1" w14:textId="768FE2DE" w:rsidR="001E49CA" w:rsidRPr="00623C4C" w:rsidRDefault="001E49CA" w:rsidP="00623295">
      <w:pPr>
        <w:pStyle w:val="FootnoteText"/>
      </w:pPr>
      <w:r w:rsidRPr="00623C4C">
        <w:rPr>
          <w:rStyle w:val="FootnoteReference"/>
          <w:rFonts w:cstheme="majorBidi"/>
          <w:sz w:val="24"/>
          <w:szCs w:val="24"/>
        </w:rPr>
        <w:footnoteRef/>
      </w:r>
      <w:r w:rsidRPr="00623C4C">
        <w:t xml:space="preserve"> Segal, Michael, </w:t>
      </w:r>
      <w:r w:rsidRPr="00623C4C">
        <w:rPr>
          <w:i/>
          <w:iCs/>
        </w:rPr>
        <w:t>Dreams, Riddles, and Visions: Textual, Contextual, and Intertextual Approaches to the Book of Daniel</w:t>
      </w:r>
      <w:r w:rsidRPr="00623C4C">
        <w:t xml:space="preserve"> (BZAW 455; Berlin: De Gruyter, 2016), pp. 94-131; Daniel 5: </w:t>
      </w:r>
      <w:r w:rsidR="00FE2133">
        <w:t>“</w:t>
      </w:r>
      <w:r w:rsidRPr="00623C4C">
        <w:t>Daniel 5</w:t>
      </w:r>
      <w:r w:rsidR="00FE2133">
        <w:t>”</w:t>
      </w:r>
      <w:r w:rsidRPr="00623C4C">
        <w:t xml:space="preserve">; Daniel 6: </w:t>
      </w:r>
      <w:r w:rsidR="00FE2133">
        <w:t>“</w:t>
      </w:r>
      <w:r w:rsidRPr="00623C4C">
        <w:t>Old Greek Version</w:t>
      </w:r>
      <w:r w:rsidR="00FE2133">
        <w:t>”</w:t>
      </w:r>
      <w:r w:rsidRPr="00623C4C">
        <w:t xml:space="preserve">; </w:t>
      </w:r>
      <w:r w:rsidR="00FE2133">
        <w:t>“</w:t>
      </w:r>
      <w:r w:rsidRPr="00623C4C">
        <w:t>Harmonization.</w:t>
      </w:r>
      <w:r w:rsidR="00FE2133">
        <w:t>”</w:t>
      </w:r>
    </w:p>
  </w:footnote>
  <w:footnote w:id="6">
    <w:p w14:paraId="7A85EE66" w14:textId="35BCCE17" w:rsidR="001E49CA" w:rsidRDefault="001E49CA" w:rsidP="00623295">
      <w:pPr>
        <w:pStyle w:val="FootnoteText"/>
      </w:pPr>
      <w:r>
        <w:rPr>
          <w:rStyle w:val="FootnoteReference"/>
        </w:rPr>
        <w:footnoteRef/>
      </w:r>
      <w:r>
        <w:t xml:space="preserve"> </w:t>
      </w:r>
      <w:r w:rsidRPr="00623C4C">
        <w:t xml:space="preserve">Segal, </w:t>
      </w:r>
      <w:r w:rsidRPr="00623C4C">
        <w:rPr>
          <w:i/>
          <w:iCs/>
        </w:rPr>
        <w:t>Dreams</w:t>
      </w:r>
      <w:r w:rsidRPr="00623C4C">
        <w:t xml:space="preserve">, p.180-199; Michael Segal, </w:t>
      </w:r>
      <w:r w:rsidR="00FE2133">
        <w:t>“</w:t>
      </w:r>
      <w:r w:rsidR="008E4E8B">
        <w:t>‘</w:t>
      </w:r>
      <w:r w:rsidRPr="00623C4C">
        <w:t>For From Zion Shall Come Forth Torah...</w:t>
      </w:r>
      <w:r w:rsidR="008E4E8B">
        <w:t>‘</w:t>
      </w:r>
      <w:r w:rsidRPr="00623C4C">
        <w:t xml:space="preserve"> (Isaiah 2:3): Biblical Paraphrase and the Exegetical Background of Susanna,</w:t>
      </w:r>
      <w:r w:rsidR="00FE2133">
        <w:t>”</w:t>
      </w:r>
      <w:r w:rsidRPr="00623C4C">
        <w:t xml:space="preserve"> in </w:t>
      </w:r>
      <w:r w:rsidRPr="00623C4C">
        <w:rPr>
          <w:i/>
          <w:iCs/>
        </w:rPr>
        <w:t>New Approaches to the Study of Biblical Interpretation in Judaism of the Second Temple Period and in Early Christianity: Proceedings of the Eleventh International Symposium of the Orion Center</w:t>
      </w:r>
      <w:r w:rsidRPr="00623C4C">
        <w:t xml:space="preserve"> (eds. G. Anderson, D. Satran, and R. Clements; Leiden: Brill, 2013), 21-39</w:t>
      </w:r>
    </w:p>
  </w:footnote>
  <w:footnote w:id="7">
    <w:p w14:paraId="5AB3659A" w14:textId="21EF3199" w:rsidR="001E49CA" w:rsidRPr="00D510F5" w:rsidRDefault="001E49CA" w:rsidP="00623295">
      <w:pPr>
        <w:pStyle w:val="FootnoteText"/>
      </w:pPr>
      <w:r>
        <w:rPr>
          <w:rStyle w:val="FootnoteReference"/>
        </w:rPr>
        <w:footnoteRef/>
      </w:r>
      <w:r>
        <w:t xml:space="preserve"> Expressing himself delicately, Collins </w:t>
      </w:r>
      <w:r w:rsidR="00FE2133">
        <w:t>claims</w:t>
      </w:r>
      <w:r>
        <w:t xml:space="preserve"> that the prologue </w:t>
      </w:r>
      <w:r w:rsidR="00FE2133">
        <w:t>appears to be</w:t>
      </w:r>
      <w:r>
        <w:t xml:space="preserve"> external to the story </w:t>
      </w:r>
      <w:r w:rsidRPr="00D4219A">
        <w:t>(</w:t>
      </w:r>
      <w:r w:rsidRPr="008740A4">
        <w:t>John J., Daniel</w:t>
      </w:r>
      <w:r>
        <w:t xml:space="preserve"> Collins, </w:t>
      </w:r>
      <w:r w:rsidRPr="00623C4C">
        <w:rPr>
          <w:i/>
          <w:iCs/>
        </w:rPr>
        <w:t>A Commentary on the Book of Daniel</w:t>
      </w:r>
      <w:r>
        <w:t xml:space="preserve"> [</w:t>
      </w:r>
      <w:r w:rsidRPr="00623C4C">
        <w:t>Hermene</w:t>
      </w:r>
      <w:r>
        <w:t>ia; Minneapolis: Fortress, 1993]</w:t>
      </w:r>
      <w:r w:rsidRPr="00623C4C">
        <w:t>, p. 435</w:t>
      </w:r>
      <w:r>
        <w:t>)</w:t>
      </w:r>
      <w:r w:rsidRPr="00623C4C">
        <w:t>.</w:t>
      </w:r>
    </w:p>
  </w:footnote>
  <w:footnote w:id="8">
    <w:p w14:paraId="7708FF69" w14:textId="4F7EF603" w:rsidR="001E49CA" w:rsidRPr="00623C4C" w:rsidRDefault="001E49CA" w:rsidP="00623295">
      <w:pPr>
        <w:pStyle w:val="FootnoteText"/>
      </w:pPr>
      <w:r>
        <w:rPr>
          <w:rStyle w:val="FootnoteReference"/>
        </w:rPr>
        <w:footnoteRef/>
      </w:r>
      <w:r>
        <w:t xml:space="preserve"> </w:t>
      </w:r>
      <w:r w:rsidRPr="00623C4C">
        <w:t>Similarly to Moore</w:t>
      </w:r>
      <w:r w:rsidR="008E4E8B">
        <w:t>’</w:t>
      </w:r>
      <w:r w:rsidRPr="00623C4C">
        <w:t>s clai</w:t>
      </w:r>
      <w:r w:rsidR="008E4E8B">
        <w:rPr>
          <w:lang w:bidi="he-IL"/>
        </w:rPr>
        <w:t>m: “Thus</w:t>
      </w:r>
      <w:r w:rsidR="00FE2133">
        <w:rPr>
          <w:rFonts w:hint="cs"/>
          <w:rtl/>
          <w:lang w:bidi="he-IL"/>
        </w:rPr>
        <w:t xml:space="preserve"> </w:t>
      </w:r>
      <w:r w:rsidRPr="00623C4C">
        <w:t xml:space="preserve">Moore, </w:t>
      </w:r>
      <w:r w:rsidRPr="008740A4">
        <w:rPr>
          <w:i/>
          <w:iCs/>
        </w:rPr>
        <w:t>Additions,</w:t>
      </w:r>
      <w:r w:rsidRPr="00623C4C">
        <w:t xml:space="preserve"> 110, claimed that it was omitted due to its undermining of authority</w:t>
      </w:r>
      <w:r w:rsidR="008E4E8B">
        <w:t>”</w:t>
      </w:r>
      <w:r w:rsidRPr="00623C4C">
        <w:t xml:space="preserve"> (p. 109).</w:t>
      </w:r>
    </w:p>
  </w:footnote>
  <w:footnote w:id="9">
    <w:p w14:paraId="2E7E36AB" w14:textId="51066AF8" w:rsidR="001E49CA" w:rsidRPr="00623C4C" w:rsidRDefault="001E49CA" w:rsidP="00623295">
      <w:pPr>
        <w:pStyle w:val="FootnoteText"/>
      </w:pPr>
      <w:r>
        <w:rPr>
          <w:rStyle w:val="FootnoteReference"/>
        </w:rPr>
        <w:footnoteRef/>
      </w:r>
      <w:r>
        <w:t xml:space="preserve"> </w:t>
      </w:r>
      <w:r w:rsidRPr="00623C4C">
        <w:t>Cases of deletion indeed exist, but these are rare and a</w:t>
      </w:r>
      <w:r>
        <w:t>n</w:t>
      </w:r>
      <w:r w:rsidRPr="00623C4C">
        <w:t xml:space="preserve"> explanation </w:t>
      </w:r>
      <w:r>
        <w:t xml:space="preserve">for the deletion would be expected. That it was omitted in a rewriting is difficult to entertain when they do not involve </w:t>
      </w:r>
      <w:r w:rsidRPr="00623C4C">
        <w:t xml:space="preserve">parallel elements in the story. </w:t>
      </w:r>
      <w:r>
        <w:t>In the OG</w:t>
      </w:r>
      <w:r w:rsidR="00FE2133">
        <w:t>,</w:t>
      </w:r>
      <w:r>
        <w:t xml:space="preserve"> Daniel</w:t>
      </w:r>
      <w:r w:rsidR="008E4E8B">
        <w:t>’</w:t>
      </w:r>
      <w:r>
        <w:t>s statement appears after he has asked that the two elders be separated and investigated separately. In the Theodotion (vv. 49-50)</w:t>
      </w:r>
      <w:r w:rsidR="00FE2133">
        <w:t>,</w:t>
      </w:r>
      <w:r>
        <w:t xml:space="preserve"> Daniel urges a return to court </w:t>
      </w:r>
      <w:r w:rsidR="00FE2133">
        <w:t>“</w:t>
      </w:r>
      <w:r>
        <w:t>for these men have testified lies against her</w:t>
      </w:r>
      <w:r w:rsidR="00FE2133">
        <w:t>”</w:t>
      </w:r>
      <w:r>
        <w:t xml:space="preserve"> and at the court</w:t>
      </w:r>
      <w:r w:rsidR="00FE2133">
        <w:t>,</w:t>
      </w:r>
      <w:r>
        <w:t xml:space="preserve"> the elders are separated from one another and examined by Daniel. </w:t>
      </w:r>
    </w:p>
  </w:footnote>
  <w:footnote w:id="10">
    <w:p w14:paraId="31E4FFDD" w14:textId="4851BD04" w:rsidR="001E49CA" w:rsidRPr="00623C4C" w:rsidRDefault="001E49CA" w:rsidP="00623295">
      <w:pPr>
        <w:pStyle w:val="FootnoteText"/>
      </w:pPr>
      <w:r w:rsidRPr="00623C4C">
        <w:rPr>
          <w:rStyle w:val="FootnoteReference"/>
          <w:rFonts w:cstheme="majorBidi"/>
          <w:sz w:val="24"/>
          <w:szCs w:val="24"/>
        </w:rPr>
        <w:footnoteRef/>
      </w:r>
      <w:r w:rsidR="008E4E8B">
        <w:t xml:space="preserve"> </w:t>
      </w:r>
      <w:r>
        <w:t>On vv</w:t>
      </w:r>
      <w:r w:rsidR="008E4E8B">
        <w:t>.</w:t>
      </w:r>
      <w:r>
        <w:t xml:space="preserve"> 63-64 as an editorial addition, s</w:t>
      </w:r>
      <w:r w:rsidRPr="00623C4C">
        <w:t xml:space="preserve">ee: Segal, </w:t>
      </w:r>
      <w:r w:rsidR="00FE2133">
        <w:t>“</w:t>
      </w:r>
      <w:r w:rsidR="008E4E8B">
        <w:t>‘</w:t>
      </w:r>
      <w:r w:rsidRPr="00623C4C">
        <w:t>For From Zion</w:t>
      </w:r>
      <w:r w:rsidR="008E4E8B">
        <w:t>,’</w:t>
      </w:r>
      <w:r w:rsidR="00FE2133">
        <w:t>”</w:t>
      </w:r>
      <w:r w:rsidRPr="00623C4C">
        <w:t xml:space="preserve"> 37, n. 34; </w:t>
      </w:r>
      <w:r w:rsidRPr="008740A4">
        <w:rPr>
          <w:i/>
          <w:iCs/>
        </w:rPr>
        <w:t>Dreams</w:t>
      </w:r>
      <w:r w:rsidRPr="00623C4C">
        <w:t>, 197, n. 36.</w:t>
      </w:r>
    </w:p>
  </w:footnote>
  <w:footnote w:id="11">
    <w:p w14:paraId="6DA37F4A" w14:textId="7430C486" w:rsidR="001E49CA" w:rsidRDefault="001E49CA" w:rsidP="00623295">
      <w:pPr>
        <w:pStyle w:val="FootnoteText"/>
      </w:pPr>
      <w:r>
        <w:rPr>
          <w:rStyle w:val="FootnoteReference"/>
        </w:rPr>
        <w:footnoteRef/>
      </w:r>
      <w:r>
        <w:t xml:space="preserve"> </w:t>
      </w:r>
      <w:r w:rsidRPr="00623C4C">
        <w:t>Collins argues that both the OG and Theod versions underwent an editing process that highlighted the</w:t>
      </w:r>
      <w:r>
        <w:t xml:space="preserve"> differences between them. Whereas</w:t>
      </w:r>
      <w:r w:rsidRPr="00623C4C">
        <w:t xml:space="preserve"> </w:t>
      </w:r>
      <w:r>
        <w:t xml:space="preserve">the </w:t>
      </w:r>
      <w:r w:rsidRPr="00623C4C">
        <w:t>Theodotion</w:t>
      </w:r>
      <w:r w:rsidR="008E4E8B">
        <w:t>‘</w:t>
      </w:r>
      <w:r w:rsidRPr="00623C4C">
        <w:t>s editing emphasizes Susanna</w:t>
      </w:r>
      <w:r w:rsidR="008E4E8B">
        <w:t>‘</w:t>
      </w:r>
      <w:r w:rsidRPr="00623C4C">
        <w:t>s place and status, the OG</w:t>
      </w:r>
      <w:r w:rsidR="008E4E8B">
        <w:t>‘</w:t>
      </w:r>
      <w:r w:rsidRPr="00623C4C">
        <w:t>s editing emphasizes the tension between the elders and the young. Collins, Daniel, p. 427.</w:t>
      </w:r>
    </w:p>
  </w:footnote>
  <w:footnote w:id="12">
    <w:p w14:paraId="2146A668" w14:textId="3E7E91F8" w:rsidR="001E49CA" w:rsidRDefault="001E49CA" w:rsidP="00623295">
      <w:pPr>
        <w:pStyle w:val="FootnoteText"/>
      </w:pPr>
      <w:r>
        <w:rPr>
          <w:rStyle w:val="FootnoteReference"/>
        </w:rPr>
        <w:footnoteRef/>
      </w:r>
      <w:r>
        <w:t xml:space="preserve"> </w:t>
      </w:r>
      <w:r w:rsidRPr="008740A4">
        <w:t xml:space="preserve">Alexander Rofe, </w:t>
      </w:r>
      <w:r w:rsidRPr="008740A4">
        <w:rPr>
          <w:i/>
          <w:iCs/>
        </w:rPr>
        <w:t>Introduction to the Historical Literature in the Bible</w:t>
      </w:r>
      <w:r w:rsidRPr="008740A4">
        <w:t>, Jerusalem 2001, pp. 85-89. See: Damascus Covenant V</w:t>
      </w:r>
      <w:r w:rsidRPr="005F34F8">
        <w:t xml:space="preserve">II 7-10. See: M. Broshi (ed.), </w:t>
      </w:r>
      <w:r w:rsidRPr="008740A4">
        <w:rPr>
          <w:i/>
          <w:iCs/>
        </w:rPr>
        <w:t>The Damascus Document Reconsidered,</w:t>
      </w:r>
      <w:r w:rsidRPr="008740A4">
        <w:t xml:space="preserve"> Jerusalem 1992, pp. 28-29</w:t>
      </w:r>
    </w:p>
  </w:footnote>
  <w:footnote w:id="13">
    <w:p w14:paraId="3B9F87E4" w14:textId="2DE9E470" w:rsidR="001E49CA" w:rsidRDefault="001E49CA" w:rsidP="00623295">
      <w:pPr>
        <w:pStyle w:val="FootnoteText"/>
      </w:pPr>
      <w:r>
        <w:rPr>
          <w:rStyle w:val="FootnoteReference"/>
        </w:rPr>
        <w:footnoteRef/>
      </w:r>
      <w:r>
        <w:t xml:space="preserve"> </w:t>
      </w:r>
      <w:r w:rsidRPr="008740A4">
        <w:t>Rofe, p. 87.</w:t>
      </w:r>
    </w:p>
  </w:footnote>
  <w:footnote w:id="14">
    <w:p w14:paraId="064574F1" w14:textId="711A6579" w:rsidR="001E49CA" w:rsidRPr="008740A4" w:rsidRDefault="001E49CA" w:rsidP="00623295">
      <w:pPr>
        <w:pStyle w:val="FootnoteText"/>
      </w:pPr>
      <w:r>
        <w:rPr>
          <w:rStyle w:val="FootnoteReference"/>
        </w:rPr>
        <w:footnoteRef/>
      </w:r>
      <w:r>
        <w:t xml:space="preserve"> </w:t>
      </w:r>
      <w:r w:rsidRPr="008740A4">
        <w:t>Daniel</w:t>
      </w:r>
      <w:r w:rsidR="008E4E8B">
        <w:t>‘</w:t>
      </w:r>
      <w:r w:rsidRPr="008740A4">
        <w:t xml:space="preserve">s prayer specifically links to the Theodotion version: </w:t>
      </w:r>
      <w:r w:rsidR="00FE2133">
        <w:t>“</w:t>
      </w:r>
      <w:r w:rsidRPr="008740A4">
        <w:t>He re</w:t>
      </w:r>
      <w:r w:rsidRPr="00D4219A">
        <w:t xml:space="preserve">veals deep and </w:t>
      </w:r>
      <w:r w:rsidRPr="008740A4">
        <w:rPr>
          <w:i/>
          <w:iCs/>
        </w:rPr>
        <w:t xml:space="preserve">hidden </w:t>
      </w:r>
      <w:r w:rsidRPr="00D4219A">
        <w:t>things; He</w:t>
      </w:r>
      <w:r w:rsidRPr="008740A4">
        <w:t xml:space="preserve"> </w:t>
      </w:r>
      <w:r w:rsidRPr="008740A4">
        <w:rPr>
          <w:i/>
          <w:iCs/>
        </w:rPr>
        <w:t>knows</w:t>
      </w:r>
      <w:r w:rsidRPr="008740A4">
        <w:t xml:space="preserve"> what lies in darkness (an</w:t>
      </w:r>
      <w:r w:rsidRPr="00D4219A">
        <w:t>d light) and light dwells with H</w:t>
      </w:r>
      <w:r w:rsidRPr="008740A4">
        <w:t>im</w:t>
      </w:r>
      <w:r w:rsidR="00FE2133">
        <w:t>”</w:t>
      </w:r>
      <w:r w:rsidRPr="008740A4">
        <w:t xml:space="preserve"> (Daniel 2:22). In Theodotion</w:t>
      </w:r>
      <w:r w:rsidR="008E4E8B">
        <w:t>‘</w:t>
      </w:r>
      <w:r w:rsidRPr="008740A4">
        <w:t>s version</w:t>
      </w:r>
      <w:r w:rsidRPr="00D4219A">
        <w:t xml:space="preserve"> of Susanna</w:t>
      </w:r>
      <w:r w:rsidR="008E4E8B">
        <w:t>’</w:t>
      </w:r>
      <w:r w:rsidRPr="00D4219A">
        <w:t>s prayer</w:t>
      </w:r>
      <w:r w:rsidRPr="008740A4">
        <w:t xml:space="preserve">: </w:t>
      </w:r>
      <w:r w:rsidR="00FE2133">
        <w:t>“</w:t>
      </w:r>
      <w:r w:rsidRPr="008740A4">
        <w:t xml:space="preserve">God of the world </w:t>
      </w:r>
      <w:r w:rsidRPr="008740A4">
        <w:rPr>
          <w:i/>
          <w:iCs/>
        </w:rPr>
        <w:t xml:space="preserve">knows </w:t>
      </w:r>
      <w:r w:rsidRPr="008740A4">
        <w:t xml:space="preserve">the </w:t>
      </w:r>
      <w:r w:rsidRPr="008740A4">
        <w:rPr>
          <w:i/>
          <w:iCs/>
        </w:rPr>
        <w:t>hidden</w:t>
      </w:r>
      <w:r w:rsidRPr="008740A4">
        <w:t xml:space="preserve">, </w:t>
      </w:r>
      <w:r w:rsidRPr="008740A4">
        <w:rPr>
          <w:i/>
          <w:iCs/>
        </w:rPr>
        <w:t>knows</w:t>
      </w:r>
      <w:r w:rsidRPr="008740A4">
        <w:t xml:space="preserve"> all before it happens</w:t>
      </w:r>
      <w:r w:rsidRPr="00D4219A">
        <w:t>.</w:t>
      </w:r>
      <w:r w:rsidR="00FE2133">
        <w:t>”</w:t>
      </w:r>
      <w:r w:rsidRPr="00D4219A">
        <w:t xml:space="preserve"> In </w:t>
      </w:r>
      <w:r w:rsidRPr="008740A4">
        <w:t xml:space="preserve">the </w:t>
      </w:r>
      <w:r w:rsidRPr="00D4219A">
        <w:t xml:space="preserve">OG shorter </w:t>
      </w:r>
      <w:r w:rsidRPr="008740A4">
        <w:t>version</w:t>
      </w:r>
      <w:r w:rsidRPr="00D4219A">
        <w:t xml:space="preserve"> we find: </w:t>
      </w:r>
      <w:r w:rsidR="00FE2133">
        <w:t>“</w:t>
      </w:r>
      <w:r w:rsidRPr="00D4219A">
        <w:t>Lord, God of the world, W</w:t>
      </w:r>
      <w:r w:rsidRPr="008740A4">
        <w:t xml:space="preserve">ho </w:t>
      </w:r>
      <w:r w:rsidRPr="008740A4">
        <w:rPr>
          <w:i/>
          <w:iCs/>
        </w:rPr>
        <w:t>knows</w:t>
      </w:r>
      <w:r w:rsidRPr="008740A4">
        <w:t xml:space="preserve"> everything before it happens.</w:t>
      </w:r>
      <w:r w:rsidR="00FE2133">
        <w:t>”</w:t>
      </w:r>
    </w:p>
  </w:footnote>
  <w:footnote w:id="15">
    <w:p w14:paraId="5661CCB4" w14:textId="6981C69B" w:rsidR="001E49CA" w:rsidRDefault="001E49CA" w:rsidP="00623295">
      <w:pPr>
        <w:pStyle w:val="FootnoteText"/>
      </w:pPr>
      <w:r>
        <w:rPr>
          <w:rStyle w:val="FootnoteReference"/>
        </w:rPr>
        <w:footnoteRef/>
      </w:r>
      <w:r>
        <w:t xml:space="preserve"> </w:t>
      </w:r>
      <w:r w:rsidRPr="00623C4C">
        <w:t>Rofe argues that the OG was expanded here under the influence of Theodotion</w:t>
      </w:r>
      <w:r w:rsidR="008E4E8B">
        <w:t>‘</w:t>
      </w:r>
      <w:r w:rsidRPr="00623C4C">
        <w:t xml:space="preserve">s version, and that the phenomenon is termed </w:t>
      </w:r>
      <w:r w:rsidR="00FE2133">
        <w:t>“</w:t>
      </w:r>
      <w:r w:rsidRPr="00623C4C">
        <w:t>contamination</w:t>
      </w:r>
      <w:r w:rsidR="00FE2133">
        <w:t>”</w:t>
      </w:r>
      <w:r w:rsidRPr="00623C4C">
        <w:t xml:space="preserve"> (Rofe, </w:t>
      </w:r>
      <w:r w:rsidRPr="00623C4C">
        <w:rPr>
          <w:i/>
          <w:iCs/>
        </w:rPr>
        <w:t>Introduction</w:t>
      </w:r>
      <w:r w:rsidRPr="00623C4C">
        <w:t>, p. 87).</w:t>
      </w:r>
    </w:p>
  </w:footnote>
  <w:footnote w:id="16">
    <w:p w14:paraId="0B9E506B" w14:textId="12559ECA" w:rsidR="001E49CA" w:rsidRDefault="001E49CA" w:rsidP="00623295">
      <w:pPr>
        <w:pStyle w:val="FootnoteText"/>
      </w:pPr>
      <w:r>
        <w:rPr>
          <w:rStyle w:val="FootnoteReference"/>
        </w:rPr>
        <w:footnoteRef/>
      </w:r>
      <w:r>
        <w:t xml:space="preserve"> </w:t>
      </w:r>
      <w:r w:rsidRPr="000C7E73">
        <w:t>Segal, p...</w:t>
      </w:r>
    </w:p>
  </w:footnote>
  <w:footnote w:id="17">
    <w:p w14:paraId="5A58CE7C" w14:textId="7E52DE5D" w:rsidR="001E49CA" w:rsidRDefault="001E49CA" w:rsidP="00623295">
      <w:pPr>
        <w:pStyle w:val="FootnoteText"/>
      </w:pPr>
      <w:r>
        <w:rPr>
          <w:rStyle w:val="FootnoteReference"/>
        </w:rPr>
        <w:footnoteRef/>
      </w:r>
      <w:r>
        <w:t xml:space="preserve"> </w:t>
      </w:r>
      <w:r w:rsidRPr="000C7E73">
        <w:t>The new introduction and conclusion indicate the transformation of Susanna as a character, from a tool in the conflict between Daniel and the elders in the OG, to a full-fledged heroine whose righteousness is praised.</w:t>
      </w:r>
    </w:p>
  </w:footnote>
  <w:footnote w:id="18">
    <w:p w14:paraId="739F6EE4" w14:textId="7400AF76" w:rsidR="001E49CA" w:rsidRDefault="001E49CA" w:rsidP="00623295">
      <w:pPr>
        <w:pStyle w:val="FootnoteText"/>
      </w:pPr>
      <w:r>
        <w:rPr>
          <w:rStyle w:val="FootnoteReference"/>
        </w:rPr>
        <w:footnoteRef/>
      </w:r>
      <w:r>
        <w:t xml:space="preserve"> </w:t>
      </w:r>
      <w:r w:rsidRPr="000C7E73">
        <w:t xml:space="preserve">Moore, Carey A., </w:t>
      </w:r>
      <w:r w:rsidRPr="008740A4">
        <w:t>Daniel, Esther, and Jeremiah: The Additions. A New Translation with Introduction and Commentary</w:t>
      </w:r>
      <w:r w:rsidRPr="000C7E73">
        <w:t xml:space="preserve"> (AB 44; Garden City: Doubleday, 1977). p. 115.</w:t>
      </w:r>
    </w:p>
  </w:footnote>
  <w:footnote w:id="19">
    <w:p w14:paraId="5BEA3C91" w14:textId="122583C9" w:rsidR="001E49CA" w:rsidRPr="00F10CEA" w:rsidRDefault="001E49CA" w:rsidP="00623295">
      <w:pPr>
        <w:pStyle w:val="FootnoteText"/>
      </w:pPr>
      <w:r>
        <w:rPr>
          <w:rStyle w:val="FootnoteReference"/>
        </w:rPr>
        <w:footnoteRef/>
      </w:r>
      <w:r>
        <w:t xml:space="preserve"> </w:t>
      </w:r>
      <w:r w:rsidRPr="000C7E73">
        <w:t xml:space="preserve">For Africanus, this question was related to the original language of the text. </w:t>
      </w:r>
      <w:r w:rsidR="00FE2133">
        <w:t>“</w:t>
      </w:r>
      <w:r w:rsidRPr="000C7E73">
        <w:t>The mime Philistion</w:t>
      </w:r>
      <w:r w:rsidR="00FE2133">
        <w:t>”</w:t>
      </w:r>
      <w:r w:rsidRPr="000C7E73">
        <w:t xml:space="preserve"> (contemporary of Augustus), </w:t>
      </w:r>
      <w:r w:rsidRPr="008740A4">
        <w:rPr>
          <w:i/>
          <w:iCs/>
        </w:rPr>
        <w:t>Letter from Africanus to Origen</w:t>
      </w:r>
      <w:r w:rsidRPr="000C7E73">
        <w:t xml:space="preserve"> § 4, p 516, l. 16 and </w:t>
      </w:r>
      <w:r w:rsidRPr="008740A4">
        <w:rPr>
          <w:i/>
          <w:iCs/>
        </w:rPr>
        <w:t>Origen, Letter to Africanus</w:t>
      </w:r>
      <w:r w:rsidRPr="000C7E73">
        <w:t>, 3, 2, p 524, l. 9.</w:t>
      </w:r>
      <w:r>
        <w:t xml:space="preserve"> </w:t>
      </w:r>
      <w:r>
        <w:tab/>
      </w:r>
    </w:p>
  </w:footnote>
  <w:footnote w:id="20">
    <w:p w14:paraId="3E2BD005" w14:textId="0AC710BE" w:rsidR="001E49CA" w:rsidRPr="000314BC" w:rsidRDefault="001E49CA" w:rsidP="00623295">
      <w:pPr>
        <w:pStyle w:val="FootnoteText"/>
      </w:pPr>
      <w:r>
        <w:rPr>
          <w:rStyle w:val="FootnoteReference"/>
        </w:rPr>
        <w:footnoteRef/>
      </w:r>
      <w:r>
        <w:t xml:space="preserve"> </w:t>
      </w:r>
      <w:r w:rsidRPr="000314BC">
        <w:t>G</w:t>
      </w:r>
      <w:r w:rsidR="008E4E8B">
        <w:t>e</w:t>
      </w:r>
      <w:r w:rsidRPr="000314BC">
        <w:t xml:space="preserve">deon Huet, </w:t>
      </w:r>
      <w:r w:rsidR="00FE2133">
        <w:t>“</w:t>
      </w:r>
      <w:r w:rsidRPr="000314BC">
        <w:t>Daniel and Susanna: Note on comparative literature</w:t>
      </w:r>
      <w:r w:rsidR="00FE2133">
        <w:t>”</w:t>
      </w:r>
      <w:r w:rsidRPr="000314BC">
        <w:t>, RHR65 (1912), pp. 277-284: 76 (1917) 129-130</w:t>
      </w:r>
      <w:r>
        <w:t>.</w:t>
      </w:r>
    </w:p>
  </w:footnote>
  <w:footnote w:id="21">
    <w:p w14:paraId="57E1D832" w14:textId="74CF341D" w:rsidR="001E49CA" w:rsidRPr="000314BC" w:rsidRDefault="001E49CA" w:rsidP="00623295">
      <w:pPr>
        <w:pStyle w:val="FootnoteText"/>
      </w:pPr>
      <w:r w:rsidRPr="000314BC">
        <w:rPr>
          <w:rStyle w:val="FootnoteReference"/>
          <w:sz w:val="24"/>
          <w:szCs w:val="24"/>
        </w:rPr>
        <w:footnoteRef/>
      </w:r>
      <w:r w:rsidRPr="000314BC">
        <w:t xml:space="preserve"> R. A. F. McKenzie, </w:t>
      </w:r>
      <w:r w:rsidR="00FE2133">
        <w:t>“</w:t>
      </w:r>
      <w:r w:rsidRPr="000314BC">
        <w:t>The Meaning of the Susanna Story,</w:t>
      </w:r>
      <w:r w:rsidR="00FE2133">
        <w:t>”</w:t>
      </w:r>
      <w:r w:rsidRPr="000314BC">
        <w:t xml:space="preserve"> CJT 3 (1957), pp. 211-218.</w:t>
      </w:r>
    </w:p>
  </w:footnote>
  <w:footnote w:id="22">
    <w:p w14:paraId="58E1443C" w14:textId="4D1267F8" w:rsidR="001E49CA" w:rsidRDefault="001E49CA" w:rsidP="00623295">
      <w:pPr>
        <w:pStyle w:val="FootnoteText"/>
      </w:pPr>
      <w:r>
        <w:rPr>
          <w:rStyle w:val="FootnoteReference"/>
        </w:rPr>
        <w:footnoteRef/>
      </w:r>
      <w:r w:rsidR="008E4E8B">
        <w:t xml:space="preserve"> Following his dispute with Afrincanus, </w:t>
      </w:r>
      <w:r w:rsidR="008E4E8B" w:rsidRPr="00532576">
        <w:t>Origen</w:t>
      </w:r>
      <w:r w:rsidR="008E4E8B">
        <w:t xml:space="preserve"> (3</w:t>
      </w:r>
      <w:r w:rsidR="008E4E8B" w:rsidRPr="008740A4">
        <w:rPr>
          <w:vertAlign w:val="superscript"/>
        </w:rPr>
        <w:t>rd</w:t>
      </w:r>
      <w:r w:rsidR="008E4E8B">
        <w:t xml:space="preserve"> century CE Church Father) inquired of the Jews what they knew of the story. He </w:t>
      </w:r>
      <w:r>
        <w:t xml:space="preserve">claimed that a Jewish sage </w:t>
      </w:r>
      <w:r w:rsidRPr="000C7E73">
        <w:t xml:space="preserve">told him that </w:t>
      </w:r>
      <w:r>
        <w:t xml:space="preserve">the elders were </w:t>
      </w:r>
      <w:r w:rsidRPr="000C7E73">
        <w:t>Ahab son of Kolaiah and Zedekiah son of Maaseiah</w:t>
      </w:r>
      <w:r>
        <w:t>, i.e, the false prophets of Jer 29:21-23 (</w:t>
      </w:r>
      <w:r w:rsidRPr="000C7E73">
        <w:t>Origen, Letter to Africanus §7-8</w:t>
      </w:r>
      <w:r>
        <w:t>)</w:t>
      </w:r>
      <w:r w:rsidRPr="000C7E73">
        <w:t>.</w:t>
      </w:r>
      <w:r>
        <w:t xml:space="preserve"> </w:t>
      </w:r>
      <w:r w:rsidR="008E4E8B">
        <w:t>There are in fact scholars who believe that the Susanna story is inspired by Jer. 29:21-23 wherein t</w:t>
      </w:r>
      <w:r>
        <w:t>hese false prophets seduced married women and were subsequently executed by Nebuchadnezzar</w:t>
      </w:r>
      <w:r w:rsidR="008E4E8B">
        <w:t xml:space="preserve">. </w:t>
      </w:r>
      <w:r w:rsidR="008E4E8B" w:rsidRPr="00C12B0B">
        <w:t xml:space="preserve">See: Moore, Carey A., </w:t>
      </w:r>
      <w:r w:rsidR="008E4E8B" w:rsidRPr="00A81097">
        <w:rPr>
          <w:i/>
          <w:iCs/>
        </w:rPr>
        <w:t>Daniel, Esther, and Jeremiah: The Additions.</w:t>
      </w:r>
      <w:r w:rsidR="008E4E8B" w:rsidRPr="00C12B0B">
        <w:t xml:space="preserve"> </w:t>
      </w:r>
      <w:r w:rsidR="008E4E8B" w:rsidRPr="00A81097">
        <w:rPr>
          <w:i/>
          <w:iCs/>
        </w:rPr>
        <w:t>A New Translation with Introduction and Commentary</w:t>
      </w:r>
      <w:r w:rsidR="008E4E8B" w:rsidRPr="00C12B0B">
        <w:t xml:space="preserve"> (AB 44; Garden City: Doubleday, 1977). p. 96</w:t>
      </w:r>
      <w:r w:rsidR="008E4E8B">
        <w:t xml:space="preserve">. </w:t>
      </w:r>
      <w:r w:rsidRPr="000C7E73">
        <w:t>In the Babylonian Talmud</w:t>
      </w:r>
      <w:r w:rsidR="008E4E8B">
        <w:t xml:space="preserve"> (</w:t>
      </w:r>
      <w:r w:rsidRPr="000C7E73">
        <w:t>Sanhedrin 93a</w:t>
      </w:r>
      <w:r w:rsidR="008E4E8B">
        <w:t>)</w:t>
      </w:r>
      <w:r w:rsidRPr="000C7E73">
        <w:t xml:space="preserve"> there is a </w:t>
      </w:r>
      <w:r w:rsidR="008E4E8B">
        <w:t>fascinating reworking of the story of Susanna wh</w:t>
      </w:r>
      <w:r>
        <w:t xml:space="preserve">ere </w:t>
      </w:r>
      <w:r w:rsidRPr="000C7E73">
        <w:t>the assailants are Ahab son of Kolaiah and Ze</w:t>
      </w:r>
      <w:r>
        <w:t>dekiah son of Maaseiah, but there the intended victim is Nebuchadnezzar</w:t>
      </w:r>
      <w:r w:rsidR="008E4E8B">
        <w:t>’</w:t>
      </w:r>
      <w:r>
        <w:t>s daughter.</w:t>
      </w:r>
      <w:r w:rsidRPr="00C12B0B">
        <w:t xml:space="preserve"> </w:t>
      </w:r>
    </w:p>
  </w:footnote>
  <w:footnote w:id="23">
    <w:p w14:paraId="7AA4E506" w14:textId="0E021B62" w:rsidR="001E49CA" w:rsidRDefault="001E49CA" w:rsidP="00623295">
      <w:pPr>
        <w:pStyle w:val="FootnoteText"/>
      </w:pPr>
      <w:r>
        <w:rPr>
          <w:rStyle w:val="FootnoteReference"/>
        </w:rPr>
        <w:footnoteRef/>
      </w:r>
      <w:r>
        <w:t xml:space="preserve"> </w:t>
      </w:r>
      <w:r w:rsidRPr="00532576">
        <w:t xml:space="preserve">Lawrence Wills, </w:t>
      </w:r>
      <w:r w:rsidR="00FE2133">
        <w:t>“</w:t>
      </w:r>
      <w:r w:rsidRPr="00532576">
        <w:t>The Form of the Sermon in Hellenistic Judaism and Early Christianity,</w:t>
      </w:r>
      <w:r w:rsidR="00FE2133">
        <w:t>”</w:t>
      </w:r>
      <w:r w:rsidRPr="00532576">
        <w:t xml:space="preserve"> HTR 77, 3-4 [1984]: 277-299, at pp. 293-294; Lawrence M. </w:t>
      </w:r>
      <w:r w:rsidR="00D362F9" w:rsidRPr="00532576">
        <w:t xml:space="preserve">Wills </w:t>
      </w:r>
      <w:r w:rsidRPr="008740A4">
        <w:rPr>
          <w:i/>
          <w:iCs/>
        </w:rPr>
        <w:t>The Jew in the Court of the Foreign King: Ancient Jewish Court Legends</w:t>
      </w:r>
      <w:r w:rsidRPr="00532576">
        <w:t xml:space="preserve"> (HDR 26; Minneapolis: Fortress, 1990), p. 293-294.</w:t>
      </w:r>
    </w:p>
  </w:footnote>
  <w:footnote w:id="24">
    <w:p w14:paraId="2FAC2490" w14:textId="3861CE65" w:rsidR="001E49CA" w:rsidRDefault="001E49CA" w:rsidP="00623295">
      <w:pPr>
        <w:pStyle w:val="FootnoteText"/>
      </w:pPr>
      <w:r>
        <w:rPr>
          <w:rStyle w:val="FootnoteReference"/>
        </w:rPr>
        <w:footnoteRef/>
      </w:r>
      <w:r>
        <w:t xml:space="preserve"> </w:t>
      </w:r>
      <w:r w:rsidRPr="00532576">
        <w:t xml:space="preserve">W. L. Humphreys, </w:t>
      </w:r>
      <w:r w:rsidR="00FE2133">
        <w:t>“</w:t>
      </w:r>
      <w:r w:rsidRPr="00532576">
        <w:t>Life Style for Diaspora: A Study of the Tales of Esther and Daniel</w:t>
      </w:r>
      <w:r w:rsidR="00FE2133">
        <w:t>”</w:t>
      </w:r>
      <w:r w:rsidRPr="00532576">
        <w:t>, JBL 92 (1973), pp. 211-223</w:t>
      </w:r>
      <w:r w:rsidR="00D362F9">
        <w:t>.</w:t>
      </w:r>
    </w:p>
  </w:footnote>
  <w:footnote w:id="25">
    <w:p w14:paraId="66D2C3C9" w14:textId="07F6303A" w:rsidR="001E49CA" w:rsidRDefault="001E49CA" w:rsidP="00623295">
      <w:pPr>
        <w:pStyle w:val="FootnoteText"/>
      </w:pPr>
      <w:r>
        <w:rPr>
          <w:rStyle w:val="FootnoteReference"/>
        </w:rPr>
        <w:footnoteRef/>
      </w:r>
      <w:r>
        <w:t xml:space="preserve"> </w:t>
      </w:r>
      <w:r w:rsidRPr="00532576">
        <w:t>N. Golan, The Daniel Narratives: A Literary Analysis of Daniel 1-6 (Ph.D. Thesis, Bar Ilan University), Ramat Gan 2017</w:t>
      </w:r>
      <w:r w:rsidR="00D362F9">
        <w:t>.</w:t>
      </w:r>
    </w:p>
  </w:footnote>
  <w:footnote w:id="26">
    <w:p w14:paraId="288D18DC" w14:textId="4D3820FE" w:rsidR="001E49CA" w:rsidRDefault="001E49CA" w:rsidP="00623295">
      <w:pPr>
        <w:pStyle w:val="FootnoteText"/>
      </w:pPr>
      <w:r>
        <w:rPr>
          <w:rStyle w:val="FootnoteReference"/>
        </w:rPr>
        <w:footnoteRef/>
      </w:r>
      <w:r>
        <w:t xml:space="preserve"> </w:t>
      </w:r>
      <w:r w:rsidRPr="00532576">
        <w:t>For reasons for this see: Golan, Daniel, pp. 16-14.</w:t>
      </w:r>
    </w:p>
  </w:footnote>
  <w:footnote w:id="27">
    <w:p w14:paraId="200B454D" w14:textId="4A0E19AF" w:rsidR="00D362F9" w:rsidRPr="008740A4" w:rsidRDefault="00D362F9" w:rsidP="00623295">
      <w:pPr>
        <w:pStyle w:val="FootnoteText"/>
      </w:pPr>
      <w:r>
        <w:rPr>
          <w:rStyle w:val="FootnoteReference"/>
        </w:rPr>
        <w:footnoteRef/>
      </w:r>
      <w:r>
        <w:t xml:space="preserve"> </w:t>
      </w:r>
      <w:r w:rsidRPr="00DC5E7C">
        <w:t>Similarly to Collins</w:t>
      </w:r>
      <w:r>
        <w:t>’s</w:t>
      </w:r>
      <w:r w:rsidRPr="00DC5E7C">
        <w:t xml:space="preserve"> claim</w:t>
      </w:r>
      <w:r>
        <w:t>: “</w:t>
      </w:r>
      <w:r w:rsidRPr="00DC5E7C">
        <w:t>The motifs of the innocent young woman in distress and of the wise young judge are central to both versions</w:t>
      </w:r>
      <w:r>
        <w:t xml:space="preserve">” </w:t>
      </w:r>
      <w:r w:rsidRPr="00DC5E7C">
        <w:t xml:space="preserve">(Collins, </w:t>
      </w:r>
      <w:r w:rsidRPr="008740A4">
        <w:rPr>
          <w:i/>
          <w:iCs/>
        </w:rPr>
        <w:t>Daniel</w:t>
      </w:r>
      <w:r w:rsidRPr="00DC5E7C">
        <w:t>. p. 427)</w:t>
      </w:r>
      <w:r>
        <w:t xml:space="preserve">. </w:t>
      </w:r>
      <w:r w:rsidRPr="00DC5E7C">
        <w:t>According to him, despite identifying the differences between Theodotion</w:t>
      </w:r>
      <w:r>
        <w:t>‘</w:t>
      </w:r>
      <w:r w:rsidRPr="00DC5E7C">
        <w:t xml:space="preserve">s version and the OG version, it should be noted that the motif of the young innocent woman in distress and the motif of the young wise judge are both central in the two stories. </w:t>
      </w:r>
    </w:p>
  </w:footnote>
  <w:footnote w:id="28">
    <w:p w14:paraId="78439F86" w14:textId="6E71BCC5" w:rsidR="001E49CA" w:rsidRPr="008740A4" w:rsidRDefault="001E49CA" w:rsidP="00623295">
      <w:pPr>
        <w:pStyle w:val="FootnoteText"/>
      </w:pPr>
      <w:r w:rsidRPr="008740A4">
        <w:rPr>
          <w:rStyle w:val="FootnoteReference"/>
          <w:sz w:val="24"/>
          <w:szCs w:val="24"/>
        </w:rPr>
        <w:footnoteRef/>
      </w:r>
      <w:r w:rsidRPr="008740A4">
        <w:t xml:space="preserve"> </w:t>
      </w:r>
      <w:r w:rsidRPr="008740A4">
        <w:rPr>
          <w:highlight w:val="yellow"/>
        </w:rPr>
        <w:t>To add reference</w:t>
      </w:r>
      <w:r w:rsidR="00D362F9" w:rsidRPr="008740A4">
        <w:rPr>
          <w:highlight w:val="yellow"/>
        </w:rPr>
        <w:t>s</w:t>
      </w:r>
      <w:r w:rsidRPr="008740A4">
        <w:rPr>
          <w:highlight w:val="yellow"/>
        </w:rPr>
        <w:t xml:space="preserve"> to researchers who have found this.</w:t>
      </w:r>
    </w:p>
  </w:footnote>
  <w:footnote w:id="29">
    <w:p w14:paraId="49E83796" w14:textId="24DFDF81" w:rsidR="001E49CA" w:rsidRPr="00DC5E7C" w:rsidRDefault="001E49CA" w:rsidP="00623295">
      <w:pPr>
        <w:pStyle w:val="FootnoteText"/>
      </w:pPr>
      <w:r w:rsidRPr="008740A4">
        <w:rPr>
          <w:rStyle w:val="FootnoteReference"/>
          <w:sz w:val="24"/>
          <w:szCs w:val="24"/>
          <w:highlight w:val="yellow"/>
        </w:rPr>
        <w:footnoteRef/>
      </w:r>
      <w:r w:rsidRPr="008740A4">
        <w:rPr>
          <w:highlight w:val="yellow"/>
        </w:rPr>
        <w:t xml:space="preserve"> Refer to the article by Orit Malka.</w:t>
      </w:r>
    </w:p>
  </w:footnote>
  <w:footnote w:id="30">
    <w:p w14:paraId="02135709" w14:textId="5477D2DD" w:rsidR="001E49CA" w:rsidRPr="008740A4" w:rsidRDefault="001E49CA" w:rsidP="00623295">
      <w:pPr>
        <w:pStyle w:val="FootnoteText"/>
      </w:pPr>
      <w:r w:rsidRPr="008740A4">
        <w:rPr>
          <w:rStyle w:val="FootnoteReference"/>
          <w:sz w:val="24"/>
          <w:szCs w:val="24"/>
        </w:rPr>
        <w:footnoteRef/>
      </w:r>
      <w:r w:rsidRPr="008740A4">
        <w:t xml:space="preserve"> </w:t>
      </w:r>
      <w:r w:rsidRPr="00DC5E7C">
        <w:t>For example, see: Mishnah Sanhedrin 5:1</w:t>
      </w:r>
    </w:p>
  </w:footnote>
  <w:footnote w:id="31">
    <w:p w14:paraId="51279EE7" w14:textId="403F7B7C" w:rsidR="001E49CA" w:rsidRDefault="001E49CA" w:rsidP="00623295">
      <w:pPr>
        <w:pStyle w:val="FootnoteText"/>
      </w:pPr>
      <w:r w:rsidRPr="008740A4">
        <w:rPr>
          <w:rStyle w:val="FootnoteReference"/>
          <w:sz w:val="24"/>
          <w:szCs w:val="24"/>
        </w:rPr>
        <w:footnoteRef/>
      </w:r>
      <w:r w:rsidRPr="008740A4">
        <w:t xml:space="preserve"> </w:t>
      </w:r>
      <w:r w:rsidR="00FE2133">
        <w:t>“</w:t>
      </w:r>
      <w:r w:rsidRPr="00DC5E7C">
        <w:t>The purpose of the story was to secure acceptance of a new method of hearing witnesses, namely, in the absence of one another</w:t>
      </w:r>
      <w:r w:rsidR="00FE2133">
        <w:t>”</w:t>
      </w:r>
      <w:r w:rsidRPr="00DC5E7C">
        <w:t xml:space="preserve"> D. Daube, </w:t>
      </w:r>
      <w:r w:rsidR="00FE2133">
        <w:t>“</w:t>
      </w:r>
      <w:r w:rsidRPr="00DC5E7C">
        <w:t>Texts and interpretation in Roman and Jewish law</w:t>
      </w:r>
      <w:r w:rsidR="00FE2133">
        <w:t>”</w:t>
      </w:r>
      <w:r w:rsidRPr="00DC5E7C">
        <w:t xml:space="preserve">, </w:t>
      </w:r>
      <w:r w:rsidR="008740A4" w:rsidRPr="000A7656">
        <w:rPr>
          <w:i/>
          <w:iCs/>
        </w:rPr>
        <w:t>The Jewish</w:t>
      </w:r>
      <w:r w:rsidRPr="000A7656">
        <w:rPr>
          <w:i/>
          <w:iCs/>
        </w:rPr>
        <w:t xml:space="preserve"> Journal of Sociology</w:t>
      </w:r>
      <w:r w:rsidRPr="00DC5E7C">
        <w:t xml:space="preserve"> 111, (1961) pp. 3-28: 13.</w:t>
      </w:r>
    </w:p>
  </w:footnote>
  <w:footnote w:id="32">
    <w:p w14:paraId="3F67208C" w14:textId="562B7DEB" w:rsidR="001E49CA" w:rsidRDefault="001E49CA" w:rsidP="00623295">
      <w:pPr>
        <w:pStyle w:val="FootnoteText"/>
      </w:pPr>
      <w:r>
        <w:rPr>
          <w:rStyle w:val="FootnoteReference"/>
        </w:rPr>
        <w:footnoteRef/>
      </w:r>
      <w:r>
        <w:t xml:space="preserve"> </w:t>
      </w:r>
      <w:r w:rsidRPr="006D3AD3">
        <w:t xml:space="preserve">Initially, according to the </w:t>
      </w:r>
      <w:r w:rsidR="00D362F9">
        <w:t>R</w:t>
      </w:r>
      <w:r w:rsidRPr="006D3AD3">
        <w:t xml:space="preserve">abbinic view, a process of </w:t>
      </w:r>
      <w:r w:rsidR="00FE2133">
        <w:t>“</w:t>
      </w:r>
      <w:r w:rsidRPr="006D3AD3">
        <w:t>inquiry and investigation</w:t>
      </w:r>
      <w:r w:rsidR="00FE2133">
        <w:t>”</w:t>
      </w:r>
      <w:r w:rsidRPr="006D3AD3">
        <w:t xml:space="preserve"> cannot lead to the punishment of the witnesses. Only a process of warning can lead to this. In addition, contradictions in the details between the versions of the testimonies given by the two witnesses will lead to their testimony not being accepted, but can never lead to their punishment. Furthermore, to reject the testimony, the difference between the two testimonies must be a major difference and not a minor one. For example, in Babylonian Talmud Sanhedrin 41a</w:t>
      </w:r>
      <w:r w:rsidR="00D362F9">
        <w:t xml:space="preserve"> which discusses the case where</w:t>
      </w:r>
      <w:r w:rsidRPr="006D3AD3">
        <w:t xml:space="preserve"> one witness testified that the accused used a sword and another witness testified that the accused used a dagger</w:t>
      </w:r>
      <w:r w:rsidR="00D362F9">
        <w:t>. Under the circumstances,</w:t>
      </w:r>
      <w:r w:rsidRPr="006D3AD3">
        <w:t xml:space="preserve"> the evidence is not acceptable. Conversely, if one witness testified that the accused</w:t>
      </w:r>
      <w:r w:rsidR="008E4E8B">
        <w:t>‘</w:t>
      </w:r>
      <w:r w:rsidRPr="006D3AD3">
        <w:t>s clothes were black and the other witness testified that the accused</w:t>
      </w:r>
      <w:r w:rsidR="008E4E8B">
        <w:t>‘</w:t>
      </w:r>
      <w:r w:rsidRPr="006D3AD3">
        <w:t>s clothes were white, the evidence is acceptable. From this perspective, the elder</w:t>
      </w:r>
      <w:r w:rsidR="008E4E8B">
        <w:t>‘</w:t>
      </w:r>
      <w:r w:rsidRPr="006D3AD3">
        <w:t xml:space="preserve">s testimonies regarding the identity of the tree under which the act was done, can certainly be considered as acceptable testimony. B.S. Jackson, </w:t>
      </w:r>
      <w:r w:rsidR="00FE2133">
        <w:t>“</w:t>
      </w:r>
      <w:r w:rsidRPr="006D3AD3">
        <w:t>Susanna and the singular history of singular witnesses.</w:t>
      </w:r>
      <w:r w:rsidR="00FE2133">
        <w:t>”</w:t>
      </w:r>
      <w:r w:rsidRPr="006D3AD3">
        <w:t xml:space="preserve"> </w:t>
      </w:r>
      <w:r w:rsidRPr="008740A4">
        <w:rPr>
          <w:i/>
          <w:iCs/>
        </w:rPr>
        <w:t>Acta Juridica</w:t>
      </w:r>
      <w:r w:rsidRPr="006D3AD3">
        <w:t xml:space="preserve"> (1977), pp. 37-54: 39.</w:t>
      </w:r>
    </w:p>
  </w:footnote>
  <w:footnote w:id="33">
    <w:p w14:paraId="5ED9DC06" w14:textId="33274F90" w:rsidR="001E49CA" w:rsidRDefault="001E49CA" w:rsidP="00623295">
      <w:pPr>
        <w:pStyle w:val="FootnoteText"/>
      </w:pPr>
      <w:r>
        <w:rPr>
          <w:rStyle w:val="FootnoteReference"/>
        </w:rPr>
        <w:footnoteRef/>
      </w:r>
      <w:r>
        <w:t xml:space="preserve"> The</w:t>
      </w:r>
      <w:r w:rsidR="00337EB3">
        <w:rPr>
          <w:lang w:bidi="he-IL"/>
        </w:rPr>
        <w:t xml:space="preserve"> three instances Malka relates to are the</w:t>
      </w:r>
      <w:r>
        <w:t xml:space="preserve"> testimonial statement </w:t>
      </w:r>
      <w:r w:rsidRPr="006D3AD3">
        <w:t>at the end of the elders</w:t>
      </w:r>
      <w:r w:rsidR="008E4E8B">
        <w:t>‘</w:t>
      </w:r>
      <w:r w:rsidRPr="006D3AD3">
        <w:t xml:space="preserve"> testimony (according to both versions)</w:t>
      </w:r>
      <w:r>
        <w:t>,</w:t>
      </w:r>
      <w:r w:rsidRPr="006D3AD3">
        <w:t xml:space="preserve"> </w:t>
      </w:r>
      <w:r w:rsidR="00FE2133">
        <w:t>“</w:t>
      </w:r>
      <w:r>
        <w:t>f</w:t>
      </w:r>
      <w:r w:rsidRPr="006D3AD3">
        <w:t>or this we are witnesses</w:t>
      </w:r>
      <w:r w:rsidR="00FE2133">
        <w:t>”</w:t>
      </w:r>
      <w:r w:rsidRPr="006D3AD3">
        <w:t xml:space="preserve"> (v 41)</w:t>
      </w:r>
      <w:r>
        <w:t xml:space="preserve">, cf. </w:t>
      </w:r>
      <w:r w:rsidRPr="006D3AD3">
        <w:t>Josh 24:22; Sam 12:5; Ruth 4:9-11</w:t>
      </w:r>
      <w:r w:rsidR="00337EB3">
        <w:t>; the</w:t>
      </w:r>
      <w:r w:rsidR="00337EB3" w:rsidRPr="006D3AD3">
        <w:t xml:space="preserve"> </w:t>
      </w:r>
      <w:r w:rsidRPr="006D3AD3">
        <w:t>mentions the laying on of hands on Susanna</w:t>
      </w:r>
      <w:r w:rsidR="008E4E8B">
        <w:t>‘</w:t>
      </w:r>
      <w:r w:rsidRPr="006D3AD3">
        <w:t>s head as part of the testimony ceremony</w:t>
      </w:r>
      <w:r w:rsidR="00337EB3">
        <w:t>;</w:t>
      </w:r>
      <w:r w:rsidRPr="006D3AD3">
        <w:t xml:space="preserve"> and the description of the court scene.</w:t>
      </w:r>
    </w:p>
  </w:footnote>
  <w:footnote w:id="34">
    <w:p w14:paraId="081E199A" w14:textId="7D4F0493" w:rsidR="001E49CA" w:rsidRDefault="001E49CA" w:rsidP="00623295">
      <w:pPr>
        <w:pStyle w:val="FootnoteText"/>
      </w:pPr>
      <w:r>
        <w:rPr>
          <w:rStyle w:val="FootnoteReference"/>
        </w:rPr>
        <w:footnoteRef/>
      </w:r>
      <w:r>
        <w:t xml:space="preserve"> </w:t>
      </w:r>
      <w:r w:rsidRPr="00285F8D">
        <w:t>Th</w:t>
      </w:r>
      <w:r>
        <w:t>e</w:t>
      </w:r>
      <w:r w:rsidRPr="00285F8D">
        <w:t xml:space="preserve"> claim is also mentioned in Heller</w:t>
      </w:r>
      <w:r w:rsidR="008E4E8B">
        <w:t>‘</w:t>
      </w:r>
      <w:r w:rsidRPr="00285F8D">
        <w:t xml:space="preserve">s notes. Heller, Bernhard. </w:t>
      </w:r>
      <w:r w:rsidR="00FE2133">
        <w:t>“</w:t>
      </w:r>
      <w:r w:rsidRPr="00285F8D">
        <w:t>The Additions to the Book of Daniel,</w:t>
      </w:r>
      <w:r w:rsidR="00FE2133">
        <w:t>”</w:t>
      </w:r>
      <w:r w:rsidRPr="00285F8D">
        <w:t xml:space="preserve"> in Abraham Kahana (ed.), </w:t>
      </w:r>
      <w:r w:rsidRPr="000A7656">
        <w:rPr>
          <w:i/>
          <w:iCs/>
        </w:rPr>
        <w:t>The Apocryphal Books</w:t>
      </w:r>
      <w:r w:rsidRPr="00285F8D">
        <w:t xml:space="preserve"> (2 vols.; Tel-Aviv: Masada, 1936-1937), 1:554-575 (in Heb.).p. 569</w:t>
      </w:r>
    </w:p>
  </w:footnote>
  <w:footnote w:id="35">
    <w:p w14:paraId="6EA0C17E" w14:textId="6BA7F2A9" w:rsidR="001E49CA" w:rsidRDefault="001E49CA" w:rsidP="00623295">
      <w:pPr>
        <w:pStyle w:val="FootnoteText"/>
      </w:pPr>
      <w:r>
        <w:rPr>
          <w:rStyle w:val="FootnoteReference"/>
        </w:rPr>
        <w:footnoteRef/>
      </w:r>
      <w:r>
        <w:t xml:space="preserve"> </w:t>
      </w:r>
      <w:r w:rsidRPr="00285F8D">
        <w:t>The exact role of the priests is not mentioned. It may be that the presence of additional priests was added at a later stage. See Tigay, Deuteronomy, pp. 526-529.</w:t>
      </w:r>
    </w:p>
  </w:footnote>
  <w:footnote w:id="36">
    <w:p w14:paraId="034D4F6F" w14:textId="627286E4" w:rsidR="001E49CA" w:rsidRPr="004E0A73" w:rsidRDefault="001E49CA" w:rsidP="00623295">
      <w:pPr>
        <w:pStyle w:val="FootnoteText"/>
      </w:pPr>
      <w:r>
        <w:rPr>
          <w:rStyle w:val="FootnoteReference"/>
        </w:rPr>
        <w:footnoteRef/>
      </w:r>
      <w:r>
        <w:t xml:space="preserve"> </w:t>
      </w:r>
      <w:r w:rsidRPr="004E0A73">
        <w:t xml:space="preserve">Ancient interpreters explain </w:t>
      </w:r>
      <w:r w:rsidR="00A50E75">
        <w:rPr>
          <w:i/>
          <w:iCs/>
          <w:lang w:bidi="he-IL"/>
        </w:rPr>
        <w:t>eytan</w:t>
      </w:r>
      <w:r w:rsidR="00A50E75" w:rsidRPr="004E0A73">
        <w:t xml:space="preserve"> </w:t>
      </w:r>
      <w:r w:rsidRPr="004E0A73">
        <w:t xml:space="preserve">as meaning </w:t>
      </w:r>
      <w:r w:rsidR="00FE2133">
        <w:t>“</w:t>
      </w:r>
      <w:r w:rsidRPr="004E0A73">
        <w:t>hard</w:t>
      </w:r>
      <w:r w:rsidR="00FE2133">
        <w:t>”</w:t>
      </w:r>
      <w:r w:rsidRPr="004E0A73">
        <w:t xml:space="preserve"> (Rashi) or </w:t>
      </w:r>
      <w:r w:rsidR="00FE2133">
        <w:t>“</w:t>
      </w:r>
      <w:r w:rsidRPr="004E0A73">
        <w:t>strong</w:t>
      </w:r>
      <w:r w:rsidR="00FE2133">
        <w:t>”</w:t>
      </w:r>
      <w:r w:rsidRPr="004E0A73">
        <w:t xml:space="preserve"> (Ibn Ezra). Some have interpreted it as it means in modern Hebrew: as a river whose waters flow continuously. This meaning was based by </w:t>
      </w:r>
      <w:r w:rsidR="00A50E75">
        <w:t>scholars</w:t>
      </w:r>
      <w:r w:rsidR="00A50E75" w:rsidRPr="004E0A73">
        <w:t xml:space="preserve"> </w:t>
      </w:r>
      <w:r w:rsidRPr="004E0A73">
        <w:t xml:space="preserve">on the Arabic verb </w:t>
      </w:r>
      <w:r w:rsidR="00FE2133">
        <w:t>“</w:t>
      </w:r>
      <w:r w:rsidRPr="000A7656">
        <w:rPr>
          <w:i/>
          <w:iCs/>
        </w:rPr>
        <w:t>wtn</w:t>
      </w:r>
      <w:r w:rsidR="00FE2133">
        <w:t>”</w:t>
      </w:r>
      <w:r w:rsidRPr="004E0A73">
        <w:t xml:space="preserve">, which is interpreted in medieval Arabic dictionaries as meaning </w:t>
      </w:r>
      <w:r w:rsidR="00FE2133">
        <w:t>“</w:t>
      </w:r>
      <w:r w:rsidRPr="004E0A73">
        <w:t>continuous,</w:t>
      </w:r>
      <w:r w:rsidR="00FE2133">
        <w:t>”</w:t>
      </w:r>
      <w:r w:rsidRPr="004E0A73">
        <w:t xml:space="preserve"> and appears in the context of water, for example, a continually flowing spring. However, this interpretation raises various issues. The Hebrew lexicographers from the Middle Ages who worked in Arabic-speaking countries do not mention this </w:t>
      </w:r>
      <w:r w:rsidR="006100B9">
        <w:t>word</w:t>
      </w:r>
      <w:r w:rsidRPr="004E0A73">
        <w:t xml:space="preserve">. In addition, there are not many </w:t>
      </w:r>
      <w:r w:rsidR="006100B9">
        <w:t>continuously flowing</w:t>
      </w:r>
      <w:r w:rsidR="006100B9" w:rsidRPr="004E0A73">
        <w:t xml:space="preserve"> </w:t>
      </w:r>
      <w:r w:rsidR="006100B9">
        <w:t>streams</w:t>
      </w:r>
      <w:r w:rsidR="006100B9" w:rsidRPr="004E0A73">
        <w:t xml:space="preserve"> </w:t>
      </w:r>
      <w:r w:rsidRPr="004E0A73">
        <w:t>in the land of Israel</w:t>
      </w:r>
      <w:r w:rsidR="006100B9">
        <w:t xml:space="preserve"> (roughly eighteen</w:t>
      </w:r>
      <w:r w:rsidRPr="004E0A73">
        <w:t xml:space="preserve"> west of the Jordan</w:t>
      </w:r>
      <w:r w:rsidR="006100B9">
        <w:t>)</w:t>
      </w:r>
      <w:r w:rsidRPr="004E0A73">
        <w:t xml:space="preserve">. According to this interpretation, it would be difficult to perform the ceremony and remove the blood guilt in most parts of the country. (See: </w:t>
      </w:r>
      <w:r>
        <w:t>J</w:t>
      </w:r>
      <w:r w:rsidRPr="004E0A73">
        <w:t>. Tigay, Deut</w:t>
      </w:r>
      <w:r>
        <w:t>. 16:</w:t>
      </w:r>
      <w:r w:rsidRPr="004E0A73">
        <w:t>18-24, 12, Tel Aviv 2016, p. 523).</w:t>
      </w:r>
    </w:p>
  </w:footnote>
  <w:footnote w:id="37">
    <w:p w14:paraId="1D3BCA64" w14:textId="69563EBE" w:rsidR="001E49CA" w:rsidRDefault="001E49CA" w:rsidP="00B34E6E">
      <w:pPr>
        <w:pStyle w:val="FootnoteText"/>
      </w:pPr>
      <w:r>
        <w:rPr>
          <w:rStyle w:val="FootnoteReference"/>
        </w:rPr>
        <w:footnoteRef/>
      </w:r>
      <w:r>
        <w:t xml:space="preserve"> </w:t>
      </w:r>
      <w:r w:rsidRPr="00623295">
        <w:t xml:space="preserve">vv. 54-55 </w:t>
      </w:r>
      <w:r w:rsidR="00FE2133">
        <w:t>“</w:t>
      </w:r>
      <w:r w:rsidRPr="00623295">
        <w:t>And the impious on</w:t>
      </w:r>
      <w:r w:rsidR="00C655B6">
        <w:t>e</w:t>
      </w:r>
      <w:r w:rsidR="00B34E6E">
        <w:t xml:space="preserve"> said ‘under a mastich.”</w:t>
      </w:r>
      <w:r w:rsidRPr="00623295">
        <w:t xml:space="preserve"> vv. 58-59 </w:t>
      </w:r>
      <w:r w:rsidR="00FE2133">
        <w:t>“</w:t>
      </w:r>
      <w:r w:rsidRPr="00623295">
        <w:t xml:space="preserve">Then, he said, </w:t>
      </w:r>
      <w:r w:rsidR="00FE2133">
        <w:t>“</w:t>
      </w:r>
      <w:r w:rsidRPr="00623295">
        <w:t>Under an evergreen oak.</w:t>
      </w:r>
      <w:r w:rsidR="00FE2133">
        <w:t>”</w:t>
      </w:r>
      <w:r w:rsidRPr="00623295">
        <w:t xml:space="preserve"> (πρῖνον) And Daniel said, </w:t>
      </w:r>
      <w:r w:rsidR="008E4E8B">
        <w:t>‘</w:t>
      </w:r>
      <w:r w:rsidRPr="00623295">
        <w:t>Sinner! Now, the angel of the Lord stands with the sword until the people destroy you so that he may saw you in pieces</w:t>
      </w:r>
      <w:r w:rsidR="008E4E8B">
        <w:t>‘</w:t>
      </w:r>
      <w:r w:rsidR="00FE2133">
        <w:t>“</w:t>
      </w:r>
      <w:r w:rsidRPr="00623295">
        <w:t xml:space="preserve"> (καταπρίσῃ).</w:t>
      </w:r>
    </w:p>
  </w:footnote>
  <w:footnote w:id="38">
    <w:p w14:paraId="6439344B" w14:textId="77777777" w:rsidR="00B34E6E" w:rsidRPr="008B6AA4" w:rsidRDefault="00B34E6E" w:rsidP="00B34E6E">
      <w:pPr>
        <w:pStyle w:val="FootnoteText"/>
      </w:pPr>
      <w:r w:rsidRPr="006D192F">
        <w:rPr>
          <w:rStyle w:val="FootnoteReference"/>
          <w:sz w:val="24"/>
          <w:szCs w:val="24"/>
        </w:rPr>
        <w:footnoteRef/>
      </w:r>
      <w:r w:rsidRPr="00623295">
        <w:t xml:space="preserve"> </w:t>
      </w:r>
      <w:r>
        <w:t>“</w:t>
      </w:r>
      <w:r w:rsidRPr="00623295">
        <w:t>The mime Philistion</w:t>
      </w:r>
      <w:r>
        <w:t>”</w:t>
      </w:r>
      <w:r w:rsidRPr="00623295">
        <w:t xml:space="preserve"> (contemporary of Augustus), </w:t>
      </w:r>
      <w:r w:rsidRPr="006D192F">
        <w:rPr>
          <w:i/>
          <w:iCs/>
        </w:rPr>
        <w:t>Letter from Africanus to Origen</w:t>
      </w:r>
      <w:r w:rsidRPr="00623295">
        <w:t xml:space="preserve"> § 4, p 516, l. 16 and Origen, </w:t>
      </w:r>
      <w:r w:rsidRPr="006D192F">
        <w:rPr>
          <w:i/>
          <w:iCs/>
        </w:rPr>
        <w:t>Letter to Africanus</w:t>
      </w:r>
      <w:r w:rsidRPr="00623295">
        <w:t>, 3, 2, p 524, l. 9</w:t>
      </w:r>
      <w:r w:rsidRPr="008B6AA4">
        <w:t>.</w:t>
      </w:r>
      <w:r w:rsidRPr="008B6AA4" w:rsidDel="00D4219A">
        <w:rPr>
          <w:rFonts w:cstheme="majorBidi"/>
        </w:rPr>
        <w:t xml:space="preserve"> </w:t>
      </w:r>
    </w:p>
  </w:footnote>
  <w:footnote w:id="39">
    <w:p w14:paraId="00D2ED2F" w14:textId="77777777" w:rsidR="00240E26" w:rsidRPr="002C09A3" w:rsidRDefault="00240E26" w:rsidP="00240E26">
      <w:pPr>
        <w:pStyle w:val="FootnoteText"/>
        <w:rPr>
          <w:lang w:val="fr-FR"/>
        </w:rPr>
      </w:pPr>
      <w:r w:rsidRPr="002C09A3">
        <w:rPr>
          <w:rStyle w:val="FootnoteReference"/>
          <w:sz w:val="24"/>
          <w:szCs w:val="24"/>
        </w:rPr>
        <w:footnoteRef/>
      </w:r>
      <w:r w:rsidRPr="00623295">
        <w:t xml:space="preserve"> Jerome, Prologue to the Commentary on Daniel, ed. and transl. </w:t>
      </w:r>
      <w:r w:rsidRPr="002C09A3">
        <w:rPr>
          <w:lang w:val="fr-FR"/>
        </w:rPr>
        <w:t>R. Courtray, Sources chrétiennes 602, Paris, 2019, p. 128, l. 50-51.</w:t>
      </w:r>
    </w:p>
  </w:footnote>
  <w:footnote w:id="40">
    <w:p w14:paraId="29596587" w14:textId="5D8A7EA1" w:rsidR="001E49CA" w:rsidRPr="00623295" w:rsidRDefault="001E49CA" w:rsidP="00623295">
      <w:pPr>
        <w:pStyle w:val="FootnoteText"/>
      </w:pPr>
      <w:r w:rsidRPr="000A7656">
        <w:rPr>
          <w:rStyle w:val="FootnoteReference"/>
          <w:sz w:val="24"/>
          <w:szCs w:val="24"/>
        </w:rPr>
        <w:footnoteRef/>
      </w:r>
      <w:r w:rsidRPr="00623295">
        <w:t xml:space="preserve"> S. T. T. Lachs, </w:t>
      </w:r>
      <w:r w:rsidR="00FE2133">
        <w:t>“</w:t>
      </w:r>
      <w:r w:rsidRPr="00623295">
        <w:t>A Note on the Original Language of Susanna</w:t>
      </w:r>
      <w:r w:rsidR="00FE2133">
        <w:t>”</w:t>
      </w:r>
      <w:r w:rsidRPr="00623295">
        <w:t xml:space="preserve">, </w:t>
      </w:r>
      <w:r w:rsidRPr="000A7656">
        <w:rPr>
          <w:i/>
          <w:iCs/>
        </w:rPr>
        <w:t>The Jewish Quarterly Review</w:t>
      </w:r>
      <w:r w:rsidRPr="00623295">
        <w:t xml:space="preserve"> 69, 2 (1978), p. 52-54; A. Bludau, op. cit., p. 186, C. A. A. Moore, op. cit., p. 84; M. Henze, op. cit. on n. 3, p. 127.</w:t>
      </w:r>
    </w:p>
  </w:footnote>
  <w:footnote w:id="41">
    <w:p w14:paraId="06EB3F9E" w14:textId="73F27C3D" w:rsidR="001E49CA" w:rsidRDefault="001E49CA" w:rsidP="00623295">
      <w:pPr>
        <w:pStyle w:val="FootnoteText"/>
      </w:pPr>
      <w:r w:rsidRPr="00DA4D6C">
        <w:rPr>
          <w:rStyle w:val="FootnoteReference"/>
          <w:sz w:val="24"/>
          <w:szCs w:val="24"/>
        </w:rPr>
        <w:footnoteRef/>
      </w:r>
      <w:r w:rsidRPr="00DA4D6C">
        <w:t xml:space="preserve"> Olivier Munnich, </w:t>
      </w:r>
      <w:r w:rsidR="00FE2133">
        <w:t>“</w:t>
      </w:r>
      <w:r w:rsidRPr="00DA4D6C">
        <w:t xml:space="preserve">From a Septuagint connection to a Masoretic rejection: the Septuagint Susanna-text and the question of the Greek </w:t>
      </w:r>
      <w:r w:rsidR="008E4E8B">
        <w:t>‘</w:t>
      </w:r>
      <w:r w:rsidRPr="00DA4D6C">
        <w:t>Additions</w:t>
      </w:r>
      <w:r w:rsidR="008E4E8B">
        <w:t>‘</w:t>
      </w:r>
      <w:r w:rsidRPr="00DA4D6C">
        <w:t xml:space="preserve"> to Daniel</w:t>
      </w:r>
      <w:r w:rsidR="00FE2133">
        <w:t>”</w:t>
      </w:r>
    </w:p>
  </w:footnote>
  <w:footnote w:id="42">
    <w:p w14:paraId="55E06E5E" w14:textId="402B5636" w:rsidR="001E49CA" w:rsidRDefault="001E49CA" w:rsidP="00623295">
      <w:pPr>
        <w:pStyle w:val="FootnoteText"/>
      </w:pPr>
      <w:r w:rsidRPr="000A7656">
        <w:rPr>
          <w:rStyle w:val="FootnoteReference"/>
          <w:sz w:val="24"/>
          <w:szCs w:val="24"/>
        </w:rPr>
        <w:footnoteRef/>
      </w:r>
      <w:r w:rsidRPr="00623295">
        <w:t xml:space="preserve"> </w:t>
      </w:r>
      <w:r w:rsidRPr="00317327">
        <w:t xml:space="preserve">Olivier Munnich, </w:t>
      </w:r>
      <w:r w:rsidR="00FE2133">
        <w:t>“</w:t>
      </w:r>
      <w:r w:rsidRPr="00317327">
        <w:t xml:space="preserve">From a Septuagint connection to a Masoretic rejection: the Septuagint Susanna-text and the question of the Greek </w:t>
      </w:r>
      <w:r w:rsidR="008E4E8B">
        <w:t>‘</w:t>
      </w:r>
      <w:r w:rsidRPr="00317327">
        <w:t>Additions</w:t>
      </w:r>
      <w:r w:rsidR="008E4E8B">
        <w:t>‘</w:t>
      </w:r>
      <w:r w:rsidRPr="00317327">
        <w:t xml:space="preserve"> to Daniel</w:t>
      </w:r>
      <w:r w:rsidR="00FE2133">
        <w:t>”</w:t>
      </w:r>
    </w:p>
  </w:footnote>
  <w:footnote w:id="43">
    <w:p w14:paraId="5DCFBEFF" w14:textId="06C1AAF1" w:rsidR="001E49CA" w:rsidRPr="00951B92" w:rsidRDefault="001E49CA" w:rsidP="00623295">
      <w:pPr>
        <w:pStyle w:val="FootnoteText"/>
      </w:pPr>
      <w:r>
        <w:rPr>
          <w:rStyle w:val="FootnoteReference"/>
        </w:rPr>
        <w:footnoteRef/>
      </w:r>
      <w:r>
        <w:t xml:space="preserve"> </w:t>
      </w:r>
      <w:r w:rsidRPr="004E0A73">
        <w:t>Munnich, p. 12</w:t>
      </w:r>
    </w:p>
  </w:footnote>
  <w:footnote w:id="44">
    <w:p w14:paraId="32F72240" w14:textId="59971D06" w:rsidR="001E49CA" w:rsidRDefault="001E49CA" w:rsidP="001E4379">
      <w:pPr>
        <w:pStyle w:val="FootnoteText"/>
      </w:pPr>
      <w:r>
        <w:rPr>
          <w:rStyle w:val="FootnoteReference"/>
        </w:rPr>
        <w:footnoteRef/>
      </w:r>
      <w:r>
        <w:t xml:space="preserve"> </w:t>
      </w:r>
      <w:r w:rsidRPr="004E0A73">
        <w:t>So wrote Munnich in the draft version of his lecture given at the Orion Center at the Hebrew University in Jerusalem. I thank Prof. Munnich for sending me his lecture.</w:t>
      </w:r>
    </w:p>
  </w:footnote>
  <w:footnote w:id="45">
    <w:p w14:paraId="0460AFCA" w14:textId="6D754BB1" w:rsidR="001E49CA" w:rsidRDefault="001E49CA" w:rsidP="00623295">
      <w:pPr>
        <w:pStyle w:val="FootnoteText"/>
      </w:pPr>
      <w:r>
        <w:rPr>
          <w:rStyle w:val="FootnoteReference"/>
        </w:rPr>
        <w:footnoteRef/>
      </w:r>
      <w:r>
        <w:t xml:space="preserve"> </w:t>
      </w:r>
      <w:r w:rsidRPr="004E0A73">
        <w:t>In the sense of dripping or dropping (drip, drop): Deuteronomy 33:28; Deuteronomy 32:2 and in the sense of breaking the neck of an animal; Is 66:3, Ex 13:13; 34:20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A0B2C"/>
    <w:multiLevelType w:val="multilevel"/>
    <w:tmpl w:val="CDC8EC8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C166289"/>
    <w:multiLevelType w:val="multilevel"/>
    <w:tmpl w:val="CDC8EC8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881371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B80915"/>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7A3D22"/>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F90F7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7150F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7913476">
    <w:abstractNumId w:val="1"/>
  </w:num>
  <w:num w:numId="2" w16cid:durableId="1600062742">
    <w:abstractNumId w:val="2"/>
  </w:num>
  <w:num w:numId="3" w16cid:durableId="1185095330">
    <w:abstractNumId w:val="5"/>
  </w:num>
  <w:num w:numId="4" w16cid:durableId="2098205015">
    <w:abstractNumId w:val="4"/>
  </w:num>
  <w:num w:numId="5" w16cid:durableId="687100832">
    <w:abstractNumId w:val="3"/>
  </w:num>
  <w:num w:numId="6" w16cid:durableId="457795520">
    <w:abstractNumId w:val="6"/>
  </w:num>
  <w:num w:numId="7" w16cid:durableId="166731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removePersonalInformation/>
  <w:removeDateAndTime/>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MDYztjAxtzQ3NjRS0lEKTi0uzszPAykwrgUA77NDeSwAAAA="/>
  </w:docVars>
  <w:rsids>
    <w:rsidRoot w:val="00847AA3"/>
    <w:rsid w:val="00004652"/>
    <w:rsid w:val="0001222A"/>
    <w:rsid w:val="000314BC"/>
    <w:rsid w:val="0003687E"/>
    <w:rsid w:val="0003692C"/>
    <w:rsid w:val="00061E39"/>
    <w:rsid w:val="000620E8"/>
    <w:rsid w:val="0006294B"/>
    <w:rsid w:val="0006736A"/>
    <w:rsid w:val="000A2327"/>
    <w:rsid w:val="000A7656"/>
    <w:rsid w:val="000B0B58"/>
    <w:rsid w:val="000C717B"/>
    <w:rsid w:val="000C7E73"/>
    <w:rsid w:val="000D2789"/>
    <w:rsid w:val="000D3A7D"/>
    <w:rsid w:val="000E00B7"/>
    <w:rsid w:val="000E2D87"/>
    <w:rsid w:val="000F759B"/>
    <w:rsid w:val="00107A30"/>
    <w:rsid w:val="00134FE4"/>
    <w:rsid w:val="001426CF"/>
    <w:rsid w:val="0014321C"/>
    <w:rsid w:val="00146841"/>
    <w:rsid w:val="00151B95"/>
    <w:rsid w:val="001552A6"/>
    <w:rsid w:val="001725B4"/>
    <w:rsid w:val="00190439"/>
    <w:rsid w:val="001921AE"/>
    <w:rsid w:val="001D6641"/>
    <w:rsid w:val="001E4379"/>
    <w:rsid w:val="001E49CA"/>
    <w:rsid w:val="001F4390"/>
    <w:rsid w:val="00212A05"/>
    <w:rsid w:val="002229D4"/>
    <w:rsid w:val="00230411"/>
    <w:rsid w:val="002342D0"/>
    <w:rsid w:val="00240E26"/>
    <w:rsid w:val="00242968"/>
    <w:rsid w:val="00242B09"/>
    <w:rsid w:val="00256937"/>
    <w:rsid w:val="002663EC"/>
    <w:rsid w:val="0027147D"/>
    <w:rsid w:val="00284669"/>
    <w:rsid w:val="00284AD6"/>
    <w:rsid w:val="00285ECF"/>
    <w:rsid w:val="00285F8D"/>
    <w:rsid w:val="00295937"/>
    <w:rsid w:val="00297F53"/>
    <w:rsid w:val="002B4B5E"/>
    <w:rsid w:val="002B6927"/>
    <w:rsid w:val="002D12CD"/>
    <w:rsid w:val="00305D3E"/>
    <w:rsid w:val="00310B61"/>
    <w:rsid w:val="00316E7D"/>
    <w:rsid w:val="00317327"/>
    <w:rsid w:val="00321699"/>
    <w:rsid w:val="0032192E"/>
    <w:rsid w:val="003226F2"/>
    <w:rsid w:val="00325548"/>
    <w:rsid w:val="0033212B"/>
    <w:rsid w:val="00337EB3"/>
    <w:rsid w:val="003416C4"/>
    <w:rsid w:val="00351DEA"/>
    <w:rsid w:val="00364194"/>
    <w:rsid w:val="0036540B"/>
    <w:rsid w:val="0037016C"/>
    <w:rsid w:val="0038081C"/>
    <w:rsid w:val="00383D3D"/>
    <w:rsid w:val="003A4F90"/>
    <w:rsid w:val="003B4EFD"/>
    <w:rsid w:val="003C650F"/>
    <w:rsid w:val="003E201E"/>
    <w:rsid w:val="003F16BA"/>
    <w:rsid w:val="003F5879"/>
    <w:rsid w:val="003F6145"/>
    <w:rsid w:val="00440A37"/>
    <w:rsid w:val="00441538"/>
    <w:rsid w:val="00455EDA"/>
    <w:rsid w:val="00466FFB"/>
    <w:rsid w:val="00473330"/>
    <w:rsid w:val="00474B64"/>
    <w:rsid w:val="004A2633"/>
    <w:rsid w:val="004C65B4"/>
    <w:rsid w:val="004D0000"/>
    <w:rsid w:val="004D3DEE"/>
    <w:rsid w:val="004D545D"/>
    <w:rsid w:val="004D69BB"/>
    <w:rsid w:val="004E0A73"/>
    <w:rsid w:val="004E2D36"/>
    <w:rsid w:val="004E552F"/>
    <w:rsid w:val="005267B2"/>
    <w:rsid w:val="00532576"/>
    <w:rsid w:val="005413E9"/>
    <w:rsid w:val="00547C7A"/>
    <w:rsid w:val="005508D2"/>
    <w:rsid w:val="00562E32"/>
    <w:rsid w:val="005701F3"/>
    <w:rsid w:val="0057367D"/>
    <w:rsid w:val="0058217D"/>
    <w:rsid w:val="00583B2D"/>
    <w:rsid w:val="00585789"/>
    <w:rsid w:val="00593A9C"/>
    <w:rsid w:val="005B72D5"/>
    <w:rsid w:val="005C250D"/>
    <w:rsid w:val="005C5FA6"/>
    <w:rsid w:val="005D12C2"/>
    <w:rsid w:val="005D3D4A"/>
    <w:rsid w:val="005F1B52"/>
    <w:rsid w:val="005F21BC"/>
    <w:rsid w:val="005F34F8"/>
    <w:rsid w:val="005F396B"/>
    <w:rsid w:val="006100B9"/>
    <w:rsid w:val="00623295"/>
    <w:rsid w:val="00623C4C"/>
    <w:rsid w:val="0062419F"/>
    <w:rsid w:val="0064537A"/>
    <w:rsid w:val="00646152"/>
    <w:rsid w:val="006621F0"/>
    <w:rsid w:val="006672A8"/>
    <w:rsid w:val="006903B7"/>
    <w:rsid w:val="00691F2F"/>
    <w:rsid w:val="00697C76"/>
    <w:rsid w:val="006A358C"/>
    <w:rsid w:val="006D3AD3"/>
    <w:rsid w:val="006F09B9"/>
    <w:rsid w:val="00707D5F"/>
    <w:rsid w:val="00716FB3"/>
    <w:rsid w:val="007260B1"/>
    <w:rsid w:val="007332F6"/>
    <w:rsid w:val="007610DE"/>
    <w:rsid w:val="007646F8"/>
    <w:rsid w:val="007668DE"/>
    <w:rsid w:val="00767829"/>
    <w:rsid w:val="00784C46"/>
    <w:rsid w:val="007858A7"/>
    <w:rsid w:val="0078614B"/>
    <w:rsid w:val="007950B2"/>
    <w:rsid w:val="007B49F6"/>
    <w:rsid w:val="007B555B"/>
    <w:rsid w:val="007C57CB"/>
    <w:rsid w:val="007F1C69"/>
    <w:rsid w:val="00802221"/>
    <w:rsid w:val="00816725"/>
    <w:rsid w:val="00824099"/>
    <w:rsid w:val="0084261C"/>
    <w:rsid w:val="00845DB6"/>
    <w:rsid w:val="00847AA3"/>
    <w:rsid w:val="00864673"/>
    <w:rsid w:val="00865360"/>
    <w:rsid w:val="00873753"/>
    <w:rsid w:val="008740A4"/>
    <w:rsid w:val="008746CC"/>
    <w:rsid w:val="0087515F"/>
    <w:rsid w:val="00885002"/>
    <w:rsid w:val="00895277"/>
    <w:rsid w:val="008A6669"/>
    <w:rsid w:val="008B275B"/>
    <w:rsid w:val="008B6AA4"/>
    <w:rsid w:val="008C67E3"/>
    <w:rsid w:val="008E4E8B"/>
    <w:rsid w:val="008E5B7A"/>
    <w:rsid w:val="008E6097"/>
    <w:rsid w:val="008E7E6C"/>
    <w:rsid w:val="00903A02"/>
    <w:rsid w:val="00910088"/>
    <w:rsid w:val="00915D42"/>
    <w:rsid w:val="009167B9"/>
    <w:rsid w:val="009172BC"/>
    <w:rsid w:val="00921AB1"/>
    <w:rsid w:val="00937896"/>
    <w:rsid w:val="00951B92"/>
    <w:rsid w:val="0095542E"/>
    <w:rsid w:val="00963CBD"/>
    <w:rsid w:val="00967CA7"/>
    <w:rsid w:val="00971721"/>
    <w:rsid w:val="00985996"/>
    <w:rsid w:val="009878C0"/>
    <w:rsid w:val="009907C6"/>
    <w:rsid w:val="009940C8"/>
    <w:rsid w:val="009A1BFD"/>
    <w:rsid w:val="009A78A1"/>
    <w:rsid w:val="009B1D78"/>
    <w:rsid w:val="009C4C8A"/>
    <w:rsid w:val="009C6746"/>
    <w:rsid w:val="009D521E"/>
    <w:rsid w:val="009E12B9"/>
    <w:rsid w:val="009E37AE"/>
    <w:rsid w:val="009F1B2C"/>
    <w:rsid w:val="009F7731"/>
    <w:rsid w:val="00A105C8"/>
    <w:rsid w:val="00A159C2"/>
    <w:rsid w:val="00A3505D"/>
    <w:rsid w:val="00A50E75"/>
    <w:rsid w:val="00A7091E"/>
    <w:rsid w:val="00A72698"/>
    <w:rsid w:val="00A72D91"/>
    <w:rsid w:val="00A757EE"/>
    <w:rsid w:val="00A81F8B"/>
    <w:rsid w:val="00A9185A"/>
    <w:rsid w:val="00AA022F"/>
    <w:rsid w:val="00AB0264"/>
    <w:rsid w:val="00AC1527"/>
    <w:rsid w:val="00AD4AB0"/>
    <w:rsid w:val="00AD4F33"/>
    <w:rsid w:val="00AE4C61"/>
    <w:rsid w:val="00B0237E"/>
    <w:rsid w:val="00B34E6E"/>
    <w:rsid w:val="00B4685A"/>
    <w:rsid w:val="00B52112"/>
    <w:rsid w:val="00B97B60"/>
    <w:rsid w:val="00BA633A"/>
    <w:rsid w:val="00BA7DAE"/>
    <w:rsid w:val="00BB6FA3"/>
    <w:rsid w:val="00BC1DD7"/>
    <w:rsid w:val="00BC3774"/>
    <w:rsid w:val="00BC7FA0"/>
    <w:rsid w:val="00BD364E"/>
    <w:rsid w:val="00BD7900"/>
    <w:rsid w:val="00BF06C4"/>
    <w:rsid w:val="00C12B0B"/>
    <w:rsid w:val="00C4317F"/>
    <w:rsid w:val="00C45922"/>
    <w:rsid w:val="00C50D5E"/>
    <w:rsid w:val="00C51909"/>
    <w:rsid w:val="00C6421A"/>
    <w:rsid w:val="00C655B6"/>
    <w:rsid w:val="00CA0B56"/>
    <w:rsid w:val="00CB136D"/>
    <w:rsid w:val="00CF246B"/>
    <w:rsid w:val="00CF3EA1"/>
    <w:rsid w:val="00D12CEC"/>
    <w:rsid w:val="00D1322A"/>
    <w:rsid w:val="00D13C45"/>
    <w:rsid w:val="00D174F2"/>
    <w:rsid w:val="00D254D1"/>
    <w:rsid w:val="00D3284D"/>
    <w:rsid w:val="00D361B3"/>
    <w:rsid w:val="00D362F9"/>
    <w:rsid w:val="00D4219A"/>
    <w:rsid w:val="00D50455"/>
    <w:rsid w:val="00D510F5"/>
    <w:rsid w:val="00D54A55"/>
    <w:rsid w:val="00D5678E"/>
    <w:rsid w:val="00D67A11"/>
    <w:rsid w:val="00D67A22"/>
    <w:rsid w:val="00D71436"/>
    <w:rsid w:val="00D71A08"/>
    <w:rsid w:val="00D82F57"/>
    <w:rsid w:val="00DA7B2C"/>
    <w:rsid w:val="00DB1B8F"/>
    <w:rsid w:val="00DB6669"/>
    <w:rsid w:val="00DB7ACE"/>
    <w:rsid w:val="00DC3417"/>
    <w:rsid w:val="00DC5E7C"/>
    <w:rsid w:val="00DD4F33"/>
    <w:rsid w:val="00DE47E1"/>
    <w:rsid w:val="00DF5EAA"/>
    <w:rsid w:val="00E048EB"/>
    <w:rsid w:val="00E0551C"/>
    <w:rsid w:val="00E20DD6"/>
    <w:rsid w:val="00E20F24"/>
    <w:rsid w:val="00E317B9"/>
    <w:rsid w:val="00E35002"/>
    <w:rsid w:val="00E35315"/>
    <w:rsid w:val="00E366F3"/>
    <w:rsid w:val="00E379DB"/>
    <w:rsid w:val="00E454EC"/>
    <w:rsid w:val="00E55611"/>
    <w:rsid w:val="00E57D42"/>
    <w:rsid w:val="00E74252"/>
    <w:rsid w:val="00E93108"/>
    <w:rsid w:val="00EA3322"/>
    <w:rsid w:val="00EA488B"/>
    <w:rsid w:val="00EB484E"/>
    <w:rsid w:val="00ED3058"/>
    <w:rsid w:val="00EE115D"/>
    <w:rsid w:val="00EF59ED"/>
    <w:rsid w:val="00F10CEA"/>
    <w:rsid w:val="00F21249"/>
    <w:rsid w:val="00F27336"/>
    <w:rsid w:val="00F37D7F"/>
    <w:rsid w:val="00F428E3"/>
    <w:rsid w:val="00F45F4E"/>
    <w:rsid w:val="00F5123A"/>
    <w:rsid w:val="00F740C1"/>
    <w:rsid w:val="00F84B9D"/>
    <w:rsid w:val="00F93210"/>
    <w:rsid w:val="00F979E0"/>
    <w:rsid w:val="00F97D0A"/>
    <w:rsid w:val="00FC4F52"/>
    <w:rsid w:val="00FE2133"/>
    <w:rsid w:val="00FF25AB"/>
    <w:rsid w:val="00FF7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3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95"/>
    <w:pPr>
      <w:spacing w:line="480" w:lineRule="auto"/>
    </w:pPr>
    <w:rPr>
      <w:rFonts w:asciiTheme="majorBidi" w:hAnsiTheme="majorBidi"/>
      <w:sz w:val="24"/>
    </w:rPr>
  </w:style>
  <w:style w:type="paragraph" w:styleId="Heading1">
    <w:name w:val="heading 1"/>
    <w:basedOn w:val="Normal"/>
    <w:next w:val="Normal"/>
    <w:uiPriority w:val="9"/>
    <w:qFormat/>
    <w:rsid w:val="00D362F9"/>
    <w:pPr>
      <w:outlineLvl w:val="0"/>
    </w:pPr>
    <w:rPr>
      <w:rFonts w:cstheme="majorBidi"/>
      <w:b/>
      <w:bCs/>
      <w:color w:val="000000"/>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B0264"/>
    <w:pPr>
      <w:widowControl w:val="0"/>
      <w:pBdr>
        <w:top w:val="nil"/>
        <w:left w:val="nil"/>
        <w:bottom w:val="nil"/>
        <w:right w:val="nil"/>
        <w:between w:val="nil"/>
      </w:pBdr>
      <w:jc w:val="center"/>
    </w:pPr>
    <w:rPr>
      <w:rFonts w:cstheme="majorBidi"/>
      <w:b/>
      <w:bCs/>
      <w:color w:val="000000"/>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BA633A"/>
    <w:pPr>
      <w:spacing w:line="240" w:lineRule="auto"/>
    </w:pPr>
    <w:rPr>
      <w:sz w:val="20"/>
      <w:szCs w:val="20"/>
    </w:rPr>
  </w:style>
  <w:style w:type="character" w:customStyle="1" w:styleId="FootnoteTextChar">
    <w:name w:val="Footnote Text Char"/>
    <w:basedOn w:val="DefaultParagraphFont"/>
    <w:link w:val="FootnoteText"/>
    <w:uiPriority w:val="99"/>
    <w:rsid w:val="00BA633A"/>
    <w:rPr>
      <w:sz w:val="20"/>
      <w:szCs w:val="20"/>
    </w:rPr>
  </w:style>
  <w:style w:type="character" w:styleId="FootnoteReference">
    <w:name w:val="footnote reference"/>
    <w:basedOn w:val="DefaultParagraphFont"/>
    <w:uiPriority w:val="99"/>
    <w:semiHidden/>
    <w:unhideWhenUsed/>
    <w:rsid w:val="00BA633A"/>
    <w:rPr>
      <w:vertAlign w:val="superscript"/>
    </w:rPr>
  </w:style>
  <w:style w:type="character" w:styleId="CommentReference">
    <w:name w:val="annotation reference"/>
    <w:basedOn w:val="DefaultParagraphFont"/>
    <w:uiPriority w:val="99"/>
    <w:semiHidden/>
    <w:unhideWhenUsed/>
    <w:rsid w:val="002B6927"/>
    <w:rPr>
      <w:sz w:val="16"/>
      <w:szCs w:val="16"/>
    </w:rPr>
  </w:style>
  <w:style w:type="paragraph" w:styleId="CommentText">
    <w:name w:val="annotation text"/>
    <w:basedOn w:val="Normal"/>
    <w:link w:val="CommentTextChar"/>
    <w:uiPriority w:val="99"/>
    <w:unhideWhenUsed/>
    <w:rsid w:val="002B6927"/>
    <w:pPr>
      <w:spacing w:line="240" w:lineRule="auto"/>
    </w:pPr>
    <w:rPr>
      <w:sz w:val="20"/>
      <w:szCs w:val="20"/>
    </w:rPr>
  </w:style>
  <w:style w:type="character" w:customStyle="1" w:styleId="CommentTextChar">
    <w:name w:val="Comment Text Char"/>
    <w:basedOn w:val="DefaultParagraphFont"/>
    <w:link w:val="CommentText"/>
    <w:uiPriority w:val="99"/>
    <w:rsid w:val="002B6927"/>
    <w:rPr>
      <w:sz w:val="20"/>
      <w:szCs w:val="20"/>
    </w:rPr>
  </w:style>
  <w:style w:type="paragraph" w:styleId="CommentSubject">
    <w:name w:val="annotation subject"/>
    <w:basedOn w:val="CommentText"/>
    <w:next w:val="CommentText"/>
    <w:link w:val="CommentSubjectChar"/>
    <w:uiPriority w:val="99"/>
    <w:semiHidden/>
    <w:unhideWhenUsed/>
    <w:rsid w:val="002B6927"/>
    <w:rPr>
      <w:b/>
      <w:bCs/>
    </w:rPr>
  </w:style>
  <w:style w:type="character" w:customStyle="1" w:styleId="CommentSubjectChar">
    <w:name w:val="Comment Subject Char"/>
    <w:basedOn w:val="CommentTextChar"/>
    <w:link w:val="CommentSubject"/>
    <w:uiPriority w:val="99"/>
    <w:semiHidden/>
    <w:rsid w:val="002B6927"/>
    <w:rPr>
      <w:b/>
      <w:bCs/>
      <w:sz w:val="20"/>
      <w:szCs w:val="20"/>
    </w:rPr>
  </w:style>
  <w:style w:type="paragraph" w:styleId="BalloonText">
    <w:name w:val="Balloon Text"/>
    <w:basedOn w:val="Normal"/>
    <w:link w:val="BalloonTextChar"/>
    <w:uiPriority w:val="99"/>
    <w:semiHidden/>
    <w:unhideWhenUsed/>
    <w:rsid w:val="002B69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27"/>
    <w:rPr>
      <w:rFonts w:ascii="Tahoma" w:hAnsi="Tahoma" w:cs="Tahoma"/>
      <w:sz w:val="16"/>
      <w:szCs w:val="16"/>
    </w:rPr>
  </w:style>
  <w:style w:type="paragraph" w:styleId="Header">
    <w:name w:val="header"/>
    <w:basedOn w:val="Normal"/>
    <w:link w:val="HeaderChar"/>
    <w:uiPriority w:val="99"/>
    <w:unhideWhenUsed/>
    <w:rsid w:val="00EB484E"/>
    <w:pPr>
      <w:tabs>
        <w:tab w:val="center" w:pos="4680"/>
        <w:tab w:val="right" w:pos="9360"/>
      </w:tabs>
      <w:spacing w:line="240" w:lineRule="auto"/>
    </w:pPr>
  </w:style>
  <w:style w:type="character" w:customStyle="1" w:styleId="HeaderChar">
    <w:name w:val="Header Char"/>
    <w:basedOn w:val="DefaultParagraphFont"/>
    <w:link w:val="Header"/>
    <w:uiPriority w:val="99"/>
    <w:rsid w:val="00EB484E"/>
  </w:style>
  <w:style w:type="paragraph" w:styleId="Footer">
    <w:name w:val="footer"/>
    <w:basedOn w:val="Normal"/>
    <w:link w:val="FooterChar"/>
    <w:uiPriority w:val="99"/>
    <w:unhideWhenUsed/>
    <w:rsid w:val="00EB484E"/>
    <w:pPr>
      <w:tabs>
        <w:tab w:val="center" w:pos="4680"/>
        <w:tab w:val="right" w:pos="9360"/>
      </w:tabs>
      <w:spacing w:line="240" w:lineRule="auto"/>
    </w:pPr>
  </w:style>
  <w:style w:type="character" w:customStyle="1" w:styleId="FooterChar">
    <w:name w:val="Footer Char"/>
    <w:basedOn w:val="DefaultParagraphFont"/>
    <w:link w:val="Footer"/>
    <w:uiPriority w:val="99"/>
    <w:rsid w:val="00EB484E"/>
  </w:style>
  <w:style w:type="paragraph" w:styleId="Revision">
    <w:name w:val="Revision"/>
    <w:hidden/>
    <w:uiPriority w:val="99"/>
    <w:semiHidden/>
    <w:rsid w:val="0025693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C9F2-29F2-4C4B-BF6A-829A2B99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5833</Words>
  <Characters>28466</Characters>
  <Application>Microsoft Office Word</Application>
  <DocSecurity>0</DocSecurity>
  <PresentationFormat/>
  <Lines>389</Lines>
  <Paragraphs>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1899-12-29T22:00:00Z</cp:lastPrinted>
  <dcterms:created xsi:type="dcterms:W3CDTF">2023-10-26T08:47:00Z</dcterms:created>
  <dcterms:modified xsi:type="dcterms:W3CDTF">2023-10-29T15:42:00Z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
  </property>
</Properties>
</file>