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FEEA" w14:textId="46E0BBDF" w:rsidR="00C74986" w:rsidRPr="00C74986" w:rsidRDefault="00C74986" w:rsidP="00FE0624">
      <w:pPr>
        <w:spacing w:line="480" w:lineRule="auto"/>
        <w:jc w:val="center"/>
        <w:rPr>
          <w:rFonts w:asciiTheme="minorBidi" w:hAnsiTheme="minorBidi"/>
          <w:b/>
          <w:bCs/>
          <w:sz w:val="24"/>
          <w:szCs w:val="24"/>
        </w:rPr>
      </w:pPr>
      <w:r w:rsidRPr="00C74986">
        <w:rPr>
          <w:rFonts w:asciiTheme="minorBidi" w:hAnsiTheme="minorBidi"/>
          <w:b/>
          <w:bCs/>
          <w:sz w:val="24"/>
          <w:szCs w:val="24"/>
        </w:rPr>
        <w:t>Online Health Services</w:t>
      </w:r>
      <w:r w:rsidR="00FE0624">
        <w:rPr>
          <w:rFonts w:asciiTheme="minorBidi" w:hAnsiTheme="minorBidi"/>
          <w:b/>
          <w:bCs/>
          <w:sz w:val="24"/>
          <w:szCs w:val="24"/>
        </w:rPr>
        <w:t>:</w:t>
      </w:r>
      <w:r w:rsidRPr="00C74986">
        <w:rPr>
          <w:rFonts w:asciiTheme="minorBidi" w:hAnsiTheme="minorBidi"/>
          <w:b/>
          <w:bCs/>
          <w:sz w:val="24"/>
          <w:szCs w:val="24"/>
        </w:rPr>
        <w:t xml:space="preserve"> Attitudes and Behavior</w:t>
      </w:r>
      <w:r w:rsidR="00FE0624">
        <w:rPr>
          <w:rFonts w:asciiTheme="minorBidi" w:hAnsiTheme="minorBidi"/>
          <w:b/>
          <w:bCs/>
          <w:sz w:val="24"/>
          <w:szCs w:val="24"/>
        </w:rPr>
        <w:t>s</w:t>
      </w:r>
      <w:r w:rsidRPr="00C74986">
        <w:rPr>
          <w:rFonts w:asciiTheme="minorBidi" w:hAnsiTheme="minorBidi"/>
          <w:b/>
          <w:bCs/>
          <w:sz w:val="24"/>
          <w:szCs w:val="24"/>
        </w:rPr>
        <w:t xml:space="preserve"> among </w:t>
      </w:r>
      <w:r w:rsidR="004136FE">
        <w:rPr>
          <w:rFonts w:asciiTheme="minorBidi" w:hAnsiTheme="minorBidi"/>
          <w:b/>
          <w:bCs/>
          <w:sz w:val="24"/>
          <w:szCs w:val="24"/>
        </w:rPr>
        <w:t>Older Adults</w:t>
      </w:r>
    </w:p>
    <w:p w14:paraId="71AD41DA" w14:textId="77777777" w:rsidR="00C74986" w:rsidRDefault="00C74986" w:rsidP="00C74986">
      <w:pPr>
        <w:spacing w:line="480" w:lineRule="auto"/>
      </w:pPr>
    </w:p>
    <w:p w14:paraId="1EC4494D" w14:textId="77777777" w:rsidR="00C74986" w:rsidRDefault="00C74986" w:rsidP="00C74986">
      <w:pPr>
        <w:spacing w:line="480" w:lineRule="auto"/>
        <w:ind w:right="1134"/>
        <w:jc w:val="center"/>
        <w:rPr>
          <w:rFonts w:asciiTheme="minorBidi" w:hAnsiTheme="minorBidi" w:cs="Arial"/>
          <w:b/>
          <w:bCs/>
          <w:sz w:val="24"/>
          <w:szCs w:val="24"/>
          <w:rtl/>
        </w:rPr>
      </w:pPr>
    </w:p>
    <w:p w14:paraId="6B3CC13F" w14:textId="77777777" w:rsidR="00C74986" w:rsidRPr="005A0EC3" w:rsidRDefault="00C74986" w:rsidP="00C74986">
      <w:pPr>
        <w:pStyle w:val="ListParagraph"/>
        <w:numPr>
          <w:ilvl w:val="0"/>
          <w:numId w:val="1"/>
        </w:numPr>
        <w:bidi w:val="0"/>
        <w:spacing w:line="480" w:lineRule="auto"/>
        <w:ind w:right="1134"/>
        <w:rPr>
          <w:rFonts w:asciiTheme="minorBidi" w:hAnsiTheme="minorBidi" w:cs="Arial"/>
          <w:b/>
          <w:bCs/>
          <w:sz w:val="24"/>
          <w:szCs w:val="24"/>
        </w:rPr>
      </w:pPr>
      <w:proofErr w:type="spellStart"/>
      <w:r w:rsidRPr="005A0EC3">
        <w:rPr>
          <w:rFonts w:asciiTheme="minorBidi" w:hAnsiTheme="minorBidi" w:cs="Arial"/>
          <w:b/>
          <w:bCs/>
          <w:sz w:val="24"/>
          <w:szCs w:val="24"/>
        </w:rPr>
        <w:t>Sima</w:t>
      </w:r>
      <w:proofErr w:type="spellEnd"/>
      <w:r w:rsidRPr="005A0EC3">
        <w:rPr>
          <w:rFonts w:asciiTheme="minorBidi" w:hAnsiTheme="minorBidi" w:cs="Arial"/>
          <w:b/>
          <w:bCs/>
          <w:sz w:val="24"/>
          <w:szCs w:val="24"/>
        </w:rPr>
        <w:t xml:space="preserve"> Reicher, Ono Academic College, </w:t>
      </w:r>
      <w:r>
        <w:rPr>
          <w:rFonts w:asciiTheme="minorBidi" w:hAnsiTheme="minorBidi" w:cs="Arial"/>
          <w:b/>
          <w:bCs/>
          <w:sz w:val="24"/>
          <w:szCs w:val="24"/>
        </w:rPr>
        <w:t xml:space="preserve">Nursing School, PhD, </w:t>
      </w:r>
      <w:r w:rsidRPr="005A0EC3">
        <w:rPr>
          <w:rFonts w:asciiTheme="minorBidi" w:hAnsiTheme="minorBidi" w:cs="Arial"/>
          <w:b/>
          <w:bCs/>
          <w:sz w:val="24"/>
          <w:szCs w:val="24"/>
        </w:rPr>
        <w:t>Senior Lecturer</w:t>
      </w:r>
      <w:r>
        <w:rPr>
          <w:rFonts w:asciiTheme="minorBidi" w:hAnsiTheme="minorBidi" w:cs="Arial"/>
          <w:b/>
          <w:bCs/>
          <w:sz w:val="24"/>
          <w:szCs w:val="24"/>
        </w:rPr>
        <w:t>.</w:t>
      </w:r>
      <w:r w:rsidRPr="005A0EC3">
        <w:rPr>
          <w:rFonts w:asciiTheme="minorBidi" w:hAnsiTheme="minorBidi" w:cs="Arial"/>
          <w:b/>
          <w:bCs/>
          <w:sz w:val="24"/>
          <w:szCs w:val="24"/>
        </w:rPr>
        <w:t xml:space="preserve"> Corresponding author</w:t>
      </w:r>
    </w:p>
    <w:p w14:paraId="14CE8985" w14:textId="77777777" w:rsidR="00C74986" w:rsidRPr="005A0EC3" w:rsidRDefault="00C74986" w:rsidP="00C74986">
      <w:pPr>
        <w:pStyle w:val="ListParagraph"/>
        <w:numPr>
          <w:ilvl w:val="0"/>
          <w:numId w:val="1"/>
        </w:numPr>
        <w:bidi w:val="0"/>
        <w:spacing w:line="480" w:lineRule="auto"/>
        <w:ind w:right="1134"/>
        <w:rPr>
          <w:rFonts w:asciiTheme="minorBidi" w:hAnsiTheme="minorBidi" w:cs="Arial"/>
          <w:b/>
          <w:bCs/>
          <w:sz w:val="24"/>
          <w:szCs w:val="24"/>
        </w:rPr>
      </w:pPr>
      <w:proofErr w:type="spellStart"/>
      <w:r w:rsidRPr="005A0EC3">
        <w:rPr>
          <w:rFonts w:asciiTheme="minorBidi" w:hAnsiTheme="minorBidi" w:cs="Arial"/>
          <w:b/>
          <w:bCs/>
          <w:sz w:val="24"/>
          <w:szCs w:val="24"/>
        </w:rPr>
        <w:t>Galit</w:t>
      </w:r>
      <w:proofErr w:type="spellEnd"/>
      <w:r w:rsidRPr="005A0EC3">
        <w:rPr>
          <w:rFonts w:asciiTheme="minorBidi" w:hAnsiTheme="minorBidi" w:cs="Arial"/>
          <w:b/>
          <w:bCs/>
          <w:sz w:val="24"/>
          <w:szCs w:val="24"/>
        </w:rPr>
        <w:t xml:space="preserve"> </w:t>
      </w:r>
      <w:proofErr w:type="spellStart"/>
      <w:r w:rsidRPr="005A0EC3">
        <w:rPr>
          <w:rFonts w:asciiTheme="minorBidi" w:hAnsiTheme="minorBidi" w:cs="Arial"/>
          <w:b/>
          <w:bCs/>
          <w:sz w:val="24"/>
          <w:szCs w:val="24"/>
        </w:rPr>
        <w:t>Madar</w:t>
      </w:r>
      <w:proofErr w:type="spellEnd"/>
      <w:r w:rsidRPr="005A0EC3">
        <w:rPr>
          <w:rFonts w:asciiTheme="minorBidi" w:hAnsiTheme="minorBidi" w:cs="Arial"/>
          <w:b/>
          <w:bCs/>
          <w:sz w:val="24"/>
          <w:szCs w:val="24"/>
        </w:rPr>
        <w:t xml:space="preserve">, </w:t>
      </w:r>
      <w:r>
        <w:rPr>
          <w:rFonts w:asciiTheme="minorBidi" w:hAnsiTheme="minorBidi" w:cs="Arial"/>
          <w:b/>
          <w:bCs/>
          <w:sz w:val="24"/>
          <w:szCs w:val="24"/>
        </w:rPr>
        <w:t>Ariel University, School of Communication, PHD, Teacher.</w:t>
      </w:r>
    </w:p>
    <w:p w14:paraId="527E8211" w14:textId="18A3DDB6" w:rsidR="00C74986" w:rsidRDefault="00C74986" w:rsidP="00C74986">
      <w:pPr>
        <w:pStyle w:val="ListParagraph"/>
        <w:numPr>
          <w:ilvl w:val="0"/>
          <w:numId w:val="1"/>
        </w:numPr>
        <w:bidi w:val="0"/>
        <w:spacing w:line="480" w:lineRule="auto"/>
        <w:ind w:right="1134"/>
        <w:jc w:val="both"/>
        <w:rPr>
          <w:rFonts w:asciiTheme="minorBidi" w:hAnsiTheme="minorBidi" w:cs="Arial"/>
          <w:b/>
          <w:bCs/>
          <w:sz w:val="24"/>
          <w:szCs w:val="24"/>
        </w:rPr>
      </w:pPr>
      <w:proofErr w:type="spellStart"/>
      <w:r w:rsidRPr="005A0EC3">
        <w:rPr>
          <w:rFonts w:asciiTheme="minorBidi" w:hAnsiTheme="minorBidi" w:cs="Arial"/>
          <w:b/>
          <w:bCs/>
          <w:sz w:val="24"/>
          <w:szCs w:val="24"/>
        </w:rPr>
        <w:t>Orly</w:t>
      </w:r>
      <w:proofErr w:type="spellEnd"/>
      <w:r w:rsidRPr="005A0EC3">
        <w:rPr>
          <w:rFonts w:asciiTheme="minorBidi" w:hAnsiTheme="minorBidi" w:cs="Arial"/>
          <w:b/>
          <w:bCs/>
          <w:sz w:val="24"/>
          <w:szCs w:val="24"/>
        </w:rPr>
        <w:t xml:space="preserve"> </w:t>
      </w:r>
      <w:proofErr w:type="spellStart"/>
      <w:r w:rsidRPr="005A0EC3">
        <w:rPr>
          <w:rFonts w:asciiTheme="minorBidi" w:hAnsiTheme="minorBidi" w:cs="Arial"/>
          <w:b/>
          <w:bCs/>
          <w:sz w:val="24"/>
          <w:szCs w:val="24"/>
        </w:rPr>
        <w:t>Toren</w:t>
      </w:r>
      <w:proofErr w:type="spellEnd"/>
      <w:r>
        <w:rPr>
          <w:rFonts w:asciiTheme="minorBidi" w:hAnsiTheme="minorBidi" w:cs="Arial"/>
          <w:b/>
          <w:bCs/>
          <w:sz w:val="24"/>
          <w:szCs w:val="24"/>
        </w:rPr>
        <w:t xml:space="preserve">, </w:t>
      </w:r>
      <w:r w:rsidR="00EB4367">
        <w:rPr>
          <w:rFonts w:asciiTheme="minorBidi" w:hAnsiTheme="minorBidi" w:cs="Arial"/>
          <w:b/>
          <w:bCs/>
          <w:sz w:val="24"/>
          <w:szCs w:val="24"/>
        </w:rPr>
        <w:t>O</w:t>
      </w:r>
      <w:r>
        <w:rPr>
          <w:rFonts w:asciiTheme="minorBidi" w:hAnsiTheme="minorBidi" w:cs="Arial"/>
          <w:b/>
          <w:bCs/>
          <w:sz w:val="24"/>
          <w:szCs w:val="24"/>
        </w:rPr>
        <w:t>no Academic College, Nursing School, PhD, Professor.</w:t>
      </w:r>
    </w:p>
    <w:p w14:paraId="5A509C58" w14:textId="77777777" w:rsidR="00C74986" w:rsidRDefault="00C74986" w:rsidP="00C74986">
      <w:pPr>
        <w:spacing w:line="480" w:lineRule="auto"/>
        <w:ind w:right="1134"/>
        <w:jc w:val="both"/>
        <w:rPr>
          <w:rFonts w:asciiTheme="minorBidi" w:hAnsiTheme="minorBidi" w:cs="Arial"/>
          <w:b/>
          <w:bCs/>
          <w:sz w:val="24"/>
          <w:szCs w:val="24"/>
        </w:rPr>
      </w:pPr>
    </w:p>
    <w:p w14:paraId="618AB176" w14:textId="77777777" w:rsidR="00C74986" w:rsidRDefault="00C74986" w:rsidP="00C74986">
      <w:pPr>
        <w:spacing w:line="480" w:lineRule="auto"/>
        <w:rPr>
          <w:rFonts w:asciiTheme="minorBidi" w:hAnsiTheme="minorBidi" w:cs="Arial"/>
          <w:b/>
          <w:bCs/>
          <w:sz w:val="24"/>
          <w:szCs w:val="24"/>
        </w:rPr>
      </w:pPr>
      <w:r>
        <w:rPr>
          <w:rFonts w:asciiTheme="minorBidi" w:hAnsiTheme="minorBidi" w:cs="Arial"/>
          <w:b/>
          <w:bCs/>
          <w:sz w:val="24"/>
          <w:szCs w:val="24"/>
        </w:rPr>
        <w:t xml:space="preserve"> Keywords: telemedicine, health literacy, efficiency, safety, face to face</w:t>
      </w:r>
    </w:p>
    <w:p w14:paraId="20C6DF60" w14:textId="77777777" w:rsidR="00C74986" w:rsidRDefault="00C74986" w:rsidP="00C74986">
      <w:pPr>
        <w:spacing w:line="480" w:lineRule="auto"/>
        <w:rPr>
          <w:rFonts w:asciiTheme="minorBidi" w:hAnsiTheme="minorBidi" w:cs="Arial"/>
          <w:b/>
          <w:bCs/>
          <w:sz w:val="24"/>
          <w:szCs w:val="24"/>
        </w:rPr>
      </w:pPr>
      <w:r>
        <w:rPr>
          <w:rFonts w:asciiTheme="minorBidi" w:hAnsiTheme="minorBidi" w:cs="Arial"/>
          <w:b/>
          <w:bCs/>
          <w:sz w:val="24"/>
          <w:szCs w:val="24"/>
        </w:rPr>
        <w:br w:type="page"/>
      </w:r>
    </w:p>
    <w:p w14:paraId="087421BF" w14:textId="77777777" w:rsidR="00C74986" w:rsidRDefault="00C74986" w:rsidP="00C74986">
      <w:pPr>
        <w:spacing w:line="480" w:lineRule="auto"/>
        <w:jc w:val="both"/>
        <w:rPr>
          <w:rFonts w:asciiTheme="minorBidi" w:hAnsiTheme="minorBidi" w:cs="Arial"/>
          <w:b/>
          <w:bCs/>
          <w:sz w:val="24"/>
          <w:szCs w:val="24"/>
        </w:rPr>
      </w:pPr>
      <w:r>
        <w:rPr>
          <w:rFonts w:asciiTheme="minorBidi" w:hAnsiTheme="minorBidi" w:cs="Arial"/>
          <w:b/>
          <w:bCs/>
          <w:sz w:val="24"/>
          <w:szCs w:val="24"/>
        </w:rPr>
        <w:lastRenderedPageBreak/>
        <w:t>Abstract</w:t>
      </w:r>
    </w:p>
    <w:p w14:paraId="6A3F54E1" w14:textId="4C203617" w:rsidR="00C74986" w:rsidRDefault="00C74986" w:rsidP="003023BD">
      <w:pPr>
        <w:spacing w:line="480" w:lineRule="auto"/>
        <w:jc w:val="both"/>
        <w:rPr>
          <w:rFonts w:asciiTheme="minorBidi" w:hAnsiTheme="minorBidi" w:cs="Arial"/>
          <w:sz w:val="24"/>
          <w:szCs w:val="24"/>
        </w:rPr>
      </w:pPr>
      <w:r>
        <w:rPr>
          <w:rFonts w:asciiTheme="minorBidi" w:hAnsiTheme="minorBidi" w:cs="Arial"/>
          <w:b/>
          <w:bCs/>
          <w:sz w:val="24"/>
          <w:szCs w:val="24"/>
        </w:rPr>
        <w:t>Introduction</w:t>
      </w:r>
      <w:r w:rsidR="001757E3">
        <w:rPr>
          <w:rFonts w:asciiTheme="minorBidi" w:hAnsiTheme="minorBidi" w:cs="Arial"/>
          <w:b/>
          <w:bCs/>
          <w:sz w:val="24"/>
          <w:szCs w:val="24"/>
        </w:rPr>
        <w:t>:</w:t>
      </w:r>
      <w:r>
        <w:rPr>
          <w:rFonts w:asciiTheme="minorBidi" w:hAnsiTheme="minorBidi" w:cs="Arial"/>
          <w:sz w:val="24"/>
          <w:szCs w:val="24"/>
        </w:rPr>
        <w:t xml:space="preserve"> </w:t>
      </w:r>
      <w:r w:rsidRPr="00C74986">
        <w:rPr>
          <w:rFonts w:asciiTheme="minorBidi" w:hAnsiTheme="minorBidi" w:cs="Arial"/>
          <w:sz w:val="24"/>
          <w:szCs w:val="24"/>
        </w:rPr>
        <w:t xml:space="preserve">Online Health Services (OHS) emerged in the last decade and </w:t>
      </w:r>
      <w:r w:rsidR="00FE0624">
        <w:rPr>
          <w:rFonts w:asciiTheme="minorBidi" w:hAnsiTheme="minorBidi" w:cs="Arial"/>
          <w:sz w:val="24"/>
          <w:szCs w:val="24"/>
        </w:rPr>
        <w:t xml:space="preserve">currently </w:t>
      </w:r>
      <w:r w:rsidRPr="00C74986">
        <w:rPr>
          <w:rFonts w:asciiTheme="minorBidi" w:hAnsiTheme="minorBidi" w:cs="Arial"/>
          <w:sz w:val="24"/>
          <w:szCs w:val="24"/>
        </w:rPr>
        <w:t xml:space="preserve">encompass technologies that facilitate </w:t>
      </w:r>
      <w:r w:rsidR="00FE0624">
        <w:rPr>
          <w:rFonts w:asciiTheme="minorBidi" w:hAnsiTheme="minorBidi" w:cs="Arial"/>
          <w:sz w:val="24"/>
          <w:szCs w:val="24"/>
        </w:rPr>
        <w:t>patient-</w:t>
      </w:r>
      <w:r w:rsidR="003023BD">
        <w:rPr>
          <w:rFonts w:asciiTheme="minorBidi" w:hAnsiTheme="minorBidi" w:cs="Arial"/>
          <w:sz w:val="24"/>
          <w:szCs w:val="24"/>
        </w:rPr>
        <w:t>practitioner</w:t>
      </w:r>
      <w:r w:rsidR="00FE0624">
        <w:rPr>
          <w:rFonts w:asciiTheme="minorBidi" w:hAnsiTheme="minorBidi" w:cs="Arial"/>
          <w:sz w:val="24"/>
          <w:szCs w:val="24"/>
        </w:rPr>
        <w:t xml:space="preserve"> </w:t>
      </w:r>
      <w:r w:rsidRPr="00C74986">
        <w:rPr>
          <w:rFonts w:asciiTheme="minorBidi" w:hAnsiTheme="minorBidi" w:cs="Arial"/>
          <w:sz w:val="24"/>
          <w:szCs w:val="24"/>
        </w:rPr>
        <w:t xml:space="preserve">communication in medical fields such as diagnosis, treatment, counseling, and monitoring, including </w:t>
      </w:r>
      <w:r w:rsidR="00FE0624">
        <w:rPr>
          <w:rFonts w:asciiTheme="minorBidi" w:hAnsiTheme="minorBidi" w:cs="Arial"/>
          <w:sz w:val="24"/>
          <w:szCs w:val="24"/>
        </w:rPr>
        <w:t xml:space="preserve">for </w:t>
      </w:r>
      <w:r w:rsidRPr="00C74986">
        <w:rPr>
          <w:rFonts w:asciiTheme="minorBidi" w:hAnsiTheme="minorBidi" w:cs="Arial"/>
          <w:sz w:val="24"/>
          <w:szCs w:val="24"/>
        </w:rPr>
        <w:t xml:space="preserve">chronic patients. </w:t>
      </w:r>
      <w:r w:rsidR="00FE0624">
        <w:rPr>
          <w:rFonts w:asciiTheme="minorBidi" w:hAnsiTheme="minorBidi" w:cs="Arial"/>
          <w:sz w:val="24"/>
          <w:szCs w:val="24"/>
        </w:rPr>
        <w:t>The current study</w:t>
      </w:r>
      <w:r w:rsidRPr="00C74986">
        <w:rPr>
          <w:rFonts w:asciiTheme="minorBidi" w:hAnsiTheme="minorBidi" w:cs="Arial"/>
          <w:sz w:val="24"/>
          <w:szCs w:val="24"/>
        </w:rPr>
        <w:t xml:space="preserve"> aims to describe attitudes and behavior</w:t>
      </w:r>
      <w:r w:rsidR="00FE0624">
        <w:rPr>
          <w:rFonts w:asciiTheme="minorBidi" w:hAnsiTheme="minorBidi" w:cs="Arial"/>
          <w:sz w:val="24"/>
          <w:szCs w:val="24"/>
        </w:rPr>
        <w:t>s</w:t>
      </w:r>
      <w:r w:rsidRPr="00C74986">
        <w:rPr>
          <w:rFonts w:asciiTheme="minorBidi" w:hAnsiTheme="minorBidi" w:cs="Arial"/>
          <w:sz w:val="24"/>
          <w:szCs w:val="24"/>
        </w:rPr>
        <w:t xml:space="preserve"> </w:t>
      </w:r>
      <w:r w:rsidR="00A71CEA">
        <w:rPr>
          <w:rFonts w:asciiTheme="minorBidi" w:hAnsiTheme="minorBidi" w:cs="Arial"/>
          <w:sz w:val="24"/>
          <w:szCs w:val="24"/>
        </w:rPr>
        <w:t>related to</w:t>
      </w:r>
      <w:r w:rsidRPr="00C74986">
        <w:rPr>
          <w:rFonts w:asciiTheme="minorBidi" w:hAnsiTheme="minorBidi" w:cs="Arial"/>
          <w:sz w:val="24"/>
          <w:szCs w:val="24"/>
        </w:rPr>
        <w:t xml:space="preserve"> OHS and identify variables that explain online technology</w:t>
      </w:r>
      <w:r w:rsidR="00F31BB6">
        <w:rPr>
          <w:rFonts w:asciiTheme="minorBidi" w:hAnsiTheme="minorBidi" w:cs="Arial"/>
          <w:sz w:val="24"/>
          <w:szCs w:val="24"/>
        </w:rPr>
        <w:t xml:space="preserve"> use.</w:t>
      </w:r>
    </w:p>
    <w:p w14:paraId="1AA83A4B" w14:textId="5374A082" w:rsidR="00C74986" w:rsidRPr="00C74986" w:rsidRDefault="00C74986" w:rsidP="00FE0624">
      <w:pPr>
        <w:spacing w:line="480" w:lineRule="auto"/>
        <w:jc w:val="both"/>
        <w:rPr>
          <w:rFonts w:asciiTheme="minorBidi" w:hAnsiTheme="minorBidi" w:cs="Arial"/>
          <w:sz w:val="24"/>
          <w:szCs w:val="24"/>
        </w:rPr>
      </w:pPr>
      <w:r w:rsidRPr="00C74986">
        <w:rPr>
          <w:rFonts w:asciiTheme="minorBidi" w:hAnsiTheme="minorBidi" w:cs="Arial"/>
          <w:b/>
          <w:bCs/>
          <w:sz w:val="24"/>
          <w:szCs w:val="24"/>
        </w:rPr>
        <w:t>Method</w:t>
      </w:r>
      <w:r w:rsidR="001757E3">
        <w:rPr>
          <w:rFonts w:asciiTheme="minorBidi" w:hAnsiTheme="minorBidi" w:cs="Arial"/>
          <w:b/>
          <w:bCs/>
          <w:sz w:val="24"/>
          <w:szCs w:val="24"/>
        </w:rPr>
        <w:t>:</w:t>
      </w:r>
      <w:r>
        <w:rPr>
          <w:rFonts w:asciiTheme="minorBidi" w:hAnsiTheme="minorBidi" w:cs="Arial"/>
          <w:sz w:val="24"/>
          <w:szCs w:val="24"/>
        </w:rPr>
        <w:t xml:space="preserve"> </w:t>
      </w:r>
      <w:r w:rsidR="00FE0624">
        <w:rPr>
          <w:rFonts w:asciiTheme="minorBidi" w:hAnsiTheme="minorBidi" w:cs="Arial"/>
          <w:sz w:val="24"/>
          <w:szCs w:val="24"/>
        </w:rPr>
        <w:t>A</w:t>
      </w:r>
      <w:r w:rsidRPr="00C74986">
        <w:rPr>
          <w:rFonts w:asciiTheme="minorBidi" w:hAnsiTheme="minorBidi" w:cs="Arial"/>
          <w:sz w:val="24"/>
          <w:szCs w:val="24"/>
        </w:rPr>
        <w:t xml:space="preserve"> descriptive </w:t>
      </w:r>
      <w:r w:rsidR="00042F75">
        <w:rPr>
          <w:rFonts w:asciiTheme="minorBidi" w:hAnsiTheme="minorBidi" w:cs="Arial"/>
          <w:sz w:val="24"/>
          <w:szCs w:val="24"/>
        </w:rPr>
        <w:t xml:space="preserve">cross-sectional </w:t>
      </w:r>
      <w:r w:rsidRPr="00C74986">
        <w:rPr>
          <w:rFonts w:asciiTheme="minorBidi" w:hAnsiTheme="minorBidi" w:cs="Arial"/>
          <w:sz w:val="24"/>
          <w:szCs w:val="24"/>
        </w:rPr>
        <w:t>study among Hebrew-speaking</w:t>
      </w:r>
      <w:r w:rsidR="00042F75">
        <w:rPr>
          <w:rFonts w:asciiTheme="minorBidi" w:hAnsiTheme="minorBidi" w:cs="Arial"/>
          <w:sz w:val="24"/>
          <w:szCs w:val="24"/>
        </w:rPr>
        <w:t>,</w:t>
      </w:r>
      <w:r w:rsidRPr="00C74986">
        <w:rPr>
          <w:rFonts w:asciiTheme="minorBidi" w:hAnsiTheme="minorBidi" w:cs="Arial"/>
          <w:sz w:val="24"/>
          <w:szCs w:val="24"/>
        </w:rPr>
        <w:t xml:space="preserve"> </w:t>
      </w:r>
      <w:r w:rsidR="00042F75">
        <w:rPr>
          <w:rFonts w:asciiTheme="minorBidi" w:hAnsiTheme="minorBidi" w:cs="Arial"/>
          <w:sz w:val="24"/>
          <w:szCs w:val="24"/>
        </w:rPr>
        <w:t xml:space="preserve">computer-literate </w:t>
      </w:r>
      <w:r w:rsidR="00EB4367">
        <w:rPr>
          <w:rFonts w:asciiTheme="minorBidi" w:hAnsiTheme="minorBidi" w:cs="Arial"/>
          <w:sz w:val="24"/>
          <w:szCs w:val="24"/>
        </w:rPr>
        <w:t>older adults</w:t>
      </w:r>
      <w:r w:rsidR="00FE0624">
        <w:rPr>
          <w:rFonts w:asciiTheme="minorBidi" w:hAnsiTheme="minorBidi" w:cs="Arial"/>
          <w:sz w:val="24"/>
          <w:szCs w:val="24"/>
        </w:rPr>
        <w:t>, with</w:t>
      </w:r>
      <w:r w:rsidRPr="00C74986">
        <w:rPr>
          <w:rFonts w:asciiTheme="minorBidi" w:hAnsiTheme="minorBidi" w:cs="Arial"/>
          <w:sz w:val="24"/>
          <w:szCs w:val="24"/>
        </w:rPr>
        <w:t xml:space="preserve"> </w:t>
      </w:r>
      <w:r w:rsidR="00FE0624">
        <w:rPr>
          <w:rFonts w:asciiTheme="minorBidi" w:hAnsiTheme="minorBidi" w:cs="Arial"/>
          <w:sz w:val="24"/>
          <w:szCs w:val="24"/>
        </w:rPr>
        <w:t>d</w:t>
      </w:r>
      <w:r w:rsidRPr="00C74986">
        <w:rPr>
          <w:rFonts w:asciiTheme="minorBidi" w:hAnsiTheme="minorBidi" w:cs="Arial"/>
          <w:sz w:val="24"/>
          <w:szCs w:val="24"/>
        </w:rPr>
        <w:t>ata collect</w:t>
      </w:r>
      <w:r w:rsidR="00042F75">
        <w:rPr>
          <w:rFonts w:asciiTheme="minorBidi" w:hAnsiTheme="minorBidi" w:cs="Arial"/>
          <w:sz w:val="24"/>
          <w:szCs w:val="24"/>
        </w:rPr>
        <w:t>ed</w:t>
      </w:r>
      <w:r w:rsidRPr="00C74986">
        <w:rPr>
          <w:rFonts w:asciiTheme="minorBidi" w:hAnsiTheme="minorBidi" w:cs="Arial"/>
          <w:sz w:val="24"/>
          <w:szCs w:val="24"/>
        </w:rPr>
        <w:t xml:space="preserve"> </w:t>
      </w:r>
      <w:r w:rsidR="00FE0624">
        <w:rPr>
          <w:rFonts w:asciiTheme="minorBidi" w:hAnsiTheme="minorBidi" w:cs="Arial"/>
          <w:sz w:val="24"/>
          <w:szCs w:val="24"/>
        </w:rPr>
        <w:t>via</w:t>
      </w:r>
      <w:r w:rsidRPr="00C74986">
        <w:rPr>
          <w:rFonts w:asciiTheme="minorBidi" w:hAnsiTheme="minorBidi" w:cs="Arial"/>
          <w:sz w:val="24"/>
          <w:szCs w:val="24"/>
        </w:rPr>
        <w:t xml:space="preserve"> online questionnaire</w:t>
      </w:r>
      <w:r w:rsidR="00EB4367">
        <w:rPr>
          <w:rFonts w:asciiTheme="minorBidi" w:hAnsiTheme="minorBidi" w:cs="Arial"/>
          <w:sz w:val="24"/>
          <w:szCs w:val="24"/>
        </w:rPr>
        <w:t>s</w:t>
      </w:r>
      <w:r w:rsidRPr="00C74986">
        <w:rPr>
          <w:rFonts w:asciiTheme="minorBidi" w:hAnsiTheme="minorBidi" w:cs="Arial"/>
          <w:sz w:val="24"/>
          <w:szCs w:val="24"/>
        </w:rPr>
        <w:t>. The convenience sample included 700 respondents, of w</w:t>
      </w:r>
      <w:r w:rsidR="00FE0624">
        <w:rPr>
          <w:rFonts w:asciiTheme="minorBidi" w:hAnsiTheme="minorBidi" w:cs="Arial"/>
          <w:sz w:val="24"/>
          <w:szCs w:val="24"/>
        </w:rPr>
        <w:t>hom 57.4% were female. Respondents’</w:t>
      </w:r>
      <w:r w:rsidRPr="00C74986">
        <w:rPr>
          <w:rFonts w:asciiTheme="minorBidi" w:hAnsiTheme="minorBidi" w:cs="Arial"/>
          <w:sz w:val="24"/>
          <w:szCs w:val="24"/>
        </w:rPr>
        <w:t xml:space="preserve"> </w:t>
      </w:r>
      <w:r w:rsidR="00FE0624">
        <w:rPr>
          <w:rFonts w:asciiTheme="minorBidi" w:hAnsiTheme="minorBidi" w:cs="Arial"/>
          <w:sz w:val="24"/>
          <w:szCs w:val="24"/>
        </w:rPr>
        <w:t>mean</w:t>
      </w:r>
      <w:r w:rsidRPr="00C74986">
        <w:rPr>
          <w:rFonts w:asciiTheme="minorBidi" w:hAnsiTheme="minorBidi" w:cs="Arial"/>
          <w:sz w:val="24"/>
          <w:szCs w:val="24"/>
        </w:rPr>
        <w:t xml:space="preserve"> age</w:t>
      </w:r>
      <w:r w:rsidR="00FE0624">
        <w:rPr>
          <w:rFonts w:asciiTheme="minorBidi" w:hAnsiTheme="minorBidi" w:cs="Arial"/>
          <w:sz w:val="24"/>
          <w:szCs w:val="24"/>
        </w:rPr>
        <w:t xml:space="preserve"> was</w:t>
      </w:r>
      <w:r w:rsidRPr="00C74986">
        <w:rPr>
          <w:rFonts w:asciiTheme="minorBidi" w:hAnsiTheme="minorBidi" w:cs="Arial"/>
          <w:sz w:val="24"/>
          <w:szCs w:val="24"/>
        </w:rPr>
        <w:t xml:space="preserve"> 64 years</w:t>
      </w:r>
      <w:r w:rsidR="00FE0624">
        <w:rPr>
          <w:rFonts w:asciiTheme="minorBidi" w:hAnsiTheme="minorBidi" w:cs="Arial"/>
          <w:sz w:val="24"/>
          <w:szCs w:val="24"/>
        </w:rPr>
        <w:t>, with</w:t>
      </w:r>
      <w:r w:rsidRPr="00C74986">
        <w:rPr>
          <w:rFonts w:asciiTheme="minorBidi" w:hAnsiTheme="minorBidi" w:cs="Arial"/>
          <w:sz w:val="24"/>
          <w:szCs w:val="24"/>
        </w:rPr>
        <w:t xml:space="preserve"> </w:t>
      </w:r>
      <w:r w:rsidR="00FE0624">
        <w:rPr>
          <w:rFonts w:asciiTheme="minorBidi" w:hAnsiTheme="minorBidi" w:cs="Arial"/>
          <w:sz w:val="24"/>
          <w:szCs w:val="24"/>
        </w:rPr>
        <w:t>m</w:t>
      </w:r>
      <w:r w:rsidRPr="00C74986">
        <w:rPr>
          <w:rFonts w:asciiTheme="minorBidi" w:hAnsiTheme="minorBidi" w:cs="Arial"/>
          <w:sz w:val="24"/>
          <w:szCs w:val="24"/>
        </w:rPr>
        <w:t xml:space="preserve">ost </w:t>
      </w:r>
      <w:r w:rsidR="00FE0624">
        <w:rPr>
          <w:rFonts w:asciiTheme="minorBidi" w:hAnsiTheme="minorBidi" w:cs="Arial"/>
          <w:sz w:val="24"/>
          <w:szCs w:val="24"/>
        </w:rPr>
        <w:t>being</w:t>
      </w:r>
      <w:r w:rsidRPr="00C74986">
        <w:rPr>
          <w:rFonts w:asciiTheme="minorBidi" w:hAnsiTheme="minorBidi" w:cs="Arial"/>
          <w:sz w:val="24"/>
          <w:szCs w:val="24"/>
        </w:rPr>
        <w:t xml:space="preserve"> married (59.3%), secular (75.9%), academic</w:t>
      </w:r>
      <w:r w:rsidR="00FE0624">
        <w:rPr>
          <w:rFonts w:asciiTheme="minorBidi" w:hAnsiTheme="minorBidi" w:cs="Arial"/>
          <w:sz w:val="24"/>
          <w:szCs w:val="24"/>
        </w:rPr>
        <w:t>ally</w:t>
      </w:r>
      <w:r w:rsidRPr="00C74986">
        <w:rPr>
          <w:rFonts w:asciiTheme="minorBidi" w:hAnsiTheme="minorBidi" w:cs="Arial"/>
          <w:sz w:val="24"/>
          <w:szCs w:val="24"/>
        </w:rPr>
        <w:t xml:space="preserve"> educat</w:t>
      </w:r>
      <w:r w:rsidR="00FE0624">
        <w:rPr>
          <w:rFonts w:asciiTheme="minorBidi" w:hAnsiTheme="minorBidi" w:cs="Arial"/>
          <w:sz w:val="24"/>
          <w:szCs w:val="24"/>
        </w:rPr>
        <w:t>ed</w:t>
      </w:r>
      <w:r w:rsidRPr="00C74986">
        <w:rPr>
          <w:rFonts w:asciiTheme="minorBidi" w:hAnsiTheme="minorBidi" w:cs="Arial"/>
          <w:sz w:val="24"/>
          <w:szCs w:val="24"/>
        </w:rPr>
        <w:t xml:space="preserve"> (59.1%)</w:t>
      </w:r>
      <w:r w:rsidR="00FE0624">
        <w:rPr>
          <w:rFonts w:asciiTheme="minorBidi" w:hAnsiTheme="minorBidi" w:cs="Arial"/>
          <w:sz w:val="24"/>
          <w:szCs w:val="24"/>
        </w:rPr>
        <w:t xml:space="preserve">, and </w:t>
      </w:r>
      <w:r w:rsidRPr="00C74986">
        <w:rPr>
          <w:rFonts w:asciiTheme="minorBidi" w:hAnsiTheme="minorBidi" w:cs="Arial"/>
          <w:sz w:val="24"/>
          <w:szCs w:val="24"/>
        </w:rPr>
        <w:t>having a chronic illness</w:t>
      </w:r>
      <w:r w:rsidR="00F31BB6">
        <w:rPr>
          <w:rFonts w:asciiTheme="minorBidi" w:hAnsiTheme="minorBidi" w:cs="Arial"/>
          <w:sz w:val="24"/>
          <w:szCs w:val="24"/>
        </w:rPr>
        <w:t xml:space="preserve"> (</w:t>
      </w:r>
      <w:r w:rsidR="00F31BB6" w:rsidRPr="00C74986">
        <w:rPr>
          <w:rFonts w:asciiTheme="minorBidi" w:hAnsiTheme="minorBidi" w:cs="Arial"/>
          <w:sz w:val="24"/>
          <w:szCs w:val="24"/>
        </w:rPr>
        <w:t>65.7%</w:t>
      </w:r>
      <w:r w:rsidR="00F31BB6">
        <w:rPr>
          <w:rFonts w:asciiTheme="minorBidi" w:hAnsiTheme="minorBidi" w:cs="Arial"/>
          <w:sz w:val="24"/>
          <w:szCs w:val="24"/>
        </w:rPr>
        <w:t>).</w:t>
      </w:r>
    </w:p>
    <w:p w14:paraId="42D12111" w14:textId="16D7A61D" w:rsidR="00C74986" w:rsidRDefault="00C74986" w:rsidP="00B7193B">
      <w:pPr>
        <w:spacing w:line="480" w:lineRule="auto"/>
        <w:jc w:val="both"/>
        <w:rPr>
          <w:rFonts w:asciiTheme="minorBidi" w:hAnsiTheme="minorBidi" w:cs="Arial"/>
          <w:sz w:val="24"/>
          <w:szCs w:val="24"/>
        </w:rPr>
      </w:pPr>
      <w:r w:rsidRPr="00C74986">
        <w:rPr>
          <w:rFonts w:asciiTheme="minorBidi" w:hAnsiTheme="minorBidi" w:cs="Arial"/>
          <w:b/>
          <w:bCs/>
          <w:sz w:val="24"/>
          <w:szCs w:val="24"/>
        </w:rPr>
        <w:t>Results</w:t>
      </w:r>
      <w:r w:rsidR="001757E3">
        <w:rPr>
          <w:rFonts w:asciiTheme="minorBidi" w:hAnsiTheme="minorBidi" w:cs="Arial"/>
          <w:b/>
          <w:bCs/>
          <w:sz w:val="24"/>
          <w:szCs w:val="24"/>
        </w:rPr>
        <w:t>:</w:t>
      </w:r>
      <w:r w:rsidRPr="00C74986">
        <w:rPr>
          <w:rFonts w:asciiTheme="minorBidi" w:hAnsiTheme="minorBidi" w:cs="Arial"/>
          <w:sz w:val="24"/>
          <w:szCs w:val="24"/>
        </w:rPr>
        <w:t xml:space="preserve"> Despite </w:t>
      </w:r>
      <w:r w:rsidR="002B193A">
        <w:rPr>
          <w:rFonts w:asciiTheme="minorBidi" w:hAnsiTheme="minorBidi" w:cs="Arial"/>
          <w:sz w:val="24"/>
          <w:szCs w:val="24"/>
        </w:rPr>
        <w:t xml:space="preserve">high OHS </w:t>
      </w:r>
      <w:r w:rsidR="002D6A62">
        <w:rPr>
          <w:rFonts w:asciiTheme="minorBidi" w:hAnsiTheme="minorBidi" w:cs="Arial"/>
          <w:sz w:val="24"/>
          <w:szCs w:val="24"/>
        </w:rPr>
        <w:t>use</w:t>
      </w:r>
      <w:r w:rsidR="002B193A">
        <w:rPr>
          <w:rFonts w:asciiTheme="minorBidi" w:hAnsiTheme="minorBidi" w:cs="Arial"/>
          <w:sz w:val="24"/>
          <w:szCs w:val="24"/>
        </w:rPr>
        <w:t xml:space="preserve"> among </w:t>
      </w:r>
      <w:r w:rsidRPr="00C74986">
        <w:rPr>
          <w:rFonts w:asciiTheme="minorBidi" w:hAnsiTheme="minorBidi" w:cs="Arial"/>
          <w:sz w:val="24"/>
          <w:szCs w:val="24"/>
        </w:rPr>
        <w:t xml:space="preserve">nearly half the participants, </w:t>
      </w:r>
      <w:r w:rsidR="002B193A">
        <w:rPr>
          <w:rFonts w:asciiTheme="minorBidi" w:hAnsiTheme="minorBidi" w:cs="Arial"/>
          <w:sz w:val="24"/>
          <w:szCs w:val="24"/>
        </w:rPr>
        <w:t>most</w:t>
      </w:r>
      <w:r w:rsidRPr="00C74986">
        <w:rPr>
          <w:rFonts w:asciiTheme="minorBidi" w:hAnsiTheme="minorBidi" w:cs="Arial"/>
          <w:sz w:val="24"/>
          <w:szCs w:val="24"/>
        </w:rPr>
        <w:t xml:space="preserve"> </w:t>
      </w:r>
      <w:r w:rsidR="006F0128">
        <w:rPr>
          <w:rFonts w:asciiTheme="minorBidi" w:hAnsiTheme="minorBidi" w:cs="Arial"/>
          <w:sz w:val="24"/>
          <w:szCs w:val="24"/>
        </w:rPr>
        <w:t>were undecided</w:t>
      </w:r>
      <w:r w:rsidRPr="00C74986">
        <w:rPr>
          <w:rFonts w:asciiTheme="minorBidi" w:hAnsiTheme="minorBidi" w:cs="Arial"/>
          <w:sz w:val="24"/>
          <w:szCs w:val="24"/>
        </w:rPr>
        <w:t xml:space="preserve"> whether they </w:t>
      </w:r>
      <w:r w:rsidR="006F0128" w:rsidRPr="00C74986">
        <w:rPr>
          <w:rFonts w:asciiTheme="minorBidi" w:hAnsiTheme="minorBidi" w:cs="Arial"/>
          <w:sz w:val="24"/>
          <w:szCs w:val="24"/>
        </w:rPr>
        <w:t>prefer</w:t>
      </w:r>
      <w:r w:rsidR="006F0128">
        <w:rPr>
          <w:rFonts w:asciiTheme="minorBidi" w:hAnsiTheme="minorBidi" w:cs="Arial"/>
          <w:sz w:val="24"/>
          <w:szCs w:val="24"/>
        </w:rPr>
        <w:t>red</w:t>
      </w:r>
      <w:r w:rsidRPr="00C74986">
        <w:rPr>
          <w:rFonts w:asciiTheme="minorBidi" w:hAnsiTheme="minorBidi" w:cs="Arial"/>
          <w:sz w:val="24"/>
          <w:szCs w:val="24"/>
        </w:rPr>
        <w:t xml:space="preserve"> face-to-face or online treatment. Preference for face-to-face treatment was negatively associated with perceived </w:t>
      </w:r>
      <w:r w:rsidR="006F0128">
        <w:rPr>
          <w:rFonts w:asciiTheme="minorBidi" w:hAnsiTheme="minorBidi" w:cs="Arial"/>
          <w:sz w:val="24"/>
          <w:szCs w:val="24"/>
        </w:rPr>
        <w:t>efficacy</w:t>
      </w:r>
      <w:r w:rsidRPr="00C74986">
        <w:rPr>
          <w:rFonts w:asciiTheme="minorBidi" w:hAnsiTheme="minorBidi" w:cs="Arial"/>
          <w:sz w:val="24"/>
          <w:szCs w:val="24"/>
        </w:rPr>
        <w:t xml:space="preserve"> and </w:t>
      </w:r>
      <w:r w:rsidR="002B193A">
        <w:rPr>
          <w:rFonts w:asciiTheme="minorBidi" w:hAnsiTheme="minorBidi" w:cs="Arial"/>
          <w:sz w:val="24"/>
          <w:szCs w:val="24"/>
        </w:rPr>
        <w:t>safety</w:t>
      </w:r>
      <w:r w:rsidRPr="00C74986">
        <w:rPr>
          <w:rFonts w:asciiTheme="minorBidi" w:hAnsiTheme="minorBidi" w:cs="Arial"/>
          <w:sz w:val="24"/>
          <w:szCs w:val="24"/>
        </w:rPr>
        <w:t xml:space="preserve"> of online treatment, online health</w:t>
      </w:r>
      <w:r w:rsidR="002B193A">
        <w:rPr>
          <w:rFonts w:asciiTheme="minorBidi" w:hAnsiTheme="minorBidi" w:cs="Arial"/>
          <w:sz w:val="24"/>
          <w:szCs w:val="24"/>
        </w:rPr>
        <w:t xml:space="preserve"> literacy</w:t>
      </w:r>
      <w:r w:rsidRPr="00C74986">
        <w:rPr>
          <w:rFonts w:asciiTheme="minorBidi" w:hAnsiTheme="minorBidi" w:cs="Arial"/>
          <w:sz w:val="24"/>
          <w:szCs w:val="24"/>
        </w:rPr>
        <w:t xml:space="preserve">, and extent of OHS </w:t>
      </w:r>
      <w:r w:rsidR="002D6A62">
        <w:rPr>
          <w:rFonts w:asciiTheme="minorBidi" w:hAnsiTheme="minorBidi" w:cs="Arial"/>
          <w:sz w:val="24"/>
          <w:szCs w:val="24"/>
        </w:rPr>
        <w:t>use</w:t>
      </w:r>
      <w:r w:rsidRPr="00C74986">
        <w:rPr>
          <w:rFonts w:asciiTheme="minorBidi" w:hAnsiTheme="minorBidi" w:cs="Arial"/>
          <w:sz w:val="24"/>
          <w:szCs w:val="24"/>
        </w:rPr>
        <w:t xml:space="preserve">. </w:t>
      </w:r>
      <w:r w:rsidR="00290C84">
        <w:rPr>
          <w:rFonts w:asciiTheme="minorBidi" w:hAnsiTheme="minorBidi" w:cs="Arial"/>
          <w:sz w:val="24"/>
          <w:szCs w:val="24"/>
        </w:rPr>
        <w:t>K</w:t>
      </w:r>
      <w:r w:rsidRPr="00C74986">
        <w:rPr>
          <w:rFonts w:asciiTheme="minorBidi" w:hAnsiTheme="minorBidi" w:cs="Arial"/>
          <w:sz w:val="24"/>
          <w:szCs w:val="24"/>
        </w:rPr>
        <w:t xml:space="preserve">ey variables </w:t>
      </w:r>
      <w:r w:rsidR="006F0128">
        <w:rPr>
          <w:rFonts w:asciiTheme="minorBidi" w:hAnsiTheme="minorBidi" w:cs="Arial"/>
          <w:sz w:val="24"/>
          <w:szCs w:val="24"/>
        </w:rPr>
        <w:t>explaining</w:t>
      </w:r>
      <w:r w:rsidRPr="00C74986">
        <w:rPr>
          <w:rFonts w:asciiTheme="minorBidi" w:hAnsiTheme="minorBidi" w:cs="Arial"/>
          <w:sz w:val="24"/>
          <w:szCs w:val="24"/>
        </w:rPr>
        <w:t xml:space="preserve"> OHS </w:t>
      </w:r>
      <w:r w:rsidR="002D6A62">
        <w:rPr>
          <w:rFonts w:asciiTheme="minorBidi" w:hAnsiTheme="minorBidi" w:cs="Arial"/>
          <w:sz w:val="24"/>
          <w:szCs w:val="24"/>
        </w:rPr>
        <w:t>use</w:t>
      </w:r>
      <w:r w:rsidRPr="00C74986">
        <w:rPr>
          <w:rFonts w:asciiTheme="minorBidi" w:hAnsiTheme="minorBidi" w:cs="Arial"/>
          <w:sz w:val="24"/>
          <w:szCs w:val="24"/>
        </w:rPr>
        <w:t xml:space="preserve"> were </w:t>
      </w:r>
      <w:r w:rsidR="006F0128">
        <w:rPr>
          <w:rFonts w:asciiTheme="minorBidi" w:hAnsiTheme="minorBidi" w:cs="Arial"/>
          <w:sz w:val="24"/>
          <w:szCs w:val="24"/>
        </w:rPr>
        <w:t>perceived efficacy</w:t>
      </w:r>
      <w:r w:rsidRPr="00C74986">
        <w:rPr>
          <w:rFonts w:asciiTheme="minorBidi" w:hAnsiTheme="minorBidi" w:cs="Arial"/>
          <w:sz w:val="24"/>
          <w:szCs w:val="24"/>
        </w:rPr>
        <w:t xml:space="preserve"> and </w:t>
      </w:r>
      <w:r w:rsidR="00290C84">
        <w:rPr>
          <w:rFonts w:asciiTheme="minorBidi" w:hAnsiTheme="minorBidi" w:cs="Arial"/>
          <w:sz w:val="24"/>
          <w:szCs w:val="24"/>
        </w:rPr>
        <w:t>safety</w:t>
      </w:r>
      <w:r w:rsidRPr="00C74986">
        <w:rPr>
          <w:rFonts w:asciiTheme="minorBidi" w:hAnsiTheme="minorBidi" w:cs="Arial"/>
          <w:sz w:val="24"/>
          <w:szCs w:val="24"/>
        </w:rPr>
        <w:t xml:space="preserve"> of online treatment, online health</w:t>
      </w:r>
      <w:r w:rsidR="00290C84">
        <w:rPr>
          <w:rFonts w:asciiTheme="minorBidi" w:hAnsiTheme="minorBidi" w:cs="Arial"/>
          <w:sz w:val="24"/>
          <w:szCs w:val="24"/>
        </w:rPr>
        <w:t xml:space="preserve"> literacy</w:t>
      </w:r>
      <w:r w:rsidRPr="00C74986">
        <w:rPr>
          <w:rFonts w:asciiTheme="minorBidi" w:hAnsiTheme="minorBidi" w:cs="Arial"/>
          <w:sz w:val="24"/>
          <w:szCs w:val="24"/>
        </w:rPr>
        <w:t xml:space="preserve">, preference for face-to-face treatment, and chronic illness. </w:t>
      </w:r>
      <w:r w:rsidR="008F43B4">
        <w:rPr>
          <w:rFonts w:asciiTheme="minorBidi" w:hAnsiTheme="minorBidi" w:cs="Arial"/>
          <w:sz w:val="24"/>
          <w:szCs w:val="24"/>
        </w:rPr>
        <w:t xml:space="preserve">The </w:t>
      </w:r>
      <w:r w:rsidR="00B7193B">
        <w:rPr>
          <w:rFonts w:asciiTheme="minorBidi" w:hAnsiTheme="minorBidi" w:cs="Arial"/>
          <w:sz w:val="24"/>
          <w:szCs w:val="24"/>
        </w:rPr>
        <w:t>e</w:t>
      </w:r>
      <w:r w:rsidR="00B7193B" w:rsidRPr="00C74986">
        <w:rPr>
          <w:rFonts w:asciiTheme="minorBidi" w:hAnsiTheme="minorBidi" w:cs="Arial"/>
          <w:sz w:val="24"/>
          <w:szCs w:val="24"/>
        </w:rPr>
        <w:t>xplained varia</w:t>
      </w:r>
      <w:r w:rsidR="00B7193B">
        <w:rPr>
          <w:rFonts w:asciiTheme="minorBidi" w:hAnsiTheme="minorBidi" w:cs="Arial"/>
          <w:sz w:val="24"/>
          <w:szCs w:val="24"/>
        </w:rPr>
        <w:t>tion</w:t>
      </w:r>
      <w:r w:rsidR="00B7193B" w:rsidRPr="00C74986">
        <w:rPr>
          <w:rFonts w:asciiTheme="minorBidi" w:hAnsiTheme="minorBidi" w:cs="Arial"/>
          <w:sz w:val="24"/>
          <w:szCs w:val="24"/>
        </w:rPr>
        <w:t xml:space="preserve"> </w:t>
      </w:r>
      <w:r w:rsidR="00B7193B">
        <w:rPr>
          <w:rFonts w:asciiTheme="minorBidi" w:hAnsiTheme="minorBidi" w:cs="Arial"/>
          <w:sz w:val="24"/>
          <w:szCs w:val="24"/>
        </w:rPr>
        <w:t xml:space="preserve">of the </w:t>
      </w:r>
      <w:r w:rsidR="008F43B4" w:rsidRPr="00C74986">
        <w:rPr>
          <w:rFonts w:asciiTheme="minorBidi" w:hAnsiTheme="minorBidi" w:cs="Arial"/>
          <w:sz w:val="24"/>
          <w:szCs w:val="24"/>
        </w:rPr>
        <w:t>OHS consumption</w:t>
      </w:r>
      <w:r w:rsidR="008F43B4">
        <w:rPr>
          <w:rFonts w:asciiTheme="minorBidi" w:hAnsiTheme="minorBidi" w:cs="Arial"/>
          <w:sz w:val="24"/>
          <w:szCs w:val="24"/>
        </w:rPr>
        <w:t xml:space="preserve"> model </w:t>
      </w:r>
      <w:r w:rsidRPr="00C74986">
        <w:rPr>
          <w:rFonts w:asciiTheme="minorBidi" w:hAnsiTheme="minorBidi" w:cs="Arial"/>
          <w:sz w:val="24"/>
          <w:szCs w:val="24"/>
        </w:rPr>
        <w:t>was 40.4%.</w:t>
      </w:r>
    </w:p>
    <w:p w14:paraId="6BEE7080" w14:textId="35314FC7" w:rsidR="00C74986" w:rsidRDefault="00345631" w:rsidP="00B7193B">
      <w:pPr>
        <w:spacing w:line="480" w:lineRule="auto"/>
        <w:jc w:val="both"/>
        <w:rPr>
          <w:rFonts w:asciiTheme="minorBidi" w:hAnsiTheme="minorBidi"/>
          <w:sz w:val="24"/>
          <w:szCs w:val="24"/>
        </w:rPr>
      </w:pPr>
      <w:r w:rsidRPr="00345631">
        <w:rPr>
          <w:rFonts w:asciiTheme="minorBidi" w:hAnsiTheme="minorBidi" w:cs="Arial"/>
          <w:b/>
          <w:bCs/>
          <w:sz w:val="24"/>
          <w:szCs w:val="24"/>
        </w:rPr>
        <w:t xml:space="preserve">Discussion and </w:t>
      </w:r>
      <w:r w:rsidR="001757E3">
        <w:rPr>
          <w:rFonts w:asciiTheme="minorBidi" w:hAnsiTheme="minorBidi"/>
          <w:b/>
          <w:bCs/>
          <w:sz w:val="24"/>
          <w:szCs w:val="24"/>
        </w:rPr>
        <w:t>c</w:t>
      </w:r>
      <w:r w:rsidRPr="001757E3">
        <w:rPr>
          <w:rFonts w:asciiTheme="minorBidi" w:hAnsiTheme="minorBidi"/>
          <w:b/>
          <w:bCs/>
          <w:sz w:val="24"/>
          <w:szCs w:val="24"/>
        </w:rPr>
        <w:t>onclusions</w:t>
      </w:r>
      <w:r w:rsidR="001757E3">
        <w:rPr>
          <w:rFonts w:asciiTheme="minorBidi" w:hAnsiTheme="minorBidi"/>
          <w:b/>
          <w:bCs/>
          <w:sz w:val="24"/>
          <w:szCs w:val="24"/>
        </w:rPr>
        <w:t xml:space="preserve">: </w:t>
      </w:r>
      <w:r w:rsidR="001757E3" w:rsidRPr="001757E3">
        <w:rPr>
          <w:rFonts w:asciiTheme="minorBidi" w:hAnsiTheme="minorBidi"/>
          <w:sz w:val="24"/>
          <w:szCs w:val="24"/>
        </w:rPr>
        <w:t xml:space="preserve">The variables explaining OHS </w:t>
      </w:r>
      <w:r w:rsidR="002D6A62">
        <w:rPr>
          <w:rFonts w:asciiTheme="minorBidi" w:hAnsiTheme="minorBidi"/>
          <w:sz w:val="24"/>
          <w:szCs w:val="24"/>
        </w:rPr>
        <w:t>use</w:t>
      </w:r>
      <w:r w:rsidR="009E1F0E">
        <w:rPr>
          <w:rFonts w:asciiTheme="minorBidi" w:hAnsiTheme="minorBidi"/>
          <w:sz w:val="24"/>
          <w:szCs w:val="24"/>
        </w:rPr>
        <w:t xml:space="preserve"> </w:t>
      </w:r>
      <w:r w:rsidR="001757E3" w:rsidRPr="001757E3">
        <w:rPr>
          <w:rFonts w:asciiTheme="minorBidi" w:hAnsiTheme="minorBidi"/>
          <w:sz w:val="24"/>
          <w:szCs w:val="24"/>
        </w:rPr>
        <w:t>are not necessarily linked to classic background variables</w:t>
      </w:r>
      <w:r w:rsidR="009E1F0E">
        <w:rPr>
          <w:rFonts w:asciiTheme="minorBidi" w:hAnsiTheme="minorBidi"/>
          <w:sz w:val="24"/>
          <w:szCs w:val="24"/>
        </w:rPr>
        <w:t>, e.g.</w:t>
      </w:r>
      <w:r w:rsidR="001757E3" w:rsidRPr="001757E3">
        <w:rPr>
          <w:rFonts w:asciiTheme="minorBidi" w:hAnsiTheme="minorBidi"/>
          <w:sz w:val="24"/>
          <w:szCs w:val="24"/>
        </w:rPr>
        <w:t xml:space="preserve"> gender, age, and education</w:t>
      </w:r>
      <w:r w:rsidR="009E1F0E">
        <w:rPr>
          <w:rFonts w:asciiTheme="minorBidi" w:hAnsiTheme="minorBidi"/>
          <w:sz w:val="24"/>
          <w:szCs w:val="24"/>
        </w:rPr>
        <w:t>,</w:t>
      </w:r>
      <w:r w:rsidR="001757E3" w:rsidRPr="001757E3">
        <w:rPr>
          <w:rFonts w:asciiTheme="minorBidi" w:hAnsiTheme="minorBidi"/>
          <w:sz w:val="24"/>
          <w:szCs w:val="24"/>
        </w:rPr>
        <w:t xml:space="preserve"> but rather to variables related to </w:t>
      </w:r>
      <w:commentRangeStart w:id="0"/>
      <w:r w:rsidR="001757E3" w:rsidRPr="001757E3">
        <w:rPr>
          <w:rFonts w:asciiTheme="minorBidi" w:hAnsiTheme="minorBidi"/>
          <w:sz w:val="24"/>
          <w:szCs w:val="24"/>
        </w:rPr>
        <w:t>treatment and use of OHS for therapeutic purposes</w:t>
      </w:r>
      <w:commentRangeEnd w:id="0"/>
      <w:r w:rsidR="00B7193B">
        <w:rPr>
          <w:rStyle w:val="CommentReference"/>
        </w:rPr>
        <w:commentReference w:id="0"/>
      </w:r>
      <w:r w:rsidR="001757E3" w:rsidRPr="001757E3">
        <w:rPr>
          <w:rFonts w:asciiTheme="minorBidi" w:hAnsiTheme="minorBidi"/>
          <w:sz w:val="24"/>
          <w:szCs w:val="24"/>
        </w:rPr>
        <w:t xml:space="preserve">. OHS </w:t>
      </w:r>
      <w:r w:rsidR="00DE66E9">
        <w:rPr>
          <w:rFonts w:asciiTheme="minorBidi" w:hAnsiTheme="minorBidi"/>
          <w:sz w:val="24"/>
          <w:szCs w:val="24"/>
        </w:rPr>
        <w:t>are</w:t>
      </w:r>
      <w:r w:rsidR="001757E3" w:rsidRPr="001757E3">
        <w:rPr>
          <w:rFonts w:asciiTheme="minorBidi" w:hAnsiTheme="minorBidi"/>
          <w:sz w:val="24"/>
          <w:szCs w:val="24"/>
        </w:rPr>
        <w:t xml:space="preserve"> not perceived as </w:t>
      </w:r>
      <w:r w:rsidR="00DE66E9">
        <w:rPr>
          <w:rFonts w:asciiTheme="minorBidi" w:hAnsiTheme="minorBidi"/>
          <w:sz w:val="24"/>
          <w:szCs w:val="24"/>
        </w:rPr>
        <w:t>s</w:t>
      </w:r>
      <w:r w:rsidR="001757E3" w:rsidRPr="001757E3">
        <w:rPr>
          <w:rFonts w:asciiTheme="minorBidi" w:hAnsiTheme="minorBidi"/>
          <w:sz w:val="24"/>
          <w:szCs w:val="24"/>
        </w:rPr>
        <w:t>ubstitute</w:t>
      </w:r>
      <w:r w:rsidR="00DE66E9">
        <w:rPr>
          <w:rFonts w:asciiTheme="minorBidi" w:hAnsiTheme="minorBidi"/>
          <w:sz w:val="24"/>
          <w:szCs w:val="24"/>
        </w:rPr>
        <w:t>s</w:t>
      </w:r>
      <w:r w:rsidR="001757E3" w:rsidRPr="001757E3">
        <w:rPr>
          <w:rFonts w:asciiTheme="minorBidi" w:hAnsiTheme="minorBidi"/>
          <w:sz w:val="24"/>
          <w:szCs w:val="24"/>
        </w:rPr>
        <w:t xml:space="preserve"> for </w:t>
      </w:r>
      <w:r w:rsidR="00EB4367">
        <w:rPr>
          <w:rFonts w:asciiTheme="minorBidi" w:hAnsiTheme="minorBidi"/>
          <w:sz w:val="24"/>
          <w:szCs w:val="24"/>
        </w:rPr>
        <w:t>in-person</w:t>
      </w:r>
      <w:r w:rsidR="001757E3" w:rsidRPr="001757E3">
        <w:rPr>
          <w:rFonts w:asciiTheme="minorBidi" w:hAnsiTheme="minorBidi"/>
          <w:sz w:val="24"/>
          <w:szCs w:val="24"/>
        </w:rPr>
        <w:t xml:space="preserve"> </w:t>
      </w:r>
      <w:r w:rsidR="00B7193B">
        <w:rPr>
          <w:rFonts w:asciiTheme="minorBidi" w:hAnsiTheme="minorBidi"/>
          <w:sz w:val="24"/>
          <w:szCs w:val="24"/>
        </w:rPr>
        <w:t>meetings</w:t>
      </w:r>
      <w:r w:rsidR="001757E3" w:rsidRPr="001757E3">
        <w:rPr>
          <w:rFonts w:asciiTheme="minorBidi" w:hAnsiTheme="minorBidi"/>
          <w:sz w:val="24"/>
          <w:szCs w:val="24"/>
        </w:rPr>
        <w:t xml:space="preserve"> with healthcare providers but as </w:t>
      </w:r>
      <w:r w:rsidR="00DE66E9">
        <w:rPr>
          <w:rFonts w:asciiTheme="minorBidi" w:hAnsiTheme="minorBidi"/>
          <w:sz w:val="24"/>
          <w:szCs w:val="24"/>
        </w:rPr>
        <w:t xml:space="preserve">a </w:t>
      </w:r>
      <w:r w:rsidR="00B7193B">
        <w:rPr>
          <w:rFonts w:asciiTheme="minorBidi" w:hAnsiTheme="minorBidi"/>
          <w:sz w:val="24"/>
          <w:szCs w:val="24"/>
        </w:rPr>
        <w:t>supplementary</w:t>
      </w:r>
      <w:r w:rsidR="001757E3" w:rsidRPr="001757E3">
        <w:rPr>
          <w:rFonts w:asciiTheme="minorBidi" w:hAnsiTheme="minorBidi"/>
          <w:sz w:val="24"/>
          <w:szCs w:val="24"/>
        </w:rPr>
        <w:t xml:space="preserve"> </w:t>
      </w:r>
      <w:r w:rsidR="00DE66E9">
        <w:rPr>
          <w:rFonts w:asciiTheme="minorBidi" w:hAnsiTheme="minorBidi"/>
          <w:sz w:val="24"/>
          <w:szCs w:val="24"/>
        </w:rPr>
        <w:t>service</w:t>
      </w:r>
      <w:r w:rsidR="001757E3" w:rsidRPr="001757E3">
        <w:rPr>
          <w:rFonts w:asciiTheme="minorBidi" w:hAnsiTheme="minorBidi"/>
          <w:sz w:val="24"/>
          <w:szCs w:val="24"/>
        </w:rPr>
        <w:t xml:space="preserve">. Therefore, to enhance </w:t>
      </w:r>
      <w:r w:rsidR="00DE66E9">
        <w:rPr>
          <w:rFonts w:asciiTheme="minorBidi" w:hAnsiTheme="minorBidi"/>
          <w:sz w:val="24"/>
          <w:szCs w:val="24"/>
        </w:rPr>
        <w:t xml:space="preserve">OHS </w:t>
      </w:r>
      <w:r w:rsidR="002D6A62">
        <w:rPr>
          <w:rFonts w:asciiTheme="minorBidi" w:hAnsiTheme="minorBidi"/>
          <w:sz w:val="24"/>
          <w:szCs w:val="24"/>
        </w:rPr>
        <w:t>use</w:t>
      </w:r>
      <w:r w:rsidR="00DE66E9">
        <w:rPr>
          <w:rFonts w:asciiTheme="minorBidi" w:hAnsiTheme="minorBidi"/>
          <w:sz w:val="24"/>
          <w:szCs w:val="24"/>
        </w:rPr>
        <w:t xml:space="preserve"> rates, </w:t>
      </w:r>
      <w:r w:rsidR="001757E3" w:rsidRPr="001757E3">
        <w:rPr>
          <w:rFonts w:asciiTheme="minorBidi" w:hAnsiTheme="minorBidi"/>
          <w:sz w:val="24"/>
          <w:szCs w:val="24"/>
        </w:rPr>
        <w:t xml:space="preserve">decision-makers </w:t>
      </w:r>
      <w:r w:rsidR="001757E3" w:rsidRPr="001757E3">
        <w:rPr>
          <w:rFonts w:asciiTheme="minorBidi" w:hAnsiTheme="minorBidi"/>
          <w:sz w:val="24"/>
          <w:szCs w:val="24"/>
        </w:rPr>
        <w:lastRenderedPageBreak/>
        <w:t xml:space="preserve">should improve online health literacy and </w:t>
      </w:r>
      <w:r w:rsidR="00B7193B">
        <w:rPr>
          <w:rFonts w:asciiTheme="minorBidi" w:hAnsiTheme="minorBidi"/>
          <w:sz w:val="24"/>
          <w:szCs w:val="24"/>
        </w:rPr>
        <w:t>design</w:t>
      </w:r>
      <w:r w:rsidR="001757E3" w:rsidRPr="001757E3">
        <w:rPr>
          <w:rFonts w:asciiTheme="minorBidi" w:hAnsiTheme="minorBidi"/>
          <w:sz w:val="24"/>
          <w:szCs w:val="24"/>
        </w:rPr>
        <w:t xml:space="preserve"> services integrat</w:t>
      </w:r>
      <w:r w:rsidR="00EB4367">
        <w:rPr>
          <w:rFonts w:asciiTheme="minorBidi" w:hAnsiTheme="minorBidi"/>
          <w:sz w:val="24"/>
          <w:szCs w:val="24"/>
        </w:rPr>
        <w:t>ing</w:t>
      </w:r>
      <w:r w:rsidR="001757E3" w:rsidRPr="001757E3">
        <w:rPr>
          <w:rFonts w:asciiTheme="minorBidi" w:hAnsiTheme="minorBidi"/>
          <w:sz w:val="24"/>
          <w:szCs w:val="24"/>
        </w:rPr>
        <w:t xml:space="preserve"> OHS with face-to-face treatment.</w:t>
      </w:r>
    </w:p>
    <w:p w14:paraId="6B024303" w14:textId="77777777" w:rsidR="004806AE" w:rsidRDefault="004806AE" w:rsidP="00B7193B">
      <w:pPr>
        <w:spacing w:line="480" w:lineRule="auto"/>
        <w:jc w:val="both"/>
        <w:rPr>
          <w:rFonts w:asciiTheme="minorBidi" w:hAnsiTheme="minorBidi"/>
          <w:sz w:val="24"/>
          <w:szCs w:val="24"/>
        </w:rPr>
      </w:pPr>
    </w:p>
    <w:p w14:paraId="355ECAD9" w14:textId="77777777" w:rsidR="000E6A15" w:rsidRDefault="000E6A15">
      <w:pPr>
        <w:rPr>
          <w:rFonts w:asciiTheme="minorBidi" w:hAnsiTheme="minorBidi"/>
          <w:b/>
          <w:bCs/>
          <w:sz w:val="24"/>
          <w:szCs w:val="24"/>
        </w:rPr>
      </w:pPr>
      <w:r>
        <w:rPr>
          <w:rFonts w:asciiTheme="minorBidi" w:hAnsiTheme="minorBidi"/>
          <w:b/>
          <w:bCs/>
          <w:sz w:val="24"/>
          <w:szCs w:val="24"/>
        </w:rPr>
        <w:br w:type="page"/>
      </w:r>
    </w:p>
    <w:p w14:paraId="1098B37D" w14:textId="77777777" w:rsidR="00A71CEA" w:rsidRDefault="00A71CEA" w:rsidP="00A71CEA">
      <w:pPr>
        <w:spacing w:line="480" w:lineRule="auto"/>
        <w:jc w:val="both"/>
        <w:rPr>
          <w:rFonts w:asciiTheme="minorBidi" w:hAnsiTheme="minorBidi"/>
          <w:b/>
          <w:bCs/>
          <w:sz w:val="24"/>
          <w:szCs w:val="24"/>
        </w:rPr>
      </w:pPr>
      <w:r w:rsidRPr="00A71CEA">
        <w:rPr>
          <w:rFonts w:asciiTheme="minorBidi" w:hAnsiTheme="minorBidi"/>
          <w:b/>
          <w:bCs/>
          <w:sz w:val="24"/>
          <w:szCs w:val="24"/>
        </w:rPr>
        <w:lastRenderedPageBreak/>
        <w:t>Introduction</w:t>
      </w:r>
    </w:p>
    <w:p w14:paraId="4D2A6EEB" w14:textId="6E7F15A1" w:rsidR="000E6A15" w:rsidRPr="000E6A15" w:rsidRDefault="000E6A15" w:rsidP="00990C04">
      <w:pPr>
        <w:spacing w:line="480" w:lineRule="auto"/>
        <w:jc w:val="both"/>
        <w:rPr>
          <w:rFonts w:asciiTheme="minorBidi" w:hAnsiTheme="minorBidi"/>
          <w:sz w:val="24"/>
          <w:szCs w:val="24"/>
        </w:rPr>
      </w:pPr>
      <w:r>
        <w:rPr>
          <w:rFonts w:asciiTheme="minorBidi" w:hAnsiTheme="minorBidi"/>
          <w:sz w:val="24"/>
          <w:szCs w:val="24"/>
        </w:rPr>
        <w:t>In recent years, m</w:t>
      </w:r>
      <w:r w:rsidRPr="000E6A15">
        <w:rPr>
          <w:rFonts w:asciiTheme="minorBidi" w:hAnsiTheme="minorBidi"/>
          <w:sz w:val="24"/>
          <w:szCs w:val="24"/>
        </w:rPr>
        <w:t xml:space="preserve">any countries </w:t>
      </w:r>
      <w:r>
        <w:rPr>
          <w:rFonts w:asciiTheme="minorBidi" w:hAnsiTheme="minorBidi"/>
          <w:sz w:val="24"/>
          <w:szCs w:val="24"/>
        </w:rPr>
        <w:t>have been</w:t>
      </w:r>
      <w:r w:rsidRPr="000E6A15">
        <w:rPr>
          <w:rFonts w:asciiTheme="minorBidi" w:hAnsiTheme="minorBidi"/>
          <w:sz w:val="24"/>
          <w:szCs w:val="24"/>
        </w:rPr>
        <w:t xml:space="preserve"> facing healthcare challenges</w:t>
      </w:r>
      <w:r>
        <w:rPr>
          <w:rFonts w:asciiTheme="minorBidi" w:hAnsiTheme="minorBidi"/>
          <w:sz w:val="24"/>
          <w:szCs w:val="24"/>
        </w:rPr>
        <w:t xml:space="preserve"> related to</w:t>
      </w:r>
      <w:r w:rsidRPr="000E6A15">
        <w:rPr>
          <w:rFonts w:asciiTheme="minorBidi" w:hAnsiTheme="minorBidi"/>
          <w:sz w:val="24"/>
          <w:szCs w:val="24"/>
        </w:rPr>
        <w:t xml:space="preserve"> aging population</w:t>
      </w:r>
      <w:r>
        <w:rPr>
          <w:rFonts w:asciiTheme="minorBidi" w:hAnsiTheme="minorBidi"/>
          <w:sz w:val="24"/>
          <w:szCs w:val="24"/>
        </w:rPr>
        <w:t>s</w:t>
      </w:r>
      <w:r w:rsidRPr="000E6A15">
        <w:rPr>
          <w:rFonts w:asciiTheme="minorBidi" w:hAnsiTheme="minorBidi"/>
          <w:sz w:val="24"/>
          <w:szCs w:val="24"/>
        </w:rPr>
        <w:t xml:space="preserve">, an increase in chronic diseases, unhealthy lifestyles, and rising healthcare technology costs. </w:t>
      </w:r>
      <w:r w:rsidR="004B2B3F">
        <w:rPr>
          <w:rFonts w:asciiTheme="minorBidi" w:hAnsiTheme="minorBidi"/>
          <w:sz w:val="24"/>
          <w:szCs w:val="24"/>
        </w:rPr>
        <w:t>In response</w:t>
      </w:r>
      <w:r w:rsidRPr="000E6A15">
        <w:rPr>
          <w:rFonts w:asciiTheme="minorBidi" w:hAnsiTheme="minorBidi"/>
          <w:sz w:val="24"/>
          <w:szCs w:val="24"/>
        </w:rPr>
        <w:t xml:space="preserve">, Online Health Services (OHS) </w:t>
      </w:r>
      <w:r w:rsidR="004B2B3F">
        <w:rPr>
          <w:rFonts w:asciiTheme="minorBidi" w:hAnsiTheme="minorBidi"/>
          <w:sz w:val="24"/>
          <w:szCs w:val="24"/>
        </w:rPr>
        <w:t xml:space="preserve">are increasingly </w:t>
      </w:r>
      <w:r w:rsidR="00746D0C">
        <w:rPr>
          <w:rFonts w:asciiTheme="minorBidi" w:hAnsiTheme="minorBidi"/>
          <w:sz w:val="24"/>
          <w:szCs w:val="24"/>
        </w:rPr>
        <w:t>seen</w:t>
      </w:r>
      <w:r w:rsidR="004B2B3F">
        <w:rPr>
          <w:rFonts w:asciiTheme="minorBidi" w:hAnsiTheme="minorBidi"/>
          <w:sz w:val="24"/>
          <w:szCs w:val="24"/>
        </w:rPr>
        <w:t xml:space="preserve"> as a way </w:t>
      </w:r>
      <w:r w:rsidRPr="000E6A15">
        <w:rPr>
          <w:rFonts w:asciiTheme="minorBidi" w:hAnsiTheme="minorBidi"/>
          <w:sz w:val="24"/>
          <w:szCs w:val="24"/>
        </w:rPr>
        <w:t xml:space="preserve">to </w:t>
      </w:r>
      <w:r w:rsidR="004B2B3F">
        <w:rPr>
          <w:rFonts w:asciiTheme="minorBidi" w:hAnsiTheme="minorBidi"/>
          <w:sz w:val="24"/>
          <w:szCs w:val="24"/>
        </w:rPr>
        <w:t xml:space="preserve">save resources, </w:t>
      </w:r>
      <w:r w:rsidRPr="000E6A15">
        <w:rPr>
          <w:rFonts w:asciiTheme="minorBidi" w:hAnsiTheme="minorBidi"/>
          <w:sz w:val="24"/>
          <w:szCs w:val="24"/>
        </w:rPr>
        <w:t xml:space="preserve">streamline the system, </w:t>
      </w:r>
      <w:r w:rsidR="004B2B3F">
        <w:rPr>
          <w:rFonts w:asciiTheme="minorBidi" w:hAnsiTheme="minorBidi"/>
          <w:sz w:val="24"/>
          <w:szCs w:val="24"/>
        </w:rPr>
        <w:t>a</w:t>
      </w:r>
      <w:r w:rsidRPr="000E6A15">
        <w:rPr>
          <w:rFonts w:asciiTheme="minorBidi" w:hAnsiTheme="minorBidi"/>
          <w:sz w:val="24"/>
          <w:szCs w:val="24"/>
        </w:rPr>
        <w:t>nd make it more user-friendly</w:t>
      </w:r>
      <w:r w:rsidR="00EB4367">
        <w:rPr>
          <w:rFonts w:asciiTheme="minorBidi" w:hAnsiTheme="minorBidi"/>
          <w:sz w:val="24"/>
          <w:szCs w:val="24"/>
        </w:rPr>
        <w:t>.</w:t>
      </w:r>
      <w:r w:rsidR="004B2B3F" w:rsidRPr="004B2B3F">
        <w:rPr>
          <w:rFonts w:asciiTheme="minorBidi" w:hAnsiTheme="minorBidi"/>
          <w:sz w:val="24"/>
          <w:szCs w:val="24"/>
          <w:vertAlign w:val="superscript"/>
          <w:rtl/>
        </w:rPr>
        <w:fldChar w:fldCharType="begin" w:fldLock="1"/>
      </w:r>
      <w:r w:rsidR="004B2B3F" w:rsidRPr="004B2B3F">
        <w:rPr>
          <w:rFonts w:asciiTheme="minorBidi" w:hAnsiTheme="minorBidi"/>
          <w:sz w:val="24"/>
          <w:szCs w:val="24"/>
          <w:vertAlign w:val="superscript"/>
        </w:rPr>
        <w:instrText>ADDIN CSL_CITATION {"citationItems":[{"id":"ITEM-1","itemData":{"author":[{"dropping-particle":"","family":"Ministry of Economy and Industry","given":"State of Israel","non-dropping-particle":"","parse-names":false,"suffix":""}],"id":"ITEM-1","issued":{"date-parts":[["2020"]]},"title":"Digital Health: The IsraeliI promise","type":"webpage"},"uris":["http://www.mendeley.com/documents/?uuid=d79198a6-767e-4927-86bf-67f461800698"]}],"mendeley":{"formattedCitation":"(1)","plainTextFormattedCitation":"(1)","previouslyFormattedCitation":"(Ministry of Economy and Industry, 2020)"},"properties":{"noteIndex":0},"schema":"https://github.com/citation-style-language/schema/raw/master/csl-citation.json"}</w:instrText>
      </w:r>
      <w:r w:rsidR="004B2B3F" w:rsidRPr="004B2B3F">
        <w:rPr>
          <w:rFonts w:asciiTheme="minorBidi" w:hAnsiTheme="minorBidi"/>
          <w:sz w:val="24"/>
          <w:szCs w:val="24"/>
          <w:vertAlign w:val="superscript"/>
          <w:rtl/>
        </w:rPr>
        <w:fldChar w:fldCharType="separate"/>
      </w:r>
      <w:r w:rsidR="004B2B3F" w:rsidRPr="004B2B3F">
        <w:rPr>
          <w:rFonts w:asciiTheme="minorBidi" w:hAnsiTheme="minorBidi"/>
          <w:sz w:val="24"/>
          <w:szCs w:val="24"/>
          <w:vertAlign w:val="superscript"/>
        </w:rPr>
        <w:t>1</w:t>
      </w:r>
      <w:r w:rsidR="004B2B3F" w:rsidRPr="004B2B3F">
        <w:rPr>
          <w:rFonts w:asciiTheme="minorBidi" w:hAnsiTheme="minorBidi"/>
          <w:sz w:val="24"/>
          <w:szCs w:val="24"/>
          <w:rtl/>
        </w:rPr>
        <w:fldChar w:fldCharType="end"/>
      </w:r>
      <w:r w:rsidRPr="000E6A15">
        <w:rPr>
          <w:rFonts w:asciiTheme="minorBidi" w:hAnsiTheme="minorBidi"/>
          <w:sz w:val="24"/>
          <w:szCs w:val="24"/>
        </w:rPr>
        <w:t xml:space="preserve"> </w:t>
      </w:r>
      <w:r w:rsidR="007C156A">
        <w:rPr>
          <w:rFonts w:asciiTheme="minorBidi" w:hAnsiTheme="minorBidi"/>
          <w:sz w:val="24"/>
          <w:szCs w:val="24"/>
        </w:rPr>
        <w:t>Leaning on</w:t>
      </w:r>
      <w:r w:rsidRPr="000E6A15">
        <w:rPr>
          <w:rFonts w:asciiTheme="minorBidi" w:hAnsiTheme="minorBidi"/>
          <w:sz w:val="24"/>
          <w:szCs w:val="24"/>
        </w:rPr>
        <w:t xml:space="preserve"> the Digital Israel initiative,</w:t>
      </w:r>
      <w:r w:rsidR="004B2B3F">
        <w:rPr>
          <w:rFonts w:asciiTheme="minorBidi" w:hAnsiTheme="minorBidi"/>
          <w:sz w:val="24"/>
          <w:szCs w:val="24"/>
        </w:rPr>
        <w:t xml:space="preserve"> </w:t>
      </w:r>
      <w:r w:rsidR="00D20AB1">
        <w:rPr>
          <w:rFonts w:asciiTheme="minorBidi" w:hAnsiTheme="minorBidi"/>
          <w:sz w:val="24"/>
          <w:szCs w:val="24"/>
        </w:rPr>
        <w:t>Israel’s Health</w:t>
      </w:r>
      <w:r w:rsidR="004B2B3F" w:rsidRPr="000E6A15">
        <w:rPr>
          <w:rFonts w:asciiTheme="minorBidi" w:hAnsiTheme="minorBidi"/>
          <w:sz w:val="24"/>
          <w:szCs w:val="24"/>
        </w:rPr>
        <w:t xml:space="preserve"> Ministry</w:t>
      </w:r>
      <w:r w:rsidRPr="000E6A15">
        <w:rPr>
          <w:rFonts w:asciiTheme="minorBidi" w:hAnsiTheme="minorBidi"/>
          <w:sz w:val="24"/>
          <w:szCs w:val="24"/>
        </w:rPr>
        <w:t xml:space="preserve"> </w:t>
      </w:r>
      <w:r w:rsidR="007C156A">
        <w:rPr>
          <w:rFonts w:asciiTheme="minorBidi" w:hAnsiTheme="minorBidi"/>
          <w:sz w:val="24"/>
          <w:szCs w:val="24"/>
        </w:rPr>
        <w:t>has undertaken the mission</w:t>
      </w:r>
      <w:r w:rsidR="00D20AB1">
        <w:rPr>
          <w:rFonts w:asciiTheme="minorBidi" w:hAnsiTheme="minorBidi"/>
          <w:sz w:val="24"/>
          <w:szCs w:val="24"/>
        </w:rPr>
        <w:t xml:space="preserve"> </w:t>
      </w:r>
      <w:r w:rsidR="007C156A">
        <w:rPr>
          <w:rFonts w:asciiTheme="minorBidi" w:hAnsiTheme="minorBidi"/>
          <w:sz w:val="24"/>
          <w:szCs w:val="24"/>
        </w:rPr>
        <w:t>of</w:t>
      </w:r>
      <w:r w:rsidRPr="000E6A15">
        <w:rPr>
          <w:rFonts w:asciiTheme="minorBidi" w:hAnsiTheme="minorBidi"/>
          <w:sz w:val="24"/>
          <w:szCs w:val="24"/>
        </w:rPr>
        <w:t xml:space="preserve"> transform</w:t>
      </w:r>
      <w:r w:rsidR="007C156A">
        <w:rPr>
          <w:rFonts w:asciiTheme="minorBidi" w:hAnsiTheme="minorBidi"/>
          <w:sz w:val="24"/>
          <w:szCs w:val="24"/>
        </w:rPr>
        <w:t>ing</w:t>
      </w:r>
      <w:r w:rsidRPr="000E6A15">
        <w:rPr>
          <w:rFonts w:asciiTheme="minorBidi" w:hAnsiTheme="minorBidi"/>
          <w:sz w:val="24"/>
          <w:szCs w:val="24"/>
        </w:rPr>
        <w:t xml:space="preserve"> the healthcare system into </w:t>
      </w:r>
      <w:r w:rsidR="007C156A">
        <w:rPr>
          <w:rFonts w:asciiTheme="minorBidi" w:hAnsiTheme="minorBidi"/>
          <w:sz w:val="24"/>
          <w:szCs w:val="24"/>
        </w:rPr>
        <w:t>one that is</w:t>
      </w:r>
      <w:r w:rsidRPr="000E6A15">
        <w:rPr>
          <w:rFonts w:asciiTheme="minorBidi" w:hAnsiTheme="minorBidi"/>
          <w:sz w:val="24"/>
          <w:szCs w:val="24"/>
        </w:rPr>
        <w:t xml:space="preserve"> sustainable, advanced, innovative, and </w:t>
      </w:r>
      <w:r w:rsidR="00990C04">
        <w:rPr>
          <w:rFonts w:asciiTheme="minorBidi" w:hAnsiTheme="minorBidi"/>
          <w:sz w:val="24"/>
          <w:szCs w:val="24"/>
        </w:rPr>
        <w:t>constantly improving</w:t>
      </w:r>
      <w:r w:rsidR="007C156A">
        <w:rPr>
          <w:rFonts w:asciiTheme="minorBidi" w:hAnsiTheme="minorBidi"/>
          <w:sz w:val="24"/>
          <w:szCs w:val="24"/>
        </w:rPr>
        <w:t xml:space="preserve">, </w:t>
      </w:r>
      <w:r w:rsidRPr="000E6A15">
        <w:rPr>
          <w:rFonts w:asciiTheme="minorBidi" w:hAnsiTheme="minorBidi"/>
          <w:sz w:val="24"/>
          <w:szCs w:val="24"/>
        </w:rPr>
        <w:t xml:space="preserve">by </w:t>
      </w:r>
      <w:r w:rsidR="00D20AB1">
        <w:rPr>
          <w:rFonts w:asciiTheme="minorBidi" w:hAnsiTheme="minorBidi"/>
          <w:sz w:val="24"/>
          <w:szCs w:val="24"/>
        </w:rPr>
        <w:t xml:space="preserve">optimally </w:t>
      </w:r>
      <w:r w:rsidRPr="000E6A15">
        <w:rPr>
          <w:rFonts w:asciiTheme="minorBidi" w:hAnsiTheme="minorBidi"/>
          <w:sz w:val="24"/>
          <w:szCs w:val="24"/>
        </w:rPr>
        <w:t xml:space="preserve">leveraging </w:t>
      </w:r>
      <w:r w:rsidR="00CF28C3">
        <w:rPr>
          <w:rFonts w:asciiTheme="minorBidi" w:hAnsiTheme="minorBidi"/>
          <w:sz w:val="24"/>
          <w:szCs w:val="24"/>
        </w:rPr>
        <w:t>ICT</w:t>
      </w:r>
      <w:r w:rsidR="00E2586E">
        <w:rPr>
          <w:rFonts w:asciiTheme="minorBidi" w:hAnsiTheme="minorBidi"/>
          <w:sz w:val="24"/>
          <w:szCs w:val="24"/>
        </w:rPr>
        <w:t xml:space="preserve"> resources</w:t>
      </w:r>
      <w:r w:rsidR="00EB4367">
        <w:rPr>
          <w:rFonts w:asciiTheme="minorBidi" w:hAnsiTheme="minorBidi"/>
          <w:sz w:val="24"/>
          <w:szCs w:val="24"/>
        </w:rPr>
        <w:t>.</w:t>
      </w:r>
      <w:r w:rsidR="008C5931" w:rsidRPr="008C5931">
        <w:rPr>
          <w:rFonts w:ascii="Arial" w:eastAsia="Calibri" w:hAnsi="Arial" w:cs="Arial"/>
          <w:sz w:val="24"/>
          <w:szCs w:val="24"/>
          <w:vertAlign w:val="superscript"/>
          <w:rtl/>
        </w:rPr>
        <w:fldChar w:fldCharType="begin" w:fldLock="1"/>
      </w:r>
      <w:r w:rsidR="008C5931" w:rsidRPr="008C5931">
        <w:rPr>
          <w:rFonts w:ascii="Arial" w:eastAsia="Calibri" w:hAnsi="Arial" w:cs="Arial"/>
          <w:sz w:val="24"/>
          <w:szCs w:val="24"/>
          <w:vertAlign w:val="superscript"/>
        </w:rPr>
        <w:instrText>ADDIN CSL_CITATION {"citationItems":[{"id":"ITEM-1","itemData":{"author":[{"dropping-particle":"","family":"Digital Israel","given":"","non-dropping-particle":"","parse-names":false,"suffix":""}],"id":"ITEM-1","issued":{"date-parts":[["2018"]]},"title":"The National Digital Health Program as a growth engine","type":"article-journal"},"uris":["http://www.mendeley.com/documents/?uuid=0d51ca9c-a5c0-4b8b-ac2f-1b01ad89dac3","http://www.mendeley.com/documents/?uuid=8b3cf7be-7600-42cd-94ef-89e32329c20b"]}],"mendeley":{"formattedCitation":"(2)","plainTextFormattedCitation":"(2)","previouslyFormattedCitation":"(Digital Israel, 2018)"},"properties":{"noteIndex":0},"schema":"https://github.com/citation-style-language/schema/raw/master/csl-citation.json"}</w:instrText>
      </w:r>
      <w:r w:rsidR="008C5931" w:rsidRPr="008C5931">
        <w:rPr>
          <w:rFonts w:ascii="Arial" w:eastAsia="Calibri" w:hAnsi="Arial" w:cs="Arial"/>
          <w:sz w:val="24"/>
          <w:szCs w:val="24"/>
          <w:vertAlign w:val="superscript"/>
          <w:rtl/>
        </w:rPr>
        <w:fldChar w:fldCharType="separate"/>
      </w:r>
      <w:r w:rsidR="008C5931" w:rsidRPr="008C5931">
        <w:rPr>
          <w:rFonts w:ascii="Arial" w:eastAsia="Calibri" w:hAnsi="Arial" w:cs="Arial"/>
          <w:noProof/>
          <w:sz w:val="24"/>
          <w:szCs w:val="24"/>
          <w:vertAlign w:val="superscript"/>
        </w:rPr>
        <w:t>2</w:t>
      </w:r>
      <w:r w:rsidR="008C5931" w:rsidRPr="008C5931">
        <w:rPr>
          <w:rFonts w:ascii="Arial" w:eastAsia="Calibri" w:hAnsi="Arial" w:cs="Arial"/>
          <w:sz w:val="24"/>
          <w:szCs w:val="24"/>
          <w:vertAlign w:val="superscript"/>
          <w:rtl/>
        </w:rPr>
        <w:fldChar w:fldCharType="end"/>
      </w:r>
    </w:p>
    <w:p w14:paraId="6FEE0329" w14:textId="07A99BE9" w:rsidR="00C74986" w:rsidRDefault="00E07C5F" w:rsidP="00C922A1">
      <w:pPr>
        <w:spacing w:line="480" w:lineRule="auto"/>
        <w:jc w:val="both"/>
        <w:rPr>
          <w:rFonts w:asciiTheme="minorBidi" w:hAnsiTheme="minorBidi"/>
          <w:sz w:val="24"/>
          <w:szCs w:val="24"/>
        </w:rPr>
      </w:pPr>
      <w:r w:rsidRPr="00E07C5F">
        <w:rPr>
          <w:rFonts w:asciiTheme="minorBidi" w:hAnsiTheme="minorBidi"/>
          <w:sz w:val="24"/>
          <w:szCs w:val="24"/>
        </w:rPr>
        <w:t xml:space="preserve">OHS </w:t>
      </w:r>
      <w:r w:rsidR="007A7CCC">
        <w:rPr>
          <w:rFonts w:asciiTheme="minorBidi" w:hAnsiTheme="minorBidi"/>
          <w:sz w:val="24"/>
          <w:szCs w:val="24"/>
        </w:rPr>
        <w:t>comprise</w:t>
      </w:r>
      <w:r w:rsidRPr="00E07C5F">
        <w:rPr>
          <w:rFonts w:asciiTheme="minorBidi" w:hAnsiTheme="minorBidi"/>
          <w:sz w:val="24"/>
          <w:szCs w:val="24"/>
        </w:rPr>
        <w:t xml:space="preserve"> a growing range of applications and services</w:t>
      </w:r>
      <w:r w:rsidR="007A7CCC">
        <w:rPr>
          <w:rFonts w:asciiTheme="minorBidi" w:hAnsiTheme="minorBidi"/>
          <w:sz w:val="24"/>
          <w:szCs w:val="24"/>
        </w:rPr>
        <w:t xml:space="preserve"> such as</w:t>
      </w:r>
      <w:r w:rsidRPr="00E07C5F">
        <w:rPr>
          <w:rFonts w:asciiTheme="minorBidi" w:hAnsiTheme="minorBidi"/>
          <w:sz w:val="24"/>
          <w:szCs w:val="24"/>
        </w:rPr>
        <w:t xml:space="preserve"> two-way video, email, smartphone health apps, and other communication technologies</w:t>
      </w:r>
      <w:r w:rsidR="00C922A1">
        <w:rPr>
          <w:rFonts w:asciiTheme="minorBidi" w:hAnsiTheme="minorBidi"/>
          <w:sz w:val="24"/>
          <w:szCs w:val="24"/>
        </w:rPr>
        <w:t>, which enable the provision of</w:t>
      </w:r>
      <w:r w:rsidRPr="00E07C5F">
        <w:rPr>
          <w:rFonts w:asciiTheme="minorBidi" w:hAnsiTheme="minorBidi"/>
          <w:sz w:val="24"/>
          <w:szCs w:val="24"/>
        </w:rPr>
        <w:t xml:space="preserve"> health services</w:t>
      </w:r>
      <w:r w:rsidR="007A7CCC">
        <w:rPr>
          <w:rFonts w:asciiTheme="minorBidi" w:hAnsiTheme="minorBidi"/>
          <w:sz w:val="24"/>
          <w:szCs w:val="24"/>
        </w:rPr>
        <w:t>,</w:t>
      </w:r>
      <w:r w:rsidRPr="00E07C5F">
        <w:rPr>
          <w:rFonts w:asciiTheme="minorBidi" w:hAnsiTheme="minorBidi"/>
          <w:sz w:val="24"/>
          <w:szCs w:val="24"/>
        </w:rPr>
        <w:t xml:space="preserve"> including treatment, consultation, monitoring, etc. These technologies are efficient and cost-effective in situations </w:t>
      </w:r>
      <w:r w:rsidR="002870D0">
        <w:rPr>
          <w:rFonts w:asciiTheme="minorBidi" w:hAnsiTheme="minorBidi"/>
          <w:sz w:val="24"/>
          <w:szCs w:val="24"/>
        </w:rPr>
        <w:t>involving</w:t>
      </w:r>
      <w:r w:rsidRPr="00E07C5F">
        <w:rPr>
          <w:rFonts w:asciiTheme="minorBidi" w:hAnsiTheme="minorBidi"/>
          <w:sz w:val="24"/>
          <w:szCs w:val="24"/>
        </w:rPr>
        <w:t xml:space="preserve"> geographical distance</w:t>
      </w:r>
      <w:r w:rsidR="002870D0" w:rsidRPr="002870D0">
        <w:rPr>
          <w:rFonts w:ascii="Arial" w:eastAsia="Calibri" w:hAnsi="Arial" w:cs="Arial"/>
          <w:sz w:val="24"/>
          <w:szCs w:val="24"/>
          <w:vertAlign w:val="superscript"/>
          <w:rtl/>
        </w:rPr>
        <w:fldChar w:fldCharType="begin" w:fldLock="1"/>
      </w:r>
      <w:r w:rsidR="002870D0" w:rsidRPr="002870D0">
        <w:rPr>
          <w:rFonts w:ascii="Arial" w:eastAsia="Calibri" w:hAnsi="Arial" w:cs="Arial"/>
          <w:sz w:val="24"/>
          <w:szCs w:val="24"/>
          <w:vertAlign w:val="superscript"/>
        </w:rPr>
        <w:instrText>ADDIN CSL_CITATION {"citationItems":[{"id":"ITEM-1","itemData":{"DOI":"10.1007/s12193-015-0181-8","ISSN":"17838738","abstract":"In the not so distant future, the concept of “seeing” a physician might be quite extended. Telemedicine enables the fascinating synergy of technological improvements in the field of distant communication on the one hand, and the ongoing need to find cheaper but still effective ways to receive medical consultation for people living in rural areas, on the other hand. Thus, reducing the physical and social gap caused by geographical distances. The current study compared patients who received face-to-face (F2F) medical consultation (N $$=$$= 95), to patients who received a phone (AC) consultation (N $$=$$= 100), and patients who received camera (VC) consultation (N $$=$$= 97). All subjects filled out The international positive and negative affect schedule short form (I-PANAS-SF) before and after the consultation and the Biocca, Harms and Gregg questionnairefor social presence at the end of the consultation. Our findings demonstrate that telemedicine helps reduce distress as well as F2F counseling. The causes for this decrease differ between F2F, VC and AC consultations. In the phone group the decrease in distress is connected to the sense of receiving attention and being understood. In the camera group this decrease is connected to the sense that the physician is aware of their presence, and in the F2F group this decrease is connected to a sense of mutual emotional connection with the physician.","author":[{"dropping-particle":"","family":"Idan","given":"Almog","non-dropping-particle":"","parse-names":false,"suffix":""},{"dropping-particle":"","family":"Wallach","given":"Helene S.","non-dropping-particle":"","parse-names":false,"suffix":""},{"dropping-particle":"","family":"Almagor","given":"Moshe","non-dropping-particle":"","parse-names":false,"suffix":""},{"dropping-particle":"","family":"Waisman","given":"Yehezkel","non-dropping-particle":"","parse-names":false,"suffix":""},{"dropping-particle":"","family":"Linn","given":"Shai","non-dropping-particle":"","parse-names":false,"suffix":""}],"container-title":"Journal on Multimodal User Interfaces","id":"ITEM-1","issue":"4","issued":{"date-parts":[["2015"]]},"page":"333-339","title":"Mediated telemedicine vs. face-to-face medicine: efficiency in distress reduction","type":"article-journal","volume":"9"},"uris":["http://www.mendeley.com/documents/?uuid=e6aa92a7-c1f4-4531-851f-0747bf38d0cf"]}],"mendeley":{"formattedCitation":"(3)","plainTextFormattedCitation":"(3)","previouslyFormattedCitation":"(Idan et al., 2015)"},"properties":{"noteIndex":0},"schema":"https://github.com/citation-style-language/schema/raw/master/csl-citation.json"}</w:instrText>
      </w:r>
      <w:r w:rsidR="002870D0" w:rsidRPr="002870D0">
        <w:rPr>
          <w:rFonts w:ascii="Arial" w:eastAsia="Calibri" w:hAnsi="Arial" w:cs="Arial"/>
          <w:sz w:val="24"/>
          <w:szCs w:val="24"/>
          <w:vertAlign w:val="superscript"/>
          <w:rtl/>
        </w:rPr>
        <w:fldChar w:fldCharType="separate"/>
      </w:r>
      <w:r w:rsidR="002870D0" w:rsidRPr="002870D0">
        <w:rPr>
          <w:rFonts w:ascii="Arial" w:eastAsia="Calibri" w:hAnsi="Arial" w:cs="Arial"/>
          <w:noProof/>
          <w:sz w:val="24"/>
          <w:szCs w:val="24"/>
          <w:vertAlign w:val="superscript"/>
        </w:rPr>
        <w:t>3</w:t>
      </w:r>
      <w:r w:rsidR="002870D0" w:rsidRPr="002870D0">
        <w:rPr>
          <w:rFonts w:ascii="Arial" w:eastAsia="Calibri" w:hAnsi="Arial" w:cs="Arial"/>
          <w:sz w:val="24"/>
          <w:szCs w:val="24"/>
          <w:vertAlign w:val="superscript"/>
          <w:rtl/>
        </w:rPr>
        <w:fldChar w:fldCharType="end"/>
      </w:r>
      <w:r w:rsidR="002870D0">
        <w:rPr>
          <w:rFonts w:asciiTheme="minorBidi" w:hAnsiTheme="minorBidi"/>
          <w:sz w:val="24"/>
          <w:szCs w:val="24"/>
        </w:rPr>
        <w:t xml:space="preserve"> and</w:t>
      </w:r>
      <w:r w:rsidRPr="00E07C5F">
        <w:rPr>
          <w:rFonts w:asciiTheme="minorBidi" w:hAnsiTheme="minorBidi"/>
          <w:sz w:val="24"/>
          <w:szCs w:val="24"/>
        </w:rPr>
        <w:t xml:space="preserve"> </w:t>
      </w:r>
      <w:r w:rsidR="0005536D">
        <w:rPr>
          <w:rFonts w:asciiTheme="minorBidi" w:hAnsiTheme="minorBidi"/>
          <w:sz w:val="24"/>
          <w:szCs w:val="24"/>
        </w:rPr>
        <w:t xml:space="preserve">for </w:t>
      </w:r>
      <w:r w:rsidRPr="00E07C5F">
        <w:rPr>
          <w:rFonts w:asciiTheme="minorBidi" w:hAnsiTheme="minorBidi"/>
          <w:sz w:val="24"/>
          <w:szCs w:val="24"/>
        </w:rPr>
        <w:t xml:space="preserve">reducing </w:t>
      </w:r>
      <w:r w:rsidR="002870D0">
        <w:rPr>
          <w:rFonts w:asciiTheme="minorBidi" w:hAnsiTheme="minorBidi"/>
          <w:sz w:val="24"/>
          <w:szCs w:val="24"/>
        </w:rPr>
        <w:t>ER</w:t>
      </w:r>
      <w:r w:rsidRPr="00E07C5F">
        <w:rPr>
          <w:rFonts w:asciiTheme="minorBidi" w:hAnsiTheme="minorBidi"/>
          <w:sz w:val="24"/>
          <w:szCs w:val="24"/>
        </w:rPr>
        <w:t xml:space="preserve"> visits and hospitalization rates</w:t>
      </w:r>
      <w:r w:rsidR="00F31BB6">
        <w:rPr>
          <w:rFonts w:asciiTheme="minorBidi" w:hAnsiTheme="minorBidi"/>
          <w:sz w:val="24"/>
          <w:szCs w:val="24"/>
        </w:rPr>
        <w:t>.</w:t>
      </w:r>
      <w:r w:rsidR="002870D0" w:rsidRPr="002870D0">
        <w:rPr>
          <w:rFonts w:ascii="Arial" w:eastAsia="Calibri" w:hAnsi="Arial" w:cs="Arial"/>
          <w:sz w:val="24"/>
          <w:szCs w:val="24"/>
          <w:vertAlign w:val="superscript"/>
          <w:rtl/>
        </w:rPr>
        <w:fldChar w:fldCharType="begin" w:fldLock="1"/>
      </w:r>
      <w:r w:rsidR="002870D0" w:rsidRPr="002870D0">
        <w:rPr>
          <w:rFonts w:ascii="Arial" w:eastAsia="Calibri" w:hAnsi="Arial" w:cs="Arial"/>
          <w:sz w:val="24"/>
          <w:szCs w:val="24"/>
          <w:vertAlign w:val="superscript"/>
        </w:rPr>
        <w:instrText>ADDIN CSL_CITATION {"citationItems":[{"id":"ITEM-1","itemData":{"URL":"https://www.grandviewresearch.com/research-insights/telemedicine-market-insights-size-share","accessed":{"date-parts":[["2020","8","1"]]},"author":[{"dropping-particle":"","family":"Grand View Research","given":"","non-dropping-particle":"","parse-names":false,"suffix":""}],"id":"ITEM-1","issued":{"date-parts":[["0"]]},"title":"Telemedicine Market Insights: The Ultimate Solution For Quality Care","type":"webpage"},"uris":["http://www.mendeley.com/documents/?uuid=bb51d994-b44a-4a50-9e73-045c82a81149"]}],"mendeley":{"formattedCitation":"(4)","plainTextFormattedCitation":"(4)","previouslyFormattedCitation":"(Grand View Research, n.d.)"},"properties":{"noteIndex":0},"schema":"https://github.com/citation-style-language/schema/raw/master/csl-citation.json"}</w:instrText>
      </w:r>
      <w:r w:rsidR="002870D0" w:rsidRPr="002870D0">
        <w:rPr>
          <w:rFonts w:ascii="Arial" w:eastAsia="Calibri" w:hAnsi="Arial" w:cs="Arial"/>
          <w:sz w:val="24"/>
          <w:szCs w:val="24"/>
          <w:vertAlign w:val="superscript"/>
          <w:rtl/>
        </w:rPr>
        <w:fldChar w:fldCharType="separate"/>
      </w:r>
      <w:r w:rsidR="002870D0" w:rsidRPr="002870D0">
        <w:rPr>
          <w:rFonts w:ascii="Arial" w:eastAsia="Calibri" w:hAnsi="Arial" w:cs="Arial"/>
          <w:noProof/>
          <w:sz w:val="24"/>
          <w:szCs w:val="24"/>
          <w:vertAlign w:val="superscript"/>
        </w:rPr>
        <w:t>4</w:t>
      </w:r>
      <w:r w:rsidR="002870D0" w:rsidRPr="002870D0">
        <w:rPr>
          <w:rFonts w:ascii="Arial" w:eastAsia="Calibri" w:hAnsi="Arial" w:cs="Arial"/>
          <w:sz w:val="24"/>
          <w:szCs w:val="24"/>
          <w:vertAlign w:val="superscript"/>
          <w:rtl/>
        </w:rPr>
        <w:fldChar w:fldCharType="end"/>
      </w:r>
      <w:r w:rsidRPr="00E07C5F">
        <w:rPr>
          <w:rFonts w:asciiTheme="minorBidi" w:hAnsiTheme="minorBidi"/>
          <w:sz w:val="24"/>
          <w:szCs w:val="24"/>
        </w:rPr>
        <w:t xml:space="preserve"> </w:t>
      </w:r>
      <w:r w:rsidR="00526B98">
        <w:rPr>
          <w:rFonts w:asciiTheme="minorBidi" w:hAnsiTheme="minorBidi"/>
          <w:sz w:val="24"/>
          <w:szCs w:val="24"/>
        </w:rPr>
        <w:t>Beyond cost</w:t>
      </w:r>
      <w:r w:rsidR="00C720FD">
        <w:rPr>
          <w:rFonts w:asciiTheme="minorBidi" w:hAnsiTheme="minorBidi"/>
          <w:sz w:val="24"/>
          <w:szCs w:val="24"/>
        </w:rPr>
        <w:t xml:space="preserve"> </w:t>
      </w:r>
      <w:r w:rsidR="00526B98">
        <w:rPr>
          <w:rFonts w:asciiTheme="minorBidi" w:hAnsiTheme="minorBidi"/>
          <w:sz w:val="24"/>
          <w:szCs w:val="24"/>
        </w:rPr>
        <w:t>reduction and increased service availability, r</w:t>
      </w:r>
      <w:r w:rsidRPr="00E07C5F">
        <w:rPr>
          <w:rFonts w:asciiTheme="minorBidi" w:hAnsiTheme="minorBidi"/>
          <w:sz w:val="24"/>
          <w:szCs w:val="24"/>
        </w:rPr>
        <w:t xml:space="preserve">esearch findings </w:t>
      </w:r>
      <w:r w:rsidR="00C720FD">
        <w:rPr>
          <w:rFonts w:asciiTheme="minorBidi" w:hAnsiTheme="minorBidi"/>
          <w:sz w:val="24"/>
          <w:szCs w:val="24"/>
        </w:rPr>
        <w:t>point to other significant advantages, including</w:t>
      </w:r>
      <w:r w:rsidRPr="00E07C5F">
        <w:rPr>
          <w:rFonts w:asciiTheme="minorBidi" w:hAnsiTheme="minorBidi"/>
          <w:sz w:val="24"/>
          <w:szCs w:val="24"/>
        </w:rPr>
        <w:t xml:space="preserve"> improv</w:t>
      </w:r>
      <w:r w:rsidR="00C922A1">
        <w:rPr>
          <w:rFonts w:asciiTheme="minorBidi" w:hAnsiTheme="minorBidi"/>
          <w:sz w:val="24"/>
          <w:szCs w:val="24"/>
        </w:rPr>
        <w:t xml:space="preserve">ing doctors’ </w:t>
      </w:r>
      <w:r w:rsidRPr="00E07C5F">
        <w:rPr>
          <w:rFonts w:asciiTheme="minorBidi" w:hAnsiTheme="minorBidi"/>
          <w:sz w:val="24"/>
          <w:szCs w:val="24"/>
        </w:rPr>
        <w:t>efficiency</w:t>
      </w:r>
      <w:r w:rsidR="00C720FD">
        <w:rPr>
          <w:rFonts w:asciiTheme="minorBidi" w:hAnsiTheme="minorBidi"/>
          <w:sz w:val="24"/>
          <w:szCs w:val="24"/>
        </w:rPr>
        <w:t xml:space="preserve"> </w:t>
      </w:r>
      <w:r w:rsidR="00C922A1">
        <w:rPr>
          <w:rFonts w:asciiTheme="minorBidi" w:hAnsiTheme="minorBidi"/>
          <w:sz w:val="24"/>
          <w:szCs w:val="24"/>
        </w:rPr>
        <w:t>in providing treatment and</w:t>
      </w:r>
      <w:r w:rsidRPr="00E07C5F">
        <w:rPr>
          <w:rFonts w:asciiTheme="minorBidi" w:hAnsiTheme="minorBidi"/>
          <w:sz w:val="24"/>
          <w:szCs w:val="24"/>
        </w:rPr>
        <w:t xml:space="preserve"> accessibility to care</w:t>
      </w:r>
      <w:r w:rsidR="00F31BB6">
        <w:rPr>
          <w:rFonts w:asciiTheme="minorBidi" w:hAnsiTheme="minorBidi"/>
          <w:sz w:val="24"/>
          <w:szCs w:val="24"/>
        </w:rPr>
        <w:t>.</w:t>
      </w:r>
      <w:r w:rsidR="006D7A2B" w:rsidRPr="006D7A2B">
        <w:rPr>
          <w:rFonts w:ascii="Arial" w:eastAsia="Calibri" w:hAnsi="Arial" w:cs="Arial"/>
          <w:sz w:val="24"/>
          <w:szCs w:val="24"/>
          <w:vertAlign w:val="superscript"/>
          <w:rtl/>
        </w:rPr>
        <w:fldChar w:fldCharType="begin" w:fldLock="1"/>
      </w:r>
      <w:r w:rsidR="006D7A2B" w:rsidRPr="006D7A2B">
        <w:rPr>
          <w:rFonts w:ascii="Arial" w:eastAsia="Calibri" w:hAnsi="Arial" w:cs="Arial"/>
          <w:sz w:val="24"/>
          <w:szCs w:val="24"/>
          <w:vertAlign w:val="superscript"/>
        </w:rPr>
        <w:instrText>ADDIN CSL_CITATION {"citationItems":[{"id":"ITEM-1","itemData":{"DOI":"10.1177/1357633X16674087","ISSN":"17581109","PMID":"29320966","abstract":"Introduction and objective: Studies on telemedicine have shown success in reducing the geographical and time obstacles incurred in the receipt of care in traditional modalities with the same or greater effectiveness; however, there are several barriers that need to be addressed in order for telemedicine technology to spread. The aim of this review is to evaluate barriers to adopting telemedicine worldwide through the analysis of published work. Methods: The authors conducted a systematic literature review by extracting the data from the Cumulative Index of Nursing and Allied Health Literature (CINAHL) and PubMed (MEDLINE) research databases. The reviewers in this study analysed 30 articles (nine from CINAHL and 21 from Medline) and identified barriers found in the literature. This review followed the checklist from Preferred Reporting Items for Systematic Reviews and Meta-Analyses (PRISMA) 2009. The reviewers organized the results into one table and five figures that depict the data in different ways, organized by: barrier, country-specific barriers, organization-specific barriers, patient-specific barriers, and medical-staff and programmer-specific barriers. Results: The reviewers identified 33 barriers with a frequency of 100 occurrences through the 30 articles. The study identified the issues with technically challenged staff (11%), followed by resistance to change (8%), cost (8%), reimbursement (5%), age of patient (5%), and level of education of patient (5%). All other barriers occurred at or less than 4% of the time. Discussion and conclusions: Telemedicine is not yet ubiquitous, and barriers vary widely. The top barriers are technology-specific and could be overcome through training, change-management techniques, and alternating delivery by telemedicine and personal patient-to-provider interaction. The results of this study identify several barriers that could be eliminated by focused policy. Future work should evaluate policy to identify which one to lever to maximize the results.","author":[{"dropping-particle":"","family":"Scott Kruse","given":"Clemens","non-dropping-particle":"","parse-names":false,"suffix":""},{"dropping-particle":"","family":"Karem","given":"Priyanka","non-dropping-particle":"","parse-names":false,"suffix":""},{"dropping-particle":"","family":"Shifflett","given":"Kelli","non-dropping-particle":"","parse-names":false,"suffix":""},{"dropping-particle":"","family":"Vegi","given":"Lokesh","non-dropping-particle":"","parse-names":false,"suffix":""},{"dropping-particle":"","family":"Ravi","given":"Karuna","non-dropping-particle":"","parse-names":false,"suffix":""},{"dropping-particle":"","family":"Brooks","given":"Matthew","non-dropping-particle":"","parse-names":false,"suffix":""}],"container-title":"Journal of Telemedicine and Telecare","id":"ITEM-1","issue":"1","issued":{"date-parts":[["2018"]]},"page":"4-12","title":"Evaluating barriers to adopting telemedicine worldwide: A systematic review","type":"article-journal","volume":"24"},"uris":["http://www.mendeley.com/documents/?uuid=d8c3ba7f-3498-4967-b876-68d9ec93d34a"]}],"mendeley":{"formattedCitation":"(5)","plainTextFormattedCitation":"(5)","previouslyFormattedCitation":"(Scott Kruse et al., 2018)"},"properties":{"noteIndex":0},"schema":"https://github.com/citation-style-language/schema/raw/master/csl-citation.json"}</w:instrText>
      </w:r>
      <w:r w:rsidR="006D7A2B" w:rsidRPr="006D7A2B">
        <w:rPr>
          <w:rFonts w:ascii="Arial" w:eastAsia="Calibri" w:hAnsi="Arial" w:cs="Arial"/>
          <w:sz w:val="24"/>
          <w:szCs w:val="24"/>
          <w:vertAlign w:val="superscript"/>
          <w:rtl/>
        </w:rPr>
        <w:fldChar w:fldCharType="separate"/>
      </w:r>
      <w:r w:rsidR="006D7A2B" w:rsidRPr="006D7A2B">
        <w:rPr>
          <w:rFonts w:ascii="Arial" w:eastAsia="Calibri" w:hAnsi="Arial" w:cs="Arial"/>
          <w:noProof/>
          <w:sz w:val="24"/>
          <w:szCs w:val="24"/>
          <w:vertAlign w:val="superscript"/>
        </w:rPr>
        <w:t>5</w:t>
      </w:r>
      <w:r w:rsidR="006D7A2B" w:rsidRPr="006D7A2B">
        <w:rPr>
          <w:rFonts w:ascii="Arial" w:eastAsia="Calibri" w:hAnsi="Arial" w:cs="Arial"/>
          <w:sz w:val="24"/>
          <w:szCs w:val="24"/>
          <w:vertAlign w:val="superscript"/>
          <w:rtl/>
        </w:rPr>
        <w:fldChar w:fldCharType="end"/>
      </w:r>
      <w:r w:rsidR="00C922A1">
        <w:rPr>
          <w:rFonts w:asciiTheme="minorBidi" w:hAnsiTheme="minorBidi"/>
          <w:sz w:val="24"/>
          <w:szCs w:val="24"/>
        </w:rPr>
        <w:t xml:space="preserve"> They also show promise</w:t>
      </w:r>
      <w:r w:rsidRPr="00E07C5F">
        <w:rPr>
          <w:rFonts w:asciiTheme="minorBidi" w:hAnsiTheme="minorBidi"/>
          <w:sz w:val="24"/>
          <w:szCs w:val="24"/>
        </w:rPr>
        <w:t xml:space="preserve"> for improving medical care </w:t>
      </w:r>
      <w:r w:rsidR="00C922A1">
        <w:rPr>
          <w:rFonts w:asciiTheme="minorBidi" w:hAnsiTheme="minorBidi"/>
          <w:sz w:val="24"/>
          <w:szCs w:val="24"/>
        </w:rPr>
        <w:t>for</w:t>
      </w:r>
      <w:r w:rsidRPr="00E07C5F">
        <w:rPr>
          <w:rFonts w:asciiTheme="minorBidi" w:hAnsiTheme="minorBidi"/>
          <w:sz w:val="24"/>
          <w:szCs w:val="24"/>
        </w:rPr>
        <w:t xml:space="preserve"> chronic conditions </w:t>
      </w:r>
      <w:r w:rsidR="00C720FD">
        <w:rPr>
          <w:rFonts w:asciiTheme="minorBidi" w:hAnsiTheme="minorBidi"/>
          <w:sz w:val="24"/>
          <w:szCs w:val="24"/>
        </w:rPr>
        <w:t>such as</w:t>
      </w:r>
      <w:r w:rsidRPr="00E07C5F">
        <w:rPr>
          <w:rFonts w:asciiTheme="minorBidi" w:hAnsiTheme="minorBidi"/>
          <w:sz w:val="24"/>
          <w:szCs w:val="24"/>
        </w:rPr>
        <w:t xml:space="preserve"> hypertension, obesity, diabetes, depression, and cancer</w:t>
      </w:r>
      <w:r w:rsidR="00F31BB6">
        <w:rPr>
          <w:rFonts w:asciiTheme="minorBidi" w:hAnsiTheme="minorBidi"/>
          <w:sz w:val="24"/>
          <w:szCs w:val="24"/>
        </w:rPr>
        <w:t>.</w:t>
      </w:r>
      <w:r w:rsidR="006D7A2B" w:rsidRPr="006D7A2B">
        <w:rPr>
          <w:rFonts w:ascii="Arial" w:eastAsia="Calibri" w:hAnsi="Arial" w:cs="Arial"/>
          <w:sz w:val="24"/>
          <w:szCs w:val="24"/>
          <w:vertAlign w:val="superscript"/>
          <w:rtl/>
        </w:rPr>
        <w:fldChar w:fldCharType="begin" w:fldLock="1"/>
      </w:r>
      <w:r w:rsidR="006D7A2B" w:rsidRPr="006D7A2B">
        <w:rPr>
          <w:rFonts w:ascii="Arial" w:eastAsia="Calibri" w:hAnsi="Arial" w:cs="Arial"/>
          <w:sz w:val="24"/>
          <w:szCs w:val="24"/>
          <w:vertAlign w:val="superscript"/>
        </w:rPr>
        <w:instrText>ADDIN CSL_CITATION {"citationItems":[{"id":"ITEM-1","itemData":{"DOI":"10.1016/j.techsoc.2019.101212","ISSN":"0160791X","abstract":"Background: Developing countries around the globe are striving continuously to provide free access to health care services. Telemedicine services represent a significantly increasing form of an adequate health care delivery mechanism in developing countries. Research objective: This research study was aimed at investigating the factors influencing the acceptance of telemedicine services among the rural population of Pakistan. Technology Acceptance Model (TAM) was used as a theoretical framework for this research, with the inclusion of several other antecedents. Research method: A face-to-face survey method was used to collect research data from 275 participants. The data were analyzed using Partial Least Squares (PLS) method. Results: The findings suggest that usage intention of telemedicine services is a function of perceived ease of use, technological anxiety, social influence, perceived ease of usefulness, trust, facilitating conditions, perceived risk, and resistance to technology. Conclusions: This research study confirms the applicability of TAM with the inclusion of additional variables to model the adoption of telemedicine services in developing countries. The study offers valuable information for policymakers and health service providers for understanding the facilitators and inhibitors influencing the large scale implementation of telemedicine services. The research findings regarding factors including perceived risk, trust, facilitating conditions and resistance to change can aid in the design and adequate provision of telemedicine services in developing countries.","author":[{"dropping-particle":"","family":"Kamal","given":"Syeda Ayesha","non-dropping-particle":"","parse-names":false,"suffix":""},{"dropping-particle":"","family":"Shafiq","given":"Muhammad","non-dropping-particle":"","parse-names":false,"suffix":""},{"dropping-particle":"","family":"Kakria","given":"Priyanka","non-dropping-particle":"","parse-names":false,"suffix":""}],"container-title":"Technology in Society","id":"ITEM-1","issue":"November 2019","issued":{"date-parts":[["2020"]]},"publisher":"Elsevier Ltd","title":"Investigating acceptance of telemedicine services through an extended technology acceptance model (TAM)","type":"article-journal","volume":"60"},"uris":["http://www.mendeley.com/documents/?uuid=16110165-8305-4c50-bbbd-30edc8ef9a31"]}],"mendeley":{"formattedCitation":"(6)","plainTextFormattedCitation":"(6)","previouslyFormattedCitation":"(Kamal et al., 2020)"},"properties":{"noteIndex":0},"schema":"https://github.com/citation-style-language/schema/raw/master/csl-citation.json"}</w:instrText>
      </w:r>
      <w:r w:rsidR="006D7A2B" w:rsidRPr="006D7A2B">
        <w:rPr>
          <w:rFonts w:ascii="Arial" w:eastAsia="Calibri" w:hAnsi="Arial" w:cs="Arial"/>
          <w:sz w:val="24"/>
          <w:szCs w:val="24"/>
          <w:vertAlign w:val="superscript"/>
          <w:rtl/>
        </w:rPr>
        <w:fldChar w:fldCharType="separate"/>
      </w:r>
      <w:r w:rsidR="006D7A2B" w:rsidRPr="006D7A2B">
        <w:rPr>
          <w:rFonts w:ascii="Arial" w:eastAsia="Calibri" w:hAnsi="Arial" w:cs="Arial"/>
          <w:noProof/>
          <w:sz w:val="24"/>
          <w:szCs w:val="24"/>
          <w:vertAlign w:val="superscript"/>
        </w:rPr>
        <w:t>6</w:t>
      </w:r>
      <w:r w:rsidR="006D7A2B" w:rsidRPr="006D7A2B">
        <w:rPr>
          <w:rFonts w:ascii="Arial" w:eastAsia="Calibri" w:hAnsi="Arial" w:cs="Arial"/>
          <w:sz w:val="24"/>
          <w:szCs w:val="24"/>
          <w:vertAlign w:val="superscript"/>
          <w:rtl/>
        </w:rPr>
        <w:fldChar w:fldCharType="end"/>
      </w:r>
      <w:r w:rsidRPr="00E07C5F">
        <w:rPr>
          <w:rFonts w:asciiTheme="minorBidi" w:hAnsiTheme="minorBidi"/>
          <w:sz w:val="24"/>
          <w:szCs w:val="24"/>
        </w:rPr>
        <w:t xml:space="preserve"> Furthermore,</w:t>
      </w:r>
      <w:r w:rsidR="006D7A2B" w:rsidRPr="006D7A2B">
        <w:rPr>
          <w:rFonts w:ascii="Arial" w:eastAsia="Calibri" w:hAnsi="Arial" w:cs="Arial"/>
          <w:sz w:val="24"/>
          <w:szCs w:val="24"/>
        </w:rPr>
        <w:fldChar w:fldCharType="begin" w:fldLock="1"/>
      </w:r>
      <w:r w:rsidR="006D7A2B" w:rsidRPr="006D7A2B">
        <w:rPr>
          <w:rFonts w:ascii="Arial" w:eastAsia="Calibri" w:hAnsi="Arial" w:cs="Arial"/>
          <w:sz w:val="24"/>
          <w:szCs w:val="24"/>
        </w:rPr>
        <w:instrText>ADDIN CSL_CITATION {"citationItems":[{"id":"ITEM-1","itemData":{"DOI":"10.1377/hlthaff.2018.05132","ISSN":"15445208","PMID":"30633674","abstract":"Policy makers and practitioners show a continued interest in telehealth’s potential to increase efficiency and reach patients facing access barriers. However, telehealth encompasses many applications for varied conditions and populations. It is therefore difficult to draw broad conclusions about telehealth’s efficacy. This rapid review examines recent evidence both about telehealth’s efficacy by clinical area and about telehealth’s impact on utilization. We searched for systematic reviews and meta-analyses of the use of telehealth services by patients of any age for any condition published in English in the period January 2004–May 2018. Twenty systematic reviews and associated meta-analyses are included in this review, covering clinical areas such as mental health and rehabilitation. Broadly, telehealth interventions appear generally equivalent to in-person care. However, telehealth’s impact on the use of other services is unclear. Many factors should be carefully considered when weighing the evidence of telehealth’s efficacy, including modality, evidence quality, population demographics, and point-in-time measurement of outcomes.","author":[{"dropping-particle":"","family":"Shigekawa","given":"Erin","non-dropping-particle":"","parse-names":false,"suffix":""},{"dropping-particle":"","family":"Fix","given":"Margaret","non-dropping-particle":"","parse-names":false,"suffix":""},{"dropping-particle":"","family":"Corbett","given":"Garen","non-dropping-particle":"","parse-names":false,"suffix":""},{"dropping-particle":"","family":"Roby","given":"Dylan H.","non-dropping-particle":"","parse-names":false,"suffix":""},{"dropping-particle":"","family":"Coffman","given":"Janet","non-dropping-particle":"","parse-names":false,"suffix":""}],"container-title":"Health Affairs","id":"ITEM-1","issue":"12","issued":{"date-parts":[["2018"]]},"page":"1975-1982","title":"The current state of telehealth evidence: a rapid review","type":"article-journal","volume":"37"},"uris":["http://www.mendeley.com/documents/?uuid=8e63c714-08a1-4db0-9c04-ace33f8c9220"]}],"mendeley":{"formattedCitation":"(7)","manualFormatting":"  Shigekawa et al. ","plainTextFormattedCitation":"(7)","previouslyFormattedCitation":"(Shigekawa et al., 2018)"},"properties":{"noteIndex":0},"schema":"https://github.com/citation-style-language/schema/raw/master/csl-citation.json"}</w:instrText>
      </w:r>
      <w:r w:rsidR="006D7A2B" w:rsidRPr="006D7A2B">
        <w:rPr>
          <w:rFonts w:ascii="Arial" w:eastAsia="Calibri" w:hAnsi="Arial" w:cs="Arial"/>
          <w:sz w:val="24"/>
          <w:szCs w:val="24"/>
        </w:rPr>
        <w:fldChar w:fldCharType="separate"/>
      </w:r>
      <w:r w:rsidR="006D7A2B" w:rsidRPr="006D7A2B">
        <w:rPr>
          <w:rFonts w:ascii="Arial" w:eastAsia="Calibri" w:hAnsi="Arial" w:cs="Arial" w:hint="cs"/>
          <w:noProof/>
          <w:sz w:val="24"/>
          <w:szCs w:val="24"/>
          <w:rtl/>
        </w:rPr>
        <w:t xml:space="preserve"> </w:t>
      </w:r>
      <w:r w:rsidR="006D7A2B" w:rsidRPr="006D7A2B">
        <w:rPr>
          <w:rFonts w:ascii="Arial" w:eastAsia="Calibri" w:hAnsi="Arial" w:cs="Arial"/>
          <w:noProof/>
          <w:sz w:val="24"/>
          <w:szCs w:val="24"/>
        </w:rPr>
        <w:t xml:space="preserve">Shigekawa et al. </w:t>
      </w:r>
      <w:r w:rsidR="006D7A2B" w:rsidRPr="006D7A2B">
        <w:rPr>
          <w:rFonts w:ascii="Arial" w:eastAsia="Calibri" w:hAnsi="Arial" w:cs="Arial"/>
          <w:sz w:val="24"/>
          <w:szCs w:val="24"/>
        </w:rPr>
        <w:fldChar w:fldCharType="end"/>
      </w:r>
      <w:r w:rsidRPr="00E07C5F">
        <w:rPr>
          <w:rFonts w:asciiTheme="minorBidi" w:hAnsiTheme="minorBidi"/>
          <w:sz w:val="24"/>
          <w:szCs w:val="24"/>
        </w:rPr>
        <w:t xml:space="preserve">(2018) suggest that telemedicine can produce outcomes comparable or even superior to </w:t>
      </w:r>
      <w:r w:rsidR="00C922A1">
        <w:rPr>
          <w:rFonts w:asciiTheme="minorBidi" w:hAnsiTheme="minorBidi"/>
          <w:sz w:val="24"/>
          <w:szCs w:val="24"/>
        </w:rPr>
        <w:t>in-person</w:t>
      </w:r>
      <w:r w:rsidRPr="00E07C5F">
        <w:rPr>
          <w:rFonts w:asciiTheme="minorBidi" w:hAnsiTheme="minorBidi"/>
          <w:sz w:val="24"/>
          <w:szCs w:val="24"/>
        </w:rPr>
        <w:t xml:space="preserve"> medical care, especially in mental health assessment and treatment, rehabilitation counseling, and </w:t>
      </w:r>
      <w:r w:rsidR="00C922A1">
        <w:rPr>
          <w:rFonts w:asciiTheme="minorBidi" w:hAnsiTheme="minorBidi"/>
          <w:sz w:val="24"/>
          <w:szCs w:val="24"/>
        </w:rPr>
        <w:t xml:space="preserve">elderly </w:t>
      </w:r>
      <w:r w:rsidR="00835D11">
        <w:rPr>
          <w:rFonts w:asciiTheme="minorBidi" w:hAnsiTheme="minorBidi"/>
          <w:sz w:val="24"/>
          <w:szCs w:val="24"/>
        </w:rPr>
        <w:t>nutrition management.</w:t>
      </w:r>
    </w:p>
    <w:p w14:paraId="18FC3B46" w14:textId="5D8AF8CA" w:rsidR="00BD6882" w:rsidRPr="00DB43A5" w:rsidRDefault="00DB43A5" w:rsidP="004C2D4E">
      <w:pPr>
        <w:spacing w:line="480" w:lineRule="auto"/>
        <w:jc w:val="both"/>
        <w:rPr>
          <w:rFonts w:asciiTheme="minorBidi" w:hAnsiTheme="minorBidi"/>
          <w:sz w:val="24"/>
          <w:szCs w:val="24"/>
        </w:rPr>
      </w:pPr>
      <w:r w:rsidRPr="00DB43A5">
        <w:rPr>
          <w:rFonts w:asciiTheme="minorBidi" w:hAnsiTheme="minorBidi"/>
          <w:sz w:val="24"/>
          <w:szCs w:val="24"/>
        </w:rPr>
        <w:t xml:space="preserve">These advantages </w:t>
      </w:r>
      <w:r w:rsidR="003023BD">
        <w:rPr>
          <w:rFonts w:asciiTheme="minorBidi" w:hAnsiTheme="minorBidi"/>
          <w:sz w:val="24"/>
          <w:szCs w:val="24"/>
        </w:rPr>
        <w:t>facilitated</w:t>
      </w:r>
      <w:r w:rsidRPr="00DB43A5">
        <w:rPr>
          <w:rFonts w:asciiTheme="minorBidi" w:hAnsiTheme="minorBidi"/>
          <w:sz w:val="24"/>
          <w:szCs w:val="24"/>
        </w:rPr>
        <w:t xml:space="preserve"> </w:t>
      </w:r>
      <w:r>
        <w:rPr>
          <w:rFonts w:asciiTheme="minorBidi" w:hAnsiTheme="minorBidi"/>
          <w:sz w:val="24"/>
          <w:szCs w:val="24"/>
        </w:rPr>
        <w:t>increas</w:t>
      </w:r>
      <w:r w:rsidR="003023BD">
        <w:rPr>
          <w:rFonts w:asciiTheme="minorBidi" w:hAnsiTheme="minorBidi"/>
          <w:sz w:val="24"/>
          <w:szCs w:val="24"/>
        </w:rPr>
        <w:t>ed</w:t>
      </w:r>
      <w:r w:rsidRPr="00DB43A5">
        <w:rPr>
          <w:rFonts w:asciiTheme="minorBidi" w:hAnsiTheme="minorBidi"/>
          <w:sz w:val="24"/>
          <w:szCs w:val="24"/>
        </w:rPr>
        <w:t xml:space="preserve"> </w:t>
      </w:r>
      <w:r>
        <w:rPr>
          <w:rFonts w:asciiTheme="minorBidi" w:hAnsiTheme="minorBidi"/>
          <w:sz w:val="24"/>
          <w:szCs w:val="24"/>
        </w:rPr>
        <w:t xml:space="preserve">OHS </w:t>
      </w:r>
      <w:r w:rsidR="003023BD">
        <w:rPr>
          <w:rFonts w:asciiTheme="minorBidi" w:hAnsiTheme="minorBidi"/>
          <w:sz w:val="24"/>
          <w:szCs w:val="24"/>
        </w:rPr>
        <w:t>consumption</w:t>
      </w:r>
      <w:r>
        <w:rPr>
          <w:rFonts w:asciiTheme="minorBidi" w:hAnsiTheme="minorBidi"/>
          <w:sz w:val="24"/>
          <w:szCs w:val="24"/>
        </w:rPr>
        <w:t xml:space="preserve"> duri</w:t>
      </w:r>
      <w:r w:rsidRPr="00DB43A5">
        <w:rPr>
          <w:rFonts w:asciiTheme="minorBidi" w:hAnsiTheme="minorBidi"/>
          <w:sz w:val="24"/>
          <w:szCs w:val="24"/>
        </w:rPr>
        <w:t xml:space="preserve">ng the COVID-19 pandemic globally, providing an efficient solution for safe patient-practitioner </w:t>
      </w:r>
      <w:r w:rsidRPr="00DB43A5">
        <w:rPr>
          <w:rFonts w:asciiTheme="minorBidi" w:hAnsiTheme="minorBidi"/>
          <w:sz w:val="24"/>
          <w:szCs w:val="24"/>
        </w:rPr>
        <w:lastRenderedPageBreak/>
        <w:t>communication. Data from the U.S. Department of Health show that telemedicine use among patients with government health insurance increased from 11,000 to 1.3 million between March 7 and April 18, 2020</w:t>
      </w:r>
      <w:r w:rsidR="00F31BB6">
        <w:rPr>
          <w:rFonts w:asciiTheme="minorBidi" w:hAnsiTheme="minorBidi"/>
          <w:sz w:val="24"/>
          <w:szCs w:val="24"/>
        </w:rPr>
        <w:t>.</w:t>
      </w:r>
      <w:r w:rsidR="00170C40" w:rsidRPr="00170C40">
        <w:rPr>
          <w:rFonts w:ascii="Arial" w:eastAsia="Calibri" w:hAnsi="Arial" w:cs="Arial" w:hint="cs"/>
          <w:sz w:val="24"/>
          <w:szCs w:val="24"/>
          <w:vertAlign w:val="superscript"/>
          <w:rtl/>
        </w:rPr>
        <w:t>8</w:t>
      </w:r>
      <w:r w:rsidR="00170C40" w:rsidRPr="00170C40">
        <w:rPr>
          <w:rFonts w:ascii="Arial" w:eastAsia="Calibri" w:hAnsi="Arial" w:cs="Arial"/>
          <w:sz w:val="24"/>
          <w:szCs w:val="24"/>
          <w:rtl/>
        </w:rPr>
        <w:fldChar w:fldCharType="begin" w:fldLock="1"/>
      </w:r>
      <w:r w:rsidR="00170C40" w:rsidRPr="00170C40">
        <w:rPr>
          <w:rFonts w:ascii="Arial" w:eastAsia="Calibri" w:hAnsi="Arial" w:cs="Arial"/>
          <w:sz w:val="24"/>
          <w:szCs w:val="24"/>
        </w:rPr>
        <w:instrText>ADDIN CSL_CITATION {"citationItems":[{"id":"ITEM-1","itemData":{"author":[{"dropping-particle":"","family":"Ugalmugale S","given":"Swain R.","non-dropping-particle":"","parse-names":false,"suffix":""}],"id":"ITEM-1","issued":{"date-parts":[["2020"]]},"title":"Telemedicine Market Size By Service (Tele-consulting, Tele-monitoring, Tele- education/training), By Type (Telehospital, Telehome), By Specialty (Cardiology, Gynecology, Neurology, Orthopedics, Dermatology, Mental Health), By Delivery Mode (Web/Mobile {Te","type":"article-journal"},"uris":["http://www.mendeley.com/documents/?uuid=3ce076cc-0456-47b2-9b07-ee7e527eee13","http://www.mendeley.com/documents/?uuid=4c9c003d-0fbf-4349-8413-dd16d9e70839"]}],"mendeley":{"formattedCitation":"(8)","manualFormatting":"(Ugalmugale &amp; Swein, 2020 )","plainTextFormattedCitation":"(8)","previouslyFormattedCitation":"(Ugalmugale S, 2020)"},"properties":{"noteIndex":0},"schema":"https://github.com/citation-style-language/schema/raw/master/csl-citation.json"}</w:instrText>
      </w:r>
      <w:r w:rsidR="00170C40" w:rsidRPr="00170C40">
        <w:rPr>
          <w:rFonts w:ascii="Arial" w:eastAsia="Calibri" w:hAnsi="Arial" w:cs="Arial"/>
          <w:sz w:val="24"/>
          <w:szCs w:val="24"/>
          <w:rtl/>
        </w:rPr>
        <w:fldChar w:fldCharType="separate"/>
      </w:r>
      <w:r w:rsidR="00170C40" w:rsidRPr="00170C40">
        <w:rPr>
          <w:rFonts w:ascii="Arial" w:eastAsia="Calibri" w:hAnsi="Arial" w:cs="Arial"/>
          <w:noProof/>
          <w:sz w:val="24"/>
          <w:szCs w:val="24"/>
        </w:rPr>
        <w:t xml:space="preserve"> </w:t>
      </w:r>
      <w:r w:rsidR="00170C40" w:rsidRPr="00170C40">
        <w:rPr>
          <w:rFonts w:ascii="Arial" w:eastAsia="Calibri" w:hAnsi="Arial" w:cs="Arial"/>
          <w:sz w:val="24"/>
          <w:szCs w:val="24"/>
          <w:rtl/>
        </w:rPr>
        <w:fldChar w:fldCharType="end"/>
      </w:r>
      <w:r w:rsidR="00FE4C45">
        <w:rPr>
          <w:rFonts w:asciiTheme="minorBidi" w:hAnsiTheme="minorBidi"/>
          <w:sz w:val="24"/>
          <w:szCs w:val="24"/>
        </w:rPr>
        <w:t xml:space="preserve">Similarly, </w:t>
      </w:r>
      <w:r w:rsidR="00170C40" w:rsidRPr="00170C40">
        <w:rPr>
          <w:rFonts w:ascii="Arial" w:eastAsia="Calibri" w:hAnsi="Arial" w:cs="Arial"/>
          <w:sz w:val="24"/>
          <w:szCs w:val="24"/>
          <w:rtl/>
        </w:rPr>
        <w:fldChar w:fldCharType="begin" w:fldLock="1"/>
      </w:r>
      <w:r w:rsidR="00170C40" w:rsidRPr="00170C40">
        <w:rPr>
          <w:rFonts w:ascii="Arial" w:eastAsia="Calibri" w:hAnsi="Arial" w:cs="Arial"/>
          <w:sz w:val="24"/>
          <w:szCs w:val="24"/>
        </w:rPr>
        <w:instrText>ADDIN CSL_CITATION {"citationItems":[{"id":"ITEM-1","itemData":{"DOI":"10.1093/jamia/ocaa072","ISSN":"1527974X","PMID":"32324855","abstract":"This study provides data on the feasibility and impact of video-enabled telemedicine use among patients and providers and its impact on urgent and nonurgent healthcare delivery from one large health system (NYU Langone Health) at the epicenter of the coronavirus disease 2019 (COVID-19) outbreak in the United States. Between March 2nd and April 14th 2020, telemedicine visits increased from 102.4 daily to 801.6 daily. (683% increase) in urgent care after the system-wide expansion of virtual urgent care staff in response to COVID-19. Of all virtual visits post expansion, 56.2% and 17.6% urgent and nonurgent visits, respectively, were COVID-19-related. Telemedicine usage was highest by patients 20 to 44 years of age, particularly for urgent care. The COVID-19 pandemic has driven rapid expansion of telemedicine use for urgent care and nonurgent care visits beyond baseline periods. This reflects an important change in telemedicine that other institutions facing the COVID-19 pandemic should anticipate.","author":[{"dropping-particle":"","family":"Mann","given":"Devin M.","non-dropping-particle":"","parse-names":false,"suffix":""},{"dropping-particle":"","family":"Chen","given":"Ji","non-dropping-particle":"","parse-names":false,"suffix":""},{"dropping-particle":"","family":"Chunara","given":"Rumi","non-dropping-particle":"","parse-names":false,"suffix":""},{"dropping-particle":"","family":"Testa","given":"Paul A.","non-dropping-particle":"","parse-names":false,"suffix":""},{"dropping-particle":"","family":"Nov","given":"Oded","non-dropping-particle":"","parse-names":false,"suffix":""}],"container-title":"Journal of the American Medical Informatics Association","id":"ITEM-1","issue":"7","issued":{"date-parts":[["2020"]]},"page":"1132-1135","title":"COVID-19 transforms health care through telemedicine: Evidence from the field","type":"article-journal","volume":"27"},"uris":["http://www.mendeley.com/documents/?uuid=b284cbfe-c3f6-4223-958c-d4f24fb9b355"]}],"mendeley":{"formattedCitation":"(9)","manualFormatting":"Mann et al.","plainTextFormattedCitation":"(9)","previouslyFormattedCitation":"(Mann et al., 2020)"},"properties":{"noteIndex":0},"schema":"https://github.com/citation-style-language/schema/raw/master/csl-citation.json"}</w:instrText>
      </w:r>
      <w:r w:rsidR="00170C40" w:rsidRPr="00170C40">
        <w:rPr>
          <w:rFonts w:ascii="Arial" w:eastAsia="Calibri" w:hAnsi="Arial" w:cs="Arial"/>
          <w:sz w:val="24"/>
          <w:szCs w:val="24"/>
          <w:rtl/>
        </w:rPr>
        <w:fldChar w:fldCharType="separate"/>
      </w:r>
      <w:r w:rsidR="00170C40" w:rsidRPr="00170C40">
        <w:rPr>
          <w:rFonts w:ascii="Arial" w:eastAsia="Calibri" w:hAnsi="Arial" w:cs="Arial"/>
          <w:noProof/>
          <w:sz w:val="24"/>
          <w:szCs w:val="24"/>
        </w:rPr>
        <w:t>Mann et al.</w:t>
      </w:r>
      <w:r w:rsidR="00170C40" w:rsidRPr="00170C40">
        <w:rPr>
          <w:rFonts w:ascii="Arial" w:eastAsia="Calibri" w:hAnsi="Arial" w:cs="Arial"/>
          <w:sz w:val="24"/>
          <w:szCs w:val="24"/>
          <w:rtl/>
        </w:rPr>
        <w:fldChar w:fldCharType="end"/>
      </w:r>
      <w:r w:rsidRPr="00DB43A5">
        <w:rPr>
          <w:rFonts w:asciiTheme="minorBidi" w:hAnsiTheme="minorBidi"/>
          <w:sz w:val="24"/>
          <w:szCs w:val="24"/>
        </w:rPr>
        <w:t xml:space="preserve"> (2020)</w:t>
      </w:r>
      <w:r w:rsidR="003023BD" w:rsidRPr="003023BD">
        <w:rPr>
          <w:rFonts w:ascii="Arial" w:eastAsia="Calibri" w:hAnsi="Arial" w:cs="Arial" w:hint="cs"/>
          <w:sz w:val="24"/>
          <w:szCs w:val="24"/>
          <w:vertAlign w:val="superscript"/>
          <w:rtl/>
        </w:rPr>
        <w:t xml:space="preserve"> 9</w:t>
      </w:r>
      <w:r w:rsidRPr="00DB43A5">
        <w:rPr>
          <w:rFonts w:asciiTheme="minorBidi" w:hAnsiTheme="minorBidi"/>
          <w:sz w:val="24"/>
          <w:szCs w:val="24"/>
        </w:rPr>
        <w:t xml:space="preserve">report that while only 8% of Americans used OHS in 2019, there was a significant increase </w:t>
      </w:r>
      <w:r w:rsidR="00FE4C45">
        <w:rPr>
          <w:rFonts w:asciiTheme="minorBidi" w:hAnsiTheme="minorBidi"/>
          <w:sz w:val="24"/>
          <w:szCs w:val="24"/>
        </w:rPr>
        <w:t xml:space="preserve">in </w:t>
      </w:r>
      <w:r w:rsidR="002D6A62">
        <w:rPr>
          <w:rFonts w:asciiTheme="minorBidi" w:hAnsiTheme="minorBidi"/>
          <w:sz w:val="24"/>
          <w:szCs w:val="24"/>
        </w:rPr>
        <w:t>use</w:t>
      </w:r>
      <w:r w:rsidR="00FE4C45">
        <w:rPr>
          <w:rFonts w:asciiTheme="minorBidi" w:hAnsiTheme="minorBidi"/>
          <w:sz w:val="24"/>
          <w:szCs w:val="24"/>
        </w:rPr>
        <w:t xml:space="preserve"> </w:t>
      </w:r>
      <w:r w:rsidRPr="00DB43A5">
        <w:rPr>
          <w:rFonts w:asciiTheme="minorBidi" w:hAnsiTheme="minorBidi"/>
          <w:sz w:val="24"/>
          <w:szCs w:val="24"/>
        </w:rPr>
        <w:t>during the U.S. lockdown (March 2 to April 14, 2020). For example, in one of New York's major health</w:t>
      </w:r>
      <w:r w:rsidR="004A67E2">
        <w:rPr>
          <w:rFonts w:asciiTheme="minorBidi" w:hAnsiTheme="minorBidi"/>
          <w:sz w:val="24"/>
          <w:szCs w:val="24"/>
        </w:rPr>
        <w:t>care</w:t>
      </w:r>
      <w:r w:rsidRPr="00DB43A5">
        <w:rPr>
          <w:rFonts w:asciiTheme="minorBidi" w:hAnsiTheme="minorBidi"/>
          <w:sz w:val="24"/>
          <w:szCs w:val="24"/>
        </w:rPr>
        <w:t xml:space="preserve"> providers, daily telemedicine </w:t>
      </w:r>
      <w:proofErr w:type="gramStart"/>
      <w:r w:rsidR="002D6A62">
        <w:rPr>
          <w:rFonts w:asciiTheme="minorBidi" w:hAnsiTheme="minorBidi"/>
          <w:sz w:val="24"/>
          <w:szCs w:val="24"/>
        </w:rPr>
        <w:t>use</w:t>
      </w:r>
      <w:proofErr w:type="gramEnd"/>
      <w:r w:rsidRPr="00DB43A5">
        <w:rPr>
          <w:rFonts w:asciiTheme="minorBidi" w:hAnsiTheme="minorBidi"/>
          <w:sz w:val="24"/>
          <w:szCs w:val="24"/>
        </w:rPr>
        <w:t xml:space="preserve"> via video rose from 102.4 to 801.6 contacts, </w:t>
      </w:r>
      <w:r w:rsidR="0071421F">
        <w:rPr>
          <w:rFonts w:asciiTheme="minorBidi" w:hAnsiTheme="minorBidi"/>
          <w:sz w:val="24"/>
          <w:szCs w:val="24"/>
        </w:rPr>
        <w:t xml:space="preserve">marking </w:t>
      </w:r>
      <w:r w:rsidRPr="00DB43A5">
        <w:rPr>
          <w:rFonts w:asciiTheme="minorBidi" w:hAnsiTheme="minorBidi"/>
          <w:sz w:val="24"/>
          <w:szCs w:val="24"/>
        </w:rPr>
        <w:t xml:space="preserve">a 683% increase, particularly in emergency medicine and </w:t>
      </w:r>
      <w:r w:rsidR="004A67E2">
        <w:rPr>
          <w:rFonts w:asciiTheme="minorBidi" w:hAnsiTheme="minorBidi"/>
          <w:sz w:val="24"/>
          <w:szCs w:val="24"/>
        </w:rPr>
        <w:t>among</w:t>
      </w:r>
      <w:r w:rsidRPr="00DB43A5">
        <w:rPr>
          <w:rFonts w:asciiTheme="minorBidi" w:hAnsiTheme="minorBidi"/>
          <w:sz w:val="24"/>
          <w:szCs w:val="24"/>
        </w:rPr>
        <w:t xml:space="preserve"> patients aged 22-44. In Australia, as the pandemic </w:t>
      </w:r>
      <w:r w:rsidR="004A67E2">
        <w:rPr>
          <w:rFonts w:asciiTheme="minorBidi" w:hAnsiTheme="minorBidi"/>
          <w:sz w:val="24"/>
          <w:szCs w:val="24"/>
        </w:rPr>
        <w:t>spread</w:t>
      </w:r>
      <w:r w:rsidRPr="00DB43A5">
        <w:rPr>
          <w:rFonts w:asciiTheme="minorBidi" w:hAnsiTheme="minorBidi"/>
          <w:sz w:val="24"/>
          <w:szCs w:val="24"/>
        </w:rPr>
        <w:t xml:space="preserve">, </w:t>
      </w:r>
      <w:r w:rsidR="00E0679E">
        <w:rPr>
          <w:rFonts w:asciiTheme="minorBidi" w:hAnsiTheme="minorBidi"/>
          <w:sz w:val="24"/>
          <w:szCs w:val="24"/>
        </w:rPr>
        <w:t xml:space="preserve">access to </w:t>
      </w:r>
      <w:r w:rsidRPr="00DB43A5">
        <w:rPr>
          <w:rFonts w:asciiTheme="minorBidi" w:hAnsiTheme="minorBidi"/>
          <w:sz w:val="24"/>
          <w:szCs w:val="24"/>
        </w:rPr>
        <w:t xml:space="preserve">OHS </w:t>
      </w:r>
      <w:r w:rsidR="004A67E2">
        <w:rPr>
          <w:rFonts w:asciiTheme="minorBidi" w:hAnsiTheme="minorBidi"/>
          <w:sz w:val="24"/>
          <w:szCs w:val="24"/>
        </w:rPr>
        <w:t xml:space="preserve">was </w:t>
      </w:r>
      <w:r w:rsidRPr="00DB43A5">
        <w:rPr>
          <w:rFonts w:asciiTheme="minorBidi" w:hAnsiTheme="minorBidi"/>
          <w:sz w:val="24"/>
          <w:szCs w:val="24"/>
        </w:rPr>
        <w:t>extended to the entire population, mainly for initial triage, assessment, and treatment of common cases</w:t>
      </w:r>
      <w:r w:rsidR="0071421F" w:rsidRPr="0071421F">
        <w:rPr>
          <w:rFonts w:ascii="Arial" w:eastAsia="Calibri" w:hAnsi="Arial" w:cs="Arial"/>
          <w:sz w:val="24"/>
          <w:szCs w:val="24"/>
        </w:rPr>
        <w:fldChar w:fldCharType="begin" w:fldLock="1"/>
      </w:r>
      <w:r w:rsidR="0071421F" w:rsidRPr="0071421F">
        <w:rPr>
          <w:rFonts w:ascii="Arial" w:eastAsia="Calibri" w:hAnsi="Arial" w:cs="Arial"/>
          <w:sz w:val="24"/>
          <w:szCs w:val="24"/>
        </w:rPr>
        <w:instrText>ADDIN CSL_CITATION {"citationItems":[{"id":"ITEM-1","itemData":{"DOI":"10.1016/j.ijmedinf.2021.104483","ISSN":"18728243","PMID":"33984625","abstract":"Introduction: Internationally the COVID-19 pandemic has triggered a dramatic and unprecedented shift in telehealth uptake as a means of protecting healthcare consumers and providers through remote consultation modes. Early in the pandemic, Australia implemented a comprehensive and responsive set of policy measures to support telehealth. Initially targeted at protecting vulnerable individuals, including health professionals, this rapidly expanded to a “whole population” approach as the pandemic evolved. This policy response supported health system capacity and community confidence by protecting patients and healthcare providers; creating opportunities for controlled triage, remote assessment and treatment of mild COVID-19 cases; redeploying quarantined or isolated health care workers (HCWs); and maintaining routine and non-COVID healthcare. Purpose: This paper provides a review of the literature regarding telephone and video consulting, outlines the pre-COVID background to telehealth implementation in Australia, and describes the national telehealth policy measures instituted in response to COVID-19. Aligned with the existing payment system for out of hospital care, and funded by the national health insurance scheme, a suite of approximately 300 temporary telehealth Medicare-subsidised services were introduced. Response to these initiatives was swift and strong, with 30.01 million services, at a cost of AUD $1.54 billion, claimed in the first six months. Findings: This initiative has been a major policy success, ensuring the safety of healthcare consumers and healthcare workers during a time of great uncertainty, and addressing known financial risks and barriers for health service providers. The risks posed by COVID-19 have radically altered the value proposition of telehealth for patients and clinicians, overcoming many previously encountered barriers to implementation, including willingness of clinicians to adopt telehealth, consumer awareness and demand, and the necessity of learning new ways of conducting safe consultations. However, ensuring the quality of telehealth services is a key ongoing concern. Conclusions: Despite a preference by policymakers for video consultation, the majority of telehealth consults in Australia were conducted by telephone. The pronounced dominance of telephone item numbers in early utilisation data suggests there are still barriers to video-consultations, and a number of challenges remain before the well-described benefit…","author":[{"dropping-particle":"","family":"Hall Dykgraaf","given":"Sally","non-dropping-particle":"","parse-names":false,"suffix":""},{"dropping-particle":"","family":"Desborough","given":"Jane","non-dropping-particle":"","parse-names":false,"suffix":""},{"dropping-particle":"","family":"Toca","given":"Lucas","non-dropping-particle":"de","parse-names":false,"suffix":""},{"dropping-particle":"","family":"Davis","given":"Stephanie","non-dropping-particle":"","parse-names":false,"suffix":""},{"dropping-particle":"","family":"Roberts","given":"Leslee","non-dropping-particle":"","parse-names":false,"suffix":""},{"dropping-particle":"","family":"Munindradasa","given":"Ashvini","non-dropping-particle":"","parse-names":false,"suffix":""},{"dropping-particle":"","family":"McMillan","given":"Alison","non-dropping-particle":"","parse-names":false,"suffix":""},{"dropping-particle":"","family":"Kelly","given":"Paul","non-dropping-particle":"","parse-names":false,"suffix":""},{"dropping-particle":"","family":"Kidd","given":"Michael","non-dropping-particle":"","parse-names":false,"suffix":""}],"container-title":"International Journal of Medical Informatics","id":"ITEM-1","issue":"May","issued":{"date-parts":[["2021"]]},"title":"“A decade's worth of work in a matter of days”: The journey to telehealth for the whole population in Australia","type":"article-journal","volume":"151"},"uris":["http://www.mendeley.com/documents/?uuid=464bcc58-188e-4374-b9ac-0a7fa7ca162b","http://www.mendeley.com/documents/?uuid=56bcffce-2a3b-4fec-89ac-1cc40f9d7f26"]}],"mendeley":{"formattedCitation":"(10)","plainTextFormattedCitation":"(10)","previouslyFormattedCitation":"(Hall Dykgraaf et al., 2021)"},"properties":{"noteIndex":0},"schema":"https://github.com/citation-style-language/schema/raw/master/csl-citation.json"}</w:instrText>
      </w:r>
      <w:r w:rsidR="0071421F" w:rsidRPr="0071421F">
        <w:rPr>
          <w:rFonts w:ascii="Arial" w:eastAsia="Calibri" w:hAnsi="Arial" w:cs="Arial"/>
          <w:sz w:val="24"/>
          <w:szCs w:val="24"/>
        </w:rPr>
        <w:fldChar w:fldCharType="separate"/>
      </w:r>
      <w:r w:rsidR="00F31BB6">
        <w:rPr>
          <w:rFonts w:ascii="Arial" w:eastAsia="Calibri" w:hAnsi="Arial" w:cs="Arial"/>
          <w:noProof/>
          <w:sz w:val="24"/>
          <w:szCs w:val="24"/>
        </w:rPr>
        <w:t>.</w:t>
      </w:r>
      <w:r w:rsidR="0071421F" w:rsidRPr="00F31BB6">
        <w:rPr>
          <w:rFonts w:ascii="Arial" w:eastAsia="Calibri" w:hAnsi="Arial" w:cs="Arial"/>
          <w:noProof/>
          <w:sz w:val="24"/>
          <w:szCs w:val="24"/>
          <w:vertAlign w:val="superscript"/>
        </w:rPr>
        <w:t>10</w:t>
      </w:r>
      <w:r w:rsidR="0071421F" w:rsidRPr="0071421F">
        <w:rPr>
          <w:rFonts w:ascii="Arial" w:eastAsia="Calibri" w:hAnsi="Arial" w:cs="Arial"/>
          <w:noProof/>
          <w:sz w:val="24"/>
          <w:szCs w:val="24"/>
        </w:rPr>
        <w:t>)</w:t>
      </w:r>
      <w:r w:rsidR="0071421F" w:rsidRPr="0071421F">
        <w:rPr>
          <w:rFonts w:ascii="Arial" w:eastAsia="Calibri" w:hAnsi="Arial" w:cs="Arial"/>
          <w:sz w:val="24"/>
          <w:szCs w:val="24"/>
        </w:rPr>
        <w:fldChar w:fldCharType="end"/>
      </w:r>
      <w:r w:rsidRPr="00DB43A5">
        <w:rPr>
          <w:rFonts w:asciiTheme="minorBidi" w:hAnsiTheme="minorBidi"/>
          <w:sz w:val="24"/>
          <w:szCs w:val="24"/>
        </w:rPr>
        <w:t xml:space="preserve"> In Germany, </w:t>
      </w:r>
      <w:r w:rsidR="006C070E">
        <w:rPr>
          <w:rFonts w:asciiTheme="minorBidi" w:hAnsiTheme="minorBidi"/>
          <w:sz w:val="24"/>
          <w:szCs w:val="24"/>
        </w:rPr>
        <w:t>findings showed</w:t>
      </w:r>
      <w:r w:rsidRPr="00DB43A5">
        <w:rPr>
          <w:rFonts w:asciiTheme="minorBidi" w:hAnsiTheme="minorBidi"/>
          <w:sz w:val="24"/>
          <w:szCs w:val="24"/>
        </w:rPr>
        <w:t xml:space="preserve"> </w:t>
      </w:r>
      <w:r w:rsidR="006C070E">
        <w:rPr>
          <w:rFonts w:asciiTheme="minorBidi" w:hAnsiTheme="minorBidi"/>
          <w:sz w:val="24"/>
          <w:szCs w:val="24"/>
        </w:rPr>
        <w:t xml:space="preserve">that </w:t>
      </w:r>
      <w:r w:rsidRPr="00DB43A5">
        <w:rPr>
          <w:rFonts w:asciiTheme="minorBidi" w:hAnsiTheme="minorBidi"/>
          <w:sz w:val="24"/>
          <w:szCs w:val="24"/>
        </w:rPr>
        <w:t xml:space="preserve">only </w:t>
      </w:r>
      <w:commentRangeStart w:id="1"/>
      <w:r w:rsidRPr="00DB43A5">
        <w:rPr>
          <w:rFonts w:asciiTheme="minorBidi" w:hAnsiTheme="minorBidi"/>
          <w:sz w:val="24"/>
          <w:szCs w:val="24"/>
        </w:rPr>
        <w:t>20%</w:t>
      </w:r>
      <w:commentRangeEnd w:id="1"/>
      <w:r w:rsidR="00E0679E">
        <w:rPr>
          <w:rStyle w:val="CommentReference"/>
        </w:rPr>
        <w:commentReference w:id="1"/>
      </w:r>
      <w:r w:rsidRPr="00DB43A5">
        <w:rPr>
          <w:rFonts w:asciiTheme="minorBidi" w:hAnsiTheme="minorBidi"/>
          <w:sz w:val="24"/>
          <w:szCs w:val="24"/>
        </w:rPr>
        <w:t xml:space="preserve"> used online medicine, primarily </w:t>
      </w:r>
      <w:r w:rsidR="004C2D4E">
        <w:rPr>
          <w:rFonts w:asciiTheme="minorBidi" w:hAnsiTheme="minorBidi"/>
          <w:sz w:val="24"/>
          <w:szCs w:val="24"/>
        </w:rPr>
        <w:t>for</w:t>
      </w:r>
      <w:r w:rsidRPr="00DB43A5">
        <w:rPr>
          <w:rFonts w:asciiTheme="minorBidi" w:hAnsiTheme="minorBidi"/>
          <w:sz w:val="24"/>
          <w:szCs w:val="24"/>
        </w:rPr>
        <w:t xml:space="preserve"> </w:t>
      </w:r>
      <w:r w:rsidR="004C2D4E">
        <w:rPr>
          <w:rFonts w:asciiTheme="minorBidi" w:hAnsiTheme="minorBidi"/>
          <w:sz w:val="24"/>
          <w:szCs w:val="24"/>
        </w:rPr>
        <w:t xml:space="preserve">consultation via </w:t>
      </w:r>
      <w:r w:rsidRPr="00DB43A5">
        <w:rPr>
          <w:rFonts w:asciiTheme="minorBidi" w:hAnsiTheme="minorBidi"/>
          <w:sz w:val="24"/>
          <w:szCs w:val="24"/>
        </w:rPr>
        <w:t>telephone rather than video (15.4% vs. 7.6%)</w:t>
      </w:r>
      <w:r w:rsidR="00F31BB6">
        <w:rPr>
          <w:rFonts w:asciiTheme="minorBidi" w:hAnsiTheme="minorBidi"/>
          <w:sz w:val="24"/>
          <w:szCs w:val="24"/>
        </w:rPr>
        <w:t>.</w:t>
      </w:r>
      <w:r w:rsidR="006C070E" w:rsidRPr="006C070E">
        <w:rPr>
          <w:rFonts w:ascii="Arial" w:eastAsia="Calibri" w:hAnsi="Arial" w:cs="Arial"/>
          <w:noProof/>
          <w:sz w:val="24"/>
          <w:szCs w:val="24"/>
          <w:vertAlign w:val="superscript"/>
        </w:rPr>
        <w:fldChar w:fldCharType="begin" w:fldLock="1"/>
      </w:r>
      <w:r w:rsidR="006C070E" w:rsidRPr="006C070E">
        <w:rPr>
          <w:rFonts w:ascii="Arial" w:eastAsia="Calibri" w:hAnsi="Arial" w:cs="Arial"/>
          <w:noProof/>
          <w:sz w:val="24"/>
          <w:szCs w:val="24"/>
          <w:vertAlign w:val="superscript"/>
        </w:rPr>
        <w:instrText>ADDIN CSL_CITATION {"citationItems":[{"id":"ITEM-1","itemData":{"DOI":"10.3390/ijerph18147661","ISSN":"16604601","PMID":"34300110","abstract":"During the COVID-19 pandemic in Germany, non-pharmaceutical interventions were im-posed to contain the spread of the virus. Based on cross-sectional waves in March, July and December 2020 of the COVID-19 Snapshot Monitoring (COSMO), the present study investigated the impact of the introduced measures on the perceived access to health care. Additionally, for the wave in December, treatment occasion as well as utilization and satisfaction regarding telemedicine were analysed. For 18–74-year-old participants requiring medical care, descriptive and logistic regression analyses were performed. During the less strict second lockdown in December, participants reported more frequently ensured access to health care (91.2%) compared to the first lockdown in March (86.8%), but less frequently compared to July (94.2%) during a period with only mild re-strictions. In December, main treatment occasions of required medical appointments were check-up visits at the general practitioner (55.2%) and dentist (36.2%), followed by acute treatments at the general practitioner (25.6%) and dentist (19.0%), treatments at the physio-, ergo-or speech therapist (13.1%), psychotherapist (11.9%), and scheduled hospital admissions or surgeries (10.0%). Of the participants, 20.0% indicated utilization of telemedical (15.4% telephone, 7.6% video) consultations. Of them, 43.7% were satisfied with the service. In conclusion, for the majority of participants, access to medical care was ensured during the COVID-19 pandemic; however, access slightly decreased during phases of lockdown. Telemedicine complemented the access to medical appointments.","author":[{"dropping-particle":"","family":"Reitzle","given":"Lukas","non-dropping-particle":"","parse-names":false,"suffix":""},{"dropping-particle":"","family":"Schmidt","given":"Christian","non-dropping-particle":"","parse-names":false,"suffix":""},{"dropping-particle":"","family":"Färber","given":"Francesca","non-dropping-particle":"","parse-names":false,"suffix":""},{"dropping-particle":"","family":"Huebl","given":"Lena","non-dropping-particle":"","parse-names":false,"suffix":""},{"dropping-particle":"","family":"Wieler","given":"Lothar Heinz","non-dropping-particle":"","parse-names":false,"suffix":""},{"dropping-particle":"","family":"Ziese","given":"Thomas","non-dropping-particle":"","parse-names":false,"suffix":""},{"dropping-particle":"","family":"Heidemann","given":"Christin","non-dropping-particle":"","parse-names":false,"suffix":""}],"container-title":"International Journal of Environmental Research and Public Health","id":"ITEM-1","issue":"14","issued":{"date-parts":[["2021"]]},"title":"Perceived access to health care services and relevance of telemedicine during the COVID-19 pandemic in germany","type":"article-journal","volume":"18"},"uris":["http://www.mendeley.com/documents/?uuid=9a408b08-bd6e-4be8-80b3-78a6d054d4c5"]}],"mendeley":{"formattedCitation":"(11)","plainTextFormattedCitation":"(11)","previouslyFormattedCitation":"(Reitzle et al., 2021)"},"properties":{"noteIndex":0},"schema":"https://github.com/citation-style-language/schema/raw/master/csl-citation.json"}</w:instrText>
      </w:r>
      <w:r w:rsidR="006C070E" w:rsidRPr="006C070E">
        <w:rPr>
          <w:rFonts w:ascii="Arial" w:eastAsia="Calibri" w:hAnsi="Arial" w:cs="Arial"/>
          <w:noProof/>
          <w:sz w:val="24"/>
          <w:szCs w:val="24"/>
          <w:vertAlign w:val="superscript"/>
        </w:rPr>
        <w:fldChar w:fldCharType="separate"/>
      </w:r>
      <w:r w:rsidR="006C070E" w:rsidRPr="006C070E">
        <w:rPr>
          <w:rFonts w:ascii="Arial" w:eastAsia="Calibri" w:hAnsi="Arial" w:cs="Arial"/>
          <w:noProof/>
          <w:sz w:val="24"/>
          <w:szCs w:val="24"/>
          <w:vertAlign w:val="superscript"/>
        </w:rPr>
        <w:t>11</w:t>
      </w:r>
      <w:r w:rsidR="006C070E" w:rsidRPr="006C070E">
        <w:rPr>
          <w:rFonts w:ascii="Arial" w:eastAsia="Calibri" w:hAnsi="Arial" w:cs="Arial"/>
          <w:noProof/>
          <w:sz w:val="24"/>
          <w:szCs w:val="24"/>
          <w:vertAlign w:val="superscript"/>
        </w:rPr>
        <w:fldChar w:fldCharType="end"/>
      </w:r>
    </w:p>
    <w:p w14:paraId="1F7ABE2E" w14:textId="29703D2E" w:rsidR="00C74986" w:rsidRDefault="00D720CC" w:rsidP="00CA1567">
      <w:pPr>
        <w:spacing w:line="480" w:lineRule="auto"/>
        <w:jc w:val="both"/>
        <w:rPr>
          <w:rFonts w:asciiTheme="minorBidi" w:hAnsiTheme="minorBidi"/>
          <w:sz w:val="24"/>
          <w:szCs w:val="24"/>
        </w:rPr>
      </w:pPr>
      <w:r w:rsidRPr="00D720CC">
        <w:rPr>
          <w:rFonts w:asciiTheme="minorBidi" w:hAnsiTheme="minorBidi"/>
          <w:sz w:val="24"/>
          <w:szCs w:val="24"/>
        </w:rPr>
        <w:t xml:space="preserve">Satisfaction with </w:t>
      </w:r>
      <w:r w:rsidR="003B041C">
        <w:rPr>
          <w:rFonts w:asciiTheme="minorBidi" w:hAnsiTheme="minorBidi"/>
          <w:sz w:val="24"/>
          <w:szCs w:val="24"/>
        </w:rPr>
        <w:t>OHS</w:t>
      </w:r>
      <w:r w:rsidRPr="00D720CC">
        <w:rPr>
          <w:rFonts w:asciiTheme="minorBidi" w:hAnsiTheme="minorBidi"/>
          <w:sz w:val="24"/>
          <w:szCs w:val="24"/>
        </w:rPr>
        <w:t xml:space="preserve"> does not negate the preference for </w:t>
      </w:r>
      <w:r w:rsidR="00CE4E3F">
        <w:rPr>
          <w:rFonts w:asciiTheme="minorBidi" w:hAnsiTheme="minorBidi"/>
          <w:sz w:val="24"/>
          <w:szCs w:val="24"/>
        </w:rPr>
        <w:t>in-person</w:t>
      </w:r>
      <w:r w:rsidRPr="00D720CC">
        <w:rPr>
          <w:rFonts w:asciiTheme="minorBidi" w:hAnsiTheme="minorBidi"/>
          <w:sz w:val="24"/>
          <w:szCs w:val="24"/>
        </w:rPr>
        <w:t xml:space="preserve"> treatment. </w:t>
      </w:r>
      <w:r w:rsidR="00CE4E3F">
        <w:rPr>
          <w:rFonts w:asciiTheme="minorBidi" w:hAnsiTheme="minorBidi"/>
          <w:sz w:val="24"/>
          <w:szCs w:val="24"/>
        </w:rPr>
        <w:t>While p</w:t>
      </w:r>
      <w:r w:rsidRPr="00D720CC">
        <w:rPr>
          <w:rFonts w:asciiTheme="minorBidi" w:hAnsiTheme="minorBidi"/>
          <w:sz w:val="24"/>
          <w:szCs w:val="24"/>
        </w:rPr>
        <w:t xml:space="preserve">atients who participated in telemedicine initiatives expressed </w:t>
      </w:r>
      <w:r w:rsidR="003B041C">
        <w:rPr>
          <w:rFonts w:asciiTheme="minorBidi" w:hAnsiTheme="minorBidi"/>
          <w:sz w:val="24"/>
          <w:szCs w:val="24"/>
        </w:rPr>
        <w:t>high satisfaction</w:t>
      </w:r>
      <w:r w:rsidR="00CE4E3F">
        <w:rPr>
          <w:rFonts w:asciiTheme="minorBidi" w:hAnsiTheme="minorBidi"/>
          <w:sz w:val="24"/>
          <w:szCs w:val="24"/>
        </w:rPr>
        <w:t>,</w:t>
      </w:r>
      <w:r w:rsidR="003B041C">
        <w:rPr>
          <w:rFonts w:asciiTheme="minorBidi" w:hAnsiTheme="minorBidi"/>
          <w:sz w:val="24"/>
          <w:szCs w:val="24"/>
        </w:rPr>
        <w:t xml:space="preserve"> they </w:t>
      </w:r>
      <w:r w:rsidR="00CE4E3F">
        <w:rPr>
          <w:rFonts w:asciiTheme="minorBidi" w:hAnsiTheme="minorBidi"/>
          <w:sz w:val="24"/>
          <w:szCs w:val="24"/>
        </w:rPr>
        <w:t xml:space="preserve">still </w:t>
      </w:r>
      <w:r w:rsidR="003B041C">
        <w:rPr>
          <w:rFonts w:asciiTheme="minorBidi" w:hAnsiTheme="minorBidi"/>
          <w:sz w:val="24"/>
          <w:szCs w:val="24"/>
        </w:rPr>
        <w:t xml:space="preserve">considered </w:t>
      </w:r>
      <w:r w:rsidR="00B1062E">
        <w:rPr>
          <w:rFonts w:asciiTheme="minorBidi" w:hAnsiTheme="minorBidi"/>
          <w:sz w:val="24"/>
          <w:szCs w:val="24"/>
        </w:rPr>
        <w:t>their relationship</w:t>
      </w:r>
      <w:r w:rsidR="003B041C">
        <w:rPr>
          <w:rFonts w:asciiTheme="minorBidi" w:hAnsiTheme="minorBidi"/>
          <w:sz w:val="24"/>
          <w:szCs w:val="24"/>
        </w:rPr>
        <w:t xml:space="preserve"> </w:t>
      </w:r>
      <w:r w:rsidRPr="00D720CC">
        <w:rPr>
          <w:rFonts w:asciiTheme="minorBidi" w:hAnsiTheme="minorBidi"/>
          <w:sz w:val="24"/>
          <w:szCs w:val="24"/>
        </w:rPr>
        <w:t>with the</w:t>
      </w:r>
      <w:r w:rsidR="003B041C">
        <w:rPr>
          <w:rFonts w:asciiTheme="minorBidi" w:hAnsiTheme="minorBidi"/>
          <w:sz w:val="24"/>
          <w:szCs w:val="24"/>
        </w:rPr>
        <w:t>ir</w:t>
      </w:r>
      <w:r w:rsidRPr="00D720CC">
        <w:rPr>
          <w:rFonts w:asciiTheme="minorBidi" w:hAnsiTheme="minorBidi"/>
          <w:sz w:val="24"/>
          <w:szCs w:val="24"/>
        </w:rPr>
        <w:t xml:space="preserve"> regular healthcare provider as </w:t>
      </w:r>
      <w:r w:rsidR="00EA3465" w:rsidRPr="00D720CC">
        <w:rPr>
          <w:rFonts w:asciiTheme="minorBidi" w:hAnsiTheme="minorBidi"/>
          <w:sz w:val="24"/>
          <w:szCs w:val="24"/>
        </w:rPr>
        <w:t>equal or</w:t>
      </w:r>
      <w:r w:rsidRPr="00D720CC">
        <w:rPr>
          <w:rFonts w:asciiTheme="minorBidi" w:hAnsiTheme="minorBidi"/>
          <w:sz w:val="24"/>
          <w:szCs w:val="24"/>
        </w:rPr>
        <w:t xml:space="preserve"> more important than service</w:t>
      </w:r>
      <w:r w:rsidR="003B041C">
        <w:rPr>
          <w:rFonts w:asciiTheme="minorBidi" w:hAnsiTheme="minorBidi"/>
          <w:sz w:val="24"/>
          <w:szCs w:val="24"/>
        </w:rPr>
        <w:t xml:space="preserve"> </w:t>
      </w:r>
      <w:r w:rsidRPr="00D720CC">
        <w:rPr>
          <w:rFonts w:asciiTheme="minorBidi" w:hAnsiTheme="minorBidi"/>
          <w:sz w:val="24"/>
          <w:szCs w:val="24"/>
        </w:rPr>
        <w:t xml:space="preserve">availability. In a national study </w:t>
      </w:r>
      <w:r w:rsidR="00EA3465">
        <w:rPr>
          <w:rFonts w:asciiTheme="minorBidi" w:hAnsiTheme="minorBidi"/>
          <w:sz w:val="24"/>
          <w:szCs w:val="24"/>
        </w:rPr>
        <w:t xml:space="preserve">conducted </w:t>
      </w:r>
      <w:r w:rsidRPr="00D720CC">
        <w:rPr>
          <w:rFonts w:asciiTheme="minorBidi" w:hAnsiTheme="minorBidi"/>
          <w:sz w:val="24"/>
          <w:szCs w:val="24"/>
        </w:rPr>
        <w:t xml:space="preserve">in South Carolina, USA, thousands of patients indicated that their relationship with their doctor was more important than the </w:t>
      </w:r>
      <w:r w:rsidR="00EA3465">
        <w:rPr>
          <w:rFonts w:asciiTheme="minorBidi" w:hAnsiTheme="minorBidi"/>
          <w:sz w:val="24"/>
          <w:szCs w:val="24"/>
        </w:rPr>
        <w:t>method</w:t>
      </w:r>
      <w:r w:rsidRPr="00D720CC">
        <w:rPr>
          <w:rFonts w:asciiTheme="minorBidi" w:hAnsiTheme="minorBidi"/>
          <w:sz w:val="24"/>
          <w:szCs w:val="24"/>
        </w:rPr>
        <w:t xml:space="preserve"> of communication</w:t>
      </w:r>
      <w:r w:rsidR="00291EB0">
        <w:rPr>
          <w:rFonts w:asciiTheme="minorBidi" w:hAnsiTheme="minorBidi"/>
          <w:sz w:val="24"/>
          <w:szCs w:val="24"/>
        </w:rPr>
        <w:t>.</w:t>
      </w:r>
      <w:r w:rsidR="00C8261B" w:rsidRPr="00C8261B">
        <w:rPr>
          <w:rFonts w:ascii="Arial" w:eastAsia="Calibri" w:hAnsi="Arial" w:cs="Arial" w:hint="cs"/>
          <w:sz w:val="24"/>
          <w:szCs w:val="24"/>
          <w:vertAlign w:val="superscript"/>
          <w:rtl/>
        </w:rPr>
        <w:t>12</w:t>
      </w:r>
      <w:r w:rsidRPr="00D720CC">
        <w:rPr>
          <w:rFonts w:asciiTheme="minorBidi" w:hAnsiTheme="minorBidi"/>
          <w:sz w:val="24"/>
          <w:szCs w:val="24"/>
        </w:rPr>
        <w:t xml:space="preserve"> </w:t>
      </w:r>
      <w:r w:rsidR="00C8261B">
        <w:rPr>
          <w:rFonts w:asciiTheme="minorBidi" w:hAnsiTheme="minorBidi"/>
          <w:sz w:val="24"/>
          <w:szCs w:val="24"/>
        </w:rPr>
        <w:t>A</w:t>
      </w:r>
      <w:r w:rsidRPr="00D720CC">
        <w:rPr>
          <w:rFonts w:asciiTheme="minorBidi" w:hAnsiTheme="minorBidi"/>
          <w:sz w:val="24"/>
          <w:szCs w:val="24"/>
        </w:rPr>
        <w:t xml:space="preserve"> German study </w:t>
      </w:r>
      <w:r w:rsidR="00C8261B">
        <w:rPr>
          <w:rFonts w:asciiTheme="minorBidi" w:hAnsiTheme="minorBidi"/>
          <w:sz w:val="24"/>
          <w:szCs w:val="24"/>
        </w:rPr>
        <w:t xml:space="preserve">conducted </w:t>
      </w:r>
      <w:r w:rsidRPr="00D720CC">
        <w:rPr>
          <w:rFonts w:asciiTheme="minorBidi" w:hAnsiTheme="minorBidi"/>
          <w:sz w:val="24"/>
          <w:szCs w:val="24"/>
        </w:rPr>
        <w:t>during the COVID-19 pandemic</w:t>
      </w:r>
      <w:r w:rsidR="00C8261B">
        <w:rPr>
          <w:rFonts w:asciiTheme="minorBidi" w:hAnsiTheme="minorBidi"/>
          <w:sz w:val="24"/>
          <w:szCs w:val="24"/>
        </w:rPr>
        <w:t xml:space="preserve"> found that</w:t>
      </w:r>
      <w:r w:rsidRPr="00D720CC">
        <w:rPr>
          <w:rFonts w:asciiTheme="minorBidi" w:hAnsiTheme="minorBidi"/>
          <w:sz w:val="24"/>
          <w:szCs w:val="24"/>
        </w:rPr>
        <w:t xml:space="preserve"> 43% of those who used telemedicine as a </w:t>
      </w:r>
      <w:r w:rsidR="00EA3465">
        <w:rPr>
          <w:rFonts w:asciiTheme="minorBidi" w:hAnsiTheme="minorBidi"/>
          <w:sz w:val="24"/>
          <w:szCs w:val="24"/>
        </w:rPr>
        <w:t>supplementary</w:t>
      </w:r>
      <w:r w:rsidRPr="00D720CC">
        <w:rPr>
          <w:rFonts w:asciiTheme="minorBidi" w:hAnsiTheme="minorBidi"/>
          <w:sz w:val="24"/>
          <w:szCs w:val="24"/>
        </w:rPr>
        <w:t xml:space="preserve"> service to regular medical care were satisfied</w:t>
      </w:r>
      <w:r w:rsidR="00291EB0">
        <w:rPr>
          <w:rFonts w:asciiTheme="minorBidi" w:hAnsiTheme="minorBidi"/>
          <w:sz w:val="24"/>
          <w:szCs w:val="24"/>
        </w:rPr>
        <w:t>.</w:t>
      </w:r>
      <w:r w:rsidR="006F2308" w:rsidRPr="006F2308">
        <w:rPr>
          <w:rFonts w:ascii="Arial" w:eastAsia="Calibri" w:hAnsi="Arial" w:cs="Arial"/>
          <w:sz w:val="24"/>
          <w:szCs w:val="24"/>
          <w:vertAlign w:val="superscript"/>
          <w:rtl/>
        </w:rPr>
        <w:fldChar w:fldCharType="begin" w:fldLock="1"/>
      </w:r>
      <w:r w:rsidR="006F2308" w:rsidRPr="006F2308">
        <w:rPr>
          <w:rFonts w:ascii="Arial" w:eastAsia="Calibri" w:hAnsi="Arial" w:cs="Arial"/>
          <w:sz w:val="24"/>
          <w:szCs w:val="24"/>
          <w:vertAlign w:val="superscript"/>
        </w:rPr>
        <w:instrText>ADDIN CSL_CITATION {"citationItems":[{"id":"ITEM-1","itemData":{"DOI":"10.3390/ijerph18147661","ISSN":"16604601","PMID":"34300110","abstract":"During the COVID-19 pandemic in Germany, non-pharmaceutical interventions were im-posed to contain the spread of the virus. Based on cross-sectional waves in March, July and December 2020 of the COVID-19 Snapshot Monitoring (COSMO), the present study investigated the impact of the introduced measures on the perceived access to health care. Additionally, for the wave in December, treatment occasion as well as utilization and satisfaction regarding telemedicine were analysed. For 18–74-year-old participants requiring medical care, descriptive and logistic regression analyses were performed. During the less strict second lockdown in December, participants reported more frequently ensured access to health care (91.2%) compared to the first lockdown in March (86.8%), but less frequently compared to July (94.2%) during a period with only mild re-strictions. In December, main treatment occasions of required medical appointments were check-up visits at the general practitioner (55.2%) and dentist (36.2%), followed by acute treatments at the general practitioner (25.6%) and dentist (19.0%), treatments at the physio-, ergo-or speech therapist (13.1%), psychotherapist (11.9%), and scheduled hospital admissions or surgeries (10.0%). Of the participants, 20.0% indicated utilization of telemedical (15.4% telephone, 7.6% video) consultations. Of them, 43.7% were satisfied with the service. In conclusion, for the majority of participants, access to medical care was ensured during the COVID-19 pandemic; however, access slightly decreased during phases of lockdown. Telemedicine complemented the access to medical appointments.","author":[{"dropping-particle":"","family":"Reitzle","given":"Lukas","non-dropping-particle":"","parse-names":false,"suffix":""},{"dropping-particle":"","family":"Schmidt","given":"Christian","non-dropping-particle":"","parse-names":false,"suffix":""},{"dropping-particle":"","family":"Färber","given":"Francesca","non-dropping-particle":"","parse-names":false,"suffix":""},{"dropping-particle":"","family":"Huebl","given":"Lena","non-dropping-particle":"","parse-names":false,"suffix":""},{"dropping-particle":"","family":"Wieler","given":"Lothar Heinz","non-dropping-particle":"","parse-names":false,"suffix":""},{"dropping-particle":"","family":"Ziese","given":"Thomas","non-dropping-particle":"","parse-names":false,"suffix":""},{"dropping-particle":"","family":"Heidemann","given":"Christin","non-dropping-particle":"","parse-names":false,"suffix":""}],"container-title":"International Journal of Environmental Research and Public Health","id":"ITEM-1","issue":"14","issued":{"date-parts":[["2021"]]},"title":"Perceived access to health care services and relevance of telemedicine during the COVID-19 pandemic in germany","type":"article-journal","volume":"18"},"uris":["http://www.mendeley.com/documents/?uuid=85944656-e9ab-49a1-8614-af3247ae145b","http://www.mendeley.com/documents/?uuid=9a408b08-bd6e-4be8-80b3-78a6d054d4c5"]}],"mendeley":{"formattedCitation":"(11)","plainTextFormattedCitation":"(11)","previouslyFormattedCitation":"(Reitzle et al., 2021)"},"properties":{"noteIndex":0},"schema":"https://github.com/citation-style-language/schema/raw/master/csl-citation.json"}</w:instrText>
      </w:r>
      <w:r w:rsidR="006F2308" w:rsidRPr="006F2308">
        <w:rPr>
          <w:rFonts w:ascii="Arial" w:eastAsia="Calibri" w:hAnsi="Arial" w:cs="Arial"/>
          <w:sz w:val="24"/>
          <w:szCs w:val="24"/>
          <w:vertAlign w:val="superscript"/>
          <w:rtl/>
        </w:rPr>
        <w:fldChar w:fldCharType="separate"/>
      </w:r>
      <w:r w:rsidR="006F2308" w:rsidRPr="006F2308">
        <w:rPr>
          <w:rFonts w:ascii="Arial" w:eastAsia="Calibri" w:hAnsi="Arial" w:cs="Arial"/>
          <w:sz w:val="24"/>
          <w:szCs w:val="24"/>
          <w:vertAlign w:val="superscript"/>
        </w:rPr>
        <w:t>11</w:t>
      </w:r>
      <w:r w:rsidR="006F2308" w:rsidRPr="006F2308">
        <w:rPr>
          <w:rFonts w:ascii="Arial" w:eastAsia="Calibri" w:hAnsi="Arial" w:cs="Arial"/>
          <w:sz w:val="24"/>
          <w:szCs w:val="24"/>
          <w:vertAlign w:val="superscript"/>
          <w:rtl/>
        </w:rPr>
        <w:fldChar w:fldCharType="end"/>
      </w:r>
      <w:r w:rsidR="00C8261B">
        <w:rPr>
          <w:rFonts w:asciiTheme="minorBidi" w:hAnsiTheme="minorBidi"/>
          <w:sz w:val="24"/>
          <w:szCs w:val="24"/>
        </w:rPr>
        <w:t xml:space="preserve"> </w:t>
      </w:r>
      <w:r w:rsidRPr="00D720CC">
        <w:rPr>
          <w:rFonts w:asciiTheme="minorBidi" w:hAnsiTheme="minorBidi"/>
          <w:sz w:val="24"/>
          <w:szCs w:val="24"/>
        </w:rPr>
        <w:t xml:space="preserve">A study conducted in Israel during the pandemic at the country's largest medical center examined patient satisfaction with ambulatory medical care provided via video. The findings revealed that 89.9% of patients were satisfied with this technology, with only 21% experiencing technological difficulties. Over 90% were highly satisfied with the doctor's courtesy, expressed a high level of trust, felt that the clinician understood their problem, and found the doctor's explanations and recommendations to be clear. Moreover, the </w:t>
      </w:r>
      <w:r w:rsidRPr="00D720CC">
        <w:rPr>
          <w:rFonts w:asciiTheme="minorBidi" w:hAnsiTheme="minorBidi"/>
          <w:sz w:val="24"/>
          <w:szCs w:val="24"/>
        </w:rPr>
        <w:lastRenderedPageBreak/>
        <w:t xml:space="preserve">majority (86.5%) </w:t>
      </w:r>
      <w:r w:rsidR="00661D92">
        <w:rPr>
          <w:rFonts w:asciiTheme="minorBidi" w:hAnsiTheme="minorBidi"/>
          <w:sz w:val="24"/>
          <w:szCs w:val="24"/>
        </w:rPr>
        <w:t xml:space="preserve">reported that they </w:t>
      </w:r>
      <w:r w:rsidRPr="00D720CC">
        <w:rPr>
          <w:rFonts w:asciiTheme="minorBidi" w:hAnsiTheme="minorBidi"/>
          <w:sz w:val="24"/>
          <w:szCs w:val="24"/>
        </w:rPr>
        <w:t>would recommend video use to family and friends</w:t>
      </w:r>
      <w:r w:rsidR="00291EB0">
        <w:rPr>
          <w:rFonts w:asciiTheme="minorBidi" w:hAnsiTheme="minorBidi"/>
          <w:sz w:val="24"/>
          <w:szCs w:val="24"/>
        </w:rPr>
        <w:t>.</w:t>
      </w:r>
      <w:r w:rsidR="00661D92" w:rsidRPr="00661D92">
        <w:rPr>
          <w:rFonts w:ascii="Arial" w:eastAsia="Calibri" w:hAnsi="Arial" w:cs="Arial"/>
          <w:sz w:val="24"/>
          <w:szCs w:val="24"/>
          <w:vertAlign w:val="superscript"/>
          <w:rtl/>
        </w:rPr>
        <w:fldChar w:fldCharType="begin" w:fldLock="1"/>
      </w:r>
      <w:r w:rsidR="00661D92" w:rsidRPr="00661D92">
        <w:rPr>
          <w:rFonts w:ascii="Arial" w:eastAsia="Calibri" w:hAnsi="Arial" w:cs="Arial"/>
          <w:sz w:val="24"/>
          <w:szCs w:val="24"/>
          <w:vertAlign w:val="superscript"/>
        </w:rPr>
        <w:instrText>ADDIN CSL_CITATION {"citationItems":[{"id":"ITEM-1","itemData":{"DOI":"10.1093/intqhc/mzaa165","ISSN":"14643677","PMID":"33313891","abstract":"Background: The coronavirus disease 2019 (COVID-19) pandemic has forced health-care providers to find creative ways to allow continuity of care in times of lockdown. Telemedicine enables provision of care when in-person visits are not possible. Sheba Medical Center made a rapid transition of outpatient clinics to video consultations (VC) during the first wave of COVID-19 in Israel. Objective: Results of a survey of patient and clinician user experience with VC are reported. Methods: Satisfaction surveys were sent by text messages to patients, clinicians who practice VC (users) and clinicians who do not practice VC (non-users). Questions referred to general satisfaction, ease of use, technical issues and medical and communication quality. Questions and scales were based on surveys used regularly in outpatient clinics of Sheba Medical Center. Results: More than 1200 clinicians (physicians, psychologists, nurses, social workers, dietitians, speech therapists, genetic consultants and others) provided VC during the study period. Five hundred and forty patients, 162 clinicians who were users and 50 clinicians who were non-users completed the survey. High level of satisfaction was reported by 89.8% of patients and 37.7% of clinician users. Technical problems were experienced by 21% of patients and 80% of clinician users. Almost 70% of patients but only 23.5% of clinicians found the platform very simple to use. Over 90% of patients were very satisfied with clinician's courtesy, expressed a high sense of trust, thought that clinician's explanations and recommendations were clear and estimated that the clinician understood their problems and 86.5% of them would recommend VC to family and friends. Eighty-seven percent of clinician users recognize the benefit of VC for patients during the COVID-19 pandemic but only 68% supported continuation of the service after the pandemic. Conclusion: Our study reports high levels of patient satisfaction from outpatient clinics VC during the COVID-19 pandemic. Lower levels of clinician satisfaction can mostly be attributed to technical and administrative challenges related to the newly implemented telemedicine platform. Our findings support the continued future use of VC as a means of providing patient-centered care. Future steps need to be taken to continuously improve the clinical and administrative application of telemedicine services.","author":[{"dropping-particle":"","family":"Barkai","given":"Galia","non-dropping-particle":"","parse-names":false,"suffix":""},{"dropping-particle":"","family":"Gadot","given":"Moran","non-dropping-particle":"","parse-names":false,"suffix":""},{"dropping-particle":"","family":"Amir","given":"Hadar","non-dropping-particle":"","parse-names":false,"suffix":""},{"dropping-particle":"","family":"Menashe","given":"Michal","non-dropping-particle":"","parse-names":false,"suffix":""},{"dropping-particle":"","family":"Shvimer-Rothschild","given":"Lilach","non-dropping-particle":"","parse-names":false,"suffix":""},{"dropping-particle":"","family":"Zimlichman","given":"Eyal","non-dropping-particle":"","parse-names":false,"suffix":""}],"container-title":"International Journal for Quality in Health Care","id":"ITEM-1","issue":"1","issued":{"date-parts":[["2021"]]},"page":"1-6","title":"Patient and clinician experience with a rapidly implemented large-scale video consultation program during COVID-19","type":"article-journal","volume":"33"},"uris":["http://www.mendeley.com/documents/?uuid=10c0354b-253c-4345-8081-bc6df8ea2a93","http://www.mendeley.com/documents/?uuid=2d8bd6d2-6834-41ba-b67d-dc8b82f9ac77"]}],"mendeley":{"formattedCitation":"(13)","plainTextFormattedCitation":"(13)","previouslyFormattedCitation":"(Barkai et al., 2021)"},"properties":{"noteIndex":0},"schema":"https://github.com/citation-style-language/schema/raw/master/csl-citation.json"}</w:instrText>
      </w:r>
      <w:r w:rsidR="00661D92" w:rsidRPr="00661D92">
        <w:rPr>
          <w:rFonts w:ascii="Arial" w:eastAsia="Calibri" w:hAnsi="Arial" w:cs="Arial"/>
          <w:sz w:val="24"/>
          <w:szCs w:val="24"/>
          <w:vertAlign w:val="superscript"/>
          <w:rtl/>
        </w:rPr>
        <w:fldChar w:fldCharType="separate"/>
      </w:r>
      <w:r w:rsidR="00661D92" w:rsidRPr="00661D92">
        <w:rPr>
          <w:rFonts w:ascii="Arial" w:eastAsia="Calibri" w:hAnsi="Arial" w:cs="Arial"/>
          <w:noProof/>
          <w:sz w:val="24"/>
          <w:szCs w:val="24"/>
          <w:vertAlign w:val="superscript"/>
        </w:rPr>
        <w:t>13</w:t>
      </w:r>
      <w:r w:rsidR="00661D92" w:rsidRPr="00661D92">
        <w:rPr>
          <w:rFonts w:ascii="Arial" w:eastAsia="Calibri" w:hAnsi="Arial" w:cs="Arial"/>
          <w:sz w:val="24"/>
          <w:szCs w:val="24"/>
          <w:vertAlign w:val="superscript"/>
          <w:rtl/>
        </w:rPr>
        <w:fldChar w:fldCharType="end"/>
      </w:r>
      <w:r w:rsidR="00661D92">
        <w:rPr>
          <w:rFonts w:asciiTheme="minorBidi" w:hAnsiTheme="minorBidi"/>
          <w:sz w:val="24"/>
          <w:szCs w:val="24"/>
        </w:rPr>
        <w:t xml:space="preserve"> </w:t>
      </w:r>
      <w:r w:rsidRPr="00D720CC">
        <w:rPr>
          <w:rFonts w:asciiTheme="minorBidi" w:hAnsiTheme="minorBidi"/>
          <w:sz w:val="24"/>
          <w:szCs w:val="24"/>
        </w:rPr>
        <w:t xml:space="preserve">A study </w:t>
      </w:r>
      <w:r w:rsidR="00D61D3E" w:rsidRPr="00D61D3E">
        <w:rPr>
          <w:rFonts w:ascii="Arial" w:eastAsia="Calibri" w:hAnsi="Arial" w:cs="Arial"/>
          <w:sz w:val="24"/>
          <w:szCs w:val="24"/>
          <w:vertAlign w:val="superscript"/>
          <w:rtl/>
        </w:rPr>
        <w:fldChar w:fldCharType="begin" w:fldLock="1"/>
      </w:r>
      <w:r w:rsidR="00D61D3E" w:rsidRPr="00D61D3E">
        <w:rPr>
          <w:rFonts w:ascii="Arial" w:eastAsia="Calibri" w:hAnsi="Arial" w:cs="Arial"/>
          <w:sz w:val="24"/>
          <w:szCs w:val="24"/>
          <w:vertAlign w:val="superscript"/>
        </w:rPr>
        <w:instrText>ADDIN CSL_CITATION {"citationItems":[{"id":"ITEM-1","itemData":{"DOI":"10.3389/fpubh.2021.653553","ISSN":"22962565","PMID":"34079784","abstract":"Introduction: The COVID-19 pandemic has affected health care services worldwide due to lockdowns, prevention measures, and social distancing. During this period, patients, including older adults and those with chronic conditions, need ways to obtain medical attention other than going physically to the clinic, such as telemedicine services. The purpose of the present study was to evaluate attitudes toward telemedicine during the COVID-19 lockdown in Israel, assess willingness to use such services in the future, and evaluate the extent to which consumers have changed their minds regarding these services. Method: A cross-sectional, descriptive, correlational study was conducted among adults (age 20–90) using social media networks (N = 693). Data were collected using an online questionnaire explicitly designed to measure attitudes toward telemedicine. Results: Most of the participants had to use telemedicine during the lockdown and were satisfied therewith. The majority also stated that they would continue using telemedicine in the future. However, only a third stated that they had changed their minds regarding telemedicine. The main predictors of willingness to use telemedicine in the future were the necessity of using such services during lockdown, preference for going to a clinic, and satisfaction with telemedicine, alongside gender and having a chronic illness. Importantly, we found that a preference for visiting the clinic was negatively correlated with willingness to use telemedicine in the future. Education and being single were predictors of the change of mind regarding telemedicine. Participants with chronic conditions are more likely to use these services, and specific attention should be directed to their needs. A small portion of the study sample prefers live appointments with a physician. Conclusions: Telemedicine use is rapidly changing. It is vital for health care providers to identify non-telemedicine users and their common characteristics. Monitoring patients' attitudes regarding telemedicine is essential in the future after the pandemic ends. Targeted outreach plans should be formulated. These plans should be directed at identifying barriers to using telemedicine, and they should generate specific, focused plans.","author":[{"dropping-particle":"","family":"Reicher","given":"Sima","non-dropping-particle":"","parse-names":false,"suffix":""},{"dropping-particle":"","family":"Sela","given":"Tal","non-dropping-particle":"","parse-names":false,"suffix":""},{"dropping-particle":"","family":"Toren","given":"Orly","non-dropping-particle":"","parse-names":false,"suffix":""}],"container-title":"Frontiers in Public Health","id":"ITEM-1","issue":"May","issued":{"date-parts":[["2021"]]},"page":"1-11","title":"Using Telemedicine During the COVID-19 Pandemic: Attitudes of Adult Health Care Consumers in Israel","type":"article-journal","volume":"9"},"uris":["http://www.mendeley.com/documents/?uuid=21b82600-001c-466b-954e-0f981160bc6d"]}],"mendeley":{"formattedCitation":"(14)","plainTextFormattedCitation":"(14)","previouslyFormattedCitation":"(Reicher et al., 2021)"},"properties":{"noteIndex":0},"schema":"https://github.com/citation-style-language/schema/raw/master/csl-citation.json"}</w:instrText>
      </w:r>
      <w:r w:rsidR="00D61D3E" w:rsidRPr="00D61D3E">
        <w:rPr>
          <w:rFonts w:ascii="Arial" w:eastAsia="Calibri" w:hAnsi="Arial" w:cs="Arial"/>
          <w:sz w:val="24"/>
          <w:szCs w:val="24"/>
          <w:vertAlign w:val="superscript"/>
          <w:rtl/>
        </w:rPr>
        <w:fldChar w:fldCharType="separate"/>
      </w:r>
      <w:r w:rsidR="00D61D3E" w:rsidRPr="00D61D3E">
        <w:rPr>
          <w:rFonts w:ascii="Arial" w:eastAsia="Calibri" w:hAnsi="Arial" w:cs="Arial"/>
          <w:noProof/>
          <w:sz w:val="24"/>
          <w:szCs w:val="24"/>
          <w:vertAlign w:val="superscript"/>
        </w:rPr>
        <w:t>14</w:t>
      </w:r>
      <w:r w:rsidR="00D61D3E" w:rsidRPr="00D61D3E">
        <w:rPr>
          <w:rFonts w:ascii="Arial" w:eastAsia="Calibri" w:hAnsi="Arial" w:cs="Arial"/>
          <w:sz w:val="24"/>
          <w:szCs w:val="24"/>
          <w:vertAlign w:val="superscript"/>
          <w:rtl/>
        </w:rPr>
        <w:fldChar w:fldCharType="end"/>
      </w:r>
      <w:r w:rsidRPr="00D720CC">
        <w:rPr>
          <w:rFonts w:asciiTheme="minorBidi" w:hAnsiTheme="minorBidi"/>
          <w:sz w:val="24"/>
          <w:szCs w:val="24"/>
        </w:rPr>
        <w:t xml:space="preserve"> investigated the attitudes of the older population in Israel toward </w:t>
      </w:r>
      <w:r w:rsidR="00D61D3E">
        <w:rPr>
          <w:rFonts w:asciiTheme="minorBidi" w:hAnsiTheme="minorBidi"/>
          <w:sz w:val="24"/>
          <w:szCs w:val="24"/>
        </w:rPr>
        <w:t>telemedicine in general and particularly during the first wave of the pandemic</w:t>
      </w:r>
      <w:r w:rsidRPr="00D720CC">
        <w:rPr>
          <w:rFonts w:asciiTheme="minorBidi" w:hAnsiTheme="minorBidi"/>
          <w:sz w:val="24"/>
          <w:szCs w:val="24"/>
        </w:rPr>
        <w:t>. The study found that most participants, including those with chronic diseases, preferred digital healthcare services over in-person visits to the clinic</w:t>
      </w:r>
      <w:r w:rsidR="00036CB2">
        <w:rPr>
          <w:rFonts w:asciiTheme="minorBidi" w:hAnsiTheme="minorBidi"/>
          <w:sz w:val="24"/>
          <w:szCs w:val="24"/>
        </w:rPr>
        <w:t>,</w:t>
      </w:r>
      <w:r w:rsidRPr="00D720CC">
        <w:rPr>
          <w:rFonts w:asciiTheme="minorBidi" w:hAnsiTheme="minorBidi"/>
          <w:sz w:val="24"/>
          <w:szCs w:val="24"/>
        </w:rPr>
        <w:t xml:space="preserve"> express</w:t>
      </w:r>
      <w:r w:rsidR="00036CB2">
        <w:rPr>
          <w:rFonts w:asciiTheme="minorBidi" w:hAnsiTheme="minorBidi"/>
          <w:sz w:val="24"/>
          <w:szCs w:val="24"/>
        </w:rPr>
        <w:t>ing</w:t>
      </w:r>
      <w:r w:rsidRPr="00D720CC">
        <w:rPr>
          <w:rFonts w:asciiTheme="minorBidi" w:hAnsiTheme="minorBidi"/>
          <w:sz w:val="24"/>
          <w:szCs w:val="24"/>
        </w:rPr>
        <w:t xml:space="preserve"> high satisfaction with the service and a</w:t>
      </w:r>
      <w:r w:rsidR="00291EB0">
        <w:rPr>
          <w:rFonts w:asciiTheme="minorBidi" w:hAnsiTheme="minorBidi"/>
          <w:sz w:val="24"/>
          <w:szCs w:val="24"/>
        </w:rPr>
        <w:t>n</w:t>
      </w:r>
      <w:r w:rsidRPr="00D720CC">
        <w:rPr>
          <w:rFonts w:asciiTheme="minorBidi" w:hAnsiTheme="minorBidi"/>
          <w:sz w:val="24"/>
          <w:szCs w:val="24"/>
        </w:rPr>
        <w:t xml:space="preserve"> intention to continue using </w:t>
      </w:r>
      <w:r w:rsidR="00036CB2">
        <w:rPr>
          <w:rFonts w:asciiTheme="minorBidi" w:hAnsiTheme="minorBidi"/>
          <w:sz w:val="24"/>
          <w:szCs w:val="24"/>
        </w:rPr>
        <w:t>OHS</w:t>
      </w:r>
      <w:r w:rsidRPr="00D720CC">
        <w:rPr>
          <w:rFonts w:asciiTheme="minorBidi" w:hAnsiTheme="minorBidi"/>
          <w:sz w:val="24"/>
          <w:szCs w:val="24"/>
        </w:rPr>
        <w:t xml:space="preserve">. Similarly, patients with chronic illnesses showed a high interest in </w:t>
      </w:r>
      <w:r w:rsidR="00036CB2">
        <w:rPr>
          <w:rFonts w:asciiTheme="minorBidi" w:hAnsiTheme="minorBidi"/>
          <w:sz w:val="24"/>
          <w:szCs w:val="24"/>
        </w:rPr>
        <w:t>OHS</w:t>
      </w:r>
      <w:r w:rsidRPr="00D720CC">
        <w:rPr>
          <w:rFonts w:asciiTheme="minorBidi" w:hAnsiTheme="minorBidi"/>
          <w:sz w:val="24"/>
          <w:szCs w:val="24"/>
        </w:rPr>
        <w:t xml:space="preserve"> regardless of their health status and age</w:t>
      </w:r>
      <w:r w:rsidR="00291EB0">
        <w:rPr>
          <w:rFonts w:asciiTheme="minorBidi" w:hAnsiTheme="minorBidi"/>
          <w:sz w:val="24"/>
          <w:szCs w:val="24"/>
        </w:rPr>
        <w:t>.</w:t>
      </w:r>
      <w:r w:rsidR="00036CB2" w:rsidRPr="00036CB2">
        <w:rPr>
          <w:rFonts w:ascii="Arial" w:eastAsia="Calibri" w:hAnsi="Arial" w:cs="Arial" w:hint="cs"/>
          <w:sz w:val="24"/>
          <w:szCs w:val="24"/>
          <w:vertAlign w:val="superscript"/>
          <w:rtl/>
        </w:rPr>
        <w:t>32</w:t>
      </w:r>
      <w:r w:rsidR="00036CB2">
        <w:rPr>
          <w:rFonts w:asciiTheme="minorBidi" w:hAnsiTheme="minorBidi"/>
          <w:sz w:val="24"/>
          <w:szCs w:val="24"/>
        </w:rPr>
        <w:t xml:space="preserve"> </w:t>
      </w:r>
      <w:r w:rsidRPr="00D720CC">
        <w:rPr>
          <w:rFonts w:asciiTheme="minorBidi" w:hAnsiTheme="minorBidi"/>
          <w:sz w:val="24"/>
          <w:szCs w:val="24"/>
        </w:rPr>
        <w:t xml:space="preserve">A systematic review examining the added value of telephone consultation and treatment for chronic patients during the pandemic found that as long as the physician adhered to pre-pandemic criteria and treatment principles and did not </w:t>
      </w:r>
      <w:r w:rsidR="00B97A02">
        <w:rPr>
          <w:rFonts w:asciiTheme="minorBidi" w:hAnsiTheme="minorBidi"/>
          <w:sz w:val="24"/>
          <w:szCs w:val="24"/>
        </w:rPr>
        <w:t>overprescribe</w:t>
      </w:r>
      <w:r w:rsidRPr="00D720CC">
        <w:rPr>
          <w:rFonts w:asciiTheme="minorBidi" w:hAnsiTheme="minorBidi"/>
          <w:sz w:val="24"/>
          <w:szCs w:val="24"/>
        </w:rPr>
        <w:t xml:space="preserve"> tests and antibiotic treatment, online treatment was perceived as high-quality and efficient</w:t>
      </w:r>
      <w:r w:rsidR="00291EB0">
        <w:rPr>
          <w:rFonts w:asciiTheme="minorBidi" w:hAnsiTheme="minorBidi"/>
          <w:sz w:val="24"/>
          <w:szCs w:val="24"/>
        </w:rPr>
        <w:t>.</w:t>
      </w:r>
      <w:r w:rsidR="00B97A02" w:rsidRPr="00B97A02">
        <w:rPr>
          <w:rFonts w:ascii="Arial" w:eastAsia="Calibri" w:hAnsi="Arial" w:cs="Arial"/>
          <w:sz w:val="24"/>
          <w:szCs w:val="24"/>
          <w:vertAlign w:val="superscript"/>
          <w:rtl/>
        </w:rPr>
        <w:fldChar w:fldCharType="begin" w:fldLock="1"/>
      </w:r>
      <w:r w:rsidR="00B97A02" w:rsidRPr="00B97A02">
        <w:rPr>
          <w:rFonts w:ascii="Arial" w:eastAsia="Calibri" w:hAnsi="Arial" w:cs="Arial"/>
          <w:sz w:val="24"/>
          <w:szCs w:val="24"/>
          <w:vertAlign w:val="superscript"/>
        </w:rPr>
        <w:instrText>ADDIN CSL_CITATION {"citationItems":[{"id":"ITEM-1","itemData":{"DOI":"10.3390/jcm12196160","ISSN":"20770383","abstract":"Background: One aspect of the distancing measures imposed in response to the COVID-19 pandemic is that telemedicine consultations have increased exponentially. Among these consultations, the assessment and follow-up of patients with chronic diseases in a non-presential setting has been strengthened considerably. Nevertheless, some controversy remains about the most suitable means of patient follow-up. Objective: To analyze the impact of the telemedicine measures implemented during the COVID-19 period on chronic patients. Material and Methods: A systematic review was carried out using the following databases: PubMed, Pro-Quest, and Scopus. The systematic review followed the guidelines outlined in the Preferred Reporting Items for Systematic Reviews and Meta-Analyses (PRISMA). The search equation utilized descriptors sourced from the Medical Subject Headings (MeSH) thesaurus. The search equation was: “hypertension AND older AND primary care AND (COVID-19 OR coronavirus)” and its Spanish equivalent. Results: The following data were obtained: 14 articles provided data on 6,109,628 patients and another 4 articles focused on a study population of 9684 physicians. Telemedicine was less likely to be used by elderly patients (OR 0.85; 95% C.I. 0.83–0.88; p = 0.05), those of Asian race (OR 0.69; 95% C.I. 0.66–0.73; p = 0.05), and those whose native language was not English (OR 0.89; 95% C.I. 0.78–0.9; p = 0.05). In primary care, lower use of telemedicine was associated with residents of rural areas (OR 0.81; p = 0.05), patients of African American race (OR 0.65, p = 0.05), and others (OR 0.64; p = 0.05). A high proportion (40%) of physicians had no prior training in telemedicine techniques. The highest quality in terms of telephone consultation was significantly associated with physicians who did not increase their prescription of antibiotherapy during the pandemic (OR = 0.30, p = 0.05) or prescribe more tests (OR 0.06 p = 0.05), i.e., who maintained their former clinical criteria despite COVID-19. Conclusions: Telemedicine is of proven value and has been especially useful in the COVID-19 pandemic. A mixed remote–presential model is most efficient. Appropriate training in this area for physicians and patients, together with correct provision, is essential to prevent errors in implementation and use.","author":[{"dropping-particle":"","family":"Quesada-Caballero","given":"Miguel","non-dropping-particle":"","parse-names":false,"suffix":""},{"dropping-particle":"","family":"Carmona-García","given":"Ana","non-dropping-particle":"","parse-names":false,"suffix":""},{"dropping-particle":"","family":"Chami-Peña","given":"Sara","non-dropping-particle":"","parse-names":false,"suffix":""},{"dropping-particle":"","family":"Caballero-Mateos","given":"Antonio M.","non-dropping-particle":"","parse-names":false,"suffix":""},{"dropping-particle":"","family":"Fernández-Martín","given":"Oscar","non-dropping-particle":"","parse-names":false,"suffix":""},{"dropping-particle":"","family":"Cañadas-De la Fuente","given":"Guillermo A.","non-dropping-particle":"","parse-names":false,"suffix":""},{"dropping-particle":"","family":"Romero-Bejar","given":"José Luis","non-dropping-particle":"","parse-names":false,"suffix":""}],"container-title":"Journal of Clinical Medicine","id":"ITEM-1","issue":"19","issued":{"date-parts":[["2023"]]},"title":"Telemedicine in Elderly Hypertensive and Patients with Chronic Diseases during the COVID-19 Pandemic: A Systematic Review and Meta-Analysis","type":"article-journal","volume":"12"},"uris":["http://www.mendeley.com/documents/?uuid=b38abca3-a6cd-4310-bfc7-710712ed54f7","http://www.mendeley.com/documents/?uuid=95b4d3f1-1170-4207-a126-462d870ee79e"]}],"mendeley":{"formattedCitation":"(15)","plainTextFormattedCitation":"(15)","previouslyFormattedCitation":"(Quesada-Caballero et al., 2023)"},"properties":{"noteIndex":0},"schema":"https://github.com/citation-style-language/schema/raw/master/csl-citation.json"}</w:instrText>
      </w:r>
      <w:r w:rsidR="00B97A02" w:rsidRPr="00B97A02">
        <w:rPr>
          <w:rFonts w:ascii="Arial" w:eastAsia="Calibri" w:hAnsi="Arial" w:cs="Arial"/>
          <w:sz w:val="24"/>
          <w:szCs w:val="24"/>
          <w:vertAlign w:val="superscript"/>
          <w:rtl/>
        </w:rPr>
        <w:fldChar w:fldCharType="separate"/>
      </w:r>
      <w:r w:rsidR="00B97A02" w:rsidRPr="00B97A02">
        <w:rPr>
          <w:rFonts w:ascii="Arial" w:eastAsia="Calibri" w:hAnsi="Arial" w:cs="Arial"/>
          <w:sz w:val="24"/>
          <w:szCs w:val="24"/>
          <w:vertAlign w:val="superscript"/>
        </w:rPr>
        <w:t>15</w:t>
      </w:r>
      <w:r w:rsidR="00B97A02" w:rsidRPr="00B97A02">
        <w:rPr>
          <w:rFonts w:ascii="Arial" w:eastAsia="Calibri" w:hAnsi="Arial" w:cs="Arial"/>
          <w:sz w:val="24"/>
          <w:szCs w:val="24"/>
          <w:vertAlign w:val="superscript"/>
          <w:rtl/>
        </w:rPr>
        <w:fldChar w:fldCharType="end"/>
      </w:r>
      <w:r w:rsidR="00B97A02">
        <w:rPr>
          <w:rFonts w:asciiTheme="minorBidi" w:hAnsiTheme="minorBidi"/>
          <w:sz w:val="24"/>
          <w:szCs w:val="24"/>
        </w:rPr>
        <w:t xml:space="preserve"> </w:t>
      </w:r>
      <w:r w:rsidRPr="00D720CC">
        <w:rPr>
          <w:rFonts w:asciiTheme="minorBidi" w:hAnsiTheme="minorBidi"/>
          <w:sz w:val="24"/>
          <w:szCs w:val="24"/>
        </w:rPr>
        <w:t>Ward et al. (2023)</w:t>
      </w:r>
      <w:r w:rsidR="00280974" w:rsidRPr="00280974">
        <w:rPr>
          <w:rFonts w:ascii="Arial" w:eastAsia="Calibri" w:hAnsi="Arial" w:cs="Arial" w:hint="cs"/>
          <w:sz w:val="24"/>
          <w:szCs w:val="24"/>
          <w:vertAlign w:val="superscript"/>
          <w:rtl/>
        </w:rPr>
        <w:t xml:space="preserve"> 16</w:t>
      </w:r>
      <w:r w:rsidR="00EA3465">
        <w:rPr>
          <w:rFonts w:ascii="Arial" w:eastAsia="Calibri" w:hAnsi="Arial" w:cs="Arial"/>
          <w:sz w:val="24"/>
          <w:szCs w:val="24"/>
          <w:vertAlign w:val="superscript"/>
        </w:rPr>
        <w:t xml:space="preserve"> </w:t>
      </w:r>
      <w:r w:rsidRPr="00D720CC">
        <w:rPr>
          <w:rFonts w:asciiTheme="minorBidi" w:hAnsiTheme="minorBidi"/>
          <w:sz w:val="24"/>
          <w:szCs w:val="24"/>
        </w:rPr>
        <w:t xml:space="preserve">found that </w:t>
      </w:r>
      <w:r w:rsidR="009D2F17">
        <w:rPr>
          <w:rFonts w:asciiTheme="minorBidi" w:hAnsiTheme="minorBidi"/>
          <w:sz w:val="24"/>
          <w:szCs w:val="24"/>
        </w:rPr>
        <w:t>consultation</w:t>
      </w:r>
      <w:r w:rsidRPr="00D720CC">
        <w:rPr>
          <w:rFonts w:asciiTheme="minorBidi" w:hAnsiTheme="minorBidi"/>
          <w:sz w:val="24"/>
          <w:szCs w:val="24"/>
        </w:rPr>
        <w:t xml:space="preserve"> and diagnostic activities, including </w:t>
      </w:r>
      <w:r w:rsidR="009D2F17">
        <w:rPr>
          <w:rFonts w:asciiTheme="minorBidi" w:hAnsiTheme="minorBidi"/>
          <w:sz w:val="24"/>
          <w:szCs w:val="24"/>
        </w:rPr>
        <w:t xml:space="preserve">in-person </w:t>
      </w:r>
      <w:r w:rsidRPr="00D720CC">
        <w:rPr>
          <w:rFonts w:asciiTheme="minorBidi" w:hAnsiTheme="minorBidi"/>
          <w:sz w:val="24"/>
          <w:szCs w:val="24"/>
        </w:rPr>
        <w:t>physical examination</w:t>
      </w:r>
      <w:r w:rsidR="009D2F17">
        <w:rPr>
          <w:rFonts w:asciiTheme="minorBidi" w:hAnsiTheme="minorBidi"/>
          <w:sz w:val="24"/>
          <w:szCs w:val="24"/>
        </w:rPr>
        <w:t>s</w:t>
      </w:r>
      <w:r w:rsidRPr="00D720CC">
        <w:rPr>
          <w:rFonts w:asciiTheme="minorBidi" w:hAnsiTheme="minorBidi"/>
          <w:sz w:val="24"/>
          <w:szCs w:val="24"/>
        </w:rPr>
        <w:t xml:space="preserve">, </w:t>
      </w:r>
      <w:r w:rsidR="009D2F17">
        <w:rPr>
          <w:rFonts w:asciiTheme="minorBidi" w:hAnsiTheme="minorBidi"/>
          <w:sz w:val="24"/>
          <w:szCs w:val="24"/>
        </w:rPr>
        <w:t>had been</w:t>
      </w:r>
      <w:r w:rsidRPr="00D720CC">
        <w:rPr>
          <w:rFonts w:asciiTheme="minorBidi" w:hAnsiTheme="minorBidi"/>
          <w:sz w:val="24"/>
          <w:szCs w:val="24"/>
        </w:rPr>
        <w:t xml:space="preserve"> successfully translated into the online format during the pandemic. However, they argue that </w:t>
      </w:r>
      <w:r w:rsidR="00CA1567">
        <w:rPr>
          <w:rFonts w:asciiTheme="minorBidi" w:hAnsiTheme="minorBidi"/>
          <w:sz w:val="24"/>
          <w:szCs w:val="24"/>
        </w:rPr>
        <w:t>in-person</w:t>
      </w:r>
      <w:r w:rsidRPr="00D720CC">
        <w:rPr>
          <w:rFonts w:asciiTheme="minorBidi" w:hAnsiTheme="minorBidi"/>
          <w:sz w:val="24"/>
          <w:szCs w:val="24"/>
        </w:rPr>
        <w:t xml:space="preserve"> interactions between family physicians and patients remain </w:t>
      </w:r>
      <w:r w:rsidR="00882FDF">
        <w:rPr>
          <w:rFonts w:asciiTheme="minorBidi" w:hAnsiTheme="minorBidi"/>
          <w:sz w:val="24"/>
          <w:szCs w:val="24"/>
        </w:rPr>
        <w:t>vital</w:t>
      </w:r>
      <w:r w:rsidRPr="00D720CC">
        <w:rPr>
          <w:rFonts w:asciiTheme="minorBidi" w:hAnsiTheme="minorBidi"/>
          <w:sz w:val="24"/>
          <w:szCs w:val="24"/>
        </w:rPr>
        <w:t xml:space="preserve">. Hence, </w:t>
      </w:r>
      <w:r w:rsidR="00882FDF">
        <w:rPr>
          <w:rFonts w:asciiTheme="minorBidi" w:hAnsiTheme="minorBidi"/>
          <w:sz w:val="24"/>
          <w:szCs w:val="24"/>
        </w:rPr>
        <w:t>OHS</w:t>
      </w:r>
      <w:r w:rsidRPr="00D720CC">
        <w:rPr>
          <w:rFonts w:asciiTheme="minorBidi" w:hAnsiTheme="minorBidi"/>
          <w:sz w:val="24"/>
          <w:szCs w:val="24"/>
        </w:rPr>
        <w:t xml:space="preserve"> can </w:t>
      </w:r>
      <w:r w:rsidR="00882FDF">
        <w:rPr>
          <w:rFonts w:asciiTheme="minorBidi" w:hAnsiTheme="minorBidi"/>
          <w:sz w:val="24"/>
          <w:szCs w:val="24"/>
        </w:rPr>
        <w:t>replace</w:t>
      </w:r>
      <w:r w:rsidRPr="00D720CC">
        <w:rPr>
          <w:rFonts w:asciiTheme="minorBidi" w:hAnsiTheme="minorBidi"/>
          <w:sz w:val="24"/>
          <w:szCs w:val="24"/>
        </w:rPr>
        <w:t xml:space="preserve"> or </w:t>
      </w:r>
      <w:r w:rsidR="00CA1567">
        <w:rPr>
          <w:rFonts w:asciiTheme="minorBidi" w:hAnsiTheme="minorBidi"/>
          <w:sz w:val="24"/>
          <w:szCs w:val="24"/>
        </w:rPr>
        <w:t>supplement</w:t>
      </w:r>
      <w:r w:rsidRPr="00D720CC">
        <w:rPr>
          <w:rFonts w:asciiTheme="minorBidi" w:hAnsiTheme="minorBidi"/>
          <w:sz w:val="24"/>
          <w:szCs w:val="24"/>
        </w:rPr>
        <w:t xml:space="preserve"> regular treatment</w:t>
      </w:r>
      <w:r w:rsidR="00291EB0">
        <w:rPr>
          <w:rFonts w:asciiTheme="minorBidi" w:hAnsiTheme="minorBidi"/>
          <w:sz w:val="24"/>
          <w:szCs w:val="24"/>
        </w:rPr>
        <w:t>.</w:t>
      </w:r>
      <w:r w:rsidR="00A95924" w:rsidRPr="00A95924">
        <w:rPr>
          <w:rFonts w:ascii="Arial" w:eastAsia="Calibri" w:hAnsi="Arial" w:cs="Arial"/>
          <w:sz w:val="24"/>
          <w:szCs w:val="24"/>
          <w:vertAlign w:val="superscript"/>
          <w:rtl/>
        </w:rPr>
        <w:fldChar w:fldCharType="begin" w:fldLock="1"/>
      </w:r>
      <w:r w:rsidR="00A95924" w:rsidRPr="00A95924">
        <w:rPr>
          <w:rFonts w:ascii="Arial" w:eastAsia="Calibri" w:hAnsi="Arial" w:cs="Arial"/>
          <w:sz w:val="24"/>
          <w:szCs w:val="24"/>
          <w:vertAlign w:val="superscript"/>
        </w:rPr>
        <w:instrText>ADDIN CSL_CITATION {"citationItems":[{"id":"ITEM-1","itemData":{"DOI":"10.1007/s11606-015-3489-x","ISBN":"1160601534","ISSN":"15251497","PMID":"26269131","abstract":"Background: One-quarter of U.S. patients do not have a primary care provider or do not have complete access to one. Work and personal responsibilities also compete with finding convenient, accessible care. Telehealth services facilitate patients’ access to care, but whether patients are satisfied with telehealth is unclear. Objective: We assessed patients’ satisfaction with and preference for telehealth visits in a telehealth program at CVS MinuteClinics. Design: Cross-sectional patient satisfaction survey. Participants: Patients were aged ≥18 years, presented at a MinuteClinic offering telehealth in January–September 2014, had symptoms suitable for telehealth consultation, and agreed to a telehealth visit when the on-site practitioner was busy. Main Measures: Patients reported their age, gender, and whether they had health insurance and/or a primary care provider. Patients rated their satisfaction with seeing diagnostic images, hearing and seeing the remote practitioner, the assisting on-site nurse’s capability, quality of care, convenience, and overall understanding. Patients ranked telehealth visits compared to traditional ones: better (defined as preferring telehealth), just as good (defined as liking telehealth), or worse. Predictors of preferring or liking telehealth were assessed via multivariate logistic regression. Key results: In total, 1734 (54 %) of 3303 patients completed the survey: 70 % were women, and 41 % had no usual place of care. Between 94 and 99 % reported being “very satisfied” with all telehealth attributes. One-third preferred a telehealth visit to a traditional in-person visit. An additional 57 % liked telehealth. Lack of medical insurance increased the odds of preferring telehealth (OR = 0.83, 95 % CI, 0.72–0.97). Predictors of liking telehealth were female gender (OR = 1.68, 1.04–2.72) and being very satisfied with their overall understanding of telehealth (OR = 2.76, 1.84–4.15), quality of care received (OR = 2.34, 1.42–3.87), and telehealth’s convenience (OR = 2.87, 1.09–7.94) Conclusions: Patients reported high satisfaction with their telehealth experience. Convenience and perceived quality of care were important to patients, suggesting that telehealth may facilitate access to care.","author":[{"dropping-particle":"","family":"Polinski","given":"Jennifer M.","non-dropping-particle":"","parse-names":false,"suffix":""},{"dropping-particle":"","family":"Barker","given":"Tobias","non-dropping-particle":"","parse-names":false,"suffix":""},{"dropping-particle":"","family":"Gagliano","given":"Nancy","non-dropping-particle":"","parse-names":false,"suffix":""},{"dropping-particle":"","family":"Sussman","given":"Andrew","non-dropping-particle":"","parse-names":false,"suffix":""},{"dropping-particle":"","family":"Brennan","given":"Troyen A.","non-dropping-particle":"","parse-names":false,"suffix":""},{"dropping-particle":"","family":"Shrank","given":"William H.","non-dropping-particle":"","parse-names":false,"suffix":""}],"container-title":"Journal of General Internal Medicine","id":"ITEM-1","issue":"3","issued":{"date-parts":[["2016"]]},"page":"269-275","title":"Patients’ Satisfaction with and Preference for Telehealth Visits","type":"article-journal","volume":"31"},"uris":["http://www.mendeley.com/documents/?uuid=dd6b773f-52bf-4a7a-86f3-0a06729a2ff6","http://www.mendeley.com/documents/?uuid=b95da509-84a5-4039-9a92-b3b6337b8670"]}],"mendeley":{"formattedCitation":"(17)","plainTextFormattedCitation":"(17)","previouslyFormattedCitation":"(Polinski et al., 2016)"},"properties":{"noteIndex":0},"schema":"https://github.com/citation-style-language/schema/raw/master/csl-citation.json"}</w:instrText>
      </w:r>
      <w:r w:rsidR="00A95924" w:rsidRPr="00A95924">
        <w:rPr>
          <w:rFonts w:ascii="Arial" w:eastAsia="Calibri" w:hAnsi="Arial" w:cs="Arial"/>
          <w:sz w:val="24"/>
          <w:szCs w:val="24"/>
          <w:vertAlign w:val="superscript"/>
          <w:rtl/>
        </w:rPr>
        <w:fldChar w:fldCharType="separate"/>
      </w:r>
      <w:r w:rsidR="00A95924" w:rsidRPr="00A95924">
        <w:rPr>
          <w:rFonts w:ascii="Arial" w:eastAsia="Calibri" w:hAnsi="Arial" w:cs="Arial"/>
          <w:noProof/>
          <w:sz w:val="24"/>
          <w:szCs w:val="24"/>
          <w:vertAlign w:val="superscript"/>
        </w:rPr>
        <w:t>17</w:t>
      </w:r>
      <w:r w:rsidR="00A95924" w:rsidRPr="00A95924">
        <w:rPr>
          <w:rFonts w:ascii="Arial" w:eastAsia="Calibri" w:hAnsi="Arial" w:cs="Arial"/>
          <w:sz w:val="24"/>
          <w:szCs w:val="24"/>
          <w:vertAlign w:val="superscript"/>
          <w:rtl/>
        </w:rPr>
        <w:fldChar w:fldCharType="end"/>
      </w:r>
    </w:p>
    <w:p w14:paraId="42DEA4B5" w14:textId="7404FDB8" w:rsidR="000A2D00" w:rsidRDefault="000A2D00" w:rsidP="00C93819">
      <w:pPr>
        <w:spacing w:line="480" w:lineRule="auto"/>
        <w:jc w:val="both"/>
        <w:rPr>
          <w:rFonts w:asciiTheme="minorBidi" w:hAnsiTheme="minorBidi"/>
          <w:sz w:val="24"/>
          <w:szCs w:val="24"/>
        </w:rPr>
      </w:pPr>
      <w:r w:rsidRPr="000A2D00">
        <w:rPr>
          <w:rFonts w:asciiTheme="minorBidi" w:hAnsiTheme="minorBidi"/>
          <w:sz w:val="24"/>
          <w:szCs w:val="24"/>
        </w:rPr>
        <w:t xml:space="preserve">Another factor linked to OHS </w:t>
      </w:r>
      <w:r>
        <w:rPr>
          <w:rFonts w:asciiTheme="minorBidi" w:hAnsiTheme="minorBidi"/>
          <w:sz w:val="24"/>
          <w:szCs w:val="24"/>
        </w:rPr>
        <w:t>consumption</w:t>
      </w:r>
      <w:r w:rsidRPr="000A2D00">
        <w:rPr>
          <w:rFonts w:asciiTheme="minorBidi" w:hAnsiTheme="minorBidi"/>
          <w:sz w:val="24"/>
          <w:szCs w:val="24"/>
        </w:rPr>
        <w:t xml:space="preserve"> is online health literacy. The WHO defines health literacy as </w:t>
      </w:r>
      <w:r w:rsidR="00F34D7C">
        <w:rPr>
          <w:rFonts w:asciiTheme="minorBidi" w:hAnsiTheme="minorBidi"/>
          <w:sz w:val="24"/>
          <w:szCs w:val="24"/>
        </w:rPr>
        <w:t>“t</w:t>
      </w:r>
      <w:r w:rsidR="00F34D7C" w:rsidRPr="00F34D7C">
        <w:rPr>
          <w:rFonts w:asciiTheme="minorBidi" w:hAnsiTheme="minorBidi"/>
          <w:sz w:val="24"/>
          <w:szCs w:val="24"/>
        </w:rPr>
        <w:t>he cognitive and social skills that determine the individuals' motivation and ability to gain access to, understand, and use information in ways that promote and maintain good health</w:t>
      </w:r>
      <w:r w:rsidR="00291EB0">
        <w:rPr>
          <w:rFonts w:asciiTheme="minorBidi" w:hAnsiTheme="minorBidi"/>
          <w:sz w:val="24"/>
          <w:szCs w:val="24"/>
        </w:rPr>
        <w:t>.</w:t>
      </w:r>
      <w:r w:rsidR="00F34D7C">
        <w:rPr>
          <w:rFonts w:asciiTheme="minorBidi" w:hAnsiTheme="minorBidi"/>
          <w:sz w:val="24"/>
          <w:szCs w:val="24"/>
        </w:rPr>
        <w:t>”</w:t>
      </w:r>
      <w:r w:rsidR="00F34D7C" w:rsidRPr="00F34D7C">
        <w:rPr>
          <w:rFonts w:ascii="Arial" w:eastAsia="Calibri" w:hAnsi="Arial" w:cs="Arial"/>
          <w:sz w:val="24"/>
          <w:szCs w:val="24"/>
          <w:rtl/>
        </w:rPr>
        <w:t xml:space="preserve"> </w:t>
      </w:r>
      <w:r w:rsidR="00F34D7C" w:rsidRPr="00F34D7C">
        <w:rPr>
          <w:rFonts w:ascii="Arial" w:eastAsia="Calibri" w:hAnsi="Arial" w:cs="Arial"/>
          <w:sz w:val="24"/>
          <w:szCs w:val="24"/>
          <w:rtl/>
        </w:rPr>
        <w:fldChar w:fldCharType="begin" w:fldLock="1"/>
      </w:r>
      <w:r w:rsidR="00F34D7C" w:rsidRPr="00F34D7C">
        <w:rPr>
          <w:rFonts w:ascii="Arial" w:eastAsia="Calibri" w:hAnsi="Arial" w:cs="Arial"/>
          <w:sz w:val="24"/>
          <w:szCs w:val="24"/>
        </w:rPr>
        <w:instrText>ADDIN CSL_CITATION {"citationItems":[{"id":"ITEM-1","itemData":{"DOI":"10.1093/heapro/13.4.349","ISSN":"09574824","author":[{"dropping-particle":"","family":"Nutbeam","given":"D.","non-dropping-particle":"","parse-names":false,"suffix":""},{"dropping-particle":"","family":"Kickbusch","given":"I.","non-dropping-particle":"","parse-names":false,"suffix":""}],"container-title":"Health Promotion International","id":"ITEM-1","issue":"4","issued":{"date-parts":[["1998"]]},"page":"349-364","title":"Health promotion glossary","type":"article-journal","volume":"13"},"uris":["http://www.mendeley.com/documents/?uuid=9bb7a429-66df-40a6-a9e0-d9757279aaa6","http://www.mendeley.com/documents/?uuid=176a4917-7598-4421-af53-65ae01c9c326"]}],"mendeley":{"formattedCitation":"(18)","manualFormatting":"( Nutbeam &amp; Kickbusch, 1998)","plainTextFormattedCitation":"(18)","previouslyFormattedCitation":"(Nutbeam &amp; Kickbusch, 1998)"},"properties":{"noteIndex":0},"schema":"https://github.com/citation-style-language/schema/raw/master/csl-citation.json"}</w:instrText>
      </w:r>
      <w:r w:rsidR="00F34D7C" w:rsidRPr="00F34D7C">
        <w:rPr>
          <w:rFonts w:ascii="Arial" w:eastAsia="Calibri" w:hAnsi="Arial" w:cs="Arial"/>
          <w:sz w:val="24"/>
          <w:szCs w:val="24"/>
          <w:rtl/>
        </w:rPr>
        <w:fldChar w:fldCharType="separate"/>
      </w:r>
      <w:r w:rsidR="00F34D7C" w:rsidRPr="00F34D7C">
        <w:rPr>
          <w:rFonts w:ascii="Arial" w:eastAsia="Calibri" w:hAnsi="Arial" w:cs="Arial" w:hint="cs"/>
          <w:noProof/>
          <w:sz w:val="24"/>
          <w:szCs w:val="24"/>
          <w:vertAlign w:val="superscript"/>
          <w:rtl/>
        </w:rPr>
        <w:t>18</w:t>
      </w:r>
      <w:r w:rsidR="00F34D7C" w:rsidRPr="00F34D7C">
        <w:rPr>
          <w:rFonts w:ascii="Arial" w:eastAsia="Calibri" w:hAnsi="Arial" w:cs="Arial"/>
          <w:noProof/>
          <w:sz w:val="24"/>
          <w:szCs w:val="24"/>
        </w:rPr>
        <w:t xml:space="preserve"> </w:t>
      </w:r>
      <w:r w:rsidR="00F34D7C" w:rsidRPr="00F34D7C">
        <w:rPr>
          <w:rFonts w:ascii="Arial" w:eastAsia="Calibri" w:hAnsi="Arial" w:cs="Arial"/>
          <w:sz w:val="24"/>
          <w:szCs w:val="24"/>
          <w:rtl/>
        </w:rPr>
        <w:fldChar w:fldCharType="end"/>
      </w:r>
      <w:r w:rsidRPr="000A2D00">
        <w:rPr>
          <w:rFonts w:asciiTheme="minorBidi" w:hAnsiTheme="minorBidi"/>
          <w:sz w:val="24"/>
          <w:szCs w:val="24"/>
        </w:rPr>
        <w:t xml:space="preserve">Health literacy and access to digital health technologies </w:t>
      </w:r>
      <w:r w:rsidR="005F3E42">
        <w:rPr>
          <w:rFonts w:asciiTheme="minorBidi" w:hAnsiTheme="minorBidi"/>
          <w:sz w:val="24"/>
          <w:szCs w:val="24"/>
        </w:rPr>
        <w:t>have been identified as</w:t>
      </w:r>
      <w:r w:rsidRPr="000A2D00">
        <w:rPr>
          <w:rFonts w:asciiTheme="minorBidi" w:hAnsiTheme="minorBidi"/>
          <w:sz w:val="24"/>
          <w:szCs w:val="24"/>
        </w:rPr>
        <w:t xml:space="preserve"> key determinants of healthcare service quality.</w:t>
      </w:r>
      <w:r w:rsidR="00E8367C">
        <w:rPr>
          <w:rFonts w:asciiTheme="minorBidi" w:hAnsiTheme="minorBidi"/>
          <w:sz w:val="24"/>
          <w:szCs w:val="24"/>
        </w:rPr>
        <w:t xml:space="preserve"> </w:t>
      </w:r>
      <w:r w:rsidRPr="000A2D00">
        <w:rPr>
          <w:rFonts w:asciiTheme="minorBidi" w:hAnsiTheme="minorBidi"/>
          <w:sz w:val="24"/>
          <w:szCs w:val="24"/>
        </w:rPr>
        <w:t xml:space="preserve">Studies show that online health literacy is not necessarily related to education level. For </w:t>
      </w:r>
      <w:r w:rsidR="00BF3920">
        <w:rPr>
          <w:rFonts w:asciiTheme="minorBidi" w:hAnsiTheme="minorBidi"/>
          <w:sz w:val="24"/>
          <w:szCs w:val="24"/>
        </w:rPr>
        <w:t>example</w:t>
      </w:r>
      <w:r w:rsidRPr="000A2D00">
        <w:rPr>
          <w:rFonts w:asciiTheme="minorBidi" w:hAnsiTheme="minorBidi"/>
          <w:sz w:val="24"/>
          <w:szCs w:val="24"/>
        </w:rPr>
        <w:t xml:space="preserve">, a study </w:t>
      </w:r>
      <w:r w:rsidR="006A7148">
        <w:rPr>
          <w:rFonts w:asciiTheme="minorBidi" w:hAnsiTheme="minorBidi"/>
          <w:sz w:val="24"/>
          <w:szCs w:val="24"/>
        </w:rPr>
        <w:t xml:space="preserve">conducted </w:t>
      </w:r>
      <w:r w:rsidR="00CA1567">
        <w:rPr>
          <w:rFonts w:asciiTheme="minorBidi" w:hAnsiTheme="minorBidi"/>
          <w:sz w:val="24"/>
          <w:szCs w:val="24"/>
        </w:rPr>
        <w:t xml:space="preserve">in the U.S. </w:t>
      </w:r>
      <w:r w:rsidRPr="000A2D00">
        <w:rPr>
          <w:rFonts w:asciiTheme="minorBidi" w:hAnsiTheme="minorBidi"/>
          <w:sz w:val="24"/>
          <w:szCs w:val="24"/>
        </w:rPr>
        <w:t>among students</w:t>
      </w:r>
      <w:r w:rsidR="001B2344" w:rsidRPr="001B2344">
        <w:rPr>
          <w:rFonts w:ascii="Arial" w:eastAsia="Calibri" w:hAnsi="Arial" w:cs="Arial"/>
          <w:sz w:val="24"/>
          <w:szCs w:val="24"/>
          <w:vertAlign w:val="superscript"/>
          <w:rtl/>
        </w:rPr>
        <w:fldChar w:fldCharType="begin" w:fldLock="1"/>
      </w:r>
      <w:r w:rsidR="001B2344" w:rsidRPr="001B2344">
        <w:rPr>
          <w:rFonts w:ascii="Arial" w:eastAsia="Calibri" w:hAnsi="Arial" w:cs="Arial"/>
          <w:sz w:val="24"/>
          <w:szCs w:val="24"/>
          <w:vertAlign w:val="superscript"/>
        </w:rPr>
        <w:instrText>ADDIN CSL_CITATION {"citationItems":[{"id":"ITEM-1","itemData":{"DOI":"10.3390/ijerph18063301","ISSN":"16604601","PMID":"33806763","abstract":"The COVID-19 pandemic has been accompanied by rapidly emerging evidence, changing guidance, and misinformation, which present new challenges for health literacy (HL) and digital health literacy (DHL) skills. This study explored whether COVID-19-related information access, attitudes, and behaviors were associated with health literacy and digital health literacy among college students in the United States. Self-reported measures of health literacy, along with items on pandemic-related attitudes, behaviors, information sources, and social networks, were collected online using a managed research panel. In July 2020, 256 responses were collected, which mirrored the racial/ethnic and gender diversity of U.S. colleges. Only 49% reported adequate HL, and 57% found DHL tasks easy overall. DHL did not vary by HL level. In multivariable models, both HL and DHL were independently associated with overall compliance with basic preventive practices. Higher DHL, but not HL, was significantly associated with greater willingness to get a COVID-19 vaccine and the belief that acquiring the disease would negatively impact their life. On average, respondents discussed health with 4–5 people, which did not vary by HL or DHL measures. The usage of online information sources varied by HL and DHL. The study findings can inform future student-focused interventions, including identifying the distinct roles of HL and DHL in pandemic information access, attitudes, and behaviors.","author":[{"dropping-particle":"","family":"Patil","given":"Uday","non-dropping-particle":"","parse-names":false,"suffix":""},{"dropping-particle":"","family":"Kostareva","given":"Uliana","non-dropping-particle":"","parse-names":false,"suffix":""},{"dropping-particle":"","family":"Hadley","given":"Molly","non-dropping-particle":"","parse-names":false,"suffix":""},{"dropping-particle":"","family":"Manganello","given":"Jennifer A.","non-dropping-particle":"","parse-names":false,"suffix":""},{"dropping-particle":"","family":"Okan","given":"Orkan","non-dropping-particle":"","parse-names":false,"suffix":""},{"dropping-particle":"","family":"Dadaczynski","given":"Kevin","non-dropping-particle":"","parse-names":false,"suffix":""},{"dropping-particle":"","family":"Massey","given":"Philip M.","non-dropping-particle":"","parse-names":false,"suffix":""},{"dropping-particle":"","family":"Agner","given":"Joy","non-dropping-particle":"","parse-names":false,"suffix":""},{"dropping-particle":"","family":"Sentell","given":"Tetine","non-dropping-particle":"","parse-names":false,"suffix":""}],"container-title":"International Journal of Environmental Research and Public Health","id":"ITEM-1","issue":"6","issued":{"date-parts":[["2021"]]},"page":"1-14","title":"Health literacy, digital health literacy, and COVID-19 pandemic attitudes and behaviors in U.S. college students: Implications for interventions","type":"article-journal","volume":"18"},"uris":["http://www.mendeley.com/documents/?uuid=badc11d7-ca80-4123-a740-b02e42dd2650","http://www.mendeley.com/documents/?uuid=5f499f85-5ec6-44ef-880b-4e30647de726"]}],"mendeley":{"formattedCitation":"(19)","plainTextFormattedCitation":"(19)","previouslyFormattedCitation":"(Patil et al., 2021)"},"properties":{"noteIndex":0},"schema":"https://github.com/citation-style-language/schema/raw/master/csl-citation.json"}</w:instrText>
      </w:r>
      <w:r w:rsidR="001B2344" w:rsidRPr="001B2344">
        <w:rPr>
          <w:rFonts w:ascii="Arial" w:eastAsia="Calibri" w:hAnsi="Arial" w:cs="Arial"/>
          <w:sz w:val="24"/>
          <w:szCs w:val="24"/>
          <w:vertAlign w:val="superscript"/>
          <w:rtl/>
        </w:rPr>
        <w:fldChar w:fldCharType="separate"/>
      </w:r>
      <w:r w:rsidR="001B2344" w:rsidRPr="001B2344">
        <w:rPr>
          <w:rFonts w:ascii="Arial" w:eastAsia="Calibri" w:hAnsi="Arial" w:cs="Arial"/>
          <w:noProof/>
          <w:sz w:val="24"/>
          <w:szCs w:val="24"/>
          <w:vertAlign w:val="superscript"/>
        </w:rPr>
        <w:t>19</w:t>
      </w:r>
      <w:r w:rsidR="001B2344" w:rsidRPr="001B2344">
        <w:rPr>
          <w:rFonts w:ascii="Arial" w:eastAsia="Calibri" w:hAnsi="Arial" w:cs="Arial"/>
          <w:sz w:val="24"/>
          <w:szCs w:val="24"/>
          <w:vertAlign w:val="superscript"/>
          <w:rtl/>
        </w:rPr>
        <w:fldChar w:fldCharType="end"/>
      </w:r>
      <w:r w:rsidRPr="000A2D00">
        <w:rPr>
          <w:rFonts w:asciiTheme="minorBidi" w:hAnsiTheme="minorBidi"/>
          <w:sz w:val="24"/>
          <w:szCs w:val="24"/>
        </w:rPr>
        <w:t xml:space="preserve"> found that only 57% </w:t>
      </w:r>
      <w:r w:rsidR="001B2344">
        <w:rPr>
          <w:rFonts w:asciiTheme="minorBidi" w:hAnsiTheme="minorBidi"/>
          <w:sz w:val="24"/>
          <w:szCs w:val="24"/>
        </w:rPr>
        <w:t xml:space="preserve">of those who </w:t>
      </w:r>
      <w:r w:rsidRPr="000A2D00">
        <w:rPr>
          <w:rFonts w:asciiTheme="minorBidi" w:hAnsiTheme="minorBidi"/>
          <w:sz w:val="24"/>
          <w:szCs w:val="24"/>
        </w:rPr>
        <w:t xml:space="preserve">consumed online medical information related to preventive medicine were </w:t>
      </w:r>
      <w:r w:rsidR="00CA1567">
        <w:rPr>
          <w:rFonts w:asciiTheme="minorBidi" w:hAnsiTheme="minorBidi"/>
          <w:sz w:val="24"/>
          <w:szCs w:val="24"/>
        </w:rPr>
        <w:t>characterized as</w:t>
      </w:r>
      <w:r w:rsidRPr="000A2D00">
        <w:rPr>
          <w:rFonts w:asciiTheme="minorBidi" w:hAnsiTheme="minorBidi"/>
          <w:sz w:val="24"/>
          <w:szCs w:val="24"/>
        </w:rPr>
        <w:t xml:space="preserve"> online health litera</w:t>
      </w:r>
      <w:r w:rsidR="00CA1567">
        <w:rPr>
          <w:rFonts w:asciiTheme="minorBidi" w:hAnsiTheme="minorBidi"/>
          <w:sz w:val="24"/>
          <w:szCs w:val="24"/>
        </w:rPr>
        <w:t>te</w:t>
      </w:r>
      <w:r w:rsidRPr="000A2D00">
        <w:rPr>
          <w:rFonts w:asciiTheme="minorBidi" w:hAnsiTheme="minorBidi"/>
          <w:sz w:val="24"/>
          <w:szCs w:val="24"/>
        </w:rPr>
        <w:t xml:space="preserve">. Other studies indicate a negative correlation </w:t>
      </w:r>
      <w:r w:rsidRPr="000A2D00">
        <w:rPr>
          <w:rFonts w:asciiTheme="minorBidi" w:hAnsiTheme="minorBidi"/>
          <w:sz w:val="24"/>
          <w:szCs w:val="24"/>
        </w:rPr>
        <w:lastRenderedPageBreak/>
        <w:t xml:space="preserve">between age and education level </w:t>
      </w:r>
      <w:r w:rsidR="00C93819">
        <w:rPr>
          <w:rFonts w:asciiTheme="minorBidi" w:hAnsiTheme="minorBidi"/>
          <w:sz w:val="24"/>
          <w:szCs w:val="24"/>
        </w:rPr>
        <w:t>and</w:t>
      </w:r>
      <w:r w:rsidRPr="000A2D00">
        <w:rPr>
          <w:rFonts w:asciiTheme="minorBidi" w:hAnsiTheme="minorBidi"/>
          <w:sz w:val="24"/>
          <w:szCs w:val="24"/>
        </w:rPr>
        <w:t xml:space="preserve"> online health literacy</w:t>
      </w:r>
      <w:r w:rsidR="00DE31ED">
        <w:rPr>
          <w:rFonts w:asciiTheme="minorBidi" w:hAnsiTheme="minorBidi"/>
          <w:sz w:val="24"/>
          <w:szCs w:val="24"/>
        </w:rPr>
        <w:t>.</w:t>
      </w:r>
      <w:r w:rsidR="009647B2" w:rsidRPr="009647B2">
        <w:rPr>
          <w:rFonts w:ascii="Arial" w:eastAsia="Calibri" w:hAnsi="Arial" w:cs="Arial"/>
          <w:sz w:val="24"/>
          <w:szCs w:val="24"/>
          <w:vertAlign w:val="superscript"/>
          <w:rtl/>
        </w:rPr>
        <w:fldChar w:fldCharType="begin" w:fldLock="1"/>
      </w:r>
      <w:r w:rsidR="009647B2" w:rsidRPr="009647B2">
        <w:rPr>
          <w:rFonts w:ascii="Arial" w:eastAsia="Calibri" w:hAnsi="Arial" w:cs="Arial"/>
          <w:sz w:val="24"/>
          <w:szCs w:val="24"/>
          <w:vertAlign w:val="superscript"/>
        </w:rPr>
        <w:instrText>ADDIN CSL_CITATION {"citationItems":[{"id":"ITEM-1","itemData":{"DOI":"10.1177/1357633X16674087","ISSN":"17581109","PMID":"29320966","abstract":"Introduction and objective: Studies on telemedicine have shown success in reducing the geographical and time obstacles incurred in the receipt of care in traditional modalities with the same or greater effectiveness; however, there are several barriers that need to be addressed in order for telemedicine technology to spread. The aim of this review is to evaluate barriers to adopting telemedicine worldwide through the analysis of published work. Methods: The authors conducted a systematic literature review by extracting the data from the Cumulative Index of Nursing and Allied Health Literature (CINAHL) and PubMed (MEDLINE) research databases. The reviewers in this study analysed 30 articles (nine from CINAHL and 21 from Medline) and identified barriers found in the literature. This review followed the checklist from Preferred Reporting Items for Systematic Reviews and Meta-Analyses (PRISMA) 2009. The reviewers organized the results into one table and five figures that depict the data in different ways, organized by: barrier, country-specific barriers, organization-specific barriers, patient-specific barriers, and medical-staff and programmer-specific barriers. Results: The reviewers identified 33 barriers with a frequency of 100 occurrences through the 30 articles. The study identified the issues with technically challenged staff (11%), followed by resistance to change (8%), cost (8%), reimbursement (5%), age of patient (5%), and level of education of patient (5%). All other barriers occurred at or less than 4% of the time. Discussion and conclusions: Telemedicine is not yet ubiquitous, and barriers vary widely. The top barriers are technology-specific and could be overcome through training, change-management techniques, and alternating delivery by telemedicine and personal patient-to-provider interaction. The results of this study identify several barriers that could be eliminated by focused policy. Future work should evaluate policy to identify which one to lever to maximize the results.","author":[{"dropping-particle":"","family":"Scott Kruse","given":"Clemens","non-dropping-particle":"","parse-names":false,"suffix":""},{"dropping-particle":"","family":"Karem","given":"Priyanka","non-dropping-particle":"","parse-names":false,"suffix":""},{"dropping-particle":"","family":"Shifflett","given":"Kelli","non-dropping-particle":"","parse-names":false,"suffix":""},{"dropping-particle":"","family":"Vegi","given":"Lokesh","non-dropping-particle":"","parse-names":false,"suffix":""},{"dropping-particle":"","family":"Ravi","given":"Karuna","non-dropping-particle":"","parse-names":false,"suffix":""},{"dropping-particle":"","family":"Brooks","given":"Matthew","non-dropping-particle":"","parse-names":false,"suffix":""}],"container-title":"Journal of Telemedicine and Telecare","id":"ITEM-1","issue":"1","issued":{"date-parts":[["2018"]]},"page":"4-12","title":"Evaluating barriers to adopting telemedicine worldwide: A systematic review","type":"article-journal","volume":"24"},"uris":["http://www.mendeley.com/documents/?uuid=d8c3ba7f-3498-4967-b876-68d9ec93d34a"]}],"mendeley":{"formattedCitation":"(5)","plainTextFormattedCitation":"(5)","previouslyFormattedCitation":"(Scott Kruse et al., 2018)"},"properties":{"noteIndex":0},"schema":"https://github.com/citation-style-language/schema/raw/master/csl-citation.json"}</w:instrText>
      </w:r>
      <w:r w:rsidR="009647B2" w:rsidRPr="009647B2">
        <w:rPr>
          <w:rFonts w:ascii="Arial" w:eastAsia="Calibri" w:hAnsi="Arial" w:cs="Arial"/>
          <w:sz w:val="24"/>
          <w:szCs w:val="24"/>
          <w:vertAlign w:val="superscript"/>
          <w:rtl/>
        </w:rPr>
        <w:fldChar w:fldCharType="separate"/>
      </w:r>
      <w:r w:rsidR="009647B2" w:rsidRPr="009647B2">
        <w:rPr>
          <w:rFonts w:ascii="Arial" w:eastAsia="Calibri" w:hAnsi="Arial" w:cs="Arial"/>
          <w:noProof/>
          <w:sz w:val="24"/>
          <w:szCs w:val="24"/>
          <w:vertAlign w:val="superscript"/>
        </w:rPr>
        <w:t>5</w:t>
      </w:r>
      <w:r w:rsidR="009647B2" w:rsidRPr="009647B2">
        <w:rPr>
          <w:rFonts w:ascii="Arial" w:eastAsia="Calibri" w:hAnsi="Arial" w:cs="Arial"/>
          <w:sz w:val="24"/>
          <w:szCs w:val="24"/>
          <w:vertAlign w:val="superscript"/>
          <w:rtl/>
        </w:rPr>
        <w:fldChar w:fldCharType="end"/>
      </w:r>
      <w:r w:rsidRPr="000A2D00">
        <w:rPr>
          <w:rFonts w:asciiTheme="minorBidi" w:hAnsiTheme="minorBidi"/>
          <w:sz w:val="24"/>
          <w:szCs w:val="24"/>
        </w:rPr>
        <w:t xml:space="preserve"> Adults aged 45-46 were</w:t>
      </w:r>
      <w:r w:rsidR="00C93819">
        <w:rPr>
          <w:rFonts w:asciiTheme="minorBidi" w:hAnsiTheme="minorBidi"/>
          <w:sz w:val="24"/>
          <w:szCs w:val="24"/>
        </w:rPr>
        <w:t xml:space="preserve"> found</w:t>
      </w:r>
      <w:r w:rsidRPr="000A2D00">
        <w:rPr>
          <w:rFonts w:asciiTheme="minorBidi" w:hAnsiTheme="minorBidi"/>
          <w:sz w:val="24"/>
          <w:szCs w:val="24"/>
        </w:rPr>
        <w:t xml:space="preserve"> less likely to use these services compared to younger populations</w:t>
      </w:r>
      <w:r w:rsidR="00DE31ED">
        <w:rPr>
          <w:rFonts w:asciiTheme="minorBidi" w:hAnsiTheme="minorBidi"/>
          <w:sz w:val="24"/>
          <w:szCs w:val="24"/>
        </w:rPr>
        <w:t>.</w:t>
      </w:r>
      <w:r w:rsidR="00730318" w:rsidRPr="00730318">
        <w:rPr>
          <w:rFonts w:ascii="Arial" w:eastAsia="Calibri" w:hAnsi="Arial" w:cs="Arial"/>
          <w:sz w:val="24"/>
          <w:szCs w:val="24"/>
          <w:vertAlign w:val="superscript"/>
          <w:rtl/>
        </w:rPr>
        <w:fldChar w:fldCharType="begin" w:fldLock="1"/>
      </w:r>
      <w:r w:rsidR="00730318" w:rsidRPr="00730318">
        <w:rPr>
          <w:rFonts w:ascii="Arial" w:eastAsia="Calibri" w:hAnsi="Arial" w:cs="Arial"/>
          <w:sz w:val="24"/>
          <w:szCs w:val="24"/>
          <w:vertAlign w:val="superscript"/>
        </w:rPr>
        <w:instrText>ADDIN CSL_CITATION {"citationItems":[{"id":"ITEM-1","itemData":{"DOI":"10.1089/pop.2020.0186","ISSN":"19427905","PMID":"32816644","abstract":"The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pandemic.","author":[{"dropping-particle":"","family":"Jaffe","given":"Dena H.","non-dropping-particle":"","parse-names":false,"suffix":""},{"dropping-particle":"","family":"Lee","given":"Lulu","non-dropping-particle":"","parse-names":false,"suffix":""},{"dropping-particle":"","family":"Huynh","given":"Stephanie","non-dropping-particle":"","parse-names":false,"suffix":""},{"dropping-particle":"","family":"Haskell","given":"Thomas P.","non-dropping-particle":"","parse-names":false,"suffix":""}],"container-title":"Population Health Management","id":"ITEM-1","issue":"5","issued":{"date-parts":[["2020"]]},"page":"368-377","title":"Health Inequalities in the Use of Telehealth in the United States in the Lens of COVID-19","type":"article-journal","volume":"23"},"uris":["http://www.mendeley.com/documents/?uuid=c1f2cdeb-0054-40fa-a37c-f410b93db639"]}],"mendeley":{"formattedCitation":"(20)","plainTextFormattedCitation":"(20)","previouslyFormattedCitation":"(Jaffe et al., 2020)"},"properties":{"noteIndex":0},"schema":"https://github.com/citation-style-language/schema/raw/master/csl-citation.json"}</w:instrText>
      </w:r>
      <w:r w:rsidR="00730318" w:rsidRPr="00730318">
        <w:rPr>
          <w:rFonts w:ascii="Arial" w:eastAsia="Calibri" w:hAnsi="Arial" w:cs="Arial"/>
          <w:sz w:val="24"/>
          <w:szCs w:val="24"/>
          <w:vertAlign w:val="superscript"/>
          <w:rtl/>
        </w:rPr>
        <w:fldChar w:fldCharType="separate"/>
      </w:r>
      <w:r w:rsidR="00730318" w:rsidRPr="00730318">
        <w:rPr>
          <w:rFonts w:ascii="Arial" w:eastAsia="Calibri" w:hAnsi="Arial" w:cs="Arial"/>
          <w:noProof/>
          <w:sz w:val="24"/>
          <w:szCs w:val="24"/>
          <w:vertAlign w:val="superscript"/>
        </w:rPr>
        <w:t>20</w:t>
      </w:r>
      <w:r w:rsidR="00730318" w:rsidRPr="00730318">
        <w:rPr>
          <w:rFonts w:ascii="Arial" w:eastAsia="Calibri" w:hAnsi="Arial" w:cs="Arial"/>
          <w:sz w:val="24"/>
          <w:szCs w:val="24"/>
          <w:vertAlign w:val="superscript"/>
          <w:rtl/>
        </w:rPr>
        <w:fldChar w:fldCharType="end"/>
      </w:r>
    </w:p>
    <w:p w14:paraId="72617DDB" w14:textId="15A22285" w:rsidR="00237EE2" w:rsidRPr="00237EE2" w:rsidRDefault="00237EE2" w:rsidP="00565CBA">
      <w:pPr>
        <w:spacing w:line="480" w:lineRule="auto"/>
        <w:jc w:val="both"/>
        <w:rPr>
          <w:rFonts w:asciiTheme="minorBidi" w:hAnsiTheme="minorBidi"/>
          <w:sz w:val="24"/>
          <w:szCs w:val="24"/>
        </w:rPr>
      </w:pPr>
      <w:r w:rsidRPr="00237EE2">
        <w:rPr>
          <w:rFonts w:asciiTheme="minorBidi" w:hAnsiTheme="minorBidi"/>
          <w:sz w:val="24"/>
          <w:szCs w:val="24"/>
        </w:rPr>
        <w:t xml:space="preserve">A survey conducted in Sweden among the general population found that one-third of the participants </w:t>
      </w:r>
      <w:r w:rsidR="00315478">
        <w:rPr>
          <w:rFonts w:asciiTheme="minorBidi" w:hAnsiTheme="minorBidi"/>
          <w:sz w:val="24"/>
          <w:szCs w:val="24"/>
        </w:rPr>
        <w:t>had limited health</w:t>
      </w:r>
      <w:r w:rsidRPr="00237EE2">
        <w:rPr>
          <w:rFonts w:asciiTheme="minorBidi" w:hAnsiTheme="minorBidi"/>
          <w:sz w:val="24"/>
          <w:szCs w:val="24"/>
        </w:rPr>
        <w:t xml:space="preserve"> literacy </w:t>
      </w:r>
      <w:r w:rsidR="00315478">
        <w:rPr>
          <w:rFonts w:asciiTheme="minorBidi" w:hAnsiTheme="minorBidi"/>
          <w:sz w:val="24"/>
          <w:szCs w:val="24"/>
        </w:rPr>
        <w:t>despite</w:t>
      </w:r>
      <w:r w:rsidRPr="00237EE2">
        <w:rPr>
          <w:rFonts w:asciiTheme="minorBidi" w:hAnsiTheme="minorBidi"/>
          <w:sz w:val="24"/>
          <w:szCs w:val="24"/>
        </w:rPr>
        <w:t xml:space="preserve"> half of them </w:t>
      </w:r>
      <w:r w:rsidR="00315478">
        <w:rPr>
          <w:rFonts w:asciiTheme="minorBidi" w:hAnsiTheme="minorBidi"/>
          <w:sz w:val="24"/>
          <w:szCs w:val="24"/>
        </w:rPr>
        <w:t>having an academic education</w:t>
      </w:r>
      <w:r w:rsidR="00C95188">
        <w:rPr>
          <w:rFonts w:asciiTheme="minorBidi" w:hAnsiTheme="minorBidi"/>
          <w:sz w:val="24"/>
          <w:szCs w:val="24"/>
        </w:rPr>
        <w:t>,</w:t>
      </w:r>
      <w:r w:rsidR="00954AE9">
        <w:rPr>
          <w:rFonts w:asciiTheme="minorBidi" w:hAnsiTheme="minorBidi"/>
          <w:sz w:val="24"/>
          <w:szCs w:val="24"/>
        </w:rPr>
        <w:t xml:space="preserve"> and that</w:t>
      </w:r>
      <w:r w:rsidRPr="00237EE2">
        <w:rPr>
          <w:rFonts w:asciiTheme="minorBidi" w:hAnsiTheme="minorBidi"/>
          <w:sz w:val="24"/>
          <w:szCs w:val="24"/>
        </w:rPr>
        <w:t xml:space="preserve"> those with good </w:t>
      </w:r>
      <w:r w:rsidR="00954AE9">
        <w:rPr>
          <w:rFonts w:asciiTheme="minorBidi" w:hAnsiTheme="minorBidi"/>
          <w:sz w:val="24"/>
          <w:szCs w:val="24"/>
        </w:rPr>
        <w:t>h</w:t>
      </w:r>
      <w:r w:rsidRPr="00237EE2">
        <w:rPr>
          <w:rFonts w:asciiTheme="minorBidi" w:hAnsiTheme="minorBidi"/>
          <w:sz w:val="24"/>
          <w:szCs w:val="24"/>
        </w:rPr>
        <w:t xml:space="preserve">ealth literacy were more likely to </w:t>
      </w:r>
      <w:r w:rsidR="00954AE9">
        <w:rPr>
          <w:rFonts w:asciiTheme="minorBidi" w:hAnsiTheme="minorBidi"/>
          <w:sz w:val="24"/>
          <w:szCs w:val="24"/>
        </w:rPr>
        <w:t>use OHS</w:t>
      </w:r>
      <w:r w:rsidRPr="00237EE2">
        <w:rPr>
          <w:rFonts w:asciiTheme="minorBidi" w:hAnsiTheme="minorBidi"/>
          <w:sz w:val="24"/>
          <w:szCs w:val="24"/>
        </w:rPr>
        <w:t xml:space="preserve">. </w:t>
      </w:r>
      <w:r w:rsidR="00E11321">
        <w:rPr>
          <w:rFonts w:asciiTheme="minorBidi" w:hAnsiTheme="minorBidi"/>
          <w:sz w:val="24"/>
          <w:szCs w:val="24"/>
        </w:rPr>
        <w:t xml:space="preserve">Based on a national survey conducted in Sweden, </w:t>
      </w:r>
      <w:r w:rsidR="00262C81" w:rsidRPr="00262C81">
        <w:rPr>
          <w:rFonts w:ascii="Arial" w:eastAsia="Calibri" w:hAnsi="Arial" w:cs="Arial"/>
          <w:sz w:val="24"/>
          <w:szCs w:val="24"/>
          <w:rtl/>
        </w:rPr>
        <w:fldChar w:fldCharType="begin" w:fldLock="1"/>
      </w:r>
      <w:r w:rsidR="00262C81" w:rsidRPr="00262C81">
        <w:rPr>
          <w:rFonts w:ascii="Arial" w:eastAsia="Calibri" w:hAnsi="Arial" w:cs="Arial"/>
          <w:sz w:val="24"/>
          <w:szCs w:val="24"/>
        </w:rPr>
        <w:instrText>ADDIN CSL_CITATION {"citationItems":[{"id":"ITEM-1","itemData":{"DOI":"10.1186/s12889-022-14751-z","ISSN":"14712458","PMID":"36471284","abstract":"Background: The benefits of digital development in health care may be obscured by unequal opportunities to make use of digital resources. The aim of this study was to investigate the association of health literacy with I) accessing health check test results in the Patient Electronic Health Record (PAEHR), II) searching for information to better understand individual test results, and III) using the national health information online portal provided by the Swedish national health care system. Methods: This cross-sectional study included data from 434 individuals, 50–64 years old, randomly selected from the Swedish population during the year 2017 to a cohort study including health examination and a web-based survey. Health literacy was assessed at baseline using the Swedish Communicative and Critical Health Literacy scale. Digital information outcomes were assessed after three months. Adjusted odds ratios (ORs) and 95% confidence intervals (CI) for the separate outcomes were computed using logistic regression. Covariates included sex, age, education, country of birth, cardiovascular risk factors at baseline, general health, risk perception, referral, and new cardiovascular risk factors detected at health examination. Results: About a third of the participants (35%) had limited health literacy, while 65% had sufficient health literacy. Sufficient health literacy was associated with accessing the PAEHR (adjusted OR 1.81 95% CI 1.07–3.06) and use of the online national health information portal provided by the Swedish national health care system (adjusted OR 2.91 95% CI 1.13–7.52) but not with searching information to better understand individual test results (adjusted OR 1.29 0.75–2.20). Conclusions: Individuals with limited health literacy do not access their personal health information nor search for health information on the online national health information portal provided by the Swedish national health care system to the same extent as individuals with sufficient health literacy. More research is needed about how the level of health literacy relates to differences in online health information-seeking behavior and how digital health information sources and e-health services can be designed to ensure that the entire population has equal access to trustworthy and quality-ensured health information.","author":[{"dropping-particle":"","family":"Sundell","given":"Erica","non-dropping-particle":"","parse-names":false,"suffix":""},{"dropping-particle":"","family":"Wångdahl","given":"Josefin","non-dropping-particle":"","parse-names":false,"suffix":""},{"dropping-particle":"","family":"Grauman","given":"Åsa","non-dropping-particle":"","parse-names":false,"suffix":""}],"container-title":"BMC Public Health","id":"ITEM-1","issue":"1","issued":{"date-parts":[["2022"]]},"page":"1-10","publisher":"BioMed Central","title":"Health literacy and digital health information-seeking behavior – a cross-sectional study among highly educated Swedes","type":"article-journal","volume":"22"},"uris":["http://www.mendeley.com/documents/?uuid=70d20a76-65bf-4c78-8ec8-02fc6dc6343b","http://www.mendeley.com/documents/?uuid=0f3cd2b7-03da-4558-9c27-41e7bb4fbee0"]}],"mendeley":{"formattedCitation":"(21)","manualFormatting":"Sundell et al. ","plainTextFormattedCitation":"(21)","previouslyFormattedCitation":"(Sundell et al., 2022)"},"properties":{"noteIndex":0},"schema":"https://github.com/citation-style-language/schema/raw/master/csl-citation.json"}</w:instrText>
      </w:r>
      <w:r w:rsidR="00262C81" w:rsidRPr="00262C81">
        <w:rPr>
          <w:rFonts w:ascii="Arial" w:eastAsia="Calibri" w:hAnsi="Arial" w:cs="Arial"/>
          <w:sz w:val="24"/>
          <w:szCs w:val="24"/>
          <w:rtl/>
        </w:rPr>
        <w:fldChar w:fldCharType="separate"/>
      </w:r>
      <w:r w:rsidR="00262C81" w:rsidRPr="00262C81">
        <w:rPr>
          <w:rFonts w:ascii="Arial" w:eastAsia="Calibri" w:hAnsi="Arial" w:cs="Arial"/>
          <w:noProof/>
          <w:sz w:val="24"/>
          <w:szCs w:val="24"/>
        </w:rPr>
        <w:t xml:space="preserve">Sundell et al. </w:t>
      </w:r>
      <w:r w:rsidR="00262C81" w:rsidRPr="00262C81">
        <w:rPr>
          <w:rFonts w:ascii="Arial" w:eastAsia="Calibri" w:hAnsi="Arial" w:cs="Arial"/>
          <w:sz w:val="24"/>
          <w:szCs w:val="24"/>
          <w:rtl/>
        </w:rPr>
        <w:fldChar w:fldCharType="end"/>
      </w:r>
      <w:r w:rsidR="00262C81">
        <w:rPr>
          <w:rFonts w:ascii="Arial" w:eastAsia="Calibri" w:hAnsi="Arial" w:cs="Arial"/>
          <w:sz w:val="24"/>
          <w:szCs w:val="24"/>
        </w:rPr>
        <w:t>(2022)</w:t>
      </w:r>
      <w:r w:rsidR="00262C81" w:rsidRPr="00262C81">
        <w:rPr>
          <w:rFonts w:ascii="Arial" w:eastAsia="Calibri" w:hAnsi="Arial" w:cs="Arial"/>
          <w:sz w:val="24"/>
          <w:szCs w:val="24"/>
          <w:vertAlign w:val="superscript"/>
        </w:rPr>
        <w:t>21</w:t>
      </w:r>
      <w:r w:rsidRPr="00237EE2">
        <w:rPr>
          <w:rFonts w:asciiTheme="minorBidi" w:hAnsiTheme="minorBidi"/>
          <w:sz w:val="24"/>
          <w:szCs w:val="24"/>
        </w:rPr>
        <w:t xml:space="preserve"> </w:t>
      </w:r>
      <w:r w:rsidR="00E11321">
        <w:rPr>
          <w:rFonts w:asciiTheme="minorBidi" w:hAnsiTheme="minorBidi"/>
          <w:sz w:val="24"/>
          <w:szCs w:val="24"/>
        </w:rPr>
        <w:t>argue</w:t>
      </w:r>
      <w:r w:rsidRPr="00237EE2">
        <w:rPr>
          <w:rFonts w:asciiTheme="minorBidi" w:hAnsiTheme="minorBidi"/>
          <w:sz w:val="24"/>
          <w:szCs w:val="24"/>
        </w:rPr>
        <w:t xml:space="preserve"> that </w:t>
      </w:r>
      <w:r w:rsidR="00E11321">
        <w:rPr>
          <w:rFonts w:asciiTheme="minorBidi" w:hAnsiTheme="minorBidi"/>
          <w:sz w:val="24"/>
          <w:szCs w:val="24"/>
        </w:rPr>
        <w:t xml:space="preserve">compared to health literate </w:t>
      </w:r>
      <w:r w:rsidRPr="00237EE2">
        <w:rPr>
          <w:rFonts w:asciiTheme="minorBidi" w:hAnsiTheme="minorBidi"/>
          <w:sz w:val="24"/>
          <w:szCs w:val="24"/>
        </w:rPr>
        <w:t>individuals</w:t>
      </w:r>
      <w:r w:rsidR="00E11321">
        <w:rPr>
          <w:rFonts w:asciiTheme="minorBidi" w:hAnsiTheme="minorBidi"/>
          <w:sz w:val="24"/>
          <w:szCs w:val="24"/>
        </w:rPr>
        <w:t>, those</w:t>
      </w:r>
      <w:r w:rsidRPr="00237EE2">
        <w:rPr>
          <w:rFonts w:asciiTheme="minorBidi" w:hAnsiTheme="minorBidi"/>
          <w:sz w:val="24"/>
          <w:szCs w:val="24"/>
        </w:rPr>
        <w:t xml:space="preserve"> with limited </w:t>
      </w:r>
      <w:r w:rsidR="00E11321">
        <w:rPr>
          <w:rFonts w:asciiTheme="minorBidi" w:hAnsiTheme="minorBidi"/>
          <w:sz w:val="24"/>
          <w:szCs w:val="24"/>
        </w:rPr>
        <w:t>h</w:t>
      </w:r>
      <w:r w:rsidRPr="00237EE2">
        <w:rPr>
          <w:rFonts w:asciiTheme="minorBidi" w:hAnsiTheme="minorBidi"/>
          <w:sz w:val="24"/>
          <w:szCs w:val="24"/>
        </w:rPr>
        <w:t xml:space="preserve">ealth literacy do not access their personal health information </w:t>
      </w:r>
      <w:r w:rsidR="00E11321">
        <w:rPr>
          <w:rFonts w:asciiTheme="minorBidi" w:hAnsiTheme="minorBidi"/>
          <w:sz w:val="24"/>
          <w:szCs w:val="24"/>
        </w:rPr>
        <w:t>nor</w:t>
      </w:r>
      <w:r w:rsidRPr="00237EE2">
        <w:rPr>
          <w:rFonts w:asciiTheme="minorBidi" w:hAnsiTheme="minorBidi"/>
          <w:sz w:val="24"/>
          <w:szCs w:val="24"/>
        </w:rPr>
        <w:t xml:space="preserve"> actively </w:t>
      </w:r>
      <w:r w:rsidR="00E11321">
        <w:rPr>
          <w:rFonts w:asciiTheme="minorBidi" w:hAnsiTheme="minorBidi"/>
          <w:sz w:val="24"/>
          <w:szCs w:val="24"/>
        </w:rPr>
        <w:t>search for</w:t>
      </w:r>
      <w:r w:rsidRPr="00237EE2">
        <w:rPr>
          <w:rFonts w:asciiTheme="minorBidi" w:hAnsiTheme="minorBidi"/>
          <w:sz w:val="24"/>
          <w:szCs w:val="24"/>
        </w:rPr>
        <w:t xml:space="preserve"> health information on the national health portal. </w:t>
      </w:r>
      <w:r w:rsidR="007F2E70">
        <w:rPr>
          <w:rFonts w:asciiTheme="minorBidi" w:hAnsiTheme="minorBidi"/>
          <w:sz w:val="24"/>
          <w:szCs w:val="24"/>
        </w:rPr>
        <w:t>Additionally</w:t>
      </w:r>
      <w:r w:rsidRPr="00237EE2">
        <w:rPr>
          <w:rFonts w:asciiTheme="minorBidi" w:hAnsiTheme="minorBidi"/>
          <w:sz w:val="24"/>
          <w:szCs w:val="24"/>
        </w:rPr>
        <w:t>, various population groups such as older adults or individuals with chronic diseases were</w:t>
      </w:r>
      <w:r w:rsidR="001A3EE6">
        <w:rPr>
          <w:rFonts w:asciiTheme="minorBidi" w:hAnsiTheme="minorBidi"/>
          <w:sz w:val="24"/>
          <w:szCs w:val="24"/>
        </w:rPr>
        <w:t xml:space="preserve"> found to have</w:t>
      </w:r>
      <w:r w:rsidRPr="00237EE2">
        <w:rPr>
          <w:rFonts w:asciiTheme="minorBidi" w:hAnsiTheme="minorBidi"/>
          <w:sz w:val="24"/>
          <w:szCs w:val="24"/>
        </w:rPr>
        <w:t xml:space="preserve"> low </w:t>
      </w:r>
      <w:r w:rsidR="001A3EE6">
        <w:rPr>
          <w:rFonts w:asciiTheme="minorBidi" w:hAnsiTheme="minorBidi"/>
          <w:sz w:val="24"/>
          <w:szCs w:val="24"/>
        </w:rPr>
        <w:t>online h</w:t>
      </w:r>
      <w:r w:rsidRPr="00237EE2">
        <w:rPr>
          <w:rFonts w:asciiTheme="minorBidi" w:hAnsiTheme="minorBidi"/>
          <w:sz w:val="24"/>
          <w:szCs w:val="24"/>
        </w:rPr>
        <w:t>ealth literacy</w:t>
      </w:r>
      <w:r w:rsidR="007F2E70">
        <w:rPr>
          <w:rFonts w:asciiTheme="minorBidi" w:hAnsiTheme="minorBidi"/>
          <w:sz w:val="24"/>
          <w:szCs w:val="24"/>
        </w:rPr>
        <w:t xml:space="preserve">, tending </w:t>
      </w:r>
      <w:r w:rsidRPr="00237EE2">
        <w:rPr>
          <w:rFonts w:asciiTheme="minorBidi" w:hAnsiTheme="minorBidi"/>
          <w:sz w:val="24"/>
          <w:szCs w:val="24"/>
        </w:rPr>
        <w:t xml:space="preserve">to participate less in online meetings with healthcare providers, such </w:t>
      </w:r>
      <w:r w:rsidR="007F2E70">
        <w:rPr>
          <w:rFonts w:asciiTheme="minorBidi" w:hAnsiTheme="minorBidi"/>
          <w:sz w:val="24"/>
          <w:szCs w:val="24"/>
        </w:rPr>
        <w:t xml:space="preserve">as </w:t>
      </w:r>
      <w:r w:rsidRPr="00237EE2">
        <w:rPr>
          <w:rFonts w:asciiTheme="minorBidi" w:hAnsiTheme="minorBidi"/>
          <w:sz w:val="24"/>
          <w:szCs w:val="24"/>
        </w:rPr>
        <w:t>nutrition</w:t>
      </w:r>
      <w:r w:rsidR="001A3EE6">
        <w:rPr>
          <w:rFonts w:asciiTheme="minorBidi" w:hAnsiTheme="minorBidi"/>
          <w:sz w:val="24"/>
          <w:szCs w:val="24"/>
        </w:rPr>
        <w:t xml:space="preserve"> monitoring and physical activity sessions</w:t>
      </w:r>
      <w:r w:rsidR="00DE31ED">
        <w:rPr>
          <w:rFonts w:asciiTheme="minorBidi" w:hAnsiTheme="minorBidi"/>
          <w:sz w:val="24"/>
          <w:szCs w:val="24"/>
        </w:rPr>
        <w:t>.</w:t>
      </w:r>
      <w:r w:rsidR="0011518E" w:rsidRPr="0011518E">
        <w:rPr>
          <w:rFonts w:ascii="Arial" w:eastAsia="Calibri" w:hAnsi="Arial" w:cs="Arial" w:hint="cs"/>
          <w:sz w:val="24"/>
          <w:szCs w:val="24"/>
          <w:vertAlign w:val="superscript"/>
          <w:rtl/>
        </w:rPr>
        <w:t>21</w:t>
      </w:r>
      <w:r w:rsidR="00726299">
        <w:rPr>
          <w:rFonts w:asciiTheme="minorBidi" w:hAnsiTheme="minorBidi"/>
          <w:sz w:val="24"/>
          <w:szCs w:val="24"/>
        </w:rPr>
        <w:t xml:space="preserve"> </w:t>
      </w:r>
      <w:r w:rsidRPr="00237EE2">
        <w:rPr>
          <w:rFonts w:asciiTheme="minorBidi" w:hAnsiTheme="minorBidi"/>
          <w:sz w:val="24"/>
          <w:szCs w:val="24"/>
        </w:rPr>
        <w:t>Similarly, rheumatologists from 64 countries expressed concern that</w:t>
      </w:r>
      <w:r w:rsidR="00726299">
        <w:rPr>
          <w:rFonts w:asciiTheme="minorBidi" w:hAnsiTheme="minorBidi"/>
          <w:sz w:val="24"/>
          <w:szCs w:val="24"/>
        </w:rPr>
        <w:t xml:space="preserve"> </w:t>
      </w:r>
      <w:r w:rsidR="00565CBA">
        <w:rPr>
          <w:rFonts w:asciiTheme="minorBidi" w:hAnsiTheme="minorBidi"/>
          <w:sz w:val="24"/>
          <w:szCs w:val="24"/>
        </w:rPr>
        <w:t xml:space="preserve">the health of </w:t>
      </w:r>
      <w:r w:rsidR="00726299">
        <w:rPr>
          <w:rFonts w:asciiTheme="minorBidi" w:hAnsiTheme="minorBidi"/>
          <w:sz w:val="24"/>
          <w:szCs w:val="24"/>
        </w:rPr>
        <w:t xml:space="preserve">low SES </w:t>
      </w:r>
      <w:r w:rsidRPr="00237EE2">
        <w:rPr>
          <w:rFonts w:asciiTheme="minorBidi" w:hAnsiTheme="minorBidi"/>
          <w:sz w:val="24"/>
          <w:szCs w:val="24"/>
        </w:rPr>
        <w:t xml:space="preserve">populations </w:t>
      </w:r>
      <w:r w:rsidR="00726299">
        <w:rPr>
          <w:rFonts w:asciiTheme="minorBidi" w:hAnsiTheme="minorBidi"/>
          <w:sz w:val="24"/>
          <w:szCs w:val="24"/>
        </w:rPr>
        <w:t>wit</w:t>
      </w:r>
      <w:r w:rsidRPr="00237EE2">
        <w:rPr>
          <w:rFonts w:asciiTheme="minorBidi" w:hAnsiTheme="minorBidi"/>
          <w:sz w:val="24"/>
          <w:szCs w:val="24"/>
        </w:rPr>
        <w:t xml:space="preserve">h rheumatic diseases might deteriorate during </w:t>
      </w:r>
      <w:r w:rsidR="00726299">
        <w:rPr>
          <w:rFonts w:asciiTheme="minorBidi" w:hAnsiTheme="minorBidi"/>
          <w:sz w:val="24"/>
          <w:szCs w:val="24"/>
        </w:rPr>
        <w:t xml:space="preserve">the pandemic </w:t>
      </w:r>
      <w:r w:rsidR="00565CBA">
        <w:rPr>
          <w:rFonts w:asciiTheme="minorBidi" w:hAnsiTheme="minorBidi"/>
          <w:sz w:val="24"/>
          <w:szCs w:val="24"/>
        </w:rPr>
        <w:t>as a result of</w:t>
      </w:r>
      <w:r w:rsidRPr="00237EE2">
        <w:rPr>
          <w:rFonts w:asciiTheme="minorBidi" w:hAnsiTheme="minorBidi"/>
          <w:sz w:val="24"/>
          <w:szCs w:val="24"/>
        </w:rPr>
        <w:t xml:space="preserve"> the </w:t>
      </w:r>
      <w:r w:rsidR="00425BB9">
        <w:rPr>
          <w:rFonts w:asciiTheme="minorBidi" w:hAnsiTheme="minorBidi"/>
          <w:sz w:val="24"/>
          <w:szCs w:val="24"/>
        </w:rPr>
        <w:t>transition</w:t>
      </w:r>
      <w:r w:rsidRPr="00237EE2">
        <w:rPr>
          <w:rFonts w:asciiTheme="minorBidi" w:hAnsiTheme="minorBidi"/>
          <w:sz w:val="24"/>
          <w:szCs w:val="24"/>
        </w:rPr>
        <w:t xml:space="preserve"> to online treatment</w:t>
      </w:r>
      <w:r w:rsidR="00565CBA">
        <w:rPr>
          <w:rFonts w:asciiTheme="minorBidi" w:hAnsiTheme="minorBidi"/>
          <w:sz w:val="24"/>
          <w:szCs w:val="24"/>
        </w:rPr>
        <w:t xml:space="preserve">, due to their </w:t>
      </w:r>
      <w:r w:rsidRPr="00237EE2">
        <w:rPr>
          <w:rFonts w:asciiTheme="minorBidi" w:hAnsiTheme="minorBidi"/>
          <w:sz w:val="24"/>
          <w:szCs w:val="24"/>
        </w:rPr>
        <w:t xml:space="preserve">low </w:t>
      </w:r>
      <w:r w:rsidR="00425BB9">
        <w:rPr>
          <w:rFonts w:asciiTheme="minorBidi" w:hAnsiTheme="minorBidi"/>
          <w:sz w:val="24"/>
          <w:szCs w:val="24"/>
        </w:rPr>
        <w:t>online</w:t>
      </w:r>
      <w:r w:rsidRPr="00237EE2">
        <w:rPr>
          <w:rFonts w:asciiTheme="minorBidi" w:hAnsiTheme="minorBidi"/>
          <w:sz w:val="24"/>
          <w:szCs w:val="24"/>
        </w:rPr>
        <w:t xml:space="preserve"> literacy </w:t>
      </w:r>
      <w:r w:rsidRPr="00726299">
        <w:rPr>
          <w:rFonts w:asciiTheme="minorBidi" w:hAnsiTheme="minorBidi"/>
          <w:sz w:val="24"/>
          <w:szCs w:val="24"/>
          <w:highlight w:val="yellow"/>
        </w:rPr>
        <w:t>(Mehta et al., 2020)</w:t>
      </w:r>
      <w:r w:rsidRPr="00237EE2">
        <w:rPr>
          <w:rFonts w:asciiTheme="minorBidi" w:hAnsiTheme="minorBidi"/>
          <w:sz w:val="24"/>
          <w:szCs w:val="24"/>
        </w:rPr>
        <w:t xml:space="preserve"> or, alternatively, </w:t>
      </w:r>
      <w:r w:rsidR="00565CBA">
        <w:rPr>
          <w:rFonts w:asciiTheme="minorBidi" w:hAnsiTheme="minorBidi"/>
          <w:sz w:val="24"/>
          <w:szCs w:val="24"/>
        </w:rPr>
        <w:t xml:space="preserve">may </w:t>
      </w:r>
      <w:r w:rsidRPr="00237EE2">
        <w:rPr>
          <w:rFonts w:asciiTheme="minorBidi" w:hAnsiTheme="minorBidi"/>
          <w:sz w:val="24"/>
          <w:szCs w:val="24"/>
        </w:rPr>
        <w:t xml:space="preserve">avoid online treatment due to language </w:t>
      </w:r>
      <w:r w:rsidR="00425BB9">
        <w:rPr>
          <w:rFonts w:asciiTheme="minorBidi" w:hAnsiTheme="minorBidi"/>
          <w:sz w:val="24"/>
          <w:szCs w:val="24"/>
        </w:rPr>
        <w:t>barriers</w:t>
      </w:r>
      <w:r w:rsidRPr="00237EE2">
        <w:rPr>
          <w:rFonts w:asciiTheme="minorBidi" w:hAnsiTheme="minorBidi"/>
          <w:sz w:val="24"/>
          <w:szCs w:val="24"/>
        </w:rPr>
        <w:t xml:space="preserve"> and living in rural areas</w:t>
      </w:r>
      <w:r w:rsidR="00DE31ED">
        <w:rPr>
          <w:rFonts w:asciiTheme="minorBidi" w:hAnsiTheme="minorBidi"/>
          <w:sz w:val="24"/>
          <w:szCs w:val="24"/>
        </w:rPr>
        <w:t>.</w:t>
      </w:r>
      <w:r w:rsidR="00425BB9" w:rsidRPr="00425BB9">
        <w:rPr>
          <w:rFonts w:ascii="Arial" w:eastAsia="Calibri" w:hAnsi="Arial" w:cs="Arial"/>
          <w:sz w:val="24"/>
          <w:szCs w:val="24"/>
          <w:vertAlign w:val="superscript"/>
          <w:rtl/>
        </w:rPr>
        <w:fldChar w:fldCharType="begin" w:fldLock="1"/>
      </w:r>
      <w:r w:rsidR="00425BB9" w:rsidRPr="00425BB9">
        <w:rPr>
          <w:rFonts w:ascii="Arial" w:eastAsia="Calibri" w:hAnsi="Arial" w:cs="Arial"/>
          <w:sz w:val="24"/>
          <w:szCs w:val="24"/>
          <w:vertAlign w:val="superscript"/>
        </w:rPr>
        <w:instrText>ADDIN CSL_CITATION {"citationItems":[{"id":"ITEM-1","itemData":{"DOI":"10.3390/jcm12196160","ISSN":"20770383","abstract":"Background: One aspect of the distancing measures imposed in response to the COVID-19 pandemic is that telemedicine consultations have increased exponentially. Among these consultations, the assessment and follow-up of patients with chronic diseases in a non-presential setting has been strengthened considerably. Nevertheless, some controversy remains about the most suitable means of patient follow-up. Objective: To analyze the impact of the telemedicine measures implemented during the COVID-19 period on chronic patients. Material and Methods: A systematic review was carried out using the following databases: PubMed, Pro-Quest, and Scopus. The systematic review followed the guidelines outlined in the Preferred Reporting Items for Systematic Reviews and Meta-Analyses (PRISMA). The search equation utilized descriptors sourced from the Medical Subject Headings (MeSH) thesaurus. The search equation was: “hypertension AND older AND primary care AND (COVID-19 OR coronavirus)” and its Spanish equivalent. Results: The following data were obtained: 14 articles provided data on 6,109,628 patients and another 4 articles focused on a study population of 9684 physicians. Telemedicine was less likely to be used by elderly patients (OR 0.85; 95% C.I. 0.83–0.88; p = 0.05), those of Asian race (OR 0.69; 95% C.I. 0.66–0.73; p = 0.05), and those whose native language was not English (OR 0.89; 95% C.I. 0.78–0.9; p = 0.05). In primary care, lower use of telemedicine was associated with residents of rural areas (OR 0.81; p = 0.05), patients of African American race (OR 0.65, p = 0.05), and others (OR 0.64; p = 0.05). A high proportion (40%) of physicians had no prior training in telemedicine techniques. The highest quality in terms of telephone consultation was significantly associated with physicians who did not increase their prescription of antibiotherapy during the pandemic (OR = 0.30, p = 0.05) or prescribe more tests (OR 0.06 p = 0.05), i.e., who maintained their former clinical criteria despite COVID-19. Conclusions: Telemedicine is of proven value and has been especially useful in the COVID-19 pandemic. A mixed remote–presential model is most efficient. Appropriate training in this area for physicians and patients, together with correct provision, is essential to prevent errors in implementation and use.","author":[{"dropping-particle":"","family":"Quesada-Caballero","given":"Miguel","non-dropping-particle":"","parse-names":false,"suffix":""},{"dropping-particle":"","family":"Carmona-García","given":"Ana","non-dropping-particle":"","parse-names":false,"suffix":""},{"dropping-particle":"","family":"Chami-Peña","given":"Sara","non-dropping-particle":"","parse-names":false,"suffix":""},{"dropping-particle":"","family":"Caballero-Mateos","given":"Antonio M.","non-dropping-particle":"","parse-names":false,"suffix":""},{"dropping-particle":"","family":"Fernández-Martín","given":"Oscar","non-dropping-particle":"","parse-names":false,"suffix":""},{"dropping-particle":"","family":"Cañadas-De la Fuente","given":"Guillermo A.","non-dropping-particle":"","parse-names":false,"suffix":""},{"dropping-particle":"","family":"Romero-Bejar","given":"José Luis","non-dropping-particle":"","parse-names":false,"suffix":""}],"container-title":"Journal of Clinical Medicine","id":"ITEM-1","issue":"19","issued":{"date-parts":[["2023"]]},"title":"Telemedicine in Elderly Hypertensive and Patients with Chronic Diseases during the COVID-19 Pandemic: A Systematic Review and Meta-Analysis","type":"article-journal","volume":"12"},"uris":["http://www.mendeley.com/documents/?uuid=95b4d3f1-1170-4207-a126-462d870ee79e","http://www.mendeley.com/documents/?uuid=b38abca3-a6cd-4310-bfc7-710712ed54f7"]}],"mendeley":{"formattedCitation":"(15)","manualFormatting":"(15","plainTextFormattedCitation":"(15)","previouslyFormattedCitation":"(Quesada-Caballero et al., 2023)"},"properties":{"noteIndex":0},"schema":"https://github.com/citation-style-language/schema/raw/master/csl-citation.json"}</w:instrText>
      </w:r>
      <w:r w:rsidR="00425BB9" w:rsidRPr="00425BB9">
        <w:rPr>
          <w:rFonts w:ascii="Arial" w:eastAsia="Calibri" w:hAnsi="Arial" w:cs="Arial"/>
          <w:sz w:val="24"/>
          <w:szCs w:val="24"/>
          <w:vertAlign w:val="superscript"/>
          <w:rtl/>
        </w:rPr>
        <w:fldChar w:fldCharType="separate"/>
      </w:r>
      <w:r w:rsidR="00425BB9" w:rsidRPr="00425BB9">
        <w:rPr>
          <w:rFonts w:ascii="Arial" w:eastAsia="Calibri" w:hAnsi="Arial" w:cs="Arial"/>
          <w:noProof/>
          <w:sz w:val="24"/>
          <w:szCs w:val="24"/>
          <w:vertAlign w:val="superscript"/>
        </w:rPr>
        <w:t>15</w:t>
      </w:r>
      <w:r w:rsidR="00425BB9" w:rsidRPr="00425BB9">
        <w:rPr>
          <w:rFonts w:ascii="Arial" w:eastAsia="Calibri" w:hAnsi="Arial" w:cs="Arial"/>
          <w:sz w:val="24"/>
          <w:szCs w:val="24"/>
          <w:vertAlign w:val="superscript"/>
          <w:rtl/>
        </w:rPr>
        <w:fldChar w:fldCharType="end"/>
      </w:r>
    </w:p>
    <w:p w14:paraId="21262D0D" w14:textId="081308AF" w:rsidR="00A95924" w:rsidRDefault="00237EE2" w:rsidP="00565CBA">
      <w:pPr>
        <w:spacing w:line="480" w:lineRule="auto"/>
        <w:jc w:val="both"/>
        <w:rPr>
          <w:rFonts w:asciiTheme="minorBidi" w:hAnsiTheme="minorBidi"/>
          <w:sz w:val="24"/>
          <w:szCs w:val="24"/>
        </w:rPr>
      </w:pPr>
      <w:r w:rsidRPr="00237EE2">
        <w:rPr>
          <w:rFonts w:asciiTheme="minorBidi" w:hAnsiTheme="minorBidi"/>
          <w:sz w:val="24"/>
          <w:szCs w:val="24"/>
        </w:rPr>
        <w:t xml:space="preserve">Despite the significant development of </w:t>
      </w:r>
      <w:r w:rsidR="003402EB">
        <w:rPr>
          <w:rFonts w:asciiTheme="minorBidi" w:hAnsiTheme="minorBidi"/>
          <w:sz w:val="24"/>
          <w:szCs w:val="24"/>
        </w:rPr>
        <w:t>OHS</w:t>
      </w:r>
      <w:r w:rsidRPr="00237EE2">
        <w:rPr>
          <w:rFonts w:asciiTheme="minorBidi" w:hAnsiTheme="minorBidi"/>
          <w:sz w:val="24"/>
          <w:szCs w:val="24"/>
        </w:rPr>
        <w:t xml:space="preserve">, </w:t>
      </w:r>
      <w:r w:rsidR="003402EB">
        <w:rPr>
          <w:rFonts w:asciiTheme="minorBidi" w:hAnsiTheme="minorBidi"/>
          <w:sz w:val="24"/>
          <w:szCs w:val="24"/>
        </w:rPr>
        <w:t>in</w:t>
      </w:r>
      <w:r w:rsidRPr="00237EE2">
        <w:rPr>
          <w:rFonts w:asciiTheme="minorBidi" w:hAnsiTheme="minorBidi"/>
          <w:sz w:val="24"/>
          <w:szCs w:val="24"/>
        </w:rPr>
        <w:t>formation</w:t>
      </w:r>
      <w:r w:rsidR="003402EB">
        <w:rPr>
          <w:rFonts w:asciiTheme="minorBidi" w:hAnsiTheme="minorBidi"/>
          <w:sz w:val="24"/>
          <w:szCs w:val="24"/>
        </w:rPr>
        <w:t xml:space="preserve"> is still lacking</w:t>
      </w:r>
      <w:r w:rsidRPr="00237EE2">
        <w:rPr>
          <w:rFonts w:asciiTheme="minorBidi" w:hAnsiTheme="minorBidi"/>
          <w:sz w:val="24"/>
          <w:szCs w:val="24"/>
        </w:rPr>
        <w:t xml:space="preserve"> </w:t>
      </w:r>
      <w:r w:rsidR="003402EB">
        <w:rPr>
          <w:rFonts w:asciiTheme="minorBidi" w:hAnsiTheme="minorBidi"/>
          <w:sz w:val="24"/>
          <w:szCs w:val="24"/>
        </w:rPr>
        <w:t>regarding</w:t>
      </w:r>
      <w:r w:rsidRPr="00237EE2">
        <w:rPr>
          <w:rFonts w:asciiTheme="minorBidi" w:hAnsiTheme="minorBidi"/>
          <w:sz w:val="24"/>
          <w:szCs w:val="24"/>
        </w:rPr>
        <w:t xml:space="preserve"> patients' attitudes toward </w:t>
      </w:r>
      <w:r w:rsidR="003402EB">
        <w:rPr>
          <w:rFonts w:asciiTheme="minorBidi" w:hAnsiTheme="minorBidi"/>
          <w:sz w:val="24"/>
          <w:szCs w:val="24"/>
        </w:rPr>
        <w:t>OHS</w:t>
      </w:r>
      <w:r w:rsidR="00565CBA">
        <w:rPr>
          <w:rFonts w:asciiTheme="minorBidi" w:hAnsiTheme="minorBidi"/>
          <w:sz w:val="24"/>
          <w:szCs w:val="24"/>
        </w:rPr>
        <w:t>,</w:t>
      </w:r>
      <w:r w:rsidRPr="00237EE2">
        <w:rPr>
          <w:rFonts w:asciiTheme="minorBidi" w:hAnsiTheme="minorBidi"/>
          <w:sz w:val="24"/>
          <w:szCs w:val="24"/>
        </w:rPr>
        <w:t xml:space="preserve"> </w:t>
      </w:r>
      <w:r w:rsidR="003402EB">
        <w:rPr>
          <w:rFonts w:asciiTheme="minorBidi" w:hAnsiTheme="minorBidi"/>
          <w:sz w:val="24"/>
          <w:szCs w:val="24"/>
        </w:rPr>
        <w:t>the</w:t>
      </w:r>
      <w:r w:rsidRPr="00237EE2">
        <w:rPr>
          <w:rFonts w:asciiTheme="minorBidi" w:hAnsiTheme="minorBidi"/>
          <w:sz w:val="24"/>
          <w:szCs w:val="24"/>
        </w:rPr>
        <w:t xml:space="preserve"> </w:t>
      </w:r>
      <w:r w:rsidR="00565CBA">
        <w:rPr>
          <w:rFonts w:asciiTheme="minorBidi" w:hAnsiTheme="minorBidi"/>
          <w:sz w:val="24"/>
          <w:szCs w:val="24"/>
        </w:rPr>
        <w:t>role</w:t>
      </w:r>
      <w:r w:rsidRPr="00237EE2">
        <w:rPr>
          <w:rFonts w:asciiTheme="minorBidi" w:hAnsiTheme="minorBidi"/>
          <w:sz w:val="24"/>
          <w:szCs w:val="24"/>
        </w:rPr>
        <w:t xml:space="preserve"> </w:t>
      </w:r>
      <w:r w:rsidR="00565CBA">
        <w:rPr>
          <w:rFonts w:asciiTheme="minorBidi" w:hAnsiTheme="minorBidi"/>
          <w:sz w:val="24"/>
          <w:szCs w:val="24"/>
        </w:rPr>
        <w:t xml:space="preserve">of </w:t>
      </w:r>
      <w:r w:rsidRPr="00237EE2">
        <w:rPr>
          <w:rFonts w:asciiTheme="minorBidi" w:hAnsiTheme="minorBidi"/>
          <w:sz w:val="24"/>
          <w:szCs w:val="24"/>
        </w:rPr>
        <w:t>socio-demographic characteristics</w:t>
      </w:r>
      <w:r w:rsidR="003402EB">
        <w:rPr>
          <w:rFonts w:asciiTheme="minorBidi" w:hAnsiTheme="minorBidi"/>
          <w:sz w:val="24"/>
          <w:szCs w:val="24"/>
        </w:rPr>
        <w:t xml:space="preserve">, </w:t>
      </w:r>
      <w:r w:rsidR="00565CBA">
        <w:rPr>
          <w:rFonts w:asciiTheme="minorBidi" w:hAnsiTheme="minorBidi"/>
          <w:sz w:val="24"/>
          <w:szCs w:val="24"/>
        </w:rPr>
        <w:t>and</w:t>
      </w:r>
      <w:r w:rsidRPr="00237EE2">
        <w:rPr>
          <w:rFonts w:asciiTheme="minorBidi" w:hAnsiTheme="minorBidi"/>
          <w:sz w:val="24"/>
          <w:szCs w:val="24"/>
        </w:rPr>
        <w:t xml:space="preserve"> the factors that may increase </w:t>
      </w:r>
      <w:r w:rsidR="00F37C45">
        <w:rPr>
          <w:rFonts w:asciiTheme="minorBidi" w:hAnsiTheme="minorBidi"/>
          <w:sz w:val="24"/>
          <w:szCs w:val="24"/>
        </w:rPr>
        <w:t xml:space="preserve">OHS </w:t>
      </w:r>
      <w:r w:rsidR="002D6A62">
        <w:rPr>
          <w:rFonts w:asciiTheme="minorBidi" w:hAnsiTheme="minorBidi"/>
          <w:sz w:val="24"/>
          <w:szCs w:val="24"/>
        </w:rPr>
        <w:t>use</w:t>
      </w:r>
      <w:r w:rsidRPr="00237EE2">
        <w:rPr>
          <w:rFonts w:asciiTheme="minorBidi" w:hAnsiTheme="minorBidi"/>
          <w:sz w:val="24"/>
          <w:szCs w:val="24"/>
        </w:rPr>
        <w:t>.</w:t>
      </w:r>
    </w:p>
    <w:p w14:paraId="3CA86421" w14:textId="77777777" w:rsidR="00921A53" w:rsidRDefault="00921A53" w:rsidP="00377FE4">
      <w:pPr>
        <w:spacing w:line="480" w:lineRule="auto"/>
        <w:jc w:val="both"/>
        <w:rPr>
          <w:rFonts w:asciiTheme="minorBidi" w:hAnsiTheme="minorBidi"/>
          <w:b/>
          <w:bCs/>
          <w:sz w:val="24"/>
          <w:szCs w:val="24"/>
        </w:rPr>
      </w:pPr>
    </w:p>
    <w:p w14:paraId="0652C540" w14:textId="5151A1B8" w:rsidR="00921A53" w:rsidRPr="00921A53" w:rsidRDefault="00921A53" w:rsidP="00377FE4">
      <w:pPr>
        <w:spacing w:line="480" w:lineRule="auto"/>
        <w:jc w:val="both"/>
        <w:rPr>
          <w:rFonts w:asciiTheme="minorBidi" w:hAnsiTheme="minorBidi"/>
          <w:b/>
          <w:bCs/>
          <w:sz w:val="24"/>
          <w:szCs w:val="24"/>
        </w:rPr>
      </w:pPr>
      <w:r w:rsidRPr="00921A53">
        <w:rPr>
          <w:rFonts w:asciiTheme="minorBidi" w:hAnsiTheme="minorBidi"/>
          <w:b/>
          <w:bCs/>
          <w:sz w:val="24"/>
          <w:szCs w:val="24"/>
        </w:rPr>
        <w:t>Study goal</w:t>
      </w:r>
    </w:p>
    <w:p w14:paraId="509B142D" w14:textId="678FE2B7" w:rsidR="00F37C45" w:rsidRDefault="00921A53" w:rsidP="00921A53">
      <w:pPr>
        <w:spacing w:line="480" w:lineRule="auto"/>
        <w:jc w:val="both"/>
        <w:rPr>
          <w:rFonts w:asciiTheme="minorBidi" w:hAnsiTheme="minorBidi"/>
          <w:sz w:val="24"/>
          <w:szCs w:val="24"/>
        </w:rPr>
      </w:pPr>
      <w:r>
        <w:rPr>
          <w:rFonts w:asciiTheme="minorBidi" w:hAnsiTheme="minorBidi"/>
          <w:sz w:val="24"/>
          <w:szCs w:val="24"/>
        </w:rPr>
        <w:t>T</w:t>
      </w:r>
      <w:r w:rsidR="00A17AF9" w:rsidRPr="00A17AF9">
        <w:rPr>
          <w:rFonts w:asciiTheme="minorBidi" w:hAnsiTheme="minorBidi"/>
          <w:sz w:val="24"/>
          <w:szCs w:val="24"/>
        </w:rPr>
        <w:t xml:space="preserve">o describe attitudes and behaviors </w:t>
      </w:r>
      <w:r w:rsidR="00377FE4">
        <w:rPr>
          <w:rFonts w:asciiTheme="minorBidi" w:hAnsiTheme="minorBidi"/>
          <w:sz w:val="24"/>
          <w:szCs w:val="24"/>
        </w:rPr>
        <w:t>related to</w:t>
      </w:r>
      <w:r w:rsidR="00A17AF9" w:rsidRPr="00A17AF9">
        <w:rPr>
          <w:rFonts w:asciiTheme="minorBidi" w:hAnsiTheme="minorBidi"/>
          <w:sz w:val="24"/>
          <w:szCs w:val="24"/>
        </w:rPr>
        <w:t xml:space="preserve"> </w:t>
      </w:r>
      <w:r w:rsidR="00945B14">
        <w:rPr>
          <w:rFonts w:asciiTheme="minorBidi" w:hAnsiTheme="minorBidi"/>
          <w:sz w:val="24"/>
          <w:szCs w:val="24"/>
        </w:rPr>
        <w:t xml:space="preserve">OHS </w:t>
      </w:r>
      <w:r w:rsidR="002D6A62">
        <w:rPr>
          <w:rFonts w:asciiTheme="minorBidi" w:hAnsiTheme="minorBidi"/>
          <w:sz w:val="24"/>
          <w:szCs w:val="24"/>
        </w:rPr>
        <w:t>use</w:t>
      </w:r>
      <w:r w:rsidR="00A17AF9" w:rsidRPr="00A17AF9">
        <w:rPr>
          <w:rFonts w:asciiTheme="minorBidi" w:hAnsiTheme="minorBidi"/>
          <w:sz w:val="24"/>
          <w:szCs w:val="24"/>
        </w:rPr>
        <w:t xml:space="preserve"> and identify variables that explain </w:t>
      </w:r>
      <w:r>
        <w:rPr>
          <w:rFonts w:asciiTheme="minorBidi" w:hAnsiTheme="minorBidi"/>
          <w:sz w:val="24"/>
          <w:szCs w:val="24"/>
        </w:rPr>
        <w:t>it</w:t>
      </w:r>
      <w:r w:rsidR="00A17AF9" w:rsidRPr="00A17AF9">
        <w:rPr>
          <w:rFonts w:asciiTheme="minorBidi" w:hAnsiTheme="minorBidi"/>
          <w:sz w:val="24"/>
          <w:szCs w:val="24"/>
        </w:rPr>
        <w:t>.</w:t>
      </w:r>
    </w:p>
    <w:p w14:paraId="0810C499" w14:textId="77777777" w:rsidR="00921A53" w:rsidRDefault="00921A53" w:rsidP="00377FE4">
      <w:pPr>
        <w:spacing w:line="480" w:lineRule="auto"/>
        <w:jc w:val="both"/>
        <w:rPr>
          <w:rFonts w:asciiTheme="minorBidi" w:hAnsiTheme="minorBidi"/>
          <w:b/>
          <w:bCs/>
          <w:sz w:val="24"/>
          <w:szCs w:val="24"/>
        </w:rPr>
      </w:pPr>
    </w:p>
    <w:p w14:paraId="6861F4FC" w14:textId="77777777" w:rsidR="00377FE4" w:rsidRDefault="00D02F92" w:rsidP="00377FE4">
      <w:pPr>
        <w:spacing w:line="480" w:lineRule="auto"/>
        <w:jc w:val="both"/>
        <w:rPr>
          <w:rFonts w:asciiTheme="minorBidi" w:hAnsiTheme="minorBidi"/>
          <w:b/>
          <w:bCs/>
          <w:sz w:val="24"/>
          <w:szCs w:val="24"/>
        </w:rPr>
      </w:pPr>
      <w:r w:rsidRPr="00D02F92">
        <w:rPr>
          <w:rFonts w:asciiTheme="minorBidi" w:hAnsiTheme="minorBidi"/>
          <w:b/>
          <w:bCs/>
          <w:sz w:val="24"/>
          <w:szCs w:val="24"/>
        </w:rPr>
        <w:lastRenderedPageBreak/>
        <w:t>Method</w:t>
      </w:r>
    </w:p>
    <w:p w14:paraId="1100644E" w14:textId="6D5508B2" w:rsidR="00D02F92" w:rsidRDefault="00347E7F" w:rsidP="009D19C5">
      <w:pPr>
        <w:spacing w:line="480" w:lineRule="auto"/>
        <w:jc w:val="both"/>
        <w:rPr>
          <w:rFonts w:asciiTheme="minorBidi" w:hAnsiTheme="minorBidi"/>
          <w:sz w:val="24"/>
          <w:szCs w:val="24"/>
        </w:rPr>
      </w:pPr>
      <w:r w:rsidRPr="00347E7F">
        <w:rPr>
          <w:rFonts w:asciiTheme="minorBidi" w:hAnsiTheme="minorBidi"/>
          <w:sz w:val="24"/>
          <w:szCs w:val="24"/>
        </w:rPr>
        <w:t xml:space="preserve">A descriptive cross-sectional study </w:t>
      </w:r>
      <w:r w:rsidR="001C571E">
        <w:rPr>
          <w:rFonts w:asciiTheme="minorBidi" w:hAnsiTheme="minorBidi"/>
          <w:sz w:val="24"/>
          <w:szCs w:val="24"/>
        </w:rPr>
        <w:t xml:space="preserve">was conducted </w:t>
      </w:r>
      <w:r w:rsidRPr="00347E7F">
        <w:rPr>
          <w:rFonts w:asciiTheme="minorBidi" w:hAnsiTheme="minorBidi"/>
          <w:sz w:val="24"/>
          <w:szCs w:val="24"/>
        </w:rPr>
        <w:t xml:space="preserve">among </w:t>
      </w:r>
      <w:r w:rsidR="00DE31ED">
        <w:rPr>
          <w:rFonts w:asciiTheme="minorBidi" w:hAnsiTheme="minorBidi"/>
          <w:sz w:val="24"/>
          <w:szCs w:val="24"/>
        </w:rPr>
        <w:t>older</w:t>
      </w:r>
      <w:r w:rsidR="00D73295">
        <w:rPr>
          <w:rFonts w:asciiTheme="minorBidi" w:hAnsiTheme="minorBidi"/>
          <w:sz w:val="24"/>
          <w:szCs w:val="24"/>
        </w:rPr>
        <w:t xml:space="preserve">, </w:t>
      </w:r>
      <w:r w:rsidRPr="00347E7F">
        <w:rPr>
          <w:rFonts w:asciiTheme="minorBidi" w:hAnsiTheme="minorBidi"/>
          <w:sz w:val="24"/>
          <w:szCs w:val="24"/>
        </w:rPr>
        <w:t>Hebrew-speaking</w:t>
      </w:r>
      <w:r w:rsidR="00D73295">
        <w:rPr>
          <w:rFonts w:asciiTheme="minorBidi" w:hAnsiTheme="minorBidi"/>
          <w:sz w:val="24"/>
          <w:szCs w:val="24"/>
        </w:rPr>
        <w:t>,</w:t>
      </w:r>
      <w:r w:rsidRPr="00347E7F">
        <w:rPr>
          <w:rFonts w:asciiTheme="minorBidi" w:hAnsiTheme="minorBidi"/>
          <w:sz w:val="24"/>
          <w:szCs w:val="24"/>
        </w:rPr>
        <w:t xml:space="preserve"> </w:t>
      </w:r>
      <w:r>
        <w:rPr>
          <w:rFonts w:asciiTheme="minorBidi" w:hAnsiTheme="minorBidi"/>
          <w:sz w:val="24"/>
          <w:szCs w:val="24"/>
        </w:rPr>
        <w:t>computer-literate individuals</w:t>
      </w:r>
      <w:r w:rsidRPr="00347E7F">
        <w:rPr>
          <w:rFonts w:asciiTheme="minorBidi" w:hAnsiTheme="minorBidi"/>
          <w:sz w:val="24"/>
          <w:szCs w:val="24"/>
        </w:rPr>
        <w:t xml:space="preserve">. Data was collected </w:t>
      </w:r>
      <w:r w:rsidR="00657696">
        <w:rPr>
          <w:rFonts w:asciiTheme="minorBidi" w:hAnsiTheme="minorBidi"/>
          <w:sz w:val="24"/>
          <w:szCs w:val="24"/>
        </w:rPr>
        <w:t>between April and May 2020</w:t>
      </w:r>
      <w:r w:rsidRPr="00347E7F">
        <w:rPr>
          <w:rFonts w:asciiTheme="minorBidi" w:hAnsiTheme="minorBidi"/>
          <w:sz w:val="24"/>
          <w:szCs w:val="24"/>
        </w:rPr>
        <w:t xml:space="preserve"> </w:t>
      </w:r>
      <w:r w:rsidR="003B499E" w:rsidRPr="00347E7F">
        <w:rPr>
          <w:rFonts w:asciiTheme="minorBidi" w:hAnsiTheme="minorBidi"/>
          <w:sz w:val="24"/>
          <w:szCs w:val="24"/>
        </w:rPr>
        <w:t xml:space="preserve">via an internet questionnaire </w:t>
      </w:r>
      <w:r w:rsidR="007879D1">
        <w:rPr>
          <w:rFonts w:asciiTheme="minorBidi" w:hAnsiTheme="minorBidi"/>
          <w:sz w:val="24"/>
          <w:szCs w:val="24"/>
        </w:rPr>
        <w:t xml:space="preserve">after obtaining </w:t>
      </w:r>
      <w:r w:rsidRPr="00347E7F">
        <w:rPr>
          <w:rFonts w:asciiTheme="minorBidi" w:hAnsiTheme="minorBidi"/>
          <w:sz w:val="24"/>
          <w:szCs w:val="24"/>
        </w:rPr>
        <w:t xml:space="preserve">ethical committee </w:t>
      </w:r>
      <w:r w:rsidR="007879D1">
        <w:rPr>
          <w:rFonts w:asciiTheme="minorBidi" w:hAnsiTheme="minorBidi"/>
          <w:sz w:val="24"/>
          <w:szCs w:val="24"/>
        </w:rPr>
        <w:t>approval</w:t>
      </w:r>
      <w:r w:rsidRPr="00347E7F">
        <w:rPr>
          <w:rFonts w:asciiTheme="minorBidi" w:hAnsiTheme="minorBidi"/>
          <w:sz w:val="24"/>
          <w:szCs w:val="24"/>
        </w:rPr>
        <w:t>.</w:t>
      </w:r>
      <w:r w:rsidR="00217D63" w:rsidRPr="00217D63">
        <w:rPr>
          <w:rFonts w:asciiTheme="minorBidi" w:hAnsiTheme="minorBidi"/>
          <w:sz w:val="24"/>
          <w:szCs w:val="24"/>
        </w:rPr>
        <w:t xml:space="preserve"> </w:t>
      </w:r>
      <w:r w:rsidR="00D73295">
        <w:rPr>
          <w:rFonts w:asciiTheme="minorBidi" w:hAnsiTheme="minorBidi"/>
          <w:sz w:val="24"/>
          <w:szCs w:val="24"/>
        </w:rPr>
        <w:t>A</w:t>
      </w:r>
      <w:r w:rsidR="00217D63" w:rsidRPr="00217D63">
        <w:rPr>
          <w:rFonts w:asciiTheme="minorBidi" w:hAnsiTheme="minorBidi"/>
          <w:sz w:val="24"/>
          <w:szCs w:val="24"/>
        </w:rPr>
        <w:t xml:space="preserve"> pilot study was conducted</w:t>
      </w:r>
      <w:r w:rsidR="00D73295" w:rsidRPr="00D73295">
        <w:rPr>
          <w:rFonts w:asciiTheme="minorBidi" w:hAnsiTheme="minorBidi"/>
          <w:sz w:val="24"/>
          <w:szCs w:val="24"/>
        </w:rPr>
        <w:t xml:space="preserve"> </w:t>
      </w:r>
      <w:r w:rsidR="00D73295">
        <w:rPr>
          <w:rFonts w:asciiTheme="minorBidi" w:hAnsiTheme="minorBidi"/>
          <w:sz w:val="24"/>
          <w:szCs w:val="24"/>
        </w:rPr>
        <w:t>p</w:t>
      </w:r>
      <w:r w:rsidR="00D73295" w:rsidRPr="00217D63">
        <w:rPr>
          <w:rFonts w:asciiTheme="minorBidi" w:hAnsiTheme="minorBidi"/>
          <w:sz w:val="24"/>
          <w:szCs w:val="24"/>
        </w:rPr>
        <w:t>rior to data collection</w:t>
      </w:r>
      <w:r w:rsidR="00217D63" w:rsidRPr="00217D63">
        <w:rPr>
          <w:rFonts w:asciiTheme="minorBidi" w:hAnsiTheme="minorBidi"/>
          <w:sz w:val="24"/>
          <w:szCs w:val="24"/>
        </w:rPr>
        <w:t xml:space="preserve"> to assess the clarity of the questionnaire.</w:t>
      </w:r>
      <w:r w:rsidRPr="00347E7F">
        <w:rPr>
          <w:rFonts w:asciiTheme="minorBidi" w:hAnsiTheme="minorBidi"/>
          <w:sz w:val="24"/>
          <w:szCs w:val="24"/>
        </w:rPr>
        <w:t xml:space="preserve"> </w:t>
      </w:r>
      <w:r w:rsidR="00E605C8" w:rsidRPr="00E605C8">
        <w:rPr>
          <w:rFonts w:asciiTheme="minorBidi" w:hAnsiTheme="minorBidi"/>
          <w:sz w:val="24"/>
          <w:szCs w:val="24"/>
        </w:rPr>
        <w:t xml:space="preserve">Participants were recruited through convenience sampling </w:t>
      </w:r>
      <w:r w:rsidR="00A73282">
        <w:rPr>
          <w:rFonts w:asciiTheme="minorBidi" w:hAnsiTheme="minorBidi"/>
          <w:sz w:val="24"/>
          <w:szCs w:val="24"/>
        </w:rPr>
        <w:t>from</w:t>
      </w:r>
      <w:r w:rsidR="00E605C8" w:rsidRPr="00E605C8">
        <w:rPr>
          <w:rFonts w:asciiTheme="minorBidi" w:hAnsiTheme="minorBidi"/>
          <w:sz w:val="24"/>
          <w:szCs w:val="24"/>
        </w:rPr>
        <w:t xml:space="preserve"> general </w:t>
      </w:r>
      <w:r w:rsidR="00A73282">
        <w:rPr>
          <w:rFonts w:asciiTheme="minorBidi" w:hAnsiTheme="minorBidi"/>
          <w:sz w:val="24"/>
          <w:szCs w:val="24"/>
        </w:rPr>
        <w:t>web</w:t>
      </w:r>
      <w:r w:rsidR="00E605C8" w:rsidRPr="00E605C8">
        <w:rPr>
          <w:rFonts w:asciiTheme="minorBidi" w:hAnsiTheme="minorBidi"/>
          <w:sz w:val="24"/>
          <w:szCs w:val="24"/>
        </w:rPr>
        <w:t xml:space="preserve">sites, as well as two major websites </w:t>
      </w:r>
      <w:r w:rsidR="00A73282">
        <w:rPr>
          <w:rFonts w:asciiTheme="minorBidi" w:hAnsiTheme="minorBidi"/>
          <w:sz w:val="24"/>
          <w:szCs w:val="24"/>
        </w:rPr>
        <w:t>for chronic patients</w:t>
      </w:r>
      <w:r w:rsidR="00E605C8" w:rsidRPr="00E605C8">
        <w:rPr>
          <w:rFonts w:asciiTheme="minorBidi" w:hAnsiTheme="minorBidi"/>
          <w:sz w:val="24"/>
          <w:szCs w:val="24"/>
        </w:rPr>
        <w:t xml:space="preserve">: </w:t>
      </w:r>
      <w:proofErr w:type="spellStart"/>
      <w:r w:rsidR="00D73295">
        <w:rPr>
          <w:rFonts w:asciiTheme="minorBidi" w:hAnsiTheme="minorBidi" w:hint="cs"/>
          <w:sz w:val="24"/>
          <w:szCs w:val="24"/>
        </w:rPr>
        <w:t>C</w:t>
      </w:r>
      <w:r w:rsidR="00E605C8" w:rsidRPr="00E605C8">
        <w:rPr>
          <w:rFonts w:asciiTheme="minorBidi" w:hAnsiTheme="minorBidi"/>
          <w:sz w:val="24"/>
          <w:szCs w:val="24"/>
        </w:rPr>
        <w:t>amoni</w:t>
      </w:r>
      <w:proofErr w:type="spellEnd"/>
      <w:r w:rsidR="00E605C8" w:rsidRPr="00E605C8">
        <w:rPr>
          <w:rFonts w:asciiTheme="minorBidi" w:hAnsiTheme="minorBidi"/>
          <w:sz w:val="24"/>
          <w:szCs w:val="24"/>
        </w:rPr>
        <w:t xml:space="preserve"> and </w:t>
      </w:r>
      <w:proofErr w:type="spellStart"/>
      <w:r w:rsidR="00E605C8" w:rsidRPr="00E605C8">
        <w:rPr>
          <w:rFonts w:asciiTheme="minorBidi" w:hAnsiTheme="minorBidi"/>
          <w:sz w:val="24"/>
          <w:szCs w:val="24"/>
        </w:rPr>
        <w:t>Motke</w:t>
      </w:r>
      <w:proofErr w:type="spellEnd"/>
      <w:r w:rsidR="00E605C8" w:rsidRPr="00E605C8">
        <w:rPr>
          <w:rFonts w:asciiTheme="minorBidi" w:hAnsiTheme="minorBidi"/>
          <w:sz w:val="24"/>
          <w:szCs w:val="24"/>
        </w:rPr>
        <w:t>, which provide</w:t>
      </w:r>
      <w:r w:rsidR="00D73295">
        <w:rPr>
          <w:rFonts w:asciiTheme="minorBidi" w:hAnsiTheme="minorBidi"/>
          <w:sz w:val="24"/>
          <w:szCs w:val="24"/>
        </w:rPr>
        <w:t>s</w:t>
      </w:r>
      <w:r w:rsidR="00E605C8" w:rsidRPr="00E605C8">
        <w:rPr>
          <w:rFonts w:asciiTheme="minorBidi" w:hAnsiTheme="minorBidi"/>
          <w:sz w:val="24"/>
          <w:szCs w:val="24"/>
        </w:rPr>
        <w:t xml:space="preserve"> information for </w:t>
      </w:r>
      <w:r w:rsidR="00DE31ED">
        <w:rPr>
          <w:rFonts w:asciiTheme="minorBidi" w:hAnsiTheme="minorBidi"/>
          <w:sz w:val="24"/>
          <w:szCs w:val="24"/>
        </w:rPr>
        <w:t>older adults</w:t>
      </w:r>
      <w:r w:rsidR="00E605C8" w:rsidRPr="00E605C8">
        <w:rPr>
          <w:rFonts w:asciiTheme="minorBidi" w:hAnsiTheme="minorBidi"/>
          <w:sz w:val="24"/>
          <w:szCs w:val="24"/>
        </w:rPr>
        <w:t xml:space="preserve">. Respondents were asked </w:t>
      </w:r>
      <w:r w:rsidR="009D19C5">
        <w:rPr>
          <w:rFonts w:asciiTheme="minorBidi" w:hAnsiTheme="minorBidi"/>
          <w:sz w:val="24"/>
          <w:szCs w:val="24"/>
        </w:rPr>
        <w:t>for their</w:t>
      </w:r>
      <w:r w:rsidR="00E605C8" w:rsidRPr="00E605C8">
        <w:rPr>
          <w:rFonts w:asciiTheme="minorBidi" w:hAnsiTheme="minorBidi"/>
          <w:sz w:val="24"/>
          <w:szCs w:val="24"/>
        </w:rPr>
        <w:t xml:space="preserve"> informed consent before completing the full questionnaire.</w:t>
      </w:r>
    </w:p>
    <w:p w14:paraId="5DE0FEDB" w14:textId="77777777" w:rsidR="00E364FF" w:rsidRDefault="00E364FF" w:rsidP="00A73282">
      <w:pPr>
        <w:spacing w:line="480" w:lineRule="auto"/>
        <w:jc w:val="both"/>
        <w:rPr>
          <w:rFonts w:asciiTheme="minorBidi" w:hAnsiTheme="minorBidi"/>
          <w:b/>
          <w:bCs/>
          <w:sz w:val="24"/>
          <w:szCs w:val="24"/>
        </w:rPr>
      </w:pPr>
    </w:p>
    <w:p w14:paraId="5714C85F" w14:textId="14B00E53" w:rsidR="005C61E2" w:rsidRPr="005C61E2" w:rsidRDefault="005C61E2" w:rsidP="00A73282">
      <w:pPr>
        <w:spacing w:line="480" w:lineRule="auto"/>
        <w:jc w:val="both"/>
        <w:rPr>
          <w:rFonts w:asciiTheme="minorBidi" w:hAnsiTheme="minorBidi"/>
          <w:b/>
          <w:bCs/>
          <w:sz w:val="24"/>
          <w:szCs w:val="24"/>
        </w:rPr>
      </w:pPr>
      <w:r w:rsidRPr="004A4096">
        <w:rPr>
          <w:rFonts w:asciiTheme="minorBidi" w:hAnsiTheme="minorBidi"/>
          <w:b/>
          <w:bCs/>
          <w:sz w:val="24"/>
          <w:szCs w:val="24"/>
        </w:rPr>
        <w:t>Study</w:t>
      </w:r>
      <w:r w:rsidRPr="005C61E2">
        <w:rPr>
          <w:rFonts w:asciiTheme="minorBidi" w:hAnsiTheme="minorBidi"/>
          <w:b/>
          <w:bCs/>
          <w:sz w:val="24"/>
          <w:szCs w:val="24"/>
        </w:rPr>
        <w:t xml:space="preserve"> population</w:t>
      </w:r>
      <w:r w:rsidR="00E364FF">
        <w:rPr>
          <w:rFonts w:asciiTheme="minorBidi" w:hAnsiTheme="minorBidi"/>
          <w:b/>
          <w:bCs/>
          <w:sz w:val="24"/>
          <w:szCs w:val="24"/>
        </w:rPr>
        <w:t>:</w:t>
      </w:r>
    </w:p>
    <w:p w14:paraId="5357BBA7" w14:textId="47BDE10B" w:rsidR="008F4FD1" w:rsidRDefault="008F4FD1" w:rsidP="00BC433A">
      <w:pPr>
        <w:spacing w:line="480" w:lineRule="auto"/>
        <w:jc w:val="both"/>
        <w:rPr>
          <w:rFonts w:asciiTheme="minorBidi" w:hAnsiTheme="minorBidi"/>
          <w:sz w:val="24"/>
          <w:szCs w:val="24"/>
        </w:rPr>
      </w:pPr>
      <w:r w:rsidRPr="008F4FD1">
        <w:rPr>
          <w:rFonts w:asciiTheme="minorBidi" w:hAnsiTheme="minorBidi"/>
          <w:sz w:val="24"/>
          <w:szCs w:val="24"/>
        </w:rPr>
        <w:t xml:space="preserve">About 73% of those who opened the link responded to the questionnaire. The final sample included 700 respondents, </w:t>
      </w:r>
      <w:r w:rsidR="00BC433A">
        <w:rPr>
          <w:rFonts w:asciiTheme="minorBidi" w:hAnsiTheme="minorBidi"/>
          <w:sz w:val="24"/>
          <w:szCs w:val="24"/>
        </w:rPr>
        <w:t xml:space="preserve">of which </w:t>
      </w:r>
      <w:r w:rsidRPr="008F4FD1">
        <w:rPr>
          <w:rFonts w:asciiTheme="minorBidi" w:hAnsiTheme="minorBidi"/>
          <w:sz w:val="24"/>
          <w:szCs w:val="24"/>
        </w:rPr>
        <w:t xml:space="preserve">57.4% </w:t>
      </w:r>
      <w:r w:rsidR="00BC433A">
        <w:rPr>
          <w:rFonts w:asciiTheme="minorBidi" w:hAnsiTheme="minorBidi"/>
          <w:sz w:val="24"/>
          <w:szCs w:val="24"/>
        </w:rPr>
        <w:t xml:space="preserve">were </w:t>
      </w:r>
      <w:r w:rsidRPr="008F4FD1">
        <w:rPr>
          <w:rFonts w:asciiTheme="minorBidi" w:hAnsiTheme="minorBidi"/>
          <w:sz w:val="24"/>
          <w:szCs w:val="24"/>
        </w:rPr>
        <w:t xml:space="preserve">women and 42.6% </w:t>
      </w:r>
      <w:r w:rsidR="00BC433A">
        <w:rPr>
          <w:rFonts w:asciiTheme="minorBidi" w:hAnsiTheme="minorBidi"/>
          <w:sz w:val="24"/>
          <w:szCs w:val="24"/>
        </w:rPr>
        <w:t xml:space="preserve">were </w:t>
      </w:r>
      <w:r w:rsidRPr="008F4FD1">
        <w:rPr>
          <w:rFonts w:asciiTheme="minorBidi" w:hAnsiTheme="minorBidi"/>
          <w:sz w:val="24"/>
          <w:szCs w:val="24"/>
        </w:rPr>
        <w:t xml:space="preserve">men. </w:t>
      </w:r>
      <w:r w:rsidR="00FF0A70">
        <w:rPr>
          <w:rFonts w:asciiTheme="minorBidi" w:hAnsiTheme="minorBidi"/>
          <w:sz w:val="24"/>
          <w:szCs w:val="24"/>
        </w:rPr>
        <w:t>Respondents’</w:t>
      </w:r>
      <w:r w:rsidRPr="008F4FD1">
        <w:rPr>
          <w:rFonts w:asciiTheme="minorBidi" w:hAnsiTheme="minorBidi"/>
          <w:sz w:val="24"/>
          <w:szCs w:val="24"/>
        </w:rPr>
        <w:t xml:space="preserve"> age range</w:t>
      </w:r>
      <w:r w:rsidR="00FF0A70">
        <w:rPr>
          <w:rFonts w:asciiTheme="minorBidi" w:hAnsiTheme="minorBidi"/>
          <w:sz w:val="24"/>
          <w:szCs w:val="24"/>
        </w:rPr>
        <w:t>d from</w:t>
      </w:r>
      <w:r w:rsidRPr="008F4FD1">
        <w:rPr>
          <w:rFonts w:asciiTheme="minorBidi" w:hAnsiTheme="minorBidi"/>
          <w:sz w:val="24"/>
          <w:szCs w:val="24"/>
        </w:rPr>
        <w:t xml:space="preserve"> 20 </w:t>
      </w:r>
      <w:r w:rsidR="00FF0A70">
        <w:rPr>
          <w:rFonts w:asciiTheme="minorBidi" w:hAnsiTheme="minorBidi"/>
          <w:sz w:val="24"/>
          <w:szCs w:val="24"/>
        </w:rPr>
        <w:t>to</w:t>
      </w:r>
      <w:r w:rsidRPr="008F4FD1">
        <w:rPr>
          <w:rFonts w:asciiTheme="minorBidi" w:hAnsiTheme="minorBidi"/>
          <w:sz w:val="24"/>
          <w:szCs w:val="24"/>
        </w:rPr>
        <w:t xml:space="preserve"> 90 (</w:t>
      </w:r>
      <w:r w:rsidR="00FF0A70">
        <w:rPr>
          <w:rFonts w:asciiTheme="minorBidi" w:hAnsiTheme="minorBidi"/>
          <w:sz w:val="24"/>
          <w:szCs w:val="24"/>
        </w:rPr>
        <w:t>mean</w:t>
      </w:r>
      <w:r w:rsidRPr="008F4FD1">
        <w:rPr>
          <w:rFonts w:asciiTheme="minorBidi" w:hAnsiTheme="minorBidi"/>
          <w:sz w:val="24"/>
          <w:szCs w:val="24"/>
        </w:rPr>
        <w:t xml:space="preserve"> 64.14, SD 12.97), with most participants aged 55 and above (82.7%). </w:t>
      </w:r>
      <w:r w:rsidR="00A5035B">
        <w:rPr>
          <w:rFonts w:asciiTheme="minorBidi" w:hAnsiTheme="minorBidi"/>
          <w:sz w:val="24"/>
          <w:szCs w:val="24"/>
        </w:rPr>
        <w:t>Most</w:t>
      </w:r>
      <w:r w:rsidRPr="008F4FD1">
        <w:rPr>
          <w:rFonts w:asciiTheme="minorBidi" w:hAnsiTheme="minorBidi"/>
          <w:sz w:val="24"/>
          <w:szCs w:val="24"/>
        </w:rPr>
        <w:t xml:space="preserve"> were married (59.3%), secular (75.9%), academic</w:t>
      </w:r>
      <w:r w:rsidR="00A5035B">
        <w:rPr>
          <w:rFonts w:asciiTheme="minorBidi" w:hAnsiTheme="minorBidi"/>
          <w:sz w:val="24"/>
          <w:szCs w:val="24"/>
        </w:rPr>
        <w:t>ally</w:t>
      </w:r>
      <w:r w:rsidRPr="008F4FD1">
        <w:rPr>
          <w:rFonts w:asciiTheme="minorBidi" w:hAnsiTheme="minorBidi"/>
          <w:sz w:val="24"/>
          <w:szCs w:val="24"/>
        </w:rPr>
        <w:t xml:space="preserve"> educat</w:t>
      </w:r>
      <w:r w:rsidR="00A5035B">
        <w:rPr>
          <w:rFonts w:asciiTheme="minorBidi" w:hAnsiTheme="minorBidi"/>
          <w:sz w:val="24"/>
          <w:szCs w:val="24"/>
        </w:rPr>
        <w:t>ed</w:t>
      </w:r>
      <w:r w:rsidRPr="008F4FD1">
        <w:rPr>
          <w:rFonts w:asciiTheme="minorBidi" w:hAnsiTheme="minorBidi"/>
          <w:sz w:val="24"/>
          <w:szCs w:val="24"/>
        </w:rPr>
        <w:t xml:space="preserve"> (59.1%)</w:t>
      </w:r>
      <w:r w:rsidR="00D331F0">
        <w:rPr>
          <w:rFonts w:asciiTheme="minorBidi" w:hAnsiTheme="minorBidi"/>
          <w:sz w:val="24"/>
          <w:szCs w:val="24"/>
        </w:rPr>
        <w:t>, and had</w:t>
      </w:r>
      <w:r w:rsidRPr="008F4FD1">
        <w:rPr>
          <w:rFonts w:asciiTheme="minorBidi" w:hAnsiTheme="minorBidi"/>
          <w:sz w:val="24"/>
          <w:szCs w:val="24"/>
        </w:rPr>
        <w:t xml:space="preserve"> children (82.7%). 65.7% reported having a chronic illness. (Table 1).</w:t>
      </w:r>
    </w:p>
    <w:p w14:paraId="5A6F514A" w14:textId="77777777" w:rsidR="00BC433A" w:rsidRDefault="00BC433A" w:rsidP="0055283A">
      <w:pPr>
        <w:spacing w:line="480" w:lineRule="auto"/>
        <w:rPr>
          <w:rFonts w:asciiTheme="minorBidi" w:hAnsiTheme="minorBidi"/>
          <w:b/>
          <w:bCs/>
          <w:sz w:val="24"/>
          <w:szCs w:val="24"/>
        </w:rPr>
      </w:pPr>
    </w:p>
    <w:p w14:paraId="67C6D905" w14:textId="77777777" w:rsidR="0055283A" w:rsidRPr="0055283A" w:rsidRDefault="0055283A" w:rsidP="0055283A">
      <w:pPr>
        <w:spacing w:line="480" w:lineRule="auto"/>
        <w:rPr>
          <w:rFonts w:asciiTheme="minorBidi" w:hAnsiTheme="minorBidi"/>
          <w:b/>
          <w:bCs/>
          <w:sz w:val="24"/>
          <w:szCs w:val="24"/>
        </w:rPr>
      </w:pPr>
      <w:r w:rsidRPr="0055283A">
        <w:rPr>
          <w:rFonts w:asciiTheme="minorBidi" w:hAnsiTheme="minorBidi"/>
          <w:b/>
          <w:bCs/>
          <w:sz w:val="24"/>
          <w:szCs w:val="24"/>
        </w:rPr>
        <w:t>Research tool:</w:t>
      </w:r>
    </w:p>
    <w:p w14:paraId="52808F79" w14:textId="7B74D1BE" w:rsidR="0055283A" w:rsidRPr="0055283A" w:rsidRDefault="0055283A" w:rsidP="004A4096">
      <w:pPr>
        <w:spacing w:line="480" w:lineRule="auto"/>
        <w:jc w:val="both"/>
        <w:rPr>
          <w:rFonts w:asciiTheme="minorBidi" w:hAnsiTheme="minorBidi"/>
          <w:sz w:val="24"/>
          <w:szCs w:val="24"/>
        </w:rPr>
      </w:pPr>
      <w:r w:rsidRPr="0055283A">
        <w:rPr>
          <w:rFonts w:asciiTheme="minorBidi" w:hAnsiTheme="minorBidi"/>
          <w:sz w:val="24"/>
          <w:szCs w:val="24"/>
        </w:rPr>
        <w:t xml:space="preserve">A structured questionnaire consisting of two parts, compiled by the researchers based on </w:t>
      </w:r>
      <w:r>
        <w:rPr>
          <w:rFonts w:asciiTheme="minorBidi" w:hAnsiTheme="minorBidi"/>
          <w:sz w:val="24"/>
          <w:szCs w:val="24"/>
        </w:rPr>
        <w:t xml:space="preserve">the </w:t>
      </w:r>
      <w:r w:rsidRPr="0055283A">
        <w:rPr>
          <w:rFonts w:asciiTheme="minorBidi" w:hAnsiTheme="minorBidi"/>
          <w:sz w:val="24"/>
          <w:szCs w:val="24"/>
        </w:rPr>
        <w:t xml:space="preserve">literature and validated by content experts. The </w:t>
      </w:r>
      <w:r>
        <w:rPr>
          <w:rFonts w:asciiTheme="minorBidi" w:hAnsiTheme="minorBidi"/>
          <w:sz w:val="24"/>
          <w:szCs w:val="24"/>
        </w:rPr>
        <w:t xml:space="preserve">questionnaire’s </w:t>
      </w:r>
      <w:r w:rsidRPr="0055283A">
        <w:rPr>
          <w:rFonts w:asciiTheme="minorBidi" w:hAnsiTheme="minorBidi"/>
          <w:sz w:val="24"/>
          <w:szCs w:val="24"/>
        </w:rPr>
        <w:t>final version included 31 statement</w:t>
      </w:r>
      <w:r>
        <w:rPr>
          <w:rFonts w:asciiTheme="minorBidi" w:hAnsiTheme="minorBidi"/>
          <w:sz w:val="24"/>
          <w:szCs w:val="24"/>
        </w:rPr>
        <w:t>s, which</w:t>
      </w:r>
      <w:r w:rsidRPr="0055283A">
        <w:rPr>
          <w:rFonts w:asciiTheme="minorBidi" w:hAnsiTheme="minorBidi"/>
          <w:sz w:val="24"/>
          <w:szCs w:val="24"/>
        </w:rPr>
        <w:t xml:space="preserve"> </w:t>
      </w:r>
      <w:r>
        <w:rPr>
          <w:rFonts w:asciiTheme="minorBidi" w:hAnsiTheme="minorBidi"/>
          <w:sz w:val="24"/>
          <w:szCs w:val="24"/>
        </w:rPr>
        <w:t>p</w:t>
      </w:r>
      <w:r w:rsidRPr="0055283A">
        <w:rPr>
          <w:rFonts w:asciiTheme="minorBidi" w:hAnsiTheme="minorBidi"/>
          <w:sz w:val="24"/>
          <w:szCs w:val="24"/>
        </w:rPr>
        <w:t xml:space="preserve">articipants were asked to rate </w:t>
      </w:r>
      <w:r>
        <w:rPr>
          <w:rFonts w:asciiTheme="minorBidi" w:hAnsiTheme="minorBidi"/>
          <w:sz w:val="24"/>
          <w:szCs w:val="24"/>
        </w:rPr>
        <w:t>o</w:t>
      </w:r>
      <w:r w:rsidRPr="0055283A">
        <w:rPr>
          <w:rFonts w:asciiTheme="minorBidi" w:hAnsiTheme="minorBidi"/>
          <w:sz w:val="24"/>
          <w:szCs w:val="24"/>
        </w:rPr>
        <w:t xml:space="preserve">n a scale of 1 to 5, where 1=strongly disagree and 5=strongly agree. </w:t>
      </w:r>
      <w:r w:rsidRPr="004B41F6">
        <w:rPr>
          <w:rFonts w:asciiTheme="minorBidi" w:hAnsiTheme="minorBidi"/>
          <w:b/>
          <w:bCs/>
          <w:sz w:val="24"/>
          <w:szCs w:val="24"/>
        </w:rPr>
        <w:t>Additionally</w:t>
      </w:r>
      <w:r w:rsidRPr="0055283A">
        <w:rPr>
          <w:rFonts w:asciiTheme="minorBidi" w:hAnsiTheme="minorBidi"/>
          <w:sz w:val="24"/>
          <w:szCs w:val="24"/>
        </w:rPr>
        <w:t xml:space="preserve">, demographic </w:t>
      </w:r>
      <w:r w:rsidRPr="0055283A">
        <w:rPr>
          <w:rFonts w:asciiTheme="minorBidi" w:hAnsiTheme="minorBidi"/>
          <w:sz w:val="24"/>
          <w:szCs w:val="24"/>
        </w:rPr>
        <w:lastRenderedPageBreak/>
        <w:t xml:space="preserve">information was collected, including variables such as age, gender, sector, </w:t>
      </w:r>
      <w:r w:rsidR="004A4096">
        <w:rPr>
          <w:rFonts w:asciiTheme="minorBidi" w:hAnsiTheme="minorBidi"/>
          <w:sz w:val="24"/>
          <w:szCs w:val="24"/>
        </w:rPr>
        <w:t>level of religiosity</w:t>
      </w:r>
      <w:r w:rsidRPr="0055283A">
        <w:rPr>
          <w:rFonts w:asciiTheme="minorBidi" w:hAnsiTheme="minorBidi"/>
          <w:sz w:val="24"/>
          <w:szCs w:val="24"/>
        </w:rPr>
        <w:t xml:space="preserve">, marital status, number of children, etc. Respondents were also asked to indicate whether they </w:t>
      </w:r>
      <w:r w:rsidR="004B41F6">
        <w:rPr>
          <w:rFonts w:asciiTheme="minorBidi" w:hAnsiTheme="minorBidi"/>
          <w:sz w:val="24"/>
          <w:szCs w:val="24"/>
        </w:rPr>
        <w:t>had</w:t>
      </w:r>
      <w:r w:rsidRPr="0055283A">
        <w:rPr>
          <w:rFonts w:asciiTheme="minorBidi" w:hAnsiTheme="minorBidi"/>
          <w:sz w:val="24"/>
          <w:szCs w:val="24"/>
        </w:rPr>
        <w:t xml:space="preserve"> a chronic illness.</w:t>
      </w:r>
    </w:p>
    <w:p w14:paraId="290CFC0F" w14:textId="1F75861B" w:rsidR="00D331F0" w:rsidRDefault="0055283A" w:rsidP="004A4096">
      <w:pPr>
        <w:spacing w:line="480" w:lineRule="auto"/>
        <w:jc w:val="both"/>
        <w:rPr>
          <w:rFonts w:asciiTheme="minorBidi" w:hAnsiTheme="minorBidi"/>
          <w:sz w:val="24"/>
          <w:szCs w:val="24"/>
        </w:rPr>
      </w:pPr>
      <w:r w:rsidRPr="0055283A">
        <w:rPr>
          <w:rFonts w:asciiTheme="minorBidi" w:hAnsiTheme="minorBidi"/>
          <w:sz w:val="24"/>
          <w:szCs w:val="24"/>
        </w:rPr>
        <w:t>A factor analysis conducted to test validity identified four factors</w:t>
      </w:r>
      <w:r w:rsidR="00653934">
        <w:rPr>
          <w:rFonts w:asciiTheme="minorBidi" w:hAnsiTheme="minorBidi"/>
          <w:sz w:val="24"/>
          <w:szCs w:val="24"/>
        </w:rPr>
        <w:t xml:space="preserve"> </w:t>
      </w:r>
      <w:r w:rsidRPr="0055283A">
        <w:rPr>
          <w:rFonts w:asciiTheme="minorBidi" w:hAnsiTheme="minorBidi"/>
          <w:sz w:val="24"/>
          <w:szCs w:val="24"/>
        </w:rPr>
        <w:t>related to attitudes and behaviors, for which reliability calculations were performed. The factors</w:t>
      </w:r>
      <w:r w:rsidR="008D1A35">
        <w:rPr>
          <w:rFonts w:asciiTheme="minorBidi" w:hAnsiTheme="minorBidi"/>
          <w:sz w:val="24"/>
          <w:szCs w:val="24"/>
        </w:rPr>
        <w:t xml:space="preserve"> are as follows</w:t>
      </w:r>
      <w:r w:rsidRPr="0055283A">
        <w:rPr>
          <w:rFonts w:asciiTheme="minorBidi" w:hAnsiTheme="minorBidi"/>
          <w:sz w:val="24"/>
          <w:szCs w:val="24"/>
        </w:rPr>
        <w:t>:</w:t>
      </w:r>
    </w:p>
    <w:p w14:paraId="722EA2E3" w14:textId="77777777" w:rsidR="00653934" w:rsidRDefault="00953A42" w:rsidP="00653934">
      <w:pPr>
        <w:spacing w:line="480" w:lineRule="auto"/>
        <w:jc w:val="both"/>
        <w:rPr>
          <w:rFonts w:asciiTheme="minorBidi" w:hAnsiTheme="minorBidi"/>
          <w:sz w:val="24"/>
          <w:szCs w:val="24"/>
          <w:u w:val="single"/>
        </w:rPr>
      </w:pPr>
      <w:r>
        <w:rPr>
          <w:rFonts w:asciiTheme="minorBidi" w:hAnsiTheme="minorBidi"/>
          <w:sz w:val="24"/>
          <w:szCs w:val="24"/>
          <w:u w:val="single"/>
        </w:rPr>
        <w:t>Attitudes toward OHS</w:t>
      </w:r>
    </w:p>
    <w:p w14:paraId="022BDDB2" w14:textId="26D4A7C0" w:rsidR="00333444" w:rsidRDefault="00980304" w:rsidP="007B5EE6">
      <w:pPr>
        <w:pStyle w:val="ListParagraph"/>
        <w:numPr>
          <w:ilvl w:val="0"/>
          <w:numId w:val="2"/>
        </w:numPr>
        <w:bidi w:val="0"/>
        <w:spacing w:line="480" w:lineRule="auto"/>
        <w:jc w:val="both"/>
        <w:rPr>
          <w:rFonts w:asciiTheme="minorBidi" w:hAnsiTheme="minorBidi"/>
          <w:sz w:val="24"/>
          <w:szCs w:val="24"/>
        </w:rPr>
      </w:pPr>
      <w:r w:rsidRPr="00EA36AE">
        <w:rPr>
          <w:rFonts w:asciiTheme="minorBidi" w:hAnsiTheme="minorBidi"/>
          <w:b/>
          <w:bCs/>
          <w:sz w:val="24"/>
          <w:szCs w:val="24"/>
        </w:rPr>
        <w:t>Perception of efficacy and safety of online treatment</w:t>
      </w:r>
      <w:r w:rsidRPr="00EA36AE">
        <w:rPr>
          <w:rFonts w:asciiTheme="minorBidi" w:hAnsiTheme="minorBidi"/>
          <w:sz w:val="24"/>
          <w:szCs w:val="24"/>
        </w:rPr>
        <w:t>. This variable assesse</w:t>
      </w:r>
      <w:r w:rsidR="007B5EE6">
        <w:rPr>
          <w:rFonts w:asciiTheme="minorBidi" w:hAnsiTheme="minorBidi"/>
          <w:sz w:val="24"/>
          <w:szCs w:val="24"/>
        </w:rPr>
        <w:t>d</w:t>
      </w:r>
      <w:r w:rsidRPr="00EA36AE">
        <w:rPr>
          <w:rFonts w:asciiTheme="minorBidi" w:hAnsiTheme="minorBidi"/>
          <w:sz w:val="24"/>
          <w:szCs w:val="24"/>
        </w:rPr>
        <w:t xml:space="preserve"> perceived efficacy of OHS</w:t>
      </w:r>
      <w:r w:rsidR="00333444" w:rsidRPr="00EA36AE">
        <w:rPr>
          <w:rFonts w:asciiTheme="minorBidi" w:hAnsiTheme="minorBidi"/>
          <w:sz w:val="24"/>
          <w:szCs w:val="24"/>
        </w:rPr>
        <w:t xml:space="preserve"> and comprise</w:t>
      </w:r>
      <w:r w:rsidR="007B5EE6">
        <w:rPr>
          <w:rFonts w:asciiTheme="minorBidi" w:hAnsiTheme="minorBidi"/>
          <w:sz w:val="24"/>
          <w:szCs w:val="24"/>
        </w:rPr>
        <w:t>d</w:t>
      </w:r>
      <w:r w:rsidR="00333444" w:rsidRPr="00EA36AE">
        <w:rPr>
          <w:rFonts w:asciiTheme="minorBidi" w:hAnsiTheme="minorBidi"/>
          <w:sz w:val="24"/>
          <w:szCs w:val="24"/>
        </w:rPr>
        <w:t xml:space="preserve"> 11 statements, </w:t>
      </w:r>
      <w:r w:rsidR="0011755D" w:rsidRPr="00EA36AE">
        <w:rPr>
          <w:rFonts w:asciiTheme="minorBidi" w:hAnsiTheme="minorBidi"/>
          <w:sz w:val="24"/>
          <w:szCs w:val="24"/>
        </w:rPr>
        <w:t>e.g.,</w:t>
      </w:r>
      <w:r w:rsidRPr="00EA36AE">
        <w:rPr>
          <w:rFonts w:asciiTheme="minorBidi" w:hAnsiTheme="minorBidi"/>
          <w:sz w:val="24"/>
          <w:szCs w:val="24"/>
        </w:rPr>
        <w:t xml:space="preserve"> “Digital communication </w:t>
      </w:r>
      <w:r w:rsidR="0011755D" w:rsidRPr="00EA36AE">
        <w:rPr>
          <w:rFonts w:asciiTheme="minorBidi" w:hAnsiTheme="minorBidi"/>
          <w:sz w:val="24"/>
          <w:szCs w:val="24"/>
        </w:rPr>
        <w:t>makes</w:t>
      </w:r>
      <w:r w:rsidRPr="00EA36AE">
        <w:rPr>
          <w:rFonts w:asciiTheme="minorBidi" w:hAnsiTheme="minorBidi"/>
          <w:sz w:val="24"/>
          <w:szCs w:val="24"/>
        </w:rPr>
        <w:t xml:space="preserve"> medical treatment</w:t>
      </w:r>
      <w:r w:rsidR="00333444" w:rsidRPr="00EA36AE">
        <w:rPr>
          <w:rFonts w:asciiTheme="minorBidi" w:hAnsiTheme="minorBidi"/>
          <w:sz w:val="24"/>
          <w:szCs w:val="24"/>
        </w:rPr>
        <w:t xml:space="preserve"> more readily available</w:t>
      </w:r>
      <w:r w:rsidRPr="00EA36AE">
        <w:rPr>
          <w:rFonts w:asciiTheme="minorBidi" w:hAnsiTheme="minorBidi"/>
          <w:sz w:val="24"/>
          <w:szCs w:val="24"/>
        </w:rPr>
        <w:t>.</w:t>
      </w:r>
      <w:r w:rsidR="00333444" w:rsidRPr="00EA36AE">
        <w:rPr>
          <w:rFonts w:asciiTheme="minorBidi" w:hAnsiTheme="minorBidi"/>
          <w:sz w:val="24"/>
          <w:szCs w:val="24"/>
        </w:rPr>
        <w:t>”</w:t>
      </w:r>
      <w:r w:rsidRPr="00EA36AE">
        <w:rPr>
          <w:rFonts w:asciiTheme="minorBidi" w:hAnsiTheme="minorBidi"/>
          <w:sz w:val="24"/>
          <w:szCs w:val="24"/>
        </w:rPr>
        <w:t xml:space="preserve"> Cronbach's alpha reliability</w:t>
      </w:r>
      <w:r w:rsidR="00333444" w:rsidRPr="00EA36AE">
        <w:rPr>
          <w:rFonts w:asciiTheme="minorBidi" w:hAnsiTheme="minorBidi"/>
          <w:sz w:val="24"/>
          <w:szCs w:val="24"/>
        </w:rPr>
        <w:t>:</w:t>
      </w:r>
      <w:r w:rsidRPr="00EA36AE">
        <w:rPr>
          <w:rFonts w:asciiTheme="minorBidi" w:hAnsiTheme="minorBidi"/>
          <w:sz w:val="24"/>
          <w:szCs w:val="24"/>
        </w:rPr>
        <w:t xml:space="preserve"> 0.87.</w:t>
      </w:r>
    </w:p>
    <w:p w14:paraId="67E4B99F" w14:textId="77777777" w:rsidR="00EA36AE" w:rsidRPr="00EA36AE" w:rsidRDefault="00EA36AE" w:rsidP="00EA36AE">
      <w:pPr>
        <w:pStyle w:val="ListParagraph"/>
        <w:bidi w:val="0"/>
        <w:spacing w:line="480" w:lineRule="auto"/>
        <w:jc w:val="both"/>
        <w:rPr>
          <w:rFonts w:asciiTheme="minorBidi" w:hAnsiTheme="minorBidi"/>
          <w:sz w:val="24"/>
          <w:szCs w:val="24"/>
        </w:rPr>
      </w:pPr>
    </w:p>
    <w:p w14:paraId="4CB1FF4D" w14:textId="0F476370" w:rsidR="00EA36AE" w:rsidRDefault="00980304" w:rsidP="007B5EE6">
      <w:pPr>
        <w:pStyle w:val="ListParagraph"/>
        <w:numPr>
          <w:ilvl w:val="0"/>
          <w:numId w:val="2"/>
        </w:numPr>
        <w:bidi w:val="0"/>
        <w:spacing w:line="480" w:lineRule="auto"/>
        <w:jc w:val="both"/>
        <w:rPr>
          <w:rFonts w:asciiTheme="minorBidi" w:hAnsiTheme="minorBidi"/>
          <w:sz w:val="24"/>
          <w:szCs w:val="24"/>
        </w:rPr>
      </w:pPr>
      <w:r w:rsidRPr="00EA36AE">
        <w:rPr>
          <w:rFonts w:asciiTheme="minorBidi" w:hAnsiTheme="minorBidi"/>
          <w:b/>
          <w:bCs/>
          <w:sz w:val="24"/>
          <w:szCs w:val="24"/>
        </w:rPr>
        <w:t xml:space="preserve">Preference for </w:t>
      </w:r>
      <w:r w:rsidR="007B5EE6">
        <w:rPr>
          <w:rFonts w:asciiTheme="minorBidi" w:hAnsiTheme="minorBidi"/>
          <w:b/>
          <w:bCs/>
          <w:sz w:val="24"/>
          <w:szCs w:val="24"/>
        </w:rPr>
        <w:t>in-person</w:t>
      </w:r>
      <w:r w:rsidRPr="00EA36AE">
        <w:rPr>
          <w:rFonts w:asciiTheme="minorBidi" w:hAnsiTheme="minorBidi"/>
          <w:b/>
          <w:bCs/>
          <w:sz w:val="24"/>
          <w:szCs w:val="24"/>
        </w:rPr>
        <w:t xml:space="preserve"> treatment</w:t>
      </w:r>
      <w:r w:rsidRPr="00EA36AE">
        <w:rPr>
          <w:rFonts w:asciiTheme="minorBidi" w:hAnsiTheme="minorBidi"/>
          <w:sz w:val="24"/>
          <w:szCs w:val="24"/>
        </w:rPr>
        <w:t>. This variable</w:t>
      </w:r>
      <w:r w:rsidR="0011755D" w:rsidRPr="00EA36AE">
        <w:rPr>
          <w:rFonts w:asciiTheme="minorBidi" w:hAnsiTheme="minorBidi"/>
          <w:sz w:val="24"/>
          <w:szCs w:val="24"/>
        </w:rPr>
        <w:t xml:space="preserve"> </w:t>
      </w:r>
      <w:r w:rsidRPr="00EA36AE">
        <w:rPr>
          <w:rFonts w:asciiTheme="minorBidi" w:hAnsiTheme="minorBidi"/>
          <w:sz w:val="24"/>
          <w:szCs w:val="24"/>
        </w:rPr>
        <w:t>examine</w:t>
      </w:r>
      <w:r w:rsidR="007B5EE6">
        <w:rPr>
          <w:rFonts w:asciiTheme="minorBidi" w:hAnsiTheme="minorBidi"/>
          <w:sz w:val="24"/>
          <w:szCs w:val="24"/>
        </w:rPr>
        <w:t>d</w:t>
      </w:r>
      <w:r w:rsidRPr="00EA36AE">
        <w:rPr>
          <w:rFonts w:asciiTheme="minorBidi" w:hAnsiTheme="minorBidi"/>
          <w:sz w:val="24"/>
          <w:szCs w:val="24"/>
        </w:rPr>
        <w:t xml:space="preserve"> respondents' perceptions regarding their preference for </w:t>
      </w:r>
      <w:r w:rsidR="007B5EE6">
        <w:rPr>
          <w:rFonts w:asciiTheme="minorBidi" w:hAnsiTheme="minorBidi"/>
          <w:sz w:val="24"/>
          <w:szCs w:val="24"/>
        </w:rPr>
        <w:t>in-person</w:t>
      </w:r>
      <w:r w:rsidRPr="00EA36AE">
        <w:rPr>
          <w:rFonts w:asciiTheme="minorBidi" w:hAnsiTheme="minorBidi"/>
          <w:sz w:val="24"/>
          <w:szCs w:val="24"/>
        </w:rPr>
        <w:t xml:space="preserve"> medical treatment </w:t>
      </w:r>
      <w:r w:rsidR="007B5EE6">
        <w:rPr>
          <w:rFonts w:asciiTheme="minorBidi" w:hAnsiTheme="minorBidi"/>
          <w:sz w:val="24"/>
          <w:szCs w:val="24"/>
        </w:rPr>
        <w:t>versus</w:t>
      </w:r>
      <w:r w:rsidRPr="00EA36AE">
        <w:rPr>
          <w:rFonts w:asciiTheme="minorBidi" w:hAnsiTheme="minorBidi"/>
          <w:sz w:val="24"/>
          <w:szCs w:val="24"/>
        </w:rPr>
        <w:t xml:space="preserve"> online medical care</w:t>
      </w:r>
      <w:r w:rsidR="007B5EE6">
        <w:rPr>
          <w:rFonts w:asciiTheme="minorBidi" w:hAnsiTheme="minorBidi"/>
          <w:sz w:val="24"/>
          <w:szCs w:val="24"/>
        </w:rPr>
        <w:t>, and</w:t>
      </w:r>
      <w:r w:rsidR="0011755D" w:rsidRPr="00EA36AE">
        <w:rPr>
          <w:rFonts w:asciiTheme="minorBidi" w:hAnsiTheme="minorBidi"/>
          <w:sz w:val="24"/>
          <w:szCs w:val="24"/>
        </w:rPr>
        <w:t xml:space="preserve"> </w:t>
      </w:r>
      <w:r w:rsidR="007B5EE6">
        <w:rPr>
          <w:rFonts w:asciiTheme="minorBidi" w:hAnsiTheme="minorBidi"/>
          <w:sz w:val="24"/>
          <w:szCs w:val="24"/>
        </w:rPr>
        <w:t>comprised</w:t>
      </w:r>
      <w:r w:rsidR="0011755D" w:rsidRPr="00EA36AE">
        <w:rPr>
          <w:rFonts w:asciiTheme="minorBidi" w:hAnsiTheme="minorBidi"/>
          <w:sz w:val="24"/>
          <w:szCs w:val="24"/>
        </w:rPr>
        <w:t xml:space="preserve"> four statements, e.g.</w:t>
      </w:r>
      <w:r w:rsidRPr="00EA36AE">
        <w:rPr>
          <w:rFonts w:asciiTheme="minorBidi" w:hAnsiTheme="minorBidi"/>
          <w:sz w:val="24"/>
          <w:szCs w:val="24"/>
        </w:rPr>
        <w:t xml:space="preserve">, </w:t>
      </w:r>
      <w:r w:rsidR="00EA36AE" w:rsidRPr="00EA36AE">
        <w:rPr>
          <w:rFonts w:asciiTheme="minorBidi" w:hAnsiTheme="minorBidi"/>
          <w:sz w:val="24"/>
          <w:szCs w:val="24"/>
        </w:rPr>
        <w:t>“</w:t>
      </w:r>
      <w:r w:rsidRPr="00EA36AE">
        <w:rPr>
          <w:rFonts w:asciiTheme="minorBidi" w:hAnsiTheme="minorBidi"/>
          <w:sz w:val="24"/>
          <w:szCs w:val="24"/>
        </w:rPr>
        <w:t xml:space="preserve">I always prefer </w:t>
      </w:r>
      <w:r w:rsidR="00EA36AE" w:rsidRPr="00EA36AE">
        <w:rPr>
          <w:rFonts w:asciiTheme="minorBidi" w:hAnsiTheme="minorBidi"/>
          <w:sz w:val="24"/>
          <w:szCs w:val="24"/>
        </w:rPr>
        <w:t>a direct encounter</w:t>
      </w:r>
      <w:r w:rsidRPr="00EA36AE">
        <w:rPr>
          <w:rFonts w:asciiTheme="minorBidi" w:hAnsiTheme="minorBidi"/>
          <w:sz w:val="24"/>
          <w:szCs w:val="24"/>
        </w:rPr>
        <w:t xml:space="preserve"> with the doctor</w:t>
      </w:r>
      <w:r w:rsidR="00EA36AE" w:rsidRPr="00EA36AE">
        <w:rPr>
          <w:rFonts w:asciiTheme="minorBidi" w:hAnsiTheme="minorBidi"/>
          <w:sz w:val="24"/>
          <w:szCs w:val="24"/>
        </w:rPr>
        <w:t xml:space="preserve"> (at the clinic)</w:t>
      </w:r>
      <w:r w:rsidRPr="00EA36AE">
        <w:rPr>
          <w:rFonts w:asciiTheme="minorBidi" w:hAnsiTheme="minorBidi"/>
          <w:sz w:val="24"/>
          <w:szCs w:val="24"/>
        </w:rPr>
        <w:t>.</w:t>
      </w:r>
      <w:r w:rsidR="00EA36AE" w:rsidRPr="00EA36AE">
        <w:rPr>
          <w:rFonts w:asciiTheme="minorBidi" w:hAnsiTheme="minorBidi"/>
          <w:sz w:val="24"/>
          <w:szCs w:val="24"/>
        </w:rPr>
        <w:t>”</w:t>
      </w:r>
      <w:r w:rsidRPr="00EA36AE">
        <w:rPr>
          <w:rFonts w:asciiTheme="minorBidi" w:hAnsiTheme="minorBidi"/>
          <w:sz w:val="24"/>
          <w:szCs w:val="24"/>
        </w:rPr>
        <w:t xml:space="preserve"> Cronbach's alpha reliability</w:t>
      </w:r>
      <w:r w:rsidR="00EA36AE" w:rsidRPr="00EA36AE">
        <w:rPr>
          <w:rFonts w:asciiTheme="minorBidi" w:hAnsiTheme="minorBidi"/>
          <w:sz w:val="24"/>
          <w:szCs w:val="24"/>
        </w:rPr>
        <w:t>:</w:t>
      </w:r>
      <w:r w:rsidRPr="00EA36AE">
        <w:rPr>
          <w:rFonts w:asciiTheme="minorBidi" w:hAnsiTheme="minorBidi"/>
          <w:sz w:val="24"/>
          <w:szCs w:val="24"/>
        </w:rPr>
        <w:t xml:space="preserve"> 0.78.</w:t>
      </w:r>
    </w:p>
    <w:p w14:paraId="639C0516" w14:textId="77777777" w:rsidR="00EA36AE" w:rsidRPr="00EA36AE" w:rsidRDefault="00EA36AE" w:rsidP="00EA36AE">
      <w:pPr>
        <w:pStyle w:val="ListParagraph"/>
        <w:rPr>
          <w:rFonts w:asciiTheme="minorBidi" w:hAnsiTheme="minorBidi"/>
          <w:sz w:val="24"/>
          <w:szCs w:val="24"/>
        </w:rPr>
      </w:pPr>
    </w:p>
    <w:p w14:paraId="737C0E35" w14:textId="5DA1169D" w:rsidR="00980304" w:rsidRDefault="00980304" w:rsidP="007B5EE6">
      <w:pPr>
        <w:pStyle w:val="ListParagraph"/>
        <w:numPr>
          <w:ilvl w:val="0"/>
          <w:numId w:val="2"/>
        </w:numPr>
        <w:bidi w:val="0"/>
        <w:spacing w:line="480" w:lineRule="auto"/>
        <w:jc w:val="both"/>
        <w:rPr>
          <w:rFonts w:asciiTheme="minorBidi" w:hAnsiTheme="minorBidi"/>
          <w:sz w:val="24"/>
          <w:szCs w:val="24"/>
        </w:rPr>
      </w:pPr>
      <w:r w:rsidRPr="00E0582A">
        <w:rPr>
          <w:rFonts w:asciiTheme="minorBidi" w:hAnsiTheme="minorBidi"/>
          <w:b/>
          <w:bCs/>
          <w:sz w:val="24"/>
          <w:szCs w:val="24"/>
        </w:rPr>
        <w:t>Online health literacy</w:t>
      </w:r>
      <w:r w:rsidR="00E0582A">
        <w:rPr>
          <w:rFonts w:asciiTheme="minorBidi" w:hAnsiTheme="minorBidi"/>
          <w:b/>
          <w:bCs/>
          <w:sz w:val="24"/>
          <w:szCs w:val="24"/>
        </w:rPr>
        <w:t>.</w:t>
      </w:r>
      <w:r w:rsidRPr="00EA36AE">
        <w:rPr>
          <w:rFonts w:asciiTheme="minorBidi" w:hAnsiTheme="minorBidi"/>
          <w:sz w:val="24"/>
          <w:szCs w:val="24"/>
        </w:rPr>
        <w:t xml:space="preserve"> </w:t>
      </w:r>
      <w:r w:rsidR="00E0582A">
        <w:rPr>
          <w:rFonts w:asciiTheme="minorBidi" w:hAnsiTheme="minorBidi"/>
          <w:sz w:val="24"/>
          <w:szCs w:val="24"/>
        </w:rPr>
        <w:t>This</w:t>
      </w:r>
      <w:r w:rsidRPr="00EA36AE">
        <w:rPr>
          <w:rFonts w:asciiTheme="minorBidi" w:hAnsiTheme="minorBidi"/>
          <w:sz w:val="24"/>
          <w:szCs w:val="24"/>
        </w:rPr>
        <w:t xml:space="preserve"> variable examine</w:t>
      </w:r>
      <w:r w:rsidR="007B5EE6">
        <w:rPr>
          <w:rFonts w:asciiTheme="minorBidi" w:hAnsiTheme="minorBidi"/>
          <w:sz w:val="24"/>
          <w:szCs w:val="24"/>
        </w:rPr>
        <w:t>d</w:t>
      </w:r>
      <w:r w:rsidRPr="00EA36AE">
        <w:rPr>
          <w:rFonts w:asciiTheme="minorBidi" w:hAnsiTheme="minorBidi"/>
          <w:sz w:val="24"/>
          <w:szCs w:val="24"/>
        </w:rPr>
        <w:t xml:space="preserve"> respondents' perceptions </w:t>
      </w:r>
      <w:r w:rsidR="00E0582A">
        <w:rPr>
          <w:rFonts w:asciiTheme="minorBidi" w:hAnsiTheme="minorBidi"/>
          <w:sz w:val="24"/>
          <w:szCs w:val="24"/>
        </w:rPr>
        <w:t>regarding their online health literacy</w:t>
      </w:r>
      <w:r w:rsidR="007B5EE6">
        <w:rPr>
          <w:rFonts w:asciiTheme="minorBidi" w:hAnsiTheme="minorBidi"/>
          <w:sz w:val="24"/>
          <w:szCs w:val="24"/>
        </w:rPr>
        <w:t>, and comprised</w:t>
      </w:r>
      <w:r w:rsidR="00E0582A">
        <w:rPr>
          <w:rFonts w:asciiTheme="minorBidi" w:hAnsiTheme="minorBidi"/>
          <w:sz w:val="24"/>
          <w:szCs w:val="24"/>
        </w:rPr>
        <w:t xml:space="preserve"> five statements, e.g., “I kn</w:t>
      </w:r>
      <w:r w:rsidRPr="00EA36AE">
        <w:rPr>
          <w:rFonts w:asciiTheme="minorBidi" w:hAnsiTheme="minorBidi"/>
          <w:sz w:val="24"/>
          <w:szCs w:val="24"/>
        </w:rPr>
        <w:t xml:space="preserve">ow where to look for information </w:t>
      </w:r>
      <w:r w:rsidR="007B5EE6">
        <w:rPr>
          <w:rFonts w:asciiTheme="minorBidi" w:hAnsiTheme="minorBidi"/>
          <w:sz w:val="24"/>
          <w:szCs w:val="24"/>
        </w:rPr>
        <w:t>on</w:t>
      </w:r>
      <w:r w:rsidRPr="00EA36AE">
        <w:rPr>
          <w:rFonts w:asciiTheme="minorBidi" w:hAnsiTheme="minorBidi"/>
          <w:sz w:val="24"/>
          <w:szCs w:val="24"/>
        </w:rPr>
        <w:t xml:space="preserve"> proper nutrition.</w:t>
      </w:r>
      <w:r w:rsidR="00E0582A">
        <w:rPr>
          <w:rFonts w:asciiTheme="minorBidi" w:hAnsiTheme="minorBidi"/>
          <w:sz w:val="24"/>
          <w:szCs w:val="24"/>
        </w:rPr>
        <w:t>”</w:t>
      </w:r>
      <w:r w:rsidRPr="00EA36AE">
        <w:rPr>
          <w:rFonts w:asciiTheme="minorBidi" w:hAnsiTheme="minorBidi"/>
          <w:sz w:val="24"/>
          <w:szCs w:val="24"/>
        </w:rPr>
        <w:t xml:space="preserve"> Cronbach's alpha reliability</w:t>
      </w:r>
      <w:r w:rsidR="00E0582A">
        <w:rPr>
          <w:rFonts w:asciiTheme="minorBidi" w:hAnsiTheme="minorBidi"/>
          <w:sz w:val="24"/>
          <w:szCs w:val="24"/>
        </w:rPr>
        <w:t>:</w:t>
      </w:r>
      <w:r w:rsidRPr="00EA36AE">
        <w:rPr>
          <w:rFonts w:asciiTheme="minorBidi" w:hAnsiTheme="minorBidi"/>
          <w:sz w:val="24"/>
          <w:szCs w:val="24"/>
        </w:rPr>
        <w:t xml:space="preserve"> 0.69.</w:t>
      </w:r>
    </w:p>
    <w:p w14:paraId="7939F2B3" w14:textId="77777777" w:rsidR="00E0582A" w:rsidRPr="00E0582A" w:rsidRDefault="00E0582A" w:rsidP="00E0582A">
      <w:pPr>
        <w:pStyle w:val="ListParagraph"/>
        <w:rPr>
          <w:rFonts w:asciiTheme="minorBidi" w:hAnsiTheme="minorBidi"/>
          <w:sz w:val="24"/>
          <w:szCs w:val="24"/>
        </w:rPr>
      </w:pPr>
    </w:p>
    <w:p w14:paraId="3F20A926" w14:textId="77777777" w:rsidR="00E0582A" w:rsidRDefault="00FE7C02" w:rsidP="00FE7C02">
      <w:pPr>
        <w:spacing w:line="480" w:lineRule="auto"/>
        <w:jc w:val="both"/>
        <w:rPr>
          <w:rFonts w:asciiTheme="minorBidi" w:hAnsiTheme="minorBidi"/>
          <w:sz w:val="24"/>
          <w:szCs w:val="24"/>
          <w:u w:val="single"/>
        </w:rPr>
      </w:pPr>
      <w:r w:rsidRPr="00FE7C02">
        <w:rPr>
          <w:rFonts w:asciiTheme="minorBidi" w:hAnsiTheme="minorBidi"/>
          <w:sz w:val="24"/>
          <w:szCs w:val="24"/>
          <w:u w:val="single"/>
        </w:rPr>
        <w:t>Behaviors</w:t>
      </w:r>
    </w:p>
    <w:p w14:paraId="6305F4D6" w14:textId="51201365" w:rsidR="00FE7C02" w:rsidRPr="005A0783" w:rsidRDefault="0035606F" w:rsidP="007B5EE6">
      <w:pPr>
        <w:pStyle w:val="ListParagraph"/>
        <w:numPr>
          <w:ilvl w:val="0"/>
          <w:numId w:val="2"/>
        </w:numPr>
        <w:bidi w:val="0"/>
        <w:spacing w:line="480" w:lineRule="auto"/>
        <w:jc w:val="both"/>
        <w:rPr>
          <w:rFonts w:asciiTheme="minorBidi" w:hAnsiTheme="minorBidi"/>
          <w:b/>
          <w:bCs/>
          <w:sz w:val="24"/>
          <w:szCs w:val="24"/>
        </w:rPr>
      </w:pPr>
      <w:r w:rsidRPr="0035606F">
        <w:rPr>
          <w:rFonts w:asciiTheme="minorBidi" w:hAnsiTheme="minorBidi"/>
          <w:b/>
          <w:bCs/>
          <w:sz w:val="24"/>
          <w:szCs w:val="24"/>
        </w:rPr>
        <w:lastRenderedPageBreak/>
        <w:t xml:space="preserve">OHS </w:t>
      </w:r>
      <w:r w:rsidR="002D6A62">
        <w:rPr>
          <w:rFonts w:asciiTheme="minorBidi" w:hAnsiTheme="minorBidi"/>
          <w:b/>
          <w:bCs/>
          <w:sz w:val="24"/>
          <w:szCs w:val="24"/>
        </w:rPr>
        <w:t>use</w:t>
      </w:r>
      <w:r>
        <w:rPr>
          <w:rFonts w:asciiTheme="minorBidi" w:hAnsiTheme="minorBidi"/>
          <w:b/>
          <w:bCs/>
          <w:sz w:val="24"/>
          <w:szCs w:val="24"/>
        </w:rPr>
        <w:t>.</w:t>
      </w:r>
      <w:r>
        <w:rPr>
          <w:rFonts w:asciiTheme="minorBidi" w:hAnsiTheme="minorBidi"/>
          <w:sz w:val="24"/>
          <w:szCs w:val="24"/>
        </w:rPr>
        <w:t xml:space="preserve"> </w:t>
      </w:r>
      <w:r w:rsidR="007D4A30">
        <w:rPr>
          <w:rFonts w:asciiTheme="minorBidi" w:hAnsiTheme="minorBidi"/>
          <w:sz w:val="24"/>
          <w:szCs w:val="24"/>
        </w:rPr>
        <w:t>T</w:t>
      </w:r>
      <w:r w:rsidR="007D4A30" w:rsidRPr="007D4A30">
        <w:rPr>
          <w:rFonts w:asciiTheme="minorBidi" w:hAnsiTheme="minorBidi"/>
          <w:sz w:val="24"/>
          <w:szCs w:val="24"/>
        </w:rPr>
        <w:t>his variable examine</w:t>
      </w:r>
      <w:r w:rsidR="007B5EE6">
        <w:rPr>
          <w:rFonts w:asciiTheme="minorBidi" w:hAnsiTheme="minorBidi"/>
          <w:sz w:val="24"/>
          <w:szCs w:val="24"/>
        </w:rPr>
        <w:t>d</w:t>
      </w:r>
      <w:r w:rsidR="007D4A30" w:rsidRPr="007D4A30">
        <w:rPr>
          <w:rFonts w:asciiTheme="minorBidi" w:hAnsiTheme="minorBidi"/>
          <w:sz w:val="24"/>
          <w:szCs w:val="24"/>
        </w:rPr>
        <w:t xml:space="preserve"> </w:t>
      </w:r>
      <w:r w:rsidR="009D5612">
        <w:rPr>
          <w:rFonts w:asciiTheme="minorBidi" w:hAnsiTheme="minorBidi"/>
          <w:sz w:val="24"/>
          <w:szCs w:val="24"/>
        </w:rPr>
        <w:t xml:space="preserve">OHS </w:t>
      </w:r>
      <w:r w:rsidR="002D6A62">
        <w:rPr>
          <w:rFonts w:asciiTheme="minorBidi" w:hAnsiTheme="minorBidi"/>
          <w:sz w:val="24"/>
          <w:szCs w:val="24"/>
        </w:rPr>
        <w:t>use</w:t>
      </w:r>
      <w:r w:rsidR="007B5EE6">
        <w:rPr>
          <w:rFonts w:asciiTheme="minorBidi" w:hAnsiTheme="minorBidi"/>
          <w:sz w:val="24"/>
          <w:szCs w:val="24"/>
        </w:rPr>
        <w:t xml:space="preserve"> </w:t>
      </w:r>
      <w:r w:rsidR="007D4A30" w:rsidRPr="007D4A30">
        <w:rPr>
          <w:rFonts w:asciiTheme="minorBidi" w:hAnsiTheme="minorBidi"/>
          <w:sz w:val="24"/>
          <w:szCs w:val="24"/>
        </w:rPr>
        <w:t>for various purposes</w:t>
      </w:r>
      <w:r w:rsidR="007B5EE6">
        <w:rPr>
          <w:rFonts w:asciiTheme="minorBidi" w:hAnsiTheme="minorBidi"/>
          <w:sz w:val="24"/>
          <w:szCs w:val="24"/>
        </w:rPr>
        <w:t xml:space="preserve"> and comprised</w:t>
      </w:r>
      <w:r w:rsidR="009D5612">
        <w:rPr>
          <w:rFonts w:asciiTheme="minorBidi" w:hAnsiTheme="minorBidi"/>
          <w:sz w:val="24"/>
          <w:szCs w:val="24"/>
        </w:rPr>
        <w:t xml:space="preserve"> four statements, e.g.,</w:t>
      </w:r>
      <w:r w:rsidR="007D4A30" w:rsidRPr="007D4A30">
        <w:rPr>
          <w:rFonts w:asciiTheme="minorBidi" w:hAnsiTheme="minorBidi"/>
          <w:sz w:val="24"/>
          <w:szCs w:val="24"/>
        </w:rPr>
        <w:t xml:space="preserve"> </w:t>
      </w:r>
      <w:r w:rsidR="009D5612">
        <w:rPr>
          <w:rFonts w:asciiTheme="minorBidi" w:hAnsiTheme="minorBidi"/>
          <w:sz w:val="24"/>
          <w:szCs w:val="24"/>
        </w:rPr>
        <w:t>“</w:t>
      </w:r>
      <w:r w:rsidR="007D4A30" w:rsidRPr="007D4A30">
        <w:rPr>
          <w:rFonts w:asciiTheme="minorBidi" w:hAnsiTheme="minorBidi"/>
          <w:sz w:val="24"/>
          <w:szCs w:val="24"/>
        </w:rPr>
        <w:t xml:space="preserve">I usually </w:t>
      </w:r>
      <w:r w:rsidR="009D5612">
        <w:rPr>
          <w:rFonts w:asciiTheme="minorBidi" w:hAnsiTheme="minorBidi"/>
          <w:sz w:val="24"/>
          <w:szCs w:val="24"/>
        </w:rPr>
        <w:t xml:space="preserve">renew my </w:t>
      </w:r>
      <w:r w:rsidR="007D4A30" w:rsidRPr="007D4A30">
        <w:rPr>
          <w:rFonts w:asciiTheme="minorBidi" w:hAnsiTheme="minorBidi"/>
          <w:sz w:val="24"/>
          <w:szCs w:val="24"/>
        </w:rPr>
        <w:t xml:space="preserve">prescriptions or </w:t>
      </w:r>
      <w:r w:rsidR="009D5612">
        <w:rPr>
          <w:rFonts w:asciiTheme="minorBidi" w:hAnsiTheme="minorBidi"/>
          <w:sz w:val="24"/>
          <w:szCs w:val="24"/>
        </w:rPr>
        <w:t xml:space="preserve">request </w:t>
      </w:r>
      <w:r w:rsidR="007D4A30" w:rsidRPr="007D4A30">
        <w:rPr>
          <w:rFonts w:asciiTheme="minorBidi" w:hAnsiTheme="minorBidi"/>
          <w:sz w:val="24"/>
          <w:szCs w:val="24"/>
        </w:rPr>
        <w:t xml:space="preserve">various medical approvals </w:t>
      </w:r>
      <w:r w:rsidR="007B5EE6">
        <w:rPr>
          <w:rFonts w:asciiTheme="minorBidi" w:hAnsiTheme="minorBidi"/>
          <w:sz w:val="24"/>
          <w:szCs w:val="24"/>
        </w:rPr>
        <w:t>through the</w:t>
      </w:r>
      <w:r w:rsidR="007D4A30" w:rsidRPr="007D4A30">
        <w:rPr>
          <w:rFonts w:asciiTheme="minorBidi" w:hAnsiTheme="minorBidi"/>
          <w:sz w:val="24"/>
          <w:szCs w:val="24"/>
        </w:rPr>
        <w:t xml:space="preserve"> computer or app.</w:t>
      </w:r>
      <w:r w:rsidR="009D5612">
        <w:rPr>
          <w:rFonts w:asciiTheme="minorBidi" w:hAnsiTheme="minorBidi"/>
          <w:sz w:val="24"/>
          <w:szCs w:val="24"/>
        </w:rPr>
        <w:t>”</w:t>
      </w:r>
      <w:r w:rsidR="007D4A30" w:rsidRPr="007D4A30">
        <w:rPr>
          <w:rFonts w:asciiTheme="minorBidi" w:hAnsiTheme="minorBidi"/>
          <w:sz w:val="24"/>
          <w:szCs w:val="24"/>
        </w:rPr>
        <w:t xml:space="preserve"> Cronbach's alpha reliability</w:t>
      </w:r>
      <w:r w:rsidR="00127E3C">
        <w:rPr>
          <w:rFonts w:asciiTheme="minorBidi" w:hAnsiTheme="minorBidi"/>
          <w:sz w:val="24"/>
          <w:szCs w:val="24"/>
        </w:rPr>
        <w:t xml:space="preserve">: </w:t>
      </w:r>
      <w:r w:rsidR="007D4A30" w:rsidRPr="007D4A30">
        <w:rPr>
          <w:rFonts w:asciiTheme="minorBidi" w:hAnsiTheme="minorBidi"/>
          <w:sz w:val="24"/>
          <w:szCs w:val="24"/>
        </w:rPr>
        <w:t>0.67.</w:t>
      </w:r>
    </w:p>
    <w:p w14:paraId="768EB45E" w14:textId="77777777" w:rsidR="005A0783" w:rsidRDefault="005A0783" w:rsidP="005A0783">
      <w:pPr>
        <w:spacing w:line="480" w:lineRule="auto"/>
        <w:jc w:val="both"/>
        <w:rPr>
          <w:rFonts w:asciiTheme="minorBidi" w:hAnsiTheme="minorBidi"/>
          <w:b/>
          <w:bCs/>
          <w:sz w:val="24"/>
          <w:szCs w:val="24"/>
        </w:rPr>
      </w:pPr>
    </w:p>
    <w:p w14:paraId="5BAA794D" w14:textId="77777777" w:rsidR="005A0783" w:rsidRDefault="005A0783" w:rsidP="005A0783">
      <w:pPr>
        <w:spacing w:line="480" w:lineRule="auto"/>
        <w:jc w:val="both"/>
        <w:rPr>
          <w:rFonts w:asciiTheme="minorBidi" w:hAnsiTheme="minorBidi"/>
          <w:b/>
          <w:bCs/>
          <w:sz w:val="24"/>
          <w:szCs w:val="24"/>
        </w:rPr>
      </w:pPr>
      <w:r w:rsidRPr="005A0783">
        <w:rPr>
          <w:rFonts w:asciiTheme="minorBidi" w:hAnsiTheme="minorBidi"/>
          <w:b/>
          <w:bCs/>
          <w:sz w:val="24"/>
          <w:szCs w:val="24"/>
        </w:rPr>
        <w:t>Results</w:t>
      </w:r>
    </w:p>
    <w:p w14:paraId="35FC6241" w14:textId="38FCDC6D" w:rsidR="000653E3" w:rsidRPr="000653E3" w:rsidRDefault="000653E3" w:rsidP="00114966">
      <w:pPr>
        <w:spacing w:line="480" w:lineRule="auto"/>
        <w:jc w:val="both"/>
        <w:rPr>
          <w:rFonts w:asciiTheme="minorBidi" w:hAnsiTheme="minorBidi"/>
          <w:sz w:val="24"/>
          <w:szCs w:val="24"/>
        </w:rPr>
      </w:pPr>
      <w:r w:rsidRPr="000653E3">
        <w:rPr>
          <w:rFonts w:asciiTheme="minorBidi" w:hAnsiTheme="minorBidi"/>
          <w:sz w:val="24"/>
          <w:szCs w:val="24"/>
        </w:rPr>
        <w:t>Table 2 shows that about half the respondents use</w:t>
      </w:r>
      <w:r w:rsidR="00114966">
        <w:rPr>
          <w:rFonts w:asciiTheme="minorBidi" w:hAnsiTheme="minorBidi"/>
          <w:sz w:val="24"/>
          <w:szCs w:val="24"/>
        </w:rPr>
        <w:t>d</w:t>
      </w:r>
      <w:r w:rsidRPr="000653E3">
        <w:rPr>
          <w:rFonts w:asciiTheme="minorBidi" w:hAnsiTheme="minorBidi"/>
          <w:sz w:val="24"/>
          <w:szCs w:val="24"/>
        </w:rPr>
        <w:t xml:space="preserve"> OHS extensively (49.29%), </w:t>
      </w:r>
      <w:r>
        <w:rPr>
          <w:rFonts w:asciiTheme="minorBidi" w:hAnsiTheme="minorBidi"/>
          <w:sz w:val="24"/>
          <w:szCs w:val="24"/>
        </w:rPr>
        <w:t xml:space="preserve">while </w:t>
      </w:r>
      <w:r w:rsidRPr="000653E3">
        <w:rPr>
          <w:rFonts w:asciiTheme="minorBidi" w:hAnsiTheme="minorBidi"/>
          <w:sz w:val="24"/>
          <w:szCs w:val="24"/>
        </w:rPr>
        <w:t xml:space="preserve">only a </w:t>
      </w:r>
      <w:r>
        <w:rPr>
          <w:rFonts w:asciiTheme="minorBidi" w:hAnsiTheme="minorBidi"/>
          <w:sz w:val="24"/>
          <w:szCs w:val="24"/>
        </w:rPr>
        <w:t>few</w:t>
      </w:r>
      <w:r w:rsidRPr="000653E3">
        <w:rPr>
          <w:rFonts w:asciiTheme="minorBidi" w:hAnsiTheme="minorBidi"/>
          <w:sz w:val="24"/>
          <w:szCs w:val="24"/>
        </w:rPr>
        <w:t xml:space="preserve"> </w:t>
      </w:r>
      <w:r w:rsidR="00114966" w:rsidRPr="000653E3">
        <w:rPr>
          <w:rFonts w:asciiTheme="minorBidi" w:hAnsiTheme="minorBidi"/>
          <w:sz w:val="24"/>
          <w:szCs w:val="24"/>
        </w:rPr>
        <w:t>prefer</w:t>
      </w:r>
      <w:r w:rsidR="00114966">
        <w:rPr>
          <w:rFonts w:asciiTheme="minorBidi" w:hAnsiTheme="minorBidi"/>
          <w:sz w:val="24"/>
          <w:szCs w:val="24"/>
        </w:rPr>
        <w:t>red</w:t>
      </w:r>
      <w:r w:rsidRPr="000653E3">
        <w:rPr>
          <w:rFonts w:asciiTheme="minorBidi" w:hAnsiTheme="minorBidi"/>
          <w:sz w:val="24"/>
          <w:szCs w:val="24"/>
        </w:rPr>
        <w:t xml:space="preserve"> </w:t>
      </w:r>
      <w:r w:rsidR="00114966">
        <w:rPr>
          <w:rFonts w:asciiTheme="minorBidi" w:hAnsiTheme="minorBidi"/>
          <w:sz w:val="24"/>
          <w:szCs w:val="24"/>
        </w:rPr>
        <w:t>in-person</w:t>
      </w:r>
      <w:r w:rsidRPr="000653E3">
        <w:rPr>
          <w:rFonts w:asciiTheme="minorBidi" w:hAnsiTheme="minorBidi"/>
          <w:sz w:val="24"/>
          <w:szCs w:val="24"/>
        </w:rPr>
        <w:t xml:space="preserve"> treatment (14%). </w:t>
      </w:r>
      <w:r w:rsidR="00114966">
        <w:rPr>
          <w:rFonts w:asciiTheme="minorBidi" w:hAnsiTheme="minorBidi"/>
          <w:sz w:val="24"/>
          <w:szCs w:val="24"/>
        </w:rPr>
        <w:t>Furthermore, i</w:t>
      </w:r>
      <w:r w:rsidRPr="000653E3">
        <w:rPr>
          <w:rFonts w:asciiTheme="minorBidi" w:hAnsiTheme="minorBidi"/>
          <w:sz w:val="24"/>
          <w:szCs w:val="24"/>
        </w:rPr>
        <w:t xml:space="preserve">t </w:t>
      </w:r>
      <w:r w:rsidR="00114966">
        <w:rPr>
          <w:rFonts w:asciiTheme="minorBidi" w:hAnsiTheme="minorBidi"/>
          <w:sz w:val="24"/>
          <w:szCs w:val="24"/>
        </w:rPr>
        <w:t xml:space="preserve">demonstrates </w:t>
      </w:r>
      <w:r w:rsidRPr="000653E3">
        <w:rPr>
          <w:rFonts w:asciiTheme="minorBidi" w:hAnsiTheme="minorBidi"/>
          <w:sz w:val="24"/>
          <w:szCs w:val="24"/>
        </w:rPr>
        <w:t>that most participants</w:t>
      </w:r>
      <w:r w:rsidR="00114966">
        <w:rPr>
          <w:rFonts w:asciiTheme="minorBidi" w:hAnsiTheme="minorBidi"/>
          <w:sz w:val="24"/>
          <w:szCs w:val="24"/>
        </w:rPr>
        <w:t xml:space="preserve"> perceived the e</w:t>
      </w:r>
      <w:r w:rsidR="003440AD">
        <w:rPr>
          <w:rFonts w:asciiTheme="minorBidi" w:hAnsiTheme="minorBidi"/>
          <w:sz w:val="24"/>
          <w:szCs w:val="24"/>
        </w:rPr>
        <w:t>fficacy</w:t>
      </w:r>
      <w:r w:rsidRPr="000653E3">
        <w:rPr>
          <w:rFonts w:asciiTheme="minorBidi" w:hAnsiTheme="minorBidi"/>
          <w:sz w:val="24"/>
          <w:szCs w:val="24"/>
        </w:rPr>
        <w:t xml:space="preserve"> and s</w:t>
      </w:r>
      <w:r w:rsidR="003440AD">
        <w:rPr>
          <w:rFonts w:asciiTheme="minorBidi" w:hAnsiTheme="minorBidi"/>
          <w:sz w:val="24"/>
          <w:szCs w:val="24"/>
        </w:rPr>
        <w:t>afety</w:t>
      </w:r>
      <w:r w:rsidRPr="000653E3">
        <w:rPr>
          <w:rFonts w:asciiTheme="minorBidi" w:hAnsiTheme="minorBidi"/>
          <w:sz w:val="24"/>
          <w:szCs w:val="24"/>
        </w:rPr>
        <w:t xml:space="preserve"> of online treatment</w:t>
      </w:r>
      <w:r w:rsidR="00114966">
        <w:rPr>
          <w:rFonts w:asciiTheme="minorBidi" w:hAnsiTheme="minorBidi"/>
          <w:sz w:val="24"/>
          <w:szCs w:val="24"/>
        </w:rPr>
        <w:t xml:space="preserve"> and their o</w:t>
      </w:r>
      <w:r w:rsidRPr="000653E3">
        <w:rPr>
          <w:rFonts w:asciiTheme="minorBidi" w:hAnsiTheme="minorBidi"/>
          <w:sz w:val="24"/>
          <w:szCs w:val="24"/>
        </w:rPr>
        <w:t>nline health literacy</w:t>
      </w:r>
      <w:r w:rsidR="00114966">
        <w:rPr>
          <w:rFonts w:asciiTheme="minorBidi" w:hAnsiTheme="minorBidi"/>
          <w:sz w:val="24"/>
          <w:szCs w:val="24"/>
        </w:rPr>
        <w:t xml:space="preserve"> as</w:t>
      </w:r>
      <w:r w:rsidRPr="000653E3">
        <w:rPr>
          <w:rFonts w:asciiTheme="minorBidi" w:hAnsiTheme="minorBidi"/>
          <w:sz w:val="24"/>
          <w:szCs w:val="24"/>
        </w:rPr>
        <w:t xml:space="preserve"> moderate (57.14% and 56.29%</w:t>
      </w:r>
      <w:r w:rsidR="003440AD">
        <w:rPr>
          <w:rFonts w:asciiTheme="minorBidi" w:hAnsiTheme="minorBidi"/>
          <w:sz w:val="24"/>
          <w:szCs w:val="24"/>
        </w:rPr>
        <w:t>,</w:t>
      </w:r>
      <w:r w:rsidRPr="000653E3">
        <w:rPr>
          <w:rFonts w:asciiTheme="minorBidi" w:hAnsiTheme="minorBidi"/>
          <w:sz w:val="24"/>
          <w:szCs w:val="24"/>
        </w:rPr>
        <w:t xml:space="preserve"> respectively).</w:t>
      </w:r>
    </w:p>
    <w:p w14:paraId="2E5224F1" w14:textId="2DFAD361" w:rsidR="000653E3" w:rsidRPr="000653E3" w:rsidRDefault="000653E3" w:rsidP="004828BE">
      <w:pPr>
        <w:spacing w:line="480" w:lineRule="auto"/>
        <w:jc w:val="both"/>
        <w:rPr>
          <w:rFonts w:asciiTheme="minorBidi" w:hAnsiTheme="minorBidi"/>
          <w:sz w:val="24"/>
          <w:szCs w:val="24"/>
        </w:rPr>
      </w:pPr>
      <w:r w:rsidRPr="000653E3">
        <w:rPr>
          <w:rFonts w:asciiTheme="minorBidi" w:hAnsiTheme="minorBidi"/>
          <w:sz w:val="24"/>
          <w:szCs w:val="24"/>
        </w:rPr>
        <w:t xml:space="preserve">Table 3 indicates a significant </w:t>
      </w:r>
      <w:r w:rsidR="007020B0">
        <w:rPr>
          <w:rFonts w:asciiTheme="minorBidi" w:hAnsiTheme="minorBidi"/>
          <w:sz w:val="24"/>
          <w:szCs w:val="24"/>
        </w:rPr>
        <w:t xml:space="preserve">moderate </w:t>
      </w:r>
      <w:r w:rsidRPr="000653E3">
        <w:rPr>
          <w:rFonts w:asciiTheme="minorBidi" w:hAnsiTheme="minorBidi"/>
          <w:sz w:val="24"/>
          <w:szCs w:val="24"/>
        </w:rPr>
        <w:t xml:space="preserve">positive correlation between OHS </w:t>
      </w:r>
      <w:r w:rsidR="002D6A62">
        <w:rPr>
          <w:rFonts w:asciiTheme="minorBidi" w:hAnsiTheme="minorBidi"/>
          <w:sz w:val="24"/>
          <w:szCs w:val="24"/>
        </w:rPr>
        <w:t>use</w:t>
      </w:r>
      <w:r w:rsidRPr="000653E3">
        <w:rPr>
          <w:rFonts w:asciiTheme="minorBidi" w:hAnsiTheme="minorBidi"/>
          <w:sz w:val="24"/>
          <w:szCs w:val="24"/>
        </w:rPr>
        <w:t xml:space="preserve"> and online health literacy (r=.54, p&lt;0.01) and between </w:t>
      </w:r>
      <w:r w:rsidR="00535F79">
        <w:rPr>
          <w:rFonts w:asciiTheme="minorBidi" w:hAnsiTheme="minorBidi"/>
          <w:sz w:val="24"/>
          <w:szCs w:val="24"/>
        </w:rPr>
        <w:t>perceived</w:t>
      </w:r>
      <w:r w:rsidRPr="000653E3">
        <w:rPr>
          <w:rFonts w:asciiTheme="minorBidi" w:hAnsiTheme="minorBidi"/>
          <w:sz w:val="24"/>
          <w:szCs w:val="24"/>
        </w:rPr>
        <w:t xml:space="preserve"> </w:t>
      </w:r>
      <w:r w:rsidR="003440AD">
        <w:rPr>
          <w:rFonts w:asciiTheme="minorBidi" w:hAnsiTheme="minorBidi"/>
          <w:sz w:val="24"/>
          <w:szCs w:val="24"/>
        </w:rPr>
        <w:t>efficacy</w:t>
      </w:r>
      <w:r w:rsidRPr="000653E3">
        <w:rPr>
          <w:rFonts w:asciiTheme="minorBidi" w:hAnsiTheme="minorBidi"/>
          <w:sz w:val="24"/>
          <w:szCs w:val="24"/>
        </w:rPr>
        <w:t xml:space="preserve"> and s</w:t>
      </w:r>
      <w:r w:rsidR="003440AD">
        <w:rPr>
          <w:rFonts w:asciiTheme="minorBidi" w:hAnsiTheme="minorBidi"/>
          <w:sz w:val="24"/>
          <w:szCs w:val="24"/>
        </w:rPr>
        <w:t>afety</w:t>
      </w:r>
      <w:r w:rsidRPr="000653E3">
        <w:rPr>
          <w:rFonts w:asciiTheme="minorBidi" w:hAnsiTheme="minorBidi"/>
          <w:sz w:val="24"/>
          <w:szCs w:val="24"/>
        </w:rPr>
        <w:t xml:space="preserve"> </w:t>
      </w:r>
      <w:r w:rsidR="003440AD">
        <w:rPr>
          <w:rFonts w:asciiTheme="minorBidi" w:hAnsiTheme="minorBidi"/>
          <w:sz w:val="24"/>
          <w:szCs w:val="24"/>
        </w:rPr>
        <w:t>of</w:t>
      </w:r>
      <w:r w:rsidRPr="000653E3">
        <w:rPr>
          <w:rFonts w:asciiTheme="minorBidi" w:hAnsiTheme="minorBidi"/>
          <w:sz w:val="24"/>
          <w:szCs w:val="24"/>
        </w:rPr>
        <w:t xml:space="preserve"> online treatment (r=.51, p&lt;0.01). </w:t>
      </w:r>
      <w:r w:rsidR="004828BE">
        <w:rPr>
          <w:rFonts w:asciiTheme="minorBidi" w:hAnsiTheme="minorBidi"/>
          <w:sz w:val="24"/>
          <w:szCs w:val="24"/>
        </w:rPr>
        <w:t>Additionally, the results demonstrate</w:t>
      </w:r>
      <w:r w:rsidR="002E1D15">
        <w:rPr>
          <w:rFonts w:asciiTheme="minorBidi" w:hAnsiTheme="minorBidi"/>
          <w:sz w:val="24"/>
          <w:szCs w:val="24"/>
        </w:rPr>
        <w:t xml:space="preserve"> </w:t>
      </w:r>
      <w:r w:rsidRPr="000653E3">
        <w:rPr>
          <w:rFonts w:asciiTheme="minorBidi" w:hAnsiTheme="minorBidi"/>
          <w:sz w:val="24"/>
          <w:szCs w:val="24"/>
        </w:rPr>
        <w:t xml:space="preserve">a significant </w:t>
      </w:r>
      <w:r w:rsidR="007020B0">
        <w:rPr>
          <w:rFonts w:asciiTheme="minorBidi" w:hAnsiTheme="minorBidi"/>
          <w:sz w:val="24"/>
          <w:szCs w:val="24"/>
        </w:rPr>
        <w:t xml:space="preserve">moderate </w:t>
      </w:r>
      <w:r w:rsidRPr="000653E3">
        <w:rPr>
          <w:rFonts w:asciiTheme="minorBidi" w:hAnsiTheme="minorBidi"/>
          <w:sz w:val="24"/>
          <w:szCs w:val="24"/>
        </w:rPr>
        <w:t xml:space="preserve">negative correlation between preference for </w:t>
      </w:r>
      <w:r w:rsidR="004828BE">
        <w:rPr>
          <w:rFonts w:asciiTheme="minorBidi" w:hAnsiTheme="minorBidi"/>
          <w:sz w:val="24"/>
          <w:szCs w:val="24"/>
        </w:rPr>
        <w:t>in-person</w:t>
      </w:r>
      <w:r w:rsidRPr="000653E3">
        <w:rPr>
          <w:rFonts w:asciiTheme="minorBidi" w:hAnsiTheme="minorBidi"/>
          <w:sz w:val="24"/>
          <w:szCs w:val="24"/>
        </w:rPr>
        <w:t xml:space="preserve"> treatment and OHS </w:t>
      </w:r>
      <w:r w:rsidR="002D6A62">
        <w:rPr>
          <w:rFonts w:asciiTheme="minorBidi" w:hAnsiTheme="minorBidi"/>
          <w:sz w:val="24"/>
          <w:szCs w:val="24"/>
        </w:rPr>
        <w:t>use</w:t>
      </w:r>
      <w:r w:rsidRPr="000653E3">
        <w:rPr>
          <w:rFonts w:asciiTheme="minorBidi" w:hAnsiTheme="minorBidi"/>
          <w:sz w:val="24"/>
          <w:szCs w:val="24"/>
        </w:rPr>
        <w:t xml:space="preserve"> (r=-.37, p&lt;0.01) and a positive correlation with perceived </w:t>
      </w:r>
      <w:r w:rsidR="002E1D15">
        <w:rPr>
          <w:rFonts w:asciiTheme="minorBidi" w:hAnsiTheme="minorBidi"/>
          <w:sz w:val="24"/>
          <w:szCs w:val="24"/>
        </w:rPr>
        <w:t>efficacy</w:t>
      </w:r>
      <w:r w:rsidRPr="000653E3">
        <w:rPr>
          <w:rFonts w:asciiTheme="minorBidi" w:hAnsiTheme="minorBidi"/>
          <w:sz w:val="24"/>
          <w:szCs w:val="24"/>
        </w:rPr>
        <w:t xml:space="preserve"> and s</w:t>
      </w:r>
      <w:r w:rsidR="002E1D15">
        <w:rPr>
          <w:rFonts w:asciiTheme="minorBidi" w:hAnsiTheme="minorBidi"/>
          <w:sz w:val="24"/>
          <w:szCs w:val="24"/>
        </w:rPr>
        <w:t>afety</w:t>
      </w:r>
      <w:r w:rsidRPr="000653E3">
        <w:rPr>
          <w:rFonts w:asciiTheme="minorBidi" w:hAnsiTheme="minorBidi"/>
          <w:sz w:val="24"/>
          <w:szCs w:val="24"/>
        </w:rPr>
        <w:t xml:space="preserve"> of online treatment (r=.50, p&lt;0.01) and online health literacy (r=.51, p&lt;0.01).</w:t>
      </w:r>
    </w:p>
    <w:p w14:paraId="205FF66A" w14:textId="35D39C53" w:rsidR="000653E3" w:rsidRDefault="000653E3" w:rsidP="0000747D">
      <w:pPr>
        <w:spacing w:line="480" w:lineRule="auto"/>
        <w:jc w:val="both"/>
        <w:rPr>
          <w:rFonts w:asciiTheme="minorBidi" w:hAnsiTheme="minorBidi"/>
          <w:sz w:val="24"/>
          <w:szCs w:val="24"/>
        </w:rPr>
      </w:pPr>
      <w:r w:rsidRPr="000653E3">
        <w:rPr>
          <w:rFonts w:asciiTheme="minorBidi" w:hAnsiTheme="minorBidi"/>
          <w:sz w:val="24"/>
          <w:szCs w:val="24"/>
        </w:rPr>
        <w:t xml:space="preserve">Table 4 presents OHS </w:t>
      </w:r>
      <w:r w:rsidR="002D6A62">
        <w:rPr>
          <w:rFonts w:asciiTheme="minorBidi" w:hAnsiTheme="minorBidi"/>
          <w:sz w:val="24"/>
          <w:szCs w:val="24"/>
        </w:rPr>
        <w:t>use</w:t>
      </w:r>
      <w:r w:rsidR="00D93925">
        <w:rPr>
          <w:rFonts w:asciiTheme="minorBidi" w:hAnsiTheme="minorBidi"/>
          <w:sz w:val="24"/>
          <w:szCs w:val="24"/>
        </w:rPr>
        <w:t xml:space="preserve"> predictors</w:t>
      </w:r>
      <w:r w:rsidRPr="000653E3">
        <w:rPr>
          <w:rFonts w:asciiTheme="minorBidi" w:hAnsiTheme="minorBidi"/>
          <w:sz w:val="24"/>
          <w:szCs w:val="24"/>
        </w:rPr>
        <w:t xml:space="preserve">. The analysis was </w:t>
      </w:r>
      <w:r w:rsidR="00F04C2E">
        <w:rPr>
          <w:rFonts w:asciiTheme="minorBidi" w:hAnsiTheme="minorBidi"/>
          <w:sz w:val="24"/>
          <w:szCs w:val="24"/>
        </w:rPr>
        <w:t>conducted</w:t>
      </w:r>
      <w:r w:rsidRPr="000653E3">
        <w:rPr>
          <w:rFonts w:asciiTheme="minorBidi" w:hAnsiTheme="minorBidi"/>
          <w:sz w:val="24"/>
          <w:szCs w:val="24"/>
        </w:rPr>
        <w:t xml:space="preserve"> using hierarchical regression in two stages, keeping background variables constant. In the first stage, background variables (age, gender, chronic illness, education) were entered into the model. In the second stage, independent variables (</w:t>
      </w:r>
      <w:r w:rsidR="0000747D">
        <w:rPr>
          <w:rFonts w:asciiTheme="minorBidi" w:hAnsiTheme="minorBidi"/>
          <w:sz w:val="24"/>
          <w:szCs w:val="24"/>
        </w:rPr>
        <w:t xml:space="preserve">perceived </w:t>
      </w:r>
      <w:r w:rsidR="00F04C2E">
        <w:rPr>
          <w:rFonts w:asciiTheme="minorBidi" w:hAnsiTheme="minorBidi"/>
          <w:sz w:val="24"/>
          <w:szCs w:val="24"/>
        </w:rPr>
        <w:t>efficacy</w:t>
      </w:r>
      <w:r w:rsidRPr="000653E3">
        <w:rPr>
          <w:rFonts w:asciiTheme="minorBidi" w:hAnsiTheme="minorBidi"/>
          <w:sz w:val="24"/>
          <w:szCs w:val="24"/>
        </w:rPr>
        <w:t xml:space="preserve"> and s</w:t>
      </w:r>
      <w:r w:rsidR="00F04C2E">
        <w:rPr>
          <w:rFonts w:asciiTheme="minorBidi" w:hAnsiTheme="minorBidi"/>
          <w:sz w:val="24"/>
          <w:szCs w:val="24"/>
        </w:rPr>
        <w:t>afety of</w:t>
      </w:r>
      <w:r w:rsidRPr="000653E3">
        <w:rPr>
          <w:rFonts w:asciiTheme="minorBidi" w:hAnsiTheme="minorBidi"/>
          <w:sz w:val="24"/>
          <w:szCs w:val="24"/>
        </w:rPr>
        <w:t xml:space="preserve"> online treatment, preference for </w:t>
      </w:r>
      <w:r w:rsidR="0000747D">
        <w:rPr>
          <w:rFonts w:asciiTheme="minorBidi" w:hAnsiTheme="minorBidi"/>
          <w:sz w:val="24"/>
          <w:szCs w:val="24"/>
        </w:rPr>
        <w:t>in-person</w:t>
      </w:r>
      <w:r w:rsidRPr="000653E3">
        <w:rPr>
          <w:rFonts w:asciiTheme="minorBidi" w:hAnsiTheme="minorBidi"/>
          <w:sz w:val="24"/>
          <w:szCs w:val="24"/>
        </w:rPr>
        <w:t xml:space="preserve"> treatment, and online health literacy) were </w:t>
      </w:r>
      <w:r w:rsidR="00F04C2E">
        <w:rPr>
          <w:rFonts w:asciiTheme="minorBidi" w:hAnsiTheme="minorBidi"/>
          <w:sz w:val="24"/>
          <w:szCs w:val="24"/>
        </w:rPr>
        <w:t>added</w:t>
      </w:r>
      <w:r w:rsidRPr="000653E3">
        <w:rPr>
          <w:rFonts w:asciiTheme="minorBidi" w:hAnsiTheme="minorBidi"/>
          <w:sz w:val="24"/>
          <w:szCs w:val="24"/>
        </w:rPr>
        <w:t>.</w:t>
      </w:r>
    </w:p>
    <w:p w14:paraId="1C7CF137" w14:textId="11E0CD1C" w:rsidR="000653E3" w:rsidRPr="000653E3" w:rsidRDefault="000653E3" w:rsidP="008A7CCE">
      <w:pPr>
        <w:spacing w:line="480" w:lineRule="auto"/>
        <w:jc w:val="both"/>
        <w:rPr>
          <w:rFonts w:asciiTheme="minorBidi" w:hAnsiTheme="minorBidi"/>
          <w:sz w:val="24"/>
          <w:szCs w:val="24"/>
        </w:rPr>
      </w:pPr>
      <w:r w:rsidRPr="000653E3">
        <w:rPr>
          <w:rFonts w:asciiTheme="minorBidi" w:hAnsiTheme="minorBidi"/>
          <w:sz w:val="24"/>
          <w:szCs w:val="24"/>
        </w:rPr>
        <w:t>Model 1</w:t>
      </w:r>
      <w:r w:rsidR="000921A4">
        <w:rPr>
          <w:rFonts w:asciiTheme="minorBidi" w:hAnsiTheme="minorBidi"/>
          <w:sz w:val="24"/>
          <w:szCs w:val="24"/>
        </w:rPr>
        <w:t xml:space="preserve"> shows that</w:t>
      </w:r>
      <w:r w:rsidRPr="000653E3">
        <w:rPr>
          <w:rFonts w:asciiTheme="minorBidi" w:hAnsiTheme="minorBidi"/>
          <w:sz w:val="24"/>
          <w:szCs w:val="24"/>
        </w:rPr>
        <w:t xml:space="preserve"> background variables explain 2.6% of the variance in OHS </w:t>
      </w:r>
      <w:r w:rsidR="002D6A62">
        <w:rPr>
          <w:rFonts w:asciiTheme="minorBidi" w:hAnsiTheme="minorBidi"/>
          <w:sz w:val="24"/>
          <w:szCs w:val="24"/>
        </w:rPr>
        <w:t>use</w:t>
      </w:r>
      <w:r w:rsidRPr="000653E3">
        <w:rPr>
          <w:rFonts w:asciiTheme="minorBidi" w:hAnsiTheme="minorBidi"/>
          <w:sz w:val="24"/>
          <w:szCs w:val="24"/>
        </w:rPr>
        <w:t xml:space="preserve">; </w:t>
      </w:r>
      <w:r w:rsidR="006C16FB">
        <w:rPr>
          <w:rFonts w:asciiTheme="minorBidi" w:hAnsiTheme="minorBidi"/>
          <w:sz w:val="24"/>
          <w:szCs w:val="24"/>
        </w:rPr>
        <w:t xml:space="preserve">academically educated </w:t>
      </w:r>
      <w:r w:rsidRPr="000653E3">
        <w:rPr>
          <w:rFonts w:asciiTheme="minorBidi" w:hAnsiTheme="minorBidi"/>
          <w:sz w:val="24"/>
          <w:szCs w:val="24"/>
        </w:rPr>
        <w:t xml:space="preserve">respondents (β=.94, p&lt;0.01) </w:t>
      </w:r>
      <w:r w:rsidR="008A7CCE">
        <w:rPr>
          <w:rFonts w:asciiTheme="minorBidi" w:hAnsiTheme="minorBidi"/>
          <w:sz w:val="24"/>
          <w:szCs w:val="24"/>
        </w:rPr>
        <w:t>are</w:t>
      </w:r>
      <w:r w:rsidRPr="000653E3">
        <w:rPr>
          <w:rFonts w:asciiTheme="minorBidi" w:hAnsiTheme="minorBidi"/>
          <w:sz w:val="24"/>
          <w:szCs w:val="24"/>
        </w:rPr>
        <w:t xml:space="preserve"> more likely to use OHS</w:t>
      </w:r>
      <w:r w:rsidR="008A7CCE">
        <w:rPr>
          <w:rFonts w:asciiTheme="minorBidi" w:hAnsiTheme="minorBidi"/>
          <w:sz w:val="24"/>
          <w:szCs w:val="24"/>
        </w:rPr>
        <w:t>, while</w:t>
      </w:r>
      <w:r w:rsidRPr="000653E3">
        <w:rPr>
          <w:rFonts w:asciiTheme="minorBidi" w:hAnsiTheme="minorBidi"/>
          <w:sz w:val="24"/>
          <w:szCs w:val="24"/>
        </w:rPr>
        <w:t xml:space="preserve"> </w:t>
      </w:r>
      <w:r w:rsidRPr="000653E3">
        <w:rPr>
          <w:rFonts w:asciiTheme="minorBidi" w:hAnsiTheme="minorBidi"/>
          <w:sz w:val="24"/>
          <w:szCs w:val="24"/>
        </w:rPr>
        <w:lastRenderedPageBreak/>
        <w:t>those with a chronic illness (β=-.096, p&lt;0.05) and older respondents (β=-.104, p&lt;0.01) are less likely to use OHS.</w:t>
      </w:r>
    </w:p>
    <w:p w14:paraId="003E8102" w14:textId="203028B8" w:rsidR="000653E3" w:rsidRPr="000653E3" w:rsidRDefault="000653E3" w:rsidP="00DD2450">
      <w:pPr>
        <w:spacing w:line="480" w:lineRule="auto"/>
        <w:jc w:val="both"/>
        <w:rPr>
          <w:rFonts w:asciiTheme="minorBidi" w:hAnsiTheme="minorBidi"/>
          <w:sz w:val="24"/>
          <w:szCs w:val="24"/>
        </w:rPr>
      </w:pPr>
      <w:r w:rsidRPr="000653E3">
        <w:rPr>
          <w:rFonts w:asciiTheme="minorBidi" w:hAnsiTheme="minorBidi"/>
          <w:sz w:val="24"/>
          <w:szCs w:val="24"/>
        </w:rPr>
        <w:t xml:space="preserve">Model 2 shows that the variables explaining OHS </w:t>
      </w:r>
      <w:r w:rsidR="002D6A62">
        <w:rPr>
          <w:rFonts w:asciiTheme="minorBidi" w:hAnsiTheme="minorBidi"/>
          <w:sz w:val="24"/>
          <w:szCs w:val="24"/>
        </w:rPr>
        <w:t>use</w:t>
      </w:r>
      <w:r w:rsidRPr="000653E3">
        <w:rPr>
          <w:rFonts w:asciiTheme="minorBidi" w:hAnsiTheme="minorBidi"/>
          <w:sz w:val="24"/>
          <w:szCs w:val="24"/>
        </w:rPr>
        <w:t xml:space="preserve"> are chronic illness, online health literacy, </w:t>
      </w:r>
      <w:r w:rsidR="00DD2450">
        <w:rPr>
          <w:rFonts w:asciiTheme="minorBidi" w:hAnsiTheme="minorBidi"/>
          <w:sz w:val="24"/>
          <w:szCs w:val="24"/>
        </w:rPr>
        <w:t xml:space="preserve">perceived </w:t>
      </w:r>
      <w:r w:rsidR="000921A4">
        <w:rPr>
          <w:rFonts w:asciiTheme="minorBidi" w:hAnsiTheme="minorBidi"/>
          <w:sz w:val="24"/>
          <w:szCs w:val="24"/>
        </w:rPr>
        <w:t>efficacy</w:t>
      </w:r>
      <w:r w:rsidRPr="000653E3">
        <w:rPr>
          <w:rFonts w:asciiTheme="minorBidi" w:hAnsiTheme="minorBidi"/>
          <w:sz w:val="24"/>
          <w:szCs w:val="24"/>
        </w:rPr>
        <w:t xml:space="preserve"> and s</w:t>
      </w:r>
      <w:r w:rsidR="000921A4">
        <w:rPr>
          <w:rFonts w:asciiTheme="minorBidi" w:hAnsiTheme="minorBidi"/>
          <w:sz w:val="24"/>
          <w:szCs w:val="24"/>
        </w:rPr>
        <w:t>afety of</w:t>
      </w:r>
      <w:r w:rsidRPr="000653E3">
        <w:rPr>
          <w:rFonts w:asciiTheme="minorBidi" w:hAnsiTheme="minorBidi"/>
          <w:sz w:val="24"/>
          <w:szCs w:val="24"/>
        </w:rPr>
        <w:t xml:space="preserve"> online treatment, and preference for </w:t>
      </w:r>
      <w:r w:rsidR="00DD2450">
        <w:rPr>
          <w:rFonts w:asciiTheme="minorBidi" w:hAnsiTheme="minorBidi"/>
          <w:sz w:val="24"/>
          <w:szCs w:val="24"/>
        </w:rPr>
        <w:t>in-person</w:t>
      </w:r>
      <w:r w:rsidRPr="000653E3">
        <w:rPr>
          <w:rFonts w:asciiTheme="minorBidi" w:hAnsiTheme="minorBidi"/>
          <w:sz w:val="24"/>
          <w:szCs w:val="24"/>
        </w:rPr>
        <w:t xml:space="preserve"> treatment. Higher online health literacy (β=.38, p&lt;.001) and </w:t>
      </w:r>
      <w:r w:rsidR="00DD2450">
        <w:rPr>
          <w:rFonts w:asciiTheme="minorBidi" w:hAnsiTheme="minorBidi"/>
          <w:sz w:val="24"/>
          <w:szCs w:val="24"/>
        </w:rPr>
        <w:t>perceived efficacy and safety of online treatment</w:t>
      </w:r>
      <w:r w:rsidRPr="000653E3">
        <w:rPr>
          <w:rFonts w:asciiTheme="minorBidi" w:hAnsiTheme="minorBidi"/>
          <w:sz w:val="24"/>
          <w:szCs w:val="24"/>
        </w:rPr>
        <w:t xml:space="preserve"> (β=.24, p&lt;.001) increase OHS </w:t>
      </w:r>
      <w:r w:rsidR="002D6A62">
        <w:rPr>
          <w:rFonts w:asciiTheme="minorBidi" w:hAnsiTheme="minorBidi"/>
          <w:sz w:val="24"/>
          <w:szCs w:val="24"/>
        </w:rPr>
        <w:t>use</w:t>
      </w:r>
      <w:r w:rsidRPr="000653E3">
        <w:rPr>
          <w:rFonts w:asciiTheme="minorBidi" w:hAnsiTheme="minorBidi"/>
          <w:sz w:val="24"/>
          <w:szCs w:val="24"/>
        </w:rPr>
        <w:t xml:space="preserve">. </w:t>
      </w:r>
      <w:r w:rsidR="00BA3576">
        <w:rPr>
          <w:rFonts w:asciiTheme="minorBidi" w:hAnsiTheme="minorBidi"/>
          <w:sz w:val="24"/>
          <w:szCs w:val="24"/>
        </w:rPr>
        <w:t>Conversely</w:t>
      </w:r>
      <w:r w:rsidRPr="000653E3">
        <w:rPr>
          <w:rFonts w:asciiTheme="minorBidi" w:hAnsiTheme="minorBidi"/>
          <w:sz w:val="24"/>
          <w:szCs w:val="24"/>
        </w:rPr>
        <w:t xml:space="preserve">, having a chronic illness (β=-.076, p&lt;.005) and preference for </w:t>
      </w:r>
      <w:r w:rsidR="00DD2450">
        <w:rPr>
          <w:rFonts w:asciiTheme="minorBidi" w:hAnsiTheme="minorBidi"/>
          <w:sz w:val="24"/>
          <w:szCs w:val="24"/>
        </w:rPr>
        <w:t>in-person</w:t>
      </w:r>
      <w:r w:rsidRPr="000653E3">
        <w:rPr>
          <w:rFonts w:asciiTheme="minorBidi" w:hAnsiTheme="minorBidi"/>
          <w:sz w:val="24"/>
          <w:szCs w:val="24"/>
        </w:rPr>
        <w:t xml:space="preserve"> treatment (β=-.167, p&lt;0.01) decrease OHS </w:t>
      </w:r>
      <w:r w:rsidR="002D6A62">
        <w:rPr>
          <w:rFonts w:asciiTheme="minorBidi" w:hAnsiTheme="minorBidi"/>
          <w:sz w:val="24"/>
          <w:szCs w:val="24"/>
        </w:rPr>
        <w:t>use</w:t>
      </w:r>
      <w:r w:rsidRPr="000653E3">
        <w:rPr>
          <w:rFonts w:asciiTheme="minorBidi" w:hAnsiTheme="minorBidi"/>
          <w:sz w:val="24"/>
          <w:szCs w:val="24"/>
        </w:rPr>
        <w:t>. The independent variables add 37.8% to the variance of the dependent variable, beyond demographic variables. Overall, the model explains 40.4% of the variance in the dependent variable.</w:t>
      </w:r>
    </w:p>
    <w:p w14:paraId="78E7DBC7" w14:textId="77777777" w:rsidR="002544A0" w:rsidRDefault="002544A0" w:rsidP="003440AD">
      <w:pPr>
        <w:spacing w:line="480" w:lineRule="auto"/>
        <w:jc w:val="both"/>
        <w:rPr>
          <w:rFonts w:asciiTheme="minorBidi" w:hAnsiTheme="minorBidi"/>
          <w:b/>
          <w:bCs/>
          <w:sz w:val="24"/>
          <w:szCs w:val="24"/>
        </w:rPr>
      </w:pPr>
    </w:p>
    <w:p w14:paraId="71E74805" w14:textId="77777777" w:rsidR="005A0783" w:rsidRDefault="002544A0" w:rsidP="003440AD">
      <w:pPr>
        <w:spacing w:line="480" w:lineRule="auto"/>
        <w:jc w:val="both"/>
        <w:rPr>
          <w:rFonts w:asciiTheme="minorBidi" w:hAnsiTheme="minorBidi"/>
          <w:b/>
          <w:bCs/>
          <w:sz w:val="24"/>
          <w:szCs w:val="24"/>
        </w:rPr>
      </w:pPr>
      <w:r w:rsidRPr="002544A0">
        <w:rPr>
          <w:rFonts w:asciiTheme="minorBidi" w:hAnsiTheme="minorBidi"/>
          <w:b/>
          <w:bCs/>
          <w:sz w:val="24"/>
          <w:szCs w:val="24"/>
        </w:rPr>
        <w:t>Discussion</w:t>
      </w:r>
    </w:p>
    <w:p w14:paraId="50C2D13D" w14:textId="73B2AB8D" w:rsidR="002544A0" w:rsidRDefault="005F6B2E" w:rsidP="001323A8">
      <w:pPr>
        <w:spacing w:line="480" w:lineRule="auto"/>
        <w:jc w:val="both"/>
        <w:rPr>
          <w:rFonts w:asciiTheme="minorBidi" w:hAnsiTheme="minorBidi"/>
          <w:sz w:val="24"/>
          <w:szCs w:val="24"/>
        </w:rPr>
      </w:pPr>
      <w:r w:rsidRPr="005F6B2E">
        <w:rPr>
          <w:rFonts w:asciiTheme="minorBidi" w:hAnsiTheme="minorBidi"/>
          <w:sz w:val="24"/>
          <w:szCs w:val="24"/>
        </w:rPr>
        <w:t xml:space="preserve">Online medical technology, which dramatically </w:t>
      </w:r>
      <w:r>
        <w:rPr>
          <w:rFonts w:asciiTheme="minorBidi" w:hAnsiTheme="minorBidi"/>
          <w:sz w:val="24"/>
          <w:szCs w:val="24"/>
        </w:rPr>
        <w:t>increased</w:t>
      </w:r>
      <w:r w:rsidRPr="005F6B2E">
        <w:rPr>
          <w:rFonts w:asciiTheme="minorBidi" w:hAnsiTheme="minorBidi"/>
          <w:sz w:val="24"/>
          <w:szCs w:val="24"/>
        </w:rPr>
        <w:t xml:space="preserve"> during the COVID-19 </w:t>
      </w:r>
      <w:r>
        <w:rPr>
          <w:rFonts w:asciiTheme="minorBidi" w:hAnsiTheme="minorBidi"/>
          <w:sz w:val="24"/>
          <w:szCs w:val="24"/>
        </w:rPr>
        <w:t>pandemic</w:t>
      </w:r>
      <w:r w:rsidRPr="005F6B2E">
        <w:rPr>
          <w:rFonts w:asciiTheme="minorBidi" w:hAnsiTheme="minorBidi"/>
          <w:sz w:val="24"/>
          <w:szCs w:val="24"/>
        </w:rPr>
        <w:t xml:space="preserve">, enables the provision of health services based on </w:t>
      </w:r>
      <w:r>
        <w:rPr>
          <w:rFonts w:asciiTheme="minorBidi" w:hAnsiTheme="minorBidi"/>
          <w:sz w:val="24"/>
          <w:szCs w:val="24"/>
        </w:rPr>
        <w:t>patient</w:t>
      </w:r>
      <w:r w:rsidR="00FC70F4">
        <w:rPr>
          <w:rFonts w:asciiTheme="minorBidi" w:hAnsiTheme="minorBidi"/>
          <w:sz w:val="24"/>
          <w:szCs w:val="24"/>
        </w:rPr>
        <w:t>-practitioner</w:t>
      </w:r>
      <w:r>
        <w:rPr>
          <w:rFonts w:asciiTheme="minorBidi" w:hAnsiTheme="minorBidi"/>
          <w:sz w:val="24"/>
          <w:szCs w:val="24"/>
        </w:rPr>
        <w:t xml:space="preserve"> </w:t>
      </w:r>
      <w:r w:rsidRPr="005F6B2E">
        <w:rPr>
          <w:rFonts w:asciiTheme="minorBidi" w:hAnsiTheme="minorBidi"/>
          <w:sz w:val="24"/>
          <w:szCs w:val="24"/>
        </w:rPr>
        <w:t>communication, including diagnostic, treatment, and disease prevention services</w:t>
      </w:r>
      <w:r w:rsidR="00620DF3">
        <w:rPr>
          <w:rFonts w:asciiTheme="minorBidi" w:hAnsiTheme="minorBidi"/>
          <w:sz w:val="24"/>
          <w:szCs w:val="24"/>
        </w:rPr>
        <w:t>.</w:t>
      </w:r>
      <w:r w:rsidRPr="005F6B2E">
        <w:rPr>
          <w:rFonts w:ascii="Arial" w:eastAsia="Calibri" w:hAnsi="Arial" w:cs="Arial"/>
          <w:sz w:val="24"/>
          <w:szCs w:val="24"/>
          <w:vertAlign w:val="superscript"/>
          <w:rtl/>
        </w:rPr>
        <w:fldChar w:fldCharType="begin" w:fldLock="1"/>
      </w:r>
      <w:r w:rsidRPr="005F6B2E">
        <w:rPr>
          <w:rFonts w:ascii="Arial" w:eastAsia="Calibri" w:hAnsi="Arial" w:cs="Arial"/>
          <w:sz w:val="24"/>
          <w:szCs w:val="24"/>
          <w:vertAlign w:val="superscript"/>
        </w:rPr>
        <w:instrText>ADDIN CSL_CITATION {"citationItems":[{"id":"ITEM-1","itemData":{"author":[{"dropping-particle":"","family":"WHO","given":"","non-dropping-particle":"","parse-names":false,"suffix":""}],"id":"ITEM-1","issued":{"date-parts":[["2010"]]},"title":"World Health Organization (WHO). Telemedicine: opportunities and developments in Member States: report on the second global survey on eHealth. Global Observatory for eHealth seires","type":"webpage"},"uris":["http://www.mendeley.com/documents/?uuid=d7375f6a-db29-4295-b2a5-42f71520f1d4","http://www.mendeley.com/documents/?uuid=a0fbc8d1-3f5d-4c33-8ea6-6d5b5bad976e"]}],"mendeley":{"formattedCitation":"(22)","manualFormatting":"22","plainTextFormattedCitation":"(22)","previouslyFormattedCitation":"(WHO, 2010)"},"properties":{"noteIndex":0},"schema":"https://github.com/citation-style-language/schema/raw/master/csl-citation.json"}</w:instrText>
      </w:r>
      <w:r w:rsidRPr="005F6B2E">
        <w:rPr>
          <w:rFonts w:ascii="Arial" w:eastAsia="Calibri" w:hAnsi="Arial" w:cs="Arial"/>
          <w:sz w:val="24"/>
          <w:szCs w:val="24"/>
          <w:vertAlign w:val="superscript"/>
          <w:rtl/>
        </w:rPr>
        <w:fldChar w:fldCharType="separate"/>
      </w:r>
      <w:r w:rsidRPr="005F6B2E">
        <w:rPr>
          <w:rFonts w:ascii="Arial" w:eastAsia="Calibri" w:hAnsi="Arial" w:cs="Arial"/>
          <w:noProof/>
          <w:sz w:val="24"/>
          <w:szCs w:val="24"/>
          <w:vertAlign w:val="superscript"/>
        </w:rPr>
        <w:t>22</w:t>
      </w:r>
      <w:r w:rsidRPr="005F6B2E">
        <w:rPr>
          <w:rFonts w:ascii="Arial" w:eastAsia="Calibri" w:hAnsi="Arial" w:cs="Arial"/>
          <w:sz w:val="24"/>
          <w:szCs w:val="24"/>
          <w:vertAlign w:val="superscript"/>
          <w:rtl/>
        </w:rPr>
        <w:fldChar w:fldCharType="end"/>
      </w:r>
      <w:r>
        <w:rPr>
          <w:rFonts w:asciiTheme="minorBidi" w:hAnsiTheme="minorBidi"/>
          <w:sz w:val="24"/>
          <w:szCs w:val="24"/>
        </w:rPr>
        <w:t xml:space="preserve"> </w:t>
      </w:r>
      <w:commentRangeStart w:id="2"/>
      <w:r w:rsidRPr="005F6B2E">
        <w:rPr>
          <w:rFonts w:asciiTheme="minorBidi" w:hAnsiTheme="minorBidi"/>
          <w:sz w:val="24"/>
          <w:szCs w:val="24"/>
        </w:rPr>
        <w:t>In the current study, about half of the respondents use</w:t>
      </w:r>
      <w:r w:rsidR="00FC70F4">
        <w:rPr>
          <w:rFonts w:asciiTheme="minorBidi" w:hAnsiTheme="minorBidi"/>
          <w:sz w:val="24"/>
          <w:szCs w:val="24"/>
        </w:rPr>
        <w:t>d</w:t>
      </w:r>
      <w:r w:rsidRPr="005F6B2E">
        <w:rPr>
          <w:rFonts w:asciiTheme="minorBidi" w:hAnsiTheme="minorBidi"/>
          <w:sz w:val="24"/>
          <w:szCs w:val="24"/>
        </w:rPr>
        <w:t xml:space="preserve"> OHS extensively. This finding is lower than </w:t>
      </w:r>
      <w:r w:rsidR="003E3809">
        <w:rPr>
          <w:rFonts w:asciiTheme="minorBidi" w:hAnsiTheme="minorBidi"/>
          <w:sz w:val="24"/>
          <w:szCs w:val="24"/>
        </w:rPr>
        <w:t xml:space="preserve">that of </w:t>
      </w:r>
      <w:r w:rsidRPr="005F6B2E">
        <w:rPr>
          <w:rFonts w:asciiTheme="minorBidi" w:hAnsiTheme="minorBidi"/>
          <w:sz w:val="24"/>
          <w:szCs w:val="24"/>
        </w:rPr>
        <w:t xml:space="preserve">a previous </w:t>
      </w:r>
      <w:r w:rsidR="00A03B14">
        <w:rPr>
          <w:rFonts w:asciiTheme="minorBidi" w:hAnsiTheme="minorBidi"/>
          <w:sz w:val="24"/>
          <w:szCs w:val="24"/>
        </w:rPr>
        <w:t xml:space="preserve">Israeli </w:t>
      </w:r>
      <w:r w:rsidRPr="005F6B2E">
        <w:rPr>
          <w:rFonts w:asciiTheme="minorBidi" w:hAnsiTheme="minorBidi"/>
          <w:sz w:val="24"/>
          <w:szCs w:val="24"/>
        </w:rPr>
        <w:t xml:space="preserve">study </w:t>
      </w:r>
      <w:r w:rsidR="003E3809" w:rsidRPr="003E3809">
        <w:rPr>
          <w:rFonts w:asciiTheme="minorBidi" w:hAnsiTheme="minorBidi"/>
          <w:sz w:val="24"/>
          <w:szCs w:val="24"/>
        </w:rPr>
        <w:t>conducted</w:t>
      </w:r>
      <w:r w:rsidR="00A03B14">
        <w:rPr>
          <w:rFonts w:asciiTheme="minorBidi" w:hAnsiTheme="minorBidi"/>
          <w:sz w:val="24"/>
          <w:szCs w:val="24"/>
        </w:rPr>
        <w:t xml:space="preserve"> in 2017 in </w:t>
      </w:r>
      <w:r w:rsidR="002600B4">
        <w:rPr>
          <w:rFonts w:asciiTheme="minorBidi" w:hAnsiTheme="minorBidi"/>
          <w:sz w:val="24"/>
          <w:szCs w:val="24"/>
        </w:rPr>
        <w:t>one of the four health funds among</w:t>
      </w:r>
      <w:r w:rsidR="003E3809" w:rsidRPr="003E3809">
        <w:rPr>
          <w:rFonts w:asciiTheme="minorBidi" w:hAnsiTheme="minorBidi"/>
          <w:sz w:val="24"/>
          <w:szCs w:val="24"/>
        </w:rPr>
        <w:t xml:space="preserve"> individuals aged 65 and older, where 63% of </w:t>
      </w:r>
      <w:r w:rsidR="00FC70F4">
        <w:rPr>
          <w:rFonts w:asciiTheme="minorBidi" w:hAnsiTheme="minorBidi"/>
          <w:sz w:val="24"/>
          <w:szCs w:val="24"/>
        </w:rPr>
        <w:t xml:space="preserve">the </w:t>
      </w:r>
      <w:r w:rsidR="003E3809" w:rsidRPr="003E3809">
        <w:rPr>
          <w:rFonts w:asciiTheme="minorBidi" w:hAnsiTheme="minorBidi"/>
          <w:sz w:val="24"/>
          <w:szCs w:val="24"/>
        </w:rPr>
        <w:t xml:space="preserve">respondents </w:t>
      </w:r>
      <w:r w:rsidR="00FC70F4">
        <w:rPr>
          <w:rFonts w:asciiTheme="minorBidi" w:hAnsiTheme="minorBidi"/>
          <w:sz w:val="24"/>
          <w:szCs w:val="24"/>
        </w:rPr>
        <w:t xml:space="preserve">reported using </w:t>
      </w:r>
      <w:r w:rsidR="003E3809" w:rsidRPr="003E3809">
        <w:rPr>
          <w:rFonts w:asciiTheme="minorBidi" w:hAnsiTheme="minorBidi"/>
          <w:sz w:val="24"/>
          <w:szCs w:val="24"/>
        </w:rPr>
        <w:t>these services</w:t>
      </w:r>
      <w:r w:rsidR="00620DF3">
        <w:rPr>
          <w:rFonts w:asciiTheme="minorBidi" w:hAnsiTheme="minorBidi"/>
          <w:sz w:val="24"/>
          <w:szCs w:val="24"/>
        </w:rPr>
        <w:t>.</w:t>
      </w:r>
      <w:r w:rsidR="00885520" w:rsidRPr="00885520">
        <w:rPr>
          <w:rFonts w:ascii="Arial" w:eastAsia="Calibri" w:hAnsi="Arial" w:cs="Arial" w:hint="cs"/>
          <w:sz w:val="24"/>
          <w:szCs w:val="24"/>
          <w:vertAlign w:val="superscript"/>
          <w:rtl/>
        </w:rPr>
        <w:t>23</w:t>
      </w:r>
      <w:commentRangeEnd w:id="2"/>
      <w:r w:rsidR="00FC70F4">
        <w:rPr>
          <w:rStyle w:val="CommentReference"/>
        </w:rPr>
        <w:commentReference w:id="2"/>
      </w:r>
      <w:r w:rsidRPr="005F6B2E">
        <w:rPr>
          <w:rFonts w:asciiTheme="minorBidi" w:hAnsiTheme="minorBidi"/>
          <w:sz w:val="24"/>
          <w:szCs w:val="24"/>
        </w:rPr>
        <w:t xml:space="preserve"> </w:t>
      </w:r>
      <w:r w:rsidR="00DE6984">
        <w:rPr>
          <w:rFonts w:asciiTheme="minorBidi" w:hAnsiTheme="minorBidi"/>
          <w:sz w:val="24"/>
          <w:szCs w:val="24"/>
        </w:rPr>
        <w:t>The sample population could explain this difference:</w:t>
      </w:r>
      <w:r w:rsidRPr="005F6B2E">
        <w:rPr>
          <w:rFonts w:asciiTheme="minorBidi" w:hAnsiTheme="minorBidi"/>
          <w:sz w:val="24"/>
          <w:szCs w:val="24"/>
        </w:rPr>
        <w:t xml:space="preserve"> </w:t>
      </w:r>
      <w:r w:rsidR="00DE6984">
        <w:rPr>
          <w:rFonts w:asciiTheme="minorBidi" w:hAnsiTheme="minorBidi"/>
          <w:sz w:val="24"/>
          <w:szCs w:val="24"/>
        </w:rPr>
        <w:t>w</w:t>
      </w:r>
      <w:r w:rsidRPr="005F6B2E">
        <w:rPr>
          <w:rFonts w:asciiTheme="minorBidi" w:hAnsiTheme="minorBidi"/>
          <w:sz w:val="24"/>
          <w:szCs w:val="24"/>
        </w:rPr>
        <w:t>hile the current study's sample include</w:t>
      </w:r>
      <w:r w:rsidR="00DE6984">
        <w:rPr>
          <w:rFonts w:asciiTheme="minorBidi" w:hAnsiTheme="minorBidi"/>
          <w:sz w:val="24"/>
          <w:szCs w:val="24"/>
        </w:rPr>
        <w:t>d</w:t>
      </w:r>
      <w:r w:rsidRPr="005F6B2E">
        <w:rPr>
          <w:rFonts w:asciiTheme="minorBidi" w:hAnsiTheme="minorBidi"/>
          <w:sz w:val="24"/>
          <w:szCs w:val="24"/>
        </w:rPr>
        <w:t xml:space="preserve"> health consumers from all </w:t>
      </w:r>
      <w:r w:rsidR="00DE6984">
        <w:rPr>
          <w:rFonts w:asciiTheme="minorBidi" w:hAnsiTheme="minorBidi"/>
          <w:sz w:val="24"/>
          <w:szCs w:val="24"/>
        </w:rPr>
        <w:t xml:space="preserve">the </w:t>
      </w:r>
      <w:r w:rsidRPr="005F6B2E">
        <w:rPr>
          <w:rFonts w:asciiTheme="minorBidi" w:hAnsiTheme="minorBidi"/>
          <w:sz w:val="24"/>
          <w:szCs w:val="24"/>
        </w:rPr>
        <w:t xml:space="preserve">health funds, the previous study </w:t>
      </w:r>
      <w:r w:rsidR="00DE6984">
        <w:rPr>
          <w:rFonts w:asciiTheme="minorBidi" w:hAnsiTheme="minorBidi"/>
          <w:sz w:val="24"/>
          <w:szCs w:val="24"/>
        </w:rPr>
        <w:t xml:space="preserve">only </w:t>
      </w:r>
      <w:r w:rsidRPr="005F6B2E">
        <w:rPr>
          <w:rFonts w:asciiTheme="minorBidi" w:hAnsiTheme="minorBidi"/>
          <w:sz w:val="24"/>
          <w:szCs w:val="24"/>
        </w:rPr>
        <w:t xml:space="preserve">involved patients from one fund. </w:t>
      </w:r>
      <w:r w:rsidR="00D66C5D">
        <w:rPr>
          <w:rFonts w:asciiTheme="minorBidi" w:hAnsiTheme="minorBidi"/>
          <w:sz w:val="24"/>
          <w:szCs w:val="24"/>
        </w:rPr>
        <w:t>S</w:t>
      </w:r>
      <w:r w:rsidR="00D93DD1">
        <w:rPr>
          <w:rFonts w:asciiTheme="minorBidi" w:hAnsiTheme="minorBidi"/>
          <w:sz w:val="24"/>
          <w:szCs w:val="24"/>
        </w:rPr>
        <w:t>tudies</w:t>
      </w:r>
      <w:r w:rsidR="00D66C5D">
        <w:rPr>
          <w:rFonts w:asciiTheme="minorBidi" w:hAnsiTheme="minorBidi"/>
          <w:sz w:val="24"/>
          <w:szCs w:val="24"/>
        </w:rPr>
        <w:t xml:space="preserve"> from other countries</w:t>
      </w:r>
      <w:r w:rsidRPr="005F6B2E">
        <w:rPr>
          <w:rFonts w:asciiTheme="minorBidi" w:hAnsiTheme="minorBidi"/>
          <w:sz w:val="24"/>
          <w:szCs w:val="24"/>
        </w:rPr>
        <w:t xml:space="preserve"> </w:t>
      </w:r>
      <w:r w:rsidR="00D93DD1">
        <w:rPr>
          <w:rFonts w:asciiTheme="minorBidi" w:hAnsiTheme="minorBidi"/>
          <w:sz w:val="24"/>
          <w:szCs w:val="24"/>
        </w:rPr>
        <w:t>found</w:t>
      </w:r>
      <w:r w:rsidRPr="005F6B2E">
        <w:rPr>
          <w:rFonts w:asciiTheme="minorBidi" w:hAnsiTheme="minorBidi"/>
          <w:sz w:val="24"/>
          <w:szCs w:val="24"/>
        </w:rPr>
        <w:t xml:space="preserve"> </w:t>
      </w:r>
      <w:r w:rsidR="00DE6984">
        <w:rPr>
          <w:rFonts w:asciiTheme="minorBidi" w:hAnsiTheme="minorBidi"/>
          <w:sz w:val="24"/>
          <w:szCs w:val="24"/>
        </w:rPr>
        <w:t xml:space="preserve">pre-pandemic </w:t>
      </w:r>
      <w:r w:rsidR="002D6A62">
        <w:rPr>
          <w:rFonts w:asciiTheme="minorBidi" w:hAnsiTheme="minorBidi"/>
          <w:sz w:val="24"/>
          <w:szCs w:val="24"/>
        </w:rPr>
        <w:t>use</w:t>
      </w:r>
      <w:r w:rsidRPr="005F6B2E">
        <w:rPr>
          <w:rFonts w:asciiTheme="minorBidi" w:hAnsiTheme="minorBidi"/>
          <w:sz w:val="24"/>
          <w:szCs w:val="24"/>
        </w:rPr>
        <w:t xml:space="preserve"> rates </w:t>
      </w:r>
      <w:r w:rsidR="00D93DD1">
        <w:rPr>
          <w:rFonts w:asciiTheme="minorBidi" w:hAnsiTheme="minorBidi"/>
          <w:sz w:val="24"/>
          <w:szCs w:val="24"/>
        </w:rPr>
        <w:t>to be</w:t>
      </w:r>
      <w:r w:rsidRPr="005F6B2E">
        <w:rPr>
          <w:rFonts w:asciiTheme="minorBidi" w:hAnsiTheme="minorBidi"/>
          <w:sz w:val="24"/>
          <w:szCs w:val="24"/>
        </w:rPr>
        <w:t xml:space="preserve"> around 7-8% </w:t>
      </w:r>
      <w:commentRangeStart w:id="3"/>
      <w:r w:rsidRPr="005F6B2E">
        <w:rPr>
          <w:rFonts w:asciiTheme="minorBidi" w:hAnsiTheme="minorBidi"/>
          <w:sz w:val="24"/>
          <w:szCs w:val="24"/>
        </w:rPr>
        <w:t>in the United States and Germany</w:t>
      </w:r>
      <w:commentRangeEnd w:id="3"/>
      <w:r w:rsidR="00D66C5D">
        <w:rPr>
          <w:rStyle w:val="CommentReference"/>
        </w:rPr>
        <w:commentReference w:id="3"/>
      </w:r>
      <w:r w:rsidR="00620DF3">
        <w:rPr>
          <w:rFonts w:asciiTheme="minorBidi" w:hAnsiTheme="minorBidi"/>
          <w:sz w:val="24"/>
          <w:szCs w:val="24"/>
        </w:rPr>
        <w:t>.</w:t>
      </w:r>
      <w:r w:rsidR="00AA76CA" w:rsidRPr="00AA76CA">
        <w:rPr>
          <w:rFonts w:ascii="Arial" w:eastAsia="Calibri" w:hAnsi="Arial" w:cs="Arial" w:hint="cs"/>
          <w:sz w:val="24"/>
          <w:szCs w:val="24"/>
          <w:vertAlign w:val="superscript"/>
          <w:rtl/>
        </w:rPr>
        <w:t>9,11</w:t>
      </w:r>
      <w:r w:rsidRPr="005F6B2E">
        <w:rPr>
          <w:rFonts w:asciiTheme="minorBidi" w:hAnsiTheme="minorBidi"/>
          <w:sz w:val="24"/>
          <w:szCs w:val="24"/>
        </w:rPr>
        <w:t xml:space="preserve"> The main reason for the </w:t>
      </w:r>
      <w:r w:rsidR="00D66C5D">
        <w:rPr>
          <w:rFonts w:asciiTheme="minorBidi" w:hAnsiTheme="minorBidi"/>
          <w:sz w:val="24"/>
          <w:szCs w:val="24"/>
        </w:rPr>
        <w:t>gaps</w:t>
      </w:r>
      <w:r w:rsidRPr="005F6B2E">
        <w:rPr>
          <w:rFonts w:asciiTheme="minorBidi" w:hAnsiTheme="minorBidi"/>
          <w:sz w:val="24"/>
          <w:szCs w:val="24"/>
        </w:rPr>
        <w:t xml:space="preserve"> in </w:t>
      </w:r>
      <w:r w:rsidR="00D66C5D">
        <w:rPr>
          <w:rFonts w:asciiTheme="minorBidi" w:hAnsiTheme="minorBidi"/>
          <w:sz w:val="24"/>
          <w:szCs w:val="24"/>
        </w:rPr>
        <w:t xml:space="preserve">pre-pandemic </w:t>
      </w:r>
      <w:r w:rsidR="002D6A62">
        <w:rPr>
          <w:rFonts w:asciiTheme="minorBidi" w:hAnsiTheme="minorBidi"/>
          <w:sz w:val="24"/>
          <w:szCs w:val="24"/>
        </w:rPr>
        <w:t>use</w:t>
      </w:r>
      <w:r w:rsidRPr="005F6B2E">
        <w:rPr>
          <w:rFonts w:asciiTheme="minorBidi" w:hAnsiTheme="minorBidi"/>
          <w:sz w:val="24"/>
          <w:szCs w:val="24"/>
        </w:rPr>
        <w:t xml:space="preserve"> rates between Israel and the rest is the Israeli government and </w:t>
      </w:r>
      <w:r w:rsidR="00AF33DA">
        <w:rPr>
          <w:rFonts w:asciiTheme="minorBidi" w:hAnsiTheme="minorBidi"/>
          <w:sz w:val="24"/>
          <w:szCs w:val="24"/>
        </w:rPr>
        <w:t xml:space="preserve">Health </w:t>
      </w:r>
      <w:r w:rsidRPr="005F6B2E">
        <w:rPr>
          <w:rFonts w:asciiTheme="minorBidi" w:hAnsiTheme="minorBidi"/>
          <w:sz w:val="24"/>
          <w:szCs w:val="24"/>
        </w:rPr>
        <w:t xml:space="preserve">Ministry's policy </w:t>
      </w:r>
      <w:r w:rsidR="00AF33DA">
        <w:rPr>
          <w:rFonts w:asciiTheme="minorBidi" w:hAnsiTheme="minorBidi"/>
          <w:sz w:val="24"/>
          <w:szCs w:val="24"/>
        </w:rPr>
        <w:t>of promoting</w:t>
      </w:r>
      <w:r w:rsidRPr="005F6B2E">
        <w:rPr>
          <w:rFonts w:asciiTheme="minorBidi" w:hAnsiTheme="minorBidi"/>
          <w:sz w:val="24"/>
          <w:szCs w:val="24"/>
        </w:rPr>
        <w:t xml:space="preserve"> digital </w:t>
      </w:r>
      <w:r w:rsidRPr="005F6B2E">
        <w:rPr>
          <w:rFonts w:asciiTheme="minorBidi" w:hAnsiTheme="minorBidi"/>
          <w:sz w:val="24"/>
          <w:szCs w:val="24"/>
        </w:rPr>
        <w:lastRenderedPageBreak/>
        <w:t>technologies and mak</w:t>
      </w:r>
      <w:r w:rsidR="00AF33DA">
        <w:rPr>
          <w:rFonts w:asciiTheme="minorBidi" w:hAnsiTheme="minorBidi"/>
          <w:sz w:val="24"/>
          <w:szCs w:val="24"/>
        </w:rPr>
        <w:t>ing</w:t>
      </w:r>
      <w:r w:rsidRPr="005F6B2E">
        <w:rPr>
          <w:rFonts w:asciiTheme="minorBidi" w:hAnsiTheme="minorBidi"/>
          <w:sz w:val="24"/>
          <w:szCs w:val="24"/>
        </w:rPr>
        <w:t xml:space="preserve"> online health services accessible</w:t>
      </w:r>
      <w:r w:rsidR="004136FE">
        <w:rPr>
          <w:rFonts w:asciiTheme="minorBidi" w:hAnsiTheme="minorBidi"/>
          <w:sz w:val="24"/>
          <w:szCs w:val="24"/>
        </w:rPr>
        <w:t>.</w:t>
      </w:r>
      <w:r w:rsidR="00AF33DA" w:rsidRPr="00AF33DA">
        <w:rPr>
          <w:rFonts w:ascii="Arial" w:eastAsia="Calibri" w:hAnsi="Arial" w:cs="Arial"/>
          <w:sz w:val="24"/>
          <w:szCs w:val="24"/>
          <w:vertAlign w:val="superscript"/>
          <w:rtl/>
        </w:rPr>
        <w:fldChar w:fldCharType="begin" w:fldLock="1"/>
      </w:r>
      <w:r w:rsidR="00AF33DA" w:rsidRPr="00AF33DA">
        <w:rPr>
          <w:rFonts w:ascii="Arial" w:eastAsia="Calibri" w:hAnsi="Arial" w:cs="Arial"/>
          <w:sz w:val="24"/>
          <w:szCs w:val="24"/>
          <w:vertAlign w:val="superscript"/>
        </w:rPr>
        <w:instrText>ADDIN CSL_CITATION {"citationItems":[{"id":"ITEM-1","itemData":{"author":[{"dropping-particle":"","family":"Digital Israel","given":"","non-dropping-particle":"","parse-names":false,"suffix":""}],"id":"ITEM-1","issued":{"date-parts":[["2018"]]},"title":"The National Digital Health Program as a growth engine","type":"article-journal"},"uris":["http://www.mendeley.com/documents/?uuid=8b3cf7be-7600-42cd-94ef-89e32329c20b","http://www.mendeley.com/documents/?uuid=0d51ca9c-a5c0-4b8b-ac2f-1b01ad89dac3"]}],"mendeley":{"formattedCitation":"(2)","manualFormatting":"2","plainTextFormattedCitation":"(2)","previouslyFormattedCitation":"(Digital Israel, 2018)"},"properties":{"noteIndex":0},"schema":"https://github.com/citation-style-language/schema/raw/master/csl-citation.json"}</w:instrText>
      </w:r>
      <w:r w:rsidR="00AF33DA" w:rsidRPr="00AF33DA">
        <w:rPr>
          <w:rFonts w:ascii="Arial" w:eastAsia="Calibri" w:hAnsi="Arial" w:cs="Arial"/>
          <w:sz w:val="24"/>
          <w:szCs w:val="24"/>
          <w:vertAlign w:val="superscript"/>
          <w:rtl/>
        </w:rPr>
        <w:fldChar w:fldCharType="separate"/>
      </w:r>
      <w:r w:rsidR="00AF33DA" w:rsidRPr="00AF33DA">
        <w:rPr>
          <w:rFonts w:ascii="Arial" w:eastAsia="Calibri" w:hAnsi="Arial" w:cs="Arial"/>
          <w:noProof/>
          <w:sz w:val="24"/>
          <w:szCs w:val="24"/>
          <w:vertAlign w:val="superscript"/>
        </w:rPr>
        <w:t>2</w:t>
      </w:r>
      <w:r w:rsidR="00AF33DA" w:rsidRPr="00AF33DA">
        <w:rPr>
          <w:rFonts w:ascii="Arial" w:eastAsia="Calibri" w:hAnsi="Arial" w:cs="Arial"/>
          <w:sz w:val="24"/>
          <w:szCs w:val="24"/>
          <w:vertAlign w:val="superscript"/>
          <w:rtl/>
        </w:rPr>
        <w:fldChar w:fldCharType="end"/>
      </w:r>
      <w:r w:rsidR="00AF33DA">
        <w:rPr>
          <w:rFonts w:asciiTheme="minorBidi" w:hAnsiTheme="minorBidi"/>
          <w:sz w:val="24"/>
          <w:szCs w:val="24"/>
        </w:rPr>
        <w:t xml:space="preserve"> </w:t>
      </w:r>
      <w:r w:rsidR="00EC2FC4" w:rsidRPr="00EC2FC4">
        <w:rPr>
          <w:rFonts w:ascii="Arial" w:eastAsia="Calibri" w:hAnsi="Arial" w:cs="Arial"/>
          <w:sz w:val="24"/>
          <w:szCs w:val="24"/>
          <w:rtl/>
        </w:rPr>
        <w:fldChar w:fldCharType="begin" w:fldLock="1"/>
      </w:r>
      <w:r w:rsidR="00EC2FC4" w:rsidRPr="00EC2FC4">
        <w:rPr>
          <w:rFonts w:ascii="Arial" w:eastAsia="Calibri" w:hAnsi="Arial" w:cs="Arial"/>
          <w:sz w:val="24"/>
          <w:szCs w:val="24"/>
        </w:rPr>
        <w:instrText>ADDIN CSL_CITATION {"citationItems":[{"id":"ITEM-1","itemData":{"DOI":"10.1007/s11606-017-4082-2","ISSN":"15251497","PMID":"28653233","abstract":"This article summarizes the report of the American Medical Association’s (AMA) Council on Ethical and Judicial Affairs (CEJA) on ethical practice in telehealth and telemedicine. Through its reports and recommendations, CEJA is responsible for maintaining and updating the AMA Code of Medical Ethics (Code). CEJA reports are developed through an iterative process of deliberation with input from multiple stakeholders; report recommendations, once adopted by the AMA House of Delegates, become ethics policy of the AMA and are issued as Opinions in the Code. To provide enduring guidance for the medical profession as a whole, CEJA strives to articulate expectations for conduct that are as independent of specific technologies or models of practice as possible. The present report, developed at the request of the House of Delegates, provides broad guidance for ethical conduct relating to key issues in telehealth/telemedicine. The report and recommendations were debated at meetings of the House in June and November 2015; recommendations were adopted in June 2016 and published as Opinion E-1.2.12, Ethical Practice in Telemedicine, in November 2016. A summary of the key points of the recommendations can be found in Appendix A (online), and the full text of the opinion can be found in Appendix B (online).","author":[{"dropping-particle":"","family":"Chaet","given":"Danielle","non-dropping-particle":"","parse-names":false,"suffix":""},{"dropping-particle":"","family":"Clearfield","given":"Ron","non-dropping-particle":"","parse-names":false,"suffix":""},{"dropping-particle":"","family":"Sabin","given":"James E.","non-dropping-particle":"","parse-names":false,"suffix":""},{"dropping-particle":"","family":"Skimming","given":"Kathryn","non-dropping-particle":"","parse-names":false,"suffix":""}],"container-title":"Journal of General Internal Medicine","id":"ITEM-1","issue":"10","issued":{"date-parts":[["2017"]]},"page":"1136-1140","publisher":"Journal of General Internal Medicine","title":"Ethical practice in Telehealth and Telemedicine","type":"article-journal","volume":"32"},"uris":["http://www.mendeley.com/documents/?uuid=23ec8932-d373-4e3b-9c1d-81e18d70d961","http://www.mendeley.com/documents/?uuid=6569ce67-2482-4ae9-953f-dc16083186d1"]}],"mendeley":{"formattedCitation":"(24)","manualFormatting":" Chaet et al. ","plainTextFormattedCitation":"(24)","previouslyFormattedCitation":"(Chaet et al., 2017)"},"properties":{"noteIndex":0},"schema":"https://github.com/citation-style-language/schema/raw/master/csl-citation.json"}</w:instrText>
      </w:r>
      <w:r w:rsidR="00EC2FC4" w:rsidRPr="00EC2FC4">
        <w:rPr>
          <w:rFonts w:ascii="Arial" w:eastAsia="Calibri" w:hAnsi="Arial" w:cs="Arial"/>
          <w:sz w:val="24"/>
          <w:szCs w:val="24"/>
          <w:rtl/>
        </w:rPr>
        <w:fldChar w:fldCharType="separate"/>
      </w:r>
      <w:r w:rsidR="00EC2FC4" w:rsidRPr="00EC2FC4">
        <w:rPr>
          <w:rFonts w:ascii="Arial" w:eastAsia="Calibri" w:hAnsi="Arial" w:cs="Arial"/>
          <w:noProof/>
          <w:sz w:val="24"/>
          <w:szCs w:val="24"/>
          <w:rtl/>
        </w:rPr>
        <w:t xml:space="preserve"> </w:t>
      </w:r>
      <w:r w:rsidR="00EC2FC4" w:rsidRPr="00EC2FC4">
        <w:rPr>
          <w:rFonts w:ascii="Arial" w:eastAsia="Calibri" w:hAnsi="Arial" w:cs="Arial"/>
          <w:noProof/>
          <w:sz w:val="24"/>
          <w:szCs w:val="24"/>
        </w:rPr>
        <w:t>Chaet et al.</w:t>
      </w:r>
      <w:r w:rsidR="00EC2FC4" w:rsidRPr="00EC2FC4" w:rsidDel="00BD0A00">
        <w:rPr>
          <w:rFonts w:ascii="Arial" w:eastAsia="Calibri" w:hAnsi="Arial" w:cs="Arial"/>
          <w:noProof/>
          <w:sz w:val="24"/>
          <w:szCs w:val="24"/>
        </w:rPr>
        <w:t xml:space="preserve"> </w:t>
      </w:r>
      <w:r w:rsidR="00EC2FC4" w:rsidRPr="00EC2FC4">
        <w:rPr>
          <w:rFonts w:ascii="Arial" w:eastAsia="Calibri" w:hAnsi="Arial" w:cs="Arial"/>
          <w:sz w:val="24"/>
          <w:szCs w:val="24"/>
          <w:rtl/>
        </w:rPr>
        <w:fldChar w:fldCharType="end"/>
      </w:r>
      <w:r w:rsidR="00EC2FC4" w:rsidRPr="00EC2FC4">
        <w:rPr>
          <w:rFonts w:ascii="Arial" w:eastAsia="Calibri" w:hAnsi="Arial" w:cs="Arial"/>
          <w:noProof/>
          <w:sz w:val="24"/>
          <w:szCs w:val="24"/>
          <w:rtl/>
        </w:rPr>
        <w:t xml:space="preserve"> </w:t>
      </w:r>
      <w:r w:rsidR="00EC2FC4">
        <w:rPr>
          <w:rFonts w:ascii="Arial" w:eastAsia="Calibri" w:hAnsi="Arial" w:cs="Arial"/>
          <w:noProof/>
          <w:sz w:val="24"/>
          <w:szCs w:val="24"/>
        </w:rPr>
        <w:t>(2017)</w:t>
      </w:r>
      <w:r w:rsidR="00EC2FC4" w:rsidRPr="00EC2FC4">
        <w:rPr>
          <w:rFonts w:ascii="Arial" w:eastAsia="Calibri" w:hAnsi="Arial" w:cs="Arial" w:hint="cs"/>
          <w:sz w:val="24"/>
          <w:szCs w:val="24"/>
          <w:vertAlign w:val="superscript"/>
          <w:rtl/>
        </w:rPr>
        <w:t xml:space="preserve"> 24</w:t>
      </w:r>
      <w:r w:rsidR="00EC2FC4">
        <w:rPr>
          <w:rFonts w:ascii="Arial" w:eastAsia="Calibri" w:hAnsi="Arial" w:cs="Arial"/>
          <w:sz w:val="24"/>
          <w:szCs w:val="24"/>
          <w:vertAlign w:val="superscript"/>
        </w:rPr>
        <w:t xml:space="preserve"> </w:t>
      </w:r>
      <w:r w:rsidRPr="005F6B2E">
        <w:rPr>
          <w:rFonts w:asciiTheme="minorBidi" w:hAnsiTheme="minorBidi"/>
          <w:sz w:val="24"/>
          <w:szCs w:val="24"/>
        </w:rPr>
        <w:t xml:space="preserve">add that as technological innovation </w:t>
      </w:r>
      <w:r w:rsidR="00BD4B27">
        <w:rPr>
          <w:rFonts w:asciiTheme="minorBidi" w:hAnsiTheme="minorBidi"/>
          <w:sz w:val="24"/>
          <w:szCs w:val="24"/>
        </w:rPr>
        <w:t>advances</w:t>
      </w:r>
      <w:r w:rsidRPr="005F6B2E">
        <w:rPr>
          <w:rFonts w:asciiTheme="minorBidi" w:hAnsiTheme="minorBidi"/>
          <w:sz w:val="24"/>
          <w:szCs w:val="24"/>
        </w:rPr>
        <w:t>, patients' perceptions of time</w:t>
      </w:r>
      <w:r w:rsidR="00BD4B27">
        <w:rPr>
          <w:rFonts w:asciiTheme="minorBidi" w:hAnsiTheme="minorBidi"/>
          <w:sz w:val="24"/>
          <w:szCs w:val="24"/>
        </w:rPr>
        <w:t>,</w:t>
      </w:r>
      <w:r w:rsidRPr="005F6B2E">
        <w:rPr>
          <w:rFonts w:asciiTheme="minorBidi" w:hAnsiTheme="minorBidi"/>
          <w:sz w:val="24"/>
          <w:szCs w:val="24"/>
        </w:rPr>
        <w:t xml:space="preserve"> distance</w:t>
      </w:r>
      <w:r w:rsidR="00BD4B27">
        <w:rPr>
          <w:rFonts w:asciiTheme="minorBidi" w:hAnsiTheme="minorBidi"/>
          <w:sz w:val="24"/>
          <w:szCs w:val="24"/>
        </w:rPr>
        <w:t>,</w:t>
      </w:r>
      <w:r w:rsidRPr="005F6B2E">
        <w:rPr>
          <w:rFonts w:asciiTheme="minorBidi" w:hAnsiTheme="minorBidi"/>
          <w:sz w:val="24"/>
          <w:szCs w:val="24"/>
        </w:rPr>
        <w:t xml:space="preserve"> and </w:t>
      </w:r>
      <w:r w:rsidR="001323A8">
        <w:rPr>
          <w:rFonts w:asciiTheme="minorBidi" w:hAnsiTheme="minorBidi"/>
          <w:sz w:val="24"/>
          <w:szCs w:val="24"/>
        </w:rPr>
        <w:t xml:space="preserve">methods of </w:t>
      </w:r>
      <w:r w:rsidR="00BD4B27">
        <w:rPr>
          <w:rFonts w:asciiTheme="minorBidi" w:hAnsiTheme="minorBidi"/>
          <w:sz w:val="24"/>
          <w:szCs w:val="24"/>
        </w:rPr>
        <w:t>communication change</w:t>
      </w:r>
      <w:r w:rsidRPr="005F6B2E">
        <w:rPr>
          <w:rFonts w:asciiTheme="minorBidi" w:hAnsiTheme="minorBidi"/>
          <w:sz w:val="24"/>
          <w:szCs w:val="24"/>
        </w:rPr>
        <w:t xml:space="preserve">, </w:t>
      </w:r>
      <w:r w:rsidR="00BD4B27">
        <w:rPr>
          <w:rFonts w:asciiTheme="minorBidi" w:hAnsiTheme="minorBidi"/>
          <w:sz w:val="24"/>
          <w:szCs w:val="24"/>
        </w:rPr>
        <w:t>leading to</w:t>
      </w:r>
      <w:r w:rsidRPr="005F6B2E">
        <w:rPr>
          <w:rFonts w:asciiTheme="minorBidi" w:hAnsiTheme="minorBidi"/>
          <w:sz w:val="24"/>
          <w:szCs w:val="24"/>
        </w:rPr>
        <w:t xml:space="preserve"> a shift </w:t>
      </w:r>
      <w:r w:rsidR="00BD4B27">
        <w:rPr>
          <w:rFonts w:asciiTheme="minorBidi" w:hAnsiTheme="minorBidi"/>
          <w:sz w:val="24"/>
          <w:szCs w:val="24"/>
        </w:rPr>
        <w:t>in the way</w:t>
      </w:r>
      <w:r w:rsidRPr="005F6B2E">
        <w:rPr>
          <w:rFonts w:asciiTheme="minorBidi" w:hAnsiTheme="minorBidi"/>
          <w:sz w:val="24"/>
          <w:szCs w:val="24"/>
        </w:rPr>
        <w:t xml:space="preserve"> medical services are consumed. </w:t>
      </w:r>
      <w:r w:rsidR="00BD4B27">
        <w:rPr>
          <w:rFonts w:asciiTheme="minorBidi" w:hAnsiTheme="minorBidi"/>
          <w:sz w:val="24"/>
          <w:szCs w:val="24"/>
        </w:rPr>
        <w:t xml:space="preserve">Accordingly, </w:t>
      </w:r>
      <w:r w:rsidRPr="005F6B2E">
        <w:rPr>
          <w:rFonts w:asciiTheme="minorBidi" w:hAnsiTheme="minorBidi"/>
          <w:sz w:val="24"/>
          <w:szCs w:val="24"/>
        </w:rPr>
        <w:t>and</w:t>
      </w:r>
      <w:r w:rsidR="00BD4B27">
        <w:rPr>
          <w:rFonts w:asciiTheme="minorBidi" w:hAnsiTheme="minorBidi"/>
          <w:sz w:val="24"/>
          <w:szCs w:val="24"/>
        </w:rPr>
        <w:t xml:space="preserve"> given the </w:t>
      </w:r>
      <w:r w:rsidRPr="005F6B2E">
        <w:rPr>
          <w:rFonts w:asciiTheme="minorBidi" w:hAnsiTheme="minorBidi"/>
          <w:sz w:val="24"/>
          <w:szCs w:val="24"/>
        </w:rPr>
        <w:t xml:space="preserve">high </w:t>
      </w:r>
      <w:r w:rsidR="001323A8">
        <w:rPr>
          <w:rFonts w:asciiTheme="minorBidi" w:hAnsiTheme="minorBidi"/>
          <w:sz w:val="24"/>
          <w:szCs w:val="24"/>
        </w:rPr>
        <w:t xml:space="preserve">pre-pandemic rates </w:t>
      </w:r>
      <w:r w:rsidRPr="005F6B2E">
        <w:rPr>
          <w:rFonts w:asciiTheme="minorBidi" w:hAnsiTheme="minorBidi"/>
          <w:sz w:val="24"/>
          <w:szCs w:val="24"/>
        </w:rPr>
        <w:t xml:space="preserve">in Israel, </w:t>
      </w:r>
      <w:r w:rsidR="00BD4B27">
        <w:rPr>
          <w:rFonts w:asciiTheme="minorBidi" w:hAnsiTheme="minorBidi"/>
          <w:sz w:val="24"/>
          <w:szCs w:val="24"/>
        </w:rPr>
        <w:t xml:space="preserve">OHS </w:t>
      </w:r>
      <w:r w:rsidR="002D6A62">
        <w:rPr>
          <w:rFonts w:asciiTheme="minorBidi" w:hAnsiTheme="minorBidi"/>
          <w:sz w:val="24"/>
          <w:szCs w:val="24"/>
        </w:rPr>
        <w:t>use</w:t>
      </w:r>
      <w:r w:rsidRPr="005F6B2E">
        <w:rPr>
          <w:rFonts w:asciiTheme="minorBidi" w:hAnsiTheme="minorBidi"/>
          <w:sz w:val="24"/>
          <w:szCs w:val="24"/>
        </w:rPr>
        <w:t xml:space="preserve"> is expected</w:t>
      </w:r>
      <w:r w:rsidR="00BD4B27">
        <w:rPr>
          <w:rFonts w:asciiTheme="minorBidi" w:hAnsiTheme="minorBidi"/>
          <w:sz w:val="24"/>
          <w:szCs w:val="24"/>
        </w:rPr>
        <w:t xml:space="preserve"> to continue </w:t>
      </w:r>
      <w:r w:rsidR="00C100FE">
        <w:rPr>
          <w:rFonts w:asciiTheme="minorBidi" w:hAnsiTheme="minorBidi"/>
          <w:sz w:val="24"/>
          <w:szCs w:val="24"/>
        </w:rPr>
        <w:t xml:space="preserve">increasing </w:t>
      </w:r>
      <w:r w:rsidRPr="005F6B2E">
        <w:rPr>
          <w:rFonts w:asciiTheme="minorBidi" w:hAnsiTheme="minorBidi"/>
          <w:sz w:val="24"/>
          <w:szCs w:val="24"/>
        </w:rPr>
        <w:t>after the pandemic.</w:t>
      </w:r>
    </w:p>
    <w:p w14:paraId="5CE200E0" w14:textId="57670318" w:rsidR="008931FA" w:rsidRDefault="008931FA" w:rsidP="002D6A62">
      <w:pPr>
        <w:spacing w:line="480" w:lineRule="auto"/>
        <w:jc w:val="both"/>
        <w:rPr>
          <w:rFonts w:asciiTheme="minorBidi" w:hAnsiTheme="minorBidi"/>
          <w:sz w:val="24"/>
          <w:szCs w:val="24"/>
        </w:rPr>
      </w:pPr>
      <w:r w:rsidRPr="008931FA">
        <w:rPr>
          <w:rFonts w:asciiTheme="minorBidi" w:hAnsiTheme="minorBidi"/>
          <w:sz w:val="24"/>
          <w:szCs w:val="24"/>
        </w:rPr>
        <w:t>Three variables represent patients' attitudes toward</w:t>
      </w:r>
      <w:r w:rsidR="0049638F">
        <w:rPr>
          <w:rFonts w:asciiTheme="minorBidi" w:hAnsiTheme="minorBidi"/>
          <w:sz w:val="24"/>
          <w:szCs w:val="24"/>
        </w:rPr>
        <w:t xml:space="preserve"> </w:t>
      </w:r>
      <w:r w:rsidRPr="008931FA">
        <w:rPr>
          <w:rFonts w:asciiTheme="minorBidi" w:hAnsiTheme="minorBidi"/>
          <w:sz w:val="24"/>
          <w:szCs w:val="24"/>
        </w:rPr>
        <w:t>OHS</w:t>
      </w:r>
      <w:r w:rsidR="0049638F">
        <w:rPr>
          <w:rFonts w:asciiTheme="minorBidi" w:hAnsiTheme="minorBidi"/>
          <w:sz w:val="24"/>
          <w:szCs w:val="24"/>
        </w:rPr>
        <w:t>:</w:t>
      </w:r>
      <w:r w:rsidRPr="008931FA">
        <w:rPr>
          <w:rFonts w:asciiTheme="minorBidi" w:hAnsiTheme="minorBidi"/>
          <w:sz w:val="24"/>
          <w:szCs w:val="24"/>
        </w:rPr>
        <w:t xml:space="preserve"> </w:t>
      </w:r>
      <w:r w:rsidR="001323A8">
        <w:rPr>
          <w:rFonts w:asciiTheme="minorBidi" w:hAnsiTheme="minorBidi"/>
          <w:sz w:val="24"/>
          <w:szCs w:val="24"/>
        </w:rPr>
        <w:t>perceived</w:t>
      </w:r>
      <w:r w:rsidRPr="008931FA">
        <w:rPr>
          <w:rFonts w:asciiTheme="minorBidi" w:hAnsiTheme="minorBidi"/>
          <w:sz w:val="24"/>
          <w:szCs w:val="24"/>
        </w:rPr>
        <w:t xml:space="preserve"> online health literacy,</w:t>
      </w:r>
      <w:r w:rsidR="001323A8">
        <w:rPr>
          <w:rFonts w:asciiTheme="minorBidi" w:hAnsiTheme="minorBidi"/>
          <w:sz w:val="24"/>
          <w:szCs w:val="24"/>
        </w:rPr>
        <w:t xml:space="preserve"> perceived</w:t>
      </w:r>
      <w:r w:rsidRPr="008931FA">
        <w:rPr>
          <w:rFonts w:asciiTheme="minorBidi" w:hAnsiTheme="minorBidi"/>
          <w:sz w:val="24"/>
          <w:szCs w:val="24"/>
        </w:rPr>
        <w:t xml:space="preserve"> </w:t>
      </w:r>
      <w:r w:rsidR="0049638F">
        <w:rPr>
          <w:rFonts w:asciiTheme="minorBidi" w:hAnsiTheme="minorBidi"/>
          <w:sz w:val="24"/>
          <w:szCs w:val="24"/>
        </w:rPr>
        <w:t>efficacy</w:t>
      </w:r>
      <w:r w:rsidRPr="008931FA">
        <w:rPr>
          <w:rFonts w:asciiTheme="minorBidi" w:hAnsiTheme="minorBidi"/>
          <w:sz w:val="24"/>
          <w:szCs w:val="24"/>
        </w:rPr>
        <w:t xml:space="preserve"> and s</w:t>
      </w:r>
      <w:r w:rsidR="0049638F">
        <w:rPr>
          <w:rFonts w:asciiTheme="minorBidi" w:hAnsiTheme="minorBidi"/>
          <w:sz w:val="24"/>
          <w:szCs w:val="24"/>
        </w:rPr>
        <w:t>afety</w:t>
      </w:r>
      <w:r w:rsidRPr="008931FA">
        <w:rPr>
          <w:rFonts w:asciiTheme="minorBidi" w:hAnsiTheme="minorBidi"/>
          <w:sz w:val="24"/>
          <w:szCs w:val="24"/>
        </w:rPr>
        <w:t xml:space="preserve"> of online treatment, and preference for </w:t>
      </w:r>
      <w:r w:rsidR="001323A8">
        <w:rPr>
          <w:rFonts w:asciiTheme="minorBidi" w:hAnsiTheme="minorBidi"/>
          <w:sz w:val="24"/>
          <w:szCs w:val="24"/>
        </w:rPr>
        <w:t>in-person</w:t>
      </w:r>
      <w:r w:rsidRPr="008931FA">
        <w:rPr>
          <w:rFonts w:asciiTheme="minorBidi" w:hAnsiTheme="minorBidi"/>
          <w:sz w:val="24"/>
          <w:szCs w:val="24"/>
        </w:rPr>
        <w:t xml:space="preserve"> treatment. Health literacy as a factor influencing OHS </w:t>
      </w:r>
      <w:r w:rsidR="002D6A62">
        <w:rPr>
          <w:rFonts w:asciiTheme="minorBidi" w:hAnsiTheme="minorBidi"/>
          <w:sz w:val="24"/>
          <w:szCs w:val="24"/>
        </w:rPr>
        <w:t>use</w:t>
      </w:r>
      <w:r w:rsidRPr="008931FA">
        <w:rPr>
          <w:rFonts w:asciiTheme="minorBidi" w:hAnsiTheme="minorBidi"/>
          <w:sz w:val="24"/>
          <w:szCs w:val="24"/>
        </w:rPr>
        <w:t xml:space="preserve"> has been found to empower individuals and communities to efficiently manage and improve their health and wellbeing</w:t>
      </w:r>
      <w:r w:rsidR="004136FE">
        <w:rPr>
          <w:rFonts w:asciiTheme="minorBidi" w:hAnsiTheme="minorBidi"/>
          <w:sz w:val="24"/>
          <w:szCs w:val="24"/>
        </w:rPr>
        <w:t>.</w:t>
      </w:r>
      <w:r w:rsidR="0049638F" w:rsidRPr="0049638F">
        <w:rPr>
          <w:rFonts w:ascii="Arial" w:eastAsia="Calibri" w:hAnsi="Arial" w:cs="Arial"/>
          <w:sz w:val="24"/>
          <w:szCs w:val="24"/>
          <w:shd w:val="clear" w:color="auto" w:fill="FFFFFF"/>
          <w:vertAlign w:val="superscript"/>
          <w:rtl/>
        </w:rPr>
        <w:fldChar w:fldCharType="begin" w:fldLock="1"/>
      </w:r>
      <w:r w:rsidR="0049638F" w:rsidRPr="0049638F">
        <w:rPr>
          <w:rFonts w:ascii="Arial" w:eastAsia="Calibri" w:hAnsi="Arial" w:cs="Arial"/>
          <w:sz w:val="24"/>
          <w:szCs w:val="24"/>
          <w:shd w:val="clear" w:color="auto" w:fill="FFFFFF"/>
          <w:vertAlign w:val="superscript"/>
        </w:rPr>
        <w:instrText>ADDIN CSL_CITATION {"citationItems":[{"id":"ITEM-1","itemData":{"DOI":"10.1111/hir.12322","ISSN":"14711842","PMID":"32672399","abstract":"In early 2020, the world experienced an unprecedented health crisis. When the pandemic of coronavirus was declared by the World Health Organization, it brought with it sudden and dramatic changes to everyday life. In the UK, the key message from the Government was to 'Stay at home, protect the NHS, save lives', sending out a clear warning that failing to stay at home would put other lives and the ability of the NHS to cope at risk. This editorial discusses COVID-19, how society responded and the vital role that health literacy plays in saving lives during a global health emergency.","author":[{"dropping-particle":"","family":"Spring","given":"Hannah","non-dropping-particle":"","parse-names":false,"suffix":""}],"container-title":"Health information and libraries journal","id":"ITEM-1","issue":"3","issued":{"date-parts":[["2020"]]},"page":"171-172","title":"Health literacy and COVID-19","type":"article-journal","volume":"37"},"uris":["http://www.mendeley.com/documents/?uuid=15605740-318c-453b-b72e-19cecc6a2f77","http://www.mendeley.com/documents/?uuid=4d09645a-09c1-4dc4-8fb1-cdc1c1f1c5e7"]}],"mendeley":{"formattedCitation":"(25)","manualFormatting":"25","plainTextFormattedCitation":"(25)","previouslyFormattedCitation":"(Spring, 2020)"},"properties":{"noteIndex":0},"schema":"https://github.com/citation-style-language/schema/raw/master/csl-citation.json"}</w:instrText>
      </w:r>
      <w:r w:rsidR="0049638F" w:rsidRPr="0049638F">
        <w:rPr>
          <w:rFonts w:ascii="Arial" w:eastAsia="Calibri" w:hAnsi="Arial" w:cs="Arial"/>
          <w:sz w:val="24"/>
          <w:szCs w:val="24"/>
          <w:shd w:val="clear" w:color="auto" w:fill="FFFFFF"/>
          <w:vertAlign w:val="superscript"/>
          <w:rtl/>
        </w:rPr>
        <w:fldChar w:fldCharType="separate"/>
      </w:r>
      <w:r w:rsidR="0049638F" w:rsidRPr="0049638F">
        <w:rPr>
          <w:rFonts w:ascii="Arial" w:eastAsia="Calibri" w:hAnsi="Arial" w:cs="Arial"/>
          <w:noProof/>
          <w:sz w:val="24"/>
          <w:szCs w:val="24"/>
          <w:shd w:val="clear" w:color="auto" w:fill="FFFFFF"/>
          <w:vertAlign w:val="superscript"/>
        </w:rPr>
        <w:t>25</w:t>
      </w:r>
      <w:r w:rsidR="0049638F" w:rsidRPr="0049638F">
        <w:rPr>
          <w:rFonts w:ascii="Arial" w:eastAsia="Calibri" w:hAnsi="Arial" w:cs="Arial"/>
          <w:sz w:val="24"/>
          <w:szCs w:val="24"/>
          <w:shd w:val="clear" w:color="auto" w:fill="FFFFFF"/>
          <w:vertAlign w:val="superscript"/>
          <w:rtl/>
        </w:rPr>
        <w:fldChar w:fldCharType="end"/>
      </w:r>
      <w:r w:rsidRPr="008931FA">
        <w:rPr>
          <w:rFonts w:asciiTheme="minorBidi" w:hAnsiTheme="minorBidi"/>
          <w:sz w:val="24"/>
          <w:szCs w:val="24"/>
        </w:rPr>
        <w:t xml:space="preserve"> In the current study, most participants </w:t>
      </w:r>
      <w:r w:rsidR="001323A8">
        <w:rPr>
          <w:rFonts w:asciiTheme="minorBidi" w:hAnsiTheme="minorBidi"/>
          <w:sz w:val="24"/>
          <w:szCs w:val="24"/>
        </w:rPr>
        <w:t>were</w:t>
      </w:r>
      <w:r w:rsidRPr="008931FA">
        <w:rPr>
          <w:rFonts w:asciiTheme="minorBidi" w:hAnsiTheme="minorBidi"/>
          <w:sz w:val="24"/>
          <w:szCs w:val="24"/>
        </w:rPr>
        <w:t xml:space="preserve"> </w:t>
      </w:r>
      <w:r w:rsidR="002D6A62">
        <w:rPr>
          <w:rFonts w:asciiTheme="minorBidi" w:hAnsiTheme="minorBidi"/>
          <w:sz w:val="24"/>
          <w:szCs w:val="24"/>
        </w:rPr>
        <w:t>undecided</w:t>
      </w:r>
      <w:r w:rsidRPr="008931FA">
        <w:rPr>
          <w:rFonts w:asciiTheme="minorBidi" w:hAnsiTheme="minorBidi"/>
          <w:sz w:val="24"/>
          <w:szCs w:val="24"/>
        </w:rPr>
        <w:t xml:space="preserve"> about their level of online health literacy, and less than half believe</w:t>
      </w:r>
      <w:r w:rsidR="001323A8">
        <w:rPr>
          <w:rFonts w:asciiTheme="minorBidi" w:hAnsiTheme="minorBidi"/>
          <w:sz w:val="24"/>
          <w:szCs w:val="24"/>
        </w:rPr>
        <w:t>d</w:t>
      </w:r>
      <w:r w:rsidRPr="008931FA">
        <w:rPr>
          <w:rFonts w:asciiTheme="minorBidi" w:hAnsiTheme="minorBidi"/>
          <w:sz w:val="24"/>
          <w:szCs w:val="24"/>
        </w:rPr>
        <w:t xml:space="preserve"> they ha</w:t>
      </w:r>
      <w:r w:rsidR="001323A8">
        <w:rPr>
          <w:rFonts w:asciiTheme="minorBidi" w:hAnsiTheme="minorBidi"/>
          <w:sz w:val="24"/>
          <w:szCs w:val="24"/>
        </w:rPr>
        <w:t>d</w:t>
      </w:r>
      <w:r w:rsidRPr="008931FA">
        <w:rPr>
          <w:rFonts w:asciiTheme="minorBidi" w:hAnsiTheme="minorBidi"/>
          <w:sz w:val="24"/>
          <w:szCs w:val="24"/>
        </w:rPr>
        <w:t xml:space="preserve"> adequate online health literacy</w:t>
      </w:r>
      <w:r w:rsidR="001323A8">
        <w:rPr>
          <w:rFonts w:asciiTheme="minorBidi" w:hAnsiTheme="minorBidi"/>
          <w:sz w:val="24"/>
          <w:szCs w:val="24"/>
        </w:rPr>
        <w:t>, suggesting</w:t>
      </w:r>
      <w:r w:rsidRPr="008931FA">
        <w:rPr>
          <w:rFonts w:asciiTheme="minorBidi" w:hAnsiTheme="minorBidi"/>
          <w:sz w:val="24"/>
          <w:szCs w:val="24"/>
        </w:rPr>
        <w:t xml:space="preserve"> that some respondents </w:t>
      </w:r>
      <w:r w:rsidR="001323A8">
        <w:rPr>
          <w:rFonts w:asciiTheme="minorBidi" w:hAnsiTheme="minorBidi"/>
          <w:sz w:val="24"/>
          <w:szCs w:val="24"/>
        </w:rPr>
        <w:t>require</w:t>
      </w:r>
      <w:r w:rsidRPr="008931FA">
        <w:rPr>
          <w:rFonts w:asciiTheme="minorBidi" w:hAnsiTheme="minorBidi"/>
          <w:sz w:val="24"/>
          <w:szCs w:val="24"/>
        </w:rPr>
        <w:t xml:space="preserve"> further guidance </w:t>
      </w:r>
      <w:r w:rsidR="001323A8">
        <w:rPr>
          <w:rFonts w:asciiTheme="minorBidi" w:hAnsiTheme="minorBidi"/>
          <w:sz w:val="24"/>
          <w:szCs w:val="24"/>
        </w:rPr>
        <w:t>on</w:t>
      </w:r>
      <w:r w:rsidRPr="008931FA">
        <w:rPr>
          <w:rFonts w:asciiTheme="minorBidi" w:hAnsiTheme="minorBidi"/>
          <w:sz w:val="24"/>
          <w:szCs w:val="24"/>
        </w:rPr>
        <w:t xml:space="preserve"> </w:t>
      </w:r>
      <w:r w:rsidR="00AE1740">
        <w:rPr>
          <w:rFonts w:asciiTheme="minorBidi" w:hAnsiTheme="minorBidi"/>
          <w:sz w:val="24"/>
          <w:szCs w:val="24"/>
        </w:rPr>
        <w:t>searching for</w:t>
      </w:r>
      <w:r w:rsidRPr="008931FA">
        <w:rPr>
          <w:rFonts w:asciiTheme="minorBidi" w:hAnsiTheme="minorBidi"/>
          <w:sz w:val="24"/>
          <w:szCs w:val="24"/>
        </w:rPr>
        <w:t xml:space="preserve"> information </w:t>
      </w:r>
      <w:r w:rsidR="00AE1740">
        <w:rPr>
          <w:rFonts w:asciiTheme="minorBidi" w:hAnsiTheme="minorBidi"/>
          <w:sz w:val="24"/>
          <w:szCs w:val="24"/>
        </w:rPr>
        <w:t>online</w:t>
      </w:r>
      <w:r w:rsidR="00FA16EA">
        <w:rPr>
          <w:rFonts w:asciiTheme="minorBidi" w:hAnsiTheme="minorBidi"/>
          <w:sz w:val="24"/>
          <w:szCs w:val="24"/>
        </w:rPr>
        <w:t>,</w:t>
      </w:r>
      <w:r w:rsidRPr="008931FA">
        <w:rPr>
          <w:rFonts w:asciiTheme="minorBidi" w:hAnsiTheme="minorBidi"/>
          <w:sz w:val="24"/>
          <w:szCs w:val="24"/>
        </w:rPr>
        <w:t xml:space="preserve"> and </w:t>
      </w:r>
      <w:r w:rsidR="00FA16EA">
        <w:rPr>
          <w:rFonts w:asciiTheme="minorBidi" w:hAnsiTheme="minorBidi"/>
          <w:sz w:val="24"/>
          <w:szCs w:val="24"/>
        </w:rPr>
        <w:t xml:space="preserve">more </w:t>
      </w:r>
      <w:r w:rsidRPr="008931FA">
        <w:rPr>
          <w:rFonts w:asciiTheme="minorBidi" w:hAnsiTheme="minorBidi"/>
          <w:sz w:val="24"/>
          <w:szCs w:val="24"/>
        </w:rPr>
        <w:t xml:space="preserve">information </w:t>
      </w:r>
      <w:r w:rsidR="00FA16EA">
        <w:rPr>
          <w:rFonts w:asciiTheme="minorBidi" w:hAnsiTheme="minorBidi"/>
          <w:sz w:val="24"/>
          <w:szCs w:val="24"/>
        </w:rPr>
        <w:t>on</w:t>
      </w:r>
      <w:r w:rsidRPr="008931FA">
        <w:rPr>
          <w:rFonts w:asciiTheme="minorBidi" w:hAnsiTheme="minorBidi"/>
          <w:sz w:val="24"/>
          <w:szCs w:val="24"/>
        </w:rPr>
        <w:t xml:space="preserve"> diseases and treatments. </w:t>
      </w:r>
      <w:commentRangeStart w:id="4"/>
      <w:proofErr w:type="gramStart"/>
      <w:r w:rsidRPr="008931FA">
        <w:rPr>
          <w:rFonts w:asciiTheme="minorBidi" w:hAnsiTheme="minorBidi"/>
          <w:sz w:val="24"/>
          <w:szCs w:val="24"/>
        </w:rPr>
        <w:t>This contrasts</w:t>
      </w:r>
      <w:proofErr w:type="gramEnd"/>
      <w:r w:rsidRPr="008931FA">
        <w:rPr>
          <w:rFonts w:asciiTheme="minorBidi" w:hAnsiTheme="minorBidi"/>
          <w:sz w:val="24"/>
          <w:szCs w:val="24"/>
        </w:rPr>
        <w:t xml:space="preserve"> </w:t>
      </w:r>
      <w:commentRangeEnd w:id="4"/>
      <w:r w:rsidR="00FA16EA">
        <w:rPr>
          <w:rStyle w:val="CommentReference"/>
        </w:rPr>
        <w:commentReference w:id="4"/>
      </w:r>
      <w:r w:rsidRPr="008931FA">
        <w:rPr>
          <w:rFonts w:asciiTheme="minorBidi" w:hAnsiTheme="minorBidi"/>
          <w:sz w:val="24"/>
          <w:szCs w:val="24"/>
        </w:rPr>
        <w:t>with another study on the older population in Israel, where 43% reported needing guidance</w:t>
      </w:r>
      <w:r w:rsidR="004136FE">
        <w:rPr>
          <w:rFonts w:asciiTheme="minorBidi" w:hAnsiTheme="minorBidi"/>
          <w:sz w:val="24"/>
          <w:szCs w:val="24"/>
        </w:rPr>
        <w:t>.</w:t>
      </w:r>
      <w:r w:rsidR="00AE1740" w:rsidRPr="00AE1740">
        <w:rPr>
          <w:rFonts w:ascii="Arial" w:eastAsia="Calibri" w:hAnsi="Arial" w:cs="Arial" w:hint="cs"/>
          <w:sz w:val="24"/>
          <w:szCs w:val="24"/>
          <w:vertAlign w:val="superscript"/>
          <w:rtl/>
        </w:rPr>
        <w:t>23</w:t>
      </w:r>
      <w:r w:rsidRPr="008931FA">
        <w:rPr>
          <w:rFonts w:asciiTheme="minorBidi" w:hAnsiTheme="minorBidi"/>
          <w:sz w:val="24"/>
          <w:szCs w:val="24"/>
        </w:rPr>
        <w:t xml:space="preserve"> The difference may lie in the type of question assessing the level of literacy. In our study, we examined participants</w:t>
      </w:r>
      <w:r w:rsidR="005C2708">
        <w:rPr>
          <w:rFonts w:asciiTheme="minorBidi" w:hAnsiTheme="minorBidi"/>
          <w:sz w:val="24"/>
          <w:szCs w:val="24"/>
        </w:rPr>
        <w:t>’</w:t>
      </w:r>
      <w:r w:rsidRPr="008931FA">
        <w:rPr>
          <w:rFonts w:asciiTheme="minorBidi" w:hAnsiTheme="minorBidi"/>
          <w:sz w:val="24"/>
          <w:szCs w:val="24"/>
        </w:rPr>
        <w:t xml:space="preserve"> perceive</w:t>
      </w:r>
      <w:r w:rsidR="00FA16EA">
        <w:rPr>
          <w:rFonts w:asciiTheme="minorBidi" w:hAnsiTheme="minorBidi"/>
          <w:sz w:val="24"/>
          <w:szCs w:val="24"/>
        </w:rPr>
        <w:t>d</w:t>
      </w:r>
      <w:r w:rsidRPr="008931FA">
        <w:rPr>
          <w:rFonts w:asciiTheme="minorBidi" w:hAnsiTheme="minorBidi"/>
          <w:sz w:val="24"/>
          <w:szCs w:val="24"/>
        </w:rPr>
        <w:t xml:space="preserve"> </w:t>
      </w:r>
      <w:r w:rsidR="005C2708">
        <w:rPr>
          <w:rFonts w:asciiTheme="minorBidi" w:hAnsiTheme="minorBidi"/>
          <w:sz w:val="24"/>
          <w:szCs w:val="24"/>
        </w:rPr>
        <w:t>level of</w:t>
      </w:r>
      <w:r w:rsidRPr="008931FA">
        <w:rPr>
          <w:rFonts w:asciiTheme="minorBidi" w:hAnsiTheme="minorBidi"/>
          <w:sz w:val="24"/>
          <w:szCs w:val="24"/>
        </w:rPr>
        <w:t xml:space="preserve"> online health literacy, which might be lower than their actual </w:t>
      </w:r>
      <w:r w:rsidR="00F979CB">
        <w:rPr>
          <w:rFonts w:asciiTheme="minorBidi" w:hAnsiTheme="minorBidi"/>
          <w:sz w:val="24"/>
          <w:szCs w:val="24"/>
        </w:rPr>
        <w:t>ability</w:t>
      </w:r>
      <w:r w:rsidRPr="008931FA">
        <w:rPr>
          <w:rFonts w:asciiTheme="minorBidi" w:hAnsiTheme="minorBidi"/>
          <w:sz w:val="24"/>
          <w:szCs w:val="24"/>
        </w:rPr>
        <w:t>. Alternatively,</w:t>
      </w:r>
      <w:r w:rsidR="005C2708">
        <w:rPr>
          <w:rFonts w:asciiTheme="minorBidi" w:hAnsiTheme="minorBidi"/>
          <w:sz w:val="24"/>
          <w:szCs w:val="24"/>
        </w:rPr>
        <w:t xml:space="preserve"> and</w:t>
      </w:r>
      <w:r w:rsidRPr="008931FA">
        <w:rPr>
          <w:rFonts w:asciiTheme="minorBidi" w:hAnsiTheme="minorBidi"/>
          <w:sz w:val="24"/>
          <w:szCs w:val="24"/>
        </w:rPr>
        <w:t xml:space="preserve"> as </w:t>
      </w:r>
      <w:r w:rsidR="00F979CB">
        <w:rPr>
          <w:rFonts w:asciiTheme="minorBidi" w:hAnsiTheme="minorBidi"/>
          <w:sz w:val="24"/>
          <w:szCs w:val="24"/>
        </w:rPr>
        <w:t>aforeme</w:t>
      </w:r>
      <w:r w:rsidRPr="008931FA">
        <w:rPr>
          <w:rFonts w:asciiTheme="minorBidi" w:hAnsiTheme="minorBidi"/>
          <w:sz w:val="24"/>
          <w:szCs w:val="24"/>
        </w:rPr>
        <w:t xml:space="preserve">ntioned, the difference could be due to the sample populations. Health literacy and access to digital health technologies have been identified as key factors in determining the quality of health services. Low health literacy, </w:t>
      </w:r>
      <w:commentRangeStart w:id="5"/>
      <w:r w:rsidRPr="008931FA">
        <w:rPr>
          <w:rFonts w:asciiTheme="minorBidi" w:hAnsiTheme="minorBidi"/>
          <w:sz w:val="24"/>
          <w:szCs w:val="24"/>
        </w:rPr>
        <w:t>or the inability to understand medical terms and instructions</w:t>
      </w:r>
      <w:commentRangeEnd w:id="5"/>
      <w:r w:rsidR="005B373A">
        <w:rPr>
          <w:rStyle w:val="CommentReference"/>
        </w:rPr>
        <w:commentReference w:id="5"/>
      </w:r>
      <w:r w:rsidRPr="008931FA">
        <w:rPr>
          <w:rFonts w:asciiTheme="minorBidi" w:hAnsiTheme="minorBidi"/>
          <w:sz w:val="24"/>
          <w:szCs w:val="24"/>
        </w:rPr>
        <w:t>, can lead to low compliance and incorrect use of medications</w:t>
      </w:r>
      <w:r w:rsidR="004136FE">
        <w:rPr>
          <w:rFonts w:asciiTheme="minorBidi" w:hAnsiTheme="minorBidi"/>
          <w:sz w:val="24"/>
          <w:szCs w:val="24"/>
        </w:rPr>
        <w:t>.</w:t>
      </w:r>
      <w:r w:rsidR="00D80A30" w:rsidRPr="00D80A30">
        <w:rPr>
          <w:rFonts w:ascii="Calibri" w:eastAsia="Calibri" w:hAnsi="Calibri" w:cs="Arial"/>
          <w:sz w:val="24"/>
          <w:szCs w:val="24"/>
          <w:vertAlign w:val="superscript"/>
          <w:rtl/>
        </w:rPr>
        <w:fldChar w:fldCharType="begin" w:fldLock="1"/>
      </w:r>
      <w:r w:rsidR="00D80A30" w:rsidRPr="00D80A30">
        <w:rPr>
          <w:rFonts w:ascii="Calibri" w:eastAsia="Calibri" w:hAnsi="Calibri" w:cs="Arial"/>
          <w:sz w:val="24"/>
          <w:szCs w:val="24"/>
          <w:vertAlign w:val="superscript"/>
        </w:rPr>
        <w:instrText>ADDIN CSL_CITATION {"citationItems":[{"id":"ITEM-1","itemData":{"DOI":"10.1007/s00038-017-1074-2","ISBN":"0123456789","ISSN":"1420911X","PMID":"29480325","abstract":"Objectives: The objectives of the study were to explore the distributions of comprehensive health literacy (CHL), general health, psychological well-being, and having refrained from seeking healthcare among refugees in Sweden. Further objectives were to examine associations between CHL and the above-mentioned factors. Methods: A cross-sectional study was conducted among 513 refugees speaking Arabic, Dari, and Somali. Participants in the civic orientation course in Sweden responded to a questionnaire. CHL was measured using the HLS-EU-Q16 questionnaire. Uni- and multivariate logistic regression was used to investigate potential associations. Results: The majority of the respondents had limited CHL, and about four of ten had reported poor health and/or having refrained from seeking healthcare. Limited CHL was associated with having reported poor health and having refrained from seeking healthcare. Conclusions: A considerable proportion of the refugees in Sweden have limited CHL, and report less than good health and impaired well-being, or that they have refrained from seeking healthcare. Furthermore, CHL is associated with the above-mentioned factors. Efforts are needed to promote refugees’ CHL, optimal health-seeking behavior, and health.","author":[{"dropping-particle":"","family":"Wångdahl","given":"Josefin","non-dropping-particle":"","parse-names":false,"suffix":""},{"dropping-particle":"","family":"Lytsy","given":"Per","non-dropping-particle":"","parse-names":false,"suffix":""},{"dropping-particle":"","family":"Mårtensson","given":"Lena","non-dropping-particle":"","parse-names":false,"suffix":""},{"dropping-particle":"","family":"Westerling","given":"Ragnar","non-dropping-particle":"","parse-names":false,"suffix":""}],"container-title":"International Journal of Public Health","id":"ITEM-1","issue":"3","issued":{"date-parts":[["2018"]]},"page":"409-419","publisher":"Springer International Publishing","title":"Poor health and refraining from seeking healthcare are associated with comprehensive health literacy among refugees: a Swedish cross-sectional study","type":"article-journal","volume":"63"},"uris":["http://www.mendeley.com/documents/?uuid=4fd0eb25-0474-45cf-a107-111209a10556","http://www.mendeley.com/documents/?uuid=d740f4f2-a5f6-47bb-b6a4-f4262bd03a55"]}],"mendeley":{"formattedCitation":"(26)","plainTextFormattedCitation":"(26)","previouslyFormattedCitation":"(Wångdahl et al., 2018)"},"properties":{"noteIndex":0},"schema":"https://github.com/citation-style-language/schema/raw/master/csl-citation.json"}</w:instrText>
      </w:r>
      <w:r w:rsidR="00D80A30" w:rsidRPr="00D80A30">
        <w:rPr>
          <w:rFonts w:ascii="Calibri" w:eastAsia="Calibri" w:hAnsi="Calibri" w:cs="Arial"/>
          <w:sz w:val="24"/>
          <w:szCs w:val="24"/>
          <w:vertAlign w:val="superscript"/>
          <w:rtl/>
        </w:rPr>
        <w:fldChar w:fldCharType="separate"/>
      </w:r>
      <w:r w:rsidR="00D80A30" w:rsidRPr="00D80A30">
        <w:rPr>
          <w:rFonts w:ascii="Calibri" w:eastAsia="Calibri" w:hAnsi="Calibri" w:cs="Arial"/>
          <w:noProof/>
          <w:sz w:val="24"/>
          <w:szCs w:val="24"/>
          <w:vertAlign w:val="superscript"/>
        </w:rPr>
        <w:t>26</w:t>
      </w:r>
      <w:r w:rsidR="00D80A30" w:rsidRPr="00D80A30">
        <w:rPr>
          <w:rFonts w:ascii="Calibri" w:eastAsia="Calibri" w:hAnsi="Calibri" w:cs="Arial"/>
          <w:sz w:val="24"/>
          <w:szCs w:val="24"/>
          <w:vertAlign w:val="superscript"/>
          <w:rtl/>
        </w:rPr>
        <w:fldChar w:fldCharType="end"/>
      </w:r>
      <w:r w:rsidRPr="008931FA">
        <w:rPr>
          <w:rFonts w:asciiTheme="minorBidi" w:hAnsiTheme="minorBidi"/>
          <w:sz w:val="24"/>
          <w:szCs w:val="24"/>
        </w:rPr>
        <w:t xml:space="preserve"> Therefore, the health</w:t>
      </w:r>
      <w:r w:rsidR="00FD3C36">
        <w:rPr>
          <w:rFonts w:asciiTheme="minorBidi" w:hAnsiTheme="minorBidi"/>
          <w:sz w:val="24"/>
          <w:szCs w:val="24"/>
        </w:rPr>
        <w:t>care</w:t>
      </w:r>
      <w:r w:rsidRPr="008931FA">
        <w:rPr>
          <w:rFonts w:asciiTheme="minorBidi" w:hAnsiTheme="minorBidi"/>
          <w:sz w:val="24"/>
          <w:szCs w:val="24"/>
        </w:rPr>
        <w:t xml:space="preserve"> system </w:t>
      </w:r>
      <w:r w:rsidR="00FD3C36">
        <w:rPr>
          <w:rFonts w:asciiTheme="minorBidi" w:hAnsiTheme="minorBidi"/>
          <w:sz w:val="24"/>
          <w:szCs w:val="24"/>
        </w:rPr>
        <w:t>should</w:t>
      </w:r>
      <w:r w:rsidRPr="008931FA">
        <w:rPr>
          <w:rFonts w:asciiTheme="minorBidi" w:hAnsiTheme="minorBidi"/>
          <w:sz w:val="24"/>
          <w:szCs w:val="24"/>
        </w:rPr>
        <w:t xml:space="preserve"> focus </w:t>
      </w:r>
      <w:r w:rsidR="00906AE8">
        <w:rPr>
          <w:rFonts w:asciiTheme="minorBidi" w:hAnsiTheme="minorBidi"/>
          <w:sz w:val="24"/>
          <w:szCs w:val="24"/>
        </w:rPr>
        <w:t xml:space="preserve">efforts </w:t>
      </w:r>
      <w:r w:rsidRPr="008931FA">
        <w:rPr>
          <w:rFonts w:asciiTheme="minorBidi" w:hAnsiTheme="minorBidi"/>
          <w:sz w:val="24"/>
          <w:szCs w:val="24"/>
        </w:rPr>
        <w:t xml:space="preserve">on promoting technological literacy </w:t>
      </w:r>
      <w:commentRangeStart w:id="6"/>
      <w:r w:rsidRPr="008931FA">
        <w:rPr>
          <w:rFonts w:asciiTheme="minorBidi" w:hAnsiTheme="minorBidi"/>
          <w:sz w:val="24"/>
          <w:szCs w:val="24"/>
        </w:rPr>
        <w:t xml:space="preserve">and establishing knowledge and abilities related to </w:t>
      </w:r>
      <w:r w:rsidR="00970DFF">
        <w:rPr>
          <w:rFonts w:asciiTheme="minorBidi" w:hAnsiTheme="minorBidi"/>
          <w:sz w:val="24"/>
          <w:szCs w:val="24"/>
        </w:rPr>
        <w:t xml:space="preserve">the use of </w:t>
      </w:r>
      <w:r w:rsidRPr="008931FA">
        <w:rPr>
          <w:rFonts w:asciiTheme="minorBidi" w:hAnsiTheme="minorBidi"/>
          <w:sz w:val="24"/>
          <w:szCs w:val="24"/>
        </w:rPr>
        <w:t>technology</w:t>
      </w:r>
      <w:commentRangeEnd w:id="6"/>
      <w:r w:rsidR="005B373A">
        <w:rPr>
          <w:rStyle w:val="CommentReference"/>
        </w:rPr>
        <w:commentReference w:id="6"/>
      </w:r>
      <w:r w:rsidRPr="008931FA">
        <w:rPr>
          <w:rFonts w:asciiTheme="minorBidi" w:hAnsiTheme="minorBidi"/>
          <w:sz w:val="24"/>
          <w:szCs w:val="24"/>
        </w:rPr>
        <w:t>.</w:t>
      </w:r>
    </w:p>
    <w:p w14:paraId="65488AE8" w14:textId="6CBE00A5" w:rsidR="00970DFF" w:rsidRDefault="00781C76" w:rsidP="004035F4">
      <w:pPr>
        <w:spacing w:line="480" w:lineRule="auto"/>
        <w:jc w:val="both"/>
        <w:rPr>
          <w:rFonts w:asciiTheme="minorBidi" w:hAnsiTheme="minorBidi"/>
          <w:sz w:val="24"/>
          <w:szCs w:val="24"/>
        </w:rPr>
      </w:pPr>
      <w:r>
        <w:rPr>
          <w:rFonts w:asciiTheme="minorBidi" w:hAnsiTheme="minorBidi"/>
          <w:sz w:val="24"/>
          <w:szCs w:val="24"/>
        </w:rPr>
        <w:lastRenderedPageBreak/>
        <w:t xml:space="preserve">Perceiving </w:t>
      </w:r>
      <w:r w:rsidR="0073476E" w:rsidRPr="0073476E">
        <w:rPr>
          <w:rFonts w:asciiTheme="minorBidi" w:hAnsiTheme="minorBidi"/>
          <w:sz w:val="24"/>
          <w:szCs w:val="24"/>
        </w:rPr>
        <w:t xml:space="preserve">online treatment </w:t>
      </w:r>
      <w:r>
        <w:rPr>
          <w:rFonts w:asciiTheme="minorBidi" w:hAnsiTheme="minorBidi"/>
          <w:sz w:val="24"/>
          <w:szCs w:val="24"/>
        </w:rPr>
        <w:t xml:space="preserve">as safe and effective </w:t>
      </w:r>
      <w:r w:rsidR="0073476E" w:rsidRPr="0073476E">
        <w:rPr>
          <w:rFonts w:asciiTheme="minorBidi" w:hAnsiTheme="minorBidi"/>
          <w:sz w:val="24"/>
          <w:szCs w:val="24"/>
        </w:rPr>
        <w:t xml:space="preserve">is crucial for promoting and establishing OHS. The current study shows that only a few participants disagree that online treatment is effective and </w:t>
      </w:r>
      <w:r w:rsidR="0073476E">
        <w:rPr>
          <w:rFonts w:asciiTheme="minorBidi" w:hAnsiTheme="minorBidi"/>
          <w:sz w:val="24"/>
          <w:szCs w:val="24"/>
        </w:rPr>
        <w:t>safe</w:t>
      </w:r>
      <w:r w:rsidR="004035F4">
        <w:rPr>
          <w:rFonts w:asciiTheme="minorBidi" w:hAnsiTheme="minorBidi"/>
          <w:sz w:val="24"/>
          <w:szCs w:val="24"/>
        </w:rPr>
        <w:t>. This aligns</w:t>
      </w:r>
      <w:r>
        <w:rPr>
          <w:rFonts w:asciiTheme="minorBidi" w:hAnsiTheme="minorBidi"/>
          <w:sz w:val="24"/>
          <w:szCs w:val="24"/>
        </w:rPr>
        <w:t xml:space="preserve"> with</w:t>
      </w:r>
      <w:r w:rsidR="0073476E" w:rsidRPr="0073476E">
        <w:rPr>
          <w:rFonts w:asciiTheme="minorBidi" w:hAnsiTheme="minorBidi"/>
          <w:sz w:val="24"/>
          <w:szCs w:val="24"/>
        </w:rPr>
        <w:t xml:space="preserve"> other studies </w:t>
      </w:r>
      <w:r>
        <w:rPr>
          <w:rFonts w:asciiTheme="minorBidi" w:hAnsiTheme="minorBidi"/>
          <w:sz w:val="24"/>
          <w:szCs w:val="24"/>
        </w:rPr>
        <w:t>demonstrating</w:t>
      </w:r>
      <w:r w:rsidR="0073476E" w:rsidRPr="0073476E">
        <w:rPr>
          <w:rFonts w:asciiTheme="minorBidi" w:hAnsiTheme="minorBidi"/>
          <w:sz w:val="24"/>
          <w:szCs w:val="24"/>
        </w:rPr>
        <w:t xml:space="preserve"> significant advantages of OHS, including improvements in treatment delivery, efficiency, and accessibility</w:t>
      </w:r>
      <w:r w:rsidR="004136FE">
        <w:rPr>
          <w:rFonts w:asciiTheme="minorBidi" w:hAnsiTheme="minorBidi"/>
          <w:sz w:val="24"/>
          <w:szCs w:val="24"/>
        </w:rPr>
        <w:t>,</w:t>
      </w:r>
      <w:r w:rsidR="0073476E" w:rsidRPr="0073476E">
        <w:rPr>
          <w:rFonts w:ascii="Arial" w:eastAsia="Calibri" w:hAnsi="Arial" w:cs="Arial" w:hint="cs"/>
          <w:sz w:val="24"/>
          <w:szCs w:val="24"/>
          <w:vertAlign w:val="superscript"/>
          <w:rtl/>
        </w:rPr>
        <w:t>3,5</w:t>
      </w:r>
      <w:r w:rsidR="0073476E" w:rsidRPr="0073476E">
        <w:rPr>
          <w:rFonts w:asciiTheme="minorBidi" w:hAnsiTheme="minorBidi"/>
          <w:sz w:val="24"/>
          <w:szCs w:val="24"/>
        </w:rPr>
        <w:t xml:space="preserve"> especially in chronic conditions such as hypertension, obesity, diabetes, depression, and cancer</w:t>
      </w:r>
      <w:r w:rsidR="004136FE">
        <w:rPr>
          <w:rFonts w:asciiTheme="minorBidi" w:hAnsiTheme="minorBidi"/>
          <w:sz w:val="24"/>
          <w:szCs w:val="24"/>
        </w:rPr>
        <w:t>.</w:t>
      </w:r>
      <w:r w:rsidR="00DC5866" w:rsidRPr="00DC5866">
        <w:rPr>
          <w:rFonts w:ascii="Arial" w:eastAsia="Calibri" w:hAnsi="Arial" w:cs="Arial"/>
          <w:sz w:val="24"/>
          <w:szCs w:val="24"/>
          <w:vertAlign w:val="superscript"/>
          <w:rtl/>
        </w:rPr>
        <w:fldChar w:fldCharType="begin" w:fldLock="1"/>
      </w:r>
      <w:r w:rsidR="00DC5866" w:rsidRPr="00DC5866">
        <w:rPr>
          <w:rFonts w:ascii="Arial" w:eastAsia="Calibri" w:hAnsi="Arial" w:cs="Arial"/>
          <w:sz w:val="24"/>
          <w:szCs w:val="24"/>
          <w:vertAlign w:val="superscript"/>
        </w:rPr>
        <w:instrText>ADDIN CSL_CITATION {"citationItems":[{"id":"ITEM-1","itemData":{"DOI":"10.1016/j.techsoc.2019.101212","ISSN":"0160791X","abstract":"Background: Developing countries around the globe are striving continuously to provide free access to health care services. Telemedicine services represent a significantly increasing form of an adequate health care delivery mechanism in developing countries. Research objective: This research study was aimed at investigating the factors influencing the acceptance of telemedicine services among the rural population of Pakistan. Technology Acceptance Model (TAM) was used as a theoretical framework for this research, with the inclusion of several other antecedents. Research method: A face-to-face survey method was used to collect research data from 275 participants. The data were analyzed using Partial Least Squares (PLS) method. Results: The findings suggest that usage intention of telemedicine services is a function of perceived ease of use, technological anxiety, social influence, perceived ease of usefulness, trust, facilitating conditions, perceived risk, and resistance to technology. Conclusions: This research study confirms the applicability of TAM with the inclusion of additional variables to model the adoption of telemedicine services in developing countries. The study offers valuable information for policymakers and health service providers for understanding the facilitators and inhibitors influencing the large scale implementation of telemedicine services. The research findings regarding factors including perceived risk, trust, facilitating conditions and resistance to change can aid in the design and adequate provision of telemedicine services in developing countries.","author":[{"dropping-particle":"","family":"Kamal","given":"Syeda Ayesha","non-dropping-particle":"","parse-names":false,"suffix":""},{"dropping-particle":"","family":"Shafiq","given":"Muhammad","non-dropping-particle":"","parse-names":false,"suffix":""},{"dropping-particle":"","family":"Kakria","given":"Priyanka","non-dropping-particle":"","parse-names":false,"suffix":""}],"container-title":"Technology in Society","id":"ITEM-1","issue":"November 2019","issued":{"date-parts":[["2020"]]},"publisher":"Elsevier Ltd","title":"Investigating acceptance of telemedicine services through an extended technology acceptance model (TAM)","type":"article-journal","volume":"60"},"uris":["http://www.mendeley.com/documents/?uuid=16110165-8305-4c50-bbbd-30edc8ef9a31"]}],"mendeley":{"formattedCitation":"(6)","manualFormatting":"6","plainTextFormattedCitation":"(6)","previouslyFormattedCitation":"(Kamal et al., 2020)"},"properties":{"noteIndex":0},"schema":"https://github.com/citation-style-language/schema/raw/master/csl-citation.json"}</w:instrText>
      </w:r>
      <w:r w:rsidR="00DC5866" w:rsidRPr="00DC5866">
        <w:rPr>
          <w:rFonts w:ascii="Arial" w:eastAsia="Calibri" w:hAnsi="Arial" w:cs="Arial"/>
          <w:sz w:val="24"/>
          <w:szCs w:val="24"/>
          <w:vertAlign w:val="superscript"/>
          <w:rtl/>
        </w:rPr>
        <w:fldChar w:fldCharType="separate"/>
      </w:r>
      <w:r w:rsidR="00DC5866" w:rsidRPr="00DC5866">
        <w:rPr>
          <w:rFonts w:ascii="Arial" w:eastAsia="Calibri" w:hAnsi="Arial" w:cs="Arial"/>
          <w:noProof/>
          <w:sz w:val="24"/>
          <w:szCs w:val="24"/>
          <w:vertAlign w:val="superscript"/>
        </w:rPr>
        <w:t>6</w:t>
      </w:r>
      <w:r w:rsidR="00DC5866" w:rsidRPr="00DC5866">
        <w:rPr>
          <w:rFonts w:ascii="Arial" w:eastAsia="Calibri" w:hAnsi="Arial" w:cs="Arial"/>
          <w:sz w:val="24"/>
          <w:szCs w:val="24"/>
          <w:vertAlign w:val="superscript"/>
          <w:rtl/>
        </w:rPr>
        <w:fldChar w:fldCharType="end"/>
      </w:r>
      <w:r w:rsidR="0073476E" w:rsidRPr="0073476E">
        <w:rPr>
          <w:rFonts w:asciiTheme="minorBidi" w:hAnsiTheme="minorBidi"/>
          <w:sz w:val="24"/>
          <w:szCs w:val="24"/>
        </w:rPr>
        <w:t xml:space="preserve"> Moreover,</w:t>
      </w:r>
      <w:r w:rsidR="0073476E">
        <w:rPr>
          <w:rFonts w:asciiTheme="minorBidi" w:hAnsiTheme="minorBidi"/>
          <w:sz w:val="24"/>
          <w:szCs w:val="24"/>
        </w:rPr>
        <w:t xml:space="preserve"> </w:t>
      </w:r>
      <w:r w:rsidR="0073476E" w:rsidRPr="0073476E">
        <w:rPr>
          <w:rFonts w:ascii="Arial" w:eastAsia="Calibri" w:hAnsi="Arial" w:cs="Arial"/>
          <w:sz w:val="24"/>
          <w:szCs w:val="24"/>
        </w:rPr>
        <w:fldChar w:fldCharType="begin" w:fldLock="1"/>
      </w:r>
      <w:r w:rsidR="0073476E" w:rsidRPr="0073476E">
        <w:rPr>
          <w:rFonts w:ascii="Arial" w:eastAsia="Calibri" w:hAnsi="Arial" w:cs="Arial"/>
          <w:sz w:val="24"/>
          <w:szCs w:val="24"/>
        </w:rPr>
        <w:instrText>ADDIN CSL_CITATION {"citationItems":[{"id":"ITEM-1","itemData":{"DOI":"10.1377/hlthaff.2018.05132","ISSN":"15445208","PMID":"30633674","abstract":"Policy makers and practitioners show a continued interest in telehealth’s potential to increase efficiency and reach patients facing access barriers. However, telehealth encompasses many applications for varied conditions and populations. It is therefore difficult to draw broad conclusions about telehealth’s efficacy. This rapid review examines recent evidence both about telehealth’s efficacy by clinical area and about telehealth’s impact on utilization. We searched for systematic reviews and meta-analyses of the use of telehealth services by patients of any age for any condition published in English in the period January 2004–May 2018. Twenty systematic reviews and associated meta-analyses are included in this review, covering clinical areas such as mental health and rehabilitation. Broadly, telehealth interventions appear generally equivalent to in-person care. However, telehealth’s impact on the use of other services is unclear. Many factors should be carefully considered when weighing the evidence of telehealth’s efficacy, including modality, evidence quality, population demographics, and point-in-time measurement of outcomes.","author":[{"dropping-particle":"","family":"Shigekawa","given":"Erin","non-dropping-particle":"","parse-names":false,"suffix":""},{"dropping-particle":"","family":"Fix","given":"Margaret","non-dropping-particle":"","parse-names":false,"suffix":""},{"dropping-particle":"","family":"Corbett","given":"Garen","non-dropping-particle":"","parse-names":false,"suffix":""},{"dropping-particle":"","family":"Roby","given":"Dylan H.","non-dropping-particle":"","parse-names":false,"suffix":""},{"dropping-particle":"","family":"Coffman","given":"Janet","non-dropping-particle":"","parse-names":false,"suffix":""}],"container-title":"Health Affairs","id":"ITEM-1","issue":"12","issued":{"date-parts":[["2018"]]},"page":"1975-1982","title":"The current state of telehealth evidence: a rapid review","type":"article-journal","volume":"37"},"uris":["http://www.mendeley.com/documents/?uuid=8e63c714-08a1-4db0-9c04-ace33f8c9220"]}],"mendeley":{"formattedCitation":"(7)","manualFormatting":"(Shigekawa et al., 2018","plainTextFormattedCitation":"(7)","previouslyFormattedCitation":"(Shigekawa et al., 2018)"},"properties":{"noteIndex":0},"schema":"https://github.com/citation-style-language/schema/raw/master/csl-citation.json"}</w:instrText>
      </w:r>
      <w:r w:rsidR="0073476E" w:rsidRPr="0073476E">
        <w:rPr>
          <w:rFonts w:ascii="Arial" w:eastAsia="Calibri" w:hAnsi="Arial" w:cs="Arial"/>
          <w:sz w:val="24"/>
          <w:szCs w:val="24"/>
        </w:rPr>
        <w:fldChar w:fldCharType="separate"/>
      </w:r>
      <w:r w:rsidR="0073476E" w:rsidRPr="0073476E">
        <w:rPr>
          <w:rFonts w:ascii="Arial" w:eastAsia="Calibri" w:hAnsi="Arial" w:cs="Arial"/>
          <w:noProof/>
          <w:sz w:val="24"/>
          <w:szCs w:val="24"/>
        </w:rPr>
        <w:t xml:space="preserve">Shigekawa et al. </w:t>
      </w:r>
      <w:r w:rsidR="0074636E">
        <w:rPr>
          <w:rFonts w:ascii="Arial" w:eastAsia="Calibri" w:hAnsi="Arial" w:cs="Arial"/>
          <w:noProof/>
          <w:sz w:val="24"/>
          <w:szCs w:val="24"/>
        </w:rPr>
        <w:t>(</w:t>
      </w:r>
      <w:r w:rsidR="0073476E" w:rsidRPr="0073476E">
        <w:rPr>
          <w:rFonts w:ascii="Arial" w:eastAsia="Calibri" w:hAnsi="Arial" w:cs="Arial"/>
          <w:noProof/>
          <w:sz w:val="24"/>
          <w:szCs w:val="24"/>
        </w:rPr>
        <w:t>2018</w:t>
      </w:r>
      <w:r w:rsidR="0073476E" w:rsidRPr="0073476E">
        <w:rPr>
          <w:rFonts w:ascii="Arial" w:eastAsia="Calibri" w:hAnsi="Arial" w:cs="Arial"/>
          <w:sz w:val="24"/>
          <w:szCs w:val="24"/>
        </w:rPr>
        <w:fldChar w:fldCharType="end"/>
      </w:r>
      <w:r w:rsidR="0073476E">
        <w:rPr>
          <w:rFonts w:ascii="Arial" w:eastAsia="Calibri" w:hAnsi="Arial" w:cs="Arial"/>
          <w:sz w:val="24"/>
          <w:szCs w:val="24"/>
        </w:rPr>
        <w:t>)</w:t>
      </w:r>
      <w:r w:rsidR="009C131E" w:rsidRPr="009C131E">
        <w:rPr>
          <w:rFonts w:ascii="Arial" w:eastAsia="Calibri" w:hAnsi="Arial" w:cs="Arial" w:hint="cs"/>
          <w:sz w:val="24"/>
          <w:szCs w:val="24"/>
          <w:vertAlign w:val="superscript"/>
          <w:rtl/>
        </w:rPr>
        <w:t xml:space="preserve"> 7</w:t>
      </w:r>
      <w:r w:rsidR="0073476E" w:rsidRPr="0073476E">
        <w:rPr>
          <w:rFonts w:asciiTheme="minorBidi" w:hAnsiTheme="minorBidi"/>
          <w:sz w:val="24"/>
          <w:szCs w:val="24"/>
        </w:rPr>
        <w:t xml:space="preserve"> suggest that online medicine can produce results comparable or even superior to </w:t>
      </w:r>
      <w:r w:rsidR="004035F4">
        <w:rPr>
          <w:rFonts w:asciiTheme="minorBidi" w:hAnsiTheme="minorBidi"/>
          <w:sz w:val="24"/>
          <w:szCs w:val="24"/>
        </w:rPr>
        <w:t>in-person</w:t>
      </w:r>
      <w:r w:rsidR="0073476E" w:rsidRPr="0073476E">
        <w:rPr>
          <w:rFonts w:asciiTheme="minorBidi" w:hAnsiTheme="minorBidi"/>
          <w:sz w:val="24"/>
          <w:szCs w:val="24"/>
        </w:rPr>
        <w:t xml:space="preserve"> medicine, especially in mental health assessment and treatment, rehabilitation counseling, and elderly nutrition management.</w:t>
      </w:r>
    </w:p>
    <w:p w14:paraId="2B05D7F3" w14:textId="67285542" w:rsidR="009C131E" w:rsidRDefault="00576A14" w:rsidP="00906EDE">
      <w:pPr>
        <w:spacing w:line="480" w:lineRule="auto"/>
        <w:jc w:val="both"/>
        <w:rPr>
          <w:rFonts w:asciiTheme="minorBidi" w:hAnsiTheme="minorBidi"/>
          <w:sz w:val="24"/>
          <w:szCs w:val="24"/>
        </w:rPr>
      </w:pPr>
      <w:r>
        <w:rPr>
          <w:rFonts w:asciiTheme="minorBidi" w:hAnsiTheme="minorBidi"/>
          <w:sz w:val="24"/>
          <w:szCs w:val="24"/>
        </w:rPr>
        <w:t>However</w:t>
      </w:r>
      <w:r w:rsidRPr="00576A14">
        <w:rPr>
          <w:rFonts w:asciiTheme="minorBidi" w:hAnsiTheme="minorBidi"/>
          <w:sz w:val="24"/>
          <w:szCs w:val="24"/>
        </w:rPr>
        <w:t xml:space="preserve">, </w:t>
      </w:r>
      <w:r>
        <w:rPr>
          <w:rFonts w:asciiTheme="minorBidi" w:hAnsiTheme="minorBidi"/>
          <w:sz w:val="24"/>
          <w:szCs w:val="24"/>
        </w:rPr>
        <w:t xml:space="preserve">the findings also reveal </w:t>
      </w:r>
      <w:r w:rsidRPr="00576A14">
        <w:rPr>
          <w:rFonts w:asciiTheme="minorBidi" w:hAnsiTheme="minorBidi"/>
          <w:sz w:val="24"/>
          <w:szCs w:val="24"/>
        </w:rPr>
        <w:t>that</w:t>
      </w:r>
      <w:r>
        <w:rPr>
          <w:rFonts w:asciiTheme="minorBidi" w:hAnsiTheme="minorBidi"/>
          <w:sz w:val="24"/>
          <w:szCs w:val="24"/>
        </w:rPr>
        <w:t xml:space="preserve"> most</w:t>
      </w:r>
      <w:r w:rsidRPr="00576A14">
        <w:rPr>
          <w:rFonts w:asciiTheme="minorBidi" w:hAnsiTheme="minorBidi"/>
          <w:sz w:val="24"/>
          <w:szCs w:val="24"/>
        </w:rPr>
        <w:t xml:space="preserve"> participants </w:t>
      </w:r>
      <w:r w:rsidR="00781C76">
        <w:rPr>
          <w:rFonts w:asciiTheme="minorBidi" w:hAnsiTheme="minorBidi"/>
          <w:sz w:val="24"/>
          <w:szCs w:val="24"/>
        </w:rPr>
        <w:t>were</w:t>
      </w:r>
      <w:r w:rsidRPr="00576A14">
        <w:rPr>
          <w:rFonts w:asciiTheme="minorBidi" w:hAnsiTheme="minorBidi"/>
          <w:sz w:val="24"/>
          <w:szCs w:val="24"/>
        </w:rPr>
        <w:t xml:space="preserve"> </w:t>
      </w:r>
      <w:r w:rsidR="002D6A62">
        <w:rPr>
          <w:rFonts w:asciiTheme="minorBidi" w:hAnsiTheme="minorBidi"/>
          <w:sz w:val="24"/>
          <w:szCs w:val="24"/>
        </w:rPr>
        <w:t>undecided</w:t>
      </w:r>
      <w:r w:rsidRPr="00576A14">
        <w:rPr>
          <w:rFonts w:asciiTheme="minorBidi" w:hAnsiTheme="minorBidi"/>
          <w:sz w:val="24"/>
          <w:szCs w:val="24"/>
        </w:rPr>
        <w:t xml:space="preserve"> whether online treatment </w:t>
      </w:r>
      <w:r w:rsidR="00781C76">
        <w:rPr>
          <w:rFonts w:asciiTheme="minorBidi" w:hAnsiTheme="minorBidi"/>
          <w:sz w:val="24"/>
          <w:szCs w:val="24"/>
        </w:rPr>
        <w:t>was</w:t>
      </w:r>
      <w:r w:rsidRPr="00576A14">
        <w:rPr>
          <w:rFonts w:asciiTheme="minorBidi" w:hAnsiTheme="minorBidi"/>
          <w:sz w:val="24"/>
          <w:szCs w:val="24"/>
        </w:rPr>
        <w:t xml:space="preserve"> effective and </w:t>
      </w:r>
      <w:r>
        <w:rPr>
          <w:rFonts w:asciiTheme="minorBidi" w:hAnsiTheme="minorBidi"/>
          <w:sz w:val="24"/>
          <w:szCs w:val="24"/>
        </w:rPr>
        <w:t>safe</w:t>
      </w:r>
      <w:r w:rsidRPr="00576A14">
        <w:rPr>
          <w:rFonts w:asciiTheme="minorBidi" w:hAnsiTheme="minorBidi"/>
          <w:sz w:val="24"/>
          <w:szCs w:val="24"/>
        </w:rPr>
        <w:t xml:space="preserve"> for them. This may be due to the </w:t>
      </w:r>
      <w:r w:rsidR="000B1247">
        <w:rPr>
          <w:rFonts w:asciiTheme="minorBidi" w:hAnsiTheme="minorBidi"/>
          <w:sz w:val="24"/>
          <w:szCs w:val="24"/>
        </w:rPr>
        <w:t xml:space="preserve">sample </w:t>
      </w:r>
      <w:r w:rsidRPr="00576A14">
        <w:rPr>
          <w:rFonts w:asciiTheme="minorBidi" w:hAnsiTheme="minorBidi"/>
          <w:sz w:val="24"/>
          <w:szCs w:val="24"/>
        </w:rPr>
        <w:t>characteristics, namely that most participants ha</w:t>
      </w:r>
      <w:r w:rsidR="005B2064">
        <w:rPr>
          <w:rFonts w:asciiTheme="minorBidi" w:hAnsiTheme="minorBidi"/>
          <w:sz w:val="24"/>
          <w:szCs w:val="24"/>
        </w:rPr>
        <w:t>d</w:t>
      </w:r>
      <w:r w:rsidRPr="00576A14">
        <w:rPr>
          <w:rFonts w:asciiTheme="minorBidi" w:hAnsiTheme="minorBidi"/>
          <w:sz w:val="24"/>
          <w:szCs w:val="24"/>
        </w:rPr>
        <w:t xml:space="preserve"> a chronic illness and </w:t>
      </w:r>
      <w:r w:rsidR="005B2064">
        <w:rPr>
          <w:rFonts w:asciiTheme="minorBidi" w:hAnsiTheme="minorBidi"/>
          <w:sz w:val="24"/>
          <w:szCs w:val="24"/>
        </w:rPr>
        <w:t>were</w:t>
      </w:r>
      <w:r w:rsidRPr="00576A14">
        <w:rPr>
          <w:rFonts w:asciiTheme="minorBidi" w:hAnsiTheme="minorBidi"/>
          <w:sz w:val="24"/>
          <w:szCs w:val="24"/>
        </w:rPr>
        <w:t xml:space="preserve"> accustomed to </w:t>
      </w:r>
      <w:r w:rsidR="005B2064">
        <w:rPr>
          <w:rFonts w:asciiTheme="minorBidi" w:hAnsiTheme="minorBidi"/>
          <w:sz w:val="24"/>
          <w:szCs w:val="24"/>
        </w:rPr>
        <w:t>in-person</w:t>
      </w:r>
      <w:r w:rsidRPr="00576A14">
        <w:rPr>
          <w:rFonts w:asciiTheme="minorBidi" w:hAnsiTheme="minorBidi"/>
          <w:sz w:val="24"/>
          <w:szCs w:val="24"/>
        </w:rPr>
        <w:t xml:space="preserve"> interaction with their </w:t>
      </w:r>
      <w:r w:rsidR="005B2064">
        <w:rPr>
          <w:rFonts w:asciiTheme="minorBidi" w:hAnsiTheme="minorBidi"/>
          <w:sz w:val="24"/>
          <w:szCs w:val="24"/>
        </w:rPr>
        <w:t>healthcare provider</w:t>
      </w:r>
      <w:r w:rsidRPr="00576A14">
        <w:rPr>
          <w:rFonts w:asciiTheme="minorBidi" w:hAnsiTheme="minorBidi"/>
          <w:sz w:val="24"/>
          <w:szCs w:val="24"/>
        </w:rPr>
        <w:t xml:space="preserve">. </w:t>
      </w:r>
      <w:r w:rsidR="005B2064">
        <w:rPr>
          <w:rFonts w:asciiTheme="minorBidi" w:hAnsiTheme="minorBidi"/>
          <w:sz w:val="24"/>
          <w:szCs w:val="24"/>
        </w:rPr>
        <w:t>The r</w:t>
      </w:r>
      <w:r w:rsidRPr="00576A14">
        <w:rPr>
          <w:rFonts w:asciiTheme="minorBidi" w:hAnsiTheme="minorBidi"/>
          <w:sz w:val="24"/>
          <w:szCs w:val="24"/>
        </w:rPr>
        <w:t>egression findings indicate that participants with chronic illness tend</w:t>
      </w:r>
      <w:r w:rsidR="005B2064">
        <w:rPr>
          <w:rFonts w:asciiTheme="minorBidi" w:hAnsiTheme="minorBidi"/>
          <w:sz w:val="24"/>
          <w:szCs w:val="24"/>
        </w:rPr>
        <w:t>ed</w:t>
      </w:r>
      <w:r w:rsidRPr="00576A14">
        <w:rPr>
          <w:rFonts w:asciiTheme="minorBidi" w:hAnsiTheme="minorBidi"/>
          <w:sz w:val="24"/>
          <w:szCs w:val="24"/>
        </w:rPr>
        <w:t xml:space="preserve"> to use telemedicine less, suggesting that even though more people agree that telemedicine is effective and safe, those with chronic conditions may still prefer </w:t>
      </w:r>
      <w:r w:rsidR="005B2064">
        <w:rPr>
          <w:rFonts w:asciiTheme="minorBidi" w:hAnsiTheme="minorBidi"/>
          <w:sz w:val="24"/>
          <w:szCs w:val="24"/>
        </w:rPr>
        <w:t>in-person</w:t>
      </w:r>
      <w:r w:rsidRPr="00576A14">
        <w:rPr>
          <w:rFonts w:asciiTheme="minorBidi" w:hAnsiTheme="minorBidi"/>
          <w:sz w:val="24"/>
          <w:szCs w:val="24"/>
        </w:rPr>
        <w:t xml:space="preserve"> treatment. Similarly, a study examining perceptions, </w:t>
      </w:r>
      <w:r w:rsidR="0053296F">
        <w:rPr>
          <w:rFonts w:asciiTheme="minorBidi" w:hAnsiTheme="minorBidi"/>
          <w:sz w:val="24"/>
          <w:szCs w:val="24"/>
        </w:rPr>
        <w:t>willingness</w:t>
      </w:r>
      <w:r w:rsidRPr="00576A14">
        <w:rPr>
          <w:rFonts w:asciiTheme="minorBidi" w:hAnsiTheme="minorBidi"/>
          <w:sz w:val="24"/>
          <w:szCs w:val="24"/>
        </w:rPr>
        <w:t>, and practice</w:t>
      </w:r>
      <w:r w:rsidR="0053296F">
        <w:rPr>
          <w:rFonts w:asciiTheme="minorBidi" w:hAnsiTheme="minorBidi"/>
          <w:sz w:val="24"/>
          <w:szCs w:val="24"/>
        </w:rPr>
        <w:t>s</w:t>
      </w:r>
      <w:r w:rsidRPr="00576A14">
        <w:rPr>
          <w:rFonts w:asciiTheme="minorBidi" w:hAnsiTheme="minorBidi"/>
          <w:sz w:val="24"/>
          <w:szCs w:val="24"/>
        </w:rPr>
        <w:t xml:space="preserve"> </w:t>
      </w:r>
      <w:r w:rsidR="0053296F">
        <w:rPr>
          <w:rFonts w:asciiTheme="minorBidi" w:hAnsiTheme="minorBidi"/>
          <w:sz w:val="24"/>
          <w:szCs w:val="24"/>
        </w:rPr>
        <w:t>regarding</w:t>
      </w:r>
      <w:r w:rsidRPr="00576A14">
        <w:rPr>
          <w:rFonts w:asciiTheme="minorBidi" w:hAnsiTheme="minorBidi"/>
          <w:sz w:val="24"/>
          <w:szCs w:val="24"/>
        </w:rPr>
        <w:t xml:space="preserve"> telemedicine among </w:t>
      </w:r>
      <w:r w:rsidR="0053296F" w:rsidRPr="00576A14">
        <w:rPr>
          <w:rFonts w:asciiTheme="minorBidi" w:hAnsiTheme="minorBidi"/>
          <w:sz w:val="24"/>
          <w:szCs w:val="24"/>
        </w:rPr>
        <w:t>chronic</w:t>
      </w:r>
      <w:r w:rsidRPr="00576A14">
        <w:rPr>
          <w:rFonts w:asciiTheme="minorBidi" w:hAnsiTheme="minorBidi"/>
          <w:sz w:val="24"/>
          <w:szCs w:val="24"/>
        </w:rPr>
        <w:t xml:space="preserve"> patients in Northern Ethiopia showed that despite positive perception</w:t>
      </w:r>
      <w:r w:rsidR="001248B8">
        <w:rPr>
          <w:rFonts w:asciiTheme="minorBidi" w:hAnsiTheme="minorBidi"/>
          <w:sz w:val="24"/>
          <w:szCs w:val="24"/>
        </w:rPr>
        <w:t>s</w:t>
      </w:r>
      <w:r w:rsidRPr="00576A14">
        <w:rPr>
          <w:rFonts w:asciiTheme="minorBidi" w:hAnsiTheme="minorBidi"/>
          <w:sz w:val="24"/>
          <w:szCs w:val="24"/>
        </w:rPr>
        <w:t xml:space="preserve"> and willingness to use telemedicine, actual implementation was low</w:t>
      </w:r>
      <w:r w:rsidR="004136FE">
        <w:rPr>
          <w:rFonts w:asciiTheme="minorBidi" w:hAnsiTheme="minorBidi"/>
          <w:sz w:val="24"/>
          <w:szCs w:val="24"/>
        </w:rPr>
        <w:t>.</w:t>
      </w:r>
      <w:r w:rsidR="0053296F" w:rsidRPr="0053296F">
        <w:rPr>
          <w:rFonts w:ascii="Arial" w:eastAsia="Calibri" w:hAnsi="Arial" w:cs="Arial" w:hint="cs"/>
          <w:sz w:val="24"/>
          <w:szCs w:val="24"/>
          <w:vertAlign w:val="superscript"/>
          <w:rtl/>
        </w:rPr>
        <w:t>27</w:t>
      </w:r>
      <w:r w:rsidR="00BF0C5D">
        <w:rPr>
          <w:rFonts w:asciiTheme="minorBidi" w:hAnsiTheme="minorBidi"/>
          <w:sz w:val="24"/>
          <w:szCs w:val="24"/>
        </w:rPr>
        <w:t xml:space="preserve"> Furthermore</w:t>
      </w:r>
      <w:r w:rsidRPr="00576A14">
        <w:rPr>
          <w:rFonts w:asciiTheme="minorBidi" w:hAnsiTheme="minorBidi"/>
          <w:sz w:val="24"/>
          <w:szCs w:val="24"/>
        </w:rPr>
        <w:t xml:space="preserve">, </w:t>
      </w:r>
      <w:r w:rsidR="001248B8">
        <w:rPr>
          <w:rFonts w:asciiTheme="minorBidi" w:hAnsiTheme="minorBidi"/>
          <w:sz w:val="24"/>
          <w:szCs w:val="24"/>
        </w:rPr>
        <w:t xml:space="preserve">only </w:t>
      </w:r>
      <w:r w:rsidRPr="00576A14">
        <w:rPr>
          <w:rFonts w:asciiTheme="minorBidi" w:hAnsiTheme="minorBidi"/>
          <w:sz w:val="24"/>
          <w:szCs w:val="24"/>
        </w:rPr>
        <w:t xml:space="preserve">14% of participants </w:t>
      </w:r>
      <w:r w:rsidR="006C4342">
        <w:rPr>
          <w:rFonts w:asciiTheme="minorBidi" w:hAnsiTheme="minorBidi"/>
          <w:sz w:val="24"/>
          <w:szCs w:val="24"/>
        </w:rPr>
        <w:t xml:space="preserve">reported </w:t>
      </w:r>
      <w:r w:rsidR="001248B8">
        <w:rPr>
          <w:rFonts w:asciiTheme="minorBidi" w:hAnsiTheme="minorBidi"/>
          <w:sz w:val="24"/>
          <w:szCs w:val="24"/>
        </w:rPr>
        <w:t xml:space="preserve">a </w:t>
      </w:r>
      <w:r w:rsidR="006C4342" w:rsidRPr="00576A14">
        <w:rPr>
          <w:rFonts w:asciiTheme="minorBidi" w:hAnsiTheme="minorBidi"/>
          <w:sz w:val="24"/>
          <w:szCs w:val="24"/>
        </w:rPr>
        <w:t>prefer</w:t>
      </w:r>
      <w:r w:rsidR="006C4342">
        <w:rPr>
          <w:rFonts w:asciiTheme="minorBidi" w:hAnsiTheme="minorBidi"/>
          <w:sz w:val="24"/>
          <w:szCs w:val="24"/>
        </w:rPr>
        <w:t>ence for</w:t>
      </w:r>
      <w:r w:rsidRPr="00576A14">
        <w:rPr>
          <w:rFonts w:asciiTheme="minorBidi" w:hAnsiTheme="minorBidi"/>
          <w:sz w:val="24"/>
          <w:szCs w:val="24"/>
        </w:rPr>
        <w:t xml:space="preserve"> </w:t>
      </w:r>
      <w:r w:rsidR="001248B8">
        <w:rPr>
          <w:rFonts w:asciiTheme="minorBidi" w:hAnsiTheme="minorBidi"/>
          <w:sz w:val="24"/>
          <w:szCs w:val="24"/>
        </w:rPr>
        <w:t>in-person</w:t>
      </w:r>
      <w:r w:rsidRPr="00576A14">
        <w:rPr>
          <w:rFonts w:asciiTheme="minorBidi" w:hAnsiTheme="minorBidi"/>
          <w:sz w:val="24"/>
          <w:szCs w:val="24"/>
        </w:rPr>
        <w:t xml:space="preserve"> treatment, </w:t>
      </w:r>
      <w:r w:rsidR="001248B8">
        <w:rPr>
          <w:rFonts w:asciiTheme="minorBidi" w:hAnsiTheme="minorBidi"/>
          <w:sz w:val="24"/>
          <w:szCs w:val="24"/>
        </w:rPr>
        <w:t>while most</w:t>
      </w:r>
      <w:r w:rsidRPr="00576A14">
        <w:rPr>
          <w:rFonts w:asciiTheme="minorBidi" w:hAnsiTheme="minorBidi"/>
          <w:sz w:val="24"/>
          <w:szCs w:val="24"/>
        </w:rPr>
        <w:t xml:space="preserve"> respondents (79%) </w:t>
      </w:r>
      <w:r w:rsidR="001248B8">
        <w:rPr>
          <w:rFonts w:asciiTheme="minorBidi" w:hAnsiTheme="minorBidi"/>
          <w:sz w:val="24"/>
          <w:szCs w:val="24"/>
        </w:rPr>
        <w:t xml:space="preserve">were </w:t>
      </w:r>
      <w:r w:rsidRPr="00576A14">
        <w:rPr>
          <w:rFonts w:asciiTheme="minorBidi" w:hAnsiTheme="minorBidi"/>
          <w:sz w:val="24"/>
          <w:szCs w:val="24"/>
        </w:rPr>
        <w:t>undecided whether they prefer</w:t>
      </w:r>
      <w:r w:rsidR="001248B8">
        <w:rPr>
          <w:rFonts w:asciiTheme="minorBidi" w:hAnsiTheme="minorBidi"/>
          <w:sz w:val="24"/>
          <w:szCs w:val="24"/>
        </w:rPr>
        <w:t>red</w:t>
      </w:r>
      <w:r w:rsidRPr="00576A14">
        <w:rPr>
          <w:rFonts w:asciiTheme="minorBidi" w:hAnsiTheme="minorBidi"/>
          <w:sz w:val="24"/>
          <w:szCs w:val="24"/>
        </w:rPr>
        <w:t xml:space="preserve"> online or </w:t>
      </w:r>
      <w:r w:rsidR="001248B8">
        <w:rPr>
          <w:rFonts w:asciiTheme="minorBidi" w:hAnsiTheme="minorBidi"/>
          <w:sz w:val="24"/>
          <w:szCs w:val="24"/>
        </w:rPr>
        <w:t>in-person</w:t>
      </w:r>
      <w:r w:rsidRPr="00576A14">
        <w:rPr>
          <w:rFonts w:asciiTheme="minorBidi" w:hAnsiTheme="minorBidi"/>
          <w:sz w:val="24"/>
          <w:szCs w:val="24"/>
        </w:rPr>
        <w:t xml:space="preserve"> medical care. This finding is significantly negatively correlated with </w:t>
      </w:r>
      <w:r w:rsidR="001248B8">
        <w:rPr>
          <w:rFonts w:asciiTheme="minorBidi" w:hAnsiTheme="minorBidi"/>
          <w:sz w:val="24"/>
          <w:szCs w:val="24"/>
        </w:rPr>
        <w:t>perceived</w:t>
      </w:r>
      <w:r w:rsidRPr="00576A14">
        <w:rPr>
          <w:rFonts w:asciiTheme="minorBidi" w:hAnsiTheme="minorBidi"/>
          <w:sz w:val="24"/>
          <w:szCs w:val="24"/>
        </w:rPr>
        <w:t xml:space="preserve"> literacy, </w:t>
      </w:r>
      <w:r w:rsidR="006C4342">
        <w:rPr>
          <w:rFonts w:asciiTheme="minorBidi" w:hAnsiTheme="minorBidi"/>
          <w:sz w:val="24"/>
          <w:szCs w:val="24"/>
        </w:rPr>
        <w:t>efficacy and safety</w:t>
      </w:r>
      <w:r w:rsidRPr="00576A14">
        <w:rPr>
          <w:rFonts w:asciiTheme="minorBidi" w:hAnsiTheme="minorBidi"/>
          <w:sz w:val="24"/>
          <w:szCs w:val="24"/>
        </w:rPr>
        <w:t xml:space="preserve">, and OHS </w:t>
      </w:r>
      <w:r w:rsidR="002D6A62">
        <w:rPr>
          <w:rFonts w:asciiTheme="minorBidi" w:hAnsiTheme="minorBidi"/>
          <w:sz w:val="24"/>
          <w:szCs w:val="24"/>
        </w:rPr>
        <w:t>use</w:t>
      </w:r>
      <w:r w:rsidRPr="00576A14">
        <w:rPr>
          <w:rFonts w:asciiTheme="minorBidi" w:hAnsiTheme="minorBidi"/>
          <w:sz w:val="24"/>
          <w:szCs w:val="24"/>
        </w:rPr>
        <w:t xml:space="preserve">. </w:t>
      </w:r>
      <w:r w:rsidR="006C4342">
        <w:rPr>
          <w:rFonts w:asciiTheme="minorBidi" w:hAnsiTheme="minorBidi"/>
          <w:sz w:val="24"/>
          <w:szCs w:val="24"/>
        </w:rPr>
        <w:t>In other words</w:t>
      </w:r>
      <w:r w:rsidRPr="00576A14">
        <w:rPr>
          <w:rFonts w:asciiTheme="minorBidi" w:hAnsiTheme="minorBidi"/>
          <w:sz w:val="24"/>
          <w:szCs w:val="24"/>
        </w:rPr>
        <w:t xml:space="preserve">, people with lower online health literacy who perceive online services as less effective and </w:t>
      </w:r>
      <w:r w:rsidR="006C4342">
        <w:rPr>
          <w:rFonts w:asciiTheme="minorBidi" w:hAnsiTheme="minorBidi"/>
          <w:sz w:val="24"/>
          <w:szCs w:val="24"/>
        </w:rPr>
        <w:t>safe</w:t>
      </w:r>
      <w:r w:rsidRPr="00576A14">
        <w:rPr>
          <w:rFonts w:asciiTheme="minorBidi" w:hAnsiTheme="minorBidi"/>
          <w:sz w:val="24"/>
          <w:szCs w:val="24"/>
        </w:rPr>
        <w:t xml:space="preserve"> prefer </w:t>
      </w:r>
      <w:r w:rsidR="001248B8">
        <w:rPr>
          <w:rFonts w:asciiTheme="minorBidi" w:hAnsiTheme="minorBidi"/>
          <w:sz w:val="24"/>
          <w:szCs w:val="24"/>
        </w:rPr>
        <w:t>in-person</w:t>
      </w:r>
      <w:r w:rsidRPr="00576A14">
        <w:rPr>
          <w:rFonts w:asciiTheme="minorBidi" w:hAnsiTheme="minorBidi"/>
          <w:sz w:val="24"/>
          <w:szCs w:val="24"/>
        </w:rPr>
        <w:t xml:space="preserve"> treatment. It should be noted that data collect</w:t>
      </w:r>
      <w:r w:rsidR="004E7B38">
        <w:rPr>
          <w:rFonts w:asciiTheme="minorBidi" w:hAnsiTheme="minorBidi"/>
          <w:sz w:val="24"/>
          <w:szCs w:val="24"/>
        </w:rPr>
        <w:t>ion occurred</w:t>
      </w:r>
      <w:r w:rsidRPr="00576A14">
        <w:rPr>
          <w:rFonts w:asciiTheme="minorBidi" w:hAnsiTheme="minorBidi"/>
          <w:sz w:val="24"/>
          <w:szCs w:val="24"/>
        </w:rPr>
        <w:t xml:space="preserve"> during the </w:t>
      </w:r>
      <w:r w:rsidR="001248B8">
        <w:rPr>
          <w:rFonts w:asciiTheme="minorBidi" w:hAnsiTheme="minorBidi"/>
          <w:sz w:val="24"/>
          <w:szCs w:val="24"/>
        </w:rPr>
        <w:t>COVID-19</w:t>
      </w:r>
      <w:r w:rsidRPr="00576A14">
        <w:rPr>
          <w:rFonts w:asciiTheme="minorBidi" w:hAnsiTheme="minorBidi"/>
          <w:sz w:val="24"/>
          <w:szCs w:val="24"/>
        </w:rPr>
        <w:t xml:space="preserve"> </w:t>
      </w:r>
      <w:r w:rsidR="004E7B38">
        <w:rPr>
          <w:rFonts w:asciiTheme="minorBidi" w:hAnsiTheme="minorBidi"/>
          <w:sz w:val="24"/>
          <w:szCs w:val="24"/>
        </w:rPr>
        <w:lastRenderedPageBreak/>
        <w:t>pandemic</w:t>
      </w:r>
      <w:r w:rsidR="000E2822">
        <w:rPr>
          <w:rFonts w:asciiTheme="minorBidi" w:hAnsiTheme="minorBidi"/>
          <w:sz w:val="24"/>
          <w:szCs w:val="24"/>
        </w:rPr>
        <w:t xml:space="preserve"> while movement restrictions were in place</w:t>
      </w:r>
      <w:r w:rsidR="001248B8" w:rsidRPr="001248B8">
        <w:rPr>
          <w:rFonts w:asciiTheme="minorBidi" w:hAnsiTheme="minorBidi"/>
          <w:sz w:val="24"/>
          <w:szCs w:val="24"/>
        </w:rPr>
        <w:t xml:space="preserve"> </w:t>
      </w:r>
      <w:r w:rsidR="001248B8" w:rsidRPr="00576A14">
        <w:rPr>
          <w:rFonts w:asciiTheme="minorBidi" w:hAnsiTheme="minorBidi"/>
          <w:sz w:val="24"/>
          <w:szCs w:val="24"/>
        </w:rPr>
        <w:t>and immediately after the first lockdown</w:t>
      </w:r>
      <w:r w:rsidRPr="00576A14">
        <w:rPr>
          <w:rFonts w:asciiTheme="minorBidi" w:hAnsiTheme="minorBidi"/>
          <w:sz w:val="24"/>
          <w:szCs w:val="24"/>
        </w:rPr>
        <w:t xml:space="preserve">. </w:t>
      </w:r>
      <w:commentRangeStart w:id="7"/>
      <w:r w:rsidR="00A22FC2">
        <w:rPr>
          <w:rFonts w:asciiTheme="minorBidi" w:hAnsiTheme="minorBidi"/>
          <w:sz w:val="24"/>
          <w:szCs w:val="24"/>
        </w:rPr>
        <w:t>T</w:t>
      </w:r>
      <w:r w:rsidRPr="00576A14">
        <w:rPr>
          <w:rFonts w:asciiTheme="minorBidi" w:hAnsiTheme="minorBidi"/>
          <w:sz w:val="24"/>
          <w:szCs w:val="24"/>
        </w:rPr>
        <w:t xml:space="preserve">his finding </w:t>
      </w:r>
      <w:r w:rsidR="0092700D">
        <w:rPr>
          <w:rFonts w:asciiTheme="minorBidi" w:hAnsiTheme="minorBidi"/>
          <w:sz w:val="24"/>
          <w:szCs w:val="24"/>
        </w:rPr>
        <w:t>may</w:t>
      </w:r>
      <w:r w:rsidRPr="00576A14">
        <w:rPr>
          <w:rFonts w:asciiTheme="minorBidi" w:hAnsiTheme="minorBidi"/>
          <w:sz w:val="24"/>
          <w:szCs w:val="24"/>
        </w:rPr>
        <w:t xml:space="preserve"> </w:t>
      </w:r>
      <w:r w:rsidR="004E7B38">
        <w:rPr>
          <w:rFonts w:asciiTheme="minorBidi" w:hAnsiTheme="minorBidi"/>
          <w:sz w:val="24"/>
          <w:szCs w:val="24"/>
        </w:rPr>
        <w:t xml:space="preserve">be </w:t>
      </w:r>
      <w:r w:rsidRPr="00576A14">
        <w:rPr>
          <w:rFonts w:asciiTheme="minorBidi" w:hAnsiTheme="minorBidi"/>
          <w:sz w:val="24"/>
          <w:szCs w:val="24"/>
        </w:rPr>
        <w:t>relate</w:t>
      </w:r>
      <w:r w:rsidR="004E7B38">
        <w:rPr>
          <w:rFonts w:asciiTheme="minorBidi" w:hAnsiTheme="minorBidi"/>
          <w:sz w:val="24"/>
          <w:szCs w:val="24"/>
        </w:rPr>
        <w:t>d</w:t>
      </w:r>
      <w:r w:rsidRPr="00576A14">
        <w:rPr>
          <w:rFonts w:asciiTheme="minorBidi" w:hAnsiTheme="minorBidi"/>
          <w:sz w:val="24"/>
          <w:szCs w:val="24"/>
        </w:rPr>
        <w:t xml:space="preserve"> to the </w:t>
      </w:r>
      <w:r w:rsidR="004E7B38" w:rsidRPr="004E7B38">
        <w:rPr>
          <w:rFonts w:asciiTheme="minorBidi" w:hAnsiTheme="minorBidi"/>
          <w:sz w:val="24"/>
          <w:szCs w:val="24"/>
        </w:rPr>
        <w:t xml:space="preserve">adoption rate of </w:t>
      </w:r>
      <w:r w:rsidR="004E7B38">
        <w:rPr>
          <w:rFonts w:asciiTheme="minorBidi" w:hAnsiTheme="minorBidi"/>
          <w:sz w:val="24"/>
          <w:szCs w:val="24"/>
        </w:rPr>
        <w:t>OHS</w:t>
      </w:r>
      <w:r w:rsidRPr="00576A14">
        <w:rPr>
          <w:rFonts w:asciiTheme="minorBidi" w:hAnsiTheme="minorBidi"/>
          <w:sz w:val="24"/>
          <w:szCs w:val="24"/>
        </w:rPr>
        <w:t xml:space="preserve">. Despite </w:t>
      </w:r>
      <w:r w:rsidR="00906EDE">
        <w:rPr>
          <w:rFonts w:asciiTheme="minorBidi" w:hAnsiTheme="minorBidi"/>
          <w:sz w:val="24"/>
          <w:szCs w:val="24"/>
        </w:rPr>
        <w:t>substantial</w:t>
      </w:r>
      <w:r w:rsidRPr="00576A14">
        <w:rPr>
          <w:rFonts w:asciiTheme="minorBidi" w:hAnsiTheme="minorBidi"/>
          <w:sz w:val="24"/>
          <w:szCs w:val="24"/>
        </w:rPr>
        <w:t xml:space="preserve"> evidence of </w:t>
      </w:r>
      <w:r w:rsidR="00433F91">
        <w:rPr>
          <w:rFonts w:asciiTheme="minorBidi" w:hAnsiTheme="minorBidi"/>
          <w:sz w:val="24"/>
          <w:szCs w:val="24"/>
        </w:rPr>
        <w:t>their</w:t>
      </w:r>
      <w:r w:rsidRPr="00576A14">
        <w:rPr>
          <w:rFonts w:asciiTheme="minorBidi" w:hAnsiTheme="minorBidi"/>
          <w:sz w:val="24"/>
          <w:szCs w:val="24"/>
        </w:rPr>
        <w:t xml:space="preserve"> potential</w:t>
      </w:r>
      <w:r w:rsidR="00A22FC2">
        <w:rPr>
          <w:rFonts w:asciiTheme="minorBidi" w:hAnsiTheme="minorBidi"/>
          <w:sz w:val="24"/>
          <w:szCs w:val="24"/>
        </w:rPr>
        <w:t>,</w:t>
      </w:r>
      <w:r w:rsidRPr="00576A14">
        <w:rPr>
          <w:rFonts w:asciiTheme="minorBidi" w:hAnsiTheme="minorBidi"/>
          <w:sz w:val="24"/>
          <w:szCs w:val="24"/>
        </w:rPr>
        <w:t xml:space="preserve"> the adoption rate of </w:t>
      </w:r>
      <w:r w:rsidR="00A22FC2">
        <w:rPr>
          <w:rFonts w:asciiTheme="minorBidi" w:hAnsiTheme="minorBidi"/>
          <w:sz w:val="24"/>
          <w:szCs w:val="24"/>
        </w:rPr>
        <w:t xml:space="preserve">online health </w:t>
      </w:r>
      <w:r w:rsidRPr="00576A14">
        <w:rPr>
          <w:rFonts w:asciiTheme="minorBidi" w:hAnsiTheme="minorBidi"/>
          <w:sz w:val="24"/>
          <w:szCs w:val="24"/>
        </w:rPr>
        <w:t xml:space="preserve">technologies in Israel was initially perceived as slow during the </w:t>
      </w:r>
      <w:r w:rsidR="00A22FC2">
        <w:rPr>
          <w:rFonts w:asciiTheme="minorBidi" w:hAnsiTheme="minorBidi"/>
          <w:sz w:val="24"/>
          <w:szCs w:val="24"/>
        </w:rPr>
        <w:t>pandemic</w:t>
      </w:r>
      <w:r w:rsidRPr="00576A14">
        <w:rPr>
          <w:rFonts w:asciiTheme="minorBidi" w:hAnsiTheme="minorBidi"/>
          <w:sz w:val="24"/>
          <w:szCs w:val="24"/>
        </w:rPr>
        <w:t xml:space="preserve">, contributing to the indecision in choosing between </w:t>
      </w:r>
      <w:r w:rsidR="00433F91">
        <w:rPr>
          <w:rFonts w:asciiTheme="minorBidi" w:hAnsiTheme="minorBidi"/>
          <w:sz w:val="24"/>
          <w:szCs w:val="24"/>
        </w:rPr>
        <w:t>in-person</w:t>
      </w:r>
      <w:r w:rsidRPr="00576A14">
        <w:rPr>
          <w:rFonts w:asciiTheme="minorBidi" w:hAnsiTheme="minorBidi"/>
          <w:sz w:val="24"/>
          <w:szCs w:val="24"/>
        </w:rPr>
        <w:t xml:space="preserve"> or online treatment</w:t>
      </w:r>
      <w:r w:rsidR="004136FE">
        <w:rPr>
          <w:rFonts w:asciiTheme="minorBidi" w:hAnsiTheme="minorBidi"/>
          <w:sz w:val="24"/>
          <w:szCs w:val="24"/>
        </w:rPr>
        <w:t>.</w:t>
      </w:r>
      <w:r w:rsidR="00A22FC2" w:rsidRPr="00A22FC2">
        <w:rPr>
          <w:rFonts w:ascii="Arial" w:eastAsia="Calibri" w:hAnsi="Arial" w:cs="Arial" w:hint="cs"/>
          <w:sz w:val="24"/>
          <w:szCs w:val="24"/>
          <w:vertAlign w:val="superscript"/>
          <w:rtl/>
        </w:rPr>
        <w:t>14</w:t>
      </w:r>
      <w:r w:rsidRPr="00576A14">
        <w:rPr>
          <w:rFonts w:asciiTheme="minorBidi" w:hAnsiTheme="minorBidi"/>
          <w:sz w:val="24"/>
          <w:szCs w:val="24"/>
        </w:rPr>
        <w:t xml:space="preserve"> Another explanation is that people do not see </w:t>
      </w:r>
      <w:r w:rsidR="00D96024">
        <w:rPr>
          <w:rFonts w:asciiTheme="minorBidi" w:hAnsiTheme="minorBidi"/>
          <w:sz w:val="24"/>
          <w:szCs w:val="24"/>
        </w:rPr>
        <w:t>OHS</w:t>
      </w:r>
      <w:r w:rsidRPr="00576A14">
        <w:rPr>
          <w:rFonts w:asciiTheme="minorBidi" w:hAnsiTheme="minorBidi"/>
          <w:sz w:val="24"/>
          <w:szCs w:val="24"/>
        </w:rPr>
        <w:t xml:space="preserve"> as a replacement for </w:t>
      </w:r>
      <w:r w:rsidR="00433F91">
        <w:rPr>
          <w:rFonts w:asciiTheme="minorBidi" w:hAnsiTheme="minorBidi"/>
          <w:sz w:val="24"/>
          <w:szCs w:val="24"/>
        </w:rPr>
        <w:t>in-person</w:t>
      </w:r>
      <w:r w:rsidRPr="00576A14">
        <w:rPr>
          <w:rFonts w:asciiTheme="minorBidi" w:hAnsiTheme="minorBidi"/>
          <w:sz w:val="24"/>
          <w:szCs w:val="24"/>
        </w:rPr>
        <w:t xml:space="preserve"> treatment but as </w:t>
      </w:r>
      <w:r w:rsidR="00D96024">
        <w:rPr>
          <w:rFonts w:asciiTheme="minorBidi" w:hAnsiTheme="minorBidi"/>
          <w:sz w:val="24"/>
          <w:szCs w:val="24"/>
        </w:rPr>
        <w:t xml:space="preserve">a </w:t>
      </w:r>
      <w:r w:rsidR="00433F91">
        <w:rPr>
          <w:rFonts w:asciiTheme="minorBidi" w:hAnsiTheme="minorBidi"/>
          <w:sz w:val="24"/>
          <w:szCs w:val="24"/>
        </w:rPr>
        <w:t>supplementary</w:t>
      </w:r>
      <w:r w:rsidRPr="00576A14">
        <w:rPr>
          <w:rFonts w:asciiTheme="minorBidi" w:hAnsiTheme="minorBidi"/>
          <w:sz w:val="24"/>
          <w:szCs w:val="24"/>
        </w:rPr>
        <w:t xml:space="preserve"> service</w:t>
      </w:r>
      <w:r w:rsidR="00D96024" w:rsidRPr="00D96024">
        <w:rPr>
          <w:rFonts w:ascii="Arial" w:eastAsia="Calibri" w:hAnsi="Arial" w:cs="Arial" w:hint="cs"/>
          <w:sz w:val="24"/>
          <w:szCs w:val="24"/>
          <w:vertAlign w:val="superscript"/>
          <w:rtl/>
        </w:rPr>
        <w:t>..11-12,28</w:t>
      </w:r>
      <w:r w:rsidRPr="00576A14">
        <w:rPr>
          <w:rFonts w:asciiTheme="minorBidi" w:hAnsiTheme="minorBidi"/>
          <w:sz w:val="24"/>
          <w:szCs w:val="24"/>
        </w:rPr>
        <w:t xml:space="preserve">. </w:t>
      </w:r>
      <w:r w:rsidR="002F5018">
        <w:rPr>
          <w:rFonts w:asciiTheme="minorBidi" w:hAnsiTheme="minorBidi"/>
          <w:sz w:val="24"/>
          <w:szCs w:val="24"/>
        </w:rPr>
        <w:t xml:space="preserve">The </w:t>
      </w:r>
      <w:r w:rsidR="00433F91">
        <w:rPr>
          <w:rFonts w:asciiTheme="minorBidi" w:hAnsiTheme="minorBidi"/>
          <w:sz w:val="24"/>
          <w:szCs w:val="24"/>
        </w:rPr>
        <w:t xml:space="preserve">Mayo Clinic has implemented the current approach of </w:t>
      </w:r>
      <w:r w:rsidRPr="00576A14">
        <w:rPr>
          <w:rFonts w:asciiTheme="minorBidi" w:hAnsiTheme="minorBidi"/>
          <w:sz w:val="24"/>
          <w:szCs w:val="24"/>
        </w:rPr>
        <w:t xml:space="preserve">integrating </w:t>
      </w:r>
      <w:r w:rsidR="00433F91">
        <w:rPr>
          <w:rFonts w:asciiTheme="minorBidi" w:hAnsiTheme="minorBidi"/>
          <w:sz w:val="24"/>
          <w:szCs w:val="24"/>
        </w:rPr>
        <w:t>OHS</w:t>
      </w:r>
      <w:r w:rsidRPr="00576A14">
        <w:rPr>
          <w:rFonts w:asciiTheme="minorBidi" w:hAnsiTheme="minorBidi"/>
          <w:sz w:val="24"/>
          <w:szCs w:val="24"/>
        </w:rPr>
        <w:t xml:space="preserve"> with </w:t>
      </w:r>
      <w:r w:rsidR="00433F91">
        <w:rPr>
          <w:rFonts w:asciiTheme="minorBidi" w:hAnsiTheme="minorBidi"/>
          <w:sz w:val="24"/>
          <w:szCs w:val="24"/>
        </w:rPr>
        <w:t>in-person</w:t>
      </w:r>
      <w:r w:rsidRPr="00576A14">
        <w:rPr>
          <w:rFonts w:asciiTheme="minorBidi" w:hAnsiTheme="minorBidi"/>
          <w:sz w:val="24"/>
          <w:szCs w:val="24"/>
        </w:rPr>
        <w:t xml:space="preserve"> </w:t>
      </w:r>
      <w:r w:rsidR="00433F91">
        <w:rPr>
          <w:rFonts w:asciiTheme="minorBidi" w:hAnsiTheme="minorBidi"/>
          <w:sz w:val="24"/>
          <w:szCs w:val="24"/>
        </w:rPr>
        <w:t>medical care</w:t>
      </w:r>
      <w:r w:rsidRPr="00576A14">
        <w:rPr>
          <w:rFonts w:asciiTheme="minorBidi" w:hAnsiTheme="minorBidi"/>
          <w:sz w:val="24"/>
          <w:szCs w:val="24"/>
        </w:rPr>
        <w:t xml:space="preserve"> at various stages of treatment, combining traditional care with virtual interactions with the treatment team between </w:t>
      </w:r>
      <w:r w:rsidR="00906EDE">
        <w:rPr>
          <w:rFonts w:asciiTheme="minorBidi" w:hAnsiTheme="minorBidi"/>
          <w:sz w:val="24"/>
          <w:szCs w:val="24"/>
        </w:rPr>
        <w:t>appointments</w:t>
      </w:r>
      <w:r w:rsidRPr="00576A14">
        <w:rPr>
          <w:rFonts w:asciiTheme="minorBidi" w:hAnsiTheme="minorBidi"/>
          <w:sz w:val="24"/>
          <w:szCs w:val="24"/>
        </w:rPr>
        <w:t xml:space="preserve"> or </w:t>
      </w:r>
      <w:r w:rsidR="002F5018">
        <w:rPr>
          <w:rFonts w:asciiTheme="minorBidi" w:hAnsiTheme="minorBidi"/>
          <w:sz w:val="24"/>
          <w:szCs w:val="24"/>
        </w:rPr>
        <w:t>planned</w:t>
      </w:r>
      <w:r w:rsidRPr="00576A14">
        <w:rPr>
          <w:rFonts w:asciiTheme="minorBidi" w:hAnsiTheme="minorBidi"/>
          <w:sz w:val="24"/>
          <w:szCs w:val="24"/>
        </w:rPr>
        <w:t xml:space="preserve"> visits</w:t>
      </w:r>
      <w:commentRangeEnd w:id="7"/>
      <w:r w:rsidR="00433F91">
        <w:rPr>
          <w:rStyle w:val="CommentReference"/>
        </w:rPr>
        <w:commentReference w:id="7"/>
      </w:r>
      <w:r w:rsidR="004136FE">
        <w:rPr>
          <w:rFonts w:asciiTheme="minorBidi" w:hAnsiTheme="minorBidi"/>
          <w:sz w:val="24"/>
          <w:szCs w:val="24"/>
        </w:rPr>
        <w:t>.</w:t>
      </w:r>
      <w:r w:rsidR="002F5018" w:rsidRPr="002F5018">
        <w:rPr>
          <w:rFonts w:ascii="Arial" w:eastAsia="Calibri" w:hAnsi="Arial" w:cs="Arial"/>
          <w:sz w:val="24"/>
          <w:szCs w:val="24"/>
          <w:vertAlign w:val="superscript"/>
          <w:rtl/>
        </w:rPr>
        <w:fldChar w:fldCharType="begin" w:fldLock="1"/>
      </w:r>
      <w:r w:rsidR="002F5018" w:rsidRPr="002F5018">
        <w:rPr>
          <w:rFonts w:ascii="Arial" w:eastAsia="Calibri" w:hAnsi="Arial" w:cs="Arial"/>
          <w:sz w:val="24"/>
          <w:szCs w:val="24"/>
          <w:vertAlign w:val="superscript"/>
        </w:rPr>
        <w:instrText>ADDIN CSL_CITATION {"citationItems":[{"id":"ITEM-1","itemData":{"DOI":"10.1016/j.mcpdig.2023.05.005","ISSN":"29497612","abstract":"The population needing health care services grows faster than the management capabilities of our current health care delivery models. Patients journeying through our current health care systems receive a spectrum of services, often imperfectly matched to medical needs. We describe a framework of the Digital Care Horizon to accelerate digital transformation from the perspective of a health care delivery system. We describe service delivery models across the horizon, discuss potential challenges and partnerships to facilitate the digital extension of health care, and mention concepts beyond the current horizon.","author":[{"dropping-particle":"","family":"Philpot","given":"Lindsey M.","non-dropping-particle":"","parse-names":false,"suffix":""},{"dropping-particle":"","family":"Dugani","given":"Sagar B.","non-dropping-particle":"","parse-names":false,"suffix":""},{"dropping-particle":"","family":"Singla","given":"Abhinav","non-dropping-particle":"","parse-names":false,"suffix":""},{"dropping-particle":"","family":"DeZutter","given":"Meredith","non-dropping-particle":"","parse-names":false,"suffix":""},{"dropping-particle":"","family":"Ebbert","given":"Jon O.","non-dropping-particle":"","parse-names":false,"suffix":""}],"container-title":"Mayo Clinic Proceedings: Digital Health","id":"ITEM-1","issue":"3","issued":{"date-parts":[["2023"]]},"page":"210-216","publisher":"The Authors","title":"Digital Care Horizon: A Framework for Extending Health Care Through Digital Transformation","type":"article-journal","volume":"1"},"uris":["http://www.mendeley.com/documents/?uuid=cbb2bb4a-551c-49a7-abb2-a0a2cd7270e9","http://www.mendeley.com/documents/?uuid=855b9523-61b7-415d-87fa-754f6cc87b75"]}],"mendeley":{"formattedCitation":"(29)","manualFormatting":"29","plainTextFormattedCitation":"(29)","previouslyFormattedCitation":"(Philpot et al., 2023)"},"properties":{"noteIndex":0},"schema":"https://github.com/citation-style-language/schema/raw/master/csl-citation.json"}</w:instrText>
      </w:r>
      <w:r w:rsidR="002F5018" w:rsidRPr="002F5018">
        <w:rPr>
          <w:rFonts w:ascii="Arial" w:eastAsia="Calibri" w:hAnsi="Arial" w:cs="Arial"/>
          <w:sz w:val="24"/>
          <w:szCs w:val="24"/>
          <w:vertAlign w:val="superscript"/>
          <w:rtl/>
        </w:rPr>
        <w:fldChar w:fldCharType="separate"/>
      </w:r>
      <w:r w:rsidR="002F5018" w:rsidRPr="002F5018">
        <w:rPr>
          <w:rFonts w:ascii="Arial" w:eastAsia="Calibri" w:hAnsi="Arial" w:cs="Arial"/>
          <w:noProof/>
          <w:sz w:val="24"/>
          <w:szCs w:val="24"/>
          <w:vertAlign w:val="superscript"/>
        </w:rPr>
        <w:t>29</w:t>
      </w:r>
      <w:r w:rsidR="002F5018" w:rsidRPr="002F5018">
        <w:rPr>
          <w:rFonts w:ascii="Arial" w:eastAsia="Calibri" w:hAnsi="Arial" w:cs="Arial"/>
          <w:sz w:val="24"/>
          <w:szCs w:val="24"/>
          <w:vertAlign w:val="superscript"/>
          <w:rtl/>
        </w:rPr>
        <w:fldChar w:fldCharType="end"/>
      </w:r>
    </w:p>
    <w:p w14:paraId="1A3A4DD0" w14:textId="3DBD29DE" w:rsidR="002F5018" w:rsidRDefault="00463EB4" w:rsidP="003B748C">
      <w:pPr>
        <w:spacing w:line="480" w:lineRule="auto"/>
        <w:jc w:val="both"/>
        <w:rPr>
          <w:rFonts w:asciiTheme="minorBidi" w:hAnsiTheme="minorBidi"/>
          <w:sz w:val="24"/>
          <w:szCs w:val="24"/>
        </w:rPr>
      </w:pPr>
      <w:r w:rsidRPr="00463EB4">
        <w:rPr>
          <w:rFonts w:asciiTheme="minorBidi" w:hAnsiTheme="minorBidi"/>
          <w:sz w:val="24"/>
          <w:szCs w:val="24"/>
        </w:rPr>
        <w:t>The variables explaining OHS</w:t>
      </w:r>
      <w:r>
        <w:rPr>
          <w:rFonts w:asciiTheme="minorBidi" w:hAnsiTheme="minorBidi"/>
          <w:sz w:val="24"/>
          <w:szCs w:val="24"/>
        </w:rPr>
        <w:t xml:space="preserve"> </w:t>
      </w:r>
      <w:r w:rsidR="002D6A62">
        <w:rPr>
          <w:rFonts w:asciiTheme="minorBidi" w:hAnsiTheme="minorBidi"/>
          <w:sz w:val="24"/>
          <w:szCs w:val="24"/>
        </w:rPr>
        <w:t>use</w:t>
      </w:r>
      <w:r w:rsidRPr="00463EB4">
        <w:rPr>
          <w:rFonts w:asciiTheme="minorBidi" w:hAnsiTheme="minorBidi"/>
          <w:sz w:val="24"/>
          <w:szCs w:val="24"/>
        </w:rPr>
        <w:t xml:space="preserve"> are </w:t>
      </w:r>
      <w:r w:rsidR="00F11935">
        <w:rPr>
          <w:rFonts w:asciiTheme="minorBidi" w:hAnsiTheme="minorBidi"/>
          <w:sz w:val="24"/>
          <w:szCs w:val="24"/>
        </w:rPr>
        <w:t xml:space="preserve">perceived </w:t>
      </w:r>
      <w:r w:rsidRPr="00463EB4">
        <w:rPr>
          <w:rFonts w:asciiTheme="minorBidi" w:hAnsiTheme="minorBidi"/>
          <w:sz w:val="24"/>
          <w:szCs w:val="24"/>
        </w:rPr>
        <w:t xml:space="preserve">online health literacy, </w:t>
      </w:r>
      <w:r w:rsidR="00F11935">
        <w:rPr>
          <w:rFonts w:asciiTheme="minorBidi" w:hAnsiTheme="minorBidi"/>
          <w:sz w:val="24"/>
          <w:szCs w:val="24"/>
        </w:rPr>
        <w:t xml:space="preserve">perceived </w:t>
      </w:r>
      <w:r>
        <w:rPr>
          <w:rFonts w:asciiTheme="minorBidi" w:hAnsiTheme="minorBidi"/>
          <w:sz w:val="24"/>
          <w:szCs w:val="24"/>
        </w:rPr>
        <w:t>efficacy</w:t>
      </w:r>
      <w:r w:rsidRPr="00463EB4">
        <w:rPr>
          <w:rFonts w:asciiTheme="minorBidi" w:hAnsiTheme="minorBidi"/>
          <w:sz w:val="24"/>
          <w:szCs w:val="24"/>
        </w:rPr>
        <w:t xml:space="preserve"> and </w:t>
      </w:r>
      <w:r>
        <w:rPr>
          <w:rFonts w:asciiTheme="minorBidi" w:hAnsiTheme="minorBidi"/>
          <w:sz w:val="24"/>
          <w:szCs w:val="24"/>
        </w:rPr>
        <w:t>safety</w:t>
      </w:r>
      <w:r w:rsidRPr="00463EB4">
        <w:rPr>
          <w:rFonts w:asciiTheme="minorBidi" w:hAnsiTheme="minorBidi"/>
          <w:sz w:val="24"/>
          <w:szCs w:val="24"/>
        </w:rPr>
        <w:t xml:space="preserve"> </w:t>
      </w:r>
      <w:r>
        <w:rPr>
          <w:rFonts w:asciiTheme="minorBidi" w:hAnsiTheme="minorBidi"/>
          <w:sz w:val="24"/>
          <w:szCs w:val="24"/>
        </w:rPr>
        <w:t>of</w:t>
      </w:r>
      <w:r w:rsidRPr="00463EB4">
        <w:rPr>
          <w:rFonts w:asciiTheme="minorBidi" w:hAnsiTheme="minorBidi"/>
          <w:sz w:val="24"/>
          <w:szCs w:val="24"/>
        </w:rPr>
        <w:t xml:space="preserve"> online treatment, preference for </w:t>
      </w:r>
      <w:r w:rsidR="00F11935">
        <w:rPr>
          <w:rFonts w:asciiTheme="minorBidi" w:hAnsiTheme="minorBidi"/>
          <w:sz w:val="24"/>
          <w:szCs w:val="24"/>
        </w:rPr>
        <w:t>in-person</w:t>
      </w:r>
      <w:r w:rsidRPr="00463EB4">
        <w:rPr>
          <w:rFonts w:asciiTheme="minorBidi" w:hAnsiTheme="minorBidi"/>
          <w:sz w:val="24"/>
          <w:szCs w:val="24"/>
        </w:rPr>
        <w:t xml:space="preserve"> treatment, and chronic illness. As </w:t>
      </w:r>
      <w:r w:rsidR="00F11935">
        <w:rPr>
          <w:rFonts w:asciiTheme="minorBidi" w:hAnsiTheme="minorBidi"/>
          <w:sz w:val="24"/>
          <w:szCs w:val="24"/>
        </w:rPr>
        <w:t>the</w:t>
      </w:r>
      <w:r w:rsidRPr="00463EB4">
        <w:rPr>
          <w:rFonts w:asciiTheme="minorBidi" w:hAnsiTheme="minorBidi"/>
          <w:sz w:val="24"/>
          <w:szCs w:val="24"/>
        </w:rPr>
        <w:t xml:space="preserve"> second stage of the regression</w:t>
      </w:r>
      <w:r w:rsidR="00F11935">
        <w:rPr>
          <w:rFonts w:asciiTheme="minorBidi" w:hAnsiTheme="minorBidi"/>
          <w:sz w:val="24"/>
          <w:szCs w:val="24"/>
        </w:rPr>
        <w:t xml:space="preserve"> indicates</w:t>
      </w:r>
      <w:r w:rsidRPr="00463EB4">
        <w:rPr>
          <w:rFonts w:asciiTheme="minorBidi" w:hAnsiTheme="minorBidi"/>
          <w:sz w:val="24"/>
          <w:szCs w:val="24"/>
        </w:rPr>
        <w:t xml:space="preserve">, these variables explain 37.8% of the variance of the dependent variable. </w:t>
      </w:r>
      <w:r w:rsidR="00B04BED">
        <w:rPr>
          <w:rFonts w:asciiTheme="minorBidi" w:hAnsiTheme="minorBidi"/>
          <w:sz w:val="24"/>
          <w:szCs w:val="24"/>
        </w:rPr>
        <w:t>Notably, and c</w:t>
      </w:r>
      <w:r w:rsidR="006A6811">
        <w:rPr>
          <w:rFonts w:asciiTheme="minorBidi" w:hAnsiTheme="minorBidi"/>
          <w:sz w:val="24"/>
          <w:szCs w:val="24"/>
        </w:rPr>
        <w:t>onsistent with other research findings</w:t>
      </w:r>
      <w:r w:rsidR="004136FE">
        <w:rPr>
          <w:rFonts w:asciiTheme="minorBidi" w:hAnsiTheme="minorBidi"/>
          <w:sz w:val="24"/>
          <w:szCs w:val="24"/>
        </w:rPr>
        <w:t>,</w:t>
      </w:r>
      <w:r w:rsidR="00B04BED" w:rsidRPr="004F1762">
        <w:rPr>
          <w:rFonts w:asciiTheme="minorBidi" w:hAnsiTheme="minorBidi"/>
          <w:sz w:val="24"/>
          <w:szCs w:val="24"/>
          <w:vertAlign w:val="superscript"/>
          <w:lang w:val="en-GB"/>
        </w:rPr>
        <w:t>25,32</w:t>
      </w:r>
      <w:r w:rsidR="006A6811">
        <w:rPr>
          <w:rFonts w:asciiTheme="minorBidi" w:hAnsiTheme="minorBidi"/>
          <w:sz w:val="24"/>
          <w:szCs w:val="24"/>
        </w:rPr>
        <w:t xml:space="preserve"> </w:t>
      </w:r>
      <w:r w:rsidR="00B04BED">
        <w:rPr>
          <w:rFonts w:asciiTheme="minorBidi" w:hAnsiTheme="minorBidi"/>
          <w:sz w:val="24"/>
          <w:szCs w:val="24"/>
        </w:rPr>
        <w:t xml:space="preserve">the </w:t>
      </w:r>
      <w:r w:rsidR="006A6811">
        <w:rPr>
          <w:rFonts w:asciiTheme="minorBidi" w:hAnsiTheme="minorBidi"/>
          <w:sz w:val="24"/>
          <w:szCs w:val="24"/>
        </w:rPr>
        <w:t>b</w:t>
      </w:r>
      <w:r w:rsidRPr="00463EB4">
        <w:rPr>
          <w:rFonts w:asciiTheme="minorBidi" w:hAnsiTheme="minorBidi"/>
          <w:sz w:val="24"/>
          <w:szCs w:val="24"/>
        </w:rPr>
        <w:t xml:space="preserve">ackground variables introduced in the first stage of the regression </w:t>
      </w:r>
      <w:r>
        <w:rPr>
          <w:rFonts w:asciiTheme="minorBidi" w:hAnsiTheme="minorBidi"/>
          <w:sz w:val="24"/>
          <w:szCs w:val="24"/>
        </w:rPr>
        <w:t>had</w:t>
      </w:r>
      <w:r w:rsidRPr="00463EB4">
        <w:rPr>
          <w:rFonts w:asciiTheme="minorBidi" w:hAnsiTheme="minorBidi"/>
          <w:sz w:val="24"/>
          <w:szCs w:val="24"/>
        </w:rPr>
        <w:t xml:space="preserve"> a low and insignificant </w:t>
      </w:r>
      <w:r>
        <w:rPr>
          <w:rFonts w:asciiTheme="minorBidi" w:hAnsiTheme="minorBidi"/>
          <w:sz w:val="24"/>
          <w:szCs w:val="24"/>
        </w:rPr>
        <w:t>contribution</w:t>
      </w:r>
      <w:r w:rsidRPr="00463EB4">
        <w:rPr>
          <w:rFonts w:asciiTheme="minorBidi" w:hAnsiTheme="minorBidi"/>
          <w:sz w:val="24"/>
          <w:szCs w:val="24"/>
        </w:rPr>
        <w:t xml:space="preserve"> to </w:t>
      </w:r>
      <w:r w:rsidR="00DD190E" w:rsidRPr="00463EB4">
        <w:rPr>
          <w:rFonts w:asciiTheme="minorBidi" w:hAnsiTheme="minorBidi"/>
          <w:sz w:val="24"/>
          <w:szCs w:val="24"/>
        </w:rPr>
        <w:t>explai</w:t>
      </w:r>
      <w:r w:rsidR="00DD190E">
        <w:rPr>
          <w:rFonts w:asciiTheme="minorBidi" w:hAnsiTheme="minorBidi"/>
          <w:sz w:val="24"/>
          <w:szCs w:val="24"/>
        </w:rPr>
        <w:t>ning</w:t>
      </w:r>
      <w:r w:rsidRPr="00463EB4">
        <w:rPr>
          <w:rFonts w:asciiTheme="minorBidi" w:hAnsiTheme="minorBidi"/>
          <w:sz w:val="24"/>
          <w:szCs w:val="24"/>
        </w:rPr>
        <w:t xml:space="preserve"> the variance of the dependent variable</w:t>
      </w:r>
      <w:r w:rsidR="00B04BED">
        <w:rPr>
          <w:rFonts w:asciiTheme="minorBidi" w:hAnsiTheme="minorBidi"/>
          <w:sz w:val="24"/>
          <w:szCs w:val="24"/>
        </w:rPr>
        <w:t xml:space="preserve"> (except for chronic illness)</w:t>
      </w:r>
      <w:r w:rsidRPr="00463EB4">
        <w:rPr>
          <w:rFonts w:asciiTheme="minorBidi" w:hAnsiTheme="minorBidi"/>
          <w:sz w:val="24"/>
          <w:szCs w:val="24"/>
        </w:rPr>
        <w:t xml:space="preserve">. For instance, age </w:t>
      </w:r>
      <w:r w:rsidR="00B04BED">
        <w:rPr>
          <w:rFonts w:asciiTheme="minorBidi" w:hAnsiTheme="minorBidi"/>
          <w:sz w:val="24"/>
          <w:szCs w:val="24"/>
        </w:rPr>
        <w:t>contributed little to the</w:t>
      </w:r>
      <w:r w:rsidR="00FF2082" w:rsidRPr="00FF2082">
        <w:rPr>
          <w:rFonts w:asciiTheme="minorBidi" w:hAnsiTheme="minorBidi"/>
          <w:sz w:val="24"/>
          <w:szCs w:val="24"/>
        </w:rPr>
        <w:t xml:space="preserve"> explained variance of</w:t>
      </w:r>
      <w:r w:rsidRPr="00463EB4">
        <w:rPr>
          <w:rFonts w:asciiTheme="minorBidi" w:hAnsiTheme="minorBidi"/>
          <w:sz w:val="24"/>
          <w:szCs w:val="24"/>
        </w:rPr>
        <w:t xml:space="preserve"> OHS </w:t>
      </w:r>
      <w:r w:rsidR="002D6A62">
        <w:rPr>
          <w:rFonts w:asciiTheme="minorBidi" w:hAnsiTheme="minorBidi"/>
          <w:sz w:val="24"/>
          <w:szCs w:val="24"/>
        </w:rPr>
        <w:t>use</w:t>
      </w:r>
      <w:r w:rsidRPr="00463EB4">
        <w:rPr>
          <w:rFonts w:asciiTheme="minorBidi" w:hAnsiTheme="minorBidi"/>
          <w:sz w:val="24"/>
          <w:szCs w:val="24"/>
        </w:rPr>
        <w:t xml:space="preserve">, </w:t>
      </w:r>
      <w:r w:rsidR="00F11935">
        <w:rPr>
          <w:rFonts w:asciiTheme="minorBidi" w:hAnsiTheme="minorBidi"/>
          <w:sz w:val="24"/>
          <w:szCs w:val="24"/>
        </w:rPr>
        <w:t>in line with</w:t>
      </w:r>
      <w:r w:rsidRPr="00463EB4">
        <w:rPr>
          <w:rFonts w:asciiTheme="minorBidi" w:hAnsiTheme="minorBidi"/>
          <w:sz w:val="24"/>
          <w:szCs w:val="24"/>
        </w:rPr>
        <w:t xml:space="preserve"> other studies</w:t>
      </w:r>
      <w:r w:rsidR="004136FE">
        <w:rPr>
          <w:rFonts w:asciiTheme="minorBidi" w:hAnsiTheme="minorBidi"/>
          <w:sz w:val="24"/>
          <w:szCs w:val="24"/>
        </w:rPr>
        <w:t>.</w:t>
      </w:r>
      <w:r w:rsidR="00FF2082" w:rsidRPr="00FF2082">
        <w:rPr>
          <w:rFonts w:ascii="Arial" w:eastAsia="Calibri" w:hAnsi="Arial" w:cs="Arial" w:hint="cs"/>
          <w:sz w:val="24"/>
          <w:szCs w:val="24"/>
          <w:vertAlign w:val="superscript"/>
          <w:rtl/>
        </w:rPr>
        <w:t>30,31</w:t>
      </w:r>
      <w:r w:rsidRPr="00463EB4">
        <w:rPr>
          <w:rFonts w:asciiTheme="minorBidi" w:hAnsiTheme="minorBidi"/>
          <w:sz w:val="24"/>
          <w:szCs w:val="24"/>
        </w:rPr>
        <w:t xml:space="preserve"> </w:t>
      </w:r>
      <w:r w:rsidR="004F1762" w:rsidRPr="004F1762">
        <w:rPr>
          <w:rFonts w:asciiTheme="minorBidi" w:hAnsiTheme="minorBidi"/>
          <w:sz w:val="24"/>
          <w:szCs w:val="24"/>
        </w:rPr>
        <w:t>Therefore, decision</w:t>
      </w:r>
      <w:r w:rsidR="00B04BED">
        <w:rPr>
          <w:rFonts w:asciiTheme="minorBidi" w:hAnsiTheme="minorBidi"/>
          <w:sz w:val="24"/>
          <w:szCs w:val="24"/>
        </w:rPr>
        <w:t>-</w:t>
      </w:r>
      <w:r w:rsidR="004F1762" w:rsidRPr="004F1762">
        <w:rPr>
          <w:rFonts w:asciiTheme="minorBidi" w:hAnsiTheme="minorBidi"/>
          <w:sz w:val="24"/>
          <w:szCs w:val="24"/>
        </w:rPr>
        <w:t xml:space="preserve"> and policy</w:t>
      </w:r>
      <w:r w:rsidR="003B748C">
        <w:rPr>
          <w:rFonts w:asciiTheme="minorBidi" w:hAnsiTheme="minorBidi"/>
          <w:sz w:val="24"/>
          <w:szCs w:val="24"/>
        </w:rPr>
        <w:t>-</w:t>
      </w:r>
      <w:r w:rsidR="004F1762" w:rsidRPr="004F1762">
        <w:rPr>
          <w:rFonts w:asciiTheme="minorBidi" w:hAnsiTheme="minorBidi"/>
          <w:sz w:val="24"/>
          <w:szCs w:val="24"/>
        </w:rPr>
        <w:t xml:space="preserve">makers should </w:t>
      </w:r>
      <w:r w:rsidR="003B748C">
        <w:rPr>
          <w:rFonts w:asciiTheme="minorBidi" w:hAnsiTheme="minorBidi"/>
          <w:sz w:val="24"/>
          <w:szCs w:val="24"/>
        </w:rPr>
        <w:t xml:space="preserve">work to </w:t>
      </w:r>
      <w:r w:rsidR="004F1762" w:rsidRPr="004F1762">
        <w:rPr>
          <w:rFonts w:asciiTheme="minorBidi" w:hAnsiTheme="minorBidi"/>
          <w:sz w:val="24"/>
          <w:szCs w:val="24"/>
        </w:rPr>
        <w:t>promote online health literacy</w:t>
      </w:r>
      <w:r w:rsidR="003B748C">
        <w:rPr>
          <w:rFonts w:asciiTheme="minorBidi" w:hAnsiTheme="minorBidi"/>
          <w:sz w:val="24"/>
          <w:szCs w:val="24"/>
        </w:rPr>
        <w:t>,</w:t>
      </w:r>
      <w:r w:rsidR="004F1762" w:rsidRPr="004F1762">
        <w:rPr>
          <w:rFonts w:asciiTheme="minorBidi" w:hAnsiTheme="minorBidi"/>
          <w:sz w:val="24"/>
          <w:szCs w:val="24"/>
        </w:rPr>
        <w:t xml:space="preserve"> </w:t>
      </w:r>
      <w:r w:rsidR="003B748C">
        <w:rPr>
          <w:rFonts w:asciiTheme="minorBidi" w:hAnsiTheme="minorBidi"/>
          <w:sz w:val="24"/>
          <w:szCs w:val="24"/>
        </w:rPr>
        <w:t>encourage</w:t>
      </w:r>
      <w:r w:rsidR="004F1762" w:rsidRPr="004F1762">
        <w:rPr>
          <w:rFonts w:asciiTheme="minorBidi" w:hAnsiTheme="minorBidi"/>
          <w:sz w:val="24"/>
          <w:szCs w:val="24"/>
        </w:rPr>
        <w:t xml:space="preserve"> </w:t>
      </w:r>
      <w:r w:rsidR="00B04BED">
        <w:rPr>
          <w:rFonts w:asciiTheme="minorBidi" w:hAnsiTheme="minorBidi"/>
          <w:sz w:val="24"/>
          <w:szCs w:val="24"/>
        </w:rPr>
        <w:t>OHS</w:t>
      </w:r>
      <w:r w:rsidR="004F1762" w:rsidRPr="004F1762">
        <w:rPr>
          <w:rFonts w:asciiTheme="minorBidi" w:hAnsiTheme="minorBidi"/>
          <w:sz w:val="24"/>
          <w:szCs w:val="24"/>
        </w:rPr>
        <w:t xml:space="preserve"> </w:t>
      </w:r>
      <w:r w:rsidR="002D6A62">
        <w:rPr>
          <w:rFonts w:asciiTheme="minorBidi" w:hAnsiTheme="minorBidi"/>
          <w:sz w:val="24"/>
          <w:szCs w:val="24"/>
        </w:rPr>
        <w:t>use</w:t>
      </w:r>
      <w:r w:rsidR="00B04BED">
        <w:rPr>
          <w:rFonts w:asciiTheme="minorBidi" w:hAnsiTheme="minorBidi"/>
          <w:sz w:val="24"/>
          <w:szCs w:val="24"/>
        </w:rPr>
        <w:t xml:space="preserve"> among</w:t>
      </w:r>
      <w:r w:rsidR="004F1762" w:rsidRPr="004F1762">
        <w:rPr>
          <w:rFonts w:asciiTheme="minorBidi" w:hAnsiTheme="minorBidi"/>
          <w:sz w:val="24"/>
          <w:szCs w:val="24"/>
        </w:rPr>
        <w:t xml:space="preserve"> patients with chronic illnesses</w:t>
      </w:r>
      <w:r w:rsidR="00B04BED">
        <w:rPr>
          <w:rFonts w:asciiTheme="minorBidi" w:hAnsiTheme="minorBidi"/>
          <w:sz w:val="24"/>
          <w:szCs w:val="24"/>
        </w:rPr>
        <w:t>,</w:t>
      </w:r>
      <w:r w:rsidR="004F1762" w:rsidRPr="004F1762">
        <w:rPr>
          <w:rFonts w:asciiTheme="minorBidi" w:hAnsiTheme="minorBidi"/>
          <w:sz w:val="24"/>
          <w:szCs w:val="24"/>
        </w:rPr>
        <w:t xml:space="preserve"> and </w:t>
      </w:r>
      <w:r w:rsidR="00F11935">
        <w:rPr>
          <w:rFonts w:asciiTheme="minorBidi" w:hAnsiTheme="minorBidi"/>
          <w:sz w:val="24"/>
          <w:szCs w:val="24"/>
        </w:rPr>
        <w:t>design</w:t>
      </w:r>
      <w:r w:rsidR="004F1762" w:rsidRPr="004F1762">
        <w:rPr>
          <w:rFonts w:asciiTheme="minorBidi" w:hAnsiTheme="minorBidi"/>
          <w:sz w:val="24"/>
          <w:szCs w:val="24"/>
        </w:rPr>
        <w:t xml:space="preserve"> healthcare services that integrate online </w:t>
      </w:r>
      <w:r w:rsidR="00B04BED">
        <w:rPr>
          <w:rFonts w:asciiTheme="minorBidi" w:hAnsiTheme="minorBidi"/>
          <w:sz w:val="24"/>
          <w:szCs w:val="24"/>
        </w:rPr>
        <w:t>medicine</w:t>
      </w:r>
      <w:r w:rsidR="004F1762" w:rsidRPr="004F1762">
        <w:rPr>
          <w:rFonts w:asciiTheme="minorBidi" w:hAnsiTheme="minorBidi"/>
          <w:sz w:val="24"/>
          <w:szCs w:val="24"/>
        </w:rPr>
        <w:t xml:space="preserve"> </w:t>
      </w:r>
      <w:r w:rsidR="008A6B20">
        <w:rPr>
          <w:rFonts w:asciiTheme="minorBidi" w:hAnsiTheme="minorBidi"/>
          <w:sz w:val="24"/>
          <w:szCs w:val="24"/>
        </w:rPr>
        <w:t>with</w:t>
      </w:r>
      <w:r w:rsidR="004F1762" w:rsidRPr="004F1762">
        <w:rPr>
          <w:rFonts w:asciiTheme="minorBidi" w:hAnsiTheme="minorBidi"/>
          <w:sz w:val="24"/>
          <w:szCs w:val="24"/>
        </w:rPr>
        <w:t xml:space="preserve"> </w:t>
      </w:r>
      <w:r w:rsidR="00F11935">
        <w:rPr>
          <w:rFonts w:asciiTheme="minorBidi" w:hAnsiTheme="minorBidi"/>
          <w:sz w:val="24"/>
          <w:szCs w:val="24"/>
        </w:rPr>
        <w:t>in-person</w:t>
      </w:r>
      <w:r w:rsidR="004F1762" w:rsidRPr="004F1762">
        <w:rPr>
          <w:rFonts w:asciiTheme="minorBidi" w:hAnsiTheme="minorBidi"/>
          <w:sz w:val="24"/>
          <w:szCs w:val="24"/>
        </w:rPr>
        <w:t xml:space="preserve"> treatment</w:t>
      </w:r>
      <w:r w:rsidR="00B04BED">
        <w:rPr>
          <w:rFonts w:asciiTheme="minorBidi" w:hAnsiTheme="minorBidi"/>
          <w:sz w:val="24"/>
          <w:szCs w:val="24"/>
        </w:rPr>
        <w:t>.</w:t>
      </w:r>
    </w:p>
    <w:p w14:paraId="49C7D172" w14:textId="77777777" w:rsidR="009A6C0F" w:rsidRDefault="009A6C0F" w:rsidP="008A6B20">
      <w:pPr>
        <w:spacing w:line="480" w:lineRule="auto"/>
        <w:jc w:val="both"/>
        <w:rPr>
          <w:rFonts w:asciiTheme="minorBidi" w:hAnsiTheme="minorBidi"/>
          <w:b/>
          <w:bCs/>
          <w:sz w:val="24"/>
          <w:szCs w:val="24"/>
        </w:rPr>
      </w:pPr>
    </w:p>
    <w:p w14:paraId="11BAD4B0" w14:textId="77777777" w:rsidR="009A6C0F" w:rsidRDefault="009A6C0F" w:rsidP="008A6B20">
      <w:pPr>
        <w:spacing w:line="480" w:lineRule="auto"/>
        <w:jc w:val="both"/>
        <w:rPr>
          <w:rFonts w:asciiTheme="minorBidi" w:hAnsiTheme="minorBidi"/>
          <w:b/>
          <w:bCs/>
          <w:sz w:val="24"/>
          <w:szCs w:val="24"/>
        </w:rPr>
      </w:pPr>
      <w:r>
        <w:rPr>
          <w:rFonts w:asciiTheme="minorBidi" w:hAnsiTheme="minorBidi"/>
          <w:b/>
          <w:bCs/>
          <w:sz w:val="24"/>
          <w:szCs w:val="24"/>
        </w:rPr>
        <w:t>Conclusions</w:t>
      </w:r>
    </w:p>
    <w:p w14:paraId="477E2859" w14:textId="63402B63" w:rsidR="009A6C0F" w:rsidRDefault="004A4E97" w:rsidP="002D6A62">
      <w:pPr>
        <w:spacing w:line="480" w:lineRule="auto"/>
        <w:jc w:val="both"/>
        <w:rPr>
          <w:rFonts w:asciiTheme="minorBidi" w:hAnsiTheme="minorBidi"/>
          <w:sz w:val="24"/>
          <w:szCs w:val="24"/>
        </w:rPr>
      </w:pPr>
      <w:r w:rsidRPr="004A4E97">
        <w:rPr>
          <w:rFonts w:asciiTheme="minorBidi" w:hAnsiTheme="minorBidi"/>
          <w:sz w:val="24"/>
          <w:szCs w:val="24"/>
        </w:rPr>
        <w:lastRenderedPageBreak/>
        <w:t xml:space="preserve">The COVID-19 pandemic created a shift in </w:t>
      </w:r>
      <w:r w:rsidR="001D54C5">
        <w:rPr>
          <w:rFonts w:asciiTheme="minorBidi" w:hAnsiTheme="minorBidi"/>
          <w:sz w:val="24"/>
          <w:szCs w:val="24"/>
        </w:rPr>
        <w:t>people’s</w:t>
      </w:r>
      <w:r w:rsidRPr="004A4E97">
        <w:rPr>
          <w:rFonts w:asciiTheme="minorBidi" w:hAnsiTheme="minorBidi"/>
          <w:sz w:val="24"/>
          <w:szCs w:val="24"/>
        </w:rPr>
        <w:t xml:space="preserve"> attitude toward the consumption of OHS. Despite this, only about half </w:t>
      </w:r>
      <w:r w:rsidR="00602CAD">
        <w:rPr>
          <w:rFonts w:asciiTheme="minorBidi" w:hAnsiTheme="minorBidi"/>
          <w:sz w:val="24"/>
          <w:szCs w:val="24"/>
        </w:rPr>
        <w:t xml:space="preserve">of the respondents </w:t>
      </w:r>
      <w:r w:rsidRPr="004A4E97">
        <w:rPr>
          <w:rFonts w:asciiTheme="minorBidi" w:hAnsiTheme="minorBidi"/>
          <w:sz w:val="24"/>
          <w:szCs w:val="24"/>
        </w:rPr>
        <w:t xml:space="preserve">reported using OHS and agreed that their level of online health literacy </w:t>
      </w:r>
      <w:r w:rsidR="003B748C">
        <w:rPr>
          <w:rFonts w:asciiTheme="minorBidi" w:hAnsiTheme="minorBidi"/>
          <w:sz w:val="24"/>
          <w:szCs w:val="24"/>
        </w:rPr>
        <w:t>was</w:t>
      </w:r>
      <w:r w:rsidRPr="004A4E97">
        <w:rPr>
          <w:rFonts w:asciiTheme="minorBidi" w:hAnsiTheme="minorBidi"/>
          <w:sz w:val="24"/>
          <w:szCs w:val="24"/>
        </w:rPr>
        <w:t xml:space="preserve"> adequate. This implies that the health</w:t>
      </w:r>
      <w:r w:rsidR="00637862">
        <w:rPr>
          <w:rFonts w:asciiTheme="minorBidi" w:hAnsiTheme="minorBidi"/>
          <w:sz w:val="24"/>
          <w:szCs w:val="24"/>
        </w:rPr>
        <w:t>care</w:t>
      </w:r>
      <w:r w:rsidRPr="004A4E97">
        <w:rPr>
          <w:rFonts w:asciiTheme="minorBidi" w:hAnsiTheme="minorBidi"/>
          <w:sz w:val="24"/>
          <w:szCs w:val="24"/>
        </w:rPr>
        <w:t xml:space="preserve"> system </w:t>
      </w:r>
      <w:r w:rsidR="00473740">
        <w:rPr>
          <w:rFonts w:asciiTheme="minorBidi" w:hAnsiTheme="minorBidi"/>
          <w:sz w:val="24"/>
          <w:szCs w:val="24"/>
        </w:rPr>
        <w:t>should</w:t>
      </w:r>
      <w:r w:rsidRPr="004A4E97">
        <w:rPr>
          <w:rFonts w:asciiTheme="minorBidi" w:hAnsiTheme="minorBidi"/>
          <w:sz w:val="24"/>
          <w:szCs w:val="24"/>
        </w:rPr>
        <w:t xml:space="preserve"> focus</w:t>
      </w:r>
      <w:r w:rsidR="00637862">
        <w:rPr>
          <w:rFonts w:asciiTheme="minorBidi" w:hAnsiTheme="minorBidi"/>
          <w:sz w:val="24"/>
          <w:szCs w:val="24"/>
        </w:rPr>
        <w:t xml:space="preserve"> </w:t>
      </w:r>
      <w:r w:rsidRPr="004A4E97">
        <w:rPr>
          <w:rFonts w:asciiTheme="minorBidi" w:hAnsiTheme="minorBidi"/>
          <w:sz w:val="24"/>
          <w:szCs w:val="24"/>
        </w:rPr>
        <w:t xml:space="preserve">specific </w:t>
      </w:r>
      <w:r w:rsidR="00637862">
        <w:rPr>
          <w:rFonts w:asciiTheme="minorBidi" w:hAnsiTheme="minorBidi"/>
          <w:sz w:val="24"/>
          <w:szCs w:val="24"/>
        </w:rPr>
        <w:t>efforts on</w:t>
      </w:r>
      <w:r w:rsidRPr="004A4E97">
        <w:rPr>
          <w:rFonts w:asciiTheme="minorBidi" w:hAnsiTheme="minorBidi"/>
          <w:sz w:val="24"/>
          <w:szCs w:val="24"/>
        </w:rPr>
        <w:t xml:space="preserve"> promot</w:t>
      </w:r>
      <w:r w:rsidR="00637862">
        <w:rPr>
          <w:rFonts w:asciiTheme="minorBidi" w:hAnsiTheme="minorBidi"/>
          <w:sz w:val="24"/>
          <w:szCs w:val="24"/>
        </w:rPr>
        <w:t>ing</w:t>
      </w:r>
      <w:r w:rsidRPr="004A4E97">
        <w:rPr>
          <w:rFonts w:asciiTheme="minorBidi" w:hAnsiTheme="minorBidi"/>
          <w:sz w:val="24"/>
          <w:szCs w:val="24"/>
        </w:rPr>
        <w:t xml:space="preserve"> online health literacy and establishing knowledge and skills related to technology use. Furthermore, the fact that most patients are </w:t>
      </w:r>
      <w:r w:rsidR="002D6A62">
        <w:rPr>
          <w:rFonts w:asciiTheme="minorBidi" w:hAnsiTheme="minorBidi"/>
          <w:sz w:val="24"/>
          <w:szCs w:val="24"/>
        </w:rPr>
        <w:t>undecided</w:t>
      </w:r>
      <w:r w:rsidRPr="004A4E97">
        <w:rPr>
          <w:rFonts w:asciiTheme="minorBidi" w:hAnsiTheme="minorBidi"/>
          <w:sz w:val="24"/>
          <w:szCs w:val="24"/>
        </w:rPr>
        <w:t xml:space="preserve"> </w:t>
      </w:r>
      <w:r w:rsidR="002D6A62">
        <w:rPr>
          <w:rFonts w:asciiTheme="minorBidi" w:hAnsiTheme="minorBidi"/>
          <w:sz w:val="24"/>
          <w:szCs w:val="24"/>
        </w:rPr>
        <w:t>regarding</w:t>
      </w:r>
      <w:r w:rsidRPr="004A4E97">
        <w:rPr>
          <w:rFonts w:asciiTheme="minorBidi" w:hAnsiTheme="minorBidi"/>
          <w:sz w:val="24"/>
          <w:szCs w:val="24"/>
        </w:rPr>
        <w:t xml:space="preserve"> their preference for online versus </w:t>
      </w:r>
      <w:r w:rsidR="00473740">
        <w:rPr>
          <w:rFonts w:asciiTheme="minorBidi" w:hAnsiTheme="minorBidi"/>
          <w:sz w:val="24"/>
          <w:szCs w:val="24"/>
        </w:rPr>
        <w:t>in-person</w:t>
      </w:r>
      <w:r w:rsidRPr="004A4E97">
        <w:rPr>
          <w:rFonts w:asciiTheme="minorBidi" w:hAnsiTheme="minorBidi"/>
          <w:sz w:val="24"/>
          <w:szCs w:val="24"/>
        </w:rPr>
        <w:t xml:space="preserve"> treatment suggests that OHS </w:t>
      </w:r>
      <w:r w:rsidR="00820C00">
        <w:rPr>
          <w:rFonts w:asciiTheme="minorBidi" w:hAnsiTheme="minorBidi"/>
          <w:sz w:val="24"/>
          <w:szCs w:val="24"/>
        </w:rPr>
        <w:t>are</w:t>
      </w:r>
      <w:r w:rsidRPr="004A4E97">
        <w:rPr>
          <w:rFonts w:asciiTheme="minorBidi" w:hAnsiTheme="minorBidi"/>
          <w:sz w:val="24"/>
          <w:szCs w:val="24"/>
        </w:rPr>
        <w:t xml:space="preserve"> not perceived as a replacement for </w:t>
      </w:r>
      <w:r w:rsidR="00473740">
        <w:rPr>
          <w:rFonts w:asciiTheme="minorBidi" w:hAnsiTheme="minorBidi"/>
          <w:sz w:val="24"/>
          <w:szCs w:val="24"/>
        </w:rPr>
        <w:t>in-person</w:t>
      </w:r>
      <w:r w:rsidRPr="004A4E97">
        <w:rPr>
          <w:rFonts w:asciiTheme="minorBidi" w:hAnsiTheme="minorBidi"/>
          <w:sz w:val="24"/>
          <w:szCs w:val="24"/>
        </w:rPr>
        <w:t xml:space="preserve"> encounters with </w:t>
      </w:r>
      <w:r w:rsidR="00820C00">
        <w:rPr>
          <w:rFonts w:asciiTheme="minorBidi" w:hAnsiTheme="minorBidi"/>
          <w:sz w:val="24"/>
          <w:szCs w:val="24"/>
        </w:rPr>
        <w:t>healthcare providers</w:t>
      </w:r>
      <w:r w:rsidRPr="004A4E97">
        <w:rPr>
          <w:rFonts w:asciiTheme="minorBidi" w:hAnsiTheme="minorBidi"/>
          <w:sz w:val="24"/>
          <w:szCs w:val="24"/>
        </w:rPr>
        <w:t xml:space="preserve"> but as a </w:t>
      </w:r>
      <w:r w:rsidR="00820C00">
        <w:rPr>
          <w:rFonts w:asciiTheme="minorBidi" w:hAnsiTheme="minorBidi"/>
          <w:sz w:val="24"/>
          <w:szCs w:val="24"/>
        </w:rPr>
        <w:t>supplementary</w:t>
      </w:r>
      <w:r w:rsidRPr="004A4E97">
        <w:rPr>
          <w:rFonts w:asciiTheme="minorBidi" w:hAnsiTheme="minorBidi"/>
          <w:sz w:val="24"/>
          <w:szCs w:val="24"/>
        </w:rPr>
        <w:t xml:space="preserve"> service. Therefore, to improve </w:t>
      </w:r>
      <w:r w:rsidR="00820C00">
        <w:rPr>
          <w:rFonts w:asciiTheme="minorBidi" w:hAnsiTheme="minorBidi"/>
          <w:sz w:val="24"/>
          <w:szCs w:val="24"/>
        </w:rPr>
        <w:t>OHS</w:t>
      </w:r>
      <w:r w:rsidRPr="004A4E97">
        <w:rPr>
          <w:rFonts w:asciiTheme="minorBidi" w:hAnsiTheme="minorBidi"/>
          <w:sz w:val="24"/>
          <w:szCs w:val="24"/>
        </w:rPr>
        <w:t xml:space="preserve"> </w:t>
      </w:r>
      <w:r w:rsidR="002D6A62">
        <w:rPr>
          <w:rFonts w:asciiTheme="minorBidi" w:hAnsiTheme="minorBidi"/>
          <w:sz w:val="24"/>
          <w:szCs w:val="24"/>
        </w:rPr>
        <w:t>use</w:t>
      </w:r>
      <w:r w:rsidRPr="004A4E97">
        <w:rPr>
          <w:rFonts w:asciiTheme="minorBidi" w:hAnsiTheme="minorBidi"/>
          <w:sz w:val="24"/>
          <w:szCs w:val="24"/>
        </w:rPr>
        <w:t xml:space="preserve"> rates, including </w:t>
      </w:r>
      <w:r w:rsidR="00820C00">
        <w:rPr>
          <w:rFonts w:asciiTheme="minorBidi" w:hAnsiTheme="minorBidi"/>
          <w:sz w:val="24"/>
          <w:szCs w:val="24"/>
        </w:rPr>
        <w:t>among</w:t>
      </w:r>
      <w:r w:rsidRPr="004A4E97">
        <w:rPr>
          <w:rFonts w:asciiTheme="minorBidi" w:hAnsiTheme="minorBidi"/>
          <w:sz w:val="24"/>
          <w:szCs w:val="24"/>
        </w:rPr>
        <w:t xml:space="preserve"> patients with chronic illnesses, decision-makers </w:t>
      </w:r>
      <w:r w:rsidR="00473740">
        <w:rPr>
          <w:rFonts w:asciiTheme="minorBidi" w:hAnsiTheme="minorBidi"/>
          <w:sz w:val="24"/>
          <w:szCs w:val="24"/>
        </w:rPr>
        <w:t>should</w:t>
      </w:r>
      <w:r w:rsidRPr="004A4E97">
        <w:rPr>
          <w:rFonts w:asciiTheme="minorBidi" w:hAnsiTheme="minorBidi"/>
          <w:sz w:val="24"/>
          <w:szCs w:val="24"/>
        </w:rPr>
        <w:t xml:space="preserve"> </w:t>
      </w:r>
      <w:r w:rsidR="00473740">
        <w:rPr>
          <w:rFonts w:asciiTheme="minorBidi" w:hAnsiTheme="minorBidi"/>
          <w:sz w:val="24"/>
          <w:szCs w:val="24"/>
        </w:rPr>
        <w:t>work to improve</w:t>
      </w:r>
      <w:r w:rsidRPr="004A4E97">
        <w:rPr>
          <w:rFonts w:asciiTheme="minorBidi" w:hAnsiTheme="minorBidi"/>
          <w:sz w:val="24"/>
          <w:szCs w:val="24"/>
        </w:rPr>
        <w:t xml:space="preserve"> patients' online literacy and design health services that </w:t>
      </w:r>
      <w:r w:rsidR="00820C00">
        <w:rPr>
          <w:rFonts w:asciiTheme="minorBidi" w:hAnsiTheme="minorBidi"/>
          <w:sz w:val="24"/>
          <w:szCs w:val="24"/>
        </w:rPr>
        <w:t>integrate</w:t>
      </w:r>
      <w:r w:rsidRPr="004A4E97">
        <w:rPr>
          <w:rFonts w:asciiTheme="minorBidi" w:hAnsiTheme="minorBidi"/>
          <w:sz w:val="24"/>
          <w:szCs w:val="24"/>
        </w:rPr>
        <w:t xml:space="preserve"> OHS with </w:t>
      </w:r>
      <w:r w:rsidR="00473740">
        <w:rPr>
          <w:rFonts w:asciiTheme="minorBidi" w:hAnsiTheme="minorBidi"/>
          <w:sz w:val="24"/>
          <w:szCs w:val="24"/>
        </w:rPr>
        <w:t>in-person</w:t>
      </w:r>
      <w:r w:rsidRPr="004A4E97">
        <w:rPr>
          <w:rFonts w:asciiTheme="minorBidi" w:hAnsiTheme="minorBidi"/>
          <w:sz w:val="24"/>
          <w:szCs w:val="24"/>
        </w:rPr>
        <w:t xml:space="preserve"> care.</w:t>
      </w:r>
    </w:p>
    <w:p w14:paraId="4DDEB1F4" w14:textId="77777777" w:rsidR="00820C00" w:rsidRDefault="00820C00" w:rsidP="00820C00">
      <w:pPr>
        <w:spacing w:line="480" w:lineRule="auto"/>
        <w:jc w:val="both"/>
        <w:rPr>
          <w:rFonts w:asciiTheme="minorBidi" w:hAnsiTheme="minorBidi"/>
          <w:sz w:val="24"/>
          <w:szCs w:val="24"/>
        </w:rPr>
      </w:pPr>
    </w:p>
    <w:p w14:paraId="735DAC63" w14:textId="77777777" w:rsidR="0006512D" w:rsidRDefault="0006512D" w:rsidP="00820C00">
      <w:pPr>
        <w:spacing w:line="480" w:lineRule="auto"/>
        <w:jc w:val="both"/>
        <w:rPr>
          <w:rFonts w:asciiTheme="minorBidi" w:hAnsiTheme="minorBidi"/>
          <w:b/>
          <w:bCs/>
          <w:sz w:val="24"/>
          <w:szCs w:val="24"/>
        </w:rPr>
      </w:pPr>
      <w:r>
        <w:rPr>
          <w:rFonts w:asciiTheme="minorBidi" w:hAnsiTheme="minorBidi"/>
          <w:b/>
          <w:bCs/>
          <w:sz w:val="24"/>
          <w:szCs w:val="24"/>
        </w:rPr>
        <w:t>Acknowledgements</w:t>
      </w:r>
    </w:p>
    <w:p w14:paraId="6BAB4E7E" w14:textId="77777777" w:rsidR="0006512D" w:rsidRDefault="00E23DE9" w:rsidP="00E23DE9">
      <w:pPr>
        <w:spacing w:line="480" w:lineRule="auto"/>
        <w:jc w:val="both"/>
        <w:rPr>
          <w:rFonts w:asciiTheme="minorBidi" w:hAnsiTheme="minorBidi"/>
          <w:sz w:val="24"/>
          <w:szCs w:val="24"/>
        </w:rPr>
      </w:pPr>
      <w:r w:rsidRPr="00E23DE9">
        <w:rPr>
          <w:rFonts w:asciiTheme="minorBidi" w:hAnsiTheme="minorBidi"/>
          <w:sz w:val="24"/>
          <w:szCs w:val="24"/>
        </w:rPr>
        <w:t xml:space="preserve">The researchers would like to thank the management of the Kamoni and </w:t>
      </w:r>
      <w:proofErr w:type="spellStart"/>
      <w:r w:rsidRPr="00E23DE9">
        <w:rPr>
          <w:rFonts w:asciiTheme="minorBidi" w:hAnsiTheme="minorBidi"/>
          <w:sz w:val="24"/>
          <w:szCs w:val="24"/>
        </w:rPr>
        <w:t>Motk</w:t>
      </w:r>
      <w:r>
        <w:rPr>
          <w:rFonts w:asciiTheme="minorBidi" w:hAnsiTheme="minorBidi"/>
          <w:sz w:val="24"/>
          <w:szCs w:val="24"/>
        </w:rPr>
        <w:t>e</w:t>
      </w:r>
      <w:proofErr w:type="spellEnd"/>
      <w:r w:rsidRPr="00E23DE9">
        <w:rPr>
          <w:rFonts w:asciiTheme="minorBidi" w:hAnsiTheme="minorBidi"/>
          <w:sz w:val="24"/>
          <w:szCs w:val="24"/>
        </w:rPr>
        <w:t xml:space="preserve"> websites for their assistance in distributing the questionnaire, and the </w:t>
      </w:r>
      <w:r>
        <w:rPr>
          <w:rFonts w:asciiTheme="minorBidi" w:hAnsiTheme="minorBidi"/>
          <w:sz w:val="24"/>
          <w:szCs w:val="24"/>
        </w:rPr>
        <w:t>administration</w:t>
      </w:r>
      <w:r w:rsidRPr="00E23DE9">
        <w:rPr>
          <w:rFonts w:asciiTheme="minorBidi" w:hAnsiTheme="minorBidi"/>
          <w:sz w:val="24"/>
          <w:szCs w:val="24"/>
        </w:rPr>
        <w:t xml:space="preserve"> of the Research Unit at the Ono Academic College for their financial support of the research.</w:t>
      </w:r>
    </w:p>
    <w:p w14:paraId="25EF33C8" w14:textId="77777777" w:rsidR="00D50A93" w:rsidRDefault="00D50A93" w:rsidP="00E23DE9">
      <w:pPr>
        <w:spacing w:line="480" w:lineRule="auto"/>
        <w:jc w:val="both"/>
        <w:rPr>
          <w:rFonts w:asciiTheme="minorBidi" w:hAnsiTheme="minorBidi"/>
          <w:sz w:val="24"/>
          <w:szCs w:val="24"/>
        </w:rPr>
      </w:pPr>
    </w:p>
    <w:p w14:paraId="64A24ACF" w14:textId="77777777" w:rsidR="00D50A93" w:rsidRPr="00D50A93" w:rsidRDefault="00D50A93" w:rsidP="00D50A93">
      <w:pPr>
        <w:spacing w:line="480" w:lineRule="auto"/>
        <w:jc w:val="both"/>
        <w:rPr>
          <w:rFonts w:asciiTheme="minorBidi" w:hAnsiTheme="minorBidi"/>
          <w:b/>
          <w:bCs/>
          <w:sz w:val="24"/>
          <w:szCs w:val="24"/>
        </w:rPr>
      </w:pPr>
      <w:r w:rsidRPr="00D50A93">
        <w:rPr>
          <w:rFonts w:asciiTheme="minorBidi" w:hAnsiTheme="minorBidi"/>
          <w:b/>
          <w:bCs/>
          <w:sz w:val="24"/>
          <w:szCs w:val="24"/>
        </w:rPr>
        <w:t>Authorship confirmation</w:t>
      </w:r>
    </w:p>
    <w:p w14:paraId="411CC828" w14:textId="77777777" w:rsidR="00D50A93" w:rsidRDefault="00D50A93" w:rsidP="00D50A93">
      <w:pPr>
        <w:spacing w:line="480" w:lineRule="auto"/>
        <w:jc w:val="both"/>
        <w:rPr>
          <w:rFonts w:asciiTheme="minorBidi" w:hAnsiTheme="minorBidi"/>
          <w:sz w:val="24"/>
          <w:szCs w:val="24"/>
        </w:rPr>
      </w:pPr>
      <w:r w:rsidRPr="00D50A93">
        <w:rPr>
          <w:rFonts w:asciiTheme="minorBidi" w:hAnsiTheme="minorBidi"/>
          <w:sz w:val="24"/>
          <w:szCs w:val="24"/>
        </w:rPr>
        <w:t>SR and OT: major contributor in designing the study, data collection, data interpretation, and writing the manuscript. GM: major contributor to data analysis and data interpretation. All authors contributed to the article and approved the submitted version.</w:t>
      </w:r>
    </w:p>
    <w:p w14:paraId="08378206" w14:textId="77777777" w:rsidR="00D50A93" w:rsidRPr="00D50A93" w:rsidRDefault="00D50A93" w:rsidP="00D50A93">
      <w:pPr>
        <w:spacing w:line="480" w:lineRule="auto"/>
        <w:jc w:val="both"/>
        <w:rPr>
          <w:rFonts w:asciiTheme="minorBidi" w:hAnsiTheme="minorBidi"/>
          <w:b/>
          <w:bCs/>
          <w:sz w:val="24"/>
          <w:szCs w:val="24"/>
        </w:rPr>
      </w:pPr>
    </w:p>
    <w:p w14:paraId="5483CB56" w14:textId="77777777" w:rsidR="00D50A93" w:rsidRPr="00D50A93" w:rsidRDefault="00D50A93" w:rsidP="00D50A93">
      <w:pPr>
        <w:spacing w:line="480" w:lineRule="auto"/>
        <w:jc w:val="both"/>
        <w:rPr>
          <w:rFonts w:asciiTheme="minorBidi" w:hAnsiTheme="minorBidi"/>
          <w:b/>
          <w:bCs/>
          <w:sz w:val="24"/>
          <w:szCs w:val="24"/>
        </w:rPr>
      </w:pPr>
      <w:r w:rsidRPr="00D50A93">
        <w:rPr>
          <w:rFonts w:asciiTheme="minorBidi" w:hAnsiTheme="minorBidi"/>
          <w:b/>
          <w:bCs/>
          <w:sz w:val="24"/>
          <w:szCs w:val="24"/>
        </w:rPr>
        <w:t>Author disclosure</w:t>
      </w:r>
    </w:p>
    <w:p w14:paraId="5F1C940F" w14:textId="77777777" w:rsidR="00D50A93" w:rsidRDefault="00D50A93" w:rsidP="00D50A93">
      <w:pPr>
        <w:spacing w:line="480" w:lineRule="auto"/>
        <w:jc w:val="both"/>
        <w:rPr>
          <w:rFonts w:asciiTheme="minorBidi" w:hAnsiTheme="minorBidi"/>
          <w:b/>
          <w:bCs/>
          <w:sz w:val="24"/>
          <w:szCs w:val="24"/>
        </w:rPr>
      </w:pPr>
      <w:r w:rsidRPr="00D50A93">
        <w:rPr>
          <w:rFonts w:asciiTheme="minorBidi" w:hAnsiTheme="minorBidi"/>
          <w:sz w:val="24"/>
          <w:szCs w:val="24"/>
        </w:rPr>
        <w:t>The authors declare that the research was conducted in the absence of any commercial or financial relationships that could be construed as a potential conflict of interest.</w:t>
      </w:r>
      <w:r w:rsidRPr="00D50A93">
        <w:rPr>
          <w:rFonts w:asciiTheme="minorBidi" w:hAnsiTheme="minorBidi"/>
          <w:b/>
          <w:bCs/>
          <w:sz w:val="24"/>
          <w:szCs w:val="24"/>
        </w:rPr>
        <w:t xml:space="preserve"> </w:t>
      </w:r>
    </w:p>
    <w:p w14:paraId="6668D9EA" w14:textId="77777777" w:rsidR="00D50A93" w:rsidRPr="00D50A93" w:rsidRDefault="00D50A93" w:rsidP="00D50A93">
      <w:pPr>
        <w:spacing w:line="480" w:lineRule="auto"/>
        <w:jc w:val="both"/>
        <w:rPr>
          <w:rFonts w:asciiTheme="minorBidi" w:hAnsiTheme="minorBidi"/>
          <w:b/>
          <w:bCs/>
          <w:sz w:val="24"/>
          <w:szCs w:val="24"/>
        </w:rPr>
      </w:pPr>
    </w:p>
    <w:p w14:paraId="5F7CD75F" w14:textId="77777777" w:rsidR="00D50A93" w:rsidRPr="00D50A93" w:rsidRDefault="00D50A93" w:rsidP="00D50A93">
      <w:pPr>
        <w:spacing w:line="480" w:lineRule="auto"/>
        <w:jc w:val="both"/>
        <w:rPr>
          <w:rFonts w:asciiTheme="minorBidi" w:hAnsiTheme="minorBidi"/>
          <w:b/>
          <w:bCs/>
          <w:sz w:val="24"/>
          <w:szCs w:val="24"/>
        </w:rPr>
      </w:pPr>
      <w:r w:rsidRPr="00D50A93">
        <w:rPr>
          <w:rFonts w:asciiTheme="minorBidi" w:hAnsiTheme="minorBidi"/>
          <w:b/>
          <w:bCs/>
          <w:sz w:val="24"/>
          <w:szCs w:val="24"/>
        </w:rPr>
        <w:t>Funding statements</w:t>
      </w:r>
    </w:p>
    <w:p w14:paraId="535F50E5" w14:textId="0A63CC7E" w:rsidR="00D50A93" w:rsidRPr="00D50A93" w:rsidRDefault="00D50A93" w:rsidP="00D50A93">
      <w:pPr>
        <w:spacing w:line="480" w:lineRule="auto"/>
        <w:jc w:val="both"/>
        <w:rPr>
          <w:rFonts w:asciiTheme="minorBidi" w:hAnsiTheme="minorBidi"/>
          <w:sz w:val="24"/>
          <w:szCs w:val="24"/>
        </w:rPr>
      </w:pPr>
      <w:r w:rsidRPr="00D50A93">
        <w:rPr>
          <w:rFonts w:asciiTheme="minorBidi" w:hAnsiTheme="minorBidi"/>
          <w:sz w:val="24"/>
          <w:szCs w:val="24"/>
        </w:rPr>
        <w:t xml:space="preserve">The study was partially funded </w:t>
      </w:r>
      <w:r>
        <w:rPr>
          <w:rFonts w:asciiTheme="minorBidi" w:hAnsiTheme="minorBidi"/>
          <w:sz w:val="24"/>
          <w:szCs w:val="24"/>
        </w:rPr>
        <w:t>by</w:t>
      </w:r>
      <w:r w:rsidRPr="00D50A93">
        <w:rPr>
          <w:rFonts w:asciiTheme="minorBidi" w:hAnsiTheme="minorBidi"/>
          <w:sz w:val="24"/>
          <w:szCs w:val="24"/>
        </w:rPr>
        <w:t xml:space="preserve"> an internal grant from the Ono </w:t>
      </w:r>
      <w:r w:rsidR="004136FE">
        <w:rPr>
          <w:rFonts w:asciiTheme="minorBidi" w:hAnsiTheme="minorBidi"/>
          <w:sz w:val="24"/>
          <w:szCs w:val="24"/>
        </w:rPr>
        <w:t>A</w:t>
      </w:r>
      <w:r w:rsidRPr="00D50A93">
        <w:rPr>
          <w:rFonts w:asciiTheme="minorBidi" w:hAnsiTheme="minorBidi"/>
          <w:sz w:val="24"/>
          <w:szCs w:val="24"/>
        </w:rPr>
        <w:t>cademic College Research Authority.</w:t>
      </w:r>
    </w:p>
    <w:p w14:paraId="0AAF44ED" w14:textId="77777777" w:rsidR="00E23DE9" w:rsidRDefault="00E23DE9" w:rsidP="00E23DE9">
      <w:pPr>
        <w:spacing w:line="480" w:lineRule="auto"/>
        <w:jc w:val="both"/>
        <w:rPr>
          <w:rFonts w:asciiTheme="minorBidi" w:hAnsiTheme="minorBidi"/>
          <w:sz w:val="24"/>
          <w:szCs w:val="24"/>
        </w:rPr>
      </w:pPr>
    </w:p>
    <w:p w14:paraId="00F3E283" w14:textId="77777777" w:rsidR="00E23DE9" w:rsidRDefault="00D50A93" w:rsidP="00E23DE9">
      <w:pPr>
        <w:spacing w:line="480" w:lineRule="auto"/>
        <w:jc w:val="both"/>
        <w:rPr>
          <w:rFonts w:asciiTheme="minorBidi" w:hAnsiTheme="minorBidi"/>
          <w:b/>
          <w:bCs/>
          <w:sz w:val="24"/>
          <w:szCs w:val="24"/>
        </w:rPr>
      </w:pPr>
      <w:r w:rsidRPr="00D50A93">
        <w:rPr>
          <w:rFonts w:asciiTheme="minorBidi" w:hAnsiTheme="minorBidi"/>
          <w:b/>
          <w:bCs/>
          <w:sz w:val="24"/>
          <w:szCs w:val="24"/>
        </w:rPr>
        <w:t>References</w:t>
      </w:r>
    </w:p>
    <w:p w14:paraId="274567B9"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Times New Roman" w:hAnsi="Arial" w:cs="Arial"/>
          <w:color w:val="333333"/>
          <w:sz w:val="24"/>
          <w:szCs w:val="24"/>
        </w:rPr>
        <w:fldChar w:fldCharType="begin" w:fldLock="1"/>
      </w:r>
      <w:r w:rsidRPr="00EA6B8F">
        <w:rPr>
          <w:rFonts w:ascii="Arial" w:eastAsia="Times New Roman" w:hAnsi="Arial" w:cs="Arial"/>
          <w:color w:val="333333"/>
          <w:sz w:val="24"/>
          <w:szCs w:val="24"/>
        </w:rPr>
        <w:instrText xml:space="preserve">ADDIN Mendeley Bibliography CSL_BIBLIOGRAPHY </w:instrText>
      </w:r>
      <w:r w:rsidRPr="00EA6B8F">
        <w:rPr>
          <w:rFonts w:ascii="Arial" w:eastAsia="Times New Roman" w:hAnsi="Arial" w:cs="Arial"/>
          <w:color w:val="333333"/>
          <w:sz w:val="24"/>
          <w:szCs w:val="24"/>
        </w:rPr>
        <w:fldChar w:fldCharType="separate"/>
      </w:r>
      <w:r w:rsidRPr="00EA6B8F">
        <w:rPr>
          <w:rFonts w:ascii="Arial" w:eastAsia="Calibri" w:hAnsi="Arial" w:cs="Arial"/>
          <w:noProof/>
          <w:sz w:val="24"/>
          <w:szCs w:val="24"/>
        </w:rPr>
        <w:t xml:space="preserve">1. </w:t>
      </w:r>
      <w:r w:rsidRPr="00EA6B8F">
        <w:rPr>
          <w:rFonts w:ascii="Arial" w:eastAsia="Calibri" w:hAnsi="Arial" w:cs="Arial"/>
          <w:noProof/>
          <w:sz w:val="24"/>
          <w:szCs w:val="24"/>
        </w:rPr>
        <w:tab/>
        <w:t xml:space="preserve">Ministry of Economy and Industry S of I. Digital Health: The IsraeliI promise. 2020. </w:t>
      </w:r>
    </w:p>
    <w:p w14:paraId="2CA8FD86"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 </w:t>
      </w:r>
      <w:r w:rsidRPr="00EA6B8F">
        <w:rPr>
          <w:rFonts w:ascii="Arial" w:eastAsia="Calibri" w:hAnsi="Arial" w:cs="Arial"/>
          <w:noProof/>
          <w:sz w:val="24"/>
          <w:szCs w:val="24"/>
        </w:rPr>
        <w:tab/>
        <w:t>Digital Israel. The National Digital Health Program as a growth engine. 2018; Available from: https://www.gov.il/BlobFolder/pmopolicy/des3709_2018/he/digital290418.pdf</w:t>
      </w:r>
    </w:p>
    <w:p w14:paraId="6A12D070"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3. </w:t>
      </w:r>
      <w:r w:rsidRPr="00EA6B8F">
        <w:rPr>
          <w:rFonts w:ascii="Arial" w:eastAsia="Calibri" w:hAnsi="Arial" w:cs="Arial"/>
          <w:noProof/>
          <w:sz w:val="24"/>
          <w:szCs w:val="24"/>
        </w:rPr>
        <w:tab/>
        <w:t xml:space="preserve">Idan A, Wallach HS, Almagor M, Waisman Y, Linn S. Mediated telemedicine vs. face-to-face medicine: efficiency in distress reduction. J Multimodal User Interfaces. 2015;9(4):333–9. </w:t>
      </w:r>
    </w:p>
    <w:p w14:paraId="6ED33735"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4. </w:t>
      </w:r>
      <w:r w:rsidRPr="00EA6B8F">
        <w:rPr>
          <w:rFonts w:ascii="Arial" w:eastAsia="Calibri" w:hAnsi="Arial" w:cs="Arial"/>
          <w:noProof/>
          <w:sz w:val="24"/>
          <w:szCs w:val="24"/>
        </w:rPr>
        <w:tab/>
        <w:t>Grand View Research. Telemedicine Market Insights: The Ultimate Solution For Quality Care [Internet]. [cited 2020 Aug 1]. Available from: https://www.grandviewresearch.com/research-insights/telemedicine-market-</w:t>
      </w:r>
      <w:r w:rsidRPr="00EA6B8F">
        <w:rPr>
          <w:rFonts w:ascii="Arial" w:eastAsia="Calibri" w:hAnsi="Arial" w:cs="Arial"/>
          <w:noProof/>
          <w:sz w:val="24"/>
          <w:szCs w:val="24"/>
        </w:rPr>
        <w:lastRenderedPageBreak/>
        <w:t>insights-size-share</w:t>
      </w:r>
    </w:p>
    <w:p w14:paraId="37F9DE98"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5. </w:t>
      </w:r>
      <w:r w:rsidRPr="00EA6B8F">
        <w:rPr>
          <w:rFonts w:ascii="Arial" w:eastAsia="Calibri" w:hAnsi="Arial" w:cs="Arial"/>
          <w:noProof/>
          <w:sz w:val="24"/>
          <w:szCs w:val="24"/>
        </w:rPr>
        <w:tab/>
        <w:t>Scott Kruse C, Karem P, Shifflett K, Vegi L, Ravi K, Brooks M. Evaluating barriers to adopting telemedicine worldwide: A systematic review. J Telemed Telecare [Internet]. 2018;24(1):4–12. Available from: https://doi.org/10.1177/1357633X16674087</w:t>
      </w:r>
    </w:p>
    <w:p w14:paraId="07DD4E41"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6. </w:t>
      </w:r>
      <w:r w:rsidRPr="00EA6B8F">
        <w:rPr>
          <w:rFonts w:ascii="Arial" w:eastAsia="Calibri" w:hAnsi="Arial" w:cs="Arial"/>
          <w:noProof/>
          <w:sz w:val="24"/>
          <w:szCs w:val="24"/>
        </w:rPr>
        <w:tab/>
        <w:t xml:space="preserve">Kamal SA, Shafiq M, Kakria P. Investigating acceptance of telemedicine services through an extended technology acceptance model (TAM). Technol Soc. 2020;60(November 2019). </w:t>
      </w:r>
    </w:p>
    <w:p w14:paraId="500FCFB5"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7. </w:t>
      </w:r>
      <w:r w:rsidRPr="00EA6B8F">
        <w:rPr>
          <w:rFonts w:ascii="Arial" w:eastAsia="Calibri" w:hAnsi="Arial" w:cs="Arial"/>
          <w:noProof/>
          <w:sz w:val="24"/>
          <w:szCs w:val="24"/>
        </w:rPr>
        <w:tab/>
        <w:t xml:space="preserve">Shigekawa E, Fix M, Corbett G, Roby DH, Coffman J. The current state of telehealth evidence: a rapid review. Health Aff. 2018;37(12):1975–82. </w:t>
      </w:r>
    </w:p>
    <w:p w14:paraId="09A02029"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8. </w:t>
      </w:r>
      <w:r w:rsidRPr="00EA6B8F">
        <w:rPr>
          <w:rFonts w:ascii="Arial" w:eastAsia="Calibri" w:hAnsi="Arial" w:cs="Arial"/>
          <w:noProof/>
          <w:sz w:val="24"/>
          <w:szCs w:val="24"/>
        </w:rPr>
        <w:tab/>
        <w:t xml:space="preserve">Ugalmugale S SR. Telemedicine Market Size By Service (Tele-consulting, Tele-monitoring, Tele- education/training), By Type (Telehospital, Telehome), By Specialty (Cardiology, Gynecology, Neurology, Orthopedics, Dermatology, Mental Health), By Delivery Mode (Web/Mobile {Te. 2020; </w:t>
      </w:r>
    </w:p>
    <w:p w14:paraId="5EFE6A5B"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9. </w:t>
      </w:r>
      <w:r w:rsidRPr="00EA6B8F">
        <w:rPr>
          <w:rFonts w:ascii="Arial" w:eastAsia="Calibri" w:hAnsi="Arial" w:cs="Arial"/>
          <w:noProof/>
          <w:sz w:val="24"/>
          <w:szCs w:val="24"/>
        </w:rPr>
        <w:tab/>
        <w:t xml:space="preserve">Mann DM, Chen J, Chunara R, Testa PA, Nov O. COVID-19 transforms health care through telemedicine: Evidence from the field. J Am Med Informatics Assoc. 2020;27(7):1132–5. </w:t>
      </w:r>
    </w:p>
    <w:p w14:paraId="61431E5E"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10. </w:t>
      </w:r>
      <w:r w:rsidRPr="00EA6B8F">
        <w:rPr>
          <w:rFonts w:ascii="Arial" w:eastAsia="Calibri" w:hAnsi="Arial" w:cs="Arial"/>
          <w:noProof/>
          <w:sz w:val="24"/>
          <w:szCs w:val="24"/>
        </w:rPr>
        <w:tab/>
        <w:t xml:space="preserve">Hall Dykgraaf S, Desborough J, de Toca L, Davis S, Roberts L, Munindradasa A, et al. “A decade’s worth of work in a matter of days”: The journey to telehealth for the whole population in Australia. Int J Med Inform. 2021;151(May). </w:t>
      </w:r>
    </w:p>
    <w:p w14:paraId="66F0D8E8"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11. </w:t>
      </w:r>
      <w:r w:rsidRPr="00EA6B8F">
        <w:rPr>
          <w:rFonts w:ascii="Arial" w:eastAsia="Calibri" w:hAnsi="Arial" w:cs="Arial"/>
          <w:noProof/>
          <w:sz w:val="24"/>
          <w:szCs w:val="24"/>
        </w:rPr>
        <w:tab/>
        <w:t xml:space="preserve">Reitzle L, Schmidt C, Färber F, Huebl L, Wieler LH, Ziese T, et al. Perceived access to health care services and relevance of telemedicine during the </w:t>
      </w:r>
      <w:r w:rsidRPr="00EA6B8F">
        <w:rPr>
          <w:rFonts w:ascii="Arial" w:eastAsia="Calibri" w:hAnsi="Arial" w:cs="Arial"/>
          <w:noProof/>
          <w:sz w:val="24"/>
          <w:szCs w:val="24"/>
        </w:rPr>
        <w:lastRenderedPageBreak/>
        <w:t xml:space="preserve">COVID-19 pandemic in germany. Int J Environ Res Public Health. 2021;18(14). </w:t>
      </w:r>
    </w:p>
    <w:p w14:paraId="40BE378A"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12. </w:t>
      </w:r>
      <w:r w:rsidRPr="00EA6B8F">
        <w:rPr>
          <w:rFonts w:ascii="Arial" w:eastAsia="Calibri" w:hAnsi="Arial" w:cs="Arial"/>
          <w:noProof/>
          <w:sz w:val="24"/>
          <w:szCs w:val="24"/>
        </w:rPr>
        <w:tab/>
        <w:t xml:space="preserve">Welch, Brandon M., Harvey Jilian ON&amp; MJ. Patient preferences for direct-to-consumer telemedicine services: a nationwide survey. BMC Heal Seriveces Res. 2017;17(784). </w:t>
      </w:r>
    </w:p>
    <w:p w14:paraId="5C657B41"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13. </w:t>
      </w:r>
      <w:r w:rsidRPr="00EA6B8F">
        <w:rPr>
          <w:rFonts w:ascii="Arial" w:eastAsia="Calibri" w:hAnsi="Arial" w:cs="Arial"/>
          <w:noProof/>
          <w:sz w:val="24"/>
          <w:szCs w:val="24"/>
        </w:rPr>
        <w:tab/>
        <w:t xml:space="preserve">Barkai G, Gadot M, Amir H, Menashe M, Shvimer-Rothschild L, Zimlichman E. Patient and clinician experience with a rapidly implemented large-scale video consultation program during COVID-19. Int J Qual Heal Care. 2021;33(1):1–6. </w:t>
      </w:r>
    </w:p>
    <w:p w14:paraId="3C364973"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14. </w:t>
      </w:r>
      <w:r w:rsidRPr="00EA6B8F">
        <w:rPr>
          <w:rFonts w:ascii="Arial" w:eastAsia="Calibri" w:hAnsi="Arial" w:cs="Arial"/>
          <w:noProof/>
          <w:sz w:val="24"/>
          <w:szCs w:val="24"/>
        </w:rPr>
        <w:tab/>
        <w:t xml:space="preserve">Reicher S, Sela T, Toren O. Using Telemedicine During the COVID-19 Pandemic: Attitudes of Adult Health Care Consumers in Israel. Front Public Heal. 2021;9(May):1–11. </w:t>
      </w:r>
    </w:p>
    <w:p w14:paraId="09AC9CA5"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15. </w:t>
      </w:r>
      <w:r w:rsidRPr="00EA6B8F">
        <w:rPr>
          <w:rFonts w:ascii="Arial" w:eastAsia="Calibri" w:hAnsi="Arial" w:cs="Arial"/>
          <w:noProof/>
          <w:sz w:val="24"/>
          <w:szCs w:val="24"/>
        </w:rPr>
        <w:tab/>
        <w:t xml:space="preserve">Quesada-Caballero M, Carmona-García A, Chami-Peña S, Caballero-Mateos AM, Fernández-Martín O, Cañadas-De la Fuente GA, et al. Telemedicine in Elderly Hypertensive and Patients with Chronic Diseases during the COVID-19 Pandemic: A Systematic Review and Meta-Analysis. J Clin Med. 2023;12(19). </w:t>
      </w:r>
    </w:p>
    <w:p w14:paraId="3E020D94"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16. </w:t>
      </w:r>
      <w:r w:rsidRPr="00EA6B8F">
        <w:rPr>
          <w:rFonts w:ascii="Arial" w:eastAsia="Calibri" w:hAnsi="Arial" w:cs="Arial"/>
          <w:noProof/>
          <w:sz w:val="24"/>
          <w:szCs w:val="24"/>
        </w:rPr>
        <w:tab/>
        <w:t xml:space="preserve">Ward K, Vagholkar S, Lane J, Raghuraman S, Lau AYS. Are chronic condition management visits translatable to telehealth? Analysis of in-person consultations in primary care. Int J Med Inform. 2023;178(May):105197. </w:t>
      </w:r>
    </w:p>
    <w:p w14:paraId="6FCFC3F9"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17. </w:t>
      </w:r>
      <w:r w:rsidRPr="00EA6B8F">
        <w:rPr>
          <w:rFonts w:ascii="Arial" w:eastAsia="Calibri" w:hAnsi="Arial" w:cs="Arial"/>
          <w:noProof/>
          <w:sz w:val="24"/>
          <w:szCs w:val="24"/>
        </w:rPr>
        <w:tab/>
        <w:t xml:space="preserve">Polinski JM, Barker T, Gagliano N, Sussman A, Brennan TA, Shrank WH. Patients’ Satisfaction with and Preference for Telehealth Visits. J Gen Intern Med. 2016;31(3):269–75. </w:t>
      </w:r>
    </w:p>
    <w:p w14:paraId="109E262A"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18. </w:t>
      </w:r>
      <w:r w:rsidRPr="00EA6B8F">
        <w:rPr>
          <w:rFonts w:ascii="Arial" w:eastAsia="Calibri" w:hAnsi="Arial" w:cs="Arial"/>
          <w:noProof/>
          <w:sz w:val="24"/>
          <w:szCs w:val="24"/>
        </w:rPr>
        <w:tab/>
        <w:t xml:space="preserve">Nutbeam D, Kickbusch I. Health promotion glossary. Health Promot Int. 1998;13(4):349–64. </w:t>
      </w:r>
    </w:p>
    <w:p w14:paraId="1E2AD2BB"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lastRenderedPageBreak/>
        <w:t xml:space="preserve">19. </w:t>
      </w:r>
      <w:r w:rsidRPr="00EA6B8F">
        <w:rPr>
          <w:rFonts w:ascii="Arial" w:eastAsia="Calibri" w:hAnsi="Arial" w:cs="Arial"/>
          <w:noProof/>
          <w:sz w:val="24"/>
          <w:szCs w:val="24"/>
        </w:rPr>
        <w:tab/>
        <w:t xml:space="preserve">Patil U, Kostareva U, Hadley M, Manganello JA, Okan O, Dadaczynski K, et al. Health literacy, digital health literacy, and COVID-19 pandemic attitudes and behaviors in U.S. college students: Implications for interventions. Int J Environ Res Public Health. 2021;18(6):1–14. </w:t>
      </w:r>
    </w:p>
    <w:p w14:paraId="6BE30F9F"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20. </w:t>
      </w:r>
      <w:r w:rsidRPr="00EA6B8F">
        <w:rPr>
          <w:rFonts w:ascii="Arial" w:eastAsia="Calibri" w:hAnsi="Arial" w:cs="Arial"/>
          <w:noProof/>
          <w:sz w:val="24"/>
          <w:szCs w:val="24"/>
        </w:rPr>
        <w:tab/>
        <w:t xml:space="preserve">Jaffe DH, Lee L, Huynh S, Haskell TP. Health Inequalities in the Use of Telehealth in the United States in the Lens of COVID-19. Popul Health Manag. 2020;23(5):368–77. </w:t>
      </w:r>
    </w:p>
    <w:p w14:paraId="00DB2FBE"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21. </w:t>
      </w:r>
      <w:r w:rsidRPr="00EA6B8F">
        <w:rPr>
          <w:rFonts w:ascii="Arial" w:eastAsia="Calibri" w:hAnsi="Arial" w:cs="Arial"/>
          <w:noProof/>
          <w:sz w:val="24"/>
          <w:szCs w:val="24"/>
        </w:rPr>
        <w:tab/>
        <w:t>Sundell E, Wångdahl J, Grauman Å. Health literacy and digital health information-seeking behavior – a cross-sectional study among highly educated Swedes. BMC Public Health [Internet]. 2022;22(1):1–10. Available from: https://doi.org/10.1186/s12889-022-14751-z</w:t>
      </w:r>
    </w:p>
    <w:p w14:paraId="73C32B91"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22. </w:t>
      </w:r>
      <w:r w:rsidRPr="00EA6B8F">
        <w:rPr>
          <w:rFonts w:ascii="Arial" w:eastAsia="Calibri" w:hAnsi="Arial" w:cs="Arial"/>
          <w:noProof/>
          <w:sz w:val="24"/>
          <w:szCs w:val="24"/>
        </w:rPr>
        <w:tab/>
        <w:t xml:space="preserve">WHO. World Health Organization (WHO). Telemedicine: opportunities and developments in Member States: report on the second global survey on eHealth. Global Observatory for eHealth seires. 2010. </w:t>
      </w:r>
    </w:p>
    <w:p w14:paraId="216B4593"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23. </w:t>
      </w:r>
      <w:r w:rsidRPr="00EA6B8F">
        <w:rPr>
          <w:rFonts w:ascii="Arial" w:eastAsia="Calibri" w:hAnsi="Arial" w:cs="Arial"/>
          <w:noProof/>
          <w:sz w:val="24"/>
          <w:szCs w:val="24"/>
        </w:rPr>
        <w:tab/>
        <w:t xml:space="preserve">Even-Zohr, A., Ironi, A. BIR. Online health services for older adults Maccabi Health care Services. Gerontol Geriatr. 2017;2:1–34. </w:t>
      </w:r>
    </w:p>
    <w:p w14:paraId="2B58ECFF"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24. </w:t>
      </w:r>
      <w:r w:rsidRPr="00EA6B8F">
        <w:rPr>
          <w:rFonts w:ascii="Arial" w:eastAsia="Calibri" w:hAnsi="Arial" w:cs="Arial"/>
          <w:noProof/>
          <w:sz w:val="24"/>
          <w:szCs w:val="24"/>
        </w:rPr>
        <w:tab/>
        <w:t>Chaet D, Clearfield R, Sabin JE, Skimming K. Ethical practice in Telehealth and Telemedicine. J Gen Intern Med [Internet]. 2017;32(10):1136–40. Available from: http://dx.doi.org/10.1007/s11606-017-4082-2</w:t>
      </w:r>
    </w:p>
    <w:p w14:paraId="0D88CF40"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25. </w:t>
      </w:r>
      <w:r w:rsidRPr="00EA6B8F">
        <w:rPr>
          <w:rFonts w:ascii="Arial" w:eastAsia="Calibri" w:hAnsi="Arial" w:cs="Arial"/>
          <w:noProof/>
          <w:sz w:val="24"/>
          <w:szCs w:val="24"/>
        </w:rPr>
        <w:tab/>
        <w:t xml:space="preserve">Spring H. Health literacy and COVID-19. Health Info Libr J. 2020;37(3):171–2. </w:t>
      </w:r>
    </w:p>
    <w:p w14:paraId="54839135"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26. </w:t>
      </w:r>
      <w:r w:rsidRPr="00EA6B8F">
        <w:rPr>
          <w:rFonts w:ascii="Arial" w:eastAsia="Calibri" w:hAnsi="Arial" w:cs="Arial"/>
          <w:noProof/>
          <w:sz w:val="24"/>
          <w:szCs w:val="24"/>
        </w:rPr>
        <w:tab/>
        <w:t xml:space="preserve">Wångdahl J, Lytsy P, Mårtensson L, Westerling R. Poor health and refraining from seeking healthcare are associated with comprehensive health literacy among refugees: a Swedish cross-sectional study. Int J Public Health </w:t>
      </w:r>
      <w:r w:rsidRPr="00EA6B8F">
        <w:rPr>
          <w:rFonts w:ascii="Arial" w:eastAsia="Calibri" w:hAnsi="Arial" w:cs="Arial"/>
          <w:noProof/>
          <w:sz w:val="24"/>
          <w:szCs w:val="24"/>
        </w:rPr>
        <w:lastRenderedPageBreak/>
        <w:t>[Internet]. 2018;63(3):409–19. Available from: https://doi.org/10.1007/s00038-017-1074-2</w:t>
      </w:r>
    </w:p>
    <w:p w14:paraId="5666789E"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27. </w:t>
      </w:r>
      <w:r w:rsidRPr="00EA6B8F">
        <w:rPr>
          <w:rFonts w:ascii="Arial" w:eastAsia="Calibri" w:hAnsi="Arial" w:cs="Arial"/>
          <w:noProof/>
          <w:sz w:val="24"/>
          <w:szCs w:val="24"/>
        </w:rPr>
        <w:tab/>
        <w:t xml:space="preserve">Belachew EA, Getachew D, Netere AK, Gizachew E, Sendekie AK. Perception, willingness, and practices of telemedicine in patients with chronic diseases: implication of digital health in patients’ perspective at a tertiary care hospital in Ethiopia. Front Public Heal. 2023;11. </w:t>
      </w:r>
    </w:p>
    <w:p w14:paraId="342E217D"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28. </w:t>
      </w:r>
      <w:r w:rsidRPr="00EA6B8F">
        <w:rPr>
          <w:rFonts w:ascii="Arial" w:eastAsia="Calibri" w:hAnsi="Arial" w:cs="Arial"/>
          <w:noProof/>
          <w:sz w:val="24"/>
          <w:szCs w:val="24"/>
        </w:rPr>
        <w:tab/>
        <w:t xml:space="preserve">Dario C, Luisotto E, Dal Pozzo E, Mancin S, Aletras V, Newman S, et al. Assessment of patients’ perception of telemedicine services using the service user technology acceptability questionnaire. Int J Integr Care. 2016;16(2):1–11. </w:t>
      </w:r>
    </w:p>
    <w:p w14:paraId="68C774F3"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29. </w:t>
      </w:r>
      <w:r w:rsidRPr="00EA6B8F">
        <w:rPr>
          <w:rFonts w:ascii="Arial" w:eastAsia="Calibri" w:hAnsi="Arial" w:cs="Arial"/>
          <w:noProof/>
          <w:sz w:val="24"/>
          <w:szCs w:val="24"/>
        </w:rPr>
        <w:tab/>
        <w:t>Philpot LM, Dugani SB, Singla A, DeZutter M, Ebbert JO. Digital Care Horizon: A Framework for Extending Health Care Through Digital Transformation. Mayo Clin Proc Digit Heal [Internet]. 2023;1(3):210–6. Available from: https://doi.org/10.1016/j.mcpdig.2023.05.005</w:t>
      </w:r>
    </w:p>
    <w:p w14:paraId="46DE857D"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30. </w:t>
      </w:r>
      <w:r w:rsidRPr="00EA6B8F">
        <w:rPr>
          <w:rFonts w:ascii="Arial" w:eastAsia="Calibri" w:hAnsi="Arial" w:cs="Arial"/>
          <w:noProof/>
          <w:sz w:val="24"/>
          <w:szCs w:val="24"/>
        </w:rPr>
        <w:tab/>
        <w:t xml:space="preserve">Hargittai Eszter &amp; Shafer Steven. Differences in Actual and Perceived Online Skills: The Role of Gender. Sociial Sci Q. 2006;87(2):432–48. </w:t>
      </w:r>
    </w:p>
    <w:p w14:paraId="61B3E5DF"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szCs w:val="24"/>
        </w:rPr>
      </w:pPr>
      <w:r w:rsidRPr="00EA6B8F">
        <w:rPr>
          <w:rFonts w:ascii="Arial" w:eastAsia="Calibri" w:hAnsi="Arial" w:cs="Arial"/>
          <w:noProof/>
          <w:sz w:val="24"/>
          <w:szCs w:val="24"/>
        </w:rPr>
        <w:t xml:space="preserve">31. </w:t>
      </w:r>
      <w:r w:rsidRPr="00EA6B8F">
        <w:rPr>
          <w:rFonts w:ascii="Arial" w:eastAsia="Calibri" w:hAnsi="Arial" w:cs="Arial"/>
          <w:noProof/>
          <w:sz w:val="24"/>
          <w:szCs w:val="24"/>
        </w:rPr>
        <w:tab/>
        <w:t xml:space="preserve">Guo X, Han X, Zhang X, Dang Y, Chen C. Investigating m-health acceptance from a protection motivation theory perspective: Gender and age differences. Telemed e-Health. 2015;21(8):661–9. </w:t>
      </w:r>
    </w:p>
    <w:p w14:paraId="4D869791" w14:textId="77777777" w:rsidR="00EA6B8F" w:rsidRPr="00EA6B8F" w:rsidRDefault="00EA6B8F" w:rsidP="00EA6B8F">
      <w:pPr>
        <w:widowControl w:val="0"/>
        <w:autoSpaceDE w:val="0"/>
        <w:autoSpaceDN w:val="0"/>
        <w:adjustRightInd w:val="0"/>
        <w:spacing w:line="480" w:lineRule="auto"/>
        <w:ind w:left="640" w:hanging="640"/>
        <w:rPr>
          <w:rFonts w:ascii="Arial" w:eastAsia="Calibri" w:hAnsi="Arial" w:cs="Arial"/>
          <w:noProof/>
          <w:sz w:val="24"/>
        </w:rPr>
      </w:pPr>
      <w:r w:rsidRPr="00EA6B8F">
        <w:rPr>
          <w:rFonts w:ascii="Arial" w:eastAsia="Calibri" w:hAnsi="Arial" w:cs="Arial"/>
          <w:noProof/>
          <w:sz w:val="24"/>
          <w:szCs w:val="24"/>
        </w:rPr>
        <w:t xml:space="preserve">32. </w:t>
      </w:r>
      <w:r w:rsidRPr="00EA6B8F">
        <w:rPr>
          <w:rFonts w:ascii="Arial" w:eastAsia="Calibri" w:hAnsi="Arial" w:cs="Arial"/>
          <w:noProof/>
          <w:sz w:val="24"/>
          <w:szCs w:val="24"/>
        </w:rPr>
        <w:tab/>
        <w:t xml:space="preserve">Edwards, Louis, Tomas Cliare, Gregory Alison, Yardley Lucy, O’Cathain Alicia, Montgomery Alan SC. Are People With Chronic Diseases Interested in Using Telehealth? A Cross-Sectional Postal Survey. J Med Internet Res. 2014;16(5). </w:t>
      </w:r>
    </w:p>
    <w:p w14:paraId="3F7183AC" w14:textId="77777777" w:rsidR="00EA6B8F" w:rsidRPr="00EA6B8F" w:rsidRDefault="00EA6B8F" w:rsidP="00EA6B8F">
      <w:pPr>
        <w:widowControl w:val="0"/>
        <w:autoSpaceDE w:val="0"/>
        <w:autoSpaceDN w:val="0"/>
        <w:adjustRightInd w:val="0"/>
        <w:spacing w:line="480" w:lineRule="auto"/>
        <w:ind w:left="851" w:right="1134" w:firstLine="229"/>
        <w:rPr>
          <w:rFonts w:ascii="Arial" w:eastAsia="Times New Roman" w:hAnsi="Arial" w:cs="Arial"/>
          <w:color w:val="333333"/>
          <w:sz w:val="24"/>
          <w:szCs w:val="24"/>
        </w:rPr>
      </w:pPr>
      <w:r w:rsidRPr="00EA6B8F">
        <w:rPr>
          <w:rFonts w:ascii="Arial" w:eastAsia="Times New Roman" w:hAnsi="Arial" w:cs="Arial"/>
          <w:color w:val="333333"/>
          <w:sz w:val="24"/>
          <w:szCs w:val="24"/>
        </w:rPr>
        <w:fldChar w:fldCharType="end"/>
      </w:r>
      <w:r w:rsidRPr="00EA6B8F">
        <w:rPr>
          <w:rFonts w:ascii="Arial" w:eastAsia="Times New Roman" w:hAnsi="Arial" w:cs="Arial"/>
          <w:color w:val="333333"/>
          <w:sz w:val="24"/>
          <w:szCs w:val="24"/>
        </w:rPr>
        <w:t xml:space="preserve"> </w:t>
      </w:r>
    </w:p>
    <w:p w14:paraId="00D529D7" w14:textId="77777777" w:rsidR="00D50A93" w:rsidRPr="00D50A93" w:rsidRDefault="00D50A93" w:rsidP="00E23DE9">
      <w:pPr>
        <w:spacing w:line="480" w:lineRule="auto"/>
        <w:jc w:val="both"/>
        <w:rPr>
          <w:rFonts w:asciiTheme="minorBidi" w:hAnsiTheme="minorBidi"/>
          <w:b/>
          <w:bCs/>
          <w:sz w:val="24"/>
          <w:szCs w:val="24"/>
        </w:rPr>
      </w:pPr>
    </w:p>
    <w:sectPr w:rsidR="00D50A93" w:rsidRPr="00D50A93" w:rsidSect="003F06F8">
      <w:footerReference w:type="default" r:id="rId11"/>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la Blau" w:date="2023-12-23T21:28:00Z" w:initials="DB">
    <w:p w14:paraId="1991F3E9" w14:textId="77777777" w:rsidR="00D93DD1" w:rsidRDefault="00D93DD1">
      <w:pPr>
        <w:pStyle w:val="CommentText"/>
      </w:pPr>
      <w:r>
        <w:rPr>
          <w:rStyle w:val="CommentReference"/>
        </w:rPr>
        <w:annotationRef/>
      </w:r>
      <w:r>
        <w:t xml:space="preserve">Perhaps you can clarify this – it seems </w:t>
      </w:r>
      <w:proofErr w:type="gramStart"/>
      <w:r>
        <w:t>tautological..</w:t>
      </w:r>
      <w:proofErr w:type="gramEnd"/>
      <w:r>
        <w:t xml:space="preserve"> </w:t>
      </w:r>
    </w:p>
  </w:comment>
  <w:comment w:id="1" w:author="Daniella Blau" w:date="2023-12-23T21:53:00Z" w:initials="DB">
    <w:p w14:paraId="0371175A" w14:textId="7DB5A242" w:rsidR="00D93DD1" w:rsidRDefault="00D93DD1">
      <w:pPr>
        <w:pStyle w:val="CommentText"/>
      </w:pPr>
      <w:r>
        <w:t xml:space="preserve">Perhaps specify - </w:t>
      </w:r>
      <w:r>
        <w:rPr>
          <w:rStyle w:val="CommentReference"/>
        </w:rPr>
        <w:annotationRef/>
      </w:r>
      <w:r>
        <w:t>20% of who?</w:t>
      </w:r>
    </w:p>
  </w:comment>
  <w:comment w:id="2" w:author="Daniella Blau" w:date="2023-12-23T22:37:00Z" w:initials="DB">
    <w:p w14:paraId="10027E4F" w14:textId="3C85EA3E" w:rsidR="00D93DD1" w:rsidRDefault="00D93DD1">
      <w:pPr>
        <w:pStyle w:val="CommentText"/>
      </w:pPr>
      <w:r>
        <w:rPr>
          <w:rStyle w:val="CommentReference"/>
        </w:rPr>
        <w:annotationRef/>
      </w:r>
      <w:r>
        <w:t xml:space="preserve">It’s unclear whether you’re referring to extensive use in the previous study, or just “use”. </w:t>
      </w:r>
    </w:p>
  </w:comment>
  <w:comment w:id="3" w:author="Daniella Blau" w:date="2023-12-23T22:42:00Z" w:initials="DB">
    <w:p w14:paraId="55B7359C" w14:textId="301EE4C3" w:rsidR="00D66C5D" w:rsidRDefault="00D66C5D" w:rsidP="00D66C5D">
      <w:pPr>
        <w:pStyle w:val="CommentText"/>
      </w:pPr>
      <w:r>
        <w:rPr>
          <w:rStyle w:val="CommentReference"/>
        </w:rPr>
        <w:annotationRef/>
      </w:r>
      <w:r>
        <w:t xml:space="preserve">I suggest deleting this. </w:t>
      </w:r>
    </w:p>
  </w:comment>
  <w:comment w:id="4" w:author="Daniella Blau" w:date="2023-12-23T22:53:00Z" w:initials="DB">
    <w:p w14:paraId="5D8B2D50" w14:textId="5F13C0D6" w:rsidR="00FA16EA" w:rsidRDefault="00FA16EA" w:rsidP="00FA16EA">
      <w:pPr>
        <w:pStyle w:val="CommentText"/>
      </w:pPr>
      <w:r>
        <w:rPr>
          <w:rStyle w:val="CommentReference"/>
        </w:rPr>
        <w:annotationRef/>
      </w:r>
      <w:r>
        <w:t xml:space="preserve">The contrast doesn’t seem very clear, perhaps </w:t>
      </w:r>
      <w:proofErr w:type="gramStart"/>
      <w:r>
        <w:t>rephrase..</w:t>
      </w:r>
      <w:proofErr w:type="gramEnd"/>
    </w:p>
  </w:comment>
  <w:comment w:id="5" w:author="Daniella Blau" w:date="2023-12-23T22:56:00Z" w:initials="DB">
    <w:p w14:paraId="66411A98" w14:textId="5B804F0F" w:rsidR="005B373A" w:rsidRDefault="005B373A">
      <w:pPr>
        <w:pStyle w:val="CommentText"/>
      </w:pPr>
      <w:r>
        <w:rPr>
          <w:rStyle w:val="CommentReference"/>
        </w:rPr>
        <w:annotationRef/>
      </w:r>
      <w:r>
        <w:t>This seems repetitive, perhaps delete.</w:t>
      </w:r>
    </w:p>
  </w:comment>
  <w:comment w:id="6" w:author="Daniella Blau" w:date="2023-12-23T22:57:00Z" w:initials="DB">
    <w:p w14:paraId="6465CE62" w14:textId="1C51D14E" w:rsidR="005B373A" w:rsidRDefault="005B373A">
      <w:pPr>
        <w:pStyle w:val="CommentText"/>
      </w:pPr>
      <w:r>
        <w:rPr>
          <w:rStyle w:val="CommentReference"/>
        </w:rPr>
        <w:annotationRef/>
      </w:r>
      <w:r>
        <w:t>This seems repetitive, perhaps delete.</w:t>
      </w:r>
    </w:p>
  </w:comment>
  <w:comment w:id="7" w:author="Daniella Blau" w:date="2023-12-23T23:11:00Z" w:initials="DB">
    <w:p w14:paraId="6E73691A" w14:textId="10BD4F6A" w:rsidR="00433F91" w:rsidRDefault="00433F91" w:rsidP="00433F91">
      <w:pPr>
        <w:pStyle w:val="CommentText"/>
      </w:pPr>
      <w:r>
        <w:rPr>
          <w:rStyle w:val="CommentReference"/>
        </w:rPr>
        <w:annotationRef/>
      </w:r>
      <w:r>
        <w:t xml:space="preserve">The context and connection between sentences </w:t>
      </w:r>
      <w:proofErr w:type="gramStart"/>
      <w:r>
        <w:t>is</w:t>
      </w:r>
      <w:proofErr w:type="gramEnd"/>
      <w:r>
        <w:t xml:space="preserve"> unclear. Perhaps clarify the thought/phrasing.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1F3E9" w15:done="0"/>
  <w15:commentEx w15:paraId="0371175A" w15:done="0"/>
  <w15:commentEx w15:paraId="10027E4F" w15:done="0"/>
  <w15:commentEx w15:paraId="55B7359C" w15:done="0"/>
  <w15:commentEx w15:paraId="5D8B2D50" w15:done="0"/>
  <w15:commentEx w15:paraId="66411A98" w15:done="0"/>
  <w15:commentEx w15:paraId="6465CE62" w15:done="0"/>
  <w15:commentEx w15:paraId="6E7369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1F3E9" w16cid:durableId="30A462B3"/>
  <w16cid:commentId w16cid:paraId="0371175A" w16cid:durableId="2A85693B"/>
  <w16cid:commentId w16cid:paraId="10027E4F" w16cid:durableId="67271DED"/>
  <w16cid:commentId w16cid:paraId="55B7359C" w16cid:durableId="621871B9"/>
  <w16cid:commentId w16cid:paraId="5D8B2D50" w16cid:durableId="0DE3724B"/>
  <w16cid:commentId w16cid:paraId="66411A98" w16cid:durableId="1084319A"/>
  <w16cid:commentId w16cid:paraId="6465CE62" w16cid:durableId="51B14E73"/>
  <w16cid:commentId w16cid:paraId="6E73691A" w16cid:durableId="611532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794A" w14:textId="77777777" w:rsidR="008518DF" w:rsidRDefault="008518DF" w:rsidP="00C74986">
      <w:pPr>
        <w:spacing w:after="0" w:line="240" w:lineRule="auto"/>
      </w:pPr>
      <w:r>
        <w:separator/>
      </w:r>
    </w:p>
  </w:endnote>
  <w:endnote w:type="continuationSeparator" w:id="0">
    <w:p w14:paraId="5C344BDB" w14:textId="77777777" w:rsidR="008518DF" w:rsidRDefault="008518DF" w:rsidP="00C7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78927"/>
      <w:docPartObj>
        <w:docPartGallery w:val="Page Numbers (Bottom of Page)"/>
        <w:docPartUnique/>
      </w:docPartObj>
    </w:sdtPr>
    <w:sdtEndPr>
      <w:rPr>
        <w:noProof/>
      </w:rPr>
    </w:sdtEndPr>
    <w:sdtContent>
      <w:p w14:paraId="257B61FC" w14:textId="77777777" w:rsidR="00D93DD1" w:rsidRDefault="00D93DD1">
        <w:pPr>
          <w:pStyle w:val="Footer"/>
          <w:jc w:val="center"/>
        </w:pPr>
        <w:r>
          <w:fldChar w:fldCharType="begin"/>
        </w:r>
        <w:r>
          <w:instrText xml:space="preserve"> PAGE   \* MERGEFORMAT </w:instrText>
        </w:r>
        <w:r>
          <w:fldChar w:fldCharType="separate"/>
        </w:r>
        <w:r w:rsidR="00AB2543">
          <w:rPr>
            <w:noProof/>
          </w:rPr>
          <w:t>1</w:t>
        </w:r>
        <w:r>
          <w:rPr>
            <w:noProof/>
          </w:rPr>
          <w:fldChar w:fldCharType="end"/>
        </w:r>
      </w:p>
    </w:sdtContent>
  </w:sdt>
  <w:p w14:paraId="096AC2F0" w14:textId="77777777" w:rsidR="00D93DD1" w:rsidRDefault="00D93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B967" w14:textId="77777777" w:rsidR="008518DF" w:rsidRDefault="008518DF" w:rsidP="00C74986">
      <w:pPr>
        <w:spacing w:after="0" w:line="240" w:lineRule="auto"/>
      </w:pPr>
      <w:r>
        <w:separator/>
      </w:r>
    </w:p>
  </w:footnote>
  <w:footnote w:type="continuationSeparator" w:id="0">
    <w:p w14:paraId="09A91A58" w14:textId="77777777" w:rsidR="008518DF" w:rsidRDefault="008518DF" w:rsidP="00C7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4290"/>
    <w:multiLevelType w:val="hybridMultilevel"/>
    <w:tmpl w:val="AB2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556D8"/>
    <w:multiLevelType w:val="hybridMultilevel"/>
    <w:tmpl w:val="16EA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83321">
    <w:abstractNumId w:val="0"/>
  </w:num>
  <w:num w:numId="2" w16cid:durableId="15438329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7A"/>
    <w:rsid w:val="0000747D"/>
    <w:rsid w:val="00016775"/>
    <w:rsid w:val="00036CB2"/>
    <w:rsid w:val="00042F75"/>
    <w:rsid w:val="000450A0"/>
    <w:rsid w:val="0005536D"/>
    <w:rsid w:val="0006512D"/>
    <w:rsid w:val="000653E3"/>
    <w:rsid w:val="000921A4"/>
    <w:rsid w:val="000A2D00"/>
    <w:rsid w:val="000B1247"/>
    <w:rsid w:val="000D3733"/>
    <w:rsid w:val="000E2822"/>
    <w:rsid w:val="000E3490"/>
    <w:rsid w:val="000E6A15"/>
    <w:rsid w:val="00114966"/>
    <w:rsid w:val="0011518E"/>
    <w:rsid w:val="0011755D"/>
    <w:rsid w:val="001236D6"/>
    <w:rsid w:val="001248B8"/>
    <w:rsid w:val="00127E3C"/>
    <w:rsid w:val="001323A8"/>
    <w:rsid w:val="00134FCC"/>
    <w:rsid w:val="00170C40"/>
    <w:rsid w:val="001757E3"/>
    <w:rsid w:val="001A3EE6"/>
    <w:rsid w:val="001B2344"/>
    <w:rsid w:val="001C571E"/>
    <w:rsid w:val="001D54C5"/>
    <w:rsid w:val="00217D63"/>
    <w:rsid w:val="00237EE2"/>
    <w:rsid w:val="002544A0"/>
    <w:rsid w:val="002600B4"/>
    <w:rsid w:val="00262C81"/>
    <w:rsid w:val="00280974"/>
    <w:rsid w:val="002870D0"/>
    <w:rsid w:val="00290C84"/>
    <w:rsid w:val="00291EB0"/>
    <w:rsid w:val="002B193A"/>
    <w:rsid w:val="002D6A62"/>
    <w:rsid w:val="002E1D15"/>
    <w:rsid w:val="002F5018"/>
    <w:rsid w:val="003023BD"/>
    <w:rsid w:val="00315478"/>
    <w:rsid w:val="00333444"/>
    <w:rsid w:val="003402EB"/>
    <w:rsid w:val="003440AD"/>
    <w:rsid w:val="00345631"/>
    <w:rsid w:val="00347E7F"/>
    <w:rsid w:val="0035606F"/>
    <w:rsid w:val="003734C8"/>
    <w:rsid w:val="00377FE4"/>
    <w:rsid w:val="003B041C"/>
    <w:rsid w:val="003B499E"/>
    <w:rsid w:val="003B748C"/>
    <w:rsid w:val="003C34FA"/>
    <w:rsid w:val="003D2437"/>
    <w:rsid w:val="003E3809"/>
    <w:rsid w:val="003E736B"/>
    <w:rsid w:val="003F06F8"/>
    <w:rsid w:val="004035F4"/>
    <w:rsid w:val="004136FE"/>
    <w:rsid w:val="00425BB9"/>
    <w:rsid w:val="00433F91"/>
    <w:rsid w:val="00463EB4"/>
    <w:rsid w:val="00472851"/>
    <w:rsid w:val="00473740"/>
    <w:rsid w:val="00473B35"/>
    <w:rsid w:val="004743FC"/>
    <w:rsid w:val="004806AE"/>
    <w:rsid w:val="004828BE"/>
    <w:rsid w:val="0049638F"/>
    <w:rsid w:val="004A4096"/>
    <w:rsid w:val="004A4E97"/>
    <w:rsid w:val="004A67E2"/>
    <w:rsid w:val="004B2B3F"/>
    <w:rsid w:val="004B41F6"/>
    <w:rsid w:val="004C2D4E"/>
    <w:rsid w:val="004D21C7"/>
    <w:rsid w:val="004E7B38"/>
    <w:rsid w:val="004F1762"/>
    <w:rsid w:val="00526B98"/>
    <w:rsid w:val="0053296F"/>
    <w:rsid w:val="00535F79"/>
    <w:rsid w:val="005366BD"/>
    <w:rsid w:val="0055283A"/>
    <w:rsid w:val="00565CBA"/>
    <w:rsid w:val="00576A14"/>
    <w:rsid w:val="00596BA9"/>
    <w:rsid w:val="005A0783"/>
    <w:rsid w:val="005B2064"/>
    <w:rsid w:val="005B373A"/>
    <w:rsid w:val="005C2708"/>
    <w:rsid w:val="005C61E2"/>
    <w:rsid w:val="005F3E42"/>
    <w:rsid w:val="005F6B2E"/>
    <w:rsid w:val="00602CAD"/>
    <w:rsid w:val="00620DF3"/>
    <w:rsid w:val="00637862"/>
    <w:rsid w:val="00637F62"/>
    <w:rsid w:val="00653934"/>
    <w:rsid w:val="00657696"/>
    <w:rsid w:val="00661D92"/>
    <w:rsid w:val="00684894"/>
    <w:rsid w:val="006A6811"/>
    <w:rsid w:val="006A7148"/>
    <w:rsid w:val="006C070E"/>
    <w:rsid w:val="006C16FB"/>
    <w:rsid w:val="006C4342"/>
    <w:rsid w:val="006D7A2B"/>
    <w:rsid w:val="006F0128"/>
    <w:rsid w:val="006F2308"/>
    <w:rsid w:val="007020B0"/>
    <w:rsid w:val="0071421F"/>
    <w:rsid w:val="00714523"/>
    <w:rsid w:val="00726299"/>
    <w:rsid w:val="00730318"/>
    <w:rsid w:val="0073476E"/>
    <w:rsid w:val="0074636E"/>
    <w:rsid w:val="00746D0C"/>
    <w:rsid w:val="00753B2B"/>
    <w:rsid w:val="00781C76"/>
    <w:rsid w:val="007879D1"/>
    <w:rsid w:val="007A297A"/>
    <w:rsid w:val="007A7CCC"/>
    <w:rsid w:val="007B5EE6"/>
    <w:rsid w:val="007C156A"/>
    <w:rsid w:val="007D4A30"/>
    <w:rsid w:val="007F2E70"/>
    <w:rsid w:val="00820C00"/>
    <w:rsid w:val="00835D11"/>
    <w:rsid w:val="008518DF"/>
    <w:rsid w:val="00882FDF"/>
    <w:rsid w:val="00885520"/>
    <w:rsid w:val="008931FA"/>
    <w:rsid w:val="008A30CE"/>
    <w:rsid w:val="008A6B20"/>
    <w:rsid w:val="008A7CCE"/>
    <w:rsid w:val="008C5931"/>
    <w:rsid w:val="008D1A35"/>
    <w:rsid w:val="008F43B4"/>
    <w:rsid w:val="008F4FD1"/>
    <w:rsid w:val="00906AE8"/>
    <w:rsid w:val="00906EDE"/>
    <w:rsid w:val="00921A53"/>
    <w:rsid w:val="00926FB4"/>
    <w:rsid w:val="0092700D"/>
    <w:rsid w:val="00945B14"/>
    <w:rsid w:val="00953A42"/>
    <w:rsid w:val="00954AE9"/>
    <w:rsid w:val="009647B2"/>
    <w:rsid w:val="00970DFF"/>
    <w:rsid w:val="00980304"/>
    <w:rsid w:val="00990C04"/>
    <w:rsid w:val="009A6C0F"/>
    <w:rsid w:val="009C131E"/>
    <w:rsid w:val="009D19C5"/>
    <w:rsid w:val="009D2F17"/>
    <w:rsid w:val="009D5612"/>
    <w:rsid w:val="009E1F0E"/>
    <w:rsid w:val="00A03B14"/>
    <w:rsid w:val="00A17AF9"/>
    <w:rsid w:val="00A22FC2"/>
    <w:rsid w:val="00A330D5"/>
    <w:rsid w:val="00A5035B"/>
    <w:rsid w:val="00A61D5E"/>
    <w:rsid w:val="00A71CEA"/>
    <w:rsid w:val="00A73282"/>
    <w:rsid w:val="00A95924"/>
    <w:rsid w:val="00AA76CA"/>
    <w:rsid w:val="00AB2543"/>
    <w:rsid w:val="00AE1740"/>
    <w:rsid w:val="00AF33DA"/>
    <w:rsid w:val="00B02F20"/>
    <w:rsid w:val="00B03F11"/>
    <w:rsid w:val="00B04BED"/>
    <w:rsid w:val="00B1062E"/>
    <w:rsid w:val="00B23BE6"/>
    <w:rsid w:val="00B50A19"/>
    <w:rsid w:val="00B7193B"/>
    <w:rsid w:val="00B97A02"/>
    <w:rsid w:val="00BA3576"/>
    <w:rsid w:val="00BC433A"/>
    <w:rsid w:val="00BD4B27"/>
    <w:rsid w:val="00BD6882"/>
    <w:rsid w:val="00BF0C5D"/>
    <w:rsid w:val="00BF3920"/>
    <w:rsid w:val="00C02475"/>
    <w:rsid w:val="00C100FE"/>
    <w:rsid w:val="00C720FD"/>
    <w:rsid w:val="00C74986"/>
    <w:rsid w:val="00C8261B"/>
    <w:rsid w:val="00C922A1"/>
    <w:rsid w:val="00C93819"/>
    <w:rsid w:val="00C95188"/>
    <w:rsid w:val="00CA1567"/>
    <w:rsid w:val="00CE44EE"/>
    <w:rsid w:val="00CE4E3F"/>
    <w:rsid w:val="00CF28C3"/>
    <w:rsid w:val="00D02F92"/>
    <w:rsid w:val="00D20AB1"/>
    <w:rsid w:val="00D32150"/>
    <w:rsid w:val="00D331F0"/>
    <w:rsid w:val="00D50A93"/>
    <w:rsid w:val="00D61D3E"/>
    <w:rsid w:val="00D66C5D"/>
    <w:rsid w:val="00D720CC"/>
    <w:rsid w:val="00D73295"/>
    <w:rsid w:val="00D80A30"/>
    <w:rsid w:val="00D93925"/>
    <w:rsid w:val="00D93DD1"/>
    <w:rsid w:val="00D95428"/>
    <w:rsid w:val="00D96024"/>
    <w:rsid w:val="00DA5227"/>
    <w:rsid w:val="00DB43A5"/>
    <w:rsid w:val="00DC5866"/>
    <w:rsid w:val="00DD190E"/>
    <w:rsid w:val="00DD2450"/>
    <w:rsid w:val="00DE31ED"/>
    <w:rsid w:val="00DE66E9"/>
    <w:rsid w:val="00DE6984"/>
    <w:rsid w:val="00DF3410"/>
    <w:rsid w:val="00E0582A"/>
    <w:rsid w:val="00E0679E"/>
    <w:rsid w:val="00E06DCD"/>
    <w:rsid w:val="00E07C5F"/>
    <w:rsid w:val="00E11321"/>
    <w:rsid w:val="00E168C2"/>
    <w:rsid w:val="00E23DE9"/>
    <w:rsid w:val="00E2586E"/>
    <w:rsid w:val="00E364FF"/>
    <w:rsid w:val="00E43D54"/>
    <w:rsid w:val="00E54AA9"/>
    <w:rsid w:val="00E605C8"/>
    <w:rsid w:val="00E73A91"/>
    <w:rsid w:val="00E8367C"/>
    <w:rsid w:val="00EA3465"/>
    <w:rsid w:val="00EA36AE"/>
    <w:rsid w:val="00EA6B8F"/>
    <w:rsid w:val="00EB4367"/>
    <w:rsid w:val="00EC2FC4"/>
    <w:rsid w:val="00EE0864"/>
    <w:rsid w:val="00F04C2E"/>
    <w:rsid w:val="00F11935"/>
    <w:rsid w:val="00F26334"/>
    <w:rsid w:val="00F31BB6"/>
    <w:rsid w:val="00F34D7C"/>
    <w:rsid w:val="00F37C45"/>
    <w:rsid w:val="00F979CB"/>
    <w:rsid w:val="00FA16EA"/>
    <w:rsid w:val="00FC70F4"/>
    <w:rsid w:val="00FD3C36"/>
    <w:rsid w:val="00FE0624"/>
    <w:rsid w:val="00FE4C45"/>
    <w:rsid w:val="00FE7C02"/>
    <w:rsid w:val="00FF0A70"/>
    <w:rsid w:val="00FF20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A045"/>
  <w15:chartTrackingRefBased/>
  <w15:docId w15:val="{632E7510-E240-4D87-BD30-25C9D6E5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986"/>
    <w:pPr>
      <w:bidi/>
      <w:ind w:left="720"/>
      <w:contextualSpacing/>
    </w:pPr>
  </w:style>
  <w:style w:type="paragraph" w:styleId="Header">
    <w:name w:val="header"/>
    <w:basedOn w:val="Normal"/>
    <w:link w:val="HeaderChar"/>
    <w:uiPriority w:val="99"/>
    <w:unhideWhenUsed/>
    <w:rsid w:val="00C7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86"/>
  </w:style>
  <w:style w:type="paragraph" w:styleId="Footer">
    <w:name w:val="footer"/>
    <w:basedOn w:val="Normal"/>
    <w:link w:val="FooterChar"/>
    <w:uiPriority w:val="99"/>
    <w:unhideWhenUsed/>
    <w:rsid w:val="00C7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86"/>
  </w:style>
  <w:style w:type="paragraph" w:styleId="FootnoteText">
    <w:name w:val="footnote text"/>
    <w:basedOn w:val="Normal"/>
    <w:link w:val="FootnoteTextChar"/>
    <w:uiPriority w:val="99"/>
    <w:semiHidden/>
    <w:unhideWhenUsed/>
    <w:rsid w:val="00DB4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3A5"/>
    <w:rPr>
      <w:sz w:val="20"/>
      <w:szCs w:val="20"/>
    </w:rPr>
  </w:style>
  <w:style w:type="character" w:styleId="FootnoteReference">
    <w:name w:val="footnote reference"/>
    <w:basedOn w:val="DefaultParagraphFont"/>
    <w:uiPriority w:val="99"/>
    <w:semiHidden/>
    <w:unhideWhenUsed/>
    <w:rsid w:val="00DB43A5"/>
    <w:rPr>
      <w:vertAlign w:val="superscript"/>
    </w:rPr>
  </w:style>
  <w:style w:type="character" w:styleId="CommentReference">
    <w:name w:val="annotation reference"/>
    <w:basedOn w:val="DefaultParagraphFont"/>
    <w:uiPriority w:val="99"/>
    <w:semiHidden/>
    <w:unhideWhenUsed/>
    <w:rsid w:val="00B7193B"/>
    <w:rPr>
      <w:sz w:val="16"/>
      <w:szCs w:val="16"/>
    </w:rPr>
  </w:style>
  <w:style w:type="paragraph" w:styleId="CommentText">
    <w:name w:val="annotation text"/>
    <w:basedOn w:val="Normal"/>
    <w:link w:val="CommentTextChar"/>
    <w:uiPriority w:val="99"/>
    <w:semiHidden/>
    <w:unhideWhenUsed/>
    <w:rsid w:val="00B7193B"/>
    <w:pPr>
      <w:spacing w:line="240" w:lineRule="auto"/>
    </w:pPr>
    <w:rPr>
      <w:sz w:val="20"/>
      <w:szCs w:val="20"/>
    </w:rPr>
  </w:style>
  <w:style w:type="character" w:customStyle="1" w:styleId="CommentTextChar">
    <w:name w:val="Comment Text Char"/>
    <w:basedOn w:val="DefaultParagraphFont"/>
    <w:link w:val="CommentText"/>
    <w:uiPriority w:val="99"/>
    <w:semiHidden/>
    <w:rsid w:val="00B7193B"/>
    <w:rPr>
      <w:sz w:val="20"/>
      <w:szCs w:val="20"/>
    </w:rPr>
  </w:style>
  <w:style w:type="paragraph" w:styleId="CommentSubject">
    <w:name w:val="annotation subject"/>
    <w:basedOn w:val="CommentText"/>
    <w:next w:val="CommentText"/>
    <w:link w:val="CommentSubjectChar"/>
    <w:uiPriority w:val="99"/>
    <w:semiHidden/>
    <w:unhideWhenUsed/>
    <w:rsid w:val="00B7193B"/>
    <w:rPr>
      <w:b/>
      <w:bCs/>
    </w:rPr>
  </w:style>
  <w:style w:type="character" w:customStyle="1" w:styleId="CommentSubjectChar">
    <w:name w:val="Comment Subject Char"/>
    <w:basedOn w:val="CommentTextChar"/>
    <w:link w:val="CommentSubject"/>
    <w:uiPriority w:val="99"/>
    <w:semiHidden/>
    <w:rsid w:val="00B7193B"/>
    <w:rPr>
      <w:b/>
      <w:bCs/>
      <w:sz w:val="20"/>
      <w:szCs w:val="20"/>
    </w:rPr>
  </w:style>
  <w:style w:type="paragraph" w:styleId="BalloonText">
    <w:name w:val="Balloon Text"/>
    <w:basedOn w:val="Normal"/>
    <w:link w:val="BalloonTextChar"/>
    <w:uiPriority w:val="99"/>
    <w:semiHidden/>
    <w:unhideWhenUsed/>
    <w:rsid w:val="00B7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12D9-914D-4E4C-844B-E72C3DEA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15298</Words>
  <Characters>93015</Characters>
  <Application>Microsoft Office Word</Application>
  <DocSecurity>0</DocSecurity>
  <Lines>1603</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Editor</cp:lastModifiedBy>
  <cp:revision>4</cp:revision>
  <dcterms:created xsi:type="dcterms:W3CDTF">2024-01-01T20:45:00Z</dcterms:created>
  <dcterms:modified xsi:type="dcterms:W3CDTF">2024-01-01T20:56:00Z</dcterms:modified>
</cp:coreProperties>
</file>