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AF0CF" w14:textId="5562EEE7" w:rsidR="003C5A63" w:rsidRDefault="00BA5403" w:rsidP="00BA5403">
      <w:pPr>
        <w:jc w:val="center"/>
        <w:rPr>
          <w:lang w:val="en-US"/>
        </w:rPr>
      </w:pPr>
      <w:r>
        <w:rPr>
          <w:b/>
          <w:bCs/>
          <w:lang w:val="en-US"/>
        </w:rPr>
        <w:t>Sexual Abuse in Childhood and the Quality of Interpersonal Relations</w:t>
      </w:r>
      <w:r w:rsidR="003A21AA">
        <w:rPr>
          <w:b/>
          <w:bCs/>
          <w:lang w:val="en-US"/>
        </w:rPr>
        <w:t>hips</w:t>
      </w:r>
      <w:r>
        <w:rPr>
          <w:b/>
          <w:bCs/>
          <w:lang w:val="en-US"/>
        </w:rPr>
        <w:t xml:space="preserve"> (Satisfaction, Aggression, Loneliness) in the Workplace</w:t>
      </w:r>
    </w:p>
    <w:p w14:paraId="513638EA" w14:textId="598DDE24" w:rsidR="00BA5403" w:rsidRDefault="00BA5403" w:rsidP="00BA5403">
      <w:pPr>
        <w:rPr>
          <w:rFonts w:ascii="David" w:eastAsia="Times New Roman" w:hAnsi="David"/>
          <w:kern w:val="0"/>
          <w:lang w:val="en-US"/>
          <w14:ligatures w14:val="none"/>
        </w:rPr>
      </w:pPr>
      <w:r>
        <w:rPr>
          <w:lang w:val="en-US"/>
        </w:rPr>
        <w:t xml:space="preserve">One </w:t>
      </w:r>
      <w:r w:rsidR="003A21AA">
        <w:rPr>
          <w:lang w:val="en-US"/>
        </w:rPr>
        <w:t>central</w:t>
      </w:r>
      <w:r>
        <w:rPr>
          <w:lang w:val="en-US"/>
        </w:rPr>
        <w:t xml:space="preserve"> consequence of Child Sexual Abuse (CSA) is </w:t>
      </w:r>
      <w:r w:rsidR="003A21AA">
        <w:rPr>
          <w:lang w:val="en-US"/>
        </w:rPr>
        <w:t>its</w:t>
      </w:r>
      <w:r>
        <w:rPr>
          <w:lang w:val="en-US"/>
        </w:rPr>
        <w:t xml:space="preserve"> negative impact on interpersonal relationships (Carbone-Lopez, 2012; Davis &amp; Petretic-Jacson, 2000; Lamoureux et al., 2012). </w:t>
      </w:r>
      <w:r w:rsidR="003A21AA">
        <w:rPr>
          <w:lang w:val="en-US"/>
        </w:rPr>
        <w:t>When studying</w:t>
      </w:r>
      <w:r w:rsidR="00071A34">
        <w:rPr>
          <w:lang w:val="en-US"/>
        </w:rPr>
        <w:t xml:space="preserve"> interpersonal relationships, scholars </w:t>
      </w:r>
      <w:r w:rsidR="003A21AA">
        <w:rPr>
          <w:lang w:val="en-US"/>
        </w:rPr>
        <w:t>tend to</w:t>
      </w:r>
      <w:r w:rsidR="00071A34">
        <w:rPr>
          <w:lang w:val="en-US"/>
        </w:rPr>
        <w:t xml:space="preserve"> focus on the connection between CSA and couples’ relationships (</w:t>
      </w:r>
      <w:r w:rsidR="00071A34" w:rsidRPr="00071A34">
        <w:rPr>
          <w:rFonts w:ascii="David" w:eastAsia="Times New Roman" w:hAnsi="David"/>
          <w:kern w:val="0"/>
          <w:lang w:val="en-US"/>
          <w14:ligatures w14:val="none"/>
        </w:rPr>
        <w:t>MacIntosh &amp; Ménard, 2021; Nielsen et al., 2018; Vitek &amp; Yeater, 202</w:t>
      </w:r>
      <w:r w:rsidR="00071A34">
        <w:rPr>
          <w:rFonts w:ascii="David" w:eastAsia="Times New Roman" w:hAnsi="David"/>
          <w:kern w:val="0"/>
          <w:lang w:val="en-US"/>
          <w14:ligatures w14:val="none"/>
        </w:rPr>
        <w:t>1) or parent-child relationships (</w:t>
      </w:r>
      <w:r w:rsidR="00071A34" w:rsidRPr="00071A34">
        <w:rPr>
          <w:rFonts w:ascii="David" w:eastAsia="Times New Roman" w:hAnsi="David"/>
          <w:kern w:val="0"/>
          <w:lang w:val="en-US"/>
          <w14:ligatures w14:val="none"/>
        </w:rPr>
        <w:t>Fatehi et al., 2021; MacIntosh &amp; Ménard, 2021</w:t>
      </w:r>
      <w:r w:rsidR="00071A34">
        <w:rPr>
          <w:rFonts w:ascii="David" w:eastAsia="Times New Roman" w:hAnsi="David"/>
          <w:kern w:val="0"/>
          <w:lang w:val="en-US"/>
          <w14:ligatures w14:val="none"/>
        </w:rPr>
        <w:t>). The connection between CSA and interpersonal relations in the workplace has scarcely been studied.</w:t>
      </w:r>
    </w:p>
    <w:p w14:paraId="274A1BAA" w14:textId="76873991" w:rsidR="00071A34" w:rsidRDefault="00071A34" w:rsidP="00BA5403">
      <w:pPr>
        <w:rPr>
          <w:rFonts w:ascii="David" w:eastAsia="Calibri" w:hAnsi="David"/>
          <w:color w:val="000000"/>
          <w:kern w:val="0"/>
          <w:lang w:val="en-US"/>
          <w14:ligatures w14:val="none"/>
        </w:rPr>
      </w:pPr>
      <w:r>
        <w:rPr>
          <w:rFonts w:ascii="David" w:eastAsia="Times New Roman" w:hAnsi="David"/>
          <w:kern w:val="0"/>
          <w:lang w:val="en-US"/>
          <w14:ligatures w14:val="none"/>
        </w:rPr>
        <w:tab/>
      </w:r>
      <w:r w:rsidR="00664703">
        <w:rPr>
          <w:rFonts w:ascii="David" w:eastAsia="Times New Roman" w:hAnsi="David"/>
          <w:kern w:val="0"/>
          <w:lang w:val="en-US"/>
          <w14:ligatures w14:val="none"/>
        </w:rPr>
        <w:t xml:space="preserve">Some studies show a </w:t>
      </w:r>
      <w:r w:rsidR="003A21AA">
        <w:rPr>
          <w:rFonts w:ascii="David" w:eastAsia="Times New Roman" w:hAnsi="David"/>
          <w:kern w:val="0"/>
          <w:lang w:val="en-US"/>
          <w14:ligatures w14:val="none"/>
        </w:rPr>
        <w:t>connection</w:t>
      </w:r>
      <w:r w:rsidR="00664703">
        <w:rPr>
          <w:rFonts w:ascii="David" w:eastAsia="Times New Roman" w:hAnsi="David"/>
          <w:kern w:val="0"/>
          <w:lang w:val="en-US"/>
          <w14:ligatures w14:val="none"/>
        </w:rPr>
        <w:t xml:space="preserve"> between CSA and difficulties </w:t>
      </w:r>
      <w:r w:rsidR="006763D3">
        <w:rPr>
          <w:rFonts w:ascii="David" w:eastAsia="Times New Roman" w:hAnsi="David"/>
          <w:kern w:val="0"/>
          <w:lang w:val="en-US"/>
          <w14:ligatures w14:val="none"/>
        </w:rPr>
        <w:t xml:space="preserve">joining the job market </w:t>
      </w:r>
      <w:r w:rsidR="006763D3" w:rsidRPr="006763D3">
        <w:rPr>
          <w:rFonts w:ascii="David" w:eastAsia="Times New Roman" w:hAnsi="David"/>
          <w:noProof/>
          <w:kern w:val="0"/>
          <w:lang w:val="en-US"/>
          <w14:ligatures w14:val="none"/>
        </w:rPr>
        <w:t>(Bouchard et al., 2023; Bunting et al., 2018</w:t>
      </w:r>
      <w:r w:rsidR="006763D3">
        <w:rPr>
          <w:rFonts w:ascii="David" w:eastAsia="Times New Roman" w:hAnsi="David"/>
          <w:noProof/>
          <w:kern w:val="0"/>
          <w:lang w:val="en-US"/>
          <w14:ligatures w14:val="none"/>
        </w:rPr>
        <w:t xml:space="preserve">). Among others, connections were found </w:t>
      </w:r>
      <w:r w:rsidR="003A21AA">
        <w:rPr>
          <w:rFonts w:ascii="David" w:eastAsia="Times New Roman" w:hAnsi="David"/>
          <w:noProof/>
          <w:kern w:val="0"/>
          <w:lang w:val="en-US"/>
          <w14:ligatures w14:val="none"/>
        </w:rPr>
        <w:t>between</w:t>
      </w:r>
      <w:r w:rsidR="006763D3">
        <w:rPr>
          <w:rFonts w:ascii="David" w:eastAsia="Times New Roman" w:hAnsi="David"/>
          <w:noProof/>
          <w:kern w:val="0"/>
          <w:lang w:val="en-US"/>
          <w14:ligatures w14:val="none"/>
        </w:rPr>
        <w:t xml:space="preserve"> CSA and unemployment (Barrett &amp; Kamiya, 2014), difficulty finding work (Hyman, 2000), dependence on welfare (Fergusson et al, 2013; Pinto Pereira et al., 2017), dismissal (Sansone et al., 2012), absence from the workplace</w:t>
      </w:r>
      <w:r w:rsidR="003A21AA">
        <w:rPr>
          <w:rFonts w:ascii="David" w:eastAsia="Times New Roman" w:hAnsi="David"/>
          <w:noProof/>
          <w:kern w:val="0"/>
          <w:lang w:val="en-US"/>
          <w14:ligatures w14:val="none"/>
        </w:rPr>
        <w:t>,</w:t>
      </w:r>
      <w:r w:rsidR="006763D3">
        <w:rPr>
          <w:rFonts w:ascii="David" w:eastAsia="Times New Roman" w:hAnsi="David"/>
          <w:noProof/>
          <w:kern w:val="0"/>
          <w:lang w:val="en-US"/>
          <w14:ligatures w14:val="none"/>
        </w:rPr>
        <w:t xml:space="preserve"> loss of work ability (</w:t>
      </w:r>
      <w:sdt>
        <w:sdtPr>
          <w:rPr>
            <w:rFonts w:ascii="David" w:eastAsia="Calibri" w:hAnsi="David"/>
            <w:color w:val="000000"/>
            <w:kern w:val="0"/>
            <w:lang w:val="en-US"/>
            <w14:ligatures w14:val="none"/>
          </w:rPr>
          <w:tag w:val="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"/>
          <w:id w:val="-17396270"/>
          <w:placeholder>
            <w:docPart w:val="16EB433BD8F649F1B230345D4F350CCB"/>
          </w:placeholder>
        </w:sdtPr>
        <w:sdtContent>
          <w:r w:rsidR="006763D3" w:rsidRPr="006763D3">
            <w:rPr>
              <w:rFonts w:ascii="David" w:eastAsia="Times New Roman" w:hAnsi="David"/>
              <w:kern w:val="0"/>
              <w:lang w:val="en-US"/>
              <w14:ligatures w14:val="none"/>
            </w:rPr>
            <w:t>Barrett &amp; Kamiya, 2014; Bunting et al., 2018; Pinto Pereira et al., 2017</w:t>
          </w:r>
        </w:sdtContent>
      </w:sdt>
      <w:r w:rsidR="006763D3">
        <w:rPr>
          <w:rFonts w:ascii="David" w:eastAsia="Calibri" w:hAnsi="David"/>
          <w:color w:val="000000"/>
          <w:kern w:val="0"/>
          <w:lang w:val="en-US"/>
          <w14:ligatures w14:val="none"/>
        </w:rPr>
        <w:t xml:space="preserve">), and low socioeconomic status (Bunting et al., 2018; Pinto Pereira et al., 2017). </w:t>
      </w:r>
      <w:r w:rsidR="003A21AA">
        <w:rPr>
          <w:rFonts w:ascii="David" w:eastAsia="Calibri" w:hAnsi="David"/>
          <w:color w:val="000000"/>
          <w:kern w:val="0"/>
          <w:lang w:val="en-US"/>
          <w14:ligatures w14:val="none"/>
        </w:rPr>
        <w:t>F</w:t>
      </w:r>
      <w:r w:rsidR="006763D3">
        <w:rPr>
          <w:rFonts w:ascii="David" w:eastAsia="Calibri" w:hAnsi="David"/>
          <w:color w:val="000000"/>
          <w:kern w:val="0"/>
          <w:lang w:val="en-US"/>
          <w14:ligatures w14:val="none"/>
        </w:rPr>
        <w:t xml:space="preserve">ew studies </w:t>
      </w:r>
      <w:r w:rsidR="003A21AA">
        <w:rPr>
          <w:rFonts w:ascii="David" w:eastAsia="Calibri" w:hAnsi="David"/>
          <w:color w:val="000000"/>
          <w:kern w:val="0"/>
          <w:lang w:val="en-US"/>
          <w14:ligatures w14:val="none"/>
        </w:rPr>
        <w:t>found no</w:t>
      </w:r>
      <w:r w:rsidR="006763D3">
        <w:rPr>
          <w:rFonts w:ascii="David" w:eastAsia="Calibri" w:hAnsi="David"/>
          <w:color w:val="000000"/>
          <w:kern w:val="0"/>
          <w:lang w:val="en-US"/>
          <w14:ligatures w14:val="none"/>
        </w:rPr>
        <w:t xml:space="preserve"> connection between CSA and unemployment or level of income (Tanaka et al., 2011; Zielinski, 2009). The literature contains scant </w:t>
      </w:r>
      <w:r w:rsidR="00282049">
        <w:rPr>
          <w:rFonts w:ascii="David" w:eastAsia="Calibri" w:hAnsi="David"/>
          <w:color w:val="000000"/>
          <w:kern w:val="0"/>
          <w:lang w:val="en-US"/>
          <w14:ligatures w14:val="none"/>
        </w:rPr>
        <w:t xml:space="preserve">attention to interfering variables that may explain the connection between CSA and difficulties that survivors of CSA face when trying to enter the job market, among them, attention difficulties (Hall 2000), anxiety (De Venter et al., 2020; Hall, 2000), depression (De Venter et al., 2000), health problems (Hyman, 2000), and low academic achievements (Hyman, 2000; Mitchell et al., 2021). </w:t>
      </w:r>
      <w:commentRangeStart w:id="0"/>
      <w:r w:rsidR="00282049">
        <w:rPr>
          <w:rFonts w:ascii="David" w:eastAsia="Calibri" w:hAnsi="David"/>
          <w:color w:val="000000"/>
          <w:kern w:val="0"/>
          <w:lang w:val="en-US"/>
          <w14:ligatures w14:val="none"/>
        </w:rPr>
        <w:t>The interpersonal relationships of CSA survivors in the context of difficulty entering the job market have hardly been examined.</w:t>
      </w:r>
      <w:commentRangeEnd w:id="0"/>
      <w:r w:rsidR="00CD43F9">
        <w:rPr>
          <w:rStyle w:val="CommentReference"/>
        </w:rPr>
        <w:commentReference w:id="0"/>
      </w:r>
    </w:p>
    <w:p w14:paraId="7D7A289D" w14:textId="52D8B515" w:rsidR="00282049" w:rsidRDefault="00282049" w:rsidP="00BA5403">
      <w:pPr>
        <w:rPr>
          <w:rFonts w:ascii="David" w:eastAsia="Calibri" w:hAnsi="David"/>
          <w:color w:val="000000"/>
          <w:kern w:val="0"/>
          <w:lang w:val="en-US"/>
          <w14:ligatures w14:val="none"/>
        </w:rPr>
      </w:pPr>
      <w:r>
        <w:rPr>
          <w:rFonts w:ascii="David" w:eastAsia="Calibri" w:hAnsi="David"/>
          <w:color w:val="000000"/>
          <w:kern w:val="0"/>
          <w:lang w:val="en-US"/>
          <w14:ligatures w14:val="none"/>
        </w:rPr>
        <w:tab/>
      </w:r>
      <w:commentRangeStart w:id="1"/>
      <w:r w:rsidR="005C5674">
        <w:rPr>
          <w:rFonts w:ascii="David" w:eastAsia="Calibri" w:hAnsi="David"/>
          <w:color w:val="000000"/>
          <w:kern w:val="0"/>
          <w:lang w:val="en-US"/>
          <w14:ligatures w14:val="none"/>
        </w:rPr>
        <w:t>One of the central components that determine job satisfaction is interpersonal relationships in the workplace (Halbesleben, 2006; Sias &amp; Shin, 2019; Sias, 2009)</w:t>
      </w:r>
      <w:commentRangeEnd w:id="1"/>
      <w:r w:rsidR="00CD43F9">
        <w:rPr>
          <w:rStyle w:val="CommentReference"/>
        </w:rPr>
        <w:commentReference w:id="1"/>
      </w:r>
      <w:r w:rsidR="005C5674">
        <w:rPr>
          <w:rFonts w:ascii="David" w:eastAsia="Calibri" w:hAnsi="David"/>
          <w:color w:val="000000"/>
          <w:kern w:val="0"/>
          <w:lang w:val="en-US"/>
          <w14:ligatures w14:val="none"/>
        </w:rPr>
        <w:t xml:space="preserve">. </w:t>
      </w:r>
      <w:r w:rsidR="00CD43F9">
        <w:rPr>
          <w:rFonts w:ascii="David" w:eastAsia="Calibri" w:hAnsi="David" w:hint="cs"/>
          <w:color w:val="000000"/>
          <w:kern w:val="0"/>
          <w:lang w:val="en-US"/>
          <w14:ligatures w14:val="none"/>
        </w:rPr>
        <w:t>M</w:t>
      </w:r>
      <w:r w:rsidR="00CD43F9">
        <w:rPr>
          <w:rFonts w:ascii="David" w:eastAsia="Calibri" w:hAnsi="David"/>
          <w:color w:val="000000"/>
          <w:kern w:val="0"/>
          <w:lang w:val="en-US"/>
          <w14:ligatures w14:val="none"/>
        </w:rPr>
        <w:t xml:space="preserve">ost jobs – whether they require contact with superiors or mentors or with subordinates or customers – require a wide range of social interactions. </w:t>
      </w:r>
      <w:r w:rsidR="00DE79A9">
        <w:rPr>
          <w:rFonts w:ascii="David" w:eastAsia="Calibri" w:hAnsi="David"/>
          <w:color w:val="000000"/>
          <w:kern w:val="0"/>
          <w:lang w:val="en-US"/>
          <w14:ligatures w14:val="none"/>
        </w:rPr>
        <w:t>Relationships in the w</w:t>
      </w:r>
      <w:r w:rsidR="005C5674">
        <w:rPr>
          <w:rFonts w:ascii="David" w:eastAsia="Calibri" w:hAnsi="David"/>
          <w:color w:val="000000"/>
          <w:kern w:val="0"/>
          <w:lang w:val="en-US"/>
          <w14:ligatures w14:val="none"/>
        </w:rPr>
        <w:t xml:space="preserve">orkplace can </w:t>
      </w:r>
      <w:r w:rsidR="00CD43F9">
        <w:rPr>
          <w:rFonts w:ascii="David" w:eastAsia="Calibri" w:hAnsi="David"/>
          <w:color w:val="000000"/>
          <w:kern w:val="0"/>
          <w:lang w:val="en-US"/>
          <w14:ligatures w14:val="none"/>
        </w:rPr>
        <w:t>constitute</w:t>
      </w:r>
      <w:r w:rsidR="005C5674">
        <w:rPr>
          <w:rFonts w:ascii="David" w:eastAsia="Calibri" w:hAnsi="David"/>
          <w:color w:val="000000"/>
          <w:kern w:val="0"/>
          <w:lang w:val="en-US"/>
          <w14:ligatures w14:val="none"/>
        </w:rPr>
        <w:t xml:space="preserve"> a source of </w:t>
      </w:r>
      <w:r w:rsidR="00B04FF8">
        <w:rPr>
          <w:rFonts w:ascii="David" w:eastAsia="Calibri" w:hAnsi="David"/>
          <w:color w:val="000000"/>
          <w:kern w:val="0"/>
          <w:lang w:val="en-US"/>
          <w14:ligatures w14:val="none"/>
        </w:rPr>
        <w:t xml:space="preserve">strength </w:t>
      </w:r>
      <w:r w:rsidR="00CD43F9">
        <w:rPr>
          <w:rFonts w:ascii="David" w:eastAsia="Calibri" w:hAnsi="David"/>
          <w:color w:val="000000"/>
          <w:kern w:val="0"/>
          <w:lang w:val="en-US"/>
          <w14:ligatures w14:val="none"/>
        </w:rPr>
        <w:t xml:space="preserve">and fortitude </w:t>
      </w:r>
      <w:r w:rsidR="00B04FF8">
        <w:rPr>
          <w:rFonts w:ascii="David" w:eastAsia="Calibri" w:hAnsi="David"/>
          <w:color w:val="000000"/>
          <w:kern w:val="0"/>
          <w:lang w:val="en-US"/>
          <w14:ligatures w14:val="none"/>
        </w:rPr>
        <w:t xml:space="preserve">for the worker in several ways (Bakker &amp; Demerouti, 2017; Hobfoll, 2011; Kataria et al., 2013). At the same time, the workplace can certainly provide opportunities to experience interpersonal difficulties as well. Therefore, the quality of relationships in the workplace has significant implications for the person’s experience and his </w:t>
      </w:r>
      <w:r w:rsidR="00CD43F9">
        <w:rPr>
          <w:rFonts w:ascii="David" w:eastAsia="Calibri" w:hAnsi="David"/>
          <w:color w:val="000000"/>
          <w:kern w:val="0"/>
          <w:lang w:val="en-US"/>
          <w14:ligatures w14:val="none"/>
        </w:rPr>
        <w:t xml:space="preserve">or her </w:t>
      </w:r>
      <w:r w:rsidR="00B04FF8">
        <w:rPr>
          <w:rFonts w:ascii="David" w:eastAsia="Calibri" w:hAnsi="David"/>
          <w:color w:val="000000"/>
          <w:kern w:val="0"/>
          <w:lang w:val="en-US"/>
          <w14:ligatures w14:val="none"/>
        </w:rPr>
        <w:t>quality of life (Sias &amp; Shin, 2019).</w:t>
      </w:r>
    </w:p>
    <w:p w14:paraId="697AA1FA" w14:textId="42AF1E38" w:rsidR="00B04FF8" w:rsidRDefault="00B04FF8" w:rsidP="00BA5403">
      <w:pPr>
        <w:rPr>
          <w:rFonts w:ascii="David" w:eastAsia="Calibri" w:hAnsi="David"/>
          <w:color w:val="000000"/>
          <w:kern w:val="0"/>
          <w:lang w:val="en-US"/>
          <w14:ligatures w14:val="none"/>
        </w:rPr>
      </w:pPr>
      <w:r>
        <w:rPr>
          <w:rFonts w:ascii="David" w:eastAsia="Calibri" w:hAnsi="David"/>
          <w:color w:val="000000"/>
          <w:kern w:val="0"/>
          <w:lang w:val="en-US"/>
          <w14:ligatures w14:val="none"/>
        </w:rPr>
        <w:tab/>
      </w:r>
      <w:r w:rsidR="00DE79A9">
        <w:rPr>
          <w:rFonts w:ascii="David" w:eastAsia="Calibri" w:hAnsi="David"/>
          <w:color w:val="000000"/>
          <w:kern w:val="0"/>
          <w:lang w:val="en-US"/>
          <w14:ligatures w14:val="none"/>
        </w:rPr>
        <w:t xml:space="preserve">According to Johnson and Indvik (Johnson &amp; Indvik, 1994, 1995), when people mature, they recreate a sense of </w:t>
      </w:r>
      <w:r w:rsidR="00CD43F9">
        <w:rPr>
          <w:rFonts w:ascii="David" w:eastAsia="Calibri" w:hAnsi="David"/>
          <w:color w:val="000000"/>
          <w:kern w:val="0"/>
          <w:lang w:val="en-US"/>
          <w14:ligatures w14:val="none"/>
        </w:rPr>
        <w:t>‘</w:t>
      </w:r>
      <w:r w:rsidR="00DE79A9">
        <w:rPr>
          <w:rFonts w:ascii="David" w:eastAsia="Calibri" w:hAnsi="David"/>
          <w:color w:val="000000"/>
          <w:kern w:val="0"/>
          <w:lang w:val="en-US"/>
          <w14:ligatures w14:val="none"/>
        </w:rPr>
        <w:t>family</w:t>
      </w:r>
      <w:r w:rsidR="00CD43F9">
        <w:rPr>
          <w:rFonts w:ascii="David" w:eastAsia="Calibri" w:hAnsi="David"/>
          <w:color w:val="000000"/>
          <w:kern w:val="0"/>
          <w:lang w:val="en-US"/>
          <w14:ligatures w14:val="none"/>
        </w:rPr>
        <w:t>’</w:t>
      </w:r>
      <w:r w:rsidR="00DE79A9">
        <w:rPr>
          <w:rFonts w:ascii="David" w:eastAsia="Calibri" w:hAnsi="David"/>
          <w:color w:val="000000"/>
          <w:kern w:val="0"/>
          <w:lang w:val="en-US"/>
          <w14:ligatures w14:val="none"/>
        </w:rPr>
        <w:t xml:space="preserve"> within their social groups, including the workplace, since </w:t>
      </w:r>
      <w:r w:rsidR="00CD43F9">
        <w:rPr>
          <w:rFonts w:ascii="David" w:eastAsia="Calibri" w:hAnsi="David"/>
          <w:color w:val="000000"/>
          <w:kern w:val="0"/>
          <w:lang w:val="en-US"/>
          <w14:ligatures w14:val="none"/>
        </w:rPr>
        <w:t xml:space="preserve">it is in </w:t>
      </w:r>
      <w:r w:rsidR="00DE79A9">
        <w:rPr>
          <w:rFonts w:ascii="David" w:eastAsia="Calibri" w:hAnsi="David"/>
          <w:color w:val="000000"/>
          <w:kern w:val="0"/>
          <w:lang w:val="en-US"/>
          <w14:ligatures w14:val="none"/>
        </w:rPr>
        <w:t xml:space="preserve">the family group </w:t>
      </w:r>
      <w:r w:rsidR="00CD43F9">
        <w:rPr>
          <w:rFonts w:ascii="David" w:eastAsia="Calibri" w:hAnsi="David"/>
          <w:color w:val="000000"/>
          <w:kern w:val="0"/>
          <w:lang w:val="en-US"/>
          <w14:ligatures w14:val="none"/>
        </w:rPr>
        <w:t>that</w:t>
      </w:r>
      <w:r w:rsidR="00DE79A9">
        <w:rPr>
          <w:rFonts w:ascii="David" w:eastAsia="Calibri" w:hAnsi="David"/>
          <w:color w:val="000000"/>
          <w:kern w:val="0"/>
          <w:lang w:val="en-US"/>
          <w14:ligatures w14:val="none"/>
        </w:rPr>
        <w:t xml:space="preserve"> people learn how to closely interact with others. People often report </w:t>
      </w:r>
      <w:r w:rsidR="00CD43F9">
        <w:rPr>
          <w:rFonts w:ascii="David" w:eastAsia="Calibri" w:hAnsi="David"/>
          <w:color w:val="000000"/>
          <w:kern w:val="0"/>
          <w:lang w:val="en-US"/>
          <w14:ligatures w14:val="none"/>
        </w:rPr>
        <w:t xml:space="preserve">that </w:t>
      </w:r>
      <w:r w:rsidR="00DE79A9">
        <w:rPr>
          <w:rFonts w:ascii="David" w:eastAsia="Calibri" w:hAnsi="David"/>
          <w:color w:val="000000"/>
          <w:kern w:val="0"/>
          <w:lang w:val="en-US"/>
          <w14:ligatures w14:val="none"/>
        </w:rPr>
        <w:t xml:space="preserve">the dynamics and emotions that develop in their workplace relations </w:t>
      </w:r>
      <w:r w:rsidR="00CD43F9">
        <w:rPr>
          <w:rFonts w:ascii="David" w:eastAsia="Calibri" w:hAnsi="David"/>
          <w:color w:val="000000"/>
          <w:kern w:val="0"/>
          <w:lang w:val="en-US"/>
          <w14:ligatures w14:val="none"/>
        </w:rPr>
        <w:t>are similar to those</w:t>
      </w:r>
      <w:r w:rsidR="00DE79A9">
        <w:rPr>
          <w:rFonts w:ascii="David" w:eastAsia="Calibri" w:hAnsi="David"/>
          <w:color w:val="000000"/>
          <w:kern w:val="0"/>
          <w:lang w:val="en-US"/>
          <w14:ligatures w14:val="none"/>
        </w:rPr>
        <w:t xml:space="preserve"> they </w:t>
      </w:r>
      <w:r w:rsidR="00CD43F9">
        <w:rPr>
          <w:rFonts w:ascii="David" w:eastAsia="Calibri" w:hAnsi="David"/>
          <w:color w:val="000000"/>
          <w:kern w:val="0"/>
          <w:lang w:val="en-US"/>
          <w14:ligatures w14:val="none"/>
        </w:rPr>
        <w:t xml:space="preserve">had </w:t>
      </w:r>
      <w:r w:rsidR="00DE79A9">
        <w:rPr>
          <w:rFonts w:ascii="David" w:eastAsia="Calibri" w:hAnsi="David"/>
          <w:color w:val="000000"/>
          <w:kern w:val="0"/>
          <w:lang w:val="en-US"/>
          <w14:ligatures w14:val="none"/>
        </w:rPr>
        <w:t xml:space="preserve">experienced as children, in abusive family settings. They also </w:t>
      </w:r>
      <w:r w:rsidR="00CD43F9">
        <w:rPr>
          <w:rFonts w:ascii="David" w:eastAsia="Calibri" w:hAnsi="David"/>
          <w:color w:val="000000"/>
          <w:kern w:val="0"/>
          <w:lang w:val="en-US"/>
          <w14:ligatures w14:val="none"/>
        </w:rPr>
        <w:t>report that they tend to recreate</w:t>
      </w:r>
      <w:r w:rsidR="00DE79A9">
        <w:rPr>
          <w:rFonts w:ascii="David" w:eastAsia="Calibri" w:hAnsi="David"/>
          <w:color w:val="000000"/>
          <w:kern w:val="0"/>
          <w:lang w:val="en-US"/>
          <w14:ligatures w14:val="none"/>
        </w:rPr>
        <w:t xml:space="preserve"> roles that</w:t>
      </w:r>
      <w:r w:rsidR="00CD43F9">
        <w:rPr>
          <w:rFonts w:ascii="David" w:eastAsia="Calibri" w:hAnsi="David"/>
          <w:color w:val="000000"/>
          <w:kern w:val="0"/>
          <w:lang w:val="en-US"/>
          <w14:ligatures w14:val="none"/>
        </w:rPr>
        <w:t xml:space="preserve"> they</w:t>
      </w:r>
      <w:r w:rsidR="00DE79A9">
        <w:rPr>
          <w:rFonts w:ascii="David" w:eastAsia="Calibri" w:hAnsi="David"/>
          <w:color w:val="000000"/>
          <w:kern w:val="0"/>
          <w:lang w:val="en-US"/>
          <w14:ligatures w14:val="none"/>
        </w:rPr>
        <w:t xml:space="preserve"> had held in the past</w:t>
      </w:r>
      <w:r w:rsidR="00CD43F9">
        <w:rPr>
          <w:rFonts w:ascii="David" w:eastAsia="Calibri" w:hAnsi="David"/>
          <w:color w:val="000000"/>
          <w:kern w:val="0"/>
          <w:lang w:val="en-US"/>
          <w14:ligatures w14:val="none"/>
        </w:rPr>
        <w:t>, and may</w:t>
      </w:r>
      <w:r w:rsidR="00DE79A9">
        <w:rPr>
          <w:rFonts w:ascii="David" w:eastAsia="Calibri" w:hAnsi="David"/>
          <w:color w:val="000000"/>
          <w:kern w:val="0"/>
          <w:lang w:val="en-US"/>
          <w14:ligatures w14:val="none"/>
        </w:rPr>
        <w:t xml:space="preserve"> choose workplaces </w:t>
      </w:r>
      <w:r w:rsidR="00CD43F9">
        <w:rPr>
          <w:rFonts w:ascii="David" w:eastAsia="Calibri" w:hAnsi="David"/>
          <w:color w:val="000000"/>
          <w:kern w:val="0"/>
          <w:lang w:val="en-US"/>
          <w14:ligatures w14:val="none"/>
        </w:rPr>
        <w:t>that allow them to do so</w:t>
      </w:r>
      <w:r w:rsidR="00DE79A9">
        <w:rPr>
          <w:rFonts w:ascii="David" w:eastAsia="Calibri" w:hAnsi="David"/>
          <w:color w:val="000000"/>
          <w:kern w:val="0"/>
          <w:lang w:val="en-US"/>
          <w14:ligatures w14:val="none"/>
        </w:rPr>
        <w:t xml:space="preserve"> (Johnson &amp; Indvik, 1994, 1995). Based on this theoretical idea</w:t>
      </w:r>
      <w:r w:rsidR="00422992">
        <w:rPr>
          <w:rFonts w:ascii="David" w:eastAsia="Calibri" w:hAnsi="David"/>
          <w:color w:val="000000"/>
          <w:kern w:val="0"/>
          <w:lang w:val="en-US"/>
          <w14:ligatures w14:val="none"/>
        </w:rPr>
        <w:t>, it would make sense to expect that the general difficulties that CSA survivors face in interpersonal relationships outside of the workplace would affect their relationships within the workplace as well.</w:t>
      </w:r>
    </w:p>
    <w:p w14:paraId="457904CE" w14:textId="018DD7AF" w:rsidR="00422992" w:rsidRDefault="00422992" w:rsidP="00BA5403">
      <w:pPr>
        <w:rPr>
          <w:rFonts w:ascii="David" w:eastAsia="Times New Roman" w:hAnsi="David"/>
          <w:noProof/>
          <w:kern w:val="0"/>
          <w:lang w:val="en-US"/>
          <w14:ligatures w14:val="none"/>
        </w:rPr>
      </w:pPr>
      <w:r>
        <w:rPr>
          <w:rFonts w:ascii="David" w:eastAsia="Calibri" w:hAnsi="David"/>
          <w:color w:val="000000"/>
          <w:kern w:val="0"/>
          <w:lang w:val="en-US"/>
          <w14:ligatures w14:val="none"/>
        </w:rPr>
        <w:tab/>
      </w:r>
      <w:r w:rsidR="00A32165">
        <w:rPr>
          <w:rFonts w:ascii="David" w:eastAsia="Calibri" w:hAnsi="David"/>
          <w:color w:val="000000"/>
          <w:kern w:val="0"/>
          <w:lang w:val="en-US"/>
          <w14:ligatures w14:val="none"/>
        </w:rPr>
        <w:t>Surprisingly, these theoretical ideas (Johnson &amp; Indvik, 1994, 1995) have not been empirically examined, and only a few studies touched upon the topic of CSA survivors’ interpersonal relationships in the workplace</w:t>
      </w:r>
      <w:r w:rsidR="00A32165" w:rsidRPr="00A32165">
        <w:rPr>
          <w:rFonts w:ascii="David" w:eastAsia="Times New Roman" w:hAnsi="David"/>
          <w:noProof/>
          <w:kern w:val="0"/>
          <w:lang w:val="en-US"/>
          <w14:ligatures w14:val="none"/>
        </w:rPr>
        <w:t xml:space="preserve"> </w:t>
      </w:r>
      <w:r w:rsidR="00A32165">
        <w:rPr>
          <w:rFonts w:ascii="David" w:eastAsia="Times New Roman" w:hAnsi="David"/>
          <w:noProof/>
          <w:kern w:val="0"/>
          <w:lang w:val="en-US"/>
          <w14:ligatures w14:val="none"/>
        </w:rPr>
        <w:t>(</w:t>
      </w:r>
      <w:commentRangeStart w:id="2"/>
      <w:r w:rsidR="00A32165" w:rsidRPr="00A32165">
        <w:rPr>
          <w:rFonts w:ascii="David" w:eastAsia="Times New Roman" w:hAnsi="David"/>
          <w:noProof/>
          <w:kern w:val="0"/>
          <w:lang w:val="en-US"/>
          <w14:ligatures w14:val="none"/>
        </w:rPr>
        <w:t>prigoff gina L</w:t>
      </w:r>
      <w:commentRangeEnd w:id="2"/>
      <w:r w:rsidR="00A32165">
        <w:rPr>
          <w:rStyle w:val="CommentReference"/>
        </w:rPr>
        <w:commentReference w:id="2"/>
      </w:r>
      <w:r w:rsidR="00A32165" w:rsidRPr="00A32165">
        <w:rPr>
          <w:rFonts w:ascii="David" w:eastAsia="Times New Roman" w:hAnsi="David"/>
          <w:noProof/>
          <w:kern w:val="0"/>
          <w:lang w:val="en-US"/>
          <w14:ligatures w14:val="none"/>
        </w:rPr>
        <w:t>, 2000; Strait, 2011</w:t>
      </w:r>
      <w:r w:rsidR="00A32165">
        <w:rPr>
          <w:rFonts w:ascii="David" w:eastAsia="Times New Roman" w:hAnsi="David"/>
          <w:noProof/>
          <w:kern w:val="0"/>
          <w:lang w:val="en-US"/>
          <w14:ligatures w14:val="none"/>
        </w:rPr>
        <w:t xml:space="preserve">). As far as we know, there has been no study to date that empirically compares the quality of CSA survivors’ interpersonal relationships in the workplace to </w:t>
      </w:r>
      <w:r w:rsidR="00F51192">
        <w:rPr>
          <w:rFonts w:ascii="David" w:eastAsia="Times New Roman" w:hAnsi="David"/>
          <w:noProof/>
          <w:kern w:val="0"/>
          <w:lang w:val="en-US"/>
          <w14:ligatures w14:val="none"/>
        </w:rPr>
        <w:t xml:space="preserve">that of survivors of other traumas, </w:t>
      </w:r>
      <w:r w:rsidR="00CD43F9">
        <w:rPr>
          <w:rFonts w:ascii="David" w:eastAsia="Times New Roman" w:hAnsi="David"/>
          <w:noProof/>
          <w:kern w:val="0"/>
          <w:lang w:val="en-US"/>
          <w14:ligatures w14:val="none"/>
        </w:rPr>
        <w:t>or of</w:t>
      </w:r>
      <w:r w:rsidR="00F51192">
        <w:rPr>
          <w:rFonts w:ascii="David" w:eastAsia="Times New Roman" w:hAnsi="David"/>
          <w:noProof/>
          <w:kern w:val="0"/>
          <w:lang w:val="en-US"/>
          <w14:ligatures w14:val="none"/>
        </w:rPr>
        <w:t xml:space="preserve"> people who did not experience trauma.</w:t>
      </w:r>
    </w:p>
    <w:p w14:paraId="2E058ECC" w14:textId="59A5EACA" w:rsidR="00F51192" w:rsidRDefault="00F51192" w:rsidP="00BA5403">
      <w:pPr>
        <w:rPr>
          <w:rFonts w:ascii="David" w:eastAsia="Times New Roman" w:hAnsi="David"/>
          <w:noProof/>
          <w:kern w:val="0"/>
          <w:lang w:val="en-US"/>
          <w14:ligatures w14:val="none"/>
        </w:rPr>
      </w:pPr>
      <w:r>
        <w:rPr>
          <w:rFonts w:ascii="David" w:eastAsia="Times New Roman" w:hAnsi="David"/>
          <w:noProof/>
          <w:kern w:val="0"/>
          <w:lang w:val="en-US"/>
          <w14:ligatures w14:val="none"/>
        </w:rPr>
        <w:tab/>
        <w:t xml:space="preserve">According to the literature, the three main components of the quality of interpersonal relationships in the workplace are perceived satisfaction with the relationship (Sias &amp; Shin, </w:t>
      </w:r>
      <w:r>
        <w:rPr>
          <w:rFonts w:ascii="David" w:eastAsia="Times New Roman" w:hAnsi="David"/>
          <w:noProof/>
          <w:kern w:val="0"/>
          <w:lang w:val="en-US"/>
          <w14:ligatures w14:val="none"/>
        </w:rPr>
        <w:lastRenderedPageBreak/>
        <w:t xml:space="preserve">2019), </w:t>
      </w:r>
      <w:r w:rsidR="00DA4163">
        <w:rPr>
          <w:rFonts w:ascii="David" w:eastAsia="Times New Roman" w:hAnsi="David"/>
          <w:noProof/>
          <w:kern w:val="0"/>
          <w:lang w:val="en-US"/>
          <w14:ligatures w14:val="none"/>
        </w:rPr>
        <w:t>loneliness</w:t>
      </w:r>
      <w:r>
        <w:rPr>
          <w:rFonts w:ascii="David" w:eastAsia="Times New Roman" w:hAnsi="David"/>
          <w:noProof/>
          <w:kern w:val="0"/>
          <w:lang w:val="en-US"/>
          <w14:ligatures w14:val="none"/>
        </w:rPr>
        <w:t xml:space="preserve"> in the workplace (Wright &amp; Silard, 2020); and </w:t>
      </w:r>
      <w:r w:rsidR="00DA4163">
        <w:rPr>
          <w:rFonts w:ascii="David" w:eastAsia="Times New Roman" w:hAnsi="David"/>
          <w:noProof/>
          <w:kern w:val="0"/>
          <w:lang w:val="en-US"/>
          <w14:ligatures w14:val="none"/>
        </w:rPr>
        <w:t>aggression</w:t>
      </w:r>
      <w:r>
        <w:rPr>
          <w:rFonts w:ascii="David" w:eastAsia="Times New Roman" w:hAnsi="David"/>
          <w:noProof/>
          <w:kern w:val="0"/>
          <w:lang w:val="en-US"/>
          <w14:ligatures w14:val="none"/>
        </w:rPr>
        <w:t xml:space="preserve"> in the workplace (Bowling &amp; Hershcovis, </w:t>
      </w:r>
      <w:commentRangeStart w:id="3"/>
      <w:r>
        <w:rPr>
          <w:rFonts w:ascii="David" w:eastAsia="Times New Roman" w:hAnsi="David"/>
          <w:noProof/>
          <w:kern w:val="0"/>
          <w:lang w:val="en-US"/>
          <w14:ligatures w14:val="none"/>
        </w:rPr>
        <w:t>2017</w:t>
      </w:r>
      <w:commentRangeEnd w:id="3"/>
      <w:r w:rsidR="00B748D2">
        <w:rPr>
          <w:rStyle w:val="CommentReference"/>
        </w:rPr>
        <w:commentReference w:id="3"/>
      </w:r>
      <w:r>
        <w:rPr>
          <w:rFonts w:ascii="David" w:eastAsia="Times New Roman" w:hAnsi="David"/>
          <w:noProof/>
          <w:kern w:val="0"/>
          <w:lang w:val="en-US"/>
          <w14:ligatures w14:val="none"/>
        </w:rPr>
        <w:t>).</w:t>
      </w:r>
    </w:p>
    <w:p w14:paraId="067C1075" w14:textId="77777777" w:rsidR="00F51192" w:rsidRDefault="00F51192" w:rsidP="00BA5403">
      <w:pPr>
        <w:rPr>
          <w:rFonts w:ascii="David" w:eastAsia="Times New Roman" w:hAnsi="David"/>
          <w:noProof/>
          <w:kern w:val="0"/>
          <w:lang w:val="en-US"/>
          <w14:ligatures w14:val="none"/>
        </w:rPr>
      </w:pPr>
    </w:p>
    <w:p w14:paraId="123C6171" w14:textId="10749EA7" w:rsidR="00F51192" w:rsidRPr="00DA4163" w:rsidRDefault="00DA4163" w:rsidP="00BA5403">
      <w:pPr>
        <w:rPr>
          <w:b/>
          <w:bCs/>
          <w:lang w:val="en-US"/>
        </w:rPr>
      </w:pPr>
      <w:r w:rsidRPr="00DA4163">
        <w:rPr>
          <w:b/>
          <w:bCs/>
          <w:lang w:val="en-US"/>
        </w:rPr>
        <w:t>CSA and perceived satisfaction with interpersonal relationships in the workplace</w:t>
      </w:r>
    </w:p>
    <w:p w14:paraId="787EF2C4" w14:textId="0C73FAD1" w:rsidR="00DA4163" w:rsidRDefault="00277DDF" w:rsidP="00BA5403">
      <w:pPr>
        <w:rPr>
          <w:lang w:val="en-US"/>
        </w:rPr>
      </w:pPr>
      <w:r>
        <w:rPr>
          <w:lang w:val="en-US"/>
        </w:rPr>
        <w:t xml:space="preserve">Perceived satisfaction with interpersonal relationships in the workplace relates to </w:t>
      </w:r>
      <w:commentRangeStart w:id="4"/>
      <w:r w:rsidR="00953F11">
        <w:rPr>
          <w:lang w:val="en-US"/>
        </w:rPr>
        <w:t>all types of r</w:t>
      </w:r>
      <w:r>
        <w:rPr>
          <w:lang w:val="en-US"/>
        </w:rPr>
        <w:t xml:space="preserve">elationships between workers </w:t>
      </w:r>
      <w:commentRangeEnd w:id="4"/>
      <w:r w:rsidR="00953F11">
        <w:rPr>
          <w:rStyle w:val="CommentReference"/>
        </w:rPr>
        <w:commentReference w:id="4"/>
      </w:r>
      <w:r>
        <w:rPr>
          <w:lang w:val="en-US"/>
        </w:rPr>
        <w:t xml:space="preserve">(such as executives, subordinates, </w:t>
      </w:r>
      <w:r w:rsidR="00024E2C">
        <w:rPr>
          <w:lang w:val="en-US"/>
        </w:rPr>
        <w:t>colleagues</w:t>
      </w:r>
      <w:r>
        <w:rPr>
          <w:lang w:val="en-US"/>
        </w:rPr>
        <w:t xml:space="preserve">, </w:t>
      </w:r>
      <w:r w:rsidR="00A829D3">
        <w:rPr>
          <w:lang w:val="en-US"/>
        </w:rPr>
        <w:t xml:space="preserve">or </w:t>
      </w:r>
      <w:r>
        <w:rPr>
          <w:lang w:val="en-US"/>
        </w:rPr>
        <w:t>mentors) (Sias, 2009).</w:t>
      </w:r>
      <w:r w:rsidR="00A829D3">
        <w:rPr>
          <w:lang w:val="en-US"/>
        </w:rPr>
        <w:t xml:space="preserve"> </w:t>
      </w:r>
      <w:r w:rsidR="00024E2C">
        <w:rPr>
          <w:lang w:val="en-US"/>
        </w:rPr>
        <w:t xml:space="preserve">Studies found that high satisfaction from relationships with </w:t>
      </w:r>
      <w:commentRangeStart w:id="5"/>
      <w:r w:rsidR="00024E2C">
        <w:rPr>
          <w:lang w:val="en-US"/>
        </w:rPr>
        <w:t xml:space="preserve">colleagues </w:t>
      </w:r>
      <w:commentRangeEnd w:id="5"/>
      <w:r w:rsidR="00953F11">
        <w:rPr>
          <w:rStyle w:val="CommentReference"/>
        </w:rPr>
        <w:commentReference w:id="5"/>
      </w:r>
      <w:r w:rsidR="00024E2C">
        <w:rPr>
          <w:lang w:val="en-US"/>
        </w:rPr>
        <w:t>at work positively influences general satisfaction from work, teamwork, group cohesiveness, and performance, and may even help overcome somatic and emotional problems during challenging times (Parker et al., 2023).</w:t>
      </w:r>
    </w:p>
    <w:p w14:paraId="7BABDF2E" w14:textId="7994AAF6" w:rsidR="00024E2C" w:rsidRDefault="00BF750C" w:rsidP="00BA5403">
      <w:pPr>
        <w:rPr>
          <w:lang w:val="en-US"/>
        </w:rPr>
      </w:pPr>
      <w:r>
        <w:rPr>
          <w:lang w:val="en-US"/>
        </w:rPr>
        <w:tab/>
        <w:t>Given the information regarding the connection between CSA and difficulties in intimate relations (Godbout et al., 2009; Nielsen et al., 2018; Zabary et al., 2013), and in light of Johnson and Indvek’s theoretical ideas (Johnson &amp; Indvek, 1994, 1995) regarding the way in which traumatic interpersonal relationships may be recreated in the workplace, this study hypothesized that the level of CSA survivors’ perceived satisfaction from relationships in the workplace will be lower than that of workers who experienced other traumas, and much lower than workers who did not experience trauma at all.</w:t>
      </w:r>
    </w:p>
    <w:p w14:paraId="6D5297ED" w14:textId="77777777" w:rsidR="00BF750C" w:rsidRDefault="00BF750C" w:rsidP="00BA5403">
      <w:pPr>
        <w:rPr>
          <w:lang w:val="en-US"/>
        </w:rPr>
      </w:pPr>
    </w:p>
    <w:p w14:paraId="24EF1DF7" w14:textId="5E8618E4" w:rsidR="00BF750C" w:rsidRPr="00BF750C" w:rsidRDefault="00BF750C" w:rsidP="00BA5403">
      <w:pPr>
        <w:rPr>
          <w:b/>
          <w:bCs/>
          <w:lang w:val="en-US"/>
        </w:rPr>
      </w:pPr>
      <w:r w:rsidRPr="00BF750C">
        <w:rPr>
          <w:b/>
          <w:bCs/>
          <w:lang w:val="en-US"/>
        </w:rPr>
        <w:t>CSA and loneliness in the workplace</w:t>
      </w:r>
    </w:p>
    <w:p w14:paraId="16C7E74B" w14:textId="01973DF1" w:rsidR="00BF750C" w:rsidRDefault="00F863DD" w:rsidP="00BA5403">
      <w:pPr>
        <w:rPr>
          <w:lang w:val="en-US"/>
        </w:rPr>
      </w:pPr>
      <w:r>
        <w:rPr>
          <w:lang w:val="en-US"/>
        </w:rPr>
        <w:t xml:space="preserve">Loneliness is a negative emotional state that arises when a person perceives his social needs to be unmet, in either the number or quality of social connections (Perlman &amp; Peplau, 1981). Loneliness rates have been steadily rising over the past 40 years, and studies show that loneliness contributes to a decrease in quality of life, to an increase in the consumption of health services, is detrimental to one’s financial </w:t>
      </w:r>
      <w:r w:rsidR="00953F11">
        <w:rPr>
          <w:lang w:val="en-US"/>
        </w:rPr>
        <w:t>status</w:t>
      </w:r>
      <w:r>
        <w:rPr>
          <w:lang w:val="en-US"/>
        </w:rPr>
        <w:t>, and may even lead to death (Lim et al., 2020).</w:t>
      </w:r>
    </w:p>
    <w:p w14:paraId="4BB26541" w14:textId="7BFA2288" w:rsidR="00F863DD" w:rsidRDefault="00F863DD" w:rsidP="00BA5403">
      <w:pPr>
        <w:rPr>
          <w:rFonts w:ascii="David" w:eastAsia="Times New Roman" w:hAnsi="David"/>
          <w:kern w:val="0"/>
          <w:lang w:val="en-US"/>
          <w14:ligatures w14:val="none"/>
        </w:rPr>
      </w:pPr>
      <w:r>
        <w:rPr>
          <w:lang w:val="en-US"/>
        </w:rPr>
        <w:tab/>
        <w:t xml:space="preserve">No one has yet coined the term “loneliness in the workplace”. Some researchers claim that loneliness in the workplace is </w:t>
      </w:r>
      <w:r w:rsidR="00953F11">
        <w:rPr>
          <w:lang w:val="en-US"/>
        </w:rPr>
        <w:t>akin</w:t>
      </w:r>
      <w:r>
        <w:rPr>
          <w:lang w:val="en-US"/>
        </w:rPr>
        <w:t xml:space="preserve"> to the general feeling of loneliness, </w:t>
      </w:r>
      <w:r w:rsidR="00953F11">
        <w:rPr>
          <w:lang w:val="en-US"/>
        </w:rPr>
        <w:t>rendering</w:t>
      </w:r>
      <w:r>
        <w:rPr>
          <w:lang w:val="en-US"/>
        </w:rPr>
        <w:t xml:space="preserve"> a special term for this phenomenon</w:t>
      </w:r>
      <w:r w:rsidR="00953F11">
        <w:rPr>
          <w:lang w:val="en-US"/>
        </w:rPr>
        <w:t xml:space="preserve"> unnecessary</w:t>
      </w:r>
      <w:r>
        <w:rPr>
          <w:lang w:val="en-US"/>
        </w:rPr>
        <w:t xml:space="preserve"> (for example, </w:t>
      </w:r>
      <w:r w:rsidRPr="00F863DD">
        <w:rPr>
          <w:rFonts w:ascii="David" w:eastAsia="Times New Roman" w:hAnsi="David"/>
          <w:kern w:val="0"/>
          <w:lang w:val="en-US"/>
          <w14:ligatures w14:val="none"/>
        </w:rPr>
        <w:t>Ayazlar &amp; Güzel, 2014</w:t>
      </w:r>
      <w:r>
        <w:rPr>
          <w:rFonts w:ascii="David" w:eastAsia="Times New Roman" w:hAnsi="David"/>
          <w:kern w:val="0"/>
          <w:lang w:val="en-US"/>
          <w14:ligatures w14:val="none"/>
        </w:rPr>
        <w:t xml:space="preserve">), while others posit that while loneliness is essentially a subjective experience, its causes and </w:t>
      </w:r>
      <w:r w:rsidR="00F56DAA">
        <w:rPr>
          <w:rFonts w:ascii="David" w:eastAsia="Times New Roman" w:hAnsi="David"/>
          <w:kern w:val="0"/>
          <w:lang w:val="en-US"/>
          <w14:ligatures w14:val="none"/>
        </w:rPr>
        <w:t>restrictions</w:t>
      </w:r>
      <w:r>
        <w:rPr>
          <w:rFonts w:ascii="David" w:eastAsia="Times New Roman" w:hAnsi="David"/>
          <w:kern w:val="0"/>
          <w:lang w:val="en-US"/>
          <w14:ligatures w14:val="none"/>
        </w:rPr>
        <w:t xml:space="preserve"> may change according to the context and environment. According to this view, the unique character of the workplace defines loneliness differently, necessitating separate terminology (for example, Ercan &amp; Yilmaz, 2011).</w:t>
      </w:r>
    </w:p>
    <w:p w14:paraId="596AEC42" w14:textId="23B29814" w:rsidR="00F863DD" w:rsidRDefault="00F863DD" w:rsidP="00BA5403">
      <w:pPr>
        <w:rPr>
          <w:rFonts w:ascii="David" w:eastAsia="Times New Roman" w:hAnsi="David"/>
          <w:kern w:val="0"/>
          <w:lang w:val="en-US"/>
          <w14:ligatures w14:val="none"/>
        </w:rPr>
      </w:pPr>
      <w:r>
        <w:rPr>
          <w:rFonts w:ascii="David" w:eastAsia="Times New Roman" w:hAnsi="David"/>
          <w:kern w:val="0"/>
          <w:lang w:val="en-US"/>
          <w14:ligatures w14:val="none"/>
        </w:rPr>
        <w:tab/>
      </w:r>
      <w:r w:rsidR="009B587E">
        <w:rPr>
          <w:rFonts w:ascii="David" w:eastAsia="Times New Roman" w:hAnsi="David"/>
          <w:kern w:val="0"/>
          <w:lang w:val="en-US"/>
          <w14:ligatures w14:val="none"/>
        </w:rPr>
        <w:t>Studies have found a correlation between CSA and general loneliness in adulthood (</w:t>
      </w:r>
      <w:r w:rsidR="008734CB">
        <w:rPr>
          <w:rFonts w:ascii="David" w:eastAsia="Times New Roman" w:hAnsi="David"/>
          <w:kern w:val="0"/>
          <w:lang w:val="en-US"/>
          <w14:ligatures w14:val="none"/>
        </w:rPr>
        <w:t>Gibson &amp; Hartshorne, 1996; Kamiya et al., 2016; Shevlin et al., 2015). In the present study, we examined the hypothesis that this would be true also for the workplace.</w:t>
      </w:r>
    </w:p>
    <w:p w14:paraId="0E78042A" w14:textId="77777777" w:rsidR="008734CB" w:rsidRDefault="008734CB" w:rsidP="00BA5403">
      <w:pPr>
        <w:rPr>
          <w:rFonts w:ascii="David" w:eastAsia="Times New Roman" w:hAnsi="David"/>
          <w:kern w:val="0"/>
          <w:lang w:val="en-US"/>
          <w14:ligatures w14:val="none"/>
        </w:rPr>
      </w:pPr>
    </w:p>
    <w:p w14:paraId="355CEEB2" w14:textId="15D18C49" w:rsidR="008734CB" w:rsidRDefault="008734CB" w:rsidP="00BA5403">
      <w:pPr>
        <w:rPr>
          <w:rFonts w:ascii="David" w:eastAsia="Times New Roman" w:hAnsi="David"/>
          <w:kern w:val="0"/>
          <w:lang w:val="en-US"/>
          <w14:ligatures w14:val="none"/>
        </w:rPr>
      </w:pPr>
      <w:r>
        <w:rPr>
          <w:rFonts w:ascii="David" w:eastAsia="Times New Roman" w:hAnsi="David"/>
          <w:b/>
          <w:bCs/>
          <w:kern w:val="0"/>
          <w:lang w:val="en-US"/>
          <w14:ligatures w14:val="none"/>
        </w:rPr>
        <w:t>CSA and aggression in the workplace</w:t>
      </w:r>
    </w:p>
    <w:p w14:paraId="3E17D43C" w14:textId="0513D901" w:rsidR="008734CB" w:rsidRDefault="00AB5455" w:rsidP="00BA5403">
      <w:pPr>
        <w:rPr>
          <w:lang w:val="en-US"/>
        </w:rPr>
      </w:pPr>
      <w:r>
        <w:rPr>
          <w:lang w:val="en-US"/>
        </w:rPr>
        <w:t>Aggression is defined as forceful behavior that is intended to cause harm to another person, who is trying to avoid that harm (Dewall et al., 2011).</w:t>
      </w:r>
    </w:p>
    <w:p w14:paraId="632890A5" w14:textId="45848930" w:rsidR="00AB5455" w:rsidRDefault="00AB5455" w:rsidP="00BA5403">
      <w:pPr>
        <w:rPr>
          <w:lang w:val="en-US"/>
        </w:rPr>
      </w:pPr>
      <w:r>
        <w:rPr>
          <w:lang w:val="en-US"/>
        </w:rPr>
        <w:tab/>
        <w:t xml:space="preserve">Aggression in the workplace is defined as negative actions that are taken against the institution or its members, </w:t>
      </w:r>
      <w:r w:rsidR="00F56DAA">
        <w:rPr>
          <w:lang w:val="en-US"/>
        </w:rPr>
        <w:t>leading</w:t>
      </w:r>
      <w:r>
        <w:rPr>
          <w:lang w:val="en-US"/>
        </w:rPr>
        <w:t xml:space="preserve"> the victims to try to avoid this (Bowling &amp; Hershcovis, 2017b).</w:t>
      </w:r>
    </w:p>
    <w:p w14:paraId="6F0BAA80" w14:textId="3C3123BE" w:rsidR="00AB5455" w:rsidRDefault="00AB5455" w:rsidP="00BA5403">
      <w:pPr>
        <w:rPr>
          <w:lang w:val="en-US"/>
        </w:rPr>
      </w:pPr>
      <w:r>
        <w:rPr>
          <w:lang w:val="en-US"/>
        </w:rPr>
        <w:tab/>
        <w:t>Studies show that individual factors may influence the level of aggression in the workplace. For example, hot-headedness, diligence, agreeableness, and emotional stability were all found to be related to aggression in the workplace (Hershcovis et al., 2007; Penney et al., 2017a). As far as we know, CSA has not yet been studied as a possible predictor of aggression in the workplace.</w:t>
      </w:r>
    </w:p>
    <w:p w14:paraId="62578CE1" w14:textId="4D2AF05E" w:rsidR="00186DE9" w:rsidRDefault="00E25505" w:rsidP="00BA5403">
      <w:pPr>
        <w:rPr>
          <w:rFonts w:ascii="David" w:eastAsia="Calibri" w:hAnsi="David"/>
          <w:color w:val="000000"/>
          <w:kern w:val="0"/>
          <w:lang w:val="en-US"/>
          <w14:ligatures w14:val="none"/>
        </w:rPr>
      </w:pPr>
      <w:r>
        <w:rPr>
          <w:lang w:val="en-US"/>
        </w:rPr>
        <w:tab/>
        <w:t>Aggression was also found to be one of the difficulties that CSA survivors face in interpersonal relations. These survivors have a greater chance of acting aggressively during their lives relative to people who had not experienced CSA (</w:t>
      </w:r>
      <w:sdt>
        <w:sdtPr>
          <w:rPr>
            <w:rFonts w:ascii="David" w:eastAsia="Calibri" w:hAnsi="David"/>
            <w:color w:val="000000"/>
            <w:kern w:val="0"/>
            <w:lang w:val="en-US"/>
            <w14:ligatures w14:val="none"/>
          </w:rPr>
          <w:tag w:val="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"/>
          <w:id w:val="-2071486851"/>
          <w:placeholder>
            <w:docPart w:val="292A83C5529649A6B67B261910A8E9AA"/>
          </w:placeholder>
        </w:sdtPr>
        <w:sdtContent>
          <w:r w:rsidRPr="00E25505">
            <w:rPr>
              <w:rFonts w:ascii="David" w:eastAsia="Calibri" w:hAnsi="David"/>
              <w:color w:val="000000"/>
              <w:kern w:val="0"/>
              <w:lang w:val="en-US"/>
              <w14:ligatures w14:val="none"/>
            </w:rPr>
            <w:t>Norton-Baker et al., 2019; Siegel, 2000; Trabold et al., 2015</w:t>
          </w:r>
        </w:sdtContent>
      </w:sdt>
      <w:r>
        <w:rPr>
          <w:rFonts w:ascii="David" w:eastAsia="Calibri" w:hAnsi="David"/>
          <w:color w:val="000000"/>
          <w:kern w:val="0"/>
          <w:lang w:val="en-US"/>
          <w14:ligatures w14:val="none"/>
        </w:rPr>
        <w:t xml:space="preserve">). </w:t>
      </w:r>
    </w:p>
    <w:p w14:paraId="4DB23AB4" w14:textId="2BB2A748" w:rsidR="00E25505" w:rsidRDefault="00E25505" w:rsidP="00BA5403">
      <w:pPr>
        <w:rPr>
          <w:rFonts w:ascii="David" w:eastAsia="Calibri" w:hAnsi="David"/>
          <w:color w:val="000000"/>
          <w:kern w:val="0"/>
          <w:lang w:val="en-US"/>
          <w14:ligatures w14:val="none"/>
        </w:rPr>
      </w:pPr>
      <w:r>
        <w:rPr>
          <w:rFonts w:ascii="David" w:eastAsia="Calibri" w:hAnsi="David"/>
          <w:color w:val="000000"/>
          <w:kern w:val="0"/>
          <w:lang w:val="en-US"/>
          <w14:ligatures w14:val="none"/>
        </w:rPr>
        <w:tab/>
        <w:t xml:space="preserve">In the present study, we tested the hypothesis that </w:t>
      </w:r>
      <w:commentRangeStart w:id="6"/>
      <w:r>
        <w:rPr>
          <w:rFonts w:ascii="David" w:eastAsia="Calibri" w:hAnsi="David"/>
          <w:color w:val="000000"/>
          <w:kern w:val="0"/>
          <w:lang w:val="en-US"/>
          <w14:ligatures w14:val="none"/>
        </w:rPr>
        <w:t>CSA survivors would display higher levels of aggression also in the workplace</w:t>
      </w:r>
      <w:commentRangeEnd w:id="6"/>
      <w:r w:rsidR="00F56DAA">
        <w:rPr>
          <w:rStyle w:val="CommentReference"/>
        </w:rPr>
        <w:commentReference w:id="6"/>
      </w:r>
      <w:r>
        <w:rPr>
          <w:rFonts w:ascii="David" w:eastAsia="Calibri" w:hAnsi="David"/>
          <w:color w:val="000000"/>
          <w:kern w:val="0"/>
          <w:lang w:val="en-US"/>
          <w14:ligatures w14:val="none"/>
        </w:rPr>
        <w:t>.</w:t>
      </w:r>
    </w:p>
    <w:p w14:paraId="3F976052" w14:textId="77777777" w:rsidR="00E25505" w:rsidRDefault="00E25505" w:rsidP="00BA5403">
      <w:pPr>
        <w:rPr>
          <w:rFonts w:ascii="David" w:eastAsia="Calibri" w:hAnsi="David"/>
          <w:color w:val="000000"/>
          <w:kern w:val="0"/>
          <w:lang w:val="en-US"/>
          <w14:ligatures w14:val="none"/>
        </w:rPr>
      </w:pPr>
    </w:p>
    <w:p w14:paraId="7F97791F" w14:textId="6B3712A6" w:rsidR="00E25505" w:rsidRDefault="00E25505" w:rsidP="00BA5403">
      <w:pPr>
        <w:rPr>
          <w:rFonts w:ascii="David" w:eastAsia="Calibri" w:hAnsi="David"/>
          <w:b/>
          <w:bCs/>
          <w:color w:val="000000"/>
          <w:kern w:val="0"/>
          <w:lang w:val="en-US"/>
          <w14:ligatures w14:val="none"/>
        </w:rPr>
      </w:pPr>
      <w:r>
        <w:rPr>
          <w:rFonts w:ascii="David" w:eastAsia="Calibri" w:hAnsi="David"/>
          <w:b/>
          <w:bCs/>
          <w:color w:val="000000"/>
          <w:kern w:val="0"/>
          <w:lang w:val="en-US"/>
          <w14:ligatures w14:val="none"/>
        </w:rPr>
        <w:t>Method</w:t>
      </w:r>
    </w:p>
    <w:p w14:paraId="575FC060" w14:textId="06D47B82" w:rsidR="00E25505" w:rsidRDefault="00E25505" w:rsidP="00BA5403">
      <w:pPr>
        <w:rPr>
          <w:rFonts w:ascii="David" w:eastAsia="Calibri" w:hAnsi="David"/>
          <w:color w:val="000000"/>
          <w:kern w:val="0"/>
          <w:lang w:val="en-US"/>
          <w14:ligatures w14:val="none"/>
        </w:rPr>
      </w:pPr>
      <w:r>
        <w:rPr>
          <w:rFonts w:ascii="David" w:eastAsia="Calibri" w:hAnsi="David"/>
          <w:b/>
          <w:bCs/>
          <w:color w:val="000000"/>
          <w:kern w:val="0"/>
          <w:lang w:val="en-US"/>
          <w14:ligatures w14:val="none"/>
        </w:rPr>
        <w:t>Participants</w:t>
      </w:r>
    </w:p>
    <w:p w14:paraId="3C13E24A" w14:textId="1BDFDF04" w:rsidR="00E25505" w:rsidRDefault="00F0406D" w:rsidP="00BA5403">
      <w:pPr>
        <w:rPr>
          <w:lang w:val="en-US"/>
        </w:rPr>
      </w:pPr>
      <w:r>
        <w:rPr>
          <w:lang w:val="en-US"/>
        </w:rPr>
        <w:t xml:space="preserve">Participants </w:t>
      </w:r>
      <w:r w:rsidR="00F56DAA">
        <w:rPr>
          <w:lang w:val="en-US"/>
        </w:rPr>
        <w:t>were</w:t>
      </w:r>
      <w:r>
        <w:rPr>
          <w:lang w:val="en-US"/>
        </w:rPr>
        <w:t xml:space="preserve"> 296 men (N=79) and women (N=217) over the age of 18, who </w:t>
      </w:r>
      <w:r w:rsidR="00F56DAA">
        <w:rPr>
          <w:lang w:val="en-US"/>
        </w:rPr>
        <w:t>were employed</w:t>
      </w:r>
      <w:r>
        <w:rPr>
          <w:lang w:val="en-US"/>
        </w:rPr>
        <w:t xml:space="preserve"> in their workplaces for over a year. We defined six research groups, based on data attained from an “identifying earlier traumatic events” questionnaire (Goodman et al., 1998): 23 women with no prior traumatic events, 114 women who had experienced a non-CSA traumatic event, 80 women who had experienced CSA, 9 men with no prior traumatic events, 58 men who had experienced a non-CSA traumatic event, and 12 men who had experienced CSA.</w:t>
      </w:r>
    </w:p>
    <w:p w14:paraId="139F6ED0" w14:textId="305B5894" w:rsidR="00F0406D" w:rsidRDefault="00F0406D" w:rsidP="00BA5403">
      <w:pPr>
        <w:rPr>
          <w:lang w:val="en-US"/>
        </w:rPr>
      </w:pPr>
      <w:r>
        <w:rPr>
          <w:lang w:val="en-US"/>
        </w:rPr>
        <w:tab/>
      </w:r>
      <w:r w:rsidR="00B20371">
        <w:rPr>
          <w:lang w:val="en-US"/>
        </w:rPr>
        <w:t xml:space="preserve">The study was conducted over a period of a year and a half. </w:t>
      </w:r>
      <w:r w:rsidR="005F183D">
        <w:rPr>
          <w:lang w:val="en-US"/>
        </w:rPr>
        <w:t>F</w:t>
      </w:r>
      <w:r w:rsidR="00B20371">
        <w:rPr>
          <w:lang w:val="en-US"/>
        </w:rPr>
        <w:t>irst</w:t>
      </w:r>
      <w:r w:rsidR="00F56DAA">
        <w:rPr>
          <w:lang w:val="en-US"/>
        </w:rPr>
        <w:t>,</w:t>
      </w:r>
      <w:r w:rsidR="00B20371">
        <w:rPr>
          <w:lang w:val="en-US"/>
        </w:rPr>
        <w:t xml:space="preserve"> we created a link to an online questionnaire (Qualtrics) and circulated it on relevant social media platforms. </w:t>
      </w:r>
      <w:r w:rsidR="00F56DAA">
        <w:rPr>
          <w:lang w:val="en-US"/>
        </w:rPr>
        <w:t>The link was also</w:t>
      </w:r>
      <w:r w:rsidR="00B20371">
        <w:rPr>
          <w:lang w:val="en-US"/>
        </w:rPr>
        <w:t xml:space="preserve"> posted on websites and forums related to the topic, and circulated by the researcher among her friends, </w:t>
      </w:r>
      <w:r w:rsidR="00F56DAA">
        <w:rPr>
          <w:lang w:val="en-US"/>
        </w:rPr>
        <w:t>gaining</w:t>
      </w:r>
      <w:r w:rsidR="00B20371">
        <w:rPr>
          <w:lang w:val="en-US"/>
        </w:rPr>
        <w:t xml:space="preserve"> a sort of </w:t>
      </w:r>
      <w:r w:rsidR="00F56DAA">
        <w:rPr>
          <w:lang w:val="en-US"/>
        </w:rPr>
        <w:t>‘</w:t>
      </w:r>
      <w:r w:rsidR="00B20371">
        <w:rPr>
          <w:lang w:val="en-US"/>
        </w:rPr>
        <w:t>snowball</w:t>
      </w:r>
      <w:r w:rsidR="00F56DAA">
        <w:rPr>
          <w:lang w:val="en-US"/>
        </w:rPr>
        <w:t>’</w:t>
      </w:r>
      <w:r w:rsidR="00B20371">
        <w:rPr>
          <w:lang w:val="en-US"/>
        </w:rPr>
        <w:t xml:space="preserve"> effect. Most of the questionnaires were completed during the first months of collation, where an initial analysis showed that there was an inadequate representation of CSA survivors. We then turned to the research department at the Welfare Ministry, which approved our request to appeal directly to welfare centers for sexual abuse throughout the country. 50 </w:t>
      </w:r>
      <w:r w:rsidR="00F56DAA">
        <w:rPr>
          <w:lang w:val="en-US"/>
        </w:rPr>
        <w:t xml:space="preserve">such </w:t>
      </w:r>
      <w:r w:rsidR="00B20371">
        <w:rPr>
          <w:lang w:val="en-US"/>
        </w:rPr>
        <w:t>patients in these centers filled out the questionnaire.</w:t>
      </w:r>
    </w:p>
    <w:p w14:paraId="39FCD5B0" w14:textId="77777777" w:rsidR="00B20371" w:rsidRDefault="00B20371" w:rsidP="00BA5403">
      <w:pPr>
        <w:rPr>
          <w:lang w:val="en-US"/>
        </w:rPr>
      </w:pPr>
    </w:p>
    <w:p w14:paraId="67680D2B" w14:textId="49C8CD1E" w:rsidR="00B20371" w:rsidRDefault="005F183D" w:rsidP="00BA5403">
      <w:pPr>
        <w:rPr>
          <w:lang w:val="en-US"/>
        </w:rPr>
      </w:pPr>
      <w:r>
        <w:rPr>
          <w:b/>
          <w:bCs/>
          <w:lang w:val="en-US"/>
        </w:rPr>
        <w:t>Materials</w:t>
      </w:r>
    </w:p>
    <w:p w14:paraId="27ED6625" w14:textId="2E971C70" w:rsidR="005F183D" w:rsidRDefault="005F183D" w:rsidP="00B41794">
      <w:pPr>
        <w:rPr>
          <w:lang w:val="en-US"/>
        </w:rPr>
      </w:pPr>
      <w:commentRangeStart w:id="7"/>
      <w:r>
        <w:rPr>
          <w:b/>
          <w:bCs/>
          <w:lang w:val="en-US"/>
        </w:rPr>
        <w:t>Questionnaire for identifying earlier traumatic events (SLESQ)</w:t>
      </w:r>
      <w:r>
        <w:rPr>
          <w:lang w:val="en-US"/>
        </w:rPr>
        <w:t xml:space="preserve"> </w:t>
      </w:r>
      <w:commentRangeEnd w:id="7"/>
      <w:r w:rsidR="002407BF">
        <w:rPr>
          <w:rStyle w:val="CommentReference"/>
        </w:rPr>
        <w:commentReference w:id="7"/>
      </w:r>
      <w:r>
        <w:rPr>
          <w:lang w:val="en-US"/>
        </w:rPr>
        <w:t xml:space="preserve">(Goodman et al., 1998). This questionnaire </w:t>
      </w:r>
      <w:r w:rsidR="00930365">
        <w:rPr>
          <w:lang w:val="en-US"/>
        </w:rPr>
        <w:t>is designed</w:t>
      </w:r>
      <w:r>
        <w:rPr>
          <w:lang w:val="en-US"/>
        </w:rPr>
        <w:t xml:space="preserve"> to identify exposure to prior traumatic events. It comprises 13 sections. 11 questions examine exposure to a specific event</w:t>
      </w:r>
      <w:r w:rsidR="00930365">
        <w:rPr>
          <w:lang w:val="en-US"/>
        </w:rPr>
        <w:t xml:space="preserve">, such as </w:t>
      </w:r>
      <w:r>
        <w:rPr>
          <w:lang w:val="en-US"/>
        </w:rPr>
        <w:t xml:space="preserve">violence, illness, </w:t>
      </w:r>
      <w:r w:rsidR="00930365">
        <w:rPr>
          <w:lang w:val="en-US"/>
        </w:rPr>
        <w:t xml:space="preserve">or </w:t>
      </w:r>
      <w:r>
        <w:rPr>
          <w:lang w:val="en-US"/>
        </w:rPr>
        <w:t>accidents. For example: “Have you ever been involved in a life-threatening accident?”. Participants who responded positively were requested to note their age at the time of the event, a description of the event, the level of exposure and injury, the number of occurrences or its duration, details of the aggressor</w:t>
      </w:r>
      <w:r w:rsidR="00EB049F">
        <w:rPr>
          <w:lang w:val="en-US"/>
        </w:rPr>
        <w:t>,</w:t>
      </w:r>
      <w:r>
        <w:rPr>
          <w:lang w:val="en-US"/>
        </w:rPr>
        <w:t xml:space="preserve"> and the level of perceived </w:t>
      </w:r>
      <w:r w:rsidR="00EB049F">
        <w:rPr>
          <w:lang w:val="en-US"/>
        </w:rPr>
        <w:t xml:space="preserve">terror. The authors of the questionnaire tested its reliability by </w:t>
      </w:r>
      <w:commentRangeStart w:id="8"/>
      <w:r w:rsidR="00EB049F">
        <w:rPr>
          <w:lang w:val="en-US"/>
        </w:rPr>
        <w:t>retesting</w:t>
      </w:r>
      <w:commentRangeEnd w:id="8"/>
      <w:r w:rsidR="00EB049F">
        <w:rPr>
          <w:rStyle w:val="CommentReference"/>
        </w:rPr>
        <w:commentReference w:id="8"/>
      </w:r>
      <w:r w:rsidR="00EB049F">
        <w:rPr>
          <w:lang w:val="en-US"/>
        </w:rPr>
        <w:t xml:space="preserve">. The average of sections yielded a score of k=0.73, showing the test to be reliable, with a convergent validity of 0.64. </w:t>
      </w:r>
      <w:r w:rsidR="00873D00">
        <w:rPr>
          <w:lang w:val="en-US"/>
        </w:rPr>
        <w:t xml:space="preserve">Participants’ responses to this questionnaire yielded three experimental groups: 1. People who had not been exposed to a traumatic event; 2. People who had experienced a non-CSA traumatic event; and 3. People </w:t>
      </w:r>
      <w:r w:rsidR="00B41794">
        <w:rPr>
          <w:lang w:val="en-US"/>
        </w:rPr>
        <w:t>who</w:t>
      </w:r>
      <w:r w:rsidR="00873D00">
        <w:rPr>
          <w:lang w:val="en-US"/>
        </w:rPr>
        <w:t xml:space="preserve"> had experienced </w:t>
      </w:r>
      <w:r w:rsidR="00C5724E">
        <w:rPr>
          <w:lang w:val="en-US"/>
        </w:rPr>
        <w:t>recurrent</w:t>
      </w:r>
      <w:r w:rsidR="00873D00">
        <w:rPr>
          <w:lang w:val="en-US"/>
        </w:rPr>
        <w:t xml:space="preserve"> </w:t>
      </w:r>
      <w:r w:rsidR="00B41794">
        <w:rPr>
          <w:lang w:val="en-US"/>
        </w:rPr>
        <w:t>sexual abuse in their childhood (respondents who answered questions 5-7 as relating to a</w:t>
      </w:r>
      <w:r w:rsidR="00930365">
        <w:rPr>
          <w:lang w:val="en-US"/>
        </w:rPr>
        <w:t>n ongoing</w:t>
      </w:r>
      <w:r w:rsidR="00B41794">
        <w:rPr>
          <w:lang w:val="en-US"/>
        </w:rPr>
        <w:t xml:space="preserve"> event, </w:t>
      </w:r>
      <w:r w:rsidR="00930365">
        <w:rPr>
          <w:lang w:val="en-US"/>
        </w:rPr>
        <w:t>describing</w:t>
      </w:r>
      <w:r w:rsidR="00B41794">
        <w:rPr>
          <w:lang w:val="en-US"/>
        </w:rPr>
        <w:t xml:space="preserve"> the situation as one in which the victim could not distance him/herself from the aggressor). </w:t>
      </w:r>
      <w:r w:rsidR="006175CE">
        <w:rPr>
          <w:lang w:val="en-US"/>
        </w:rPr>
        <w:t>Respondents described the character of the event in a</w:t>
      </w:r>
      <w:r w:rsidR="00B41794">
        <w:rPr>
          <w:lang w:val="en-US"/>
        </w:rPr>
        <w:t>n open</w:t>
      </w:r>
      <w:r w:rsidR="006175CE">
        <w:rPr>
          <w:lang w:val="en-US"/>
        </w:rPr>
        <w:t>-ended</w:t>
      </w:r>
      <w:r w:rsidR="00B41794">
        <w:rPr>
          <w:lang w:val="en-US"/>
        </w:rPr>
        <w:t xml:space="preserve"> question</w:t>
      </w:r>
      <w:r w:rsidR="006175CE">
        <w:rPr>
          <w:lang w:val="en-US"/>
        </w:rPr>
        <w:t>, where they were instructed</w:t>
      </w:r>
      <w:r w:rsidR="00B41794">
        <w:rPr>
          <w:lang w:val="en-US"/>
        </w:rPr>
        <w:t xml:space="preserve"> to relate to the event </w:t>
      </w:r>
      <w:r w:rsidR="006175CE">
        <w:rPr>
          <w:lang w:val="en-US"/>
        </w:rPr>
        <w:t>that they had felt was the</w:t>
      </w:r>
      <w:r w:rsidR="00B41794">
        <w:rPr>
          <w:lang w:val="en-US"/>
        </w:rPr>
        <w:t xml:space="preserve"> most traumatic. When two such events were mentioned, </w:t>
      </w:r>
      <w:r w:rsidR="006175CE">
        <w:rPr>
          <w:lang w:val="en-US"/>
        </w:rPr>
        <w:t xml:space="preserve">we included </w:t>
      </w:r>
      <w:r w:rsidR="00B41794">
        <w:rPr>
          <w:lang w:val="en-US"/>
        </w:rPr>
        <w:t>the event relating to sexual abuse or domestic violence.</w:t>
      </w:r>
    </w:p>
    <w:p w14:paraId="0BED3DB9" w14:textId="5803A4F8" w:rsidR="00B41794" w:rsidRDefault="00B8510A" w:rsidP="0025587E">
      <w:pPr>
        <w:ind w:firstLine="720"/>
        <w:rPr>
          <w:rFonts w:asciiTheme="majorBidi" w:eastAsia="Calibri" w:hAnsiTheme="majorBidi" w:cstheme="majorBidi"/>
          <w:kern w:val="0"/>
          <w:lang w:val="en-US"/>
          <w14:ligatures w14:val="none"/>
        </w:rPr>
      </w:pPr>
      <w:r w:rsidRPr="00240107">
        <w:rPr>
          <w:rFonts w:asciiTheme="majorBidi" w:hAnsiTheme="majorBidi" w:cstheme="majorBidi"/>
          <w:b/>
          <w:bCs/>
          <w:lang w:val="en-US"/>
        </w:rPr>
        <w:t>Loneliness in the workplace</w:t>
      </w:r>
      <w:r w:rsidRPr="00240107">
        <w:rPr>
          <w:rFonts w:asciiTheme="majorBidi" w:hAnsiTheme="majorBidi" w:cstheme="majorBidi"/>
          <w:lang w:val="en-US"/>
        </w:rPr>
        <w:t xml:space="preserve">: The UCLA scale for social loneliness (Russell et al., 1980) is designed to measure loneliness by self-report. It comprises twenty items, half of which reflect satisfaction from social relationships, such as “There are people I can turn to,” and the other half describe dissatisfaction, such as “I feel like I am not part of things.” Participants are instructed to rate each statement according to their own experience, on a scale from </w:t>
      </w:r>
      <w:r w:rsidR="002407BF">
        <w:rPr>
          <w:rFonts w:asciiTheme="majorBidi" w:hAnsiTheme="majorBidi" w:cstheme="majorBidi"/>
          <w:lang w:val="en-US"/>
        </w:rPr>
        <w:t xml:space="preserve">1 = </w:t>
      </w:r>
      <w:r w:rsidRPr="00240107">
        <w:rPr>
          <w:rFonts w:asciiTheme="majorBidi" w:hAnsiTheme="majorBidi" w:cstheme="majorBidi"/>
          <w:lang w:val="en-US"/>
        </w:rPr>
        <w:t>‘not at all’ to</w:t>
      </w:r>
      <w:r w:rsidR="002407BF">
        <w:rPr>
          <w:rFonts w:asciiTheme="majorBidi" w:hAnsiTheme="majorBidi" w:cstheme="majorBidi"/>
          <w:lang w:val="en-US"/>
        </w:rPr>
        <w:t xml:space="preserve"> 4 =</w:t>
      </w:r>
      <w:r w:rsidRPr="00240107">
        <w:rPr>
          <w:rFonts w:asciiTheme="majorBidi" w:hAnsiTheme="majorBidi" w:cstheme="majorBidi"/>
          <w:lang w:val="en-US"/>
        </w:rPr>
        <w:t xml:space="preserve"> ‘to a great extent’. After reversing the positive items, each participant received a score based on the average of all the items, such that a higher score reflects greater loneliness. This questionnaire yielded high internal consistency (</w:t>
      </w:r>
      <w:r w:rsidRPr="00240107">
        <w:rPr>
          <w:rFonts w:asciiTheme="majorBidi" w:eastAsia="Calibri" w:hAnsiTheme="majorBidi" w:cstheme="majorBidi"/>
          <w:kern w:val="0"/>
          <w:lang w:val="en-US"/>
          <w14:ligatures w14:val="none"/>
        </w:rPr>
        <w:t xml:space="preserve">α= 0.92) and good retest </w:t>
      </w:r>
      <w:r w:rsidR="00240107" w:rsidRPr="00240107">
        <w:rPr>
          <w:rFonts w:asciiTheme="majorBidi" w:eastAsia="Calibri" w:hAnsiTheme="majorBidi" w:cstheme="majorBidi"/>
          <w:kern w:val="0"/>
          <w:lang w:val="en-US"/>
          <w14:ligatures w14:val="none"/>
        </w:rPr>
        <w:t>reliability 12 months later (the correlation between the two was 0.73). Previous use of the Hebrew version of this questionnaire in other studies yielded similar psychometric values (Solomon, 1993). In the present study, participants were asked to respond concerning their relationships at work. This yielded high internal consistency</w:t>
      </w:r>
      <w:r w:rsidR="002407BF">
        <w:rPr>
          <w:rFonts w:asciiTheme="majorBidi" w:eastAsia="Calibri" w:hAnsiTheme="majorBidi" w:cstheme="majorBidi"/>
          <w:kern w:val="0"/>
          <w:lang w:val="en-US"/>
          <w14:ligatures w14:val="none"/>
        </w:rPr>
        <w:t xml:space="preserve"> as well</w:t>
      </w:r>
      <w:r w:rsidR="00240107" w:rsidRPr="00240107">
        <w:rPr>
          <w:rFonts w:asciiTheme="majorBidi" w:eastAsia="Calibri" w:hAnsiTheme="majorBidi" w:cstheme="majorBidi"/>
          <w:kern w:val="0"/>
          <w:lang w:val="en-US"/>
          <w14:ligatures w14:val="none"/>
        </w:rPr>
        <w:t xml:space="preserve">, α= 0.91 (see </w:t>
      </w:r>
      <w:commentRangeStart w:id="9"/>
      <w:r w:rsidR="00240107" w:rsidRPr="00240107">
        <w:rPr>
          <w:rFonts w:asciiTheme="majorBidi" w:eastAsia="Calibri" w:hAnsiTheme="majorBidi" w:cstheme="majorBidi"/>
          <w:kern w:val="0"/>
          <w:lang w:val="en-US"/>
          <w14:ligatures w14:val="none"/>
        </w:rPr>
        <w:t>Appendix 4</w:t>
      </w:r>
      <w:commentRangeEnd w:id="9"/>
      <w:r w:rsidR="002407BF">
        <w:rPr>
          <w:rStyle w:val="CommentReference"/>
        </w:rPr>
        <w:commentReference w:id="9"/>
      </w:r>
      <w:r w:rsidR="00240107" w:rsidRPr="00240107">
        <w:rPr>
          <w:rFonts w:asciiTheme="majorBidi" w:eastAsia="Calibri" w:hAnsiTheme="majorBidi" w:cstheme="majorBidi"/>
          <w:kern w:val="0"/>
          <w:lang w:val="en-US"/>
          <w14:ligatures w14:val="none"/>
        </w:rPr>
        <w:t>).</w:t>
      </w:r>
    </w:p>
    <w:p w14:paraId="5F49AF5A" w14:textId="3D6ACB24" w:rsidR="00240107" w:rsidRPr="00A2242C" w:rsidRDefault="0025587E" w:rsidP="00B41794">
      <w:pPr>
        <w:rPr>
          <w:rFonts w:asciiTheme="majorBidi" w:eastAsia="Calibri" w:hAnsiTheme="majorBidi" w:cstheme="majorBidi"/>
          <w:kern w:val="0"/>
          <w:lang w:val="en-US"/>
          <w14:ligatures w14:val="none"/>
        </w:rPr>
      </w:pPr>
      <w:r>
        <w:rPr>
          <w:rFonts w:asciiTheme="majorBidi" w:eastAsia="Calibri" w:hAnsiTheme="majorBidi" w:cstheme="majorBidi"/>
          <w:kern w:val="0"/>
          <w:lang w:val="en-US"/>
          <w14:ligatures w14:val="none"/>
        </w:rPr>
        <w:tab/>
      </w:r>
      <w:r>
        <w:rPr>
          <w:rFonts w:asciiTheme="majorBidi" w:eastAsia="Calibri" w:hAnsiTheme="majorBidi" w:cstheme="majorBidi"/>
          <w:b/>
          <w:bCs/>
          <w:kern w:val="0"/>
          <w:lang w:val="en-US"/>
          <w14:ligatures w14:val="none"/>
        </w:rPr>
        <w:t>Measuring aggression in the workplace</w:t>
      </w:r>
      <w:r>
        <w:rPr>
          <w:rFonts w:asciiTheme="majorBidi" w:eastAsia="Calibri" w:hAnsiTheme="majorBidi" w:cstheme="majorBidi"/>
          <w:kern w:val="0"/>
          <w:lang w:val="en-US"/>
          <w14:ligatures w14:val="none"/>
        </w:rPr>
        <w:t xml:space="preserve">: </w:t>
      </w:r>
      <w:r w:rsidR="002407BF">
        <w:rPr>
          <w:rFonts w:asciiTheme="majorBidi" w:eastAsia="Calibri" w:hAnsiTheme="majorBidi" w:cstheme="majorBidi"/>
          <w:kern w:val="0"/>
          <w:lang w:val="en-US"/>
          <w14:ligatures w14:val="none"/>
        </w:rPr>
        <w:t xml:space="preserve">We used a </w:t>
      </w:r>
      <w:r>
        <w:rPr>
          <w:rFonts w:asciiTheme="majorBidi" w:eastAsia="Calibri" w:hAnsiTheme="majorBidi" w:cstheme="majorBidi"/>
          <w:kern w:val="0"/>
          <w:lang w:val="en-US"/>
          <w14:ligatures w14:val="none"/>
        </w:rPr>
        <w:t xml:space="preserve">questionnaire (AQ-Aggression Questionnaire-Short Form, [Bryant &amp; Smith, 2001]) </w:t>
      </w:r>
      <w:r w:rsidR="002407BF">
        <w:rPr>
          <w:rFonts w:asciiTheme="majorBidi" w:eastAsia="Calibri" w:hAnsiTheme="majorBidi" w:cstheme="majorBidi"/>
          <w:kern w:val="0"/>
          <w:lang w:val="en-US"/>
          <w14:ligatures w14:val="none"/>
        </w:rPr>
        <w:t>that is</w:t>
      </w:r>
      <w:r>
        <w:rPr>
          <w:rFonts w:asciiTheme="majorBidi" w:eastAsia="Calibri" w:hAnsiTheme="majorBidi" w:cstheme="majorBidi"/>
          <w:kern w:val="0"/>
          <w:lang w:val="en-US"/>
          <w14:ligatures w14:val="none"/>
        </w:rPr>
        <w:t xml:space="preserve"> based on a</w:t>
      </w:r>
      <w:r w:rsidR="002407BF">
        <w:rPr>
          <w:rFonts w:asciiTheme="majorBidi" w:eastAsia="Calibri" w:hAnsiTheme="majorBidi" w:cstheme="majorBidi"/>
          <w:kern w:val="0"/>
          <w:lang w:val="en-US"/>
          <w14:ligatures w14:val="none"/>
        </w:rPr>
        <w:t xml:space="preserve"> 29-item</w:t>
      </w:r>
      <w:r>
        <w:rPr>
          <w:rFonts w:asciiTheme="majorBidi" w:eastAsia="Calibri" w:hAnsiTheme="majorBidi" w:cstheme="majorBidi"/>
          <w:kern w:val="0"/>
          <w:lang w:val="en-US"/>
          <w14:ligatures w14:val="none"/>
        </w:rPr>
        <w:t xml:space="preserve"> aggression questionnaire (Buss &amp; Pery, 1992; Kiewitz &amp; Weaver, 2007). A factor analysis yielded an abridged form with 12 items, with a high </w:t>
      </w:r>
      <w:r w:rsidR="00E175E0">
        <w:rPr>
          <w:rFonts w:asciiTheme="majorBidi" w:eastAsia="Calibri" w:hAnsiTheme="majorBidi" w:cstheme="majorBidi"/>
          <w:kern w:val="0"/>
          <w:lang w:val="en-US"/>
          <w14:ligatures w14:val="none"/>
        </w:rPr>
        <w:t>measure of fit</w:t>
      </w:r>
      <w:r>
        <w:rPr>
          <w:rFonts w:asciiTheme="majorBidi" w:eastAsia="Calibri" w:hAnsiTheme="majorBidi" w:cstheme="majorBidi"/>
          <w:kern w:val="0"/>
          <w:lang w:val="en-US"/>
          <w14:ligatures w14:val="none"/>
        </w:rPr>
        <w:t xml:space="preserve"> (GFI = .94) between the four components (physical aggression, verbal aggression, rage, and hostility)</w:t>
      </w:r>
      <w:r w:rsidR="00E175E0">
        <w:rPr>
          <w:rFonts w:asciiTheme="majorBidi" w:eastAsia="Calibri" w:hAnsiTheme="majorBidi" w:cstheme="majorBidi"/>
          <w:kern w:val="0"/>
          <w:lang w:val="en-US"/>
          <w14:ligatures w14:val="none"/>
        </w:rPr>
        <w:t xml:space="preserve">. This model was formulated on two American samples using the abridged version. The </w:t>
      </w:r>
      <w:r w:rsidR="00A2242C">
        <w:rPr>
          <w:rFonts w:asciiTheme="majorBidi" w:eastAsia="Calibri" w:hAnsiTheme="majorBidi" w:cstheme="majorBidi"/>
          <w:kern w:val="0"/>
          <w:lang w:val="en-US"/>
          <w14:ligatures w14:val="none"/>
        </w:rPr>
        <w:t xml:space="preserve">correlation coefficients for the two samples were generally good: physical aggression (.79, .80), verbal aggression (.83, .80), rage (.76, .76), and hostility (.75, .70). Further analyses supplied support for the model’s structural validity and showed a strong discriminant validity for the ‘hostility’ factor in the abridged version in comparison with the previous </w:t>
      </w:r>
      <w:commentRangeStart w:id="10"/>
      <w:r w:rsidR="00A2242C">
        <w:rPr>
          <w:rFonts w:asciiTheme="majorBidi" w:eastAsia="Calibri" w:hAnsiTheme="majorBidi" w:cstheme="majorBidi"/>
          <w:kern w:val="0"/>
          <w:lang w:val="en-US"/>
          <w14:ligatures w14:val="none"/>
        </w:rPr>
        <w:t>ones</w:t>
      </w:r>
      <w:commentRangeEnd w:id="10"/>
      <w:r w:rsidR="00A2242C">
        <w:rPr>
          <w:rStyle w:val="CommentReference"/>
          <w:rtl/>
        </w:rPr>
        <w:commentReference w:id="10"/>
      </w:r>
      <w:r w:rsidR="00A2242C">
        <w:rPr>
          <w:rFonts w:asciiTheme="majorBidi" w:eastAsia="Calibri" w:hAnsiTheme="majorBidi" w:cstheme="majorBidi"/>
          <w:kern w:val="0"/>
          <w:lang w:val="en-US"/>
          <w14:ligatures w14:val="none"/>
        </w:rPr>
        <w:t>. For this study, the ‘</w:t>
      </w:r>
      <w:commentRangeStart w:id="11"/>
      <w:r w:rsidR="00A2242C">
        <w:rPr>
          <w:rFonts w:asciiTheme="majorBidi" w:eastAsia="Calibri" w:hAnsiTheme="majorBidi" w:cstheme="majorBidi"/>
          <w:kern w:val="0"/>
          <w:lang w:val="en-US"/>
          <w14:ligatures w14:val="none"/>
        </w:rPr>
        <w:t xml:space="preserve">there and back’ </w:t>
      </w:r>
      <w:commentRangeEnd w:id="11"/>
      <w:r w:rsidR="00A2242C">
        <w:rPr>
          <w:rStyle w:val="CommentReference"/>
        </w:rPr>
        <w:commentReference w:id="11"/>
      </w:r>
      <w:r w:rsidR="00A2242C">
        <w:rPr>
          <w:rFonts w:asciiTheme="majorBidi" w:eastAsia="Calibri" w:hAnsiTheme="majorBidi" w:cstheme="majorBidi"/>
          <w:kern w:val="0"/>
          <w:lang w:val="en-US"/>
          <w14:ligatures w14:val="none"/>
        </w:rPr>
        <w:t xml:space="preserve">questionnaire was translated into Hebrew, and participants were asked to respond within the context of their work relations. The current study yielded </w:t>
      </w:r>
      <w:commentRangeStart w:id="12"/>
      <w:r w:rsidR="00A2242C">
        <w:rPr>
          <w:rFonts w:asciiTheme="majorBidi" w:eastAsia="Calibri" w:hAnsiTheme="majorBidi" w:cstheme="majorBidi"/>
          <w:kern w:val="0"/>
          <w:lang w:val="en-US"/>
          <w14:ligatures w14:val="none"/>
        </w:rPr>
        <w:t xml:space="preserve">good internal </w:t>
      </w:r>
      <w:r w:rsidR="00A2242C" w:rsidRPr="00A2242C">
        <w:rPr>
          <w:rFonts w:asciiTheme="majorBidi" w:eastAsia="Calibri" w:hAnsiTheme="majorBidi" w:cstheme="majorBidi"/>
          <w:kern w:val="0"/>
          <w:lang w:val="en-US"/>
          <w14:ligatures w14:val="none"/>
        </w:rPr>
        <w:t xml:space="preserve">consistency </w:t>
      </w:r>
      <w:commentRangeEnd w:id="12"/>
      <w:r w:rsidR="00A2242C">
        <w:rPr>
          <w:rStyle w:val="CommentReference"/>
        </w:rPr>
        <w:commentReference w:id="12"/>
      </w:r>
      <w:r w:rsidR="00A2242C" w:rsidRPr="00A2242C">
        <w:rPr>
          <w:rFonts w:asciiTheme="majorBidi" w:eastAsia="Calibri" w:hAnsiTheme="majorBidi" w:cstheme="majorBidi"/>
          <w:kern w:val="0"/>
          <w:lang w:val="en-US"/>
          <w14:ligatures w14:val="none"/>
        </w:rPr>
        <w:t xml:space="preserve">(α = 0.81) </w:t>
      </w:r>
      <w:commentRangeStart w:id="13"/>
      <w:r w:rsidR="00A2242C" w:rsidRPr="00A2242C">
        <w:rPr>
          <w:rFonts w:asciiTheme="majorBidi" w:eastAsia="Calibri" w:hAnsiTheme="majorBidi" w:cstheme="majorBidi"/>
          <w:kern w:val="0"/>
          <w:lang w:val="en-US"/>
          <w14:ligatures w14:val="none"/>
        </w:rPr>
        <w:t>(see Appendix 5).</w:t>
      </w:r>
      <w:commentRangeEnd w:id="13"/>
      <w:r w:rsidR="002407BF">
        <w:rPr>
          <w:rStyle w:val="CommentReference"/>
        </w:rPr>
        <w:commentReference w:id="13"/>
      </w:r>
    </w:p>
    <w:p w14:paraId="6507F030" w14:textId="77777777" w:rsidR="00240107" w:rsidRPr="00B8510A" w:rsidRDefault="00240107" w:rsidP="00B41794">
      <w:pPr>
        <w:rPr>
          <w:rFonts w:asciiTheme="majorBidi" w:hAnsiTheme="majorBidi" w:cstheme="majorBidi"/>
          <w:lang w:val="en-US"/>
        </w:rPr>
      </w:pPr>
    </w:p>
    <w:p w14:paraId="5CA3C123" w14:textId="5B989904" w:rsidR="005F183D" w:rsidRDefault="005F183D" w:rsidP="00BA5403">
      <w:pPr>
        <w:rPr>
          <w:lang w:val="en-US"/>
        </w:rPr>
      </w:pPr>
      <w:r>
        <w:rPr>
          <w:b/>
          <w:bCs/>
          <w:lang w:val="en-US"/>
        </w:rPr>
        <w:t>Results</w:t>
      </w:r>
    </w:p>
    <w:p w14:paraId="42F03470" w14:textId="16D9379A" w:rsidR="00A375D6" w:rsidRDefault="00A375D6" w:rsidP="00BA5403">
      <w:pPr>
        <w:rPr>
          <w:lang w:val="en-US"/>
        </w:rPr>
      </w:pPr>
      <w:r>
        <w:rPr>
          <w:lang w:val="en-US"/>
        </w:rPr>
        <w:t>Table 1: Participants’ demographics, by group (N = 296)</w:t>
      </w:r>
    </w:p>
    <w:tbl>
      <w:tblPr>
        <w:tblStyle w:val="TableGrid"/>
        <w:tblW w:w="0" w:type="auto"/>
        <w:tblLook w:val="04A0" w:firstRow="1" w:lastRow="0" w:firstColumn="1" w:lastColumn="0" w:noHBand="0" w:noVBand="1"/>
      </w:tblPr>
      <w:tblGrid>
        <w:gridCol w:w="1951"/>
        <w:gridCol w:w="1276"/>
        <w:gridCol w:w="1368"/>
        <w:gridCol w:w="1532"/>
        <w:gridCol w:w="1636"/>
        <w:gridCol w:w="1479"/>
      </w:tblGrid>
      <w:tr w:rsidR="00A375D6" w14:paraId="3FFE1CB0" w14:textId="77777777" w:rsidTr="007C5C73">
        <w:tc>
          <w:tcPr>
            <w:tcW w:w="1951" w:type="dxa"/>
          </w:tcPr>
          <w:p w14:paraId="6FCFB608" w14:textId="77777777" w:rsidR="00A375D6" w:rsidRDefault="00A375D6" w:rsidP="00BA5403">
            <w:pPr>
              <w:rPr>
                <w:lang w:val="en-US"/>
              </w:rPr>
            </w:pPr>
          </w:p>
        </w:tc>
        <w:tc>
          <w:tcPr>
            <w:tcW w:w="1276" w:type="dxa"/>
          </w:tcPr>
          <w:p w14:paraId="60FE8F6D" w14:textId="77777777" w:rsidR="00A375D6" w:rsidRDefault="00A375D6" w:rsidP="00BA5403">
            <w:pPr>
              <w:rPr>
                <w:lang w:val="en-US"/>
              </w:rPr>
            </w:pPr>
            <w:r>
              <w:rPr>
                <w:lang w:val="en-US"/>
              </w:rPr>
              <w:t>Total</w:t>
            </w:r>
          </w:p>
          <w:p w14:paraId="0E873E61" w14:textId="70BF7CE3" w:rsidR="00A375D6" w:rsidRDefault="00A375D6" w:rsidP="00BA5403">
            <w:pPr>
              <w:rPr>
                <w:lang w:val="en-US"/>
              </w:rPr>
            </w:pPr>
            <w:r>
              <w:rPr>
                <w:lang w:val="en-US"/>
              </w:rPr>
              <w:t>(N = 296)</w:t>
            </w:r>
          </w:p>
        </w:tc>
        <w:tc>
          <w:tcPr>
            <w:tcW w:w="1368" w:type="dxa"/>
          </w:tcPr>
          <w:p w14:paraId="61C4061C" w14:textId="77777777" w:rsidR="00A375D6" w:rsidRDefault="00A375D6" w:rsidP="00BA5403">
            <w:pPr>
              <w:rPr>
                <w:lang w:val="en-US"/>
              </w:rPr>
            </w:pPr>
            <w:r>
              <w:rPr>
                <w:lang w:val="en-US"/>
              </w:rPr>
              <w:t>No trauma</w:t>
            </w:r>
          </w:p>
          <w:p w14:paraId="7570D13F" w14:textId="161EDD8A" w:rsidR="00A375D6" w:rsidRDefault="00A375D6" w:rsidP="00BA5403">
            <w:pPr>
              <w:rPr>
                <w:lang w:val="en-US"/>
              </w:rPr>
            </w:pPr>
            <w:r>
              <w:rPr>
                <w:lang w:val="en-US"/>
              </w:rPr>
              <w:t>(N = 32)</w:t>
            </w:r>
          </w:p>
        </w:tc>
        <w:tc>
          <w:tcPr>
            <w:tcW w:w="1532" w:type="dxa"/>
          </w:tcPr>
          <w:p w14:paraId="64A175B8" w14:textId="77777777" w:rsidR="00A375D6" w:rsidRDefault="00A375D6" w:rsidP="00A375D6">
            <w:pPr>
              <w:rPr>
                <w:lang w:val="en-US"/>
              </w:rPr>
            </w:pPr>
            <w:r>
              <w:rPr>
                <w:lang w:val="en-US"/>
              </w:rPr>
              <w:t>One-time trauma</w:t>
            </w:r>
          </w:p>
          <w:p w14:paraId="04185F11" w14:textId="3FB1E9F1" w:rsidR="00A375D6" w:rsidRDefault="00A375D6" w:rsidP="00A375D6">
            <w:pPr>
              <w:rPr>
                <w:lang w:val="en-US"/>
              </w:rPr>
            </w:pPr>
            <w:r>
              <w:rPr>
                <w:lang w:val="en-US"/>
              </w:rPr>
              <w:t>(N = 172)</w:t>
            </w:r>
          </w:p>
        </w:tc>
        <w:tc>
          <w:tcPr>
            <w:tcW w:w="1636" w:type="dxa"/>
          </w:tcPr>
          <w:p w14:paraId="595BED4D" w14:textId="77777777" w:rsidR="00A375D6" w:rsidRDefault="00A375D6" w:rsidP="00BA5403">
            <w:pPr>
              <w:rPr>
                <w:lang w:val="en-US"/>
              </w:rPr>
            </w:pPr>
            <w:r>
              <w:rPr>
                <w:lang w:val="en-US"/>
              </w:rPr>
              <w:t>Recurrent sexual trauma</w:t>
            </w:r>
          </w:p>
          <w:p w14:paraId="3603C859" w14:textId="2F5B1E65" w:rsidR="00A375D6" w:rsidRDefault="00A375D6" w:rsidP="00BA5403">
            <w:pPr>
              <w:rPr>
                <w:lang w:val="en-US"/>
              </w:rPr>
            </w:pPr>
            <w:r>
              <w:rPr>
                <w:lang w:val="en-US"/>
              </w:rPr>
              <w:t>(N = 92)</w:t>
            </w:r>
          </w:p>
        </w:tc>
        <w:tc>
          <w:tcPr>
            <w:tcW w:w="1479" w:type="dxa"/>
          </w:tcPr>
          <w:p w14:paraId="4A29C883" w14:textId="79B34ACA" w:rsidR="00A375D6" w:rsidRDefault="00A375D6" w:rsidP="00BA5403">
            <w:pPr>
              <w:rPr>
                <w:rtl/>
                <w:lang w:val="en-US"/>
              </w:rPr>
            </w:pPr>
            <w:r>
              <w:rPr>
                <w:rFonts w:hint="cs"/>
                <w:lang w:val="en-US"/>
              </w:rPr>
              <w:t>D</w:t>
            </w:r>
            <w:r>
              <w:rPr>
                <w:lang w:val="en-US"/>
              </w:rPr>
              <w:t>ifference</w:t>
            </w:r>
          </w:p>
        </w:tc>
      </w:tr>
      <w:tr w:rsidR="00A375D6" w14:paraId="78353C59" w14:textId="77777777" w:rsidTr="007C5C73">
        <w:tc>
          <w:tcPr>
            <w:tcW w:w="1951" w:type="dxa"/>
          </w:tcPr>
          <w:p w14:paraId="129F5046" w14:textId="1CE54D83" w:rsidR="00A375D6" w:rsidRPr="00113A2F" w:rsidRDefault="00113A2F" w:rsidP="00BA5403">
            <w:pPr>
              <w:rPr>
                <w:rtl/>
                <w:lang w:val="en-US"/>
              </w:rPr>
            </w:pPr>
            <w:r>
              <w:rPr>
                <w:b/>
                <w:bCs/>
                <w:lang w:val="en-US"/>
              </w:rPr>
              <w:t>General</w:t>
            </w:r>
          </w:p>
        </w:tc>
        <w:tc>
          <w:tcPr>
            <w:tcW w:w="1276" w:type="dxa"/>
          </w:tcPr>
          <w:p w14:paraId="04D75A16" w14:textId="77777777" w:rsidR="00A375D6" w:rsidRDefault="00A375D6" w:rsidP="00BA5403">
            <w:pPr>
              <w:rPr>
                <w:lang w:val="en-US"/>
              </w:rPr>
            </w:pPr>
          </w:p>
        </w:tc>
        <w:tc>
          <w:tcPr>
            <w:tcW w:w="1368" w:type="dxa"/>
          </w:tcPr>
          <w:p w14:paraId="54A7AA80" w14:textId="77777777" w:rsidR="00A375D6" w:rsidRDefault="00A375D6" w:rsidP="00BA5403">
            <w:pPr>
              <w:rPr>
                <w:lang w:val="en-US"/>
              </w:rPr>
            </w:pPr>
          </w:p>
        </w:tc>
        <w:tc>
          <w:tcPr>
            <w:tcW w:w="1532" w:type="dxa"/>
          </w:tcPr>
          <w:p w14:paraId="3F44C64B" w14:textId="77777777" w:rsidR="00A375D6" w:rsidRDefault="00A375D6" w:rsidP="00BA5403">
            <w:pPr>
              <w:rPr>
                <w:lang w:val="en-US"/>
              </w:rPr>
            </w:pPr>
          </w:p>
        </w:tc>
        <w:tc>
          <w:tcPr>
            <w:tcW w:w="1636" w:type="dxa"/>
          </w:tcPr>
          <w:p w14:paraId="4C780443" w14:textId="77777777" w:rsidR="00A375D6" w:rsidRDefault="00A375D6" w:rsidP="00BA5403">
            <w:pPr>
              <w:rPr>
                <w:lang w:val="en-US"/>
              </w:rPr>
            </w:pPr>
          </w:p>
        </w:tc>
        <w:tc>
          <w:tcPr>
            <w:tcW w:w="1479" w:type="dxa"/>
          </w:tcPr>
          <w:p w14:paraId="33485016" w14:textId="77777777" w:rsidR="00A375D6" w:rsidRDefault="00A375D6" w:rsidP="00BA5403">
            <w:pPr>
              <w:rPr>
                <w:lang w:val="en-US"/>
              </w:rPr>
            </w:pPr>
          </w:p>
        </w:tc>
      </w:tr>
      <w:tr w:rsidR="00A375D6" w14:paraId="742A19D5" w14:textId="77777777" w:rsidTr="007C5C73">
        <w:tc>
          <w:tcPr>
            <w:tcW w:w="1951" w:type="dxa"/>
          </w:tcPr>
          <w:p w14:paraId="18EAB38F" w14:textId="77777777" w:rsidR="00A375D6" w:rsidRDefault="00B427F4" w:rsidP="00BA5403">
            <w:pPr>
              <w:rPr>
                <w:lang w:val="en-US"/>
              </w:rPr>
            </w:pPr>
            <w:r>
              <w:rPr>
                <w:lang w:val="en-US"/>
              </w:rPr>
              <w:t>Age (M, SD)</w:t>
            </w:r>
          </w:p>
          <w:p w14:paraId="2D5912CD" w14:textId="78CF19E7" w:rsidR="00B427F4" w:rsidRDefault="00B427F4" w:rsidP="00BA5403">
            <w:pPr>
              <w:rPr>
                <w:lang w:val="en-US"/>
              </w:rPr>
            </w:pPr>
            <w:r>
              <w:rPr>
                <w:lang w:val="en-US"/>
              </w:rPr>
              <w:t>(Range 21-74)</w:t>
            </w:r>
          </w:p>
        </w:tc>
        <w:tc>
          <w:tcPr>
            <w:tcW w:w="1276" w:type="dxa"/>
          </w:tcPr>
          <w:p w14:paraId="0FBF10AA" w14:textId="77777777" w:rsidR="00A375D6" w:rsidRDefault="00B427F4" w:rsidP="00BA5403">
            <w:pPr>
              <w:rPr>
                <w:lang w:val="en-US"/>
              </w:rPr>
            </w:pPr>
            <w:r>
              <w:rPr>
                <w:lang w:val="en-US"/>
              </w:rPr>
              <w:t>44.62</w:t>
            </w:r>
          </w:p>
          <w:p w14:paraId="4D330EAD" w14:textId="0F397081" w:rsidR="00B427F4" w:rsidRDefault="00B427F4" w:rsidP="00BA5403">
            <w:pPr>
              <w:rPr>
                <w:lang w:val="en-US"/>
              </w:rPr>
            </w:pPr>
            <w:r>
              <w:rPr>
                <w:lang w:val="en-US"/>
              </w:rPr>
              <w:t>(11.41)</w:t>
            </w:r>
          </w:p>
        </w:tc>
        <w:tc>
          <w:tcPr>
            <w:tcW w:w="1368" w:type="dxa"/>
          </w:tcPr>
          <w:p w14:paraId="77F876C2" w14:textId="77777777" w:rsidR="00A375D6" w:rsidRDefault="00B427F4" w:rsidP="00BA5403">
            <w:pPr>
              <w:rPr>
                <w:lang w:val="en-US"/>
              </w:rPr>
            </w:pPr>
            <w:r>
              <w:rPr>
                <w:lang w:val="en-US"/>
              </w:rPr>
              <w:t>47.75</w:t>
            </w:r>
            <w:r w:rsidRPr="00B427F4">
              <w:rPr>
                <w:vertAlign w:val="subscript"/>
                <w:lang w:val="en-US"/>
              </w:rPr>
              <w:t>a</w:t>
            </w:r>
          </w:p>
          <w:p w14:paraId="3AC6D246" w14:textId="613D2655" w:rsidR="00B427F4" w:rsidRDefault="00B427F4" w:rsidP="00BA5403">
            <w:pPr>
              <w:rPr>
                <w:lang w:val="en-US"/>
              </w:rPr>
            </w:pPr>
            <w:r>
              <w:rPr>
                <w:lang w:val="en-US"/>
              </w:rPr>
              <w:t>(9.54)</w:t>
            </w:r>
          </w:p>
        </w:tc>
        <w:tc>
          <w:tcPr>
            <w:tcW w:w="1532" w:type="dxa"/>
          </w:tcPr>
          <w:p w14:paraId="0BBA93B7" w14:textId="77777777" w:rsidR="00A375D6" w:rsidRDefault="00B427F4" w:rsidP="00BA5403">
            <w:pPr>
              <w:rPr>
                <w:lang w:val="en-US"/>
              </w:rPr>
            </w:pPr>
            <w:r>
              <w:rPr>
                <w:lang w:val="en-US"/>
              </w:rPr>
              <w:t>46.42</w:t>
            </w:r>
            <w:r w:rsidRPr="00B427F4">
              <w:rPr>
                <w:vertAlign w:val="subscript"/>
                <w:lang w:val="en-US"/>
              </w:rPr>
              <w:t>a</w:t>
            </w:r>
          </w:p>
          <w:p w14:paraId="787D8F95" w14:textId="32CBF6F7" w:rsidR="00B427F4" w:rsidRDefault="00B427F4" w:rsidP="00BA5403">
            <w:pPr>
              <w:rPr>
                <w:lang w:val="en-US"/>
              </w:rPr>
            </w:pPr>
            <w:r>
              <w:rPr>
                <w:lang w:val="en-US"/>
              </w:rPr>
              <w:t>(12.22)</w:t>
            </w:r>
          </w:p>
        </w:tc>
        <w:tc>
          <w:tcPr>
            <w:tcW w:w="1636" w:type="dxa"/>
          </w:tcPr>
          <w:p w14:paraId="26BF1F9B" w14:textId="77777777" w:rsidR="00A375D6" w:rsidRDefault="00B427F4" w:rsidP="00BA5403">
            <w:pPr>
              <w:rPr>
                <w:lang w:val="en-US"/>
              </w:rPr>
            </w:pPr>
            <w:r>
              <w:rPr>
                <w:lang w:val="en-US"/>
              </w:rPr>
              <w:t>40.18</w:t>
            </w:r>
            <w:r w:rsidRPr="00B427F4">
              <w:rPr>
                <w:vertAlign w:val="subscript"/>
                <w:lang w:val="en-US"/>
              </w:rPr>
              <w:t>b</w:t>
            </w:r>
          </w:p>
          <w:p w14:paraId="03FA4443" w14:textId="305506A2" w:rsidR="00B427F4" w:rsidRDefault="00B427F4" w:rsidP="00BA5403">
            <w:pPr>
              <w:rPr>
                <w:lang w:val="en-US"/>
              </w:rPr>
            </w:pPr>
            <w:r>
              <w:rPr>
                <w:lang w:val="en-US"/>
              </w:rPr>
              <w:t>(9.01)</w:t>
            </w:r>
          </w:p>
        </w:tc>
        <w:tc>
          <w:tcPr>
            <w:tcW w:w="1479" w:type="dxa"/>
          </w:tcPr>
          <w:p w14:paraId="7E78CE86" w14:textId="77777777" w:rsidR="00A375D6" w:rsidRDefault="00B427F4" w:rsidP="00BA5403">
            <w:pPr>
              <w:rPr>
                <w:lang w:val="en-US"/>
              </w:rPr>
            </w:pPr>
            <w:r>
              <w:rPr>
                <w:lang w:val="en-US"/>
              </w:rPr>
              <w:t>F(2, 293) = 10.98***</w:t>
            </w:r>
          </w:p>
          <w:p w14:paraId="33197F01" w14:textId="3DDB5707" w:rsidR="00B427F4" w:rsidRDefault="00B427F4" w:rsidP="00B427F4">
            <w:pPr>
              <w:rPr>
                <w:lang w:val="en-US"/>
              </w:rPr>
            </w:pPr>
            <w:r w:rsidRPr="00B427F4">
              <w:rPr>
                <w:lang w:val="en-US"/>
              </w:rPr>
              <w:t>(η</w:t>
            </w:r>
            <w:r w:rsidRPr="00B427F4">
              <w:rPr>
                <w:vertAlign w:val="superscript"/>
                <w:lang w:val="en-US"/>
              </w:rPr>
              <w:t>2</w:t>
            </w:r>
            <w:r w:rsidRPr="00B427F4">
              <w:rPr>
                <w:lang w:val="en-US"/>
              </w:rPr>
              <w:t xml:space="preserve"> = .070)</w:t>
            </w:r>
          </w:p>
        </w:tc>
      </w:tr>
      <w:tr w:rsidR="00A375D6" w14:paraId="7206AFEE" w14:textId="77777777" w:rsidTr="007C5C73">
        <w:tc>
          <w:tcPr>
            <w:tcW w:w="1951" w:type="dxa"/>
          </w:tcPr>
          <w:p w14:paraId="0E2E03BB" w14:textId="77777777" w:rsidR="00A375D6" w:rsidRDefault="00A375D6" w:rsidP="00BA5403">
            <w:pPr>
              <w:rPr>
                <w:lang w:val="en-US"/>
              </w:rPr>
            </w:pPr>
          </w:p>
        </w:tc>
        <w:tc>
          <w:tcPr>
            <w:tcW w:w="1276" w:type="dxa"/>
          </w:tcPr>
          <w:p w14:paraId="1651E072" w14:textId="77777777" w:rsidR="00A375D6" w:rsidRDefault="00A375D6" w:rsidP="00BA5403">
            <w:pPr>
              <w:rPr>
                <w:lang w:val="en-US"/>
              </w:rPr>
            </w:pPr>
          </w:p>
        </w:tc>
        <w:tc>
          <w:tcPr>
            <w:tcW w:w="1368" w:type="dxa"/>
          </w:tcPr>
          <w:p w14:paraId="5E1C4224" w14:textId="77777777" w:rsidR="00A375D6" w:rsidRDefault="00A375D6" w:rsidP="00BA5403">
            <w:pPr>
              <w:rPr>
                <w:lang w:val="en-US"/>
              </w:rPr>
            </w:pPr>
          </w:p>
        </w:tc>
        <w:tc>
          <w:tcPr>
            <w:tcW w:w="1532" w:type="dxa"/>
          </w:tcPr>
          <w:p w14:paraId="7D2238EA" w14:textId="77777777" w:rsidR="00A375D6" w:rsidRDefault="00A375D6" w:rsidP="00BA5403">
            <w:pPr>
              <w:rPr>
                <w:lang w:val="en-US"/>
              </w:rPr>
            </w:pPr>
          </w:p>
        </w:tc>
        <w:tc>
          <w:tcPr>
            <w:tcW w:w="1636" w:type="dxa"/>
          </w:tcPr>
          <w:p w14:paraId="24EE610C" w14:textId="77777777" w:rsidR="00A375D6" w:rsidRDefault="00A375D6" w:rsidP="00BA5403">
            <w:pPr>
              <w:rPr>
                <w:lang w:val="en-US"/>
              </w:rPr>
            </w:pPr>
          </w:p>
        </w:tc>
        <w:tc>
          <w:tcPr>
            <w:tcW w:w="1479" w:type="dxa"/>
          </w:tcPr>
          <w:p w14:paraId="680DBC89" w14:textId="77777777" w:rsidR="00A375D6" w:rsidRDefault="00A375D6" w:rsidP="00BA5403">
            <w:pPr>
              <w:rPr>
                <w:lang w:val="en-US"/>
              </w:rPr>
            </w:pPr>
          </w:p>
        </w:tc>
      </w:tr>
      <w:tr w:rsidR="00A375D6" w14:paraId="6D5BC2B9" w14:textId="77777777" w:rsidTr="007C5C73">
        <w:tc>
          <w:tcPr>
            <w:tcW w:w="1951" w:type="dxa"/>
          </w:tcPr>
          <w:p w14:paraId="05982757" w14:textId="71E4A0C6" w:rsidR="00A375D6" w:rsidRPr="00B427F4" w:rsidRDefault="00B427F4" w:rsidP="00BA5403">
            <w:pPr>
              <w:rPr>
                <w:lang w:val="en-US"/>
              </w:rPr>
            </w:pPr>
            <w:r>
              <w:rPr>
                <w:lang w:val="en-US"/>
              </w:rPr>
              <w:t>General (N, %)</w:t>
            </w:r>
          </w:p>
        </w:tc>
        <w:tc>
          <w:tcPr>
            <w:tcW w:w="1276" w:type="dxa"/>
          </w:tcPr>
          <w:p w14:paraId="3929DB0B" w14:textId="77777777" w:rsidR="00A375D6" w:rsidRDefault="00A375D6" w:rsidP="00BA5403">
            <w:pPr>
              <w:rPr>
                <w:lang w:val="en-US"/>
              </w:rPr>
            </w:pPr>
          </w:p>
        </w:tc>
        <w:tc>
          <w:tcPr>
            <w:tcW w:w="1368" w:type="dxa"/>
          </w:tcPr>
          <w:p w14:paraId="15C515CE" w14:textId="77777777" w:rsidR="00A375D6" w:rsidRDefault="00A375D6" w:rsidP="00BA5403">
            <w:pPr>
              <w:rPr>
                <w:lang w:val="en-US"/>
              </w:rPr>
            </w:pPr>
          </w:p>
        </w:tc>
        <w:tc>
          <w:tcPr>
            <w:tcW w:w="1532" w:type="dxa"/>
          </w:tcPr>
          <w:p w14:paraId="44E24D63" w14:textId="77777777" w:rsidR="00A375D6" w:rsidRDefault="00A375D6" w:rsidP="00BA5403">
            <w:pPr>
              <w:rPr>
                <w:lang w:val="en-US"/>
              </w:rPr>
            </w:pPr>
          </w:p>
        </w:tc>
        <w:tc>
          <w:tcPr>
            <w:tcW w:w="1636" w:type="dxa"/>
          </w:tcPr>
          <w:p w14:paraId="38BFA8BB" w14:textId="77777777" w:rsidR="00A375D6" w:rsidRDefault="00A375D6" w:rsidP="00BA5403">
            <w:pPr>
              <w:rPr>
                <w:lang w:val="en-US"/>
              </w:rPr>
            </w:pPr>
          </w:p>
        </w:tc>
        <w:tc>
          <w:tcPr>
            <w:tcW w:w="1479" w:type="dxa"/>
          </w:tcPr>
          <w:p w14:paraId="2BB8D8A3" w14:textId="77777777" w:rsidR="00A375D6" w:rsidRDefault="00A375D6" w:rsidP="00BA5403">
            <w:pPr>
              <w:rPr>
                <w:lang w:val="en-US"/>
              </w:rPr>
            </w:pPr>
          </w:p>
        </w:tc>
      </w:tr>
      <w:tr w:rsidR="005E6DAB" w14:paraId="14735F11" w14:textId="77777777" w:rsidTr="007C5C73">
        <w:tc>
          <w:tcPr>
            <w:tcW w:w="1951" w:type="dxa"/>
          </w:tcPr>
          <w:p w14:paraId="744A276B" w14:textId="3F03635C" w:rsidR="005E6DAB" w:rsidRDefault="005E6DAB" w:rsidP="00BA5403">
            <w:pPr>
              <w:rPr>
                <w:lang w:val="en-US"/>
              </w:rPr>
            </w:pPr>
            <w:r>
              <w:rPr>
                <w:lang w:val="en-US"/>
              </w:rPr>
              <w:t>Men</w:t>
            </w:r>
          </w:p>
        </w:tc>
        <w:tc>
          <w:tcPr>
            <w:tcW w:w="1276" w:type="dxa"/>
          </w:tcPr>
          <w:p w14:paraId="5BD72995" w14:textId="44A9FDEB" w:rsidR="005E6DAB" w:rsidRDefault="005E6DAB" w:rsidP="00BA5403">
            <w:pPr>
              <w:rPr>
                <w:lang w:val="en-US"/>
              </w:rPr>
            </w:pPr>
            <w:r>
              <w:rPr>
                <w:lang w:val="en-US"/>
              </w:rPr>
              <w:t>79 (26.7)</w:t>
            </w:r>
          </w:p>
        </w:tc>
        <w:tc>
          <w:tcPr>
            <w:tcW w:w="1368" w:type="dxa"/>
          </w:tcPr>
          <w:p w14:paraId="686320C1" w14:textId="45AC8641" w:rsidR="005E6DAB" w:rsidRDefault="005E6DAB" w:rsidP="00BA5403">
            <w:pPr>
              <w:rPr>
                <w:lang w:val="en-US"/>
              </w:rPr>
            </w:pPr>
            <w:r>
              <w:rPr>
                <w:lang w:val="en-US"/>
              </w:rPr>
              <w:t>9 (28.1)</w:t>
            </w:r>
          </w:p>
        </w:tc>
        <w:tc>
          <w:tcPr>
            <w:tcW w:w="1532" w:type="dxa"/>
          </w:tcPr>
          <w:p w14:paraId="3DEC6DF8" w14:textId="61B7248C" w:rsidR="005E6DAB" w:rsidRDefault="005E6DAB" w:rsidP="00BA5403">
            <w:pPr>
              <w:rPr>
                <w:lang w:val="en-US"/>
              </w:rPr>
            </w:pPr>
            <w:r>
              <w:rPr>
                <w:lang w:val="en-US"/>
              </w:rPr>
              <w:t>58 (33.7)</w:t>
            </w:r>
          </w:p>
        </w:tc>
        <w:tc>
          <w:tcPr>
            <w:tcW w:w="1636" w:type="dxa"/>
          </w:tcPr>
          <w:p w14:paraId="3243A57A" w14:textId="362F1442" w:rsidR="005E6DAB" w:rsidRDefault="005E6DAB" w:rsidP="00BA5403">
            <w:pPr>
              <w:rPr>
                <w:lang w:val="en-US"/>
              </w:rPr>
            </w:pPr>
            <w:r>
              <w:rPr>
                <w:lang w:val="en-US"/>
              </w:rPr>
              <w:t>12 (13.0)</w:t>
            </w:r>
          </w:p>
        </w:tc>
        <w:tc>
          <w:tcPr>
            <w:tcW w:w="1479" w:type="dxa"/>
            <w:vMerge w:val="restart"/>
          </w:tcPr>
          <w:p w14:paraId="682FFFC0" w14:textId="5A9D488A" w:rsidR="005E6DAB" w:rsidRDefault="005E6DAB" w:rsidP="005E6DAB">
            <w:pPr>
              <w:rPr>
                <w:lang w:val="en-US"/>
              </w:rPr>
            </w:pPr>
            <w:r w:rsidRPr="005E6DAB">
              <w:rPr>
                <w:lang w:val="en-US"/>
              </w:rPr>
              <w:t>χ</w:t>
            </w:r>
            <w:r w:rsidRPr="005E6DAB">
              <w:rPr>
                <w:vertAlign w:val="superscript"/>
                <w:lang w:val="en-US"/>
              </w:rPr>
              <w:t>2</w:t>
            </w:r>
            <w:r w:rsidRPr="005E6DAB">
              <w:rPr>
                <w:lang w:val="en-US"/>
              </w:rPr>
              <w:t>(2) = 13.14**</w:t>
            </w:r>
          </w:p>
        </w:tc>
      </w:tr>
      <w:tr w:rsidR="005E6DAB" w14:paraId="7EB5EB92" w14:textId="77777777" w:rsidTr="007C5C73">
        <w:tc>
          <w:tcPr>
            <w:tcW w:w="1951" w:type="dxa"/>
          </w:tcPr>
          <w:p w14:paraId="2912BB63" w14:textId="36624AC6" w:rsidR="005E6DAB" w:rsidRDefault="005E6DAB" w:rsidP="00BA5403">
            <w:pPr>
              <w:rPr>
                <w:lang w:val="en-US"/>
              </w:rPr>
            </w:pPr>
            <w:commentRangeStart w:id="14"/>
            <w:r>
              <w:rPr>
                <w:lang w:val="en-US"/>
              </w:rPr>
              <w:t>Women</w:t>
            </w:r>
            <w:commentRangeEnd w:id="14"/>
            <w:r>
              <w:rPr>
                <w:rStyle w:val="CommentReference"/>
              </w:rPr>
              <w:commentReference w:id="14"/>
            </w:r>
          </w:p>
        </w:tc>
        <w:tc>
          <w:tcPr>
            <w:tcW w:w="1276" w:type="dxa"/>
          </w:tcPr>
          <w:p w14:paraId="4EAB7EE2" w14:textId="0F71EC9F" w:rsidR="005E6DAB" w:rsidRDefault="005E6DAB" w:rsidP="00BA5403">
            <w:pPr>
              <w:rPr>
                <w:lang w:val="en-US"/>
              </w:rPr>
            </w:pPr>
            <w:r>
              <w:rPr>
                <w:lang w:val="en-US"/>
              </w:rPr>
              <w:t>217 (73.3)</w:t>
            </w:r>
          </w:p>
        </w:tc>
        <w:tc>
          <w:tcPr>
            <w:tcW w:w="1368" w:type="dxa"/>
          </w:tcPr>
          <w:p w14:paraId="242F8D9A" w14:textId="4A18CF7B" w:rsidR="005E6DAB" w:rsidRDefault="005E6DAB" w:rsidP="00BA5403">
            <w:pPr>
              <w:rPr>
                <w:lang w:val="en-US"/>
              </w:rPr>
            </w:pPr>
            <w:r>
              <w:rPr>
                <w:lang w:val="en-US"/>
              </w:rPr>
              <w:t>23 (71.9)</w:t>
            </w:r>
          </w:p>
        </w:tc>
        <w:tc>
          <w:tcPr>
            <w:tcW w:w="1532" w:type="dxa"/>
          </w:tcPr>
          <w:p w14:paraId="4F581D31" w14:textId="0CE79B04" w:rsidR="005E6DAB" w:rsidRDefault="005E6DAB" w:rsidP="00BA5403">
            <w:pPr>
              <w:rPr>
                <w:lang w:val="en-US"/>
              </w:rPr>
            </w:pPr>
            <w:r>
              <w:rPr>
                <w:lang w:val="en-US"/>
              </w:rPr>
              <w:t>114 (66.3)</w:t>
            </w:r>
          </w:p>
        </w:tc>
        <w:tc>
          <w:tcPr>
            <w:tcW w:w="1636" w:type="dxa"/>
          </w:tcPr>
          <w:p w14:paraId="0264CF40" w14:textId="1EC39BD8" w:rsidR="005E6DAB" w:rsidRDefault="005E6DAB" w:rsidP="00BA5403">
            <w:pPr>
              <w:rPr>
                <w:lang w:val="en-US"/>
              </w:rPr>
            </w:pPr>
            <w:r>
              <w:rPr>
                <w:lang w:val="en-US"/>
              </w:rPr>
              <w:t>80 (87.0)</w:t>
            </w:r>
          </w:p>
        </w:tc>
        <w:tc>
          <w:tcPr>
            <w:tcW w:w="1479" w:type="dxa"/>
            <w:vMerge/>
          </w:tcPr>
          <w:p w14:paraId="706F73AF" w14:textId="77777777" w:rsidR="005E6DAB" w:rsidRDefault="005E6DAB" w:rsidP="00BA5403">
            <w:pPr>
              <w:rPr>
                <w:lang w:val="en-US"/>
              </w:rPr>
            </w:pPr>
          </w:p>
        </w:tc>
      </w:tr>
      <w:tr w:rsidR="00A375D6" w14:paraId="7CEB59DC" w14:textId="77777777" w:rsidTr="007C5C73">
        <w:tc>
          <w:tcPr>
            <w:tcW w:w="1951" w:type="dxa"/>
          </w:tcPr>
          <w:p w14:paraId="241B3FA5" w14:textId="77777777" w:rsidR="00A375D6" w:rsidRDefault="00A375D6" w:rsidP="00BA5403">
            <w:pPr>
              <w:rPr>
                <w:lang w:val="en-US"/>
              </w:rPr>
            </w:pPr>
          </w:p>
        </w:tc>
        <w:tc>
          <w:tcPr>
            <w:tcW w:w="1276" w:type="dxa"/>
          </w:tcPr>
          <w:p w14:paraId="44655D4E" w14:textId="77777777" w:rsidR="00A375D6" w:rsidRDefault="00A375D6" w:rsidP="00BA5403">
            <w:pPr>
              <w:rPr>
                <w:lang w:val="en-US"/>
              </w:rPr>
            </w:pPr>
          </w:p>
        </w:tc>
        <w:tc>
          <w:tcPr>
            <w:tcW w:w="1368" w:type="dxa"/>
          </w:tcPr>
          <w:p w14:paraId="7FB9544C" w14:textId="77777777" w:rsidR="00A375D6" w:rsidRDefault="00A375D6" w:rsidP="00BA5403">
            <w:pPr>
              <w:rPr>
                <w:lang w:val="en-US"/>
              </w:rPr>
            </w:pPr>
          </w:p>
        </w:tc>
        <w:tc>
          <w:tcPr>
            <w:tcW w:w="1532" w:type="dxa"/>
          </w:tcPr>
          <w:p w14:paraId="03E3D515" w14:textId="77777777" w:rsidR="00A375D6" w:rsidRDefault="00A375D6" w:rsidP="00BA5403">
            <w:pPr>
              <w:rPr>
                <w:lang w:val="en-US"/>
              </w:rPr>
            </w:pPr>
          </w:p>
        </w:tc>
        <w:tc>
          <w:tcPr>
            <w:tcW w:w="1636" w:type="dxa"/>
          </w:tcPr>
          <w:p w14:paraId="567248A4" w14:textId="77777777" w:rsidR="00A375D6" w:rsidRDefault="00A375D6" w:rsidP="00BA5403">
            <w:pPr>
              <w:rPr>
                <w:lang w:val="en-US"/>
              </w:rPr>
            </w:pPr>
          </w:p>
        </w:tc>
        <w:tc>
          <w:tcPr>
            <w:tcW w:w="1479" w:type="dxa"/>
          </w:tcPr>
          <w:p w14:paraId="79599663" w14:textId="77777777" w:rsidR="00A375D6" w:rsidRDefault="00A375D6" w:rsidP="00BA5403">
            <w:pPr>
              <w:rPr>
                <w:lang w:val="en-US"/>
              </w:rPr>
            </w:pPr>
          </w:p>
        </w:tc>
      </w:tr>
      <w:tr w:rsidR="00A375D6" w14:paraId="20075E74" w14:textId="77777777" w:rsidTr="007C5C73">
        <w:tc>
          <w:tcPr>
            <w:tcW w:w="1951" w:type="dxa"/>
          </w:tcPr>
          <w:p w14:paraId="05D2D604" w14:textId="77777777" w:rsidR="00A375D6" w:rsidRDefault="005E6DAB" w:rsidP="00BA5403">
            <w:pPr>
              <w:rPr>
                <w:lang w:val="en-US"/>
              </w:rPr>
            </w:pPr>
            <w:r>
              <w:rPr>
                <w:lang w:val="en-US"/>
              </w:rPr>
              <w:t>Country of birth</w:t>
            </w:r>
          </w:p>
          <w:p w14:paraId="6BE33D89" w14:textId="44ECB33C" w:rsidR="005E6DAB" w:rsidRDefault="005E6DAB" w:rsidP="00BA5403">
            <w:pPr>
              <w:rPr>
                <w:lang w:val="en-US"/>
              </w:rPr>
            </w:pPr>
            <w:r>
              <w:rPr>
                <w:lang w:val="en-US"/>
              </w:rPr>
              <w:t>(N, %)</w:t>
            </w:r>
          </w:p>
        </w:tc>
        <w:tc>
          <w:tcPr>
            <w:tcW w:w="1276" w:type="dxa"/>
          </w:tcPr>
          <w:p w14:paraId="07BCB146" w14:textId="77777777" w:rsidR="00A375D6" w:rsidRDefault="00A375D6" w:rsidP="00BA5403">
            <w:pPr>
              <w:rPr>
                <w:lang w:val="en-US"/>
              </w:rPr>
            </w:pPr>
          </w:p>
        </w:tc>
        <w:tc>
          <w:tcPr>
            <w:tcW w:w="1368" w:type="dxa"/>
          </w:tcPr>
          <w:p w14:paraId="6CE991AF" w14:textId="77777777" w:rsidR="00A375D6" w:rsidRDefault="00A375D6" w:rsidP="00BA5403">
            <w:pPr>
              <w:rPr>
                <w:lang w:val="en-US"/>
              </w:rPr>
            </w:pPr>
          </w:p>
        </w:tc>
        <w:tc>
          <w:tcPr>
            <w:tcW w:w="1532" w:type="dxa"/>
          </w:tcPr>
          <w:p w14:paraId="5786DCCF" w14:textId="77777777" w:rsidR="00A375D6" w:rsidRDefault="00A375D6" w:rsidP="00BA5403">
            <w:pPr>
              <w:rPr>
                <w:lang w:val="en-US"/>
              </w:rPr>
            </w:pPr>
          </w:p>
        </w:tc>
        <w:tc>
          <w:tcPr>
            <w:tcW w:w="1636" w:type="dxa"/>
          </w:tcPr>
          <w:p w14:paraId="6BD1E350" w14:textId="108D0B73" w:rsidR="00A375D6" w:rsidRDefault="00A375D6" w:rsidP="00BA5403">
            <w:pPr>
              <w:rPr>
                <w:lang w:val="en-US"/>
              </w:rPr>
            </w:pPr>
          </w:p>
        </w:tc>
        <w:tc>
          <w:tcPr>
            <w:tcW w:w="1479" w:type="dxa"/>
          </w:tcPr>
          <w:p w14:paraId="6E0A6667" w14:textId="77777777" w:rsidR="00A375D6" w:rsidRDefault="00A375D6" w:rsidP="00BA5403">
            <w:pPr>
              <w:rPr>
                <w:lang w:val="en-US"/>
              </w:rPr>
            </w:pPr>
          </w:p>
        </w:tc>
      </w:tr>
      <w:tr w:rsidR="003C02D2" w14:paraId="12702C77" w14:textId="77777777" w:rsidTr="007C5C73">
        <w:tc>
          <w:tcPr>
            <w:tcW w:w="1951" w:type="dxa"/>
          </w:tcPr>
          <w:p w14:paraId="55BF444F" w14:textId="68BF5D82" w:rsidR="003C02D2" w:rsidRDefault="003C02D2" w:rsidP="003C02D2">
            <w:pPr>
              <w:rPr>
                <w:lang w:val="en-US"/>
              </w:rPr>
            </w:pPr>
            <w:r>
              <w:rPr>
                <w:lang w:val="en-US"/>
              </w:rPr>
              <w:t>Israel</w:t>
            </w:r>
          </w:p>
        </w:tc>
        <w:tc>
          <w:tcPr>
            <w:tcW w:w="1276" w:type="dxa"/>
          </w:tcPr>
          <w:p w14:paraId="25AC5F12" w14:textId="58C21B72" w:rsidR="003C02D2" w:rsidRDefault="003C02D2" w:rsidP="003C02D2">
            <w:pPr>
              <w:rPr>
                <w:lang w:val="en-US"/>
              </w:rPr>
            </w:pPr>
            <w:r>
              <w:rPr>
                <w:lang w:val="en-US"/>
              </w:rPr>
              <w:t>254 (86.1)</w:t>
            </w:r>
          </w:p>
        </w:tc>
        <w:tc>
          <w:tcPr>
            <w:tcW w:w="1368" w:type="dxa"/>
          </w:tcPr>
          <w:p w14:paraId="60C7FD3E" w14:textId="147D5CBA" w:rsidR="003C02D2" w:rsidRDefault="003C02D2" w:rsidP="003C02D2">
            <w:pPr>
              <w:rPr>
                <w:lang w:val="en-US"/>
              </w:rPr>
            </w:pPr>
            <w:r>
              <w:rPr>
                <w:lang w:val="en-US"/>
              </w:rPr>
              <w:t>27 (84.4)</w:t>
            </w:r>
          </w:p>
        </w:tc>
        <w:tc>
          <w:tcPr>
            <w:tcW w:w="1532" w:type="dxa"/>
          </w:tcPr>
          <w:p w14:paraId="734B2D34" w14:textId="22DCD188" w:rsidR="003C02D2" w:rsidRDefault="003C02D2" w:rsidP="003C02D2">
            <w:pPr>
              <w:rPr>
                <w:lang w:val="en-US"/>
              </w:rPr>
            </w:pPr>
            <w:r>
              <w:rPr>
                <w:lang w:val="en-US"/>
              </w:rPr>
              <w:t>151 (88.3)</w:t>
            </w:r>
          </w:p>
        </w:tc>
        <w:tc>
          <w:tcPr>
            <w:tcW w:w="1636" w:type="dxa"/>
          </w:tcPr>
          <w:p w14:paraId="2612237F" w14:textId="3D9DE578" w:rsidR="003C02D2" w:rsidRDefault="003C02D2" w:rsidP="003C02D2">
            <w:pPr>
              <w:rPr>
                <w:lang w:val="en-US"/>
              </w:rPr>
            </w:pPr>
            <w:r>
              <w:rPr>
                <w:lang w:val="en-US"/>
              </w:rPr>
              <w:t>76 (82.6)</w:t>
            </w:r>
          </w:p>
        </w:tc>
        <w:tc>
          <w:tcPr>
            <w:tcW w:w="1479" w:type="dxa"/>
            <w:vMerge w:val="restart"/>
          </w:tcPr>
          <w:p w14:paraId="20E87F81" w14:textId="7DFA438D" w:rsidR="003C02D2" w:rsidRDefault="003C02D2" w:rsidP="003C02D2">
            <w:pPr>
              <w:rPr>
                <w:lang w:val="en-US"/>
              </w:rPr>
            </w:pPr>
            <w:r w:rsidRPr="00410D3D">
              <w:rPr>
                <w:rFonts w:ascii="Calibri" w:eastAsia="Times New Roman" w:hAnsi="Calibri" w:cs="Calibri"/>
              </w:rPr>
              <w:t>χ</w:t>
            </w:r>
            <w:r w:rsidRPr="00410D3D">
              <w:rPr>
                <w:rFonts w:eastAsia="Times New Roman"/>
                <w:vertAlign w:val="superscript"/>
              </w:rPr>
              <w:t>2</w:t>
            </w:r>
            <w:r w:rsidRPr="00410D3D">
              <w:rPr>
                <w:rFonts w:eastAsia="Times New Roman"/>
              </w:rPr>
              <w:t>(2) = 1.71</w:t>
            </w:r>
          </w:p>
        </w:tc>
      </w:tr>
      <w:tr w:rsidR="003C02D2" w14:paraId="7AF19642" w14:textId="77777777" w:rsidTr="007C5C73">
        <w:tc>
          <w:tcPr>
            <w:tcW w:w="1951" w:type="dxa"/>
          </w:tcPr>
          <w:p w14:paraId="74669856" w14:textId="77803814" w:rsidR="003C02D2" w:rsidRDefault="003C02D2" w:rsidP="003C02D2">
            <w:pPr>
              <w:rPr>
                <w:lang w:val="en-US"/>
              </w:rPr>
            </w:pPr>
            <w:r>
              <w:rPr>
                <w:lang w:val="en-US"/>
              </w:rPr>
              <w:t>Other</w:t>
            </w:r>
          </w:p>
        </w:tc>
        <w:tc>
          <w:tcPr>
            <w:tcW w:w="1276" w:type="dxa"/>
          </w:tcPr>
          <w:p w14:paraId="1EEF038B" w14:textId="5CA122A9" w:rsidR="003C02D2" w:rsidRDefault="003C02D2" w:rsidP="003C02D2">
            <w:pPr>
              <w:rPr>
                <w:lang w:val="en-US"/>
              </w:rPr>
            </w:pPr>
            <w:r>
              <w:rPr>
                <w:lang w:val="en-US"/>
              </w:rPr>
              <w:t>41 (13.9)</w:t>
            </w:r>
          </w:p>
        </w:tc>
        <w:tc>
          <w:tcPr>
            <w:tcW w:w="1368" w:type="dxa"/>
          </w:tcPr>
          <w:p w14:paraId="5267BF57" w14:textId="72C2A0C3" w:rsidR="003C02D2" w:rsidRDefault="003C02D2" w:rsidP="003C02D2">
            <w:pPr>
              <w:rPr>
                <w:lang w:val="en-US"/>
              </w:rPr>
            </w:pPr>
            <w:r>
              <w:rPr>
                <w:lang w:val="en-US"/>
              </w:rPr>
              <w:t>5 (15.6)</w:t>
            </w:r>
          </w:p>
        </w:tc>
        <w:tc>
          <w:tcPr>
            <w:tcW w:w="1532" w:type="dxa"/>
          </w:tcPr>
          <w:p w14:paraId="71245042" w14:textId="21A097B6" w:rsidR="003C02D2" w:rsidRDefault="003C02D2" w:rsidP="003C02D2">
            <w:pPr>
              <w:rPr>
                <w:lang w:val="en-US"/>
              </w:rPr>
            </w:pPr>
            <w:r>
              <w:rPr>
                <w:lang w:val="en-US"/>
              </w:rPr>
              <w:t>20 (11.7)</w:t>
            </w:r>
          </w:p>
        </w:tc>
        <w:tc>
          <w:tcPr>
            <w:tcW w:w="1636" w:type="dxa"/>
          </w:tcPr>
          <w:p w14:paraId="1927E426" w14:textId="622C6091" w:rsidR="003C02D2" w:rsidRDefault="003C02D2" w:rsidP="003C02D2">
            <w:pPr>
              <w:rPr>
                <w:lang w:val="en-US"/>
              </w:rPr>
            </w:pPr>
            <w:r>
              <w:rPr>
                <w:lang w:val="en-US"/>
              </w:rPr>
              <w:t>16 (17.4)</w:t>
            </w:r>
          </w:p>
        </w:tc>
        <w:tc>
          <w:tcPr>
            <w:tcW w:w="1479" w:type="dxa"/>
            <w:vMerge/>
          </w:tcPr>
          <w:p w14:paraId="2A683623" w14:textId="77777777" w:rsidR="003C02D2" w:rsidRDefault="003C02D2" w:rsidP="003C02D2">
            <w:pPr>
              <w:rPr>
                <w:lang w:val="en-US"/>
              </w:rPr>
            </w:pPr>
          </w:p>
        </w:tc>
      </w:tr>
      <w:tr w:rsidR="003C02D2" w14:paraId="751C1A2D" w14:textId="77777777" w:rsidTr="007C5C73">
        <w:tc>
          <w:tcPr>
            <w:tcW w:w="1951" w:type="dxa"/>
          </w:tcPr>
          <w:p w14:paraId="211E4F00" w14:textId="77777777" w:rsidR="003C02D2" w:rsidRDefault="003C02D2" w:rsidP="003C02D2">
            <w:pPr>
              <w:rPr>
                <w:lang w:val="en-US"/>
              </w:rPr>
            </w:pPr>
          </w:p>
        </w:tc>
        <w:tc>
          <w:tcPr>
            <w:tcW w:w="1276" w:type="dxa"/>
          </w:tcPr>
          <w:p w14:paraId="22C97191" w14:textId="77777777" w:rsidR="003C02D2" w:rsidRDefault="003C02D2" w:rsidP="003C02D2">
            <w:pPr>
              <w:rPr>
                <w:lang w:val="en-US"/>
              </w:rPr>
            </w:pPr>
          </w:p>
        </w:tc>
        <w:tc>
          <w:tcPr>
            <w:tcW w:w="1368" w:type="dxa"/>
          </w:tcPr>
          <w:p w14:paraId="251694DB" w14:textId="77777777" w:rsidR="003C02D2" w:rsidRDefault="003C02D2" w:rsidP="003C02D2">
            <w:pPr>
              <w:rPr>
                <w:lang w:val="en-US"/>
              </w:rPr>
            </w:pPr>
          </w:p>
        </w:tc>
        <w:tc>
          <w:tcPr>
            <w:tcW w:w="1532" w:type="dxa"/>
          </w:tcPr>
          <w:p w14:paraId="6E594C7B" w14:textId="77777777" w:rsidR="003C02D2" w:rsidRDefault="003C02D2" w:rsidP="003C02D2">
            <w:pPr>
              <w:rPr>
                <w:lang w:val="en-US"/>
              </w:rPr>
            </w:pPr>
          </w:p>
        </w:tc>
        <w:tc>
          <w:tcPr>
            <w:tcW w:w="1636" w:type="dxa"/>
          </w:tcPr>
          <w:p w14:paraId="72D7E9FD" w14:textId="77777777" w:rsidR="003C02D2" w:rsidRDefault="003C02D2" w:rsidP="003C02D2">
            <w:pPr>
              <w:rPr>
                <w:lang w:val="en-US"/>
              </w:rPr>
            </w:pPr>
          </w:p>
        </w:tc>
        <w:tc>
          <w:tcPr>
            <w:tcW w:w="1479" w:type="dxa"/>
          </w:tcPr>
          <w:p w14:paraId="603890E9" w14:textId="77777777" w:rsidR="003C02D2" w:rsidRDefault="003C02D2" w:rsidP="003C02D2">
            <w:pPr>
              <w:rPr>
                <w:lang w:val="en-US"/>
              </w:rPr>
            </w:pPr>
          </w:p>
        </w:tc>
      </w:tr>
      <w:tr w:rsidR="003C02D2" w14:paraId="199C9BF4" w14:textId="77777777" w:rsidTr="007C5C73">
        <w:tc>
          <w:tcPr>
            <w:tcW w:w="1951" w:type="dxa"/>
          </w:tcPr>
          <w:p w14:paraId="522520E4" w14:textId="72731D90" w:rsidR="003C02D2" w:rsidRDefault="003C02D2" w:rsidP="003C02D2">
            <w:pPr>
              <w:rPr>
                <w:lang w:val="en-US"/>
              </w:rPr>
            </w:pPr>
            <w:r>
              <w:rPr>
                <w:lang w:val="en-US"/>
              </w:rPr>
              <w:t>Religion</w:t>
            </w:r>
          </w:p>
        </w:tc>
        <w:tc>
          <w:tcPr>
            <w:tcW w:w="1276" w:type="dxa"/>
          </w:tcPr>
          <w:p w14:paraId="756B9E12" w14:textId="77777777" w:rsidR="003C02D2" w:rsidRDefault="003C02D2" w:rsidP="003C02D2">
            <w:pPr>
              <w:rPr>
                <w:lang w:val="en-US"/>
              </w:rPr>
            </w:pPr>
          </w:p>
        </w:tc>
        <w:tc>
          <w:tcPr>
            <w:tcW w:w="1368" w:type="dxa"/>
          </w:tcPr>
          <w:p w14:paraId="3C9C112D" w14:textId="77777777" w:rsidR="003C02D2" w:rsidRDefault="003C02D2" w:rsidP="003C02D2">
            <w:pPr>
              <w:rPr>
                <w:lang w:val="en-US"/>
              </w:rPr>
            </w:pPr>
          </w:p>
        </w:tc>
        <w:tc>
          <w:tcPr>
            <w:tcW w:w="1532" w:type="dxa"/>
          </w:tcPr>
          <w:p w14:paraId="4A4BAFE8" w14:textId="77777777" w:rsidR="003C02D2" w:rsidRDefault="003C02D2" w:rsidP="003C02D2">
            <w:pPr>
              <w:rPr>
                <w:lang w:val="en-US"/>
              </w:rPr>
            </w:pPr>
          </w:p>
        </w:tc>
        <w:tc>
          <w:tcPr>
            <w:tcW w:w="1636" w:type="dxa"/>
          </w:tcPr>
          <w:p w14:paraId="54A838D6" w14:textId="77777777" w:rsidR="003C02D2" w:rsidRDefault="003C02D2" w:rsidP="003C02D2">
            <w:pPr>
              <w:rPr>
                <w:lang w:val="en-US"/>
              </w:rPr>
            </w:pPr>
          </w:p>
        </w:tc>
        <w:tc>
          <w:tcPr>
            <w:tcW w:w="1479" w:type="dxa"/>
          </w:tcPr>
          <w:p w14:paraId="5499569D" w14:textId="77777777" w:rsidR="003C02D2" w:rsidRDefault="003C02D2" w:rsidP="003C02D2">
            <w:pPr>
              <w:rPr>
                <w:lang w:val="en-US"/>
              </w:rPr>
            </w:pPr>
          </w:p>
        </w:tc>
      </w:tr>
      <w:tr w:rsidR="003C02D2" w14:paraId="296CFDEE" w14:textId="77777777" w:rsidTr="007C5C73">
        <w:tc>
          <w:tcPr>
            <w:tcW w:w="1951" w:type="dxa"/>
          </w:tcPr>
          <w:p w14:paraId="2817AE18" w14:textId="2B67E9CC" w:rsidR="003C02D2" w:rsidRDefault="003C02D2" w:rsidP="003C02D2">
            <w:pPr>
              <w:rPr>
                <w:lang w:val="en-US"/>
              </w:rPr>
            </w:pPr>
            <w:r>
              <w:rPr>
                <w:lang w:val="en-US"/>
              </w:rPr>
              <w:t>Jewish</w:t>
            </w:r>
          </w:p>
        </w:tc>
        <w:tc>
          <w:tcPr>
            <w:tcW w:w="1276" w:type="dxa"/>
          </w:tcPr>
          <w:p w14:paraId="2F7E8904" w14:textId="57B13F13" w:rsidR="003C02D2" w:rsidRDefault="003C02D2" w:rsidP="003C02D2">
            <w:pPr>
              <w:rPr>
                <w:lang w:val="en-US"/>
              </w:rPr>
            </w:pPr>
            <w:r>
              <w:rPr>
                <w:lang w:val="en-US"/>
              </w:rPr>
              <w:t>286 (96.6)</w:t>
            </w:r>
          </w:p>
        </w:tc>
        <w:tc>
          <w:tcPr>
            <w:tcW w:w="1368" w:type="dxa"/>
          </w:tcPr>
          <w:p w14:paraId="245B1E12" w14:textId="3B33384D" w:rsidR="003C02D2" w:rsidRDefault="003C02D2" w:rsidP="003C02D2">
            <w:pPr>
              <w:rPr>
                <w:lang w:val="en-US"/>
              </w:rPr>
            </w:pPr>
            <w:r>
              <w:rPr>
                <w:lang w:val="en-US"/>
              </w:rPr>
              <w:t>32 (100.0)</w:t>
            </w:r>
          </w:p>
        </w:tc>
        <w:tc>
          <w:tcPr>
            <w:tcW w:w="1532" w:type="dxa"/>
          </w:tcPr>
          <w:p w14:paraId="569D542E" w14:textId="36C0FC86" w:rsidR="003C02D2" w:rsidRDefault="003C02D2" w:rsidP="003C02D2">
            <w:pPr>
              <w:rPr>
                <w:lang w:val="en-US"/>
              </w:rPr>
            </w:pPr>
            <w:r>
              <w:rPr>
                <w:lang w:val="en-US"/>
              </w:rPr>
              <w:t>167 (97.1)</w:t>
            </w:r>
          </w:p>
        </w:tc>
        <w:tc>
          <w:tcPr>
            <w:tcW w:w="1636" w:type="dxa"/>
          </w:tcPr>
          <w:p w14:paraId="6CB35907" w14:textId="26F56514" w:rsidR="003C02D2" w:rsidRDefault="003C02D2" w:rsidP="003C02D2">
            <w:pPr>
              <w:rPr>
                <w:lang w:val="en-US"/>
              </w:rPr>
            </w:pPr>
            <w:r>
              <w:rPr>
                <w:lang w:val="en-US"/>
              </w:rPr>
              <w:t>87 (94.6)</w:t>
            </w:r>
          </w:p>
        </w:tc>
        <w:tc>
          <w:tcPr>
            <w:tcW w:w="1479" w:type="dxa"/>
            <w:vMerge w:val="restart"/>
          </w:tcPr>
          <w:p w14:paraId="376B4619" w14:textId="42627B08" w:rsidR="003C02D2" w:rsidRDefault="003C02D2" w:rsidP="003C02D2">
            <w:pPr>
              <w:rPr>
                <w:lang w:val="en-US"/>
              </w:rPr>
            </w:pPr>
            <w:r>
              <w:rPr>
                <w:lang w:val="en-US"/>
              </w:rPr>
              <w:t>---</w:t>
            </w:r>
          </w:p>
        </w:tc>
      </w:tr>
      <w:tr w:rsidR="003C02D2" w14:paraId="77AB8411" w14:textId="77777777" w:rsidTr="007C5C73">
        <w:tc>
          <w:tcPr>
            <w:tcW w:w="1951" w:type="dxa"/>
          </w:tcPr>
          <w:p w14:paraId="55566CED" w14:textId="367A4A12" w:rsidR="003C02D2" w:rsidRDefault="003C02D2" w:rsidP="003C02D2">
            <w:pPr>
              <w:rPr>
                <w:lang w:val="en-US"/>
              </w:rPr>
            </w:pPr>
            <w:r>
              <w:rPr>
                <w:lang w:val="en-US"/>
              </w:rPr>
              <w:t>Other</w:t>
            </w:r>
          </w:p>
        </w:tc>
        <w:tc>
          <w:tcPr>
            <w:tcW w:w="1276" w:type="dxa"/>
          </w:tcPr>
          <w:p w14:paraId="6F9D954A" w14:textId="17F33059" w:rsidR="003C02D2" w:rsidRDefault="003C02D2" w:rsidP="003C02D2">
            <w:pPr>
              <w:rPr>
                <w:lang w:val="en-US"/>
              </w:rPr>
            </w:pPr>
            <w:r>
              <w:rPr>
                <w:lang w:val="en-US"/>
              </w:rPr>
              <w:t>5 (5.4)</w:t>
            </w:r>
          </w:p>
        </w:tc>
        <w:tc>
          <w:tcPr>
            <w:tcW w:w="1368" w:type="dxa"/>
          </w:tcPr>
          <w:p w14:paraId="0B7525E2" w14:textId="796F6868" w:rsidR="003C02D2" w:rsidRDefault="003C02D2" w:rsidP="003C02D2">
            <w:pPr>
              <w:rPr>
                <w:lang w:val="en-US"/>
              </w:rPr>
            </w:pPr>
            <w:r>
              <w:rPr>
                <w:lang w:val="en-US"/>
              </w:rPr>
              <w:t>---</w:t>
            </w:r>
          </w:p>
        </w:tc>
        <w:tc>
          <w:tcPr>
            <w:tcW w:w="1532" w:type="dxa"/>
          </w:tcPr>
          <w:p w14:paraId="283AF518" w14:textId="0A512BCC" w:rsidR="003C02D2" w:rsidRDefault="003C02D2" w:rsidP="003C02D2">
            <w:pPr>
              <w:rPr>
                <w:lang w:val="en-US"/>
              </w:rPr>
            </w:pPr>
            <w:r>
              <w:rPr>
                <w:lang w:val="en-US"/>
              </w:rPr>
              <w:t>5 (2.9)</w:t>
            </w:r>
          </w:p>
        </w:tc>
        <w:tc>
          <w:tcPr>
            <w:tcW w:w="1636" w:type="dxa"/>
          </w:tcPr>
          <w:p w14:paraId="78D950B7" w14:textId="3019D298" w:rsidR="003C02D2" w:rsidRDefault="003C02D2" w:rsidP="003C02D2">
            <w:pPr>
              <w:rPr>
                <w:lang w:val="en-US"/>
              </w:rPr>
            </w:pPr>
            <w:r>
              <w:rPr>
                <w:lang w:val="en-US"/>
              </w:rPr>
              <w:t>5 (5.4)</w:t>
            </w:r>
          </w:p>
        </w:tc>
        <w:tc>
          <w:tcPr>
            <w:tcW w:w="1479" w:type="dxa"/>
            <w:vMerge/>
          </w:tcPr>
          <w:p w14:paraId="43FA62C2" w14:textId="77777777" w:rsidR="003C02D2" w:rsidRDefault="003C02D2" w:rsidP="003C02D2">
            <w:pPr>
              <w:rPr>
                <w:lang w:val="en-US"/>
              </w:rPr>
            </w:pPr>
          </w:p>
        </w:tc>
      </w:tr>
      <w:tr w:rsidR="003C02D2" w14:paraId="6F1EED6E" w14:textId="77777777" w:rsidTr="007C5C73">
        <w:tc>
          <w:tcPr>
            <w:tcW w:w="1951" w:type="dxa"/>
          </w:tcPr>
          <w:p w14:paraId="09F666FB" w14:textId="77777777" w:rsidR="003C02D2" w:rsidRDefault="003C02D2" w:rsidP="003C02D2">
            <w:pPr>
              <w:rPr>
                <w:lang w:val="en-US"/>
              </w:rPr>
            </w:pPr>
          </w:p>
        </w:tc>
        <w:tc>
          <w:tcPr>
            <w:tcW w:w="1276" w:type="dxa"/>
          </w:tcPr>
          <w:p w14:paraId="4CD966C0" w14:textId="77777777" w:rsidR="003C02D2" w:rsidRDefault="003C02D2" w:rsidP="003C02D2">
            <w:pPr>
              <w:rPr>
                <w:lang w:val="en-US"/>
              </w:rPr>
            </w:pPr>
          </w:p>
        </w:tc>
        <w:tc>
          <w:tcPr>
            <w:tcW w:w="1368" w:type="dxa"/>
          </w:tcPr>
          <w:p w14:paraId="4B47BD19" w14:textId="77777777" w:rsidR="003C02D2" w:rsidRDefault="003C02D2" w:rsidP="003C02D2">
            <w:pPr>
              <w:rPr>
                <w:lang w:val="en-US"/>
              </w:rPr>
            </w:pPr>
          </w:p>
        </w:tc>
        <w:tc>
          <w:tcPr>
            <w:tcW w:w="1532" w:type="dxa"/>
          </w:tcPr>
          <w:p w14:paraId="1A2E50C2" w14:textId="77777777" w:rsidR="003C02D2" w:rsidRDefault="003C02D2" w:rsidP="003C02D2">
            <w:pPr>
              <w:rPr>
                <w:lang w:val="en-US"/>
              </w:rPr>
            </w:pPr>
          </w:p>
        </w:tc>
        <w:tc>
          <w:tcPr>
            <w:tcW w:w="1636" w:type="dxa"/>
          </w:tcPr>
          <w:p w14:paraId="7DDCF2CC" w14:textId="77777777" w:rsidR="003C02D2" w:rsidRDefault="003C02D2" w:rsidP="003C02D2">
            <w:pPr>
              <w:rPr>
                <w:lang w:val="en-US"/>
              </w:rPr>
            </w:pPr>
          </w:p>
        </w:tc>
        <w:tc>
          <w:tcPr>
            <w:tcW w:w="1479" w:type="dxa"/>
          </w:tcPr>
          <w:p w14:paraId="205B7186" w14:textId="77777777" w:rsidR="003C02D2" w:rsidRDefault="003C02D2" w:rsidP="003C02D2">
            <w:pPr>
              <w:rPr>
                <w:lang w:val="en-US"/>
              </w:rPr>
            </w:pPr>
          </w:p>
        </w:tc>
      </w:tr>
      <w:tr w:rsidR="00D86C16" w14:paraId="07E26297" w14:textId="77777777" w:rsidTr="007C5C73">
        <w:tc>
          <w:tcPr>
            <w:tcW w:w="1951" w:type="dxa"/>
          </w:tcPr>
          <w:p w14:paraId="380AE3C8" w14:textId="77777777" w:rsidR="00D86C16" w:rsidRDefault="00D86C16" w:rsidP="00D86C16">
            <w:pPr>
              <w:rPr>
                <w:lang w:val="en-US"/>
              </w:rPr>
            </w:pPr>
            <w:r>
              <w:rPr>
                <w:lang w:val="en-US"/>
              </w:rPr>
              <w:t xml:space="preserve">Level of religiosity </w:t>
            </w:r>
          </w:p>
          <w:p w14:paraId="1087874E" w14:textId="461BEAC8" w:rsidR="00D86C16" w:rsidRDefault="00D86C16" w:rsidP="00D86C16">
            <w:pPr>
              <w:rPr>
                <w:lang w:val="en-US"/>
              </w:rPr>
            </w:pPr>
            <w:r>
              <w:rPr>
                <w:lang w:val="en-US"/>
              </w:rPr>
              <w:t>(N, %)</w:t>
            </w:r>
          </w:p>
        </w:tc>
        <w:tc>
          <w:tcPr>
            <w:tcW w:w="1276" w:type="dxa"/>
          </w:tcPr>
          <w:p w14:paraId="3A5E7601" w14:textId="5BAD9FC0" w:rsidR="00D86C16" w:rsidRPr="00D86C16" w:rsidRDefault="00D86C16" w:rsidP="00D86C16">
            <w:pPr>
              <w:rPr>
                <w:lang w:val="en-US"/>
              </w:rPr>
            </w:pPr>
          </w:p>
        </w:tc>
        <w:tc>
          <w:tcPr>
            <w:tcW w:w="1368" w:type="dxa"/>
          </w:tcPr>
          <w:p w14:paraId="54E1E6D1" w14:textId="77777777" w:rsidR="00D86C16" w:rsidRDefault="00D86C16" w:rsidP="00D86C16">
            <w:pPr>
              <w:rPr>
                <w:lang w:val="en-US"/>
              </w:rPr>
            </w:pPr>
          </w:p>
        </w:tc>
        <w:tc>
          <w:tcPr>
            <w:tcW w:w="1532" w:type="dxa"/>
          </w:tcPr>
          <w:p w14:paraId="7960D3B0" w14:textId="77777777" w:rsidR="00D86C16" w:rsidRDefault="00D86C16" w:rsidP="00D86C16">
            <w:pPr>
              <w:rPr>
                <w:lang w:val="en-US"/>
              </w:rPr>
            </w:pPr>
          </w:p>
        </w:tc>
        <w:tc>
          <w:tcPr>
            <w:tcW w:w="1636" w:type="dxa"/>
          </w:tcPr>
          <w:p w14:paraId="12A5F922" w14:textId="77777777" w:rsidR="00D86C16" w:rsidRDefault="00D86C16" w:rsidP="00D86C16">
            <w:pPr>
              <w:rPr>
                <w:lang w:val="en-US"/>
              </w:rPr>
            </w:pPr>
          </w:p>
        </w:tc>
        <w:tc>
          <w:tcPr>
            <w:tcW w:w="1479" w:type="dxa"/>
          </w:tcPr>
          <w:p w14:paraId="045339F0" w14:textId="77777777" w:rsidR="00D86C16" w:rsidRDefault="00D86C16" w:rsidP="00D86C16">
            <w:pPr>
              <w:rPr>
                <w:lang w:val="en-US"/>
              </w:rPr>
            </w:pPr>
          </w:p>
        </w:tc>
      </w:tr>
      <w:tr w:rsidR="00D86C16" w14:paraId="596AD45A" w14:textId="77777777" w:rsidTr="007C5C73">
        <w:tc>
          <w:tcPr>
            <w:tcW w:w="1951" w:type="dxa"/>
          </w:tcPr>
          <w:p w14:paraId="12ECE964" w14:textId="546F6FAC" w:rsidR="00D86C16" w:rsidRDefault="00D86C16" w:rsidP="00D86C16">
            <w:pPr>
              <w:rPr>
                <w:lang w:val="en-US"/>
              </w:rPr>
            </w:pPr>
            <w:r>
              <w:rPr>
                <w:lang w:val="en-US"/>
              </w:rPr>
              <w:t>Religious</w:t>
            </w:r>
          </w:p>
        </w:tc>
        <w:tc>
          <w:tcPr>
            <w:tcW w:w="1276" w:type="dxa"/>
          </w:tcPr>
          <w:p w14:paraId="25C24D17" w14:textId="682E56E0" w:rsidR="00D86C16" w:rsidRDefault="00D86C16" w:rsidP="00D86C16">
            <w:pPr>
              <w:rPr>
                <w:lang w:val="en-US"/>
              </w:rPr>
            </w:pPr>
            <w:r>
              <w:rPr>
                <w:lang w:val="en-US"/>
              </w:rPr>
              <w:t>34 (11.5)</w:t>
            </w:r>
          </w:p>
        </w:tc>
        <w:tc>
          <w:tcPr>
            <w:tcW w:w="1368" w:type="dxa"/>
          </w:tcPr>
          <w:p w14:paraId="2A1421D4" w14:textId="19F44481" w:rsidR="00D86C16" w:rsidRDefault="00D86C16" w:rsidP="00D86C16">
            <w:pPr>
              <w:rPr>
                <w:lang w:val="en-US"/>
              </w:rPr>
            </w:pPr>
            <w:r>
              <w:rPr>
                <w:lang w:val="en-US"/>
              </w:rPr>
              <w:t>4 (12.5)</w:t>
            </w:r>
          </w:p>
        </w:tc>
        <w:tc>
          <w:tcPr>
            <w:tcW w:w="1532" w:type="dxa"/>
          </w:tcPr>
          <w:p w14:paraId="61629DE0" w14:textId="543B26FC" w:rsidR="00D86C16" w:rsidRDefault="00D86C16" w:rsidP="00D86C16">
            <w:pPr>
              <w:rPr>
                <w:lang w:val="en-US"/>
              </w:rPr>
            </w:pPr>
            <w:r>
              <w:rPr>
                <w:lang w:val="en-US"/>
              </w:rPr>
              <w:t>14 (8.1)</w:t>
            </w:r>
          </w:p>
        </w:tc>
        <w:tc>
          <w:tcPr>
            <w:tcW w:w="1636" w:type="dxa"/>
          </w:tcPr>
          <w:p w14:paraId="1F4F8EBE" w14:textId="642FF1A6" w:rsidR="00D86C16" w:rsidRDefault="00D86C16" w:rsidP="00D86C16">
            <w:pPr>
              <w:rPr>
                <w:lang w:val="en-US"/>
              </w:rPr>
            </w:pPr>
            <w:r>
              <w:rPr>
                <w:lang w:val="en-US"/>
              </w:rPr>
              <w:t>16 (17.4)</w:t>
            </w:r>
          </w:p>
        </w:tc>
        <w:tc>
          <w:tcPr>
            <w:tcW w:w="1479" w:type="dxa"/>
            <w:vMerge w:val="restart"/>
          </w:tcPr>
          <w:p w14:paraId="4A23C5DF" w14:textId="0EDA4AE1" w:rsidR="00D86C16" w:rsidRDefault="00D86C16" w:rsidP="00D86C16">
            <w:pPr>
              <w:rPr>
                <w:lang w:val="en-US"/>
              </w:rPr>
            </w:pPr>
            <w:r w:rsidRPr="00410D3D">
              <w:rPr>
                <w:rFonts w:ascii="Calibri" w:eastAsia="Times New Roman" w:hAnsi="Calibri" w:cs="Calibri"/>
              </w:rPr>
              <w:t>χ</w:t>
            </w:r>
            <w:r w:rsidRPr="00410D3D">
              <w:rPr>
                <w:rFonts w:eastAsia="Times New Roman"/>
                <w:vertAlign w:val="superscript"/>
              </w:rPr>
              <w:t>2</w:t>
            </w:r>
            <w:r w:rsidRPr="00410D3D">
              <w:rPr>
                <w:rFonts w:eastAsia="Times New Roman"/>
              </w:rPr>
              <w:t>(4) = 10.61*</w:t>
            </w:r>
          </w:p>
        </w:tc>
      </w:tr>
      <w:tr w:rsidR="00D86C16" w14:paraId="28195333" w14:textId="77777777" w:rsidTr="007C5C73">
        <w:tc>
          <w:tcPr>
            <w:tcW w:w="1951" w:type="dxa"/>
          </w:tcPr>
          <w:p w14:paraId="72616073" w14:textId="016E1B12" w:rsidR="00D86C16" w:rsidRDefault="00D86C16" w:rsidP="00D86C16">
            <w:pPr>
              <w:rPr>
                <w:lang w:val="en-US"/>
              </w:rPr>
            </w:pPr>
            <w:r>
              <w:rPr>
                <w:lang w:val="en-US"/>
              </w:rPr>
              <w:t>Traditional</w:t>
            </w:r>
          </w:p>
        </w:tc>
        <w:tc>
          <w:tcPr>
            <w:tcW w:w="1276" w:type="dxa"/>
          </w:tcPr>
          <w:p w14:paraId="1CBE213A" w14:textId="32BF4B86" w:rsidR="00D86C16" w:rsidRDefault="00D86C16" w:rsidP="00D86C16">
            <w:pPr>
              <w:rPr>
                <w:lang w:val="en-US"/>
              </w:rPr>
            </w:pPr>
            <w:r>
              <w:rPr>
                <w:lang w:val="en-US"/>
              </w:rPr>
              <w:t>3 (9.4)</w:t>
            </w:r>
          </w:p>
        </w:tc>
        <w:tc>
          <w:tcPr>
            <w:tcW w:w="1368" w:type="dxa"/>
          </w:tcPr>
          <w:p w14:paraId="450D74E1" w14:textId="45FADD79" w:rsidR="00D86C16" w:rsidRDefault="00D86C16" w:rsidP="00D86C16">
            <w:pPr>
              <w:rPr>
                <w:lang w:val="en-US"/>
              </w:rPr>
            </w:pPr>
            <w:r>
              <w:rPr>
                <w:lang w:val="en-US"/>
              </w:rPr>
              <w:t>3 (9.4)</w:t>
            </w:r>
          </w:p>
        </w:tc>
        <w:tc>
          <w:tcPr>
            <w:tcW w:w="1532" w:type="dxa"/>
          </w:tcPr>
          <w:p w14:paraId="3049A82B" w14:textId="5B29C3C4" w:rsidR="00D86C16" w:rsidRDefault="00D86C16" w:rsidP="00D86C16">
            <w:pPr>
              <w:rPr>
                <w:lang w:val="en-US"/>
              </w:rPr>
            </w:pPr>
            <w:r>
              <w:rPr>
                <w:lang w:val="en-US"/>
              </w:rPr>
              <w:t>28 (16.3)</w:t>
            </w:r>
          </w:p>
        </w:tc>
        <w:tc>
          <w:tcPr>
            <w:tcW w:w="1636" w:type="dxa"/>
          </w:tcPr>
          <w:p w14:paraId="14C53797" w14:textId="73A721AB" w:rsidR="00D86C16" w:rsidRDefault="00D86C16" w:rsidP="00D86C16">
            <w:pPr>
              <w:rPr>
                <w:lang w:val="en-US"/>
              </w:rPr>
            </w:pPr>
            <w:r>
              <w:rPr>
                <w:lang w:val="en-US"/>
              </w:rPr>
              <w:t>22 (23.9)</w:t>
            </w:r>
          </w:p>
        </w:tc>
        <w:tc>
          <w:tcPr>
            <w:tcW w:w="1479" w:type="dxa"/>
            <w:vMerge/>
          </w:tcPr>
          <w:p w14:paraId="6CF257A5" w14:textId="77777777" w:rsidR="00D86C16" w:rsidRDefault="00D86C16" w:rsidP="00D86C16">
            <w:pPr>
              <w:rPr>
                <w:lang w:val="en-US"/>
              </w:rPr>
            </w:pPr>
          </w:p>
        </w:tc>
      </w:tr>
      <w:tr w:rsidR="00D86C16" w14:paraId="2CD49861" w14:textId="77777777" w:rsidTr="007C5C73">
        <w:tc>
          <w:tcPr>
            <w:tcW w:w="1951" w:type="dxa"/>
          </w:tcPr>
          <w:p w14:paraId="6E99818C" w14:textId="2B74CB9F" w:rsidR="00D86C16" w:rsidRDefault="00D86C16" w:rsidP="00D86C16">
            <w:pPr>
              <w:rPr>
                <w:lang w:val="en-US"/>
              </w:rPr>
            </w:pPr>
            <w:r>
              <w:rPr>
                <w:lang w:val="en-US"/>
              </w:rPr>
              <w:t>Secular</w:t>
            </w:r>
          </w:p>
        </w:tc>
        <w:tc>
          <w:tcPr>
            <w:tcW w:w="1276" w:type="dxa"/>
          </w:tcPr>
          <w:p w14:paraId="120BD6A4" w14:textId="3DF518B7" w:rsidR="00D86C16" w:rsidRDefault="00D86C16" w:rsidP="00D86C16">
            <w:pPr>
              <w:rPr>
                <w:lang w:val="en-US"/>
              </w:rPr>
            </w:pPr>
            <w:r>
              <w:rPr>
                <w:lang w:val="en-US"/>
              </w:rPr>
              <w:t>25 (78.1)</w:t>
            </w:r>
          </w:p>
        </w:tc>
        <w:tc>
          <w:tcPr>
            <w:tcW w:w="1368" w:type="dxa"/>
          </w:tcPr>
          <w:p w14:paraId="6B3611F0" w14:textId="3918914D" w:rsidR="00D86C16" w:rsidRDefault="00D86C16" w:rsidP="00D86C16">
            <w:pPr>
              <w:rPr>
                <w:lang w:val="en-US"/>
              </w:rPr>
            </w:pPr>
            <w:r>
              <w:rPr>
                <w:lang w:val="en-US"/>
              </w:rPr>
              <w:t>25 (78.1)</w:t>
            </w:r>
          </w:p>
        </w:tc>
        <w:tc>
          <w:tcPr>
            <w:tcW w:w="1532" w:type="dxa"/>
          </w:tcPr>
          <w:p w14:paraId="145B2584" w14:textId="1C64CB0D" w:rsidR="00D86C16" w:rsidRDefault="00D86C16" w:rsidP="00D86C16">
            <w:pPr>
              <w:rPr>
                <w:lang w:val="en-US"/>
              </w:rPr>
            </w:pPr>
            <w:r>
              <w:rPr>
                <w:lang w:val="en-US"/>
              </w:rPr>
              <w:t>130 (75.6)</w:t>
            </w:r>
          </w:p>
        </w:tc>
        <w:tc>
          <w:tcPr>
            <w:tcW w:w="1636" w:type="dxa"/>
          </w:tcPr>
          <w:p w14:paraId="07BB0037" w14:textId="53BBDD0A" w:rsidR="00D86C16" w:rsidRDefault="00D86C16" w:rsidP="00D86C16">
            <w:pPr>
              <w:rPr>
                <w:lang w:val="en-US"/>
              </w:rPr>
            </w:pPr>
            <w:r>
              <w:rPr>
                <w:lang w:val="en-US"/>
              </w:rPr>
              <w:t>54 (58.7)</w:t>
            </w:r>
          </w:p>
        </w:tc>
        <w:tc>
          <w:tcPr>
            <w:tcW w:w="1479" w:type="dxa"/>
            <w:vMerge/>
          </w:tcPr>
          <w:p w14:paraId="2C03E77E" w14:textId="77777777" w:rsidR="00D86C16" w:rsidRDefault="00D86C16" w:rsidP="00D86C16">
            <w:pPr>
              <w:rPr>
                <w:lang w:val="en-US"/>
              </w:rPr>
            </w:pPr>
          </w:p>
        </w:tc>
      </w:tr>
      <w:tr w:rsidR="00D86C16" w14:paraId="6B4ACB43" w14:textId="77777777" w:rsidTr="007C5C73">
        <w:tc>
          <w:tcPr>
            <w:tcW w:w="1951" w:type="dxa"/>
          </w:tcPr>
          <w:p w14:paraId="72E67F47" w14:textId="77777777" w:rsidR="00D86C16" w:rsidRDefault="00D86C16" w:rsidP="00D86C16">
            <w:pPr>
              <w:rPr>
                <w:lang w:val="en-US"/>
              </w:rPr>
            </w:pPr>
          </w:p>
        </w:tc>
        <w:tc>
          <w:tcPr>
            <w:tcW w:w="1276" w:type="dxa"/>
          </w:tcPr>
          <w:p w14:paraId="0FADAFEC" w14:textId="77777777" w:rsidR="00D86C16" w:rsidRDefault="00D86C16" w:rsidP="00D86C16">
            <w:pPr>
              <w:rPr>
                <w:lang w:val="en-US"/>
              </w:rPr>
            </w:pPr>
          </w:p>
        </w:tc>
        <w:tc>
          <w:tcPr>
            <w:tcW w:w="1368" w:type="dxa"/>
          </w:tcPr>
          <w:p w14:paraId="15429E38" w14:textId="77777777" w:rsidR="00D86C16" w:rsidRDefault="00D86C16" w:rsidP="00D86C16">
            <w:pPr>
              <w:rPr>
                <w:lang w:val="en-US"/>
              </w:rPr>
            </w:pPr>
          </w:p>
        </w:tc>
        <w:tc>
          <w:tcPr>
            <w:tcW w:w="1532" w:type="dxa"/>
          </w:tcPr>
          <w:p w14:paraId="37BC87A3" w14:textId="77777777" w:rsidR="00D86C16" w:rsidRDefault="00D86C16" w:rsidP="00D86C16">
            <w:pPr>
              <w:rPr>
                <w:lang w:val="en-US"/>
              </w:rPr>
            </w:pPr>
          </w:p>
        </w:tc>
        <w:tc>
          <w:tcPr>
            <w:tcW w:w="1636" w:type="dxa"/>
          </w:tcPr>
          <w:p w14:paraId="56AC4205" w14:textId="77777777" w:rsidR="00D86C16" w:rsidRDefault="00D86C16" w:rsidP="00D86C16">
            <w:pPr>
              <w:rPr>
                <w:lang w:val="en-US"/>
              </w:rPr>
            </w:pPr>
          </w:p>
        </w:tc>
        <w:tc>
          <w:tcPr>
            <w:tcW w:w="1479" w:type="dxa"/>
          </w:tcPr>
          <w:p w14:paraId="296D906F" w14:textId="77777777" w:rsidR="00D86C16" w:rsidRDefault="00D86C16" w:rsidP="00D86C16">
            <w:pPr>
              <w:rPr>
                <w:lang w:val="en-US"/>
              </w:rPr>
            </w:pPr>
          </w:p>
        </w:tc>
      </w:tr>
      <w:tr w:rsidR="00D86C16" w14:paraId="056AB77B" w14:textId="77777777" w:rsidTr="007C5C73">
        <w:tc>
          <w:tcPr>
            <w:tcW w:w="1951" w:type="dxa"/>
          </w:tcPr>
          <w:p w14:paraId="68BCB590" w14:textId="77777777" w:rsidR="00D86C16" w:rsidRDefault="00D86C16" w:rsidP="00D86C16">
            <w:pPr>
              <w:rPr>
                <w:lang w:val="en-US"/>
              </w:rPr>
            </w:pPr>
            <w:r>
              <w:rPr>
                <w:lang w:val="en-US"/>
              </w:rPr>
              <w:t>Years of education</w:t>
            </w:r>
          </w:p>
          <w:p w14:paraId="3C450268" w14:textId="77777777" w:rsidR="00D86C16" w:rsidRDefault="00D86C16" w:rsidP="00D86C16">
            <w:pPr>
              <w:rPr>
                <w:lang w:val="en-US"/>
              </w:rPr>
            </w:pPr>
            <w:r>
              <w:rPr>
                <w:lang w:val="en-US"/>
              </w:rPr>
              <w:t>(M, SD)</w:t>
            </w:r>
          </w:p>
          <w:p w14:paraId="2F64BA7C" w14:textId="71416A84" w:rsidR="00D86C16" w:rsidRDefault="00D86C16" w:rsidP="00D86C16">
            <w:pPr>
              <w:rPr>
                <w:lang w:val="en-US"/>
              </w:rPr>
            </w:pPr>
            <w:r>
              <w:rPr>
                <w:lang w:val="en-US"/>
              </w:rPr>
              <w:t>(Range 8-32)</w:t>
            </w:r>
          </w:p>
        </w:tc>
        <w:tc>
          <w:tcPr>
            <w:tcW w:w="1276" w:type="dxa"/>
          </w:tcPr>
          <w:p w14:paraId="3579119F" w14:textId="77777777" w:rsidR="00D86C16" w:rsidRPr="00410D3D" w:rsidRDefault="00D86C16" w:rsidP="00D86C16">
            <w:pPr>
              <w:spacing w:line="360" w:lineRule="auto"/>
              <w:rPr>
                <w:rFonts w:eastAsia="Times New Roman"/>
              </w:rPr>
            </w:pPr>
            <w:r w:rsidRPr="00410D3D">
              <w:rPr>
                <w:rFonts w:eastAsia="Times New Roman"/>
              </w:rPr>
              <w:t xml:space="preserve">16.52 </w:t>
            </w:r>
          </w:p>
          <w:p w14:paraId="4652E550" w14:textId="00A5DA28" w:rsidR="00D86C16" w:rsidRDefault="00D86C16" w:rsidP="00D86C16">
            <w:pPr>
              <w:rPr>
                <w:lang w:val="en-US"/>
              </w:rPr>
            </w:pPr>
            <w:r w:rsidRPr="00410D3D">
              <w:rPr>
                <w:rFonts w:eastAsia="Times New Roman"/>
              </w:rPr>
              <w:t>(3.49)</w:t>
            </w:r>
          </w:p>
        </w:tc>
        <w:tc>
          <w:tcPr>
            <w:tcW w:w="1368" w:type="dxa"/>
          </w:tcPr>
          <w:p w14:paraId="3D5FB7D3" w14:textId="77777777" w:rsidR="00D86C16" w:rsidRPr="00410D3D" w:rsidRDefault="00D86C16" w:rsidP="00D86C16">
            <w:pPr>
              <w:spacing w:line="360" w:lineRule="auto"/>
              <w:rPr>
                <w:rFonts w:eastAsia="Times New Roman"/>
              </w:rPr>
            </w:pPr>
            <w:r w:rsidRPr="00410D3D">
              <w:rPr>
                <w:rFonts w:eastAsia="Times New Roman"/>
              </w:rPr>
              <w:t xml:space="preserve">17.22 </w:t>
            </w:r>
          </w:p>
          <w:p w14:paraId="753405BA" w14:textId="1C1BE987" w:rsidR="00D86C16" w:rsidRDefault="00D86C16" w:rsidP="00D86C16">
            <w:pPr>
              <w:rPr>
                <w:lang w:val="en-US"/>
              </w:rPr>
            </w:pPr>
            <w:r w:rsidRPr="00410D3D">
              <w:rPr>
                <w:rFonts w:eastAsia="Times New Roman"/>
              </w:rPr>
              <w:t>(3.12)</w:t>
            </w:r>
          </w:p>
        </w:tc>
        <w:tc>
          <w:tcPr>
            <w:tcW w:w="1532" w:type="dxa"/>
          </w:tcPr>
          <w:p w14:paraId="77E3BF0B" w14:textId="77777777" w:rsidR="00D86C16" w:rsidRPr="00410D3D" w:rsidRDefault="00D86C16" w:rsidP="00D86C16">
            <w:pPr>
              <w:spacing w:line="360" w:lineRule="auto"/>
              <w:rPr>
                <w:rFonts w:eastAsia="Times New Roman"/>
              </w:rPr>
            </w:pPr>
            <w:r w:rsidRPr="00410D3D">
              <w:rPr>
                <w:rFonts w:eastAsia="Times New Roman"/>
              </w:rPr>
              <w:t>16.53</w:t>
            </w:r>
          </w:p>
          <w:p w14:paraId="67CC9E57" w14:textId="7724F45E" w:rsidR="00D86C16" w:rsidRDefault="00D86C16" w:rsidP="00D86C16">
            <w:pPr>
              <w:rPr>
                <w:lang w:val="en-US"/>
              </w:rPr>
            </w:pPr>
            <w:r w:rsidRPr="00410D3D">
              <w:rPr>
                <w:rFonts w:eastAsia="Times New Roman"/>
              </w:rPr>
              <w:t>(3.39)</w:t>
            </w:r>
          </w:p>
        </w:tc>
        <w:tc>
          <w:tcPr>
            <w:tcW w:w="1636" w:type="dxa"/>
          </w:tcPr>
          <w:p w14:paraId="680DE10D" w14:textId="77777777" w:rsidR="00D86C16" w:rsidRPr="00410D3D" w:rsidRDefault="00D86C16" w:rsidP="00D86C16">
            <w:pPr>
              <w:spacing w:line="360" w:lineRule="auto"/>
              <w:rPr>
                <w:rFonts w:eastAsia="Times New Roman"/>
                <w:vertAlign w:val="subscript"/>
              </w:rPr>
            </w:pPr>
            <w:r w:rsidRPr="00410D3D">
              <w:rPr>
                <w:rFonts w:eastAsia="Times New Roman"/>
              </w:rPr>
              <w:t>16.27</w:t>
            </w:r>
          </w:p>
          <w:p w14:paraId="2FE34D7E" w14:textId="777FABA7" w:rsidR="00D86C16" w:rsidRDefault="00D86C16" w:rsidP="00D86C16">
            <w:pPr>
              <w:rPr>
                <w:lang w:val="en-US"/>
              </w:rPr>
            </w:pPr>
            <w:r w:rsidRPr="00410D3D">
              <w:rPr>
                <w:rFonts w:eastAsia="Times New Roman"/>
              </w:rPr>
              <w:t>(3.78)</w:t>
            </w:r>
          </w:p>
        </w:tc>
        <w:tc>
          <w:tcPr>
            <w:tcW w:w="1479" w:type="dxa"/>
          </w:tcPr>
          <w:p w14:paraId="13136399" w14:textId="77777777" w:rsidR="00D86C16" w:rsidRPr="00410D3D" w:rsidRDefault="00D86C16" w:rsidP="00D86C16">
            <w:pPr>
              <w:spacing w:line="360" w:lineRule="auto"/>
              <w:rPr>
                <w:rFonts w:eastAsia="Times New Roman"/>
              </w:rPr>
            </w:pPr>
            <w:r w:rsidRPr="00410D3D">
              <w:rPr>
                <w:rFonts w:eastAsia="Times New Roman"/>
              </w:rPr>
              <w:t>F(2, 293) = 0.88</w:t>
            </w:r>
          </w:p>
          <w:p w14:paraId="3E20A51A" w14:textId="69E0ADDC" w:rsidR="00D86C16" w:rsidRDefault="00D86C16" w:rsidP="00D86C16">
            <w:pPr>
              <w:rPr>
                <w:lang w:val="en-US"/>
              </w:rPr>
            </w:pPr>
            <w:r w:rsidRPr="00410D3D">
              <w:rPr>
                <w:rFonts w:eastAsia="Times New Roman"/>
              </w:rPr>
              <w:t>(</w:t>
            </w:r>
            <w:r w:rsidRPr="00410D3D">
              <w:rPr>
                <w:rFonts w:ascii="Calibri" w:eastAsia="Times New Roman" w:hAnsi="Calibri" w:cs="Calibri"/>
              </w:rPr>
              <w:t>η</w:t>
            </w:r>
            <w:r w:rsidRPr="00410D3D">
              <w:rPr>
                <w:rFonts w:eastAsia="Times New Roman"/>
                <w:vertAlign w:val="superscript"/>
              </w:rPr>
              <w:t>2</w:t>
            </w:r>
            <w:r w:rsidRPr="00410D3D">
              <w:rPr>
                <w:rFonts w:eastAsia="Times New Roman"/>
              </w:rPr>
              <w:t xml:space="preserve"> = .006)</w:t>
            </w:r>
          </w:p>
        </w:tc>
      </w:tr>
      <w:tr w:rsidR="00D86C16" w14:paraId="337DC2C1" w14:textId="77777777" w:rsidTr="007C5C73">
        <w:tc>
          <w:tcPr>
            <w:tcW w:w="1951" w:type="dxa"/>
          </w:tcPr>
          <w:p w14:paraId="6A0DA5C6" w14:textId="77777777" w:rsidR="00D86C16" w:rsidRDefault="00D86C16" w:rsidP="00D86C16">
            <w:pPr>
              <w:rPr>
                <w:lang w:val="en-US"/>
              </w:rPr>
            </w:pPr>
          </w:p>
        </w:tc>
        <w:tc>
          <w:tcPr>
            <w:tcW w:w="1276" w:type="dxa"/>
          </w:tcPr>
          <w:p w14:paraId="289D90B2" w14:textId="77777777" w:rsidR="00D86C16" w:rsidRDefault="00D86C16" w:rsidP="00D86C16">
            <w:pPr>
              <w:rPr>
                <w:lang w:val="en-US"/>
              </w:rPr>
            </w:pPr>
          </w:p>
        </w:tc>
        <w:tc>
          <w:tcPr>
            <w:tcW w:w="1368" w:type="dxa"/>
          </w:tcPr>
          <w:p w14:paraId="3FC4C87E" w14:textId="77777777" w:rsidR="00D86C16" w:rsidRDefault="00D86C16" w:rsidP="00D86C16">
            <w:pPr>
              <w:rPr>
                <w:lang w:val="en-US"/>
              </w:rPr>
            </w:pPr>
          </w:p>
        </w:tc>
        <w:tc>
          <w:tcPr>
            <w:tcW w:w="1532" w:type="dxa"/>
          </w:tcPr>
          <w:p w14:paraId="7B4C5CB7" w14:textId="77777777" w:rsidR="00D86C16" w:rsidRDefault="00D86C16" w:rsidP="00D86C16">
            <w:pPr>
              <w:rPr>
                <w:lang w:val="en-US"/>
              </w:rPr>
            </w:pPr>
          </w:p>
        </w:tc>
        <w:tc>
          <w:tcPr>
            <w:tcW w:w="1636" w:type="dxa"/>
          </w:tcPr>
          <w:p w14:paraId="3B8DDB9B" w14:textId="77777777" w:rsidR="00D86C16" w:rsidRDefault="00D86C16" w:rsidP="00D86C16">
            <w:pPr>
              <w:rPr>
                <w:lang w:val="en-US"/>
              </w:rPr>
            </w:pPr>
          </w:p>
        </w:tc>
        <w:tc>
          <w:tcPr>
            <w:tcW w:w="1479" w:type="dxa"/>
          </w:tcPr>
          <w:p w14:paraId="4C2E9E5A" w14:textId="77777777" w:rsidR="00D86C16" w:rsidRDefault="00D86C16" w:rsidP="00D86C16">
            <w:pPr>
              <w:rPr>
                <w:lang w:val="en-US"/>
              </w:rPr>
            </w:pPr>
          </w:p>
        </w:tc>
      </w:tr>
      <w:tr w:rsidR="00D86C16" w14:paraId="4890D00B" w14:textId="77777777" w:rsidTr="007C5C73">
        <w:tc>
          <w:tcPr>
            <w:tcW w:w="1951" w:type="dxa"/>
          </w:tcPr>
          <w:p w14:paraId="56F135F0" w14:textId="77777777" w:rsidR="00D86C16" w:rsidRDefault="00AE199A" w:rsidP="00D86C16">
            <w:pPr>
              <w:rPr>
                <w:lang w:val="en-US"/>
              </w:rPr>
            </w:pPr>
            <w:r>
              <w:rPr>
                <w:b/>
                <w:bCs/>
                <w:lang w:val="en-US"/>
              </w:rPr>
              <w:t>Income</w:t>
            </w:r>
          </w:p>
          <w:p w14:paraId="7AA53AB4" w14:textId="79A0A315" w:rsidR="00AE199A" w:rsidRPr="00AE199A" w:rsidRDefault="00AE199A" w:rsidP="00D86C16">
            <w:pPr>
              <w:rPr>
                <w:lang w:val="en-US"/>
              </w:rPr>
            </w:pPr>
            <w:r>
              <w:rPr>
                <w:lang w:val="en-US"/>
              </w:rPr>
              <w:t>(N, %)</w:t>
            </w:r>
          </w:p>
        </w:tc>
        <w:tc>
          <w:tcPr>
            <w:tcW w:w="1276" w:type="dxa"/>
          </w:tcPr>
          <w:p w14:paraId="2FCA0E5E" w14:textId="77777777" w:rsidR="00D86C16" w:rsidRDefault="00D86C16" w:rsidP="00D86C16">
            <w:pPr>
              <w:rPr>
                <w:lang w:val="en-US"/>
              </w:rPr>
            </w:pPr>
          </w:p>
        </w:tc>
        <w:tc>
          <w:tcPr>
            <w:tcW w:w="1368" w:type="dxa"/>
          </w:tcPr>
          <w:p w14:paraId="7595F31A" w14:textId="77777777" w:rsidR="00D86C16" w:rsidRDefault="00D86C16" w:rsidP="00D86C16">
            <w:pPr>
              <w:rPr>
                <w:lang w:val="en-US"/>
              </w:rPr>
            </w:pPr>
          </w:p>
        </w:tc>
        <w:tc>
          <w:tcPr>
            <w:tcW w:w="1532" w:type="dxa"/>
          </w:tcPr>
          <w:p w14:paraId="149C2D2D" w14:textId="77777777" w:rsidR="00D86C16" w:rsidRDefault="00D86C16" w:rsidP="00D86C16">
            <w:pPr>
              <w:rPr>
                <w:lang w:val="en-US"/>
              </w:rPr>
            </w:pPr>
          </w:p>
        </w:tc>
        <w:tc>
          <w:tcPr>
            <w:tcW w:w="1636" w:type="dxa"/>
          </w:tcPr>
          <w:p w14:paraId="467DCD39" w14:textId="77777777" w:rsidR="00D86C16" w:rsidRDefault="00D86C16" w:rsidP="00D86C16">
            <w:pPr>
              <w:rPr>
                <w:lang w:val="en-US"/>
              </w:rPr>
            </w:pPr>
          </w:p>
        </w:tc>
        <w:tc>
          <w:tcPr>
            <w:tcW w:w="1479" w:type="dxa"/>
          </w:tcPr>
          <w:p w14:paraId="6336CE2F" w14:textId="77777777" w:rsidR="00D86C16" w:rsidRDefault="00D86C16" w:rsidP="00D86C16">
            <w:pPr>
              <w:rPr>
                <w:lang w:val="en-US"/>
              </w:rPr>
            </w:pPr>
          </w:p>
        </w:tc>
      </w:tr>
      <w:tr w:rsidR="00AE199A" w14:paraId="78EFE037" w14:textId="77777777" w:rsidTr="007C5C73">
        <w:tc>
          <w:tcPr>
            <w:tcW w:w="1951" w:type="dxa"/>
          </w:tcPr>
          <w:p w14:paraId="768A1035" w14:textId="79AFE307" w:rsidR="00AE199A" w:rsidRDefault="00AE199A" w:rsidP="00AE199A">
            <w:pPr>
              <w:rPr>
                <w:lang w:val="en-US"/>
              </w:rPr>
            </w:pPr>
            <w:r>
              <w:rPr>
                <w:lang w:val="en-US"/>
              </w:rPr>
              <w:t>Below average</w:t>
            </w:r>
          </w:p>
        </w:tc>
        <w:tc>
          <w:tcPr>
            <w:tcW w:w="1276" w:type="dxa"/>
          </w:tcPr>
          <w:p w14:paraId="299CB5C5" w14:textId="6F26B72C" w:rsidR="00AE199A" w:rsidRDefault="00AE199A" w:rsidP="00AE199A">
            <w:pPr>
              <w:rPr>
                <w:lang w:val="en-US"/>
              </w:rPr>
            </w:pPr>
            <w:r w:rsidRPr="00410D3D">
              <w:rPr>
                <w:rFonts w:eastAsia="Times New Roman"/>
              </w:rPr>
              <w:t>35 (12.0)</w:t>
            </w:r>
          </w:p>
        </w:tc>
        <w:tc>
          <w:tcPr>
            <w:tcW w:w="1368" w:type="dxa"/>
          </w:tcPr>
          <w:p w14:paraId="7BF60B6C" w14:textId="18204D3B" w:rsidR="00AE199A" w:rsidRDefault="00AE199A" w:rsidP="00AE199A">
            <w:pPr>
              <w:rPr>
                <w:lang w:val="en-US"/>
              </w:rPr>
            </w:pPr>
            <w:r w:rsidRPr="00410D3D">
              <w:rPr>
                <w:rFonts w:eastAsia="Times New Roman"/>
              </w:rPr>
              <w:t>--</w:t>
            </w:r>
          </w:p>
        </w:tc>
        <w:tc>
          <w:tcPr>
            <w:tcW w:w="1532" w:type="dxa"/>
          </w:tcPr>
          <w:p w14:paraId="29212BAB" w14:textId="257E8DDB" w:rsidR="00AE199A" w:rsidRDefault="00AE199A" w:rsidP="00AE199A">
            <w:pPr>
              <w:rPr>
                <w:lang w:val="en-US"/>
              </w:rPr>
            </w:pPr>
            <w:r w:rsidRPr="00410D3D">
              <w:rPr>
                <w:rFonts w:eastAsia="Times New Roman"/>
              </w:rPr>
              <w:t>15 (8.9)</w:t>
            </w:r>
          </w:p>
        </w:tc>
        <w:tc>
          <w:tcPr>
            <w:tcW w:w="1636" w:type="dxa"/>
          </w:tcPr>
          <w:p w14:paraId="7894F54B" w14:textId="5D06B3E8" w:rsidR="00AE199A" w:rsidRDefault="00AE199A" w:rsidP="00AE199A">
            <w:pPr>
              <w:rPr>
                <w:lang w:val="en-US"/>
              </w:rPr>
            </w:pPr>
            <w:r w:rsidRPr="00410D3D">
              <w:rPr>
                <w:rFonts w:eastAsia="Times New Roman"/>
              </w:rPr>
              <w:t>20 (22.0)</w:t>
            </w:r>
          </w:p>
        </w:tc>
        <w:tc>
          <w:tcPr>
            <w:tcW w:w="1479" w:type="dxa"/>
            <w:vMerge w:val="restart"/>
          </w:tcPr>
          <w:p w14:paraId="7B840C21" w14:textId="77777777" w:rsidR="00AE199A" w:rsidRDefault="00AE199A" w:rsidP="00AE199A">
            <w:pPr>
              <w:rPr>
                <w:rFonts w:eastAsia="Times New Roman"/>
              </w:rPr>
            </w:pPr>
            <w:r w:rsidRPr="00410D3D">
              <w:rPr>
                <w:rFonts w:ascii="Calibri" w:eastAsia="Times New Roman" w:hAnsi="Calibri" w:cs="Calibri"/>
              </w:rPr>
              <w:t>χ</w:t>
            </w:r>
            <w:r w:rsidRPr="00410D3D">
              <w:rPr>
                <w:rFonts w:eastAsia="Times New Roman"/>
                <w:vertAlign w:val="superscript"/>
              </w:rPr>
              <w:t>2</w:t>
            </w:r>
            <w:r w:rsidRPr="00410D3D">
              <w:rPr>
                <w:rFonts w:eastAsia="Times New Roman"/>
              </w:rPr>
              <w:t xml:space="preserve">(4) = </w:t>
            </w:r>
          </w:p>
          <w:p w14:paraId="0593249A" w14:textId="13D236AB" w:rsidR="00AE199A" w:rsidRDefault="00AE199A" w:rsidP="00AE199A">
            <w:pPr>
              <w:rPr>
                <w:lang w:val="en-US"/>
              </w:rPr>
            </w:pPr>
            <w:r w:rsidRPr="00410D3D">
              <w:rPr>
                <w:rFonts w:eastAsia="Times New Roman"/>
              </w:rPr>
              <w:t>21.34***</w:t>
            </w:r>
          </w:p>
        </w:tc>
      </w:tr>
      <w:tr w:rsidR="00AE199A" w14:paraId="210B4229" w14:textId="77777777" w:rsidTr="007C5C73">
        <w:tc>
          <w:tcPr>
            <w:tcW w:w="1951" w:type="dxa"/>
          </w:tcPr>
          <w:p w14:paraId="257987A2" w14:textId="1F65B457" w:rsidR="00AE199A" w:rsidRDefault="00AE199A" w:rsidP="00AE199A">
            <w:pPr>
              <w:rPr>
                <w:lang w:val="en-US"/>
              </w:rPr>
            </w:pPr>
            <w:r>
              <w:rPr>
                <w:lang w:val="en-US"/>
              </w:rPr>
              <w:t>Average</w:t>
            </w:r>
          </w:p>
        </w:tc>
        <w:tc>
          <w:tcPr>
            <w:tcW w:w="1276" w:type="dxa"/>
          </w:tcPr>
          <w:p w14:paraId="425509D3" w14:textId="3B4DF60A" w:rsidR="00AE199A" w:rsidRDefault="00AE199A" w:rsidP="00AE199A">
            <w:pPr>
              <w:rPr>
                <w:lang w:val="en-US"/>
              </w:rPr>
            </w:pPr>
            <w:r w:rsidRPr="00410D3D">
              <w:rPr>
                <w:rFonts w:eastAsia="Times New Roman"/>
              </w:rPr>
              <w:t>60 (20.5)</w:t>
            </w:r>
          </w:p>
        </w:tc>
        <w:tc>
          <w:tcPr>
            <w:tcW w:w="1368" w:type="dxa"/>
          </w:tcPr>
          <w:p w14:paraId="5366B16D" w14:textId="2A3F9D9D" w:rsidR="00AE199A" w:rsidRDefault="00AE199A" w:rsidP="00AE199A">
            <w:pPr>
              <w:rPr>
                <w:lang w:val="en-US"/>
              </w:rPr>
            </w:pPr>
            <w:r w:rsidRPr="00410D3D">
              <w:rPr>
                <w:rFonts w:eastAsia="Times New Roman"/>
              </w:rPr>
              <w:t>4 (12.5)</w:t>
            </w:r>
          </w:p>
        </w:tc>
        <w:tc>
          <w:tcPr>
            <w:tcW w:w="1532" w:type="dxa"/>
          </w:tcPr>
          <w:p w14:paraId="25B19145" w14:textId="0314D62A" w:rsidR="00AE199A" w:rsidRDefault="00AE199A" w:rsidP="00AE199A">
            <w:pPr>
              <w:rPr>
                <w:lang w:val="en-US"/>
              </w:rPr>
            </w:pPr>
            <w:r w:rsidRPr="00410D3D">
              <w:rPr>
                <w:rFonts w:eastAsia="Times New Roman"/>
              </w:rPr>
              <w:t>32 (18.9)</w:t>
            </w:r>
          </w:p>
        </w:tc>
        <w:tc>
          <w:tcPr>
            <w:tcW w:w="1636" w:type="dxa"/>
          </w:tcPr>
          <w:p w14:paraId="281EC269" w14:textId="6530C4F6" w:rsidR="00AE199A" w:rsidRDefault="00AE199A" w:rsidP="00AE199A">
            <w:pPr>
              <w:rPr>
                <w:lang w:val="en-US"/>
              </w:rPr>
            </w:pPr>
            <w:r w:rsidRPr="00410D3D">
              <w:rPr>
                <w:rFonts w:eastAsia="Times New Roman"/>
              </w:rPr>
              <w:t>24 (26.4)</w:t>
            </w:r>
          </w:p>
        </w:tc>
        <w:tc>
          <w:tcPr>
            <w:tcW w:w="1479" w:type="dxa"/>
            <w:vMerge/>
          </w:tcPr>
          <w:p w14:paraId="3F14EE6B" w14:textId="77777777" w:rsidR="00AE199A" w:rsidRDefault="00AE199A" w:rsidP="00AE199A">
            <w:pPr>
              <w:rPr>
                <w:lang w:val="en-US"/>
              </w:rPr>
            </w:pPr>
          </w:p>
        </w:tc>
      </w:tr>
      <w:tr w:rsidR="00AE199A" w14:paraId="4FD04C7B" w14:textId="77777777" w:rsidTr="007C5C73">
        <w:tc>
          <w:tcPr>
            <w:tcW w:w="1951" w:type="dxa"/>
          </w:tcPr>
          <w:p w14:paraId="47F5D6B7" w14:textId="56B4CBF7" w:rsidR="00AE199A" w:rsidRDefault="00AE199A" w:rsidP="00AE199A">
            <w:pPr>
              <w:rPr>
                <w:lang w:val="en-US"/>
              </w:rPr>
            </w:pPr>
            <w:r>
              <w:rPr>
                <w:lang w:val="en-US"/>
              </w:rPr>
              <w:t>Above average</w:t>
            </w:r>
          </w:p>
        </w:tc>
        <w:tc>
          <w:tcPr>
            <w:tcW w:w="1276" w:type="dxa"/>
          </w:tcPr>
          <w:p w14:paraId="3D3B10AF" w14:textId="38E4BC91" w:rsidR="00AE199A" w:rsidRDefault="00AE199A" w:rsidP="00AE199A">
            <w:pPr>
              <w:rPr>
                <w:lang w:val="en-US"/>
              </w:rPr>
            </w:pPr>
            <w:r w:rsidRPr="00410D3D">
              <w:rPr>
                <w:rFonts w:eastAsia="Times New Roman"/>
              </w:rPr>
              <w:t>197 (67.5)</w:t>
            </w:r>
          </w:p>
        </w:tc>
        <w:tc>
          <w:tcPr>
            <w:tcW w:w="1368" w:type="dxa"/>
          </w:tcPr>
          <w:p w14:paraId="1DFBDA20" w14:textId="658E46F5" w:rsidR="00AE199A" w:rsidRDefault="00AE199A" w:rsidP="00AE199A">
            <w:pPr>
              <w:rPr>
                <w:lang w:val="en-US"/>
              </w:rPr>
            </w:pPr>
            <w:r w:rsidRPr="00410D3D">
              <w:rPr>
                <w:rFonts w:eastAsia="Times New Roman"/>
              </w:rPr>
              <w:t>28 (87.5)</w:t>
            </w:r>
          </w:p>
        </w:tc>
        <w:tc>
          <w:tcPr>
            <w:tcW w:w="1532" w:type="dxa"/>
          </w:tcPr>
          <w:p w14:paraId="61EBBB37" w14:textId="5168C74C" w:rsidR="00AE199A" w:rsidRDefault="00AE199A" w:rsidP="00AE199A">
            <w:pPr>
              <w:rPr>
                <w:lang w:val="en-US"/>
              </w:rPr>
            </w:pPr>
            <w:r w:rsidRPr="00410D3D">
              <w:rPr>
                <w:rFonts w:eastAsia="Times New Roman"/>
              </w:rPr>
              <w:t>122 (72.2)</w:t>
            </w:r>
          </w:p>
        </w:tc>
        <w:tc>
          <w:tcPr>
            <w:tcW w:w="1636" w:type="dxa"/>
          </w:tcPr>
          <w:p w14:paraId="2B7A12A9" w14:textId="1B0110F9" w:rsidR="00AE199A" w:rsidRDefault="00AE199A" w:rsidP="00AE199A">
            <w:pPr>
              <w:rPr>
                <w:lang w:val="en-US"/>
              </w:rPr>
            </w:pPr>
            <w:r w:rsidRPr="00410D3D">
              <w:rPr>
                <w:rFonts w:eastAsia="Times New Roman"/>
              </w:rPr>
              <w:t>47 (51.6)</w:t>
            </w:r>
          </w:p>
        </w:tc>
        <w:tc>
          <w:tcPr>
            <w:tcW w:w="1479" w:type="dxa"/>
            <w:vMerge/>
          </w:tcPr>
          <w:p w14:paraId="052AA388" w14:textId="77777777" w:rsidR="00AE199A" w:rsidRDefault="00AE199A" w:rsidP="00AE199A">
            <w:pPr>
              <w:rPr>
                <w:lang w:val="en-US"/>
              </w:rPr>
            </w:pPr>
          </w:p>
        </w:tc>
      </w:tr>
      <w:tr w:rsidR="00AE199A" w14:paraId="28EE8C68" w14:textId="77777777" w:rsidTr="007C5C73">
        <w:tc>
          <w:tcPr>
            <w:tcW w:w="1951" w:type="dxa"/>
          </w:tcPr>
          <w:p w14:paraId="0512EDBE" w14:textId="77777777" w:rsidR="00AE199A" w:rsidRDefault="00AE199A" w:rsidP="00AE199A">
            <w:pPr>
              <w:rPr>
                <w:lang w:val="en-US"/>
              </w:rPr>
            </w:pPr>
          </w:p>
        </w:tc>
        <w:tc>
          <w:tcPr>
            <w:tcW w:w="1276" w:type="dxa"/>
          </w:tcPr>
          <w:p w14:paraId="42374A72" w14:textId="77777777" w:rsidR="00AE199A" w:rsidRDefault="00AE199A" w:rsidP="00AE199A">
            <w:pPr>
              <w:rPr>
                <w:lang w:val="en-US"/>
              </w:rPr>
            </w:pPr>
          </w:p>
        </w:tc>
        <w:tc>
          <w:tcPr>
            <w:tcW w:w="1368" w:type="dxa"/>
          </w:tcPr>
          <w:p w14:paraId="5E2FC8A3" w14:textId="77777777" w:rsidR="00AE199A" w:rsidRDefault="00AE199A" w:rsidP="00AE199A">
            <w:pPr>
              <w:rPr>
                <w:lang w:val="en-US"/>
              </w:rPr>
            </w:pPr>
          </w:p>
        </w:tc>
        <w:tc>
          <w:tcPr>
            <w:tcW w:w="1532" w:type="dxa"/>
          </w:tcPr>
          <w:p w14:paraId="6A30EB28" w14:textId="77777777" w:rsidR="00AE199A" w:rsidRDefault="00AE199A" w:rsidP="00AE199A">
            <w:pPr>
              <w:rPr>
                <w:lang w:val="en-US"/>
              </w:rPr>
            </w:pPr>
          </w:p>
        </w:tc>
        <w:tc>
          <w:tcPr>
            <w:tcW w:w="1636" w:type="dxa"/>
          </w:tcPr>
          <w:p w14:paraId="71BA447B" w14:textId="77777777" w:rsidR="00AE199A" w:rsidRDefault="00AE199A" w:rsidP="00AE199A">
            <w:pPr>
              <w:rPr>
                <w:lang w:val="en-US"/>
              </w:rPr>
            </w:pPr>
          </w:p>
        </w:tc>
        <w:tc>
          <w:tcPr>
            <w:tcW w:w="1479" w:type="dxa"/>
          </w:tcPr>
          <w:p w14:paraId="11E2128E" w14:textId="77777777" w:rsidR="00AE199A" w:rsidRDefault="00AE199A" w:rsidP="00AE199A">
            <w:pPr>
              <w:rPr>
                <w:lang w:val="en-US"/>
              </w:rPr>
            </w:pPr>
          </w:p>
        </w:tc>
      </w:tr>
      <w:tr w:rsidR="00AE199A" w14:paraId="24913A2F" w14:textId="77777777" w:rsidTr="007C5C73">
        <w:tc>
          <w:tcPr>
            <w:tcW w:w="1951" w:type="dxa"/>
          </w:tcPr>
          <w:p w14:paraId="628D3BCF" w14:textId="57022A38" w:rsidR="00AE199A" w:rsidRPr="00305152" w:rsidRDefault="00305152" w:rsidP="00AE199A">
            <w:pPr>
              <w:rPr>
                <w:lang w:val="en-US"/>
              </w:rPr>
            </w:pPr>
            <w:r>
              <w:rPr>
                <w:b/>
                <w:bCs/>
                <w:lang w:val="en-US"/>
              </w:rPr>
              <w:t>Intimacy and family</w:t>
            </w:r>
          </w:p>
        </w:tc>
        <w:tc>
          <w:tcPr>
            <w:tcW w:w="1276" w:type="dxa"/>
          </w:tcPr>
          <w:p w14:paraId="5F3C5FB8" w14:textId="77777777" w:rsidR="00AE199A" w:rsidRDefault="00AE199A" w:rsidP="00AE199A">
            <w:pPr>
              <w:rPr>
                <w:lang w:val="en-US"/>
              </w:rPr>
            </w:pPr>
          </w:p>
        </w:tc>
        <w:tc>
          <w:tcPr>
            <w:tcW w:w="1368" w:type="dxa"/>
          </w:tcPr>
          <w:p w14:paraId="2A3108C9" w14:textId="77777777" w:rsidR="00AE199A" w:rsidRDefault="00AE199A" w:rsidP="00AE199A">
            <w:pPr>
              <w:rPr>
                <w:lang w:val="en-US"/>
              </w:rPr>
            </w:pPr>
          </w:p>
        </w:tc>
        <w:tc>
          <w:tcPr>
            <w:tcW w:w="1532" w:type="dxa"/>
          </w:tcPr>
          <w:p w14:paraId="362AD2EC" w14:textId="77777777" w:rsidR="00AE199A" w:rsidRDefault="00AE199A" w:rsidP="00AE199A">
            <w:pPr>
              <w:rPr>
                <w:lang w:val="en-US"/>
              </w:rPr>
            </w:pPr>
          </w:p>
        </w:tc>
        <w:tc>
          <w:tcPr>
            <w:tcW w:w="1636" w:type="dxa"/>
          </w:tcPr>
          <w:p w14:paraId="23EA81A6" w14:textId="77777777" w:rsidR="00AE199A" w:rsidRDefault="00AE199A" w:rsidP="00AE199A">
            <w:pPr>
              <w:rPr>
                <w:lang w:val="en-US"/>
              </w:rPr>
            </w:pPr>
          </w:p>
        </w:tc>
        <w:tc>
          <w:tcPr>
            <w:tcW w:w="1479" w:type="dxa"/>
          </w:tcPr>
          <w:p w14:paraId="767C95F1" w14:textId="77777777" w:rsidR="00AE199A" w:rsidRDefault="00AE199A" w:rsidP="00AE199A">
            <w:pPr>
              <w:rPr>
                <w:lang w:val="en-US"/>
              </w:rPr>
            </w:pPr>
          </w:p>
        </w:tc>
      </w:tr>
      <w:tr w:rsidR="00AE199A" w14:paraId="1666DCFA" w14:textId="77777777" w:rsidTr="007C5C73">
        <w:tc>
          <w:tcPr>
            <w:tcW w:w="1951" w:type="dxa"/>
          </w:tcPr>
          <w:p w14:paraId="725C5B98" w14:textId="77777777" w:rsidR="00AE199A" w:rsidRDefault="00CF19D6" w:rsidP="00AE199A">
            <w:pPr>
              <w:rPr>
                <w:lang w:val="en-US"/>
              </w:rPr>
            </w:pPr>
            <w:r>
              <w:rPr>
                <w:lang w:val="en-US"/>
              </w:rPr>
              <w:t>Marital status</w:t>
            </w:r>
          </w:p>
          <w:p w14:paraId="7271EBD2" w14:textId="3384470D" w:rsidR="00CF19D6" w:rsidRDefault="00CF19D6" w:rsidP="00AE199A">
            <w:pPr>
              <w:rPr>
                <w:lang w:val="en-US"/>
              </w:rPr>
            </w:pPr>
            <w:r>
              <w:rPr>
                <w:lang w:val="en-US"/>
              </w:rPr>
              <w:t>(N, %)</w:t>
            </w:r>
          </w:p>
        </w:tc>
        <w:tc>
          <w:tcPr>
            <w:tcW w:w="1276" w:type="dxa"/>
          </w:tcPr>
          <w:p w14:paraId="1770D3D3" w14:textId="77777777" w:rsidR="00AE199A" w:rsidRDefault="00AE199A" w:rsidP="00AE199A">
            <w:pPr>
              <w:rPr>
                <w:lang w:val="en-US"/>
              </w:rPr>
            </w:pPr>
          </w:p>
        </w:tc>
        <w:tc>
          <w:tcPr>
            <w:tcW w:w="1368" w:type="dxa"/>
          </w:tcPr>
          <w:p w14:paraId="5E7AF4EE" w14:textId="77777777" w:rsidR="00AE199A" w:rsidRDefault="00AE199A" w:rsidP="00AE199A">
            <w:pPr>
              <w:rPr>
                <w:lang w:val="en-US"/>
              </w:rPr>
            </w:pPr>
          </w:p>
        </w:tc>
        <w:tc>
          <w:tcPr>
            <w:tcW w:w="1532" w:type="dxa"/>
          </w:tcPr>
          <w:p w14:paraId="2E133FE7" w14:textId="77777777" w:rsidR="00AE199A" w:rsidRDefault="00AE199A" w:rsidP="00AE199A">
            <w:pPr>
              <w:rPr>
                <w:lang w:val="en-US"/>
              </w:rPr>
            </w:pPr>
          </w:p>
        </w:tc>
        <w:tc>
          <w:tcPr>
            <w:tcW w:w="1636" w:type="dxa"/>
          </w:tcPr>
          <w:p w14:paraId="33875AE8" w14:textId="77777777" w:rsidR="00AE199A" w:rsidRDefault="00AE199A" w:rsidP="00AE199A">
            <w:pPr>
              <w:rPr>
                <w:lang w:val="en-US"/>
              </w:rPr>
            </w:pPr>
          </w:p>
        </w:tc>
        <w:tc>
          <w:tcPr>
            <w:tcW w:w="1479" w:type="dxa"/>
          </w:tcPr>
          <w:p w14:paraId="6AB755E3" w14:textId="77777777" w:rsidR="00AE199A" w:rsidRDefault="00AE199A" w:rsidP="00AE199A">
            <w:pPr>
              <w:rPr>
                <w:lang w:val="en-US"/>
              </w:rPr>
            </w:pPr>
          </w:p>
        </w:tc>
      </w:tr>
      <w:tr w:rsidR="00CF19D6" w14:paraId="77B77061" w14:textId="77777777" w:rsidTr="007C5C73">
        <w:tc>
          <w:tcPr>
            <w:tcW w:w="1951" w:type="dxa"/>
          </w:tcPr>
          <w:p w14:paraId="033831CC" w14:textId="4D072485" w:rsidR="00CF19D6" w:rsidRDefault="00CF19D6" w:rsidP="00CF19D6">
            <w:pPr>
              <w:rPr>
                <w:lang w:val="en-US"/>
              </w:rPr>
            </w:pPr>
            <w:r>
              <w:rPr>
                <w:lang w:val="en-US"/>
              </w:rPr>
              <w:t>In a relationship</w:t>
            </w:r>
          </w:p>
        </w:tc>
        <w:tc>
          <w:tcPr>
            <w:tcW w:w="1276" w:type="dxa"/>
          </w:tcPr>
          <w:p w14:paraId="1DDB23D2" w14:textId="0A36A0A2" w:rsidR="00CF19D6" w:rsidRDefault="00CF19D6" w:rsidP="00CF19D6">
            <w:pPr>
              <w:rPr>
                <w:lang w:val="en-US"/>
              </w:rPr>
            </w:pPr>
            <w:r w:rsidRPr="00410D3D">
              <w:rPr>
                <w:rFonts w:eastAsia="Times New Roman"/>
              </w:rPr>
              <w:t>74 (25.0)</w:t>
            </w:r>
          </w:p>
        </w:tc>
        <w:tc>
          <w:tcPr>
            <w:tcW w:w="1368" w:type="dxa"/>
          </w:tcPr>
          <w:p w14:paraId="7AF9F86B" w14:textId="702913C0" w:rsidR="00CF19D6" w:rsidRDefault="00CF19D6" w:rsidP="00CF19D6">
            <w:pPr>
              <w:rPr>
                <w:lang w:val="en-US"/>
              </w:rPr>
            </w:pPr>
            <w:r w:rsidRPr="00410D3D">
              <w:rPr>
                <w:rFonts w:eastAsia="Times New Roman"/>
              </w:rPr>
              <w:t>4 (12.5)</w:t>
            </w:r>
          </w:p>
        </w:tc>
        <w:tc>
          <w:tcPr>
            <w:tcW w:w="1532" w:type="dxa"/>
          </w:tcPr>
          <w:p w14:paraId="62BC1C80" w14:textId="7EC5030D" w:rsidR="00CF19D6" w:rsidRDefault="00CF19D6" w:rsidP="00CF19D6">
            <w:pPr>
              <w:rPr>
                <w:lang w:val="en-US"/>
              </w:rPr>
            </w:pPr>
            <w:r w:rsidRPr="00410D3D">
              <w:rPr>
                <w:rFonts w:eastAsia="Times New Roman"/>
              </w:rPr>
              <w:t>41 (23.8)</w:t>
            </w:r>
          </w:p>
        </w:tc>
        <w:tc>
          <w:tcPr>
            <w:tcW w:w="1636" w:type="dxa"/>
          </w:tcPr>
          <w:p w14:paraId="659E4F9C" w14:textId="450A1E0D" w:rsidR="00CF19D6" w:rsidRDefault="00CF19D6" w:rsidP="00CF19D6">
            <w:pPr>
              <w:rPr>
                <w:lang w:val="en-US"/>
              </w:rPr>
            </w:pPr>
            <w:r w:rsidRPr="00410D3D">
              <w:rPr>
                <w:rFonts w:eastAsia="Times New Roman"/>
              </w:rPr>
              <w:t>29 (31.5)</w:t>
            </w:r>
          </w:p>
        </w:tc>
        <w:tc>
          <w:tcPr>
            <w:tcW w:w="1479" w:type="dxa"/>
            <w:vMerge w:val="restart"/>
          </w:tcPr>
          <w:p w14:paraId="3F7A486A" w14:textId="77777777" w:rsidR="00CF19D6" w:rsidRPr="00410D3D" w:rsidRDefault="00CF19D6" w:rsidP="00CF19D6">
            <w:pPr>
              <w:spacing w:line="360" w:lineRule="auto"/>
              <w:rPr>
                <w:rFonts w:eastAsia="Times New Roman"/>
              </w:rPr>
            </w:pPr>
            <w:r w:rsidRPr="00410D3D">
              <w:rPr>
                <w:rFonts w:ascii="Calibri" w:eastAsia="Times New Roman" w:hAnsi="Calibri" w:cs="Calibri"/>
              </w:rPr>
              <w:t>χ</w:t>
            </w:r>
            <w:r w:rsidRPr="00410D3D">
              <w:rPr>
                <w:rFonts w:eastAsia="Times New Roman"/>
                <w:vertAlign w:val="superscript"/>
              </w:rPr>
              <w:t>2</w:t>
            </w:r>
            <w:r w:rsidRPr="00410D3D">
              <w:rPr>
                <w:rFonts w:eastAsia="Times New Roman"/>
              </w:rPr>
              <w:t>(2) = 4.88</w:t>
            </w:r>
          </w:p>
          <w:p w14:paraId="05611035" w14:textId="77777777" w:rsidR="00CF19D6" w:rsidRDefault="00CF19D6" w:rsidP="00CF19D6">
            <w:pPr>
              <w:rPr>
                <w:lang w:val="en-US"/>
              </w:rPr>
            </w:pPr>
          </w:p>
        </w:tc>
      </w:tr>
      <w:tr w:rsidR="00CF19D6" w14:paraId="17F54835" w14:textId="77777777" w:rsidTr="007C5C73">
        <w:tc>
          <w:tcPr>
            <w:tcW w:w="1951" w:type="dxa"/>
          </w:tcPr>
          <w:p w14:paraId="535F431B" w14:textId="3289DC84" w:rsidR="00CF19D6" w:rsidRDefault="00CF19D6" w:rsidP="00CF19D6">
            <w:pPr>
              <w:rPr>
                <w:lang w:val="en-US"/>
              </w:rPr>
            </w:pPr>
            <w:r>
              <w:rPr>
                <w:lang w:val="en-US"/>
              </w:rPr>
              <w:t>Married</w:t>
            </w:r>
          </w:p>
        </w:tc>
        <w:tc>
          <w:tcPr>
            <w:tcW w:w="1276" w:type="dxa"/>
          </w:tcPr>
          <w:p w14:paraId="089E450B" w14:textId="6CBD2AA9" w:rsidR="00CF19D6" w:rsidRDefault="00CF19D6" w:rsidP="00CF19D6">
            <w:pPr>
              <w:rPr>
                <w:lang w:val="en-US"/>
              </w:rPr>
            </w:pPr>
            <w:r w:rsidRPr="00410D3D">
              <w:rPr>
                <w:rFonts w:eastAsia="Times New Roman"/>
              </w:rPr>
              <w:t>222 (75.0)</w:t>
            </w:r>
          </w:p>
        </w:tc>
        <w:tc>
          <w:tcPr>
            <w:tcW w:w="1368" w:type="dxa"/>
          </w:tcPr>
          <w:p w14:paraId="3ACB6F7E" w14:textId="72E7A562" w:rsidR="00CF19D6" w:rsidRDefault="00CF19D6" w:rsidP="00CF19D6">
            <w:pPr>
              <w:rPr>
                <w:lang w:val="en-US"/>
              </w:rPr>
            </w:pPr>
            <w:r w:rsidRPr="00410D3D">
              <w:rPr>
                <w:rFonts w:eastAsia="Times New Roman"/>
              </w:rPr>
              <w:t>28 (87.5)</w:t>
            </w:r>
          </w:p>
        </w:tc>
        <w:tc>
          <w:tcPr>
            <w:tcW w:w="1532" w:type="dxa"/>
          </w:tcPr>
          <w:p w14:paraId="29810CF7" w14:textId="671309EC" w:rsidR="00CF19D6" w:rsidRDefault="00CF19D6" w:rsidP="00CF19D6">
            <w:pPr>
              <w:rPr>
                <w:lang w:val="en-US"/>
              </w:rPr>
            </w:pPr>
            <w:r w:rsidRPr="00410D3D">
              <w:rPr>
                <w:rFonts w:eastAsia="Times New Roman"/>
              </w:rPr>
              <w:t>131 (76.2)</w:t>
            </w:r>
          </w:p>
        </w:tc>
        <w:tc>
          <w:tcPr>
            <w:tcW w:w="1636" w:type="dxa"/>
          </w:tcPr>
          <w:p w14:paraId="56DB318D" w14:textId="302FBAA8" w:rsidR="00CF19D6" w:rsidRDefault="00CF19D6" w:rsidP="00CF19D6">
            <w:pPr>
              <w:rPr>
                <w:lang w:val="en-US"/>
              </w:rPr>
            </w:pPr>
            <w:r w:rsidRPr="00410D3D">
              <w:rPr>
                <w:rFonts w:eastAsia="Times New Roman"/>
              </w:rPr>
              <w:t>63 (68.5)</w:t>
            </w:r>
          </w:p>
        </w:tc>
        <w:tc>
          <w:tcPr>
            <w:tcW w:w="1479" w:type="dxa"/>
            <w:vMerge/>
          </w:tcPr>
          <w:p w14:paraId="3208D58D" w14:textId="77777777" w:rsidR="00CF19D6" w:rsidRDefault="00CF19D6" w:rsidP="00CF19D6">
            <w:pPr>
              <w:rPr>
                <w:lang w:val="en-US"/>
              </w:rPr>
            </w:pPr>
          </w:p>
        </w:tc>
      </w:tr>
      <w:tr w:rsidR="00CF19D6" w14:paraId="6D3FAA18" w14:textId="77777777" w:rsidTr="007C5C73">
        <w:tc>
          <w:tcPr>
            <w:tcW w:w="1951" w:type="dxa"/>
          </w:tcPr>
          <w:p w14:paraId="306023D3" w14:textId="77777777" w:rsidR="00CF19D6" w:rsidRDefault="00CF19D6" w:rsidP="00CF19D6">
            <w:pPr>
              <w:rPr>
                <w:lang w:val="en-US"/>
              </w:rPr>
            </w:pPr>
            <w:r>
              <w:rPr>
                <w:lang w:val="en-US"/>
              </w:rPr>
              <w:t>Duration of relationship</w:t>
            </w:r>
          </w:p>
          <w:p w14:paraId="046455BC" w14:textId="77777777" w:rsidR="00CF19D6" w:rsidRDefault="00CF19D6" w:rsidP="00CF19D6">
            <w:pPr>
              <w:rPr>
                <w:lang w:val="en-US"/>
              </w:rPr>
            </w:pPr>
            <w:r>
              <w:rPr>
                <w:lang w:val="en-US"/>
              </w:rPr>
              <w:t>(N, SD)</w:t>
            </w:r>
          </w:p>
          <w:p w14:paraId="37DFE5C2" w14:textId="5A586F05" w:rsidR="00CF19D6" w:rsidRDefault="00CF19D6" w:rsidP="00CF19D6">
            <w:pPr>
              <w:rPr>
                <w:lang w:val="en-US"/>
              </w:rPr>
            </w:pPr>
            <w:r>
              <w:rPr>
                <w:lang w:val="en-US"/>
              </w:rPr>
              <w:t>(Range 1-55)</w:t>
            </w:r>
          </w:p>
        </w:tc>
        <w:tc>
          <w:tcPr>
            <w:tcW w:w="1276" w:type="dxa"/>
          </w:tcPr>
          <w:p w14:paraId="237E086A" w14:textId="301A7DFF" w:rsidR="00CF19D6" w:rsidRDefault="00CF19D6" w:rsidP="00CF19D6">
            <w:pPr>
              <w:rPr>
                <w:lang w:val="en-US"/>
              </w:rPr>
            </w:pPr>
            <w:r w:rsidRPr="00410D3D">
              <w:rPr>
                <w:rFonts w:eastAsia="Times New Roman"/>
              </w:rPr>
              <w:t>16.07 (11.27)</w:t>
            </w:r>
          </w:p>
        </w:tc>
        <w:tc>
          <w:tcPr>
            <w:tcW w:w="1368" w:type="dxa"/>
          </w:tcPr>
          <w:p w14:paraId="3515822E" w14:textId="3BC08B86" w:rsidR="00CF19D6" w:rsidRDefault="00CF19D6" w:rsidP="00CF19D6">
            <w:pPr>
              <w:rPr>
                <w:lang w:val="en-US"/>
              </w:rPr>
            </w:pPr>
            <w:r w:rsidRPr="00410D3D">
              <w:rPr>
                <w:rFonts w:eastAsia="Times New Roman"/>
              </w:rPr>
              <w:t>18.06</w:t>
            </w:r>
            <w:r w:rsidRPr="00410D3D">
              <w:rPr>
                <w:rFonts w:eastAsia="Times New Roman"/>
                <w:vertAlign w:val="subscript"/>
              </w:rPr>
              <w:t>a</w:t>
            </w:r>
            <w:r w:rsidRPr="00410D3D">
              <w:rPr>
                <w:rFonts w:eastAsia="Times New Roman"/>
              </w:rPr>
              <w:t xml:space="preserve"> (11.07)</w:t>
            </w:r>
          </w:p>
        </w:tc>
        <w:tc>
          <w:tcPr>
            <w:tcW w:w="1532" w:type="dxa"/>
          </w:tcPr>
          <w:p w14:paraId="152FF6FB" w14:textId="60709AD8" w:rsidR="00CF19D6" w:rsidRDefault="00CF19D6" w:rsidP="00CF19D6">
            <w:pPr>
              <w:rPr>
                <w:lang w:val="en-US"/>
              </w:rPr>
            </w:pPr>
            <w:r w:rsidRPr="00410D3D">
              <w:rPr>
                <w:rFonts w:eastAsia="Times New Roman"/>
              </w:rPr>
              <w:t>17.48</w:t>
            </w:r>
            <w:r w:rsidRPr="00410D3D">
              <w:rPr>
                <w:rFonts w:eastAsia="Times New Roman"/>
                <w:vertAlign w:val="subscript"/>
              </w:rPr>
              <w:t>a</w:t>
            </w:r>
            <w:r w:rsidRPr="00410D3D">
              <w:rPr>
                <w:rFonts w:eastAsia="Times New Roman"/>
              </w:rPr>
              <w:t xml:space="preserve"> (12.03)</w:t>
            </w:r>
          </w:p>
        </w:tc>
        <w:tc>
          <w:tcPr>
            <w:tcW w:w="1636" w:type="dxa"/>
          </w:tcPr>
          <w:p w14:paraId="32188205" w14:textId="77777777" w:rsidR="00CF19D6" w:rsidRPr="00410D3D" w:rsidRDefault="00CF19D6" w:rsidP="00CF19D6">
            <w:pPr>
              <w:spacing w:line="360" w:lineRule="auto"/>
              <w:rPr>
                <w:rFonts w:eastAsia="Times New Roman"/>
              </w:rPr>
            </w:pPr>
            <w:r w:rsidRPr="00410D3D">
              <w:rPr>
                <w:rFonts w:eastAsia="Times New Roman"/>
              </w:rPr>
              <w:t>12.75</w:t>
            </w:r>
            <w:r w:rsidRPr="00410D3D">
              <w:rPr>
                <w:rFonts w:eastAsia="Times New Roman"/>
                <w:vertAlign w:val="subscript"/>
              </w:rPr>
              <w:t xml:space="preserve">b </w:t>
            </w:r>
          </w:p>
          <w:p w14:paraId="6C22AD9C" w14:textId="7140BC20" w:rsidR="00CF19D6" w:rsidRDefault="00CF19D6" w:rsidP="00CF19D6">
            <w:pPr>
              <w:rPr>
                <w:lang w:val="en-US"/>
              </w:rPr>
            </w:pPr>
            <w:r w:rsidRPr="00410D3D">
              <w:rPr>
                <w:rFonts w:eastAsia="Times New Roman"/>
              </w:rPr>
              <w:t>(9.03)</w:t>
            </w:r>
          </w:p>
        </w:tc>
        <w:tc>
          <w:tcPr>
            <w:tcW w:w="1479" w:type="dxa"/>
          </w:tcPr>
          <w:p w14:paraId="608515C8" w14:textId="77777777" w:rsidR="00CF19D6" w:rsidRPr="00CF19D6" w:rsidRDefault="00CF19D6" w:rsidP="00CF19D6">
            <w:pPr>
              <w:rPr>
                <w:lang w:val="en-US"/>
              </w:rPr>
            </w:pPr>
            <w:r w:rsidRPr="00CF19D6">
              <w:rPr>
                <w:lang w:val="en-US"/>
              </w:rPr>
              <w:t>F(2, 292) = 6.02**</w:t>
            </w:r>
          </w:p>
          <w:p w14:paraId="096B1CE1" w14:textId="6CA190CA" w:rsidR="00CF19D6" w:rsidRDefault="00CF19D6" w:rsidP="00CF19D6">
            <w:pPr>
              <w:rPr>
                <w:lang w:val="en-US"/>
              </w:rPr>
            </w:pPr>
            <w:r w:rsidRPr="00CF19D6">
              <w:rPr>
                <w:lang w:val="en-US"/>
              </w:rPr>
              <w:t>(η</w:t>
            </w:r>
            <w:r w:rsidRPr="00CF19D6">
              <w:rPr>
                <w:vertAlign w:val="superscript"/>
                <w:lang w:val="en-US"/>
              </w:rPr>
              <w:t>2</w:t>
            </w:r>
            <w:r w:rsidRPr="00CF19D6">
              <w:rPr>
                <w:lang w:val="en-US"/>
              </w:rPr>
              <w:t xml:space="preserve"> = .040)</w:t>
            </w:r>
          </w:p>
        </w:tc>
      </w:tr>
      <w:tr w:rsidR="00CF19D6" w14:paraId="0D0028A9" w14:textId="77777777" w:rsidTr="007C5C73">
        <w:tc>
          <w:tcPr>
            <w:tcW w:w="1951" w:type="dxa"/>
          </w:tcPr>
          <w:p w14:paraId="3E6D4A10" w14:textId="597AFE65" w:rsidR="00CF19D6" w:rsidRDefault="00CF19D6" w:rsidP="00CF19D6">
            <w:pPr>
              <w:rPr>
                <w:lang w:val="en-US"/>
              </w:rPr>
            </w:pPr>
            <w:r>
              <w:rPr>
                <w:lang w:val="en-US"/>
              </w:rPr>
              <w:t>Minor children from this partner (N, %)</w:t>
            </w:r>
          </w:p>
        </w:tc>
        <w:tc>
          <w:tcPr>
            <w:tcW w:w="1276" w:type="dxa"/>
          </w:tcPr>
          <w:p w14:paraId="01BF1EA9" w14:textId="77777777" w:rsidR="00CF19D6" w:rsidRDefault="00CF19D6" w:rsidP="00CF19D6">
            <w:pPr>
              <w:rPr>
                <w:lang w:val="en-US"/>
              </w:rPr>
            </w:pPr>
          </w:p>
        </w:tc>
        <w:tc>
          <w:tcPr>
            <w:tcW w:w="1368" w:type="dxa"/>
          </w:tcPr>
          <w:p w14:paraId="1C07DA84" w14:textId="77777777" w:rsidR="00CF19D6" w:rsidRDefault="00CF19D6" w:rsidP="00CF19D6">
            <w:pPr>
              <w:rPr>
                <w:lang w:val="en-US"/>
              </w:rPr>
            </w:pPr>
          </w:p>
        </w:tc>
        <w:tc>
          <w:tcPr>
            <w:tcW w:w="1532" w:type="dxa"/>
          </w:tcPr>
          <w:p w14:paraId="7456B85E" w14:textId="77777777" w:rsidR="00CF19D6" w:rsidRDefault="00CF19D6" w:rsidP="00CF19D6">
            <w:pPr>
              <w:rPr>
                <w:lang w:val="en-US"/>
              </w:rPr>
            </w:pPr>
          </w:p>
        </w:tc>
        <w:tc>
          <w:tcPr>
            <w:tcW w:w="1636" w:type="dxa"/>
          </w:tcPr>
          <w:p w14:paraId="3DEBEAC1" w14:textId="77777777" w:rsidR="00CF19D6" w:rsidRDefault="00CF19D6" w:rsidP="00CF19D6">
            <w:pPr>
              <w:rPr>
                <w:lang w:val="en-US"/>
              </w:rPr>
            </w:pPr>
          </w:p>
        </w:tc>
        <w:tc>
          <w:tcPr>
            <w:tcW w:w="1479" w:type="dxa"/>
          </w:tcPr>
          <w:p w14:paraId="1E99CAA7" w14:textId="77777777" w:rsidR="00CF19D6" w:rsidRDefault="00CF19D6" w:rsidP="00CF19D6">
            <w:pPr>
              <w:rPr>
                <w:lang w:val="en-US"/>
              </w:rPr>
            </w:pPr>
          </w:p>
        </w:tc>
      </w:tr>
      <w:tr w:rsidR="00CF19D6" w14:paraId="6A5BB599" w14:textId="77777777" w:rsidTr="007C5C73">
        <w:tc>
          <w:tcPr>
            <w:tcW w:w="1951" w:type="dxa"/>
          </w:tcPr>
          <w:p w14:paraId="5A249384" w14:textId="22CFF3EC" w:rsidR="00CF19D6" w:rsidRDefault="00CF19D6" w:rsidP="00CF19D6">
            <w:pPr>
              <w:rPr>
                <w:lang w:val="en-US"/>
              </w:rPr>
            </w:pPr>
            <w:r>
              <w:rPr>
                <w:lang w:val="en-US"/>
              </w:rPr>
              <w:t>Yes</w:t>
            </w:r>
          </w:p>
        </w:tc>
        <w:tc>
          <w:tcPr>
            <w:tcW w:w="1276" w:type="dxa"/>
          </w:tcPr>
          <w:p w14:paraId="483C0AAA" w14:textId="036068FF" w:rsidR="00CF19D6" w:rsidRDefault="00CF19D6" w:rsidP="00CF19D6">
            <w:pPr>
              <w:rPr>
                <w:lang w:val="en-US"/>
              </w:rPr>
            </w:pPr>
            <w:r w:rsidRPr="00410D3D">
              <w:rPr>
                <w:rFonts w:eastAsia="Times New Roman"/>
              </w:rPr>
              <w:t>180 (60.8)</w:t>
            </w:r>
          </w:p>
        </w:tc>
        <w:tc>
          <w:tcPr>
            <w:tcW w:w="1368" w:type="dxa"/>
          </w:tcPr>
          <w:p w14:paraId="4272022F" w14:textId="64B5754F" w:rsidR="00CF19D6" w:rsidRDefault="00CF19D6" w:rsidP="00CF19D6">
            <w:pPr>
              <w:rPr>
                <w:lang w:val="en-US"/>
              </w:rPr>
            </w:pPr>
            <w:r w:rsidRPr="00410D3D">
              <w:rPr>
                <w:rFonts w:eastAsia="Times New Roman"/>
              </w:rPr>
              <w:t>21 (65.6)</w:t>
            </w:r>
          </w:p>
        </w:tc>
        <w:tc>
          <w:tcPr>
            <w:tcW w:w="1532" w:type="dxa"/>
          </w:tcPr>
          <w:p w14:paraId="2ACAAA87" w14:textId="5AF130D3" w:rsidR="00CF19D6" w:rsidRDefault="00CF19D6" w:rsidP="00CF19D6">
            <w:pPr>
              <w:rPr>
                <w:lang w:val="en-US"/>
              </w:rPr>
            </w:pPr>
            <w:r w:rsidRPr="00410D3D">
              <w:rPr>
                <w:rFonts w:eastAsia="Times New Roman"/>
              </w:rPr>
              <w:t>102 (59.3)</w:t>
            </w:r>
          </w:p>
        </w:tc>
        <w:tc>
          <w:tcPr>
            <w:tcW w:w="1636" w:type="dxa"/>
          </w:tcPr>
          <w:p w14:paraId="3BFCD4A2" w14:textId="5B7E0E4F" w:rsidR="00CF19D6" w:rsidRDefault="00CF19D6" w:rsidP="00CF19D6">
            <w:pPr>
              <w:rPr>
                <w:lang w:val="en-US"/>
              </w:rPr>
            </w:pPr>
            <w:r w:rsidRPr="00410D3D">
              <w:rPr>
                <w:rFonts w:eastAsia="Times New Roman"/>
              </w:rPr>
              <w:t>57 (62.0)</w:t>
            </w:r>
          </w:p>
        </w:tc>
        <w:tc>
          <w:tcPr>
            <w:tcW w:w="1479" w:type="dxa"/>
          </w:tcPr>
          <w:p w14:paraId="6D7631A7" w14:textId="40DF4A7A" w:rsidR="00CF19D6" w:rsidRDefault="00CF19D6" w:rsidP="00CF19D6">
            <w:pPr>
              <w:rPr>
                <w:lang w:val="en-US"/>
              </w:rPr>
            </w:pPr>
            <w:r w:rsidRPr="00410D3D">
              <w:rPr>
                <w:rFonts w:ascii="Calibri" w:eastAsia="Times New Roman" w:hAnsi="Calibri" w:cs="Calibri"/>
              </w:rPr>
              <w:t>χ</w:t>
            </w:r>
            <w:r w:rsidRPr="00410D3D">
              <w:rPr>
                <w:rFonts w:eastAsia="Times New Roman"/>
                <w:vertAlign w:val="superscript"/>
              </w:rPr>
              <w:t>2</w:t>
            </w:r>
            <w:r w:rsidRPr="00410D3D">
              <w:rPr>
                <w:rFonts w:eastAsia="Times New Roman"/>
              </w:rPr>
              <w:t>(2) = 0.53</w:t>
            </w:r>
          </w:p>
        </w:tc>
      </w:tr>
      <w:tr w:rsidR="00CF19D6" w14:paraId="16B23AEC" w14:textId="77777777" w:rsidTr="007C5C73">
        <w:tc>
          <w:tcPr>
            <w:tcW w:w="1951" w:type="dxa"/>
          </w:tcPr>
          <w:p w14:paraId="5B529801" w14:textId="56D4E089" w:rsidR="00CF19D6" w:rsidRDefault="00CF19D6" w:rsidP="00CF19D6">
            <w:pPr>
              <w:rPr>
                <w:lang w:val="en-US"/>
              </w:rPr>
            </w:pPr>
            <w:r>
              <w:rPr>
                <w:lang w:val="en-US"/>
              </w:rPr>
              <w:t>Adult children from this partner (N, %)</w:t>
            </w:r>
          </w:p>
        </w:tc>
        <w:tc>
          <w:tcPr>
            <w:tcW w:w="1276" w:type="dxa"/>
          </w:tcPr>
          <w:p w14:paraId="0A9E4E03" w14:textId="77777777" w:rsidR="00CF19D6" w:rsidRDefault="00CF19D6" w:rsidP="00CF19D6">
            <w:pPr>
              <w:rPr>
                <w:lang w:val="en-US"/>
              </w:rPr>
            </w:pPr>
          </w:p>
        </w:tc>
        <w:tc>
          <w:tcPr>
            <w:tcW w:w="1368" w:type="dxa"/>
          </w:tcPr>
          <w:p w14:paraId="76236EED" w14:textId="77777777" w:rsidR="00CF19D6" w:rsidRDefault="00CF19D6" w:rsidP="00CF19D6">
            <w:pPr>
              <w:rPr>
                <w:lang w:val="en-US"/>
              </w:rPr>
            </w:pPr>
          </w:p>
        </w:tc>
        <w:tc>
          <w:tcPr>
            <w:tcW w:w="1532" w:type="dxa"/>
          </w:tcPr>
          <w:p w14:paraId="48636FE2" w14:textId="77777777" w:rsidR="00CF19D6" w:rsidRDefault="00CF19D6" w:rsidP="00CF19D6">
            <w:pPr>
              <w:rPr>
                <w:lang w:val="en-US"/>
              </w:rPr>
            </w:pPr>
          </w:p>
        </w:tc>
        <w:tc>
          <w:tcPr>
            <w:tcW w:w="1636" w:type="dxa"/>
          </w:tcPr>
          <w:p w14:paraId="29C81F9F" w14:textId="77777777" w:rsidR="00CF19D6" w:rsidRDefault="00CF19D6" w:rsidP="00CF19D6">
            <w:pPr>
              <w:rPr>
                <w:lang w:val="en-US"/>
              </w:rPr>
            </w:pPr>
          </w:p>
        </w:tc>
        <w:tc>
          <w:tcPr>
            <w:tcW w:w="1479" w:type="dxa"/>
          </w:tcPr>
          <w:p w14:paraId="7D71ED86" w14:textId="77777777" w:rsidR="00CF19D6" w:rsidRDefault="00CF19D6" w:rsidP="00CF19D6">
            <w:pPr>
              <w:rPr>
                <w:lang w:val="en-US"/>
              </w:rPr>
            </w:pPr>
          </w:p>
        </w:tc>
      </w:tr>
      <w:tr w:rsidR="00CF19D6" w14:paraId="5572F7B8" w14:textId="77777777" w:rsidTr="007C5C73">
        <w:tc>
          <w:tcPr>
            <w:tcW w:w="1951" w:type="dxa"/>
          </w:tcPr>
          <w:p w14:paraId="4E8B3258" w14:textId="4A6E8351" w:rsidR="00CF19D6" w:rsidRDefault="00CF19D6" w:rsidP="00CF19D6">
            <w:pPr>
              <w:rPr>
                <w:lang w:val="en-US"/>
              </w:rPr>
            </w:pPr>
            <w:r>
              <w:rPr>
                <w:lang w:val="en-US"/>
              </w:rPr>
              <w:t>Yes</w:t>
            </w:r>
          </w:p>
        </w:tc>
        <w:tc>
          <w:tcPr>
            <w:tcW w:w="1276" w:type="dxa"/>
          </w:tcPr>
          <w:p w14:paraId="4D17462A" w14:textId="24A8AB72" w:rsidR="00CF19D6" w:rsidRDefault="00CF19D6" w:rsidP="00CF19D6">
            <w:pPr>
              <w:rPr>
                <w:lang w:val="en-US"/>
              </w:rPr>
            </w:pPr>
            <w:r w:rsidRPr="00410D3D">
              <w:rPr>
                <w:rFonts w:eastAsia="Times New Roman"/>
              </w:rPr>
              <w:t>91 (30.7)</w:t>
            </w:r>
          </w:p>
        </w:tc>
        <w:tc>
          <w:tcPr>
            <w:tcW w:w="1368" w:type="dxa"/>
          </w:tcPr>
          <w:p w14:paraId="10EB9E30" w14:textId="20624B8A" w:rsidR="00CF19D6" w:rsidRDefault="00CF19D6" w:rsidP="00CF19D6">
            <w:pPr>
              <w:rPr>
                <w:lang w:val="en-US"/>
              </w:rPr>
            </w:pPr>
            <w:r w:rsidRPr="00410D3D">
              <w:rPr>
                <w:rFonts w:eastAsia="Times New Roman"/>
              </w:rPr>
              <w:t>14 (43.8)</w:t>
            </w:r>
          </w:p>
        </w:tc>
        <w:tc>
          <w:tcPr>
            <w:tcW w:w="1532" w:type="dxa"/>
          </w:tcPr>
          <w:p w14:paraId="3A20649D" w14:textId="71EAFF1E" w:rsidR="00CF19D6" w:rsidRDefault="00CF19D6" w:rsidP="00CF19D6">
            <w:pPr>
              <w:rPr>
                <w:lang w:val="en-US"/>
              </w:rPr>
            </w:pPr>
            <w:r w:rsidRPr="00410D3D">
              <w:rPr>
                <w:rFonts w:eastAsia="Times New Roman"/>
              </w:rPr>
              <w:t>63 (36.6)</w:t>
            </w:r>
          </w:p>
        </w:tc>
        <w:tc>
          <w:tcPr>
            <w:tcW w:w="1636" w:type="dxa"/>
          </w:tcPr>
          <w:p w14:paraId="07C0B853" w14:textId="0DF7E21D" w:rsidR="00CF19D6" w:rsidRDefault="00CF19D6" w:rsidP="00CF19D6">
            <w:pPr>
              <w:rPr>
                <w:lang w:val="en-US"/>
              </w:rPr>
            </w:pPr>
            <w:r w:rsidRPr="00410D3D">
              <w:rPr>
                <w:rFonts w:eastAsia="Times New Roman"/>
              </w:rPr>
              <w:t>14 (15.2)</w:t>
            </w:r>
          </w:p>
        </w:tc>
        <w:tc>
          <w:tcPr>
            <w:tcW w:w="1479" w:type="dxa"/>
          </w:tcPr>
          <w:p w14:paraId="076C011A" w14:textId="67248D24" w:rsidR="00CF19D6" w:rsidRDefault="00CF19D6" w:rsidP="00CF19D6">
            <w:pPr>
              <w:rPr>
                <w:lang w:val="en-US"/>
              </w:rPr>
            </w:pPr>
            <w:r w:rsidRPr="00CF19D6">
              <w:rPr>
                <w:lang w:val="en-US"/>
              </w:rPr>
              <w:t>χ</w:t>
            </w:r>
            <w:r w:rsidRPr="00CF19D6">
              <w:rPr>
                <w:vertAlign w:val="superscript"/>
                <w:lang w:val="en-US"/>
              </w:rPr>
              <w:t>2</w:t>
            </w:r>
            <w:r w:rsidRPr="00CF19D6">
              <w:rPr>
                <w:lang w:val="en-US"/>
              </w:rPr>
              <w:t>(2) = 15.76***</w:t>
            </w:r>
          </w:p>
        </w:tc>
      </w:tr>
      <w:tr w:rsidR="00CF19D6" w14:paraId="21BA63EC" w14:textId="77777777" w:rsidTr="007C5C73">
        <w:tc>
          <w:tcPr>
            <w:tcW w:w="1951" w:type="dxa"/>
          </w:tcPr>
          <w:p w14:paraId="36962D4E" w14:textId="1993372B" w:rsidR="00CF19D6" w:rsidRDefault="00CF19D6" w:rsidP="00CF19D6">
            <w:pPr>
              <w:rPr>
                <w:lang w:val="en-US"/>
              </w:rPr>
            </w:pPr>
            <w:r>
              <w:rPr>
                <w:lang w:val="en-US"/>
              </w:rPr>
              <w:t>Minor children from a previous partner (N, %)</w:t>
            </w:r>
          </w:p>
        </w:tc>
        <w:tc>
          <w:tcPr>
            <w:tcW w:w="1276" w:type="dxa"/>
          </w:tcPr>
          <w:p w14:paraId="3A54CC8C" w14:textId="77777777" w:rsidR="00CF19D6" w:rsidRDefault="00CF19D6" w:rsidP="00CF19D6">
            <w:pPr>
              <w:rPr>
                <w:lang w:val="en-US"/>
              </w:rPr>
            </w:pPr>
          </w:p>
        </w:tc>
        <w:tc>
          <w:tcPr>
            <w:tcW w:w="1368" w:type="dxa"/>
          </w:tcPr>
          <w:p w14:paraId="6237EE13" w14:textId="77777777" w:rsidR="00CF19D6" w:rsidRDefault="00CF19D6" w:rsidP="00CF19D6">
            <w:pPr>
              <w:rPr>
                <w:lang w:val="en-US"/>
              </w:rPr>
            </w:pPr>
          </w:p>
        </w:tc>
        <w:tc>
          <w:tcPr>
            <w:tcW w:w="1532" w:type="dxa"/>
          </w:tcPr>
          <w:p w14:paraId="16B5393A" w14:textId="77777777" w:rsidR="00CF19D6" w:rsidRDefault="00CF19D6" w:rsidP="00CF19D6">
            <w:pPr>
              <w:rPr>
                <w:lang w:val="en-US"/>
              </w:rPr>
            </w:pPr>
          </w:p>
        </w:tc>
        <w:tc>
          <w:tcPr>
            <w:tcW w:w="1636" w:type="dxa"/>
          </w:tcPr>
          <w:p w14:paraId="4161363E" w14:textId="77777777" w:rsidR="00CF19D6" w:rsidRDefault="00CF19D6" w:rsidP="00CF19D6">
            <w:pPr>
              <w:rPr>
                <w:lang w:val="en-US"/>
              </w:rPr>
            </w:pPr>
          </w:p>
        </w:tc>
        <w:tc>
          <w:tcPr>
            <w:tcW w:w="1479" w:type="dxa"/>
          </w:tcPr>
          <w:p w14:paraId="496AD000" w14:textId="77777777" w:rsidR="00CF19D6" w:rsidRDefault="00CF19D6" w:rsidP="00CF19D6">
            <w:pPr>
              <w:rPr>
                <w:lang w:val="en-US"/>
              </w:rPr>
            </w:pPr>
          </w:p>
        </w:tc>
      </w:tr>
      <w:tr w:rsidR="00CF19D6" w14:paraId="5590B7FD" w14:textId="77777777" w:rsidTr="007C5C73">
        <w:tc>
          <w:tcPr>
            <w:tcW w:w="1951" w:type="dxa"/>
          </w:tcPr>
          <w:p w14:paraId="069818FF" w14:textId="7B3031EF" w:rsidR="00CF19D6" w:rsidRDefault="00CF19D6" w:rsidP="00CF19D6">
            <w:pPr>
              <w:rPr>
                <w:lang w:val="en-US"/>
              </w:rPr>
            </w:pPr>
            <w:r>
              <w:rPr>
                <w:lang w:val="en-US"/>
              </w:rPr>
              <w:t>Yes</w:t>
            </w:r>
          </w:p>
        </w:tc>
        <w:tc>
          <w:tcPr>
            <w:tcW w:w="1276" w:type="dxa"/>
          </w:tcPr>
          <w:p w14:paraId="1403B453" w14:textId="75C5FFB7" w:rsidR="00CF19D6" w:rsidRDefault="00CF19D6" w:rsidP="00CF19D6">
            <w:pPr>
              <w:rPr>
                <w:lang w:val="en-US"/>
              </w:rPr>
            </w:pPr>
            <w:r w:rsidRPr="00410D3D">
              <w:rPr>
                <w:rFonts w:eastAsia="Times New Roman"/>
              </w:rPr>
              <w:t>22 (7.4)</w:t>
            </w:r>
          </w:p>
        </w:tc>
        <w:tc>
          <w:tcPr>
            <w:tcW w:w="1368" w:type="dxa"/>
          </w:tcPr>
          <w:p w14:paraId="6D2984C7" w14:textId="75F8BFED" w:rsidR="00CF19D6" w:rsidRDefault="00CF19D6" w:rsidP="00CF19D6">
            <w:pPr>
              <w:rPr>
                <w:lang w:val="en-US"/>
              </w:rPr>
            </w:pPr>
            <w:r w:rsidRPr="00410D3D">
              <w:rPr>
                <w:rFonts w:eastAsia="Times New Roman"/>
              </w:rPr>
              <w:t>1 (3.1)</w:t>
            </w:r>
          </w:p>
        </w:tc>
        <w:tc>
          <w:tcPr>
            <w:tcW w:w="1532" w:type="dxa"/>
          </w:tcPr>
          <w:p w14:paraId="6CD7C212" w14:textId="5F4A1463" w:rsidR="00CF19D6" w:rsidRDefault="00CF19D6" w:rsidP="00CF19D6">
            <w:pPr>
              <w:rPr>
                <w:lang w:val="en-US"/>
              </w:rPr>
            </w:pPr>
            <w:r w:rsidRPr="00410D3D">
              <w:rPr>
                <w:rFonts w:eastAsia="Times New Roman"/>
              </w:rPr>
              <w:t>9 (5.2)</w:t>
            </w:r>
          </w:p>
        </w:tc>
        <w:tc>
          <w:tcPr>
            <w:tcW w:w="1636" w:type="dxa"/>
          </w:tcPr>
          <w:p w14:paraId="2C3D2F71" w14:textId="79AA3E36" w:rsidR="00CF19D6" w:rsidRDefault="00CF19D6" w:rsidP="00CF19D6">
            <w:pPr>
              <w:rPr>
                <w:lang w:val="en-US"/>
              </w:rPr>
            </w:pPr>
            <w:r w:rsidRPr="00410D3D">
              <w:rPr>
                <w:rFonts w:eastAsia="Times New Roman"/>
              </w:rPr>
              <w:t>12 (13.0)</w:t>
            </w:r>
          </w:p>
        </w:tc>
        <w:tc>
          <w:tcPr>
            <w:tcW w:w="1479" w:type="dxa"/>
          </w:tcPr>
          <w:p w14:paraId="4251C21D" w14:textId="542CE387" w:rsidR="00CF19D6" w:rsidRDefault="00CF19D6" w:rsidP="00CF19D6">
            <w:pPr>
              <w:rPr>
                <w:lang w:val="en-US"/>
              </w:rPr>
            </w:pPr>
            <w:r>
              <w:rPr>
                <w:lang w:val="en-US"/>
              </w:rPr>
              <w:t>---</w:t>
            </w:r>
          </w:p>
        </w:tc>
      </w:tr>
      <w:tr w:rsidR="00CF19D6" w14:paraId="0680843D" w14:textId="77777777" w:rsidTr="007C5C73">
        <w:tc>
          <w:tcPr>
            <w:tcW w:w="1951" w:type="dxa"/>
          </w:tcPr>
          <w:p w14:paraId="2BEF3C81" w14:textId="5B47CF4E" w:rsidR="00CF19D6" w:rsidRDefault="00CF19D6" w:rsidP="00CF19D6">
            <w:pPr>
              <w:rPr>
                <w:lang w:val="en-US"/>
              </w:rPr>
            </w:pPr>
            <w:r>
              <w:rPr>
                <w:lang w:val="en-US"/>
              </w:rPr>
              <w:t>Adult children from a previous partner (N, %)</w:t>
            </w:r>
          </w:p>
        </w:tc>
        <w:tc>
          <w:tcPr>
            <w:tcW w:w="1276" w:type="dxa"/>
          </w:tcPr>
          <w:p w14:paraId="13F0E14E" w14:textId="77777777" w:rsidR="00CF19D6" w:rsidRDefault="00CF19D6" w:rsidP="00CF19D6">
            <w:pPr>
              <w:rPr>
                <w:lang w:val="en-US"/>
              </w:rPr>
            </w:pPr>
          </w:p>
        </w:tc>
        <w:tc>
          <w:tcPr>
            <w:tcW w:w="1368" w:type="dxa"/>
          </w:tcPr>
          <w:p w14:paraId="1B0028E8" w14:textId="77777777" w:rsidR="00CF19D6" w:rsidRDefault="00CF19D6" w:rsidP="00CF19D6">
            <w:pPr>
              <w:rPr>
                <w:lang w:val="en-US"/>
              </w:rPr>
            </w:pPr>
          </w:p>
        </w:tc>
        <w:tc>
          <w:tcPr>
            <w:tcW w:w="1532" w:type="dxa"/>
          </w:tcPr>
          <w:p w14:paraId="702E0F44" w14:textId="77777777" w:rsidR="00CF19D6" w:rsidRDefault="00CF19D6" w:rsidP="00CF19D6">
            <w:pPr>
              <w:rPr>
                <w:lang w:val="en-US"/>
              </w:rPr>
            </w:pPr>
          </w:p>
        </w:tc>
        <w:tc>
          <w:tcPr>
            <w:tcW w:w="1636" w:type="dxa"/>
          </w:tcPr>
          <w:p w14:paraId="320C8C61" w14:textId="77777777" w:rsidR="00CF19D6" w:rsidRDefault="00CF19D6" w:rsidP="00CF19D6">
            <w:pPr>
              <w:rPr>
                <w:lang w:val="en-US"/>
              </w:rPr>
            </w:pPr>
          </w:p>
        </w:tc>
        <w:tc>
          <w:tcPr>
            <w:tcW w:w="1479" w:type="dxa"/>
          </w:tcPr>
          <w:p w14:paraId="267235A3" w14:textId="77777777" w:rsidR="00CF19D6" w:rsidRDefault="00CF19D6" w:rsidP="00CF19D6">
            <w:pPr>
              <w:rPr>
                <w:lang w:val="en-US"/>
              </w:rPr>
            </w:pPr>
          </w:p>
        </w:tc>
      </w:tr>
      <w:tr w:rsidR="00CF19D6" w14:paraId="5D583579" w14:textId="77777777" w:rsidTr="007C5C73">
        <w:tc>
          <w:tcPr>
            <w:tcW w:w="1951" w:type="dxa"/>
          </w:tcPr>
          <w:p w14:paraId="0B5DB95B" w14:textId="2033D55B" w:rsidR="00CF19D6" w:rsidRDefault="00CF19D6" w:rsidP="00CF19D6">
            <w:pPr>
              <w:rPr>
                <w:lang w:val="en-US"/>
              </w:rPr>
            </w:pPr>
            <w:r>
              <w:rPr>
                <w:lang w:val="en-US"/>
              </w:rPr>
              <w:t>Yes</w:t>
            </w:r>
          </w:p>
        </w:tc>
        <w:tc>
          <w:tcPr>
            <w:tcW w:w="1276" w:type="dxa"/>
          </w:tcPr>
          <w:p w14:paraId="259C9D72" w14:textId="47EFFE60" w:rsidR="00CF19D6" w:rsidRDefault="00CF19D6" w:rsidP="00CF19D6">
            <w:pPr>
              <w:rPr>
                <w:lang w:val="en-US"/>
              </w:rPr>
            </w:pPr>
            <w:r w:rsidRPr="00410D3D">
              <w:rPr>
                <w:rFonts w:eastAsia="Times New Roman"/>
              </w:rPr>
              <w:t>36 (12.2)</w:t>
            </w:r>
          </w:p>
        </w:tc>
        <w:tc>
          <w:tcPr>
            <w:tcW w:w="1368" w:type="dxa"/>
          </w:tcPr>
          <w:p w14:paraId="0450D989" w14:textId="62E7DC49" w:rsidR="00CF19D6" w:rsidRDefault="00CF19D6" w:rsidP="00CF19D6">
            <w:pPr>
              <w:rPr>
                <w:lang w:val="en-US"/>
              </w:rPr>
            </w:pPr>
            <w:r w:rsidRPr="00410D3D">
              <w:rPr>
                <w:rFonts w:eastAsia="Times New Roman"/>
              </w:rPr>
              <w:t>5 (15.6)</w:t>
            </w:r>
          </w:p>
        </w:tc>
        <w:tc>
          <w:tcPr>
            <w:tcW w:w="1532" w:type="dxa"/>
          </w:tcPr>
          <w:p w14:paraId="2CB61C4F" w14:textId="37FD08C9" w:rsidR="00CF19D6" w:rsidRDefault="00CF19D6" w:rsidP="00CF19D6">
            <w:pPr>
              <w:rPr>
                <w:lang w:val="en-US"/>
              </w:rPr>
            </w:pPr>
            <w:r w:rsidRPr="00410D3D">
              <w:rPr>
                <w:rFonts w:eastAsia="Times New Roman"/>
              </w:rPr>
              <w:t>20 (11.6)</w:t>
            </w:r>
          </w:p>
        </w:tc>
        <w:tc>
          <w:tcPr>
            <w:tcW w:w="1636" w:type="dxa"/>
          </w:tcPr>
          <w:p w14:paraId="6168DDBC" w14:textId="132188FE" w:rsidR="00CF19D6" w:rsidRDefault="00CF19D6" w:rsidP="00CF19D6">
            <w:pPr>
              <w:rPr>
                <w:lang w:val="en-US"/>
              </w:rPr>
            </w:pPr>
            <w:r w:rsidRPr="00410D3D">
              <w:rPr>
                <w:rFonts w:eastAsia="Times New Roman"/>
              </w:rPr>
              <w:t>11 (12.0)</w:t>
            </w:r>
          </w:p>
        </w:tc>
        <w:tc>
          <w:tcPr>
            <w:tcW w:w="1479" w:type="dxa"/>
          </w:tcPr>
          <w:p w14:paraId="0F0F69BD" w14:textId="551FA94E" w:rsidR="00CF19D6" w:rsidRDefault="00CF19D6" w:rsidP="00CF19D6">
            <w:pPr>
              <w:rPr>
                <w:lang w:val="en-US"/>
              </w:rPr>
            </w:pPr>
            <w:r w:rsidRPr="00410D3D">
              <w:rPr>
                <w:rFonts w:ascii="Calibri" w:eastAsia="Times New Roman" w:hAnsi="Calibri" w:cs="Calibri"/>
              </w:rPr>
              <w:t>χ</w:t>
            </w:r>
            <w:r w:rsidRPr="00410D3D">
              <w:rPr>
                <w:rFonts w:eastAsia="Times New Roman"/>
                <w:vertAlign w:val="superscript"/>
              </w:rPr>
              <w:t>2</w:t>
            </w:r>
            <w:r w:rsidRPr="00410D3D">
              <w:rPr>
                <w:rFonts w:eastAsia="Times New Roman"/>
              </w:rPr>
              <w:t>(2) = 0.41</w:t>
            </w:r>
          </w:p>
        </w:tc>
      </w:tr>
      <w:tr w:rsidR="00CF19D6" w14:paraId="5A6EBBAA" w14:textId="77777777" w:rsidTr="007C5C73">
        <w:tc>
          <w:tcPr>
            <w:tcW w:w="1951" w:type="dxa"/>
          </w:tcPr>
          <w:p w14:paraId="1C085D8B" w14:textId="77777777" w:rsidR="00CF19D6" w:rsidRDefault="00CF19D6" w:rsidP="00CF19D6">
            <w:pPr>
              <w:rPr>
                <w:lang w:val="en-US"/>
              </w:rPr>
            </w:pPr>
          </w:p>
        </w:tc>
        <w:tc>
          <w:tcPr>
            <w:tcW w:w="1276" w:type="dxa"/>
          </w:tcPr>
          <w:p w14:paraId="07F95745" w14:textId="77777777" w:rsidR="00CF19D6" w:rsidRDefault="00CF19D6" w:rsidP="00CF19D6">
            <w:pPr>
              <w:rPr>
                <w:lang w:val="en-US"/>
              </w:rPr>
            </w:pPr>
          </w:p>
        </w:tc>
        <w:tc>
          <w:tcPr>
            <w:tcW w:w="1368" w:type="dxa"/>
          </w:tcPr>
          <w:p w14:paraId="0395A745" w14:textId="77777777" w:rsidR="00CF19D6" w:rsidRDefault="00CF19D6" w:rsidP="00CF19D6">
            <w:pPr>
              <w:rPr>
                <w:lang w:val="en-US"/>
              </w:rPr>
            </w:pPr>
          </w:p>
        </w:tc>
        <w:tc>
          <w:tcPr>
            <w:tcW w:w="1532" w:type="dxa"/>
          </w:tcPr>
          <w:p w14:paraId="1F3EB432" w14:textId="77777777" w:rsidR="00CF19D6" w:rsidRDefault="00CF19D6" w:rsidP="00CF19D6">
            <w:pPr>
              <w:rPr>
                <w:lang w:val="en-US"/>
              </w:rPr>
            </w:pPr>
          </w:p>
        </w:tc>
        <w:tc>
          <w:tcPr>
            <w:tcW w:w="1636" w:type="dxa"/>
          </w:tcPr>
          <w:p w14:paraId="4393A97F" w14:textId="77777777" w:rsidR="00CF19D6" w:rsidRDefault="00CF19D6" w:rsidP="00CF19D6">
            <w:pPr>
              <w:rPr>
                <w:lang w:val="en-US"/>
              </w:rPr>
            </w:pPr>
          </w:p>
        </w:tc>
        <w:tc>
          <w:tcPr>
            <w:tcW w:w="1479" w:type="dxa"/>
          </w:tcPr>
          <w:p w14:paraId="12DA43FB" w14:textId="77777777" w:rsidR="00CF19D6" w:rsidRDefault="00CF19D6" w:rsidP="00CF19D6">
            <w:pPr>
              <w:rPr>
                <w:lang w:val="en-US"/>
              </w:rPr>
            </w:pPr>
          </w:p>
        </w:tc>
      </w:tr>
      <w:tr w:rsidR="0057448E" w14:paraId="1CE6BFF1" w14:textId="77777777" w:rsidTr="007C5C73">
        <w:tc>
          <w:tcPr>
            <w:tcW w:w="1951" w:type="dxa"/>
          </w:tcPr>
          <w:p w14:paraId="78113604" w14:textId="77777777" w:rsidR="0057448E" w:rsidRDefault="0057448E" w:rsidP="0057448E">
            <w:pPr>
              <w:rPr>
                <w:lang w:val="en-US"/>
              </w:rPr>
            </w:pPr>
            <w:r>
              <w:rPr>
                <w:lang w:val="en-US"/>
              </w:rPr>
              <w:t>Total number of minor children</w:t>
            </w:r>
          </w:p>
          <w:p w14:paraId="7995F899" w14:textId="77777777" w:rsidR="0057448E" w:rsidRDefault="0057448E" w:rsidP="0057448E">
            <w:pPr>
              <w:rPr>
                <w:lang w:val="en-US"/>
              </w:rPr>
            </w:pPr>
            <w:r>
              <w:rPr>
                <w:lang w:val="en-US"/>
              </w:rPr>
              <w:t>(M, SD)</w:t>
            </w:r>
          </w:p>
          <w:p w14:paraId="65224D89" w14:textId="402FCAE3" w:rsidR="0057448E" w:rsidRDefault="0057448E" w:rsidP="0057448E">
            <w:pPr>
              <w:rPr>
                <w:lang w:val="en-US"/>
              </w:rPr>
            </w:pPr>
            <w:r>
              <w:rPr>
                <w:lang w:val="en-US"/>
              </w:rPr>
              <w:t>(Range 0-8)</w:t>
            </w:r>
          </w:p>
        </w:tc>
        <w:tc>
          <w:tcPr>
            <w:tcW w:w="1276" w:type="dxa"/>
          </w:tcPr>
          <w:p w14:paraId="7005665F" w14:textId="18CFEC36" w:rsidR="0057448E" w:rsidRDefault="0057448E" w:rsidP="0057448E">
            <w:pPr>
              <w:rPr>
                <w:lang w:val="en-US"/>
              </w:rPr>
            </w:pPr>
            <w:r w:rsidRPr="00410D3D">
              <w:rPr>
                <w:rFonts w:eastAsia="Times New Roman"/>
              </w:rPr>
              <w:t>1.48 (1.52)</w:t>
            </w:r>
          </w:p>
        </w:tc>
        <w:tc>
          <w:tcPr>
            <w:tcW w:w="1368" w:type="dxa"/>
          </w:tcPr>
          <w:p w14:paraId="1A35300B" w14:textId="60214596" w:rsidR="0057448E" w:rsidRDefault="0057448E" w:rsidP="0057448E">
            <w:pPr>
              <w:rPr>
                <w:lang w:val="en-US"/>
              </w:rPr>
            </w:pPr>
            <w:r w:rsidRPr="00410D3D">
              <w:rPr>
                <w:rFonts w:eastAsia="Times New Roman"/>
              </w:rPr>
              <w:t>1.34 (1.23)</w:t>
            </w:r>
          </w:p>
        </w:tc>
        <w:tc>
          <w:tcPr>
            <w:tcW w:w="1532" w:type="dxa"/>
          </w:tcPr>
          <w:p w14:paraId="0580CE45" w14:textId="142DC1CE" w:rsidR="0057448E" w:rsidRDefault="0057448E" w:rsidP="0057448E">
            <w:pPr>
              <w:rPr>
                <w:lang w:val="en-US"/>
              </w:rPr>
            </w:pPr>
            <w:r w:rsidRPr="00410D3D">
              <w:rPr>
                <w:rFonts w:eastAsia="Times New Roman"/>
              </w:rPr>
              <w:t>1.38 (1.48)</w:t>
            </w:r>
          </w:p>
        </w:tc>
        <w:tc>
          <w:tcPr>
            <w:tcW w:w="1636" w:type="dxa"/>
          </w:tcPr>
          <w:p w14:paraId="3975F05A" w14:textId="36437A65" w:rsidR="0057448E" w:rsidRDefault="0057448E" w:rsidP="0057448E">
            <w:pPr>
              <w:rPr>
                <w:lang w:val="en-US"/>
              </w:rPr>
            </w:pPr>
            <w:r w:rsidRPr="00410D3D">
              <w:rPr>
                <w:rFonts w:eastAsia="Times New Roman"/>
              </w:rPr>
              <w:t>1.72 (1.65)</w:t>
            </w:r>
          </w:p>
        </w:tc>
        <w:tc>
          <w:tcPr>
            <w:tcW w:w="1479" w:type="dxa"/>
          </w:tcPr>
          <w:p w14:paraId="64F61C4B" w14:textId="77777777" w:rsidR="0057448E" w:rsidRPr="00410D3D" w:rsidRDefault="0057448E" w:rsidP="0057448E">
            <w:pPr>
              <w:spacing w:line="360" w:lineRule="auto"/>
              <w:rPr>
                <w:rFonts w:eastAsia="Times New Roman"/>
              </w:rPr>
            </w:pPr>
            <w:r w:rsidRPr="00410D3D">
              <w:rPr>
                <w:rFonts w:eastAsia="Times New Roman"/>
              </w:rPr>
              <w:t>F(2, 293) = 1.65</w:t>
            </w:r>
          </w:p>
          <w:p w14:paraId="7C928AE0" w14:textId="50A85418" w:rsidR="0057448E" w:rsidRDefault="0057448E" w:rsidP="0057448E">
            <w:pPr>
              <w:rPr>
                <w:lang w:val="en-US"/>
              </w:rPr>
            </w:pPr>
            <w:r w:rsidRPr="00410D3D">
              <w:rPr>
                <w:rFonts w:eastAsia="Times New Roman"/>
              </w:rPr>
              <w:t>(</w:t>
            </w:r>
            <w:r w:rsidRPr="00410D3D">
              <w:rPr>
                <w:rFonts w:ascii="Calibri" w:eastAsia="Times New Roman" w:hAnsi="Calibri" w:cs="Calibri"/>
              </w:rPr>
              <w:t>η</w:t>
            </w:r>
            <w:r w:rsidRPr="00410D3D">
              <w:rPr>
                <w:rFonts w:eastAsia="Times New Roman"/>
                <w:vertAlign w:val="superscript"/>
              </w:rPr>
              <w:t>2</w:t>
            </w:r>
            <w:r w:rsidRPr="00410D3D">
              <w:rPr>
                <w:rFonts w:eastAsia="Times New Roman"/>
              </w:rPr>
              <w:t xml:space="preserve"> = .010)</w:t>
            </w:r>
          </w:p>
        </w:tc>
      </w:tr>
      <w:tr w:rsidR="0057448E" w14:paraId="4964E8BB" w14:textId="77777777" w:rsidTr="007C5C73">
        <w:tc>
          <w:tcPr>
            <w:tcW w:w="1951" w:type="dxa"/>
          </w:tcPr>
          <w:p w14:paraId="0C862FAB" w14:textId="77777777" w:rsidR="0057448E" w:rsidRDefault="0057448E" w:rsidP="0057448E">
            <w:pPr>
              <w:rPr>
                <w:lang w:val="en-US"/>
              </w:rPr>
            </w:pPr>
            <w:r>
              <w:rPr>
                <w:lang w:val="en-US"/>
              </w:rPr>
              <w:t>Total number of adult children</w:t>
            </w:r>
          </w:p>
          <w:p w14:paraId="334EF442" w14:textId="77777777" w:rsidR="0057448E" w:rsidRDefault="0057448E" w:rsidP="0057448E">
            <w:pPr>
              <w:rPr>
                <w:lang w:val="en-US"/>
              </w:rPr>
            </w:pPr>
            <w:r>
              <w:rPr>
                <w:lang w:val="en-US"/>
              </w:rPr>
              <w:t>(M, SD)</w:t>
            </w:r>
          </w:p>
          <w:p w14:paraId="5B5E5119" w14:textId="38C8641F" w:rsidR="0057448E" w:rsidRDefault="0057448E" w:rsidP="0057448E">
            <w:pPr>
              <w:rPr>
                <w:lang w:val="en-US"/>
              </w:rPr>
            </w:pPr>
            <w:r>
              <w:rPr>
                <w:lang w:val="en-US"/>
              </w:rPr>
              <w:t>(Range 0-5)</w:t>
            </w:r>
          </w:p>
        </w:tc>
        <w:tc>
          <w:tcPr>
            <w:tcW w:w="1276" w:type="dxa"/>
          </w:tcPr>
          <w:p w14:paraId="4C5A1009" w14:textId="7BA592B4" w:rsidR="0057448E" w:rsidRDefault="0057448E" w:rsidP="0057448E">
            <w:pPr>
              <w:rPr>
                <w:lang w:val="en-US"/>
              </w:rPr>
            </w:pPr>
            <w:r w:rsidRPr="00410D3D">
              <w:rPr>
                <w:rFonts w:eastAsia="Times New Roman"/>
              </w:rPr>
              <w:t>0.86 (1.23)</w:t>
            </w:r>
          </w:p>
        </w:tc>
        <w:tc>
          <w:tcPr>
            <w:tcW w:w="1368" w:type="dxa"/>
          </w:tcPr>
          <w:p w14:paraId="36260EF3" w14:textId="777781E0" w:rsidR="0057448E" w:rsidRDefault="0057448E" w:rsidP="0057448E">
            <w:pPr>
              <w:rPr>
                <w:lang w:val="en-US"/>
              </w:rPr>
            </w:pPr>
            <w:r w:rsidRPr="00410D3D">
              <w:rPr>
                <w:rFonts w:eastAsia="Times New Roman"/>
              </w:rPr>
              <w:t>1.22</w:t>
            </w:r>
            <w:r w:rsidRPr="00410D3D">
              <w:rPr>
                <w:rFonts w:eastAsia="Times New Roman"/>
                <w:vertAlign w:val="subscript"/>
              </w:rPr>
              <w:t>a</w:t>
            </w:r>
            <w:r w:rsidRPr="00410D3D">
              <w:rPr>
                <w:rFonts w:eastAsia="Times New Roman"/>
              </w:rPr>
              <w:t xml:space="preserve"> (1.21)</w:t>
            </w:r>
          </w:p>
        </w:tc>
        <w:tc>
          <w:tcPr>
            <w:tcW w:w="1532" w:type="dxa"/>
          </w:tcPr>
          <w:p w14:paraId="6D184668" w14:textId="3A70AB91" w:rsidR="0057448E" w:rsidRDefault="0057448E" w:rsidP="0057448E">
            <w:pPr>
              <w:rPr>
                <w:lang w:val="en-US"/>
              </w:rPr>
            </w:pPr>
            <w:r w:rsidRPr="00410D3D">
              <w:rPr>
                <w:rFonts w:eastAsia="Times New Roman"/>
              </w:rPr>
              <w:t>1.00</w:t>
            </w:r>
            <w:r w:rsidRPr="00410D3D">
              <w:rPr>
                <w:rFonts w:eastAsia="Times New Roman"/>
                <w:vertAlign w:val="subscript"/>
              </w:rPr>
              <w:t>a</w:t>
            </w:r>
            <w:r w:rsidRPr="00410D3D">
              <w:rPr>
                <w:rFonts w:eastAsia="Times New Roman"/>
              </w:rPr>
              <w:t xml:space="preserve"> (1.33)</w:t>
            </w:r>
          </w:p>
        </w:tc>
        <w:tc>
          <w:tcPr>
            <w:tcW w:w="1636" w:type="dxa"/>
          </w:tcPr>
          <w:p w14:paraId="57520495" w14:textId="55BB3534" w:rsidR="0057448E" w:rsidRDefault="0057448E" w:rsidP="0057448E">
            <w:pPr>
              <w:rPr>
                <w:lang w:val="en-US"/>
              </w:rPr>
            </w:pPr>
            <w:r w:rsidRPr="00410D3D">
              <w:rPr>
                <w:rFonts w:eastAsia="Times New Roman"/>
              </w:rPr>
              <w:t>0.47</w:t>
            </w:r>
            <w:r w:rsidRPr="00410D3D">
              <w:rPr>
                <w:rFonts w:eastAsia="Times New Roman"/>
                <w:vertAlign w:val="subscript"/>
              </w:rPr>
              <w:t>b</w:t>
            </w:r>
            <w:r w:rsidRPr="00410D3D">
              <w:rPr>
                <w:rFonts w:eastAsia="Times New Roman"/>
              </w:rPr>
              <w:t xml:space="preserve"> (0.92)</w:t>
            </w:r>
          </w:p>
        </w:tc>
        <w:tc>
          <w:tcPr>
            <w:tcW w:w="1479" w:type="dxa"/>
          </w:tcPr>
          <w:p w14:paraId="64AEF74E" w14:textId="77777777" w:rsidR="0057448E" w:rsidRPr="00410D3D" w:rsidRDefault="0057448E" w:rsidP="0057448E">
            <w:pPr>
              <w:spacing w:line="360" w:lineRule="auto"/>
              <w:rPr>
                <w:rFonts w:eastAsia="Times New Roman"/>
              </w:rPr>
            </w:pPr>
            <w:r w:rsidRPr="00410D3D">
              <w:rPr>
                <w:rFonts w:eastAsia="Times New Roman"/>
              </w:rPr>
              <w:t>F(2, 293) = 7.48***</w:t>
            </w:r>
          </w:p>
          <w:p w14:paraId="0086AB43" w14:textId="27525C54" w:rsidR="0057448E" w:rsidRDefault="0057448E" w:rsidP="0057448E">
            <w:pPr>
              <w:rPr>
                <w:lang w:val="en-US"/>
              </w:rPr>
            </w:pPr>
            <w:r w:rsidRPr="00410D3D">
              <w:rPr>
                <w:rFonts w:eastAsia="Times New Roman"/>
              </w:rPr>
              <w:t>(</w:t>
            </w:r>
            <w:r w:rsidRPr="00410D3D">
              <w:rPr>
                <w:rFonts w:ascii="Calibri" w:eastAsia="Times New Roman" w:hAnsi="Calibri" w:cs="Calibri"/>
              </w:rPr>
              <w:t>η</w:t>
            </w:r>
            <w:r w:rsidRPr="00410D3D">
              <w:rPr>
                <w:rFonts w:eastAsia="Times New Roman"/>
                <w:vertAlign w:val="superscript"/>
              </w:rPr>
              <w:t>2</w:t>
            </w:r>
            <w:r w:rsidRPr="00410D3D">
              <w:rPr>
                <w:rFonts w:eastAsia="Times New Roman"/>
              </w:rPr>
              <w:t xml:space="preserve"> = .049)</w:t>
            </w:r>
          </w:p>
        </w:tc>
      </w:tr>
      <w:tr w:rsidR="00CF19D6" w14:paraId="32FB970D" w14:textId="77777777" w:rsidTr="007C5C73">
        <w:tc>
          <w:tcPr>
            <w:tcW w:w="1951" w:type="dxa"/>
          </w:tcPr>
          <w:p w14:paraId="3F411B09" w14:textId="77777777" w:rsidR="00CF19D6" w:rsidRDefault="00CF19D6" w:rsidP="00CF19D6">
            <w:pPr>
              <w:rPr>
                <w:lang w:val="en-US"/>
              </w:rPr>
            </w:pPr>
          </w:p>
        </w:tc>
        <w:tc>
          <w:tcPr>
            <w:tcW w:w="1276" w:type="dxa"/>
          </w:tcPr>
          <w:p w14:paraId="3FB70A0D" w14:textId="77777777" w:rsidR="00CF19D6" w:rsidRDefault="00CF19D6" w:rsidP="00CF19D6">
            <w:pPr>
              <w:rPr>
                <w:lang w:val="en-US"/>
              </w:rPr>
            </w:pPr>
          </w:p>
        </w:tc>
        <w:tc>
          <w:tcPr>
            <w:tcW w:w="1368" w:type="dxa"/>
          </w:tcPr>
          <w:p w14:paraId="6C097022" w14:textId="77777777" w:rsidR="00CF19D6" w:rsidRDefault="00CF19D6" w:rsidP="00CF19D6">
            <w:pPr>
              <w:rPr>
                <w:lang w:val="en-US"/>
              </w:rPr>
            </w:pPr>
          </w:p>
        </w:tc>
        <w:tc>
          <w:tcPr>
            <w:tcW w:w="1532" w:type="dxa"/>
          </w:tcPr>
          <w:p w14:paraId="411FB945" w14:textId="77777777" w:rsidR="00CF19D6" w:rsidRDefault="00CF19D6" w:rsidP="00CF19D6">
            <w:pPr>
              <w:rPr>
                <w:lang w:val="en-US"/>
              </w:rPr>
            </w:pPr>
          </w:p>
        </w:tc>
        <w:tc>
          <w:tcPr>
            <w:tcW w:w="1636" w:type="dxa"/>
          </w:tcPr>
          <w:p w14:paraId="79135BB6" w14:textId="77777777" w:rsidR="00CF19D6" w:rsidRDefault="00CF19D6" w:rsidP="00CF19D6">
            <w:pPr>
              <w:rPr>
                <w:lang w:val="en-US"/>
              </w:rPr>
            </w:pPr>
          </w:p>
        </w:tc>
        <w:tc>
          <w:tcPr>
            <w:tcW w:w="1479" w:type="dxa"/>
          </w:tcPr>
          <w:p w14:paraId="76B2588A" w14:textId="77777777" w:rsidR="00CF19D6" w:rsidRDefault="00CF19D6" w:rsidP="00CF19D6">
            <w:pPr>
              <w:rPr>
                <w:lang w:val="en-US"/>
              </w:rPr>
            </w:pPr>
          </w:p>
        </w:tc>
      </w:tr>
      <w:tr w:rsidR="00CF19D6" w14:paraId="59C1FF0A" w14:textId="77777777" w:rsidTr="007C5C73">
        <w:tc>
          <w:tcPr>
            <w:tcW w:w="1951" w:type="dxa"/>
          </w:tcPr>
          <w:p w14:paraId="78DE9D5E" w14:textId="6CA6C3EE" w:rsidR="00CF19D6" w:rsidRPr="007C5C73" w:rsidRDefault="007C5C73" w:rsidP="00CF19D6">
            <w:pPr>
              <w:rPr>
                <w:lang w:val="en-US"/>
              </w:rPr>
            </w:pPr>
            <w:r>
              <w:rPr>
                <w:b/>
                <w:bCs/>
                <w:lang w:val="en-US"/>
              </w:rPr>
              <w:t>Employment</w:t>
            </w:r>
          </w:p>
        </w:tc>
        <w:tc>
          <w:tcPr>
            <w:tcW w:w="1276" w:type="dxa"/>
          </w:tcPr>
          <w:p w14:paraId="0F482293" w14:textId="77777777" w:rsidR="00CF19D6" w:rsidRDefault="00CF19D6" w:rsidP="00CF19D6">
            <w:pPr>
              <w:rPr>
                <w:lang w:val="en-US"/>
              </w:rPr>
            </w:pPr>
          </w:p>
        </w:tc>
        <w:tc>
          <w:tcPr>
            <w:tcW w:w="1368" w:type="dxa"/>
          </w:tcPr>
          <w:p w14:paraId="5D632BF4" w14:textId="77777777" w:rsidR="00CF19D6" w:rsidRDefault="00CF19D6" w:rsidP="00CF19D6">
            <w:pPr>
              <w:rPr>
                <w:lang w:val="en-US"/>
              </w:rPr>
            </w:pPr>
          </w:p>
        </w:tc>
        <w:tc>
          <w:tcPr>
            <w:tcW w:w="1532" w:type="dxa"/>
          </w:tcPr>
          <w:p w14:paraId="409A2594" w14:textId="77777777" w:rsidR="00CF19D6" w:rsidRDefault="00CF19D6" w:rsidP="00CF19D6">
            <w:pPr>
              <w:rPr>
                <w:lang w:val="en-US"/>
              </w:rPr>
            </w:pPr>
          </w:p>
        </w:tc>
        <w:tc>
          <w:tcPr>
            <w:tcW w:w="1636" w:type="dxa"/>
          </w:tcPr>
          <w:p w14:paraId="74A074DB" w14:textId="77777777" w:rsidR="00CF19D6" w:rsidRDefault="00CF19D6" w:rsidP="00CF19D6">
            <w:pPr>
              <w:rPr>
                <w:lang w:val="en-US"/>
              </w:rPr>
            </w:pPr>
          </w:p>
        </w:tc>
        <w:tc>
          <w:tcPr>
            <w:tcW w:w="1479" w:type="dxa"/>
          </w:tcPr>
          <w:p w14:paraId="4AAFEA72" w14:textId="77777777" w:rsidR="00CF19D6" w:rsidRDefault="00CF19D6" w:rsidP="00CF19D6">
            <w:pPr>
              <w:rPr>
                <w:lang w:val="en-US"/>
              </w:rPr>
            </w:pPr>
          </w:p>
        </w:tc>
      </w:tr>
      <w:tr w:rsidR="007C5C73" w14:paraId="07D08D1C" w14:textId="77777777" w:rsidTr="007C5C73">
        <w:tc>
          <w:tcPr>
            <w:tcW w:w="1951" w:type="dxa"/>
          </w:tcPr>
          <w:p w14:paraId="35450319" w14:textId="77777777" w:rsidR="007C5C73" w:rsidRDefault="007C5C73" w:rsidP="007C5C73">
            <w:pPr>
              <w:rPr>
                <w:lang w:val="en-US"/>
              </w:rPr>
            </w:pPr>
            <w:r>
              <w:rPr>
                <w:lang w:val="en-US"/>
              </w:rPr>
              <w:t>Seniority (years)</w:t>
            </w:r>
          </w:p>
          <w:p w14:paraId="508BB1AC" w14:textId="77777777" w:rsidR="007C5C73" w:rsidRDefault="007C5C73" w:rsidP="007C5C73">
            <w:pPr>
              <w:rPr>
                <w:lang w:val="en-US"/>
              </w:rPr>
            </w:pPr>
            <w:r>
              <w:rPr>
                <w:lang w:val="en-US"/>
              </w:rPr>
              <w:t>(M, SD)</w:t>
            </w:r>
          </w:p>
          <w:p w14:paraId="0262047E" w14:textId="19463A61" w:rsidR="007C5C73" w:rsidRDefault="007C5C73" w:rsidP="007C5C73">
            <w:pPr>
              <w:rPr>
                <w:lang w:val="en-US"/>
              </w:rPr>
            </w:pPr>
            <w:r>
              <w:rPr>
                <w:lang w:val="en-US"/>
              </w:rPr>
              <w:t>(Range 1-41)</w:t>
            </w:r>
          </w:p>
        </w:tc>
        <w:tc>
          <w:tcPr>
            <w:tcW w:w="1276" w:type="dxa"/>
          </w:tcPr>
          <w:p w14:paraId="0AA8DEDA" w14:textId="77777777" w:rsidR="007C5C73" w:rsidRPr="00410D3D" w:rsidRDefault="007C5C73" w:rsidP="007C5C73">
            <w:pPr>
              <w:spacing w:line="360" w:lineRule="auto"/>
              <w:rPr>
                <w:rFonts w:eastAsia="Times New Roman"/>
              </w:rPr>
            </w:pPr>
            <w:r w:rsidRPr="00410D3D">
              <w:rPr>
                <w:rFonts w:eastAsia="Times New Roman"/>
              </w:rPr>
              <w:t>9.31</w:t>
            </w:r>
          </w:p>
          <w:p w14:paraId="055311CB" w14:textId="0B7A01C1" w:rsidR="007C5C73" w:rsidRDefault="007C5C73" w:rsidP="007C5C73">
            <w:pPr>
              <w:rPr>
                <w:lang w:val="en-US"/>
              </w:rPr>
            </w:pPr>
            <w:r w:rsidRPr="00410D3D">
              <w:rPr>
                <w:rFonts w:eastAsia="Times New Roman"/>
              </w:rPr>
              <w:t>(8.84)</w:t>
            </w:r>
          </w:p>
        </w:tc>
        <w:tc>
          <w:tcPr>
            <w:tcW w:w="1368" w:type="dxa"/>
          </w:tcPr>
          <w:p w14:paraId="5EDE5F2E" w14:textId="2C1C2EA7" w:rsidR="007C5C73" w:rsidRDefault="007C5C73" w:rsidP="007C5C73">
            <w:pPr>
              <w:rPr>
                <w:lang w:val="en-US"/>
              </w:rPr>
            </w:pPr>
            <w:r w:rsidRPr="00410D3D">
              <w:rPr>
                <w:rFonts w:eastAsia="Times New Roman"/>
              </w:rPr>
              <w:t>10.71</w:t>
            </w:r>
            <w:r w:rsidRPr="00410D3D">
              <w:rPr>
                <w:rFonts w:eastAsia="Times New Roman"/>
                <w:vertAlign w:val="subscript"/>
              </w:rPr>
              <w:t>a</w:t>
            </w:r>
            <w:r w:rsidRPr="00410D3D">
              <w:rPr>
                <w:rFonts w:eastAsia="Times New Roman"/>
              </w:rPr>
              <w:t xml:space="preserve"> (10.16)</w:t>
            </w:r>
          </w:p>
        </w:tc>
        <w:tc>
          <w:tcPr>
            <w:tcW w:w="1532" w:type="dxa"/>
          </w:tcPr>
          <w:p w14:paraId="0ABEEF59" w14:textId="77777777" w:rsidR="007C5C73" w:rsidRPr="00410D3D" w:rsidRDefault="007C5C73" w:rsidP="007C5C73">
            <w:pPr>
              <w:spacing w:line="360" w:lineRule="auto"/>
              <w:rPr>
                <w:rFonts w:eastAsia="Times New Roman"/>
              </w:rPr>
            </w:pPr>
            <w:r w:rsidRPr="00410D3D">
              <w:rPr>
                <w:rFonts w:eastAsia="Times New Roman"/>
              </w:rPr>
              <w:t>10.62</w:t>
            </w:r>
            <w:r w:rsidRPr="00410D3D">
              <w:rPr>
                <w:rFonts w:eastAsia="Times New Roman"/>
                <w:vertAlign w:val="subscript"/>
              </w:rPr>
              <w:t>a</w:t>
            </w:r>
          </w:p>
          <w:p w14:paraId="13F64EA8" w14:textId="59F0EEA4" w:rsidR="007C5C73" w:rsidRDefault="007C5C73" w:rsidP="007C5C73">
            <w:pPr>
              <w:rPr>
                <w:lang w:val="en-US"/>
              </w:rPr>
            </w:pPr>
            <w:r w:rsidRPr="00410D3D">
              <w:rPr>
                <w:rFonts w:eastAsia="Times New Roman"/>
              </w:rPr>
              <w:t>(9.46)</w:t>
            </w:r>
          </w:p>
        </w:tc>
        <w:tc>
          <w:tcPr>
            <w:tcW w:w="1636" w:type="dxa"/>
          </w:tcPr>
          <w:p w14:paraId="1E3190A5" w14:textId="77777777" w:rsidR="007C5C73" w:rsidRPr="00410D3D" w:rsidRDefault="007C5C73" w:rsidP="007C5C73">
            <w:pPr>
              <w:spacing w:line="360" w:lineRule="auto"/>
              <w:rPr>
                <w:rFonts w:eastAsia="Times New Roman"/>
              </w:rPr>
            </w:pPr>
            <w:r w:rsidRPr="00410D3D">
              <w:rPr>
                <w:rFonts w:eastAsia="Times New Roman"/>
              </w:rPr>
              <w:t>6.30</w:t>
            </w:r>
            <w:r w:rsidRPr="00410D3D">
              <w:rPr>
                <w:rFonts w:eastAsia="Times New Roman"/>
                <w:vertAlign w:val="subscript"/>
              </w:rPr>
              <w:t>b</w:t>
            </w:r>
          </w:p>
          <w:p w14:paraId="6B343D40" w14:textId="6E86D9E4" w:rsidR="007C5C73" w:rsidRDefault="007C5C73" w:rsidP="007C5C73">
            <w:pPr>
              <w:rPr>
                <w:lang w:val="en-US"/>
              </w:rPr>
            </w:pPr>
            <w:r w:rsidRPr="00410D3D">
              <w:rPr>
                <w:rFonts w:eastAsia="Times New Roman"/>
              </w:rPr>
              <w:t>(6.01)</w:t>
            </w:r>
          </w:p>
        </w:tc>
        <w:tc>
          <w:tcPr>
            <w:tcW w:w="1479" w:type="dxa"/>
          </w:tcPr>
          <w:p w14:paraId="085FEF18" w14:textId="77777777" w:rsidR="007C5C73" w:rsidRPr="00410D3D" w:rsidRDefault="007C5C73" w:rsidP="007C5C73">
            <w:pPr>
              <w:spacing w:line="360" w:lineRule="auto"/>
              <w:rPr>
                <w:rFonts w:eastAsia="Times New Roman"/>
              </w:rPr>
            </w:pPr>
            <w:r w:rsidRPr="00410D3D">
              <w:rPr>
                <w:rFonts w:eastAsia="Times New Roman"/>
              </w:rPr>
              <w:t>F(2, 269) = 7.24***</w:t>
            </w:r>
          </w:p>
          <w:p w14:paraId="4E1E9F42" w14:textId="6364147A" w:rsidR="007C5C73" w:rsidRDefault="007C5C73" w:rsidP="007C5C73">
            <w:pPr>
              <w:rPr>
                <w:lang w:val="en-US"/>
              </w:rPr>
            </w:pPr>
            <w:r w:rsidRPr="00410D3D">
              <w:rPr>
                <w:rFonts w:eastAsia="Times New Roman"/>
              </w:rPr>
              <w:t>(</w:t>
            </w:r>
            <w:r w:rsidRPr="00410D3D">
              <w:rPr>
                <w:rFonts w:ascii="Calibri" w:eastAsia="Times New Roman" w:hAnsi="Calibri" w:cs="Calibri"/>
              </w:rPr>
              <w:t>η</w:t>
            </w:r>
            <w:r w:rsidRPr="00410D3D">
              <w:rPr>
                <w:rFonts w:eastAsia="Times New Roman"/>
                <w:vertAlign w:val="superscript"/>
              </w:rPr>
              <w:t>2</w:t>
            </w:r>
            <w:r w:rsidRPr="00410D3D">
              <w:rPr>
                <w:rFonts w:eastAsia="Times New Roman"/>
              </w:rPr>
              <w:t xml:space="preserve"> = .051)</w:t>
            </w:r>
          </w:p>
        </w:tc>
      </w:tr>
      <w:tr w:rsidR="007C5C73" w14:paraId="3B9C6ED5" w14:textId="77777777" w:rsidTr="007C5C73">
        <w:tc>
          <w:tcPr>
            <w:tcW w:w="1951" w:type="dxa"/>
          </w:tcPr>
          <w:p w14:paraId="66C20E63" w14:textId="77777777" w:rsidR="007C5C73" w:rsidRDefault="007C5C73" w:rsidP="007C5C73">
            <w:pPr>
              <w:rPr>
                <w:lang w:val="en-US"/>
              </w:rPr>
            </w:pPr>
          </w:p>
        </w:tc>
        <w:tc>
          <w:tcPr>
            <w:tcW w:w="1276" w:type="dxa"/>
          </w:tcPr>
          <w:p w14:paraId="3DAED40A" w14:textId="77777777" w:rsidR="007C5C73" w:rsidRDefault="007C5C73" w:rsidP="007C5C73">
            <w:pPr>
              <w:rPr>
                <w:lang w:val="en-US"/>
              </w:rPr>
            </w:pPr>
          </w:p>
        </w:tc>
        <w:tc>
          <w:tcPr>
            <w:tcW w:w="1368" w:type="dxa"/>
          </w:tcPr>
          <w:p w14:paraId="770968EF" w14:textId="77777777" w:rsidR="007C5C73" w:rsidRDefault="007C5C73" w:rsidP="007C5C73">
            <w:pPr>
              <w:rPr>
                <w:lang w:val="en-US"/>
              </w:rPr>
            </w:pPr>
          </w:p>
        </w:tc>
        <w:tc>
          <w:tcPr>
            <w:tcW w:w="1532" w:type="dxa"/>
          </w:tcPr>
          <w:p w14:paraId="3F0B88D8" w14:textId="77777777" w:rsidR="007C5C73" w:rsidRDefault="007C5C73" w:rsidP="007C5C73">
            <w:pPr>
              <w:rPr>
                <w:lang w:val="en-US"/>
              </w:rPr>
            </w:pPr>
          </w:p>
        </w:tc>
        <w:tc>
          <w:tcPr>
            <w:tcW w:w="1636" w:type="dxa"/>
          </w:tcPr>
          <w:p w14:paraId="388D8F3A" w14:textId="77777777" w:rsidR="007C5C73" w:rsidRDefault="007C5C73" w:rsidP="007C5C73">
            <w:pPr>
              <w:rPr>
                <w:lang w:val="en-US"/>
              </w:rPr>
            </w:pPr>
          </w:p>
        </w:tc>
        <w:tc>
          <w:tcPr>
            <w:tcW w:w="1479" w:type="dxa"/>
          </w:tcPr>
          <w:p w14:paraId="29BC65DC" w14:textId="77777777" w:rsidR="007C5C73" w:rsidRDefault="007C5C73" w:rsidP="007C5C73">
            <w:pPr>
              <w:rPr>
                <w:lang w:val="en-US"/>
              </w:rPr>
            </w:pPr>
          </w:p>
        </w:tc>
      </w:tr>
      <w:tr w:rsidR="007C5C73" w14:paraId="32448E6E" w14:textId="77777777" w:rsidTr="007C5C73">
        <w:tc>
          <w:tcPr>
            <w:tcW w:w="1951" w:type="dxa"/>
          </w:tcPr>
          <w:p w14:paraId="530B54E7" w14:textId="77777777" w:rsidR="007C5C73" w:rsidRDefault="007C5C73" w:rsidP="007C5C73">
            <w:pPr>
              <w:rPr>
                <w:lang w:val="en-US"/>
              </w:rPr>
            </w:pPr>
            <w:r>
              <w:rPr>
                <w:lang w:val="en-US"/>
              </w:rPr>
              <w:t>Position at work</w:t>
            </w:r>
          </w:p>
          <w:p w14:paraId="7B54A6E9" w14:textId="4E15B361" w:rsidR="007C5C73" w:rsidRDefault="007C5C73" w:rsidP="007C5C73">
            <w:pPr>
              <w:rPr>
                <w:lang w:val="en-US"/>
              </w:rPr>
            </w:pPr>
            <w:r>
              <w:rPr>
                <w:lang w:val="en-US"/>
              </w:rPr>
              <w:t>(N, %)</w:t>
            </w:r>
          </w:p>
        </w:tc>
        <w:tc>
          <w:tcPr>
            <w:tcW w:w="1276" w:type="dxa"/>
          </w:tcPr>
          <w:p w14:paraId="7994280F" w14:textId="77777777" w:rsidR="007C5C73" w:rsidRDefault="007C5C73" w:rsidP="007C5C73">
            <w:pPr>
              <w:rPr>
                <w:lang w:val="en-US"/>
              </w:rPr>
            </w:pPr>
          </w:p>
        </w:tc>
        <w:tc>
          <w:tcPr>
            <w:tcW w:w="1368" w:type="dxa"/>
          </w:tcPr>
          <w:p w14:paraId="43D1CB8C" w14:textId="77777777" w:rsidR="007C5C73" w:rsidRDefault="007C5C73" w:rsidP="007C5C73">
            <w:pPr>
              <w:rPr>
                <w:lang w:val="en-US"/>
              </w:rPr>
            </w:pPr>
          </w:p>
        </w:tc>
        <w:tc>
          <w:tcPr>
            <w:tcW w:w="1532" w:type="dxa"/>
          </w:tcPr>
          <w:p w14:paraId="627A9CB0" w14:textId="77777777" w:rsidR="007C5C73" w:rsidRDefault="007C5C73" w:rsidP="007C5C73">
            <w:pPr>
              <w:rPr>
                <w:lang w:val="en-US"/>
              </w:rPr>
            </w:pPr>
          </w:p>
        </w:tc>
        <w:tc>
          <w:tcPr>
            <w:tcW w:w="1636" w:type="dxa"/>
          </w:tcPr>
          <w:p w14:paraId="14D9FC2F" w14:textId="77777777" w:rsidR="007C5C73" w:rsidRDefault="007C5C73" w:rsidP="007C5C73">
            <w:pPr>
              <w:rPr>
                <w:lang w:val="en-US"/>
              </w:rPr>
            </w:pPr>
          </w:p>
        </w:tc>
        <w:tc>
          <w:tcPr>
            <w:tcW w:w="1479" w:type="dxa"/>
          </w:tcPr>
          <w:p w14:paraId="09AC4E4D" w14:textId="77777777" w:rsidR="007C5C73" w:rsidRDefault="007C5C73" w:rsidP="007C5C73">
            <w:pPr>
              <w:rPr>
                <w:lang w:val="en-US"/>
              </w:rPr>
            </w:pPr>
          </w:p>
        </w:tc>
      </w:tr>
      <w:tr w:rsidR="00BB7049" w14:paraId="227960DD" w14:textId="77777777" w:rsidTr="007C5C73">
        <w:tc>
          <w:tcPr>
            <w:tcW w:w="1951" w:type="dxa"/>
          </w:tcPr>
          <w:p w14:paraId="0B18DD1E" w14:textId="72F67B44" w:rsidR="00BB7049" w:rsidRDefault="00BB7049" w:rsidP="00BB7049">
            <w:pPr>
              <w:rPr>
                <w:lang w:val="en-US"/>
              </w:rPr>
            </w:pPr>
            <w:r>
              <w:rPr>
                <w:lang w:val="en-US"/>
              </w:rPr>
              <w:t>Senior manager</w:t>
            </w:r>
          </w:p>
        </w:tc>
        <w:tc>
          <w:tcPr>
            <w:tcW w:w="1276" w:type="dxa"/>
          </w:tcPr>
          <w:p w14:paraId="53E7827E" w14:textId="5FEA4B93" w:rsidR="00BB7049" w:rsidRDefault="00BB7049" w:rsidP="00BB7049">
            <w:pPr>
              <w:rPr>
                <w:lang w:val="en-US"/>
              </w:rPr>
            </w:pPr>
            <w:r w:rsidRPr="00410D3D">
              <w:rPr>
                <w:rFonts w:eastAsia="Times New Roman"/>
              </w:rPr>
              <w:t>47 (15.9)</w:t>
            </w:r>
          </w:p>
        </w:tc>
        <w:tc>
          <w:tcPr>
            <w:tcW w:w="1368" w:type="dxa"/>
          </w:tcPr>
          <w:p w14:paraId="7385F742" w14:textId="44B9BCA5" w:rsidR="00BB7049" w:rsidRDefault="00BB7049" w:rsidP="00BB7049">
            <w:pPr>
              <w:rPr>
                <w:lang w:val="en-US"/>
              </w:rPr>
            </w:pPr>
            <w:r w:rsidRPr="00410D3D">
              <w:rPr>
                <w:rFonts w:eastAsia="Times New Roman"/>
              </w:rPr>
              <w:t>6 (18.8)</w:t>
            </w:r>
          </w:p>
        </w:tc>
        <w:tc>
          <w:tcPr>
            <w:tcW w:w="1532" w:type="dxa"/>
          </w:tcPr>
          <w:p w14:paraId="756B96DC" w14:textId="1DA40216" w:rsidR="00BB7049" w:rsidRDefault="00BB7049" w:rsidP="00BB7049">
            <w:pPr>
              <w:rPr>
                <w:lang w:val="en-US"/>
              </w:rPr>
            </w:pPr>
            <w:r w:rsidRPr="00410D3D">
              <w:rPr>
                <w:rFonts w:eastAsia="Times New Roman"/>
              </w:rPr>
              <w:t>29 (16.9)</w:t>
            </w:r>
          </w:p>
        </w:tc>
        <w:tc>
          <w:tcPr>
            <w:tcW w:w="1636" w:type="dxa"/>
          </w:tcPr>
          <w:p w14:paraId="3B8767BD" w14:textId="58DA6EC6" w:rsidR="00BB7049" w:rsidRDefault="00BB7049" w:rsidP="00BB7049">
            <w:pPr>
              <w:rPr>
                <w:lang w:val="en-US"/>
              </w:rPr>
            </w:pPr>
            <w:r w:rsidRPr="00410D3D">
              <w:rPr>
                <w:rFonts w:eastAsia="Times New Roman"/>
              </w:rPr>
              <w:t>12 (13.0)</w:t>
            </w:r>
          </w:p>
        </w:tc>
        <w:tc>
          <w:tcPr>
            <w:tcW w:w="1479" w:type="dxa"/>
            <w:vMerge w:val="restart"/>
          </w:tcPr>
          <w:p w14:paraId="54A39434" w14:textId="481C48B9" w:rsidR="00BB7049" w:rsidRDefault="00BB7049" w:rsidP="00BB7049">
            <w:pPr>
              <w:rPr>
                <w:lang w:val="en-US"/>
              </w:rPr>
            </w:pPr>
            <w:r w:rsidRPr="00410D3D">
              <w:rPr>
                <w:rFonts w:ascii="Calibri" w:eastAsia="Times New Roman" w:hAnsi="Calibri" w:cs="Calibri"/>
              </w:rPr>
              <w:t>χ</w:t>
            </w:r>
            <w:r w:rsidRPr="00410D3D">
              <w:rPr>
                <w:rFonts w:eastAsia="Times New Roman"/>
                <w:vertAlign w:val="superscript"/>
              </w:rPr>
              <w:t>2</w:t>
            </w:r>
            <w:r w:rsidRPr="00410D3D">
              <w:rPr>
                <w:rFonts w:eastAsia="Times New Roman"/>
              </w:rPr>
              <w:t>(4) = 1.89</w:t>
            </w:r>
          </w:p>
        </w:tc>
      </w:tr>
      <w:tr w:rsidR="00BB7049" w14:paraId="2C498CD2" w14:textId="77777777" w:rsidTr="007C5C73">
        <w:tc>
          <w:tcPr>
            <w:tcW w:w="1951" w:type="dxa"/>
          </w:tcPr>
          <w:p w14:paraId="2585CD30" w14:textId="1C0F741A" w:rsidR="00BB7049" w:rsidRDefault="00BB7049" w:rsidP="00BB7049">
            <w:pPr>
              <w:rPr>
                <w:rtl/>
                <w:lang w:val="en-US"/>
              </w:rPr>
            </w:pPr>
            <w:r>
              <w:rPr>
                <w:rFonts w:hint="cs"/>
                <w:lang w:val="en-US"/>
              </w:rPr>
              <w:t>J</w:t>
            </w:r>
            <w:r>
              <w:rPr>
                <w:lang w:val="en-US"/>
              </w:rPr>
              <w:t>unior manager</w:t>
            </w:r>
          </w:p>
        </w:tc>
        <w:tc>
          <w:tcPr>
            <w:tcW w:w="1276" w:type="dxa"/>
          </w:tcPr>
          <w:p w14:paraId="191D682E" w14:textId="3A6225C9" w:rsidR="00BB7049" w:rsidRDefault="00BB7049" w:rsidP="00BB7049">
            <w:pPr>
              <w:rPr>
                <w:lang w:val="en-US"/>
              </w:rPr>
            </w:pPr>
            <w:r w:rsidRPr="00410D3D">
              <w:rPr>
                <w:rFonts w:eastAsia="Times New Roman"/>
              </w:rPr>
              <w:t>45 (15.2)</w:t>
            </w:r>
          </w:p>
        </w:tc>
        <w:tc>
          <w:tcPr>
            <w:tcW w:w="1368" w:type="dxa"/>
          </w:tcPr>
          <w:p w14:paraId="183279F7" w14:textId="2486D79E" w:rsidR="00BB7049" w:rsidRDefault="00BB7049" w:rsidP="00BB7049">
            <w:pPr>
              <w:rPr>
                <w:lang w:val="en-US"/>
              </w:rPr>
            </w:pPr>
            <w:r w:rsidRPr="00410D3D">
              <w:rPr>
                <w:rFonts w:eastAsia="Times New Roman"/>
              </w:rPr>
              <w:t>6 (18.8)</w:t>
            </w:r>
          </w:p>
        </w:tc>
        <w:tc>
          <w:tcPr>
            <w:tcW w:w="1532" w:type="dxa"/>
          </w:tcPr>
          <w:p w14:paraId="637DB69F" w14:textId="37F0BA71" w:rsidR="00BB7049" w:rsidRDefault="00BB7049" w:rsidP="00BB7049">
            <w:pPr>
              <w:rPr>
                <w:lang w:val="en-US"/>
              </w:rPr>
            </w:pPr>
            <w:r w:rsidRPr="00410D3D">
              <w:rPr>
                <w:rFonts w:eastAsia="Times New Roman"/>
              </w:rPr>
              <w:t>27 (15.7)</w:t>
            </w:r>
          </w:p>
        </w:tc>
        <w:tc>
          <w:tcPr>
            <w:tcW w:w="1636" w:type="dxa"/>
          </w:tcPr>
          <w:p w14:paraId="68D3CCF3" w14:textId="4ED879E5" w:rsidR="00BB7049" w:rsidRDefault="00BB7049" w:rsidP="00BB7049">
            <w:pPr>
              <w:rPr>
                <w:lang w:val="en-US"/>
              </w:rPr>
            </w:pPr>
            <w:r w:rsidRPr="00410D3D">
              <w:rPr>
                <w:rFonts w:eastAsia="Times New Roman"/>
              </w:rPr>
              <w:t>12 (13.0)</w:t>
            </w:r>
          </w:p>
        </w:tc>
        <w:tc>
          <w:tcPr>
            <w:tcW w:w="1479" w:type="dxa"/>
            <w:vMerge/>
          </w:tcPr>
          <w:p w14:paraId="206A624B" w14:textId="77777777" w:rsidR="00BB7049" w:rsidRDefault="00BB7049" w:rsidP="00BB7049">
            <w:pPr>
              <w:rPr>
                <w:lang w:val="en-US"/>
              </w:rPr>
            </w:pPr>
          </w:p>
        </w:tc>
      </w:tr>
      <w:tr w:rsidR="00BB7049" w14:paraId="699F6D90" w14:textId="77777777" w:rsidTr="007C5C73">
        <w:tc>
          <w:tcPr>
            <w:tcW w:w="1951" w:type="dxa"/>
          </w:tcPr>
          <w:p w14:paraId="2150795D" w14:textId="14E973AC" w:rsidR="00BB7049" w:rsidRDefault="00BB7049" w:rsidP="00BB7049">
            <w:pPr>
              <w:rPr>
                <w:lang w:val="en-US"/>
              </w:rPr>
            </w:pPr>
            <w:r>
              <w:rPr>
                <w:lang w:val="en-US"/>
              </w:rPr>
              <w:t>Common worker</w:t>
            </w:r>
          </w:p>
        </w:tc>
        <w:tc>
          <w:tcPr>
            <w:tcW w:w="1276" w:type="dxa"/>
          </w:tcPr>
          <w:p w14:paraId="274C98A3" w14:textId="625072A0" w:rsidR="00BB7049" w:rsidRDefault="00BB7049" w:rsidP="00BB7049">
            <w:pPr>
              <w:rPr>
                <w:lang w:val="en-US"/>
              </w:rPr>
            </w:pPr>
            <w:r w:rsidRPr="00410D3D">
              <w:rPr>
                <w:rFonts w:eastAsia="Times New Roman"/>
              </w:rPr>
              <w:t>204 (68.9)</w:t>
            </w:r>
          </w:p>
        </w:tc>
        <w:tc>
          <w:tcPr>
            <w:tcW w:w="1368" w:type="dxa"/>
          </w:tcPr>
          <w:p w14:paraId="4088735E" w14:textId="640A7B6C" w:rsidR="00BB7049" w:rsidRDefault="00BB7049" w:rsidP="00BB7049">
            <w:pPr>
              <w:rPr>
                <w:lang w:val="en-US"/>
              </w:rPr>
            </w:pPr>
            <w:r w:rsidRPr="00410D3D">
              <w:rPr>
                <w:rFonts w:eastAsia="Times New Roman"/>
              </w:rPr>
              <w:t>20 (62.4)</w:t>
            </w:r>
          </w:p>
        </w:tc>
        <w:tc>
          <w:tcPr>
            <w:tcW w:w="1532" w:type="dxa"/>
          </w:tcPr>
          <w:p w14:paraId="4DBEA1EF" w14:textId="292D6096" w:rsidR="00BB7049" w:rsidRDefault="00BB7049" w:rsidP="00BB7049">
            <w:pPr>
              <w:rPr>
                <w:lang w:val="en-US"/>
              </w:rPr>
            </w:pPr>
            <w:r w:rsidRPr="00410D3D">
              <w:rPr>
                <w:rFonts w:eastAsia="Times New Roman"/>
              </w:rPr>
              <w:t>116 (67.4)</w:t>
            </w:r>
          </w:p>
        </w:tc>
        <w:tc>
          <w:tcPr>
            <w:tcW w:w="1636" w:type="dxa"/>
          </w:tcPr>
          <w:p w14:paraId="25571DED" w14:textId="61C92978" w:rsidR="00BB7049" w:rsidRDefault="00BB7049" w:rsidP="00BB7049">
            <w:pPr>
              <w:rPr>
                <w:lang w:val="en-US"/>
              </w:rPr>
            </w:pPr>
            <w:r w:rsidRPr="00410D3D">
              <w:rPr>
                <w:rFonts w:eastAsia="Times New Roman"/>
              </w:rPr>
              <w:t>68 (74.0)</w:t>
            </w:r>
          </w:p>
        </w:tc>
        <w:tc>
          <w:tcPr>
            <w:tcW w:w="1479" w:type="dxa"/>
            <w:vMerge/>
          </w:tcPr>
          <w:p w14:paraId="1A23C73F" w14:textId="77777777" w:rsidR="00BB7049" w:rsidRDefault="00BB7049" w:rsidP="00BB7049">
            <w:pPr>
              <w:rPr>
                <w:lang w:val="en-US"/>
              </w:rPr>
            </w:pPr>
          </w:p>
        </w:tc>
      </w:tr>
    </w:tbl>
    <w:p w14:paraId="6F5DAC48" w14:textId="77777777" w:rsidR="00D4644A" w:rsidRDefault="00D4644A" w:rsidP="00D4644A">
      <w:pPr>
        <w:rPr>
          <w:lang w:val="en-US"/>
        </w:rPr>
      </w:pPr>
      <w:r w:rsidRPr="00D4644A">
        <w:rPr>
          <w:lang w:val="en-US"/>
        </w:rPr>
        <w:t>*p &lt; .05, **p &lt; .01, ***p &lt; .001</w:t>
      </w:r>
    </w:p>
    <w:p w14:paraId="2344DF1F" w14:textId="43EEDB03" w:rsidR="00D4644A" w:rsidRDefault="00D4644A" w:rsidP="00D4644A">
      <w:pPr>
        <w:rPr>
          <w:lang w:val="en-US"/>
        </w:rPr>
      </w:pPr>
      <w:r>
        <w:rPr>
          <w:lang w:val="en-US"/>
        </w:rPr>
        <w:t>*Different letters represent significant differences between the cells</w:t>
      </w:r>
    </w:p>
    <w:p w14:paraId="3D144952" w14:textId="77777777" w:rsidR="00C357CE" w:rsidRDefault="00C357CE" w:rsidP="00D4644A">
      <w:pPr>
        <w:rPr>
          <w:lang w:val="en-US"/>
        </w:rPr>
      </w:pPr>
    </w:p>
    <w:p w14:paraId="147EB7D6" w14:textId="6975B7A0" w:rsidR="00C357CE" w:rsidRDefault="00F208AD" w:rsidP="00A76F12">
      <w:pPr>
        <w:rPr>
          <w:lang w:val="en-US"/>
        </w:rPr>
      </w:pPr>
      <w:r>
        <w:rPr>
          <w:lang w:val="en-US"/>
        </w:rPr>
        <w:t xml:space="preserve">The above data show a wide range of ages, with an average age of 45. Participants who had experienced CSA are, on average, 6-7 years younger than participants in the two other groups, which is statistically significant </w:t>
      </w:r>
      <w:r w:rsidRPr="00F208AD">
        <w:rPr>
          <w:lang w:val="en-US"/>
        </w:rPr>
        <w:t>(F(2, 293) = 10.98, p &lt; .001, η2 = .070)</w:t>
      </w:r>
      <w:r>
        <w:rPr>
          <w:lang w:val="en-US"/>
        </w:rPr>
        <w:t xml:space="preserve">. About three-quarters of the participants </w:t>
      </w:r>
      <w:r w:rsidR="002407BF">
        <w:rPr>
          <w:lang w:val="en-US"/>
        </w:rPr>
        <w:t>were</w:t>
      </w:r>
      <w:r>
        <w:rPr>
          <w:lang w:val="en-US"/>
        </w:rPr>
        <w:t xml:space="preserve"> women, </w:t>
      </w:r>
      <w:r w:rsidR="006A29F4">
        <w:rPr>
          <w:lang w:val="en-US"/>
        </w:rPr>
        <w:t>who were a statistically significant percentage within the CSA group (~87%), as compared to the other two groups (~66% and ~72%) (</w:t>
      </w:r>
      <w:r w:rsidR="006A29F4" w:rsidRPr="006A29F4">
        <w:rPr>
          <w:lang w:val="en-US"/>
        </w:rPr>
        <w:sym w:font="Symbol" w:char="F063"/>
      </w:r>
      <w:r w:rsidR="006A29F4" w:rsidRPr="006A29F4">
        <w:rPr>
          <w:vertAlign w:val="superscript"/>
          <w:lang w:val="en-US"/>
        </w:rPr>
        <w:t>2</w:t>
      </w:r>
      <w:r w:rsidR="006A29F4" w:rsidRPr="006A29F4">
        <w:rPr>
          <w:lang w:val="en-US"/>
        </w:rPr>
        <w:t>(2) = 13.14, p &lt; .01</w:t>
      </w:r>
      <w:r w:rsidR="006A29F4">
        <w:rPr>
          <w:lang w:val="en-US"/>
        </w:rPr>
        <w:t xml:space="preserve">). Most of the participants </w:t>
      </w:r>
      <w:r w:rsidR="003D0EC4">
        <w:rPr>
          <w:lang w:val="en-US"/>
        </w:rPr>
        <w:t>were Jewish</w:t>
      </w:r>
      <w:r w:rsidR="006A29F4">
        <w:rPr>
          <w:lang w:val="en-US"/>
        </w:rPr>
        <w:t xml:space="preserve"> native Israelis, with no difference between the groups. Most of the participants </w:t>
      </w:r>
      <w:r w:rsidR="003D0EC4">
        <w:rPr>
          <w:lang w:val="en-US"/>
        </w:rPr>
        <w:t>were</w:t>
      </w:r>
      <w:r w:rsidR="006A29F4">
        <w:rPr>
          <w:lang w:val="en-US"/>
        </w:rPr>
        <w:t xml:space="preserve"> secular (~70%), </w:t>
      </w:r>
      <w:r w:rsidR="002407BF">
        <w:rPr>
          <w:lang w:val="en-US"/>
        </w:rPr>
        <w:t>who constituted a</w:t>
      </w:r>
      <w:r w:rsidR="006A29F4">
        <w:rPr>
          <w:lang w:val="en-US"/>
        </w:rPr>
        <w:t xml:space="preserve"> significantly lower percentage in the CSA group (~59%) than in the other two groups (~76% and ~78%) (</w:t>
      </w:r>
      <w:r w:rsidR="006A29F4" w:rsidRPr="006A29F4">
        <w:rPr>
          <w:lang w:val="en-US"/>
        </w:rPr>
        <w:sym w:font="Symbol" w:char="F063"/>
      </w:r>
      <w:r w:rsidR="006A29F4" w:rsidRPr="006A29F4">
        <w:rPr>
          <w:vertAlign w:val="superscript"/>
          <w:lang w:val="en-US"/>
        </w:rPr>
        <w:t>2</w:t>
      </w:r>
      <w:r w:rsidR="006A29F4" w:rsidRPr="006A29F4">
        <w:rPr>
          <w:lang w:val="en-US"/>
        </w:rPr>
        <w:t>(4) = 10.61, p &lt; .05</w:t>
      </w:r>
      <w:r w:rsidR="006A29F4">
        <w:rPr>
          <w:lang w:val="en-US"/>
        </w:rPr>
        <w:t>).</w:t>
      </w:r>
      <w:r w:rsidR="0083099F">
        <w:rPr>
          <w:lang w:val="en-US"/>
        </w:rPr>
        <w:t xml:space="preserve"> Participants had 16.5 years of education on average, with no difference between the groups. Most of the participants reported an over-average income (~67%), statistically </w:t>
      </w:r>
      <w:r w:rsidR="00A76F12">
        <w:rPr>
          <w:lang w:val="en-US"/>
        </w:rPr>
        <w:t>lower in the CSA group (~52%) than in the other two groups (~72% and ~87%) (</w:t>
      </w:r>
      <w:r w:rsidR="00A76F12" w:rsidRPr="00A76F12">
        <w:rPr>
          <w:lang w:val="en-US"/>
        </w:rPr>
        <w:sym w:font="Symbol" w:char="F063"/>
      </w:r>
      <w:r w:rsidR="00A76F12" w:rsidRPr="00A76F12">
        <w:rPr>
          <w:vertAlign w:val="superscript"/>
          <w:lang w:val="en-US"/>
        </w:rPr>
        <w:t>2</w:t>
      </w:r>
      <w:r w:rsidR="00A76F12" w:rsidRPr="00A76F12">
        <w:rPr>
          <w:lang w:val="en-US"/>
        </w:rPr>
        <w:t>(4) = 21.34, p &lt; .001</w:t>
      </w:r>
      <w:r w:rsidR="00A76F12">
        <w:rPr>
          <w:lang w:val="en-US"/>
        </w:rPr>
        <w:t>).</w:t>
      </w:r>
    </w:p>
    <w:p w14:paraId="2953D25B" w14:textId="5858961D" w:rsidR="00935D09" w:rsidRDefault="0021755B" w:rsidP="00915E83">
      <w:pPr>
        <w:rPr>
          <w:lang w:val="en-US"/>
        </w:rPr>
      </w:pPr>
      <w:r>
        <w:rPr>
          <w:lang w:val="en-US"/>
        </w:rPr>
        <w:tab/>
        <w:t xml:space="preserve">All participants were in a relationship, </w:t>
      </w:r>
      <w:r w:rsidR="004F4CAB">
        <w:rPr>
          <w:lang w:val="en-US"/>
        </w:rPr>
        <w:t>three-quarters of them married, with no significant differences between the groups. The average duration of the relationship was significantly lower in the CSA group (around 13 years) than in the other groups (around 18 years) (</w:t>
      </w:r>
      <w:r w:rsidR="004F4CAB" w:rsidRPr="004F4CAB">
        <w:rPr>
          <w:lang w:val="en-US"/>
        </w:rPr>
        <w:t>F(2, 292) = 6.02, p &lt; .01, η</w:t>
      </w:r>
      <w:r w:rsidR="004F4CAB" w:rsidRPr="004F4CAB">
        <w:rPr>
          <w:vertAlign w:val="superscript"/>
          <w:lang w:val="en-US"/>
        </w:rPr>
        <w:t>2</w:t>
      </w:r>
      <w:r w:rsidR="004F4CAB" w:rsidRPr="004F4CAB">
        <w:rPr>
          <w:lang w:val="en-US"/>
        </w:rPr>
        <w:t xml:space="preserve"> = .040</w:t>
      </w:r>
      <w:r w:rsidR="004F4CAB">
        <w:rPr>
          <w:lang w:val="en-US"/>
        </w:rPr>
        <w:t xml:space="preserve">). Around 61% of the participants </w:t>
      </w:r>
      <w:r w:rsidR="003D0EC4">
        <w:rPr>
          <w:lang w:val="en-US"/>
        </w:rPr>
        <w:t>had</w:t>
      </w:r>
      <w:r w:rsidR="004F4CAB">
        <w:rPr>
          <w:lang w:val="en-US"/>
        </w:rPr>
        <w:t xml:space="preserve"> minor children from their current partner, and around 7% </w:t>
      </w:r>
      <w:r w:rsidR="003D0EC4">
        <w:rPr>
          <w:lang w:val="en-US"/>
        </w:rPr>
        <w:t>had</w:t>
      </w:r>
      <w:r w:rsidR="004F4CAB">
        <w:rPr>
          <w:lang w:val="en-US"/>
        </w:rPr>
        <w:t xml:space="preserve"> minor children from a previous partner, with no differences between the groups. In addition, around 15% of the CSA group </w:t>
      </w:r>
      <w:r w:rsidR="003D0EC4">
        <w:rPr>
          <w:lang w:val="en-US"/>
        </w:rPr>
        <w:t>had</w:t>
      </w:r>
      <w:r w:rsidR="004F4CAB">
        <w:rPr>
          <w:lang w:val="en-US"/>
        </w:rPr>
        <w:t xml:space="preserve"> adult children from their current partner, which is significantly lower than the ~40% in the other groups (</w:t>
      </w:r>
      <w:r w:rsidR="004F4CAB" w:rsidRPr="004F4CAB">
        <w:rPr>
          <w:lang w:val="en-US"/>
        </w:rPr>
        <w:sym w:font="Symbol" w:char="F063"/>
      </w:r>
      <w:r w:rsidR="004F4CAB" w:rsidRPr="004F4CAB">
        <w:rPr>
          <w:vertAlign w:val="superscript"/>
          <w:lang w:val="en-US"/>
        </w:rPr>
        <w:t>2</w:t>
      </w:r>
      <w:r w:rsidR="004F4CAB" w:rsidRPr="004F4CAB">
        <w:rPr>
          <w:lang w:val="en-US"/>
        </w:rPr>
        <w:t>(2) = 15.76, p &lt; .001</w:t>
      </w:r>
      <w:r w:rsidR="004F4CAB">
        <w:rPr>
          <w:lang w:val="en-US"/>
        </w:rPr>
        <w:t>).</w:t>
      </w:r>
      <w:r w:rsidR="00915E83">
        <w:rPr>
          <w:lang w:val="en-US"/>
        </w:rPr>
        <w:t xml:space="preserve"> About 12% of the participants </w:t>
      </w:r>
      <w:r w:rsidR="003D0EC4">
        <w:rPr>
          <w:lang w:val="en-US"/>
        </w:rPr>
        <w:t>had</w:t>
      </w:r>
      <w:r w:rsidR="00915E83">
        <w:rPr>
          <w:lang w:val="en-US"/>
        </w:rPr>
        <w:t xml:space="preserve"> adult children from previous partners. On average, participants had around 1.5 minor children and close to 1 adult child. There was no difference in the number of minor children between the groups, but CSA participants had fewer adult children than participants in the other two groups (</w:t>
      </w:r>
      <w:r w:rsidR="00915E83" w:rsidRPr="00915E83">
        <w:rPr>
          <w:lang w:val="en-US"/>
        </w:rPr>
        <w:t>F(2, 293) = 7.48, p &lt; .001, η</w:t>
      </w:r>
      <w:r w:rsidR="00915E83" w:rsidRPr="00915E83">
        <w:rPr>
          <w:vertAlign w:val="superscript"/>
          <w:lang w:val="en-US"/>
        </w:rPr>
        <w:t>2</w:t>
      </w:r>
      <w:r w:rsidR="00915E83" w:rsidRPr="00915E83">
        <w:rPr>
          <w:lang w:val="en-US"/>
        </w:rPr>
        <w:t xml:space="preserve"> = .049</w:t>
      </w:r>
      <w:r w:rsidR="00915E83">
        <w:rPr>
          <w:lang w:val="en-US"/>
        </w:rPr>
        <w:t>).</w:t>
      </w:r>
    </w:p>
    <w:p w14:paraId="0B45898C" w14:textId="71B901F7" w:rsidR="00431079" w:rsidRDefault="00431079" w:rsidP="0047704A">
      <w:pPr>
        <w:rPr>
          <w:lang w:val="en-US"/>
        </w:rPr>
      </w:pPr>
      <w:r>
        <w:rPr>
          <w:lang w:val="en-US"/>
        </w:rPr>
        <w:tab/>
      </w:r>
      <w:r w:rsidR="003D0EC4">
        <w:rPr>
          <w:lang w:val="en-US"/>
        </w:rPr>
        <w:t>All</w:t>
      </w:r>
      <w:r w:rsidR="0047704A">
        <w:rPr>
          <w:lang w:val="en-US"/>
        </w:rPr>
        <w:t xml:space="preserve"> the participants were employed (between 1-41 years, average = 9 years). The duration of employment was significantly lower in the CSA group (around 6 years) than in the other two groups (average of around 10 years) (</w:t>
      </w:r>
      <w:r w:rsidR="0047704A" w:rsidRPr="0047704A">
        <w:rPr>
          <w:lang w:val="en-US"/>
        </w:rPr>
        <w:t>F(2, 269) = 7.24, p &lt; .001, η</w:t>
      </w:r>
      <w:r w:rsidR="0047704A" w:rsidRPr="0047704A">
        <w:rPr>
          <w:vertAlign w:val="superscript"/>
          <w:lang w:val="en-US"/>
        </w:rPr>
        <w:t>2</w:t>
      </w:r>
      <w:r w:rsidR="0047704A" w:rsidRPr="0047704A">
        <w:rPr>
          <w:lang w:val="en-US"/>
        </w:rPr>
        <w:t xml:space="preserve"> = .051</w:t>
      </w:r>
      <w:r w:rsidR="0047704A">
        <w:rPr>
          <w:lang w:val="en-US"/>
        </w:rPr>
        <w:t xml:space="preserve">). Close to 70% of the participants </w:t>
      </w:r>
      <w:r w:rsidR="003D0EC4">
        <w:rPr>
          <w:lang w:val="en-US"/>
        </w:rPr>
        <w:t>were</w:t>
      </w:r>
      <w:r w:rsidR="0047704A">
        <w:rPr>
          <w:lang w:val="en-US"/>
        </w:rPr>
        <w:t xml:space="preserve"> common workers, ~15% senior managers, and ~15% junior managers, with no differences between the groups. Most (~64%) are hired workers</w:t>
      </w:r>
      <w:r w:rsidR="003D0EC4">
        <w:rPr>
          <w:lang w:val="en-US"/>
        </w:rPr>
        <w:t>,</w:t>
      </w:r>
      <w:r w:rsidR="0047704A">
        <w:rPr>
          <w:lang w:val="en-US"/>
        </w:rPr>
        <w:t xml:space="preserve"> and the remainder </w:t>
      </w:r>
      <w:r w:rsidR="003D0EC4">
        <w:rPr>
          <w:lang w:val="en-US"/>
        </w:rPr>
        <w:t xml:space="preserve">were </w:t>
      </w:r>
      <w:r w:rsidR="0047704A">
        <w:rPr>
          <w:lang w:val="en-US"/>
        </w:rPr>
        <w:t>either self-employed (~23%) or both hired and self-employed (~13%), with no differences between the groups. The senior managers had, on average, ~25 workers, and the junior managers ~!7 workers on average, with no differences between the groups.</w:t>
      </w:r>
    </w:p>
    <w:p w14:paraId="017ABA79" w14:textId="5C5064E2" w:rsidR="0047704A" w:rsidRDefault="0047704A" w:rsidP="0047704A">
      <w:pPr>
        <w:rPr>
          <w:lang w:val="en-US"/>
        </w:rPr>
      </w:pPr>
      <w:r>
        <w:rPr>
          <w:lang w:val="en-US"/>
        </w:rPr>
        <w:tab/>
      </w:r>
    </w:p>
    <w:p w14:paraId="40D4F668" w14:textId="735AF868" w:rsidR="008B0267" w:rsidRDefault="008B0267" w:rsidP="0047704A">
      <w:pPr>
        <w:rPr>
          <w:lang w:val="en-US"/>
        </w:rPr>
      </w:pPr>
      <w:r>
        <w:rPr>
          <w:lang w:val="en-US"/>
        </w:rPr>
        <w:t>This study hypothesized that the quality of relationships in the workplace would be lowest among participants who had experienced CSA, a bit better among participants who had experienced a non-CSA traumatic event, and best among participants who had not experienced traumatic events.</w:t>
      </w:r>
    </w:p>
    <w:p w14:paraId="7714C442" w14:textId="2FD4C21F" w:rsidR="008B0267" w:rsidRDefault="008B0267" w:rsidP="0047704A">
      <w:pPr>
        <w:rPr>
          <w:lang w:val="en-US"/>
        </w:rPr>
      </w:pPr>
      <w:r>
        <w:rPr>
          <w:lang w:val="en-US"/>
        </w:rPr>
        <w:t xml:space="preserve">We tested this hypothesis using multi-variable variance while controlling for age, years of education, and levels of religiosity (1+secular, 0=traditional and religious) (MANCOVA). In light of the control </w:t>
      </w:r>
      <w:r w:rsidR="003D0EC4">
        <w:rPr>
          <w:lang w:val="en-US"/>
        </w:rPr>
        <w:t>variables,</w:t>
      </w:r>
      <w:r>
        <w:rPr>
          <w:lang w:val="en-US"/>
        </w:rPr>
        <w:t xml:space="preserve"> we also tested differences between the groups using an </w:t>
      </w:r>
      <w:commentRangeStart w:id="15"/>
      <w:r>
        <w:rPr>
          <w:lang w:val="en-US"/>
        </w:rPr>
        <w:t xml:space="preserve">Estimated </w:t>
      </w:r>
      <w:commentRangeEnd w:id="15"/>
      <w:r w:rsidR="003D0EC4">
        <w:rPr>
          <w:rStyle w:val="CommentReference"/>
        </w:rPr>
        <w:commentReference w:id="15"/>
      </w:r>
      <w:r>
        <w:rPr>
          <w:lang w:val="en-US"/>
        </w:rPr>
        <w:t>marginal means.</w:t>
      </w:r>
    </w:p>
    <w:p w14:paraId="3D579D3B" w14:textId="77777777" w:rsidR="008B0267" w:rsidRDefault="008B0267" w:rsidP="0047704A">
      <w:pPr>
        <w:rPr>
          <w:lang w:val="en-US"/>
        </w:rPr>
      </w:pPr>
    </w:p>
    <w:p w14:paraId="25176AEF" w14:textId="0FB27DA6" w:rsidR="008B0267" w:rsidRDefault="008B0267" w:rsidP="0047704A">
      <w:pPr>
        <w:rPr>
          <w:lang w:val="en-US"/>
        </w:rPr>
      </w:pPr>
      <w:r>
        <w:rPr>
          <w:lang w:val="en-US"/>
        </w:rPr>
        <w:t xml:space="preserve">Table </w:t>
      </w:r>
      <w:commentRangeStart w:id="16"/>
      <w:r>
        <w:rPr>
          <w:lang w:val="en-US"/>
        </w:rPr>
        <w:t>2</w:t>
      </w:r>
      <w:commentRangeEnd w:id="16"/>
      <w:r>
        <w:rPr>
          <w:rStyle w:val="CommentReference"/>
        </w:rPr>
        <w:commentReference w:id="16"/>
      </w:r>
      <w:r>
        <w:rPr>
          <w:lang w:val="en-US"/>
        </w:rPr>
        <w:t>: Averages, SDs, and F values for quality of relationship in the workplace, by group (N = 296)</w:t>
      </w:r>
    </w:p>
    <w:tbl>
      <w:tblPr>
        <w:tblStyle w:val="TableGrid"/>
        <w:tblW w:w="0" w:type="auto"/>
        <w:tblLook w:val="04A0" w:firstRow="1" w:lastRow="0" w:firstColumn="1" w:lastColumn="0" w:noHBand="0" w:noVBand="1"/>
      </w:tblPr>
      <w:tblGrid>
        <w:gridCol w:w="1848"/>
        <w:gridCol w:w="1848"/>
        <w:gridCol w:w="1848"/>
        <w:gridCol w:w="1849"/>
        <w:gridCol w:w="1849"/>
      </w:tblGrid>
      <w:tr w:rsidR="00232433" w14:paraId="25869F50" w14:textId="77777777" w:rsidTr="00232433">
        <w:tc>
          <w:tcPr>
            <w:tcW w:w="1848" w:type="dxa"/>
          </w:tcPr>
          <w:p w14:paraId="5AD61A6C" w14:textId="77777777" w:rsidR="00232433" w:rsidRDefault="00232433" w:rsidP="0047704A">
            <w:pPr>
              <w:rPr>
                <w:lang w:val="en-US"/>
              </w:rPr>
            </w:pPr>
          </w:p>
        </w:tc>
        <w:tc>
          <w:tcPr>
            <w:tcW w:w="1848" w:type="dxa"/>
          </w:tcPr>
          <w:p w14:paraId="62C08197" w14:textId="7D93C262" w:rsidR="00232433" w:rsidRDefault="00232433" w:rsidP="0047704A">
            <w:pPr>
              <w:rPr>
                <w:lang w:val="en-US"/>
              </w:rPr>
            </w:pPr>
            <w:r>
              <w:rPr>
                <w:lang w:val="en-US"/>
              </w:rPr>
              <w:t>No traumatic event (N = 32)</w:t>
            </w:r>
          </w:p>
        </w:tc>
        <w:tc>
          <w:tcPr>
            <w:tcW w:w="1848" w:type="dxa"/>
          </w:tcPr>
          <w:p w14:paraId="0E386E54" w14:textId="341C4734" w:rsidR="00232433" w:rsidRDefault="00232433" w:rsidP="0047704A">
            <w:pPr>
              <w:rPr>
                <w:lang w:val="en-US"/>
              </w:rPr>
            </w:pPr>
            <w:r>
              <w:rPr>
                <w:lang w:val="en-US"/>
              </w:rPr>
              <w:t>Non-CSA traumatic event (N = 132)</w:t>
            </w:r>
          </w:p>
        </w:tc>
        <w:tc>
          <w:tcPr>
            <w:tcW w:w="1849" w:type="dxa"/>
          </w:tcPr>
          <w:p w14:paraId="7CFF41BD" w14:textId="77777777" w:rsidR="00232433" w:rsidRDefault="00232433" w:rsidP="0047704A">
            <w:pPr>
              <w:rPr>
                <w:lang w:val="en-US"/>
              </w:rPr>
            </w:pPr>
            <w:r>
              <w:rPr>
                <w:lang w:val="en-US"/>
              </w:rPr>
              <w:t>CSA</w:t>
            </w:r>
          </w:p>
          <w:p w14:paraId="25ED3248" w14:textId="11043989" w:rsidR="00232433" w:rsidRDefault="00232433" w:rsidP="0047704A">
            <w:pPr>
              <w:rPr>
                <w:lang w:val="en-US"/>
              </w:rPr>
            </w:pPr>
            <w:r>
              <w:rPr>
                <w:lang w:val="en-US"/>
              </w:rPr>
              <w:t>(N = 92)</w:t>
            </w:r>
          </w:p>
        </w:tc>
        <w:tc>
          <w:tcPr>
            <w:tcW w:w="1849" w:type="dxa"/>
          </w:tcPr>
          <w:p w14:paraId="17AEBC9D" w14:textId="59DB7591" w:rsidR="00232433" w:rsidRDefault="00232433" w:rsidP="0047704A">
            <w:pPr>
              <w:rPr>
                <w:lang w:val="en-US"/>
              </w:rPr>
            </w:pPr>
            <w:r>
              <w:rPr>
                <w:lang w:val="en-US"/>
              </w:rPr>
              <w:t>Difference</w:t>
            </w:r>
          </w:p>
        </w:tc>
      </w:tr>
      <w:tr w:rsidR="00232433" w14:paraId="0D29CDE9" w14:textId="77777777" w:rsidTr="00232433">
        <w:tc>
          <w:tcPr>
            <w:tcW w:w="1848" w:type="dxa"/>
          </w:tcPr>
          <w:p w14:paraId="389A9675" w14:textId="394CFAA5" w:rsidR="00232433" w:rsidRDefault="00232433" w:rsidP="00232433">
            <w:pPr>
              <w:rPr>
                <w:lang w:val="en-US"/>
              </w:rPr>
            </w:pPr>
            <w:r>
              <w:rPr>
                <w:lang w:val="en-US"/>
              </w:rPr>
              <w:t>Aggression at work (1-5)</w:t>
            </w:r>
          </w:p>
        </w:tc>
        <w:tc>
          <w:tcPr>
            <w:tcW w:w="1848" w:type="dxa"/>
          </w:tcPr>
          <w:p w14:paraId="1D8ACA8B" w14:textId="55973F76" w:rsidR="00232433" w:rsidRDefault="00232433" w:rsidP="00232433">
            <w:pPr>
              <w:rPr>
                <w:lang w:val="en-US"/>
              </w:rPr>
            </w:pPr>
            <w:r w:rsidRPr="00410D3D">
              <w:rPr>
                <w:rFonts w:eastAsia="Times New Roman"/>
              </w:rPr>
              <w:t>1.40</w:t>
            </w:r>
            <w:r w:rsidRPr="00410D3D">
              <w:rPr>
                <w:rFonts w:eastAsia="Times New Roman"/>
                <w:vertAlign w:val="subscript"/>
              </w:rPr>
              <w:t>b</w:t>
            </w:r>
            <w:r w:rsidRPr="00410D3D">
              <w:rPr>
                <w:rFonts w:eastAsia="Times New Roman"/>
              </w:rPr>
              <w:t xml:space="preserve"> (0.35)</w:t>
            </w:r>
          </w:p>
        </w:tc>
        <w:tc>
          <w:tcPr>
            <w:tcW w:w="1848" w:type="dxa"/>
          </w:tcPr>
          <w:p w14:paraId="7088E746" w14:textId="40267952" w:rsidR="00232433" w:rsidRDefault="00232433" w:rsidP="00232433">
            <w:pPr>
              <w:rPr>
                <w:lang w:val="en-US"/>
              </w:rPr>
            </w:pPr>
            <w:r w:rsidRPr="00410D3D">
              <w:rPr>
                <w:rFonts w:eastAsia="Times New Roman"/>
              </w:rPr>
              <w:t>1.60</w:t>
            </w:r>
            <w:r w:rsidRPr="00410D3D">
              <w:rPr>
                <w:rFonts w:eastAsia="Times New Roman"/>
                <w:vertAlign w:val="subscript"/>
              </w:rPr>
              <w:t>a</w:t>
            </w:r>
            <w:r w:rsidRPr="00410D3D">
              <w:rPr>
                <w:rFonts w:eastAsia="Times New Roman"/>
              </w:rPr>
              <w:t xml:space="preserve"> (0.53)</w:t>
            </w:r>
          </w:p>
        </w:tc>
        <w:tc>
          <w:tcPr>
            <w:tcW w:w="1849" w:type="dxa"/>
          </w:tcPr>
          <w:p w14:paraId="4F1D4BC9" w14:textId="72CDC919" w:rsidR="00232433" w:rsidRDefault="00232433" w:rsidP="00232433">
            <w:pPr>
              <w:rPr>
                <w:lang w:val="en-US"/>
              </w:rPr>
            </w:pPr>
            <w:r w:rsidRPr="00410D3D">
              <w:rPr>
                <w:rFonts w:eastAsia="Times New Roman"/>
              </w:rPr>
              <w:t>1.73</w:t>
            </w:r>
            <w:r w:rsidRPr="00410D3D">
              <w:rPr>
                <w:rFonts w:eastAsia="Times New Roman"/>
                <w:vertAlign w:val="subscript"/>
              </w:rPr>
              <w:t>a</w:t>
            </w:r>
            <w:r w:rsidRPr="00410D3D">
              <w:rPr>
                <w:rFonts w:eastAsia="Times New Roman"/>
              </w:rPr>
              <w:t xml:space="preserve"> (0.57)</w:t>
            </w:r>
          </w:p>
        </w:tc>
        <w:tc>
          <w:tcPr>
            <w:tcW w:w="1849" w:type="dxa"/>
          </w:tcPr>
          <w:p w14:paraId="6764D417" w14:textId="77777777" w:rsidR="00232433" w:rsidRPr="00410D3D" w:rsidRDefault="00232433" w:rsidP="00232433">
            <w:pPr>
              <w:spacing w:line="360" w:lineRule="auto"/>
              <w:rPr>
                <w:rFonts w:eastAsia="Times New Roman"/>
              </w:rPr>
            </w:pPr>
            <w:r w:rsidRPr="00410D3D">
              <w:rPr>
                <w:rFonts w:eastAsia="Times New Roman"/>
              </w:rPr>
              <w:t>F(2, 290) = 3.57*</w:t>
            </w:r>
          </w:p>
          <w:p w14:paraId="31F13277" w14:textId="2229555E" w:rsidR="00232433" w:rsidRDefault="00232433" w:rsidP="00232433">
            <w:pPr>
              <w:rPr>
                <w:lang w:val="en-US"/>
              </w:rPr>
            </w:pPr>
            <w:r w:rsidRPr="00410D3D">
              <w:rPr>
                <w:rFonts w:eastAsia="Times New Roman"/>
              </w:rPr>
              <w:t>(</w:t>
            </w:r>
            <w:r w:rsidRPr="00410D3D">
              <w:rPr>
                <w:rFonts w:ascii="Calibri" w:eastAsia="Times New Roman" w:hAnsi="Calibri" w:cs="Calibri"/>
              </w:rPr>
              <w:t>η</w:t>
            </w:r>
            <w:r w:rsidRPr="00410D3D">
              <w:rPr>
                <w:rFonts w:eastAsia="Times New Roman"/>
                <w:vertAlign w:val="superscript"/>
              </w:rPr>
              <w:t>2</w:t>
            </w:r>
            <w:r w:rsidRPr="00410D3D">
              <w:rPr>
                <w:rFonts w:eastAsia="Times New Roman"/>
              </w:rPr>
              <w:t xml:space="preserve"> = .024)</w:t>
            </w:r>
          </w:p>
        </w:tc>
      </w:tr>
      <w:tr w:rsidR="00232433" w14:paraId="708E03FD" w14:textId="77777777" w:rsidTr="00232433">
        <w:tc>
          <w:tcPr>
            <w:tcW w:w="1848" w:type="dxa"/>
          </w:tcPr>
          <w:p w14:paraId="17CD0C7C" w14:textId="2BF14A7C" w:rsidR="00232433" w:rsidRDefault="00232433" w:rsidP="00232433">
            <w:pPr>
              <w:rPr>
                <w:lang w:val="en-US"/>
              </w:rPr>
            </w:pPr>
            <w:r>
              <w:rPr>
                <w:lang w:val="en-US"/>
              </w:rPr>
              <w:t>Loneliness at work (1-4)</w:t>
            </w:r>
          </w:p>
        </w:tc>
        <w:tc>
          <w:tcPr>
            <w:tcW w:w="1848" w:type="dxa"/>
          </w:tcPr>
          <w:p w14:paraId="3064A44D" w14:textId="266A805A" w:rsidR="00232433" w:rsidRDefault="00232433" w:rsidP="00232433">
            <w:pPr>
              <w:rPr>
                <w:lang w:val="en-US"/>
              </w:rPr>
            </w:pPr>
            <w:r w:rsidRPr="00410D3D">
              <w:rPr>
                <w:rFonts w:eastAsia="Times New Roman"/>
              </w:rPr>
              <w:t>1.97 (0.38)</w:t>
            </w:r>
          </w:p>
        </w:tc>
        <w:tc>
          <w:tcPr>
            <w:tcW w:w="1848" w:type="dxa"/>
          </w:tcPr>
          <w:p w14:paraId="1FFFDABE" w14:textId="1F091722" w:rsidR="00232433" w:rsidRDefault="00232433" w:rsidP="00232433">
            <w:pPr>
              <w:rPr>
                <w:lang w:val="en-US"/>
              </w:rPr>
            </w:pPr>
            <w:r w:rsidRPr="00410D3D">
              <w:rPr>
                <w:rFonts w:eastAsia="Times New Roman"/>
              </w:rPr>
              <w:t>2.03 (0.44)</w:t>
            </w:r>
          </w:p>
        </w:tc>
        <w:tc>
          <w:tcPr>
            <w:tcW w:w="1849" w:type="dxa"/>
          </w:tcPr>
          <w:p w14:paraId="35776A6A" w14:textId="5BA8B107" w:rsidR="00232433" w:rsidRDefault="00232433" w:rsidP="00232433">
            <w:pPr>
              <w:rPr>
                <w:lang w:val="en-US"/>
              </w:rPr>
            </w:pPr>
            <w:r w:rsidRPr="00410D3D">
              <w:rPr>
                <w:rFonts w:eastAsia="Times New Roman"/>
              </w:rPr>
              <w:t>2.12 (0.44)</w:t>
            </w:r>
          </w:p>
        </w:tc>
        <w:tc>
          <w:tcPr>
            <w:tcW w:w="1849" w:type="dxa"/>
          </w:tcPr>
          <w:p w14:paraId="26BCB6EA" w14:textId="77777777" w:rsidR="00232433" w:rsidRPr="00410D3D" w:rsidRDefault="00232433" w:rsidP="00232433">
            <w:pPr>
              <w:spacing w:line="360" w:lineRule="auto"/>
              <w:rPr>
                <w:rFonts w:eastAsia="Times New Roman"/>
              </w:rPr>
            </w:pPr>
            <w:r w:rsidRPr="00410D3D">
              <w:rPr>
                <w:rFonts w:eastAsia="Times New Roman"/>
              </w:rPr>
              <w:t>F(2, 288) = 0.86</w:t>
            </w:r>
          </w:p>
          <w:p w14:paraId="413A319C" w14:textId="30C1F897" w:rsidR="00232433" w:rsidRDefault="00232433" w:rsidP="00232433">
            <w:pPr>
              <w:rPr>
                <w:lang w:val="en-US"/>
              </w:rPr>
            </w:pPr>
            <w:r w:rsidRPr="00410D3D">
              <w:rPr>
                <w:rFonts w:eastAsia="Times New Roman"/>
              </w:rPr>
              <w:t>(</w:t>
            </w:r>
            <w:r w:rsidRPr="00410D3D">
              <w:rPr>
                <w:rFonts w:ascii="Calibri" w:eastAsia="Times New Roman" w:hAnsi="Calibri" w:cs="Calibri"/>
              </w:rPr>
              <w:t>η</w:t>
            </w:r>
            <w:r w:rsidRPr="00410D3D">
              <w:rPr>
                <w:rFonts w:eastAsia="Times New Roman"/>
                <w:vertAlign w:val="superscript"/>
              </w:rPr>
              <w:t>2</w:t>
            </w:r>
            <w:r w:rsidRPr="00410D3D">
              <w:rPr>
                <w:rFonts w:eastAsia="Times New Roman"/>
              </w:rPr>
              <w:t xml:space="preserve"> = .006)</w:t>
            </w:r>
          </w:p>
        </w:tc>
      </w:tr>
      <w:tr w:rsidR="00232433" w14:paraId="253997EE" w14:textId="77777777" w:rsidTr="00232433">
        <w:tc>
          <w:tcPr>
            <w:tcW w:w="1848" w:type="dxa"/>
          </w:tcPr>
          <w:p w14:paraId="133BE458" w14:textId="17791CD3" w:rsidR="00232433" w:rsidRDefault="00232433" w:rsidP="00232433">
            <w:pPr>
              <w:rPr>
                <w:lang w:val="en-US"/>
              </w:rPr>
            </w:pPr>
            <w:r>
              <w:rPr>
                <w:lang w:val="en-US"/>
              </w:rPr>
              <w:t>Satisfaction from relationships at work (1-7)</w:t>
            </w:r>
          </w:p>
        </w:tc>
        <w:tc>
          <w:tcPr>
            <w:tcW w:w="1848" w:type="dxa"/>
          </w:tcPr>
          <w:p w14:paraId="7BB3B8F1" w14:textId="5ECABCD5" w:rsidR="00232433" w:rsidRDefault="00232433" w:rsidP="00232433">
            <w:pPr>
              <w:rPr>
                <w:lang w:val="en-US"/>
              </w:rPr>
            </w:pPr>
            <w:r w:rsidRPr="00410D3D">
              <w:rPr>
                <w:rFonts w:eastAsia="Times New Roman"/>
              </w:rPr>
              <w:t>5.83 (1.16)</w:t>
            </w:r>
          </w:p>
        </w:tc>
        <w:tc>
          <w:tcPr>
            <w:tcW w:w="1848" w:type="dxa"/>
          </w:tcPr>
          <w:p w14:paraId="38CADF80" w14:textId="3AC92CBF" w:rsidR="00232433" w:rsidRDefault="00232433" w:rsidP="00232433">
            <w:pPr>
              <w:rPr>
                <w:lang w:val="en-US"/>
              </w:rPr>
            </w:pPr>
            <w:r w:rsidRPr="00410D3D">
              <w:rPr>
                <w:rFonts w:eastAsia="Times New Roman"/>
              </w:rPr>
              <w:t>5.75 (1.25)</w:t>
            </w:r>
          </w:p>
        </w:tc>
        <w:tc>
          <w:tcPr>
            <w:tcW w:w="1849" w:type="dxa"/>
          </w:tcPr>
          <w:p w14:paraId="59ED0558" w14:textId="719C3793" w:rsidR="00232433" w:rsidRDefault="00232433" w:rsidP="00232433">
            <w:pPr>
              <w:rPr>
                <w:lang w:val="en-US"/>
              </w:rPr>
            </w:pPr>
            <w:r w:rsidRPr="00410D3D">
              <w:rPr>
                <w:rFonts w:eastAsia="Times New Roman"/>
              </w:rPr>
              <w:t>5.47 (1.46)</w:t>
            </w:r>
          </w:p>
        </w:tc>
        <w:tc>
          <w:tcPr>
            <w:tcW w:w="1849" w:type="dxa"/>
          </w:tcPr>
          <w:p w14:paraId="1C6A7A92" w14:textId="77777777" w:rsidR="00232433" w:rsidRPr="00410D3D" w:rsidRDefault="00232433" w:rsidP="00232433">
            <w:pPr>
              <w:spacing w:line="360" w:lineRule="auto"/>
              <w:rPr>
                <w:rFonts w:eastAsia="Times New Roman"/>
              </w:rPr>
            </w:pPr>
            <w:r w:rsidRPr="00410D3D">
              <w:rPr>
                <w:rFonts w:eastAsia="Times New Roman"/>
              </w:rPr>
              <w:t>F(2, 290) = 0.18</w:t>
            </w:r>
          </w:p>
          <w:p w14:paraId="74F2E49F" w14:textId="3BECF1FB" w:rsidR="00232433" w:rsidRDefault="00232433" w:rsidP="00232433">
            <w:pPr>
              <w:rPr>
                <w:lang w:val="en-US"/>
              </w:rPr>
            </w:pPr>
            <w:r w:rsidRPr="00410D3D">
              <w:rPr>
                <w:rFonts w:eastAsia="Times New Roman"/>
              </w:rPr>
              <w:t>(</w:t>
            </w:r>
            <w:r w:rsidRPr="00410D3D">
              <w:rPr>
                <w:rFonts w:ascii="Calibri" w:eastAsia="Times New Roman" w:hAnsi="Calibri" w:cs="Calibri"/>
              </w:rPr>
              <w:t>η</w:t>
            </w:r>
            <w:r w:rsidRPr="00410D3D">
              <w:rPr>
                <w:rFonts w:eastAsia="Times New Roman"/>
                <w:vertAlign w:val="superscript"/>
              </w:rPr>
              <w:t>2</w:t>
            </w:r>
            <w:r w:rsidRPr="00410D3D">
              <w:rPr>
                <w:rFonts w:eastAsia="Times New Roman"/>
              </w:rPr>
              <w:t xml:space="preserve"> = .001)</w:t>
            </w:r>
          </w:p>
        </w:tc>
      </w:tr>
    </w:tbl>
    <w:p w14:paraId="2CB48A2C" w14:textId="30425210" w:rsidR="005F183D" w:rsidRDefault="00232433" w:rsidP="00BA5403">
      <w:pPr>
        <w:rPr>
          <w:lang w:val="en-US"/>
        </w:rPr>
      </w:pPr>
      <w:r>
        <w:rPr>
          <w:lang w:val="en-US"/>
        </w:rPr>
        <w:t>Note: Different letters represent significant differences between the cells</w:t>
      </w:r>
    </w:p>
    <w:p w14:paraId="374ACF85" w14:textId="77777777" w:rsidR="00232433" w:rsidRDefault="00232433" w:rsidP="00BA5403">
      <w:pPr>
        <w:rPr>
          <w:lang w:val="en-US"/>
        </w:rPr>
      </w:pPr>
    </w:p>
    <w:p w14:paraId="675814EE" w14:textId="4A335107" w:rsidR="00232433" w:rsidRDefault="00CF26ED" w:rsidP="00BA5403">
      <w:pPr>
        <w:rPr>
          <w:lang w:val="en-US"/>
        </w:rPr>
      </w:pPr>
      <w:r>
        <w:rPr>
          <w:lang w:val="en-US"/>
        </w:rPr>
        <w:t xml:space="preserve">The above Table demonstrates a significant difference between the groups only for aggression at the workplace. Aggression at the workplace is lower for participants who did not experience any traumatic event than for those who experienced a non-CSA traumatic event (p = .042) or CSA (p = .008). The difference between participants who had experienced </w:t>
      </w:r>
      <w:r w:rsidR="005B201A">
        <w:rPr>
          <w:lang w:val="en-US"/>
        </w:rPr>
        <w:t>n</w:t>
      </w:r>
      <w:r>
        <w:rPr>
          <w:lang w:val="en-US"/>
        </w:rPr>
        <w:t>on-CSA trauma and those who had experienced CSA was not significantly different (p = .212). Differences between the groups on the measures of loneliness in the workplace or satisfaction from relationships in the workplace were not significant.</w:t>
      </w:r>
    </w:p>
    <w:p w14:paraId="68DA1D44" w14:textId="77777777" w:rsidR="00CF26ED" w:rsidRDefault="00CF26ED" w:rsidP="00BA5403">
      <w:pPr>
        <w:rPr>
          <w:lang w:val="en-US"/>
        </w:rPr>
      </w:pPr>
    </w:p>
    <w:p w14:paraId="61012F7A" w14:textId="5F73CEC2" w:rsidR="00CF26ED" w:rsidRDefault="00CF26ED" w:rsidP="00BA5403">
      <w:pPr>
        <w:rPr>
          <w:lang w:val="en-US"/>
        </w:rPr>
      </w:pPr>
      <w:r>
        <w:rPr>
          <w:b/>
          <w:bCs/>
          <w:lang w:val="en-US"/>
        </w:rPr>
        <w:t>Discussion</w:t>
      </w:r>
    </w:p>
    <w:p w14:paraId="56F97C9A" w14:textId="53BECA8E" w:rsidR="00CF26ED" w:rsidRDefault="0038559E" w:rsidP="00BA5403">
      <w:pPr>
        <w:rPr>
          <w:lang w:val="en-US"/>
        </w:rPr>
      </w:pPr>
      <w:r>
        <w:rPr>
          <w:lang w:val="en-US"/>
        </w:rPr>
        <w:t xml:space="preserve">In this </w:t>
      </w:r>
      <w:r w:rsidR="009928CA">
        <w:rPr>
          <w:lang w:val="en-US"/>
        </w:rPr>
        <w:t>study</w:t>
      </w:r>
      <w:r>
        <w:rPr>
          <w:lang w:val="en-US"/>
        </w:rPr>
        <w:t xml:space="preserve">, we </w:t>
      </w:r>
      <w:r w:rsidR="009928CA">
        <w:rPr>
          <w:lang w:val="en-US"/>
        </w:rPr>
        <w:t>spotlight</w:t>
      </w:r>
      <w:r>
        <w:rPr>
          <w:lang w:val="en-US"/>
        </w:rPr>
        <w:t>ed</w:t>
      </w:r>
      <w:r w:rsidR="009928CA">
        <w:rPr>
          <w:lang w:val="en-US"/>
        </w:rPr>
        <w:t xml:space="preserve"> a central sphere of interpersonal relations that CSA survivors experience - interpersonal relations in the workplace. While many studies tested the relationship between CSA and intimate relationships, very few were dedicated to the relationship between CSA and relationships in the workplace. We tested these interpersonal relationships using three central components of relationships, as found in the literature. The </w:t>
      </w:r>
      <w:r w:rsidR="009928CA">
        <w:rPr>
          <w:b/>
          <w:bCs/>
          <w:lang w:val="en-US"/>
        </w:rPr>
        <w:t>first</w:t>
      </w:r>
      <w:r w:rsidR="009928CA">
        <w:rPr>
          <w:lang w:val="en-US"/>
        </w:rPr>
        <w:t xml:space="preserve"> component is the person’s perceived satisfaction from his or her relationships at work; the </w:t>
      </w:r>
      <w:r w:rsidR="009928CA">
        <w:rPr>
          <w:b/>
          <w:bCs/>
          <w:lang w:val="en-US"/>
        </w:rPr>
        <w:t>second</w:t>
      </w:r>
      <w:r w:rsidR="009928CA">
        <w:rPr>
          <w:lang w:val="en-US"/>
        </w:rPr>
        <w:t xml:space="preserve"> component is the level of loneliness at work; and the </w:t>
      </w:r>
      <w:r w:rsidR="009928CA">
        <w:rPr>
          <w:b/>
          <w:bCs/>
          <w:lang w:val="en-US"/>
        </w:rPr>
        <w:t>third</w:t>
      </w:r>
      <w:r w:rsidR="009928CA">
        <w:rPr>
          <w:lang w:val="en-US"/>
        </w:rPr>
        <w:t xml:space="preserve"> component is the level of aggression at the </w:t>
      </w:r>
      <w:commentRangeStart w:id="17"/>
      <w:r w:rsidR="009928CA">
        <w:rPr>
          <w:lang w:val="en-US"/>
        </w:rPr>
        <w:t>workplace</w:t>
      </w:r>
      <w:commentRangeEnd w:id="17"/>
      <w:r w:rsidR="009928CA">
        <w:rPr>
          <w:rStyle w:val="CommentReference"/>
        </w:rPr>
        <w:commentReference w:id="17"/>
      </w:r>
      <w:r w:rsidR="009928CA">
        <w:rPr>
          <w:lang w:val="en-US"/>
        </w:rPr>
        <w:t xml:space="preserve">. </w:t>
      </w:r>
      <w:r>
        <w:rPr>
          <w:lang w:val="en-US"/>
        </w:rPr>
        <w:t>We hypothesized</w:t>
      </w:r>
      <w:r w:rsidR="009928CA">
        <w:rPr>
          <w:lang w:val="en-US"/>
        </w:rPr>
        <w:t xml:space="preserve"> that the negative </w:t>
      </w:r>
      <w:r w:rsidR="00C8283F">
        <w:rPr>
          <w:lang w:val="en-US"/>
        </w:rPr>
        <w:t xml:space="preserve">impact </w:t>
      </w:r>
      <w:r>
        <w:rPr>
          <w:lang w:val="en-US"/>
        </w:rPr>
        <w:t>that</w:t>
      </w:r>
      <w:r w:rsidR="00C8283F">
        <w:rPr>
          <w:lang w:val="en-US"/>
        </w:rPr>
        <w:t xml:space="preserve"> CSA </w:t>
      </w:r>
      <w:r>
        <w:rPr>
          <w:lang w:val="en-US"/>
        </w:rPr>
        <w:t>has on interpersonal relationships</w:t>
      </w:r>
      <w:r w:rsidR="00C8283F">
        <w:rPr>
          <w:lang w:val="en-US"/>
        </w:rPr>
        <w:t xml:space="preserve">, as demonstrated in the context of intimate and parental relationships, would be </w:t>
      </w:r>
      <w:r>
        <w:rPr>
          <w:lang w:val="en-US"/>
        </w:rPr>
        <w:t>true</w:t>
      </w:r>
      <w:r w:rsidR="00C8283F">
        <w:rPr>
          <w:lang w:val="en-US"/>
        </w:rPr>
        <w:t xml:space="preserve"> for relationships in the workplace as well. Therefore, we hypothesized that CSA survivors would subjectively experience lower satisfaction from their relationships in the workplace, and would feel lonelier and be more aggressive, than survivors of other traumas, and even more so as compared to people who did not experience prior trauma.</w:t>
      </w:r>
    </w:p>
    <w:p w14:paraId="08EA4BBF" w14:textId="14F8E269" w:rsidR="00C8283F" w:rsidRDefault="000D12C4" w:rsidP="00BA5403">
      <w:pPr>
        <w:rPr>
          <w:lang w:val="en-US"/>
        </w:rPr>
      </w:pPr>
      <w:r>
        <w:rPr>
          <w:lang w:val="en-US"/>
        </w:rPr>
        <w:tab/>
        <w:t xml:space="preserve">Surprisingly, we did not find any difference between the three groups on the measures of </w:t>
      </w:r>
      <w:r>
        <w:rPr>
          <w:b/>
          <w:bCs/>
          <w:lang w:val="en-US"/>
        </w:rPr>
        <w:t>perceived satisfaction from relationships</w:t>
      </w:r>
      <w:r>
        <w:rPr>
          <w:lang w:val="en-US"/>
        </w:rPr>
        <w:t xml:space="preserve"> in the workplace and </w:t>
      </w:r>
      <w:r>
        <w:rPr>
          <w:b/>
          <w:bCs/>
          <w:lang w:val="en-US"/>
        </w:rPr>
        <w:t>loneliness</w:t>
      </w:r>
      <w:r>
        <w:rPr>
          <w:lang w:val="en-US"/>
        </w:rPr>
        <w:t xml:space="preserve"> in the workplace. The only significant difference was in the levels of </w:t>
      </w:r>
      <w:r>
        <w:rPr>
          <w:b/>
          <w:bCs/>
          <w:lang w:val="en-US"/>
        </w:rPr>
        <w:t>aggression</w:t>
      </w:r>
      <w:r>
        <w:rPr>
          <w:lang w:val="en-US"/>
        </w:rPr>
        <w:t>, where participants who had experienced prior trauma displayed higher levels of aggression at work than those who had not experienced prior trauma. There was no significant difference in the level of aggression in the workplace between CSA survivors and survivors of other types of traumas. This can be explained in several ways.</w:t>
      </w:r>
    </w:p>
    <w:p w14:paraId="711D2E40" w14:textId="77777777" w:rsidR="000D12C4" w:rsidRDefault="000D12C4" w:rsidP="00BA5403">
      <w:pPr>
        <w:rPr>
          <w:lang w:val="en-US"/>
        </w:rPr>
      </w:pPr>
    </w:p>
    <w:p w14:paraId="7799A3F5" w14:textId="4162985B" w:rsidR="000D12C4" w:rsidRDefault="000D12C4" w:rsidP="00BA5403">
      <w:pPr>
        <w:rPr>
          <w:lang w:val="en-US"/>
        </w:rPr>
      </w:pPr>
      <w:r>
        <w:rPr>
          <w:lang w:val="en-US"/>
        </w:rPr>
        <w:t xml:space="preserve">First, as far as we know, this is </w:t>
      </w:r>
      <w:r w:rsidR="00944AB4">
        <w:rPr>
          <w:lang w:val="en-US"/>
        </w:rPr>
        <w:t>the only</w:t>
      </w:r>
      <w:r>
        <w:rPr>
          <w:lang w:val="en-US"/>
        </w:rPr>
        <w:t xml:space="preserve"> study </w:t>
      </w:r>
      <w:r w:rsidR="00944AB4">
        <w:rPr>
          <w:lang w:val="en-US"/>
        </w:rPr>
        <w:t>to date that tested</w:t>
      </w:r>
      <w:r>
        <w:rPr>
          <w:lang w:val="en-US"/>
        </w:rPr>
        <w:t xml:space="preserve"> for differences between the groups within the context of satisfaction from relationships in the workplace. The literature describing people who ‘bring’ their trauma to the workplace and the interpersonal difficulties that accompany that (Johnson &amp; Indvik, 1994, 1995) is mainly theoretical, and does not rely upon empirical studies that compare the groups. Satisfaction is a subjective term that needs to be tested empirically through self-report questionnaires, something that has not </w:t>
      </w:r>
      <w:r w:rsidR="00944AB4">
        <w:rPr>
          <w:lang w:val="en-US"/>
        </w:rPr>
        <w:t xml:space="preserve">yet </w:t>
      </w:r>
      <w:r>
        <w:rPr>
          <w:lang w:val="en-US"/>
        </w:rPr>
        <w:t>been done. It is therefore possible that the present study questions the theory that ‘bringing’ the trauma into the workplace will lead to lower satisfaction from relationships at work among CSA survivors. This requires further study.</w:t>
      </w:r>
    </w:p>
    <w:p w14:paraId="78A20B78" w14:textId="477F17DE" w:rsidR="000D12C4" w:rsidRDefault="000D12C4" w:rsidP="00BA5403">
      <w:pPr>
        <w:rPr>
          <w:lang w:val="en-US"/>
        </w:rPr>
      </w:pPr>
      <w:r>
        <w:rPr>
          <w:lang w:val="en-US"/>
        </w:rPr>
        <w:tab/>
        <w:t>Another explanation can be related to the fact that several studies found a direct correlation between CSA and difficulties in academic studies and income level, but when</w:t>
      </w:r>
      <w:r w:rsidR="0072792B">
        <w:rPr>
          <w:lang w:val="en-US"/>
        </w:rPr>
        <w:t xml:space="preserve"> interfering familial and personal variables were considered, this correlation no longer exist</w:t>
      </w:r>
      <w:r w:rsidR="00944AB4">
        <w:rPr>
          <w:lang w:val="en-US"/>
        </w:rPr>
        <w:t>s</w:t>
      </w:r>
      <w:r w:rsidR="0072792B">
        <w:rPr>
          <w:lang w:val="en-US"/>
        </w:rPr>
        <w:t xml:space="preserve"> (Boden et al., 2007; Fergusson et al., 2013). Perhaps, similarly, the present study shows that the level of satisfaction from interpersonal relationships is not necessarily explained by the mere presence of CSA, but by other interfering variables that this study did not examine.</w:t>
      </w:r>
    </w:p>
    <w:p w14:paraId="4F1CDAF1" w14:textId="5D239824" w:rsidR="0072792B" w:rsidRDefault="0072792B" w:rsidP="00BA5403">
      <w:pPr>
        <w:rPr>
          <w:lang w:val="en-US"/>
        </w:rPr>
      </w:pPr>
      <w:r>
        <w:rPr>
          <w:lang w:val="en-US"/>
        </w:rPr>
        <w:tab/>
        <w:t xml:space="preserve">An additional explanation relies on studies that deal with CSA survivors’ </w:t>
      </w:r>
      <w:r w:rsidR="00944AB4">
        <w:rPr>
          <w:lang w:val="en-US"/>
        </w:rPr>
        <w:t>fortitude</w:t>
      </w:r>
      <w:r>
        <w:rPr>
          <w:lang w:val="en-US"/>
        </w:rPr>
        <w:t>. These studies show that one of the factors that helped the survivors maintain a functional lifestyle is their relationships with their peers. As opposed to family, or the closer, harmful environment, the peer group may constitute a source of strength and belonging (Marriott et al., 2014; Valentine &amp; Feinauer, 1993). This explanation may be true for the current study as well, such that the coping mechanisms used by the CSA survivors in their workplace relationships are different from the coping mechanisms they use in their intimate relationships, where the interpersonal relationships that form in the workplace parallel relationships with a peer gro</w:t>
      </w:r>
      <w:r w:rsidR="00481237">
        <w:rPr>
          <w:lang w:val="en-US"/>
        </w:rPr>
        <w:t>up, as distinct from relationships with harmful individuals in their close environment.</w:t>
      </w:r>
    </w:p>
    <w:p w14:paraId="433B9CDF" w14:textId="42C7A1F7" w:rsidR="00481237" w:rsidRDefault="00481237" w:rsidP="00ED6C48">
      <w:pPr>
        <w:rPr>
          <w:lang w:val="en-US"/>
        </w:rPr>
      </w:pPr>
      <w:r>
        <w:rPr>
          <w:lang w:val="en-US"/>
        </w:rPr>
        <w:tab/>
      </w:r>
      <w:r w:rsidR="00ED6C48">
        <w:rPr>
          <w:lang w:val="en-US"/>
        </w:rPr>
        <w:t xml:space="preserve">Results regarding </w:t>
      </w:r>
      <w:r w:rsidR="00ED6C48">
        <w:rPr>
          <w:b/>
          <w:bCs/>
          <w:lang w:val="en-US"/>
        </w:rPr>
        <w:t>loneliness in the workplace</w:t>
      </w:r>
      <w:r w:rsidR="00ED6C48">
        <w:rPr>
          <w:lang w:val="en-US"/>
        </w:rPr>
        <w:t xml:space="preserve"> were more surprising, especially since clinicians report – based on their work with CSA survivors – that loneliness in the workplace is one of the central issues raised in treatment sessions (Dagan and Yager, 2019). In addition, findings show a connection between sexual abuse in childhood and loneliness throughout life (</w:t>
      </w:r>
      <w:r w:rsidR="00ED6C48" w:rsidRPr="00ED6C48">
        <w:rPr>
          <w:lang w:val="en-US"/>
        </w:rPr>
        <w:t>Gibson &amp; Hartshorne, 1996; Kamiya et al., 2016; Shevlin et al., 2015</w:t>
      </w:r>
      <w:r w:rsidR="00ED6C48">
        <w:rPr>
          <w:lang w:val="en-US"/>
        </w:rPr>
        <w:t>). This can be explained in several ways.</w:t>
      </w:r>
    </w:p>
    <w:p w14:paraId="427161A7" w14:textId="2282447C" w:rsidR="00022DE0" w:rsidRDefault="00ED6C48" w:rsidP="00866786">
      <w:pPr>
        <w:rPr>
          <w:lang w:val="en-US"/>
        </w:rPr>
      </w:pPr>
      <w:r>
        <w:rPr>
          <w:lang w:val="en-US"/>
        </w:rPr>
        <w:tab/>
        <w:t xml:space="preserve">First, </w:t>
      </w:r>
      <w:r w:rsidR="00866786">
        <w:rPr>
          <w:lang w:val="en-US"/>
        </w:rPr>
        <w:t xml:space="preserve">according to Hawkley (Hawkley et al., 2012), loneliness is comprised of three dimensions. </w:t>
      </w:r>
      <w:r w:rsidR="00866786">
        <w:rPr>
          <w:b/>
          <w:bCs/>
          <w:lang w:val="en-US"/>
        </w:rPr>
        <w:t>The first dimension</w:t>
      </w:r>
      <w:r w:rsidR="00866786">
        <w:rPr>
          <w:lang w:val="en-US"/>
        </w:rPr>
        <w:t>, “intimate loneliness,” is formed within the person’s closest sphere. This dimension relates to the person feeling that he or she lacks a significant other (such as a romantic partner, close friend, or parent) who can supply emotional support during times of need. This sphere include</w:t>
      </w:r>
      <w:r w:rsidR="00944AB4">
        <w:rPr>
          <w:lang w:val="en-US"/>
        </w:rPr>
        <w:t>s up to</w:t>
      </w:r>
      <w:r w:rsidR="00866786">
        <w:rPr>
          <w:lang w:val="en-US"/>
        </w:rPr>
        <w:t xml:space="preserve"> </w:t>
      </w:r>
      <w:commentRangeStart w:id="18"/>
      <w:r w:rsidR="00866786">
        <w:rPr>
          <w:lang w:val="en-US"/>
        </w:rPr>
        <w:t xml:space="preserve">five </w:t>
      </w:r>
      <w:commentRangeEnd w:id="18"/>
      <w:r w:rsidR="00D07962">
        <w:rPr>
          <w:rStyle w:val="CommentReference"/>
        </w:rPr>
        <w:commentReference w:id="18"/>
      </w:r>
      <w:r w:rsidR="00866786">
        <w:rPr>
          <w:lang w:val="en-US"/>
        </w:rPr>
        <w:t xml:space="preserve">such individuals. </w:t>
      </w:r>
      <w:r w:rsidR="00866786">
        <w:rPr>
          <w:b/>
          <w:bCs/>
          <w:lang w:val="en-US"/>
        </w:rPr>
        <w:t>The second dimension</w:t>
      </w:r>
      <w:r w:rsidR="00866786">
        <w:rPr>
          <w:lang w:val="en-US"/>
        </w:rPr>
        <w:t xml:space="preserve">, “relational loneliness,” is formed within the person’s social sphere, where he or she should feel comfortable with family and friends. This </w:t>
      </w:r>
      <w:r w:rsidR="00D07962">
        <w:rPr>
          <w:lang w:val="en-US"/>
        </w:rPr>
        <w:t>relates to the way</w:t>
      </w:r>
      <w:r w:rsidR="00866786">
        <w:rPr>
          <w:lang w:val="en-US"/>
        </w:rPr>
        <w:t xml:space="preserve"> the person perceives the existence or lack of quality social and familial relationships. This sphere includes between 15-50 people whom the individual meets routinely</w:t>
      </w:r>
      <w:r w:rsidR="00D07962">
        <w:rPr>
          <w:lang w:val="en-US"/>
        </w:rPr>
        <w:t>,</w:t>
      </w:r>
      <w:r w:rsidR="00866786">
        <w:rPr>
          <w:lang w:val="en-US"/>
        </w:rPr>
        <w:t xml:space="preserve"> people who share mutual emotional and instrumental support. </w:t>
      </w:r>
      <w:r w:rsidR="00866786">
        <w:rPr>
          <w:b/>
          <w:bCs/>
          <w:lang w:val="en-US"/>
        </w:rPr>
        <w:t>The third dimension</w:t>
      </w:r>
      <w:r w:rsidR="00866786">
        <w:rPr>
          <w:lang w:val="en-US"/>
        </w:rPr>
        <w:t>, “collective loneliness,” relates to the person’s wider social network, with whom he identifies (such as school, the workplace, social media, sports teams, and political parties), and with whom he can communicate from afar within the collective domain.</w:t>
      </w:r>
      <w:r w:rsidR="00427B25">
        <w:rPr>
          <w:lang w:val="en-US"/>
        </w:rPr>
        <w:t xml:space="preserve"> This sphere can include between 150-1,500 people. </w:t>
      </w:r>
      <w:r w:rsidR="00E767A6">
        <w:rPr>
          <w:lang w:val="en-US"/>
        </w:rPr>
        <w:t xml:space="preserve">The more groups a person belongs to, the less collective loneliness they feel. Studies that show high levels of loneliness among CSA survivors (Gibson &amp; Hartshorne, 1996; Kamiya et al., 2016; Shevlin et al., 2015) may relate to the first and second dimensions, while in the current study, participants were asked about loneliness in the workplace, which can be considered the third dimension. </w:t>
      </w:r>
    </w:p>
    <w:p w14:paraId="3D19096A" w14:textId="4402472F" w:rsidR="008107CF" w:rsidRDefault="00022DE0" w:rsidP="00866786">
      <w:pPr>
        <w:rPr>
          <w:lang w:val="en-US"/>
        </w:rPr>
      </w:pPr>
      <w:r>
        <w:rPr>
          <w:lang w:val="en-US"/>
        </w:rPr>
        <w:tab/>
        <w:t xml:space="preserve">Furthermore, Lev-Wiesel and Sternberg (Lev-Wiesel &amp; Sternberg, 2012) found that people who had experienced physical or psychological abuse in childhood also suffered from social </w:t>
      </w:r>
      <w:r w:rsidR="008107CF">
        <w:rPr>
          <w:lang w:val="en-US"/>
        </w:rPr>
        <w:t xml:space="preserve">exclusion. In contrast, they found no such significant correlation between </w:t>
      </w:r>
      <w:r w:rsidR="00647193">
        <w:rPr>
          <w:lang w:val="en-US"/>
        </w:rPr>
        <w:t>abuse and social exclusion</w:t>
      </w:r>
      <w:r w:rsidR="008107CF">
        <w:rPr>
          <w:lang w:val="en-US"/>
        </w:rPr>
        <w:t xml:space="preserve"> for CSA survivors. In their paper, the researchers offered possible explanations for this surprising finding. Some of the ideas they raised may also explain the current study’s finding regarding loneliness in the workplace.</w:t>
      </w:r>
    </w:p>
    <w:p w14:paraId="510D5734" w14:textId="05316DBB" w:rsidR="00ED6C48" w:rsidRDefault="00D31462" w:rsidP="00866786">
      <w:pPr>
        <w:rPr>
          <w:lang w:val="en-US"/>
        </w:rPr>
      </w:pPr>
      <w:r>
        <w:rPr>
          <w:lang w:val="en-US"/>
        </w:rPr>
        <w:tab/>
        <w:t xml:space="preserve">One explanation that they </w:t>
      </w:r>
      <w:r w:rsidR="00647193">
        <w:rPr>
          <w:lang w:val="en-US"/>
        </w:rPr>
        <w:t>offer</w:t>
      </w:r>
      <w:r>
        <w:rPr>
          <w:lang w:val="en-US"/>
        </w:rPr>
        <w:t xml:space="preserve"> is related to the dissociation that many CSA survivors develop. Perhaps CSA survivors in the workplace are dissociated from their emotions and their sense of self, and they are therefore less attuned to feeling</w:t>
      </w:r>
      <w:r w:rsidR="00647193">
        <w:rPr>
          <w:lang w:val="en-US"/>
        </w:rPr>
        <w:t>s of lonelines</w:t>
      </w:r>
      <w:r>
        <w:rPr>
          <w:lang w:val="en-US"/>
        </w:rPr>
        <w:t>.</w:t>
      </w:r>
    </w:p>
    <w:p w14:paraId="4D8CB279" w14:textId="67A86332" w:rsidR="00D31462" w:rsidRDefault="00D31462" w:rsidP="00866786">
      <w:pPr>
        <w:rPr>
          <w:lang w:val="en-US"/>
        </w:rPr>
      </w:pPr>
      <w:r>
        <w:rPr>
          <w:lang w:val="en-US"/>
        </w:rPr>
        <w:tab/>
        <w:t>They suggest another explanation, based on study results that show that CSA survivors often use avoidance strategies (Bal et al., 2003; Merrill et al., 2001). Avoidance coping patterns may lead to withdrawal from relationships with peers. These patterns become fixed such that the child becomes accustomed to ignoring all social interactions, to the point where she is no longer aware of social exclusion (Lev-Wiesel &amp; Sternberg, 2012). This pattern, formed in childhood as a result of the abuse,</w:t>
      </w:r>
      <w:r w:rsidR="00B7639E">
        <w:rPr>
          <w:lang w:val="en-US"/>
        </w:rPr>
        <w:t xml:space="preserve"> is expressed by CSA survivors in the workplace as well.</w:t>
      </w:r>
    </w:p>
    <w:p w14:paraId="47A20751" w14:textId="2B3884FC" w:rsidR="00B7639E" w:rsidRDefault="00B7639E" w:rsidP="00866786">
      <w:pPr>
        <w:rPr>
          <w:lang w:val="en-US"/>
        </w:rPr>
      </w:pPr>
      <w:r>
        <w:rPr>
          <w:lang w:val="en-US"/>
        </w:rPr>
        <w:tab/>
      </w:r>
      <w:r w:rsidR="005D2E0C">
        <w:rPr>
          <w:lang w:val="en-US"/>
        </w:rPr>
        <w:t>In addition, the current study included CSA survivors who have been working in their workplace for at least a year. The study did not include unemployed CSA survivors. Hence, this group of survivors may be more socially adept</w:t>
      </w:r>
      <w:r w:rsidR="005F4C5E">
        <w:rPr>
          <w:lang w:val="en-US"/>
        </w:rPr>
        <w:t xml:space="preserve"> to begin with</w:t>
      </w:r>
      <w:r w:rsidR="005D2E0C">
        <w:rPr>
          <w:lang w:val="en-US"/>
        </w:rPr>
        <w:t>, a fact that enables them to join the work</w:t>
      </w:r>
      <w:r w:rsidR="00647193">
        <w:rPr>
          <w:lang w:val="en-US"/>
        </w:rPr>
        <w:t>force</w:t>
      </w:r>
      <w:r w:rsidR="005D2E0C">
        <w:rPr>
          <w:lang w:val="en-US"/>
        </w:rPr>
        <w:t xml:space="preserve">. Since some studies show that CSA survivors find it </w:t>
      </w:r>
      <w:r w:rsidR="00647193">
        <w:rPr>
          <w:lang w:val="en-US"/>
        </w:rPr>
        <w:t xml:space="preserve">more </w:t>
      </w:r>
      <w:r w:rsidR="005D2E0C">
        <w:rPr>
          <w:lang w:val="en-US"/>
        </w:rPr>
        <w:t xml:space="preserve">difficult to join the job market </w:t>
      </w:r>
      <w:r w:rsidR="00647193">
        <w:rPr>
          <w:lang w:val="en-US"/>
        </w:rPr>
        <w:t>than</w:t>
      </w:r>
      <w:r w:rsidR="005D2E0C">
        <w:rPr>
          <w:lang w:val="en-US"/>
        </w:rPr>
        <w:t xml:space="preserve"> others (Bouchard et al., 2023; Bunting et al., 2018), we recommend that future studies examine whether reasons related to interpersonal relations make it difficult for CSA survivors to join the workforce.</w:t>
      </w:r>
    </w:p>
    <w:p w14:paraId="30A03CCE" w14:textId="22251138" w:rsidR="00F42320" w:rsidRDefault="005D2E0C" w:rsidP="00866786">
      <w:pPr>
        <w:rPr>
          <w:lang w:val="en-US"/>
        </w:rPr>
      </w:pPr>
      <w:r>
        <w:rPr>
          <w:lang w:val="en-US"/>
        </w:rPr>
        <w:tab/>
      </w:r>
      <w:r w:rsidR="00F42320">
        <w:rPr>
          <w:lang w:val="en-US"/>
        </w:rPr>
        <w:t xml:space="preserve">Regarding </w:t>
      </w:r>
      <w:r w:rsidR="00F42320">
        <w:rPr>
          <w:b/>
          <w:bCs/>
          <w:lang w:val="en-US"/>
        </w:rPr>
        <w:t>satisfaction from relationships in the workplace</w:t>
      </w:r>
      <w:r w:rsidR="00F42320">
        <w:rPr>
          <w:lang w:val="en-US"/>
        </w:rPr>
        <w:t xml:space="preserve"> and </w:t>
      </w:r>
      <w:r w:rsidR="00F42320">
        <w:rPr>
          <w:b/>
          <w:bCs/>
          <w:lang w:val="en-US"/>
        </w:rPr>
        <w:t>loneliness in the workplace</w:t>
      </w:r>
      <w:r w:rsidR="00F42320">
        <w:rPr>
          <w:lang w:val="en-US"/>
        </w:rPr>
        <w:t xml:space="preserve">, we did not find differences between the three groups. In contrast, regarding </w:t>
      </w:r>
      <w:r w:rsidR="00F42320">
        <w:rPr>
          <w:b/>
          <w:bCs/>
          <w:lang w:val="en-US"/>
        </w:rPr>
        <w:t>aggression in the workplace</w:t>
      </w:r>
      <w:r w:rsidR="00F42320">
        <w:rPr>
          <w:lang w:val="en-US"/>
        </w:rPr>
        <w:t xml:space="preserve">, we found that CSA survivors, </w:t>
      </w:r>
      <w:r w:rsidR="00647193">
        <w:rPr>
          <w:lang w:val="en-US"/>
        </w:rPr>
        <w:t>like</w:t>
      </w:r>
      <w:r w:rsidR="00F42320">
        <w:rPr>
          <w:lang w:val="en-US"/>
        </w:rPr>
        <w:t xml:space="preserve"> survivors of other types of traumas, show higher levels of aggression than people who did not experience prior trauma.</w:t>
      </w:r>
    </w:p>
    <w:p w14:paraId="63AB632E" w14:textId="2FA4BC1E" w:rsidR="00F42320" w:rsidRDefault="00F42320" w:rsidP="004236AC">
      <w:pPr>
        <w:rPr>
          <w:lang w:val="en-US"/>
        </w:rPr>
      </w:pPr>
      <w:r>
        <w:rPr>
          <w:lang w:val="en-US"/>
        </w:rPr>
        <w:tab/>
        <w:t xml:space="preserve"> We were surprised to find no significant difference in levels of aggression in the workplace between the groups of CSA survivors and the group of non-CSA trauma survivors.</w:t>
      </w:r>
      <w:r w:rsidR="004236AC">
        <w:rPr>
          <w:lang w:val="en-US"/>
        </w:rPr>
        <w:t xml:space="preserve"> </w:t>
      </w:r>
      <w:commentRangeStart w:id="19"/>
      <w:r w:rsidR="00507A1F">
        <w:rPr>
          <w:lang w:val="en-US"/>
        </w:rPr>
        <w:t>The literature</w:t>
      </w:r>
      <w:r w:rsidR="0094528F">
        <w:rPr>
          <w:lang w:val="en-US"/>
        </w:rPr>
        <w:t xml:space="preserve"> raises two possible explanations for the lack of significant differences in the levels of aggression between CSA survivors and survivors of other types of traumas.</w:t>
      </w:r>
      <w:commentRangeEnd w:id="19"/>
      <w:r w:rsidR="004236AC">
        <w:rPr>
          <w:rStyle w:val="CommentReference"/>
        </w:rPr>
        <w:commentReference w:id="19"/>
      </w:r>
    </w:p>
    <w:p w14:paraId="6D89FA0A" w14:textId="6CC403C9" w:rsidR="0094528F" w:rsidRDefault="0094528F" w:rsidP="00866786">
      <w:pPr>
        <w:rPr>
          <w:lang w:val="en-US"/>
        </w:rPr>
      </w:pPr>
      <w:r>
        <w:rPr>
          <w:lang w:val="en-US"/>
        </w:rPr>
        <w:tab/>
        <w:t xml:space="preserve">One explanation is related to the term “identification with the aggressor,” taken from dynamic theory. According to the theory, this is one of the psychological mechanisms that may develop due to CSA. “Identification with the aggressor” is an autonomic response that aims to protect the victim of childhood sexual abuse from his unbearable reality (Frankel, 2002). </w:t>
      </w:r>
      <w:commentRangeStart w:id="20"/>
      <w:r>
        <w:rPr>
          <w:lang w:val="en-US"/>
        </w:rPr>
        <w:t>As a result, the child may internalize the aggressor’s aggression, and act aggressively toward herself and/or toward others.</w:t>
      </w:r>
      <w:commentRangeEnd w:id="20"/>
      <w:r w:rsidR="004236AC">
        <w:rPr>
          <w:rStyle w:val="CommentReference"/>
        </w:rPr>
        <w:commentReference w:id="20"/>
      </w:r>
      <w:r>
        <w:rPr>
          <w:lang w:val="en-US"/>
        </w:rPr>
        <w:t xml:space="preserve"> This pattern may be recreated in interpersonal relationships throughout life (Hirsch, 1996). The present study only examined general aggression, and not self-inflicted harm or suicidal tendencies as an expression of aggression toward the self (Harford et al., 2014). Perhaps </w:t>
      </w:r>
      <w:r w:rsidR="004236AC">
        <w:rPr>
          <w:lang w:val="en-US"/>
        </w:rPr>
        <w:t>there were</w:t>
      </w:r>
      <w:r>
        <w:rPr>
          <w:lang w:val="en-US"/>
        </w:rPr>
        <w:t xml:space="preserve"> no significant differences between the groups because some of the CSA survivors, who had internalized and employ the mechanism of identifying with the aggressor, tend to direct the aggression toward themselves through suicidal acts or self-inflicted harm</w:t>
      </w:r>
      <w:r w:rsidR="004236AC">
        <w:rPr>
          <w:lang w:val="en-US"/>
        </w:rPr>
        <w:t>. T</w:t>
      </w:r>
      <w:r>
        <w:rPr>
          <w:lang w:val="en-US"/>
        </w:rPr>
        <w:t xml:space="preserve">his type of aggression was not manifest in the current study </w:t>
      </w:r>
      <w:r w:rsidR="00A1797E">
        <w:rPr>
          <w:lang w:val="en-US"/>
        </w:rPr>
        <w:t>design.</w:t>
      </w:r>
    </w:p>
    <w:p w14:paraId="52F38449" w14:textId="36ADB3B4" w:rsidR="00FA426E" w:rsidRDefault="00FA426E" w:rsidP="00866786">
      <w:pPr>
        <w:rPr>
          <w:lang w:val="en-US"/>
        </w:rPr>
      </w:pPr>
      <w:r>
        <w:rPr>
          <w:lang w:val="en-US"/>
        </w:rPr>
        <w:tab/>
      </w:r>
      <w:r w:rsidR="009A388A">
        <w:rPr>
          <w:lang w:val="en-US"/>
        </w:rPr>
        <w:t xml:space="preserve">Another possible explanation is related to levels of PTSD symptoms. One study </w:t>
      </w:r>
      <w:r w:rsidR="004236AC">
        <w:rPr>
          <w:lang w:val="en-US"/>
        </w:rPr>
        <w:t>demonstrated</w:t>
      </w:r>
      <w:r w:rsidR="009A388A">
        <w:rPr>
          <w:lang w:val="en-US"/>
        </w:rPr>
        <w:t xml:space="preserve"> a connection between childhood traumas and difficulties in emotional regulation. However, when controlling for PTSD symptom severity, this connection remained only for two of the nine dimensions of emotional regulation (Ehring and Quack, 2010). </w:t>
      </w:r>
      <w:r w:rsidR="00E92829">
        <w:rPr>
          <w:lang w:val="en-US"/>
        </w:rPr>
        <w:t>Another study found a connection between the number of traumatic events and levels of aggression at work (Volpin, 2021). Perhaps, people who experience more traumatic events, irrespective of the type of traumatic event, will have higher levels of PTSD symptoms, and consequently also more aggression.</w:t>
      </w:r>
    </w:p>
    <w:p w14:paraId="24FEE7C0" w14:textId="4545B751" w:rsidR="00E92829" w:rsidRDefault="00E93680" w:rsidP="00866786">
      <w:pPr>
        <w:rPr>
          <w:lang w:val="en-US"/>
        </w:rPr>
      </w:pPr>
      <w:r>
        <w:rPr>
          <w:lang w:val="en-US"/>
        </w:rPr>
        <w:t xml:space="preserve">One of the study’s central contributions is the finding that shows that, as opposed to our knowledge about the marital and parental interpersonal relationships of CSA survivors, there is no significant difference between CSA survivors and survivors of other traumas, or even people with no prior traumas, </w:t>
      </w:r>
      <w:r w:rsidR="009A054B">
        <w:rPr>
          <w:lang w:val="en-US"/>
        </w:rPr>
        <w:t>regarding</w:t>
      </w:r>
      <w:r>
        <w:rPr>
          <w:lang w:val="en-US"/>
        </w:rPr>
        <w:t xml:space="preserve"> interpersonal relationships in the workplace. This is statistically significant for two of the variables, namely, CSA survivors were no less satisfied with their relationships at the workplace and did not experience higher levels of loneliness than participants in the other two groups. The current study may show that the work context, perhaps because it is perceived as less intimate than the marital context (</w:t>
      </w:r>
      <w:r w:rsidR="005666E6">
        <w:rPr>
          <w:lang w:val="en-US"/>
        </w:rPr>
        <w:t xml:space="preserve">making emotions less likely to surface, and not being as strong a trigger for symptom outbursts), may offer CSA survivors an opportunity to forge beneficial, normative interpersonal relationships. </w:t>
      </w:r>
      <w:r w:rsidR="00BF095A">
        <w:rPr>
          <w:lang w:val="en-US"/>
        </w:rPr>
        <w:t xml:space="preserve">This stresses the importance of having </w:t>
      </w:r>
      <w:r w:rsidR="009A054B">
        <w:rPr>
          <w:lang w:val="en-US"/>
        </w:rPr>
        <w:t xml:space="preserve">survivors of </w:t>
      </w:r>
      <w:r w:rsidR="00BF095A">
        <w:rPr>
          <w:lang w:val="en-US"/>
        </w:rPr>
        <w:t xml:space="preserve">CSA join the workforce: </w:t>
      </w:r>
      <w:r w:rsidR="009A054B">
        <w:rPr>
          <w:lang w:val="en-US"/>
        </w:rPr>
        <w:t>B</w:t>
      </w:r>
      <w:r w:rsidR="00BF095A">
        <w:rPr>
          <w:lang w:val="en-US"/>
        </w:rPr>
        <w:t>eyond the self-actualization</w:t>
      </w:r>
      <w:r w:rsidR="00D80B8A">
        <w:rPr>
          <w:lang w:val="en-US"/>
        </w:rPr>
        <w:t xml:space="preserve"> and financial benefits</w:t>
      </w:r>
      <w:r w:rsidR="00BF095A">
        <w:rPr>
          <w:lang w:val="en-US"/>
        </w:rPr>
        <w:t xml:space="preserve">, </w:t>
      </w:r>
      <w:r w:rsidR="00D80B8A">
        <w:rPr>
          <w:lang w:val="en-US"/>
        </w:rPr>
        <w:t>holding a job</w:t>
      </w:r>
      <w:r w:rsidR="00BF095A">
        <w:rPr>
          <w:lang w:val="en-US"/>
        </w:rPr>
        <w:t xml:space="preserve"> will also broaden the survivors’ social support network. Many of the CSA survivors who participated in this study expressed satisfaction with their relationships in the workplace and had worked there for at least a year. This shows that the workplace constitutes a source of strength for the </w:t>
      </w:r>
      <w:r w:rsidR="00582DBC">
        <w:rPr>
          <w:lang w:val="en-US"/>
        </w:rPr>
        <w:t>survivors and demonstrates the importance of creating intervention programs for boosting CSA survivors’ participation in the workforce. The clinical application of this is that the findings raise awareness of the importance of work, in general, and of relationships in the workplace, in particular, as a positive anchor and resource for fortitude that should be emphasized when treating CSA survivors.</w:t>
      </w:r>
    </w:p>
    <w:p w14:paraId="5489AB9F" w14:textId="77777777" w:rsidR="00582DBC" w:rsidRDefault="00582DBC" w:rsidP="00866786">
      <w:pPr>
        <w:rPr>
          <w:lang w:val="en-US"/>
        </w:rPr>
      </w:pPr>
    </w:p>
    <w:p w14:paraId="2A41FF83" w14:textId="34241882" w:rsidR="00445768" w:rsidRDefault="00445768" w:rsidP="00866786">
      <w:pPr>
        <w:rPr>
          <w:lang w:val="en-US"/>
        </w:rPr>
      </w:pPr>
      <w:r>
        <w:rPr>
          <w:lang w:val="en-US"/>
        </w:rPr>
        <w:t>The study’s main drawback is that the sample included participants over the age of 18 who have been working in their workplace for at least a year.</w:t>
      </w:r>
      <w:r w:rsidR="00F809D8">
        <w:rPr>
          <w:lang w:val="en-US"/>
        </w:rPr>
        <w:t xml:space="preserve"> This does not </w:t>
      </w:r>
      <w:r w:rsidR="00BB339C">
        <w:rPr>
          <w:lang w:val="en-US"/>
        </w:rPr>
        <w:t xml:space="preserve">teach us </w:t>
      </w:r>
      <w:r w:rsidR="005F4C5E">
        <w:rPr>
          <w:lang w:val="en-US"/>
        </w:rPr>
        <w:t>about the interpersonal relationships of CSA survivors who are not part of the workforce</w:t>
      </w:r>
      <w:r w:rsidR="00BB339C">
        <w:rPr>
          <w:lang w:val="en-US"/>
        </w:rPr>
        <w:t>;</w:t>
      </w:r>
      <w:r w:rsidR="005F4C5E">
        <w:rPr>
          <w:lang w:val="en-US"/>
        </w:rPr>
        <w:t xml:space="preserve"> CSA survivors who work in a permanent job </w:t>
      </w:r>
      <w:r w:rsidR="00BB339C">
        <w:rPr>
          <w:lang w:val="en-US"/>
        </w:rPr>
        <w:t xml:space="preserve">may </w:t>
      </w:r>
      <w:r w:rsidR="005F4C5E">
        <w:rPr>
          <w:lang w:val="en-US"/>
        </w:rPr>
        <w:t>have more fortitude to begin with. Given the importance of integrating CSA survivors into the workforce, future studies should compare the variables of the current study between CSA survivors who work in a permanent place and survivors who are not part of the workforce. It would be wo</w:t>
      </w:r>
      <w:r w:rsidR="00252E28">
        <w:rPr>
          <w:lang w:val="en-US"/>
        </w:rPr>
        <w:t>rth</w:t>
      </w:r>
      <w:r w:rsidR="005F4C5E">
        <w:rPr>
          <w:lang w:val="en-US"/>
        </w:rPr>
        <w:t xml:space="preserve"> learning whether differences exist in the levels of loneliness and aggression </w:t>
      </w:r>
      <w:commentRangeStart w:id="21"/>
      <w:r w:rsidR="005F4C5E">
        <w:rPr>
          <w:lang w:val="en-US"/>
        </w:rPr>
        <w:t>in the workplace between these two groups</w:t>
      </w:r>
      <w:commentRangeEnd w:id="21"/>
      <w:r w:rsidR="00BB339C">
        <w:rPr>
          <w:rStyle w:val="CommentReference"/>
        </w:rPr>
        <w:commentReference w:id="21"/>
      </w:r>
      <w:r w:rsidR="005F4C5E">
        <w:rPr>
          <w:lang w:val="en-US"/>
        </w:rPr>
        <w:t xml:space="preserve">, and, should such differences exist, we could then consider the need to </w:t>
      </w:r>
      <w:r w:rsidR="00252E28">
        <w:rPr>
          <w:lang w:val="en-US"/>
        </w:rPr>
        <w:t>foster intervention programs for lowering these variables among the survivors. We need to expand our knowledge of factors that block the CSA survivors’ way toward integration into the workforce.</w:t>
      </w:r>
    </w:p>
    <w:p w14:paraId="3C54926A" w14:textId="77777777" w:rsidR="00F0467C" w:rsidRDefault="00F0467C" w:rsidP="00866786">
      <w:pPr>
        <w:rPr>
          <w:lang w:val="en-US"/>
        </w:rPr>
      </w:pPr>
    </w:p>
    <w:p w14:paraId="4FDA4949" w14:textId="1C3D51AC" w:rsidR="00F0467C" w:rsidRPr="00F0467C" w:rsidRDefault="00F0467C" w:rsidP="00F0467C">
      <w:pPr>
        <w:rPr>
          <w:rFonts w:ascii="David" w:eastAsia="Calibri" w:hAnsi="David"/>
          <w:kern w:val="0"/>
          <w:rtl/>
          <w:lang w:val="en-US"/>
          <w14:ligatures w14:val="none"/>
        </w:rPr>
      </w:pPr>
      <w:r>
        <w:rPr>
          <w:b/>
          <w:bCs/>
          <w:lang w:val="en-US"/>
        </w:rPr>
        <w:t>References</w:t>
      </w:r>
    </w:p>
    <w:p w14:paraId="043A5176" w14:textId="77777777" w:rsidR="00F0467C" w:rsidRPr="00F0467C" w:rsidRDefault="00F0467C" w:rsidP="00F0467C">
      <w:pPr>
        <w:bidi/>
        <w:spacing w:after="0" w:line="360" w:lineRule="auto"/>
        <w:rPr>
          <w:rFonts w:ascii="David" w:eastAsia="Calibri" w:hAnsi="David"/>
          <w:b/>
          <w:bCs/>
          <w:kern w:val="0"/>
          <w:rtl/>
          <w:lang w:val="en-US"/>
          <w14:ligatures w14:val="none"/>
        </w:rPr>
      </w:pPr>
    </w:p>
    <w:p w14:paraId="458B5D0C" w14:textId="77777777" w:rsidR="00F0467C" w:rsidRPr="00F0467C" w:rsidRDefault="00F0467C" w:rsidP="00F0467C">
      <w:pPr>
        <w:widowControl w:val="0"/>
        <w:autoSpaceDE w:val="0"/>
        <w:autoSpaceDN w:val="0"/>
        <w:adjustRightInd w:val="0"/>
        <w:spacing w:after="0" w:line="360" w:lineRule="auto"/>
        <w:ind w:left="480" w:hanging="480"/>
        <w:rPr>
          <w:rFonts w:ascii="David" w:eastAsia="Calibri" w:hAnsi="David"/>
          <w:noProof/>
          <w:kern w:val="0"/>
          <w:lang w:val="en-US"/>
          <w14:ligatures w14:val="none"/>
        </w:rPr>
      </w:pPr>
      <w:r w:rsidRPr="00F0467C">
        <w:rPr>
          <w:rFonts w:ascii="David" w:eastAsia="Calibri" w:hAnsi="David"/>
          <w:b/>
          <w:bCs/>
          <w:kern w:val="0"/>
          <w:rtl/>
          <w:lang w:val="en-US"/>
          <w14:ligatures w14:val="none"/>
        </w:rPr>
        <w:fldChar w:fldCharType="begin" w:fldLock="1"/>
      </w:r>
      <w:r w:rsidRPr="00F0467C">
        <w:rPr>
          <w:rFonts w:ascii="David" w:eastAsia="Calibri" w:hAnsi="David"/>
          <w:b/>
          <w:bCs/>
          <w:kern w:val="0"/>
          <w:lang w:val="en-US"/>
          <w14:ligatures w14:val="none"/>
        </w:rPr>
        <w:instrText>ADDIN Mendeley Bibliography CSL_BIBLIOGRAPHY</w:instrText>
      </w:r>
      <w:r w:rsidRPr="00F0467C">
        <w:rPr>
          <w:rFonts w:ascii="David" w:eastAsia="Calibri" w:hAnsi="David"/>
          <w:b/>
          <w:bCs/>
          <w:kern w:val="0"/>
          <w:rtl/>
          <w:lang w:val="en-US"/>
          <w14:ligatures w14:val="none"/>
        </w:rPr>
        <w:instrText xml:space="preserve"> </w:instrText>
      </w:r>
      <w:r w:rsidRPr="00F0467C">
        <w:rPr>
          <w:rFonts w:ascii="David" w:eastAsia="Calibri" w:hAnsi="David"/>
          <w:b/>
          <w:bCs/>
          <w:kern w:val="0"/>
          <w:rtl/>
          <w:lang w:val="en-US"/>
          <w14:ligatures w14:val="none"/>
        </w:rPr>
        <w:fldChar w:fldCharType="separate"/>
      </w:r>
      <w:r w:rsidRPr="00F0467C">
        <w:rPr>
          <w:rFonts w:ascii="David" w:eastAsia="Calibri" w:hAnsi="David"/>
          <w:noProof/>
          <w:kern w:val="0"/>
          <w:lang w:val="en-US"/>
          <w14:ligatures w14:val="none"/>
        </w:rPr>
        <w:t xml:space="preserve">Bouchard, S., Langevin, R., Vergunst, F., Commisso, M., Domond, P., Hébert, M., Ouellet-Morin, I., Vitaro, F., Tremblay, R. E., Côté, S. M., Orri, M., &amp; Geoffroy, M. C. (2023). Child Sexual Abuse and Employment Earnings in Adulthood: A Prospective Canadian Cohort Study. </w:t>
      </w:r>
      <w:r w:rsidRPr="00F0467C">
        <w:rPr>
          <w:rFonts w:ascii="David" w:eastAsia="Calibri" w:hAnsi="David"/>
          <w:i/>
          <w:iCs/>
          <w:noProof/>
          <w:kern w:val="0"/>
          <w:lang w:val="en-US"/>
          <w14:ligatures w14:val="none"/>
        </w:rPr>
        <w:t>American Journal of Preventive Medicine</w:t>
      </w:r>
      <w:r w:rsidRPr="00F0467C">
        <w:rPr>
          <w:rFonts w:ascii="David" w:eastAsia="Calibri" w:hAnsi="David"/>
          <w:noProof/>
          <w:kern w:val="0"/>
          <w:lang w:val="en-US"/>
          <w14:ligatures w14:val="none"/>
        </w:rPr>
        <w:t xml:space="preserve">, </w:t>
      </w:r>
      <w:r w:rsidRPr="00F0467C">
        <w:rPr>
          <w:rFonts w:ascii="David" w:eastAsia="Calibri" w:hAnsi="David"/>
          <w:i/>
          <w:iCs/>
          <w:noProof/>
          <w:kern w:val="0"/>
          <w:lang w:val="en-US"/>
          <w14:ligatures w14:val="none"/>
        </w:rPr>
        <w:t>65</w:t>
      </w:r>
      <w:r w:rsidRPr="00F0467C">
        <w:rPr>
          <w:rFonts w:ascii="David" w:eastAsia="Calibri" w:hAnsi="David"/>
          <w:noProof/>
          <w:kern w:val="0"/>
          <w:lang w:val="en-US"/>
          <w14:ligatures w14:val="none"/>
        </w:rPr>
        <w:t>(1), 83–91. https://doi.org/10.1016/j.amepre.2023.01.040</w:t>
      </w:r>
    </w:p>
    <w:p w14:paraId="0E7D6E14" w14:textId="77777777" w:rsidR="00F0467C" w:rsidRPr="00F0467C" w:rsidRDefault="00F0467C" w:rsidP="00F0467C">
      <w:pPr>
        <w:widowControl w:val="0"/>
        <w:autoSpaceDE w:val="0"/>
        <w:autoSpaceDN w:val="0"/>
        <w:adjustRightInd w:val="0"/>
        <w:spacing w:after="0" w:line="360" w:lineRule="auto"/>
        <w:ind w:left="480" w:hanging="480"/>
        <w:rPr>
          <w:rFonts w:ascii="David" w:eastAsia="Calibri" w:hAnsi="David"/>
          <w:noProof/>
          <w:kern w:val="0"/>
          <w:lang w:val="en-US"/>
          <w14:ligatures w14:val="none"/>
        </w:rPr>
      </w:pPr>
      <w:r w:rsidRPr="00F0467C">
        <w:rPr>
          <w:rFonts w:ascii="David" w:eastAsia="Calibri" w:hAnsi="David"/>
          <w:noProof/>
          <w:kern w:val="0"/>
          <w:lang w:val="en-US"/>
          <w14:ligatures w14:val="none"/>
        </w:rPr>
        <w:t xml:space="preserve">Bowling, N. A., &amp; Hershcovis, M. S. (2017). </w:t>
      </w:r>
      <w:r w:rsidRPr="00F0467C">
        <w:rPr>
          <w:rFonts w:ascii="David" w:eastAsia="Calibri" w:hAnsi="David"/>
          <w:i/>
          <w:iCs/>
          <w:noProof/>
          <w:kern w:val="0"/>
          <w:lang w:val="en-US"/>
          <w14:ligatures w14:val="none"/>
        </w:rPr>
        <w:t>Research and theory on workplace aggression</w:t>
      </w:r>
      <w:r w:rsidRPr="00F0467C">
        <w:rPr>
          <w:rFonts w:ascii="David" w:eastAsia="Calibri" w:hAnsi="David"/>
          <w:noProof/>
          <w:kern w:val="0"/>
          <w:lang w:val="en-US"/>
          <w14:ligatures w14:val="none"/>
        </w:rPr>
        <w:t xml:space="preserve"> (N. A. Bowling &amp; M. S. Hershcovis (eds.)) [Book]. Cambridge University Press.</w:t>
      </w:r>
    </w:p>
    <w:p w14:paraId="7CF4AB23" w14:textId="77777777" w:rsidR="00F0467C" w:rsidRPr="00F0467C" w:rsidRDefault="00F0467C" w:rsidP="00F0467C">
      <w:pPr>
        <w:widowControl w:val="0"/>
        <w:autoSpaceDE w:val="0"/>
        <w:autoSpaceDN w:val="0"/>
        <w:adjustRightInd w:val="0"/>
        <w:spacing w:after="0" w:line="360" w:lineRule="auto"/>
        <w:ind w:left="480" w:hanging="480"/>
        <w:rPr>
          <w:rFonts w:ascii="David" w:eastAsia="Calibri" w:hAnsi="David"/>
          <w:noProof/>
          <w:kern w:val="0"/>
          <w:lang w:val="en-US"/>
          <w14:ligatures w14:val="none"/>
        </w:rPr>
      </w:pPr>
      <w:r w:rsidRPr="00F0467C">
        <w:rPr>
          <w:rFonts w:ascii="David" w:eastAsia="Calibri" w:hAnsi="David"/>
          <w:noProof/>
          <w:kern w:val="0"/>
          <w:lang w:val="en-US"/>
          <w14:ligatures w14:val="none"/>
        </w:rPr>
        <w:t xml:space="preserve">Bunting, L., Davidson, G., McCartan, C., Hanratty, J., Bywaters, P., Mason, W., &amp; Steils, N. (2018). The association between child maltreatment and adult poverty – A systematic review of longitudinal research. </w:t>
      </w:r>
      <w:r w:rsidRPr="00F0467C">
        <w:rPr>
          <w:rFonts w:ascii="David" w:eastAsia="Calibri" w:hAnsi="David"/>
          <w:i/>
          <w:iCs/>
          <w:noProof/>
          <w:kern w:val="0"/>
          <w:lang w:val="en-US"/>
          <w14:ligatures w14:val="none"/>
        </w:rPr>
        <w:t>Child Abuse and Neglect</w:t>
      </w:r>
      <w:r w:rsidRPr="00F0467C">
        <w:rPr>
          <w:rFonts w:ascii="David" w:eastAsia="Calibri" w:hAnsi="David"/>
          <w:noProof/>
          <w:kern w:val="0"/>
          <w:lang w:val="en-US"/>
          <w14:ligatures w14:val="none"/>
        </w:rPr>
        <w:t xml:space="preserve">, </w:t>
      </w:r>
      <w:r w:rsidRPr="00F0467C">
        <w:rPr>
          <w:rFonts w:ascii="David" w:eastAsia="Calibri" w:hAnsi="David"/>
          <w:i/>
          <w:iCs/>
          <w:noProof/>
          <w:kern w:val="0"/>
          <w:lang w:val="en-US"/>
          <w14:ligatures w14:val="none"/>
        </w:rPr>
        <w:t>77</w:t>
      </w:r>
      <w:r w:rsidRPr="00F0467C">
        <w:rPr>
          <w:rFonts w:ascii="David" w:eastAsia="Calibri" w:hAnsi="David"/>
          <w:noProof/>
          <w:kern w:val="0"/>
          <w:lang w:val="en-US"/>
          <w14:ligatures w14:val="none"/>
        </w:rPr>
        <w:t>, 121–133. https://doi.org/10.1016/j.chiabu.2017.12.022</w:t>
      </w:r>
    </w:p>
    <w:p w14:paraId="51564E8E" w14:textId="77777777" w:rsidR="00F0467C" w:rsidRPr="00F0467C" w:rsidRDefault="00F0467C" w:rsidP="00F0467C">
      <w:pPr>
        <w:widowControl w:val="0"/>
        <w:autoSpaceDE w:val="0"/>
        <w:autoSpaceDN w:val="0"/>
        <w:adjustRightInd w:val="0"/>
        <w:spacing w:after="0" w:line="360" w:lineRule="auto"/>
        <w:ind w:left="480" w:hanging="480"/>
        <w:rPr>
          <w:rFonts w:ascii="David" w:eastAsia="Calibri" w:hAnsi="David"/>
          <w:noProof/>
          <w:kern w:val="0"/>
          <w:lang w:val="en-US"/>
          <w14:ligatures w14:val="none"/>
        </w:rPr>
      </w:pPr>
      <w:r w:rsidRPr="00F0467C">
        <w:rPr>
          <w:rFonts w:ascii="David" w:eastAsia="Calibri" w:hAnsi="David"/>
          <w:noProof/>
          <w:kern w:val="0"/>
          <w:lang w:val="en-US"/>
          <w14:ligatures w14:val="none"/>
        </w:rPr>
        <w:t xml:space="preserve">Ehring, T., &amp; Quack, D. (2010). Emotion Regulation Difficulties in Trauma Survivors: The Role of Trauma Type and PTSD Symptom Severity. </w:t>
      </w:r>
      <w:r w:rsidRPr="00F0467C">
        <w:rPr>
          <w:rFonts w:ascii="David" w:eastAsia="Calibri" w:hAnsi="David"/>
          <w:i/>
          <w:iCs/>
          <w:noProof/>
          <w:kern w:val="0"/>
          <w:lang w:val="en-US"/>
          <w14:ligatures w14:val="none"/>
        </w:rPr>
        <w:t>Behavior Therapy</w:t>
      </w:r>
      <w:r w:rsidRPr="00F0467C">
        <w:rPr>
          <w:rFonts w:ascii="David" w:eastAsia="Calibri" w:hAnsi="David"/>
          <w:noProof/>
          <w:kern w:val="0"/>
          <w:lang w:val="en-US"/>
          <w14:ligatures w14:val="none"/>
        </w:rPr>
        <w:t xml:space="preserve">, </w:t>
      </w:r>
      <w:r w:rsidRPr="00F0467C">
        <w:rPr>
          <w:rFonts w:ascii="David" w:eastAsia="Calibri" w:hAnsi="David"/>
          <w:i/>
          <w:iCs/>
          <w:noProof/>
          <w:kern w:val="0"/>
          <w:lang w:val="en-US"/>
          <w14:ligatures w14:val="none"/>
        </w:rPr>
        <w:t>41</w:t>
      </w:r>
      <w:r w:rsidRPr="00F0467C">
        <w:rPr>
          <w:rFonts w:ascii="David" w:eastAsia="Calibri" w:hAnsi="David"/>
          <w:noProof/>
          <w:kern w:val="0"/>
          <w:lang w:val="en-US"/>
          <w14:ligatures w14:val="none"/>
        </w:rPr>
        <w:t>(4), 587–598. https://doi.org/10.1016/j.beth.2010.04.004</w:t>
      </w:r>
    </w:p>
    <w:p w14:paraId="77108CB4" w14:textId="77777777" w:rsidR="00F0467C" w:rsidRPr="00F0467C" w:rsidRDefault="00F0467C" w:rsidP="00F0467C">
      <w:pPr>
        <w:widowControl w:val="0"/>
        <w:autoSpaceDE w:val="0"/>
        <w:autoSpaceDN w:val="0"/>
        <w:adjustRightInd w:val="0"/>
        <w:spacing w:after="0" w:line="360" w:lineRule="auto"/>
        <w:ind w:left="480" w:hanging="480"/>
        <w:rPr>
          <w:rFonts w:ascii="David" w:eastAsia="Calibri" w:hAnsi="David"/>
          <w:noProof/>
          <w:kern w:val="0"/>
          <w:lang w:val="en-US"/>
          <w14:ligatures w14:val="none"/>
        </w:rPr>
      </w:pPr>
      <w:r w:rsidRPr="00F0467C">
        <w:rPr>
          <w:rFonts w:ascii="David" w:eastAsia="Calibri" w:hAnsi="David"/>
          <w:noProof/>
          <w:kern w:val="0"/>
          <w:lang w:val="en-US"/>
          <w14:ligatures w14:val="none"/>
        </w:rPr>
        <w:t xml:space="preserve">Ercan, &amp; Yilmaz. (2011). An investigation of teachers loneliness in the workplace in terms of human values they possess. </w:t>
      </w:r>
      <w:r w:rsidRPr="00F0467C">
        <w:rPr>
          <w:rFonts w:ascii="David" w:eastAsia="Calibri" w:hAnsi="David"/>
          <w:i/>
          <w:iCs/>
          <w:noProof/>
          <w:kern w:val="0"/>
          <w:lang w:val="en-US"/>
          <w14:ligatures w14:val="none"/>
        </w:rPr>
        <w:t>African Journal of Business Management</w:t>
      </w:r>
      <w:r w:rsidRPr="00F0467C">
        <w:rPr>
          <w:rFonts w:ascii="David" w:eastAsia="Calibri" w:hAnsi="David"/>
          <w:noProof/>
          <w:kern w:val="0"/>
          <w:lang w:val="en-US"/>
          <w14:ligatures w14:val="none"/>
        </w:rPr>
        <w:t xml:space="preserve">, </w:t>
      </w:r>
      <w:r w:rsidRPr="00F0467C">
        <w:rPr>
          <w:rFonts w:ascii="David" w:eastAsia="Calibri" w:hAnsi="David"/>
          <w:i/>
          <w:iCs/>
          <w:noProof/>
          <w:kern w:val="0"/>
          <w:lang w:val="en-US"/>
          <w14:ligatures w14:val="none"/>
        </w:rPr>
        <w:t>5</w:t>
      </w:r>
      <w:r w:rsidRPr="00F0467C">
        <w:rPr>
          <w:rFonts w:ascii="David" w:eastAsia="Calibri" w:hAnsi="David"/>
          <w:noProof/>
          <w:kern w:val="0"/>
          <w:lang w:val="en-US"/>
          <w14:ligatures w14:val="none"/>
        </w:rPr>
        <w:t>(13), 5070–5075. https://doi.org/10.5897/AJBM10.303</w:t>
      </w:r>
    </w:p>
    <w:p w14:paraId="50F2BD8A" w14:textId="77777777" w:rsidR="00F0467C" w:rsidRPr="00F0467C" w:rsidRDefault="00F0467C" w:rsidP="00F0467C">
      <w:pPr>
        <w:widowControl w:val="0"/>
        <w:autoSpaceDE w:val="0"/>
        <w:autoSpaceDN w:val="0"/>
        <w:adjustRightInd w:val="0"/>
        <w:spacing w:after="0" w:line="360" w:lineRule="auto"/>
        <w:ind w:left="480" w:hanging="480"/>
        <w:rPr>
          <w:rFonts w:ascii="David" w:eastAsia="Calibri" w:hAnsi="David"/>
          <w:noProof/>
          <w:kern w:val="0"/>
          <w:lang w:val="en-US"/>
          <w14:ligatures w14:val="none"/>
        </w:rPr>
      </w:pPr>
      <w:r w:rsidRPr="00F0467C">
        <w:rPr>
          <w:rFonts w:ascii="David" w:eastAsia="Calibri" w:hAnsi="David"/>
          <w:noProof/>
          <w:kern w:val="0"/>
          <w:lang w:val="en-US"/>
          <w14:ligatures w14:val="none"/>
        </w:rPr>
        <w:t xml:space="preserve">Gibson, R. L., &amp; Hartshorne, T. S. (1996). CHILDHOOD SEXUAL ABUSE AND ADULT LONELINESS AND NETWORK ORIENTATION. </w:t>
      </w:r>
      <w:r w:rsidRPr="00F0467C">
        <w:rPr>
          <w:rFonts w:ascii="David" w:eastAsia="Calibri" w:hAnsi="David"/>
          <w:i/>
          <w:iCs/>
          <w:noProof/>
          <w:kern w:val="0"/>
          <w:lang w:val="en-US"/>
          <w14:ligatures w14:val="none"/>
        </w:rPr>
        <w:t>Child Abuse &amp; Neglect</w:t>
      </w:r>
      <w:r w:rsidRPr="00F0467C">
        <w:rPr>
          <w:rFonts w:ascii="David" w:eastAsia="Calibri" w:hAnsi="David"/>
          <w:noProof/>
          <w:kern w:val="0"/>
          <w:lang w:val="en-US"/>
          <w14:ligatures w14:val="none"/>
        </w:rPr>
        <w:t xml:space="preserve">, </w:t>
      </w:r>
      <w:r w:rsidRPr="00F0467C">
        <w:rPr>
          <w:rFonts w:ascii="David" w:eastAsia="Calibri" w:hAnsi="David"/>
          <w:i/>
          <w:iCs/>
          <w:noProof/>
          <w:kern w:val="0"/>
          <w:lang w:val="en-US"/>
          <w14:ligatures w14:val="none"/>
        </w:rPr>
        <w:t>20</w:t>
      </w:r>
      <w:r w:rsidRPr="00F0467C">
        <w:rPr>
          <w:rFonts w:ascii="David" w:eastAsia="Calibri" w:hAnsi="David"/>
          <w:noProof/>
          <w:kern w:val="0"/>
          <w:lang w:val="en-US"/>
          <w14:ligatures w14:val="none"/>
        </w:rPr>
        <w:t>(11), 1087–1093.</w:t>
      </w:r>
    </w:p>
    <w:p w14:paraId="0B5E438F" w14:textId="77777777" w:rsidR="00F0467C" w:rsidRPr="00F0467C" w:rsidRDefault="00F0467C" w:rsidP="00F0467C">
      <w:pPr>
        <w:widowControl w:val="0"/>
        <w:autoSpaceDE w:val="0"/>
        <w:autoSpaceDN w:val="0"/>
        <w:adjustRightInd w:val="0"/>
        <w:spacing w:after="0" w:line="360" w:lineRule="auto"/>
        <w:ind w:left="480" w:hanging="480"/>
        <w:rPr>
          <w:rFonts w:ascii="David" w:eastAsia="Calibri" w:hAnsi="David"/>
          <w:noProof/>
          <w:kern w:val="0"/>
          <w:lang w:val="en-US"/>
          <w14:ligatures w14:val="none"/>
        </w:rPr>
      </w:pPr>
      <w:r w:rsidRPr="00F0467C">
        <w:rPr>
          <w:rFonts w:ascii="David" w:eastAsia="Calibri" w:hAnsi="David"/>
          <w:noProof/>
          <w:kern w:val="0"/>
          <w:lang w:val="en-US"/>
          <w14:ligatures w14:val="none"/>
        </w:rPr>
        <w:t xml:space="preserve">Harford, T. C., Yi, H. ye, &amp; Grant, B. F. (2014). Associations between childhood abuse and interpersonal aggression and suicide attempt among U.S. adults in a national study. </w:t>
      </w:r>
      <w:r w:rsidRPr="00F0467C">
        <w:rPr>
          <w:rFonts w:ascii="David" w:eastAsia="Calibri" w:hAnsi="David"/>
          <w:i/>
          <w:iCs/>
          <w:noProof/>
          <w:kern w:val="0"/>
          <w:lang w:val="en-US"/>
          <w14:ligatures w14:val="none"/>
        </w:rPr>
        <w:t>Child Abuse and Neglect</w:t>
      </w:r>
      <w:r w:rsidRPr="00F0467C">
        <w:rPr>
          <w:rFonts w:ascii="David" w:eastAsia="Calibri" w:hAnsi="David"/>
          <w:noProof/>
          <w:kern w:val="0"/>
          <w:lang w:val="en-US"/>
          <w14:ligatures w14:val="none"/>
        </w:rPr>
        <w:t xml:space="preserve">, </w:t>
      </w:r>
      <w:r w:rsidRPr="00F0467C">
        <w:rPr>
          <w:rFonts w:ascii="David" w:eastAsia="Calibri" w:hAnsi="David"/>
          <w:i/>
          <w:iCs/>
          <w:noProof/>
          <w:kern w:val="0"/>
          <w:lang w:val="en-US"/>
          <w14:ligatures w14:val="none"/>
        </w:rPr>
        <w:t>38</w:t>
      </w:r>
      <w:r w:rsidRPr="00F0467C">
        <w:rPr>
          <w:rFonts w:ascii="David" w:eastAsia="Calibri" w:hAnsi="David"/>
          <w:noProof/>
          <w:kern w:val="0"/>
          <w:lang w:val="en-US"/>
          <w14:ligatures w14:val="none"/>
        </w:rPr>
        <w:t>(8), 1389–1398. https://doi.org/10.1016/j.chiabu.2014.02.011</w:t>
      </w:r>
    </w:p>
    <w:p w14:paraId="3A52720F" w14:textId="77777777" w:rsidR="00F0467C" w:rsidRPr="00F0467C" w:rsidRDefault="00F0467C" w:rsidP="00F0467C">
      <w:pPr>
        <w:widowControl w:val="0"/>
        <w:autoSpaceDE w:val="0"/>
        <w:autoSpaceDN w:val="0"/>
        <w:adjustRightInd w:val="0"/>
        <w:spacing w:after="0" w:line="360" w:lineRule="auto"/>
        <w:ind w:left="480" w:hanging="480"/>
        <w:rPr>
          <w:rFonts w:ascii="David" w:eastAsia="Calibri" w:hAnsi="David"/>
          <w:noProof/>
          <w:kern w:val="0"/>
          <w:lang w:val="en-US"/>
          <w14:ligatures w14:val="none"/>
        </w:rPr>
      </w:pPr>
      <w:r w:rsidRPr="00F0467C">
        <w:rPr>
          <w:rFonts w:ascii="David" w:eastAsia="Calibri" w:hAnsi="David"/>
          <w:noProof/>
          <w:kern w:val="0"/>
          <w:lang w:val="en-US"/>
          <w14:ligatures w14:val="none"/>
        </w:rPr>
        <w:t xml:space="preserve">Kamiya, Y., Timonen, V., &amp; Kenny, R. A. (2016). The impact of childhood sexual abuse on the mental and physical health, and healthcare utilization of older adults. </w:t>
      </w:r>
      <w:r w:rsidRPr="00F0467C">
        <w:rPr>
          <w:rFonts w:ascii="David" w:eastAsia="Calibri" w:hAnsi="David"/>
          <w:i/>
          <w:iCs/>
          <w:noProof/>
          <w:kern w:val="0"/>
          <w:lang w:val="en-US"/>
          <w14:ligatures w14:val="none"/>
        </w:rPr>
        <w:t>International Psychogeriatrics</w:t>
      </w:r>
      <w:r w:rsidRPr="00F0467C">
        <w:rPr>
          <w:rFonts w:ascii="David" w:eastAsia="Calibri" w:hAnsi="David"/>
          <w:noProof/>
          <w:kern w:val="0"/>
          <w:lang w:val="en-US"/>
          <w14:ligatures w14:val="none"/>
        </w:rPr>
        <w:t xml:space="preserve">, </w:t>
      </w:r>
      <w:r w:rsidRPr="00F0467C">
        <w:rPr>
          <w:rFonts w:ascii="David" w:eastAsia="Calibri" w:hAnsi="David"/>
          <w:i/>
          <w:iCs/>
          <w:noProof/>
          <w:kern w:val="0"/>
          <w:lang w:val="en-US"/>
          <w14:ligatures w14:val="none"/>
        </w:rPr>
        <w:t>28</w:t>
      </w:r>
      <w:r w:rsidRPr="00F0467C">
        <w:rPr>
          <w:rFonts w:ascii="David" w:eastAsia="Calibri" w:hAnsi="David"/>
          <w:noProof/>
          <w:kern w:val="0"/>
          <w:lang w:val="en-US"/>
          <w14:ligatures w14:val="none"/>
        </w:rPr>
        <w:t>(3), 415–422. https://doi.org/10.1017/S1041610215001672</w:t>
      </w:r>
    </w:p>
    <w:p w14:paraId="07EE6A44" w14:textId="77777777" w:rsidR="00F0467C" w:rsidRPr="00F0467C" w:rsidRDefault="00F0467C" w:rsidP="00F0467C">
      <w:pPr>
        <w:widowControl w:val="0"/>
        <w:autoSpaceDE w:val="0"/>
        <w:autoSpaceDN w:val="0"/>
        <w:adjustRightInd w:val="0"/>
        <w:spacing w:after="0" w:line="360" w:lineRule="auto"/>
        <w:ind w:left="480" w:hanging="480"/>
        <w:rPr>
          <w:rFonts w:ascii="David" w:eastAsia="Calibri" w:hAnsi="David"/>
          <w:noProof/>
          <w:kern w:val="0"/>
          <w:lang w:val="en-US"/>
          <w14:ligatures w14:val="none"/>
        </w:rPr>
      </w:pPr>
      <w:r w:rsidRPr="00F0467C">
        <w:rPr>
          <w:rFonts w:ascii="David" w:eastAsia="Calibri" w:hAnsi="David"/>
          <w:noProof/>
          <w:kern w:val="0"/>
          <w:lang w:val="en-US"/>
          <w14:ligatures w14:val="none"/>
        </w:rPr>
        <w:t xml:space="preserve">Lim, M. H., Eres, R., &amp; Vasan, S. (2020). Understanding loneliness in the twenty-first century: an update on correlates, risk factors, and potential solutions. In </w:t>
      </w:r>
      <w:r w:rsidRPr="00F0467C">
        <w:rPr>
          <w:rFonts w:ascii="David" w:eastAsia="Calibri" w:hAnsi="David"/>
          <w:i/>
          <w:iCs/>
          <w:noProof/>
          <w:kern w:val="0"/>
          <w:lang w:val="en-US"/>
          <w14:ligatures w14:val="none"/>
        </w:rPr>
        <w:t>Social Psychiatry and Psychiatric Epidemiology</w:t>
      </w:r>
      <w:r w:rsidRPr="00F0467C">
        <w:rPr>
          <w:rFonts w:ascii="David" w:eastAsia="Calibri" w:hAnsi="David"/>
          <w:noProof/>
          <w:kern w:val="0"/>
          <w:lang w:val="en-US"/>
          <w14:ligatures w14:val="none"/>
        </w:rPr>
        <w:t xml:space="preserve"> (Vol. 55, Issue 7, pp. 793–810). Springer. https://doi.org/10.1007/s00127-020-01889-7</w:t>
      </w:r>
    </w:p>
    <w:p w14:paraId="606F6ABF" w14:textId="77777777" w:rsidR="00F0467C" w:rsidRPr="00F0467C" w:rsidRDefault="00F0467C" w:rsidP="00F0467C">
      <w:pPr>
        <w:widowControl w:val="0"/>
        <w:autoSpaceDE w:val="0"/>
        <w:autoSpaceDN w:val="0"/>
        <w:adjustRightInd w:val="0"/>
        <w:spacing w:after="0" w:line="360" w:lineRule="auto"/>
        <w:ind w:left="480" w:hanging="480"/>
        <w:rPr>
          <w:rFonts w:ascii="David" w:eastAsia="Calibri" w:hAnsi="David"/>
          <w:noProof/>
          <w:kern w:val="0"/>
          <w:lang w:val="en-US"/>
          <w14:ligatures w14:val="none"/>
        </w:rPr>
      </w:pPr>
      <w:r w:rsidRPr="00F0467C">
        <w:rPr>
          <w:rFonts w:ascii="David" w:eastAsia="Calibri" w:hAnsi="David"/>
          <w:noProof/>
          <w:kern w:val="0"/>
          <w:lang w:val="en-US"/>
          <w14:ligatures w14:val="none"/>
        </w:rPr>
        <w:t xml:space="preserve">Parker, A., Gerbasi, A., &amp; Emery, C. (2023). Why do workplace relationships matter? In </w:t>
      </w:r>
      <w:r w:rsidRPr="00F0467C">
        <w:rPr>
          <w:rFonts w:ascii="David" w:eastAsia="Calibri" w:hAnsi="David"/>
          <w:i/>
          <w:iCs/>
          <w:noProof/>
          <w:kern w:val="0"/>
          <w:lang w:val="en-US"/>
          <w14:ligatures w14:val="none"/>
        </w:rPr>
        <w:t>Understanding Workplace Relationships: An Examination of the Antecedents and Outcomes</w:t>
      </w:r>
      <w:r w:rsidRPr="00F0467C">
        <w:rPr>
          <w:rFonts w:ascii="David" w:eastAsia="Calibri" w:hAnsi="David"/>
          <w:noProof/>
          <w:kern w:val="0"/>
          <w:lang w:val="en-US"/>
          <w14:ligatures w14:val="none"/>
        </w:rPr>
        <w:t xml:space="preserve"> (pp. 1–21). Springer International Publishing. https://doi.org/10.1007/978-3-031-16640-2_1</w:t>
      </w:r>
    </w:p>
    <w:p w14:paraId="2D5F1C7F" w14:textId="77777777" w:rsidR="00F0467C" w:rsidRPr="00F0467C" w:rsidRDefault="00F0467C" w:rsidP="00F0467C">
      <w:pPr>
        <w:widowControl w:val="0"/>
        <w:autoSpaceDE w:val="0"/>
        <w:autoSpaceDN w:val="0"/>
        <w:adjustRightInd w:val="0"/>
        <w:spacing w:after="0" w:line="360" w:lineRule="auto"/>
        <w:ind w:left="480" w:hanging="480"/>
        <w:rPr>
          <w:rFonts w:ascii="David" w:eastAsia="Calibri" w:hAnsi="David"/>
          <w:noProof/>
          <w:kern w:val="0"/>
          <w:lang w:val="en-US"/>
          <w14:ligatures w14:val="none"/>
        </w:rPr>
      </w:pPr>
      <w:r w:rsidRPr="00F0467C">
        <w:rPr>
          <w:rFonts w:ascii="David" w:eastAsia="Calibri" w:hAnsi="David"/>
          <w:noProof/>
          <w:kern w:val="0"/>
          <w:lang w:val="en-US"/>
          <w14:ligatures w14:val="none"/>
        </w:rPr>
        <w:t xml:space="preserve">Perlman, D., &amp; Peplau, L. (1981). Toward a social psychology of loneliness. </w:t>
      </w:r>
      <w:r w:rsidRPr="00F0467C">
        <w:rPr>
          <w:rFonts w:ascii="David" w:eastAsia="Calibri" w:hAnsi="David"/>
          <w:i/>
          <w:iCs/>
          <w:noProof/>
          <w:kern w:val="0"/>
          <w:lang w:val="en-US"/>
          <w14:ligatures w14:val="none"/>
        </w:rPr>
        <w:t>Personal Relationships</w:t>
      </w:r>
      <w:r w:rsidRPr="00F0467C">
        <w:rPr>
          <w:rFonts w:ascii="David" w:eastAsia="Calibri" w:hAnsi="David"/>
          <w:noProof/>
          <w:kern w:val="0"/>
          <w:lang w:val="en-US"/>
          <w14:ligatures w14:val="none"/>
        </w:rPr>
        <w:t xml:space="preserve">, </w:t>
      </w:r>
      <w:r w:rsidRPr="00F0467C">
        <w:rPr>
          <w:rFonts w:ascii="David" w:eastAsia="Calibri" w:hAnsi="David"/>
          <w:i/>
          <w:iCs/>
          <w:noProof/>
          <w:kern w:val="0"/>
          <w:lang w:val="en-US"/>
          <w14:ligatures w14:val="none"/>
        </w:rPr>
        <w:t>3</w:t>
      </w:r>
      <w:r w:rsidRPr="00F0467C">
        <w:rPr>
          <w:rFonts w:ascii="David" w:eastAsia="Calibri" w:hAnsi="David"/>
          <w:noProof/>
          <w:kern w:val="0"/>
          <w:lang w:val="en-US"/>
          <w14:ligatures w14:val="none"/>
        </w:rPr>
        <w:t>.</w:t>
      </w:r>
    </w:p>
    <w:p w14:paraId="34D4F853" w14:textId="77777777" w:rsidR="00F0467C" w:rsidRPr="00F0467C" w:rsidRDefault="00F0467C" w:rsidP="00F0467C">
      <w:pPr>
        <w:widowControl w:val="0"/>
        <w:autoSpaceDE w:val="0"/>
        <w:autoSpaceDN w:val="0"/>
        <w:adjustRightInd w:val="0"/>
        <w:spacing w:after="0" w:line="360" w:lineRule="auto"/>
        <w:ind w:left="480" w:hanging="480"/>
        <w:rPr>
          <w:rFonts w:ascii="David" w:eastAsia="Calibri" w:hAnsi="David"/>
          <w:noProof/>
          <w:kern w:val="0"/>
          <w:lang w:val="en-US"/>
          <w14:ligatures w14:val="none"/>
        </w:rPr>
      </w:pPr>
      <w:r w:rsidRPr="00F0467C">
        <w:rPr>
          <w:rFonts w:ascii="David" w:eastAsia="Calibri" w:hAnsi="David"/>
          <w:noProof/>
          <w:kern w:val="0"/>
          <w:lang w:val="en-US"/>
          <w14:ligatures w14:val="none"/>
        </w:rPr>
        <w:t xml:space="preserve">prigoff gina L. (2000). The relationship between childhood sexual abuse and interpersonal difficulties in the workplace. In </w:t>
      </w:r>
      <w:r w:rsidRPr="00F0467C">
        <w:rPr>
          <w:rFonts w:ascii="David" w:eastAsia="Calibri" w:hAnsi="David"/>
          <w:i/>
          <w:iCs/>
          <w:noProof/>
          <w:kern w:val="0"/>
          <w:lang w:val="en-US"/>
          <w14:ligatures w14:val="none"/>
        </w:rPr>
        <w:t>Dissertation Abstracts International: Section B: The Sciences and Engineering</w:t>
      </w:r>
      <w:r w:rsidRPr="00F0467C">
        <w:rPr>
          <w:rFonts w:ascii="David" w:eastAsia="Calibri" w:hAnsi="David"/>
          <w:noProof/>
          <w:kern w:val="0"/>
          <w:lang w:val="en-US"/>
          <w14:ligatures w14:val="none"/>
        </w:rPr>
        <w:t xml:space="preserve"> (Vol. 60, Issues 8-B).</w:t>
      </w:r>
    </w:p>
    <w:p w14:paraId="694746DD" w14:textId="77777777" w:rsidR="00F0467C" w:rsidRPr="00F0467C" w:rsidRDefault="00F0467C" w:rsidP="00F0467C">
      <w:pPr>
        <w:widowControl w:val="0"/>
        <w:autoSpaceDE w:val="0"/>
        <w:autoSpaceDN w:val="0"/>
        <w:adjustRightInd w:val="0"/>
        <w:spacing w:after="0" w:line="360" w:lineRule="auto"/>
        <w:ind w:left="480" w:hanging="480"/>
        <w:rPr>
          <w:rFonts w:ascii="David" w:eastAsia="Calibri" w:hAnsi="David"/>
          <w:noProof/>
          <w:kern w:val="0"/>
          <w:lang w:val="en-US"/>
          <w14:ligatures w14:val="none"/>
        </w:rPr>
      </w:pPr>
      <w:r w:rsidRPr="00F0467C">
        <w:rPr>
          <w:rFonts w:ascii="David" w:eastAsia="Calibri" w:hAnsi="David"/>
          <w:noProof/>
          <w:kern w:val="0"/>
          <w:lang w:val="en-US"/>
          <w14:ligatures w14:val="none"/>
        </w:rPr>
        <w:t xml:space="preserve">Shevlin, M., McElroy, E., &amp; Murphy, J. (2015). Loneliness mediates the relationship between childhood trauma and adult psychopathology: evidence from the adult psychiatric morbidity survey. </w:t>
      </w:r>
      <w:r w:rsidRPr="00F0467C">
        <w:rPr>
          <w:rFonts w:ascii="David" w:eastAsia="Calibri" w:hAnsi="David"/>
          <w:i/>
          <w:iCs/>
          <w:noProof/>
          <w:kern w:val="0"/>
          <w:lang w:val="en-US"/>
          <w14:ligatures w14:val="none"/>
        </w:rPr>
        <w:t>Social Psychiatry and Psychiatric Epidemiology</w:t>
      </w:r>
      <w:r w:rsidRPr="00F0467C">
        <w:rPr>
          <w:rFonts w:ascii="David" w:eastAsia="Calibri" w:hAnsi="David"/>
          <w:noProof/>
          <w:kern w:val="0"/>
          <w:lang w:val="en-US"/>
          <w14:ligatures w14:val="none"/>
        </w:rPr>
        <w:t xml:space="preserve">, </w:t>
      </w:r>
      <w:r w:rsidRPr="00F0467C">
        <w:rPr>
          <w:rFonts w:ascii="David" w:eastAsia="Calibri" w:hAnsi="David"/>
          <w:i/>
          <w:iCs/>
          <w:noProof/>
          <w:kern w:val="0"/>
          <w:lang w:val="en-US"/>
          <w14:ligatures w14:val="none"/>
        </w:rPr>
        <w:t>50</w:t>
      </w:r>
      <w:r w:rsidRPr="00F0467C">
        <w:rPr>
          <w:rFonts w:ascii="David" w:eastAsia="Calibri" w:hAnsi="David"/>
          <w:noProof/>
          <w:kern w:val="0"/>
          <w:lang w:val="en-US"/>
          <w14:ligatures w14:val="none"/>
        </w:rPr>
        <w:t>(4), 591–601. https://doi.org/10.1007/s00127-014-0951-8</w:t>
      </w:r>
    </w:p>
    <w:p w14:paraId="6E768DC2" w14:textId="77777777" w:rsidR="00F0467C" w:rsidRPr="00F0467C" w:rsidRDefault="00F0467C" w:rsidP="00F0467C">
      <w:pPr>
        <w:widowControl w:val="0"/>
        <w:autoSpaceDE w:val="0"/>
        <w:autoSpaceDN w:val="0"/>
        <w:adjustRightInd w:val="0"/>
        <w:spacing w:after="0" w:line="360" w:lineRule="auto"/>
        <w:ind w:left="480" w:hanging="480"/>
        <w:rPr>
          <w:rFonts w:ascii="David" w:eastAsia="Calibri" w:hAnsi="David"/>
          <w:noProof/>
          <w:kern w:val="0"/>
          <w:lang w:val="en-US"/>
          <w14:ligatures w14:val="none"/>
        </w:rPr>
      </w:pPr>
      <w:r w:rsidRPr="00F0467C">
        <w:rPr>
          <w:rFonts w:ascii="David" w:eastAsia="Calibri" w:hAnsi="David"/>
          <w:noProof/>
          <w:kern w:val="0"/>
          <w:lang w:val="en-US"/>
          <w14:ligatures w14:val="none"/>
        </w:rPr>
        <w:t xml:space="preserve">Strait, T. R. (2011). Male survivors of childhood sexual abuse and difficulties at work [Capella University]. In </w:t>
      </w:r>
      <w:r w:rsidRPr="00F0467C">
        <w:rPr>
          <w:rFonts w:ascii="David" w:eastAsia="Calibri" w:hAnsi="David"/>
          <w:i/>
          <w:iCs/>
          <w:noProof/>
          <w:kern w:val="0"/>
          <w:lang w:val="en-US"/>
          <w14:ligatures w14:val="none"/>
        </w:rPr>
        <w:t>Dissertation Abstracts International: Section B: The Sciences and Engineering</w:t>
      </w:r>
      <w:r w:rsidRPr="00F0467C">
        <w:rPr>
          <w:rFonts w:ascii="David" w:eastAsia="Calibri" w:hAnsi="David"/>
          <w:noProof/>
          <w:kern w:val="0"/>
          <w:lang w:val="en-US"/>
          <w14:ligatures w14:val="none"/>
        </w:rPr>
        <w:t>. https://www.lib.uwo.ca/cgi-bin/ezpauthn.cgi?url=http://search.proquest.com/docview/870547447?accountid=15115%0Ahttp://vr2pk9sx9w.search.serialssolution.com?ctx%7B_%7Dver=Z39.88-2004%7B&amp;%7Dctx%7B_%7Denc=info:ofi/enc:UTF-8%7B&amp;%7Drfr%7B_%7Did=info:sid/PsycIN</w:t>
      </w:r>
    </w:p>
    <w:p w14:paraId="552946E2" w14:textId="77777777" w:rsidR="00F0467C" w:rsidRPr="00F0467C" w:rsidRDefault="00F0467C" w:rsidP="00F0467C">
      <w:pPr>
        <w:widowControl w:val="0"/>
        <w:autoSpaceDE w:val="0"/>
        <w:autoSpaceDN w:val="0"/>
        <w:adjustRightInd w:val="0"/>
        <w:spacing w:after="0" w:line="360" w:lineRule="auto"/>
        <w:ind w:left="480" w:hanging="480"/>
        <w:rPr>
          <w:rFonts w:ascii="David" w:eastAsia="Calibri" w:hAnsi="David"/>
          <w:noProof/>
          <w:kern w:val="0"/>
          <w:lang w:val="en-US"/>
          <w14:ligatures w14:val="none"/>
        </w:rPr>
      </w:pPr>
      <w:r w:rsidRPr="00F0467C">
        <w:rPr>
          <w:rFonts w:ascii="David" w:eastAsia="Calibri" w:hAnsi="David"/>
          <w:noProof/>
          <w:kern w:val="0"/>
          <w:lang w:val="en-US"/>
          <w14:ligatures w14:val="none"/>
        </w:rPr>
        <w:t xml:space="preserve">Volpin Neta. (2021). </w:t>
      </w:r>
      <w:r w:rsidRPr="00F0467C">
        <w:rPr>
          <w:rFonts w:ascii="David" w:eastAsia="Calibri" w:hAnsi="David"/>
          <w:i/>
          <w:iCs/>
          <w:noProof/>
          <w:kern w:val="0"/>
          <w:lang w:val="en-US"/>
          <w14:ligatures w14:val="none"/>
        </w:rPr>
        <w:t>Contribution of emotional intelligence and participation in therapy as resilience resources to couple and work interpersonal relationships among people who have experienced childhood sexual abuse</w:t>
      </w:r>
      <w:r w:rsidRPr="00F0467C">
        <w:rPr>
          <w:rFonts w:ascii="David" w:eastAsia="Calibri" w:hAnsi="David"/>
          <w:noProof/>
          <w:kern w:val="0"/>
          <w:lang w:val="en-US"/>
          <w14:ligatures w14:val="none"/>
        </w:rPr>
        <w:t>. Bar Ilan University .</w:t>
      </w:r>
    </w:p>
    <w:p w14:paraId="2B912C3C" w14:textId="77777777" w:rsidR="00F0467C" w:rsidRPr="00F0467C" w:rsidRDefault="00F0467C" w:rsidP="00F0467C">
      <w:pPr>
        <w:widowControl w:val="0"/>
        <w:autoSpaceDE w:val="0"/>
        <w:autoSpaceDN w:val="0"/>
        <w:adjustRightInd w:val="0"/>
        <w:spacing w:after="0" w:line="360" w:lineRule="auto"/>
        <w:ind w:left="480" w:hanging="480"/>
        <w:rPr>
          <w:rFonts w:ascii="David" w:eastAsia="Calibri" w:hAnsi="David"/>
          <w:noProof/>
          <w:kern w:val="0"/>
          <w:lang w:val="en-US"/>
          <w14:ligatures w14:val="none"/>
        </w:rPr>
      </w:pPr>
      <w:r w:rsidRPr="00F0467C">
        <w:rPr>
          <w:rFonts w:ascii="David" w:eastAsia="Calibri" w:hAnsi="David"/>
          <w:noProof/>
          <w:kern w:val="0"/>
          <w:lang w:val="en-US"/>
          <w14:ligatures w14:val="none"/>
        </w:rPr>
        <w:t xml:space="preserve">Wright, S., &amp; Silard, A. (2020). Unravelling the antecedents of loneliness in the workplace. </w:t>
      </w:r>
      <w:r w:rsidRPr="00F0467C">
        <w:rPr>
          <w:rFonts w:ascii="David" w:eastAsia="Calibri" w:hAnsi="David"/>
          <w:i/>
          <w:iCs/>
          <w:noProof/>
          <w:kern w:val="0"/>
          <w:lang w:val="en-US"/>
          <w14:ligatures w14:val="none"/>
        </w:rPr>
        <w:t>Human Relations</w:t>
      </w:r>
      <w:r w:rsidRPr="00F0467C">
        <w:rPr>
          <w:rFonts w:ascii="David" w:eastAsia="Calibri" w:hAnsi="David"/>
          <w:noProof/>
          <w:kern w:val="0"/>
          <w:lang w:val="en-US"/>
          <w14:ligatures w14:val="none"/>
        </w:rPr>
        <w:t>. https://doi.org/10.1177/0018726720906013</w:t>
      </w:r>
    </w:p>
    <w:p w14:paraId="7B5AD55B" w14:textId="77777777" w:rsidR="00F0467C" w:rsidRPr="00F0467C" w:rsidRDefault="00F0467C" w:rsidP="00F0467C">
      <w:pPr>
        <w:spacing w:after="-1" w:line="480" w:lineRule="auto"/>
        <w:rPr>
          <w:rFonts w:ascii="David" w:eastAsia="Calibri" w:hAnsi="David"/>
          <w:kern w:val="0"/>
          <w:lang w:val="en-US"/>
          <w14:ligatures w14:val="none"/>
        </w:rPr>
      </w:pPr>
      <w:r w:rsidRPr="00F0467C">
        <w:rPr>
          <w:rFonts w:ascii="David" w:eastAsia="Calibri" w:hAnsi="David"/>
          <w:b/>
          <w:bCs/>
          <w:kern w:val="0"/>
          <w:rtl/>
          <w:lang w:val="en-US"/>
          <w14:ligatures w14:val="none"/>
        </w:rPr>
        <w:fldChar w:fldCharType="end"/>
      </w:r>
    </w:p>
    <w:p w14:paraId="166C81C9" w14:textId="77777777" w:rsidR="00F0467C" w:rsidRPr="00F42320" w:rsidRDefault="00F0467C" w:rsidP="00866786">
      <w:pPr>
        <w:rPr>
          <w:rtl/>
          <w:lang w:val="en-US"/>
        </w:rPr>
      </w:pPr>
    </w:p>
    <w:sectPr w:rsidR="00F0467C" w:rsidRPr="00F42320">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hulamit Finkelman Suna" w:date="2024-03-12T08:44:00Z" w:initials="Sש">
    <w:p w14:paraId="097AED71" w14:textId="77777777" w:rsidR="00CD43F9" w:rsidRDefault="00CD43F9" w:rsidP="00CD43F9">
      <w:pPr>
        <w:pStyle w:val="CommentText"/>
      </w:pPr>
      <w:r>
        <w:rPr>
          <w:rStyle w:val="CommentReference"/>
        </w:rPr>
        <w:annotationRef/>
      </w:r>
      <w:r>
        <w:t>But you are not really examining this either, are you? If you’re looking at the interpersonal relationships of CSA survivors in the workplace, then “difficulty entering the job market” is not your focus. Is it an interfering variable? How so?</w:t>
      </w:r>
    </w:p>
  </w:comment>
  <w:comment w:id="1" w:author="Shulamit Finkelman Suna" w:date="2024-03-12T08:46:00Z" w:initials="Sש">
    <w:p w14:paraId="41DDB906" w14:textId="77777777" w:rsidR="00CD43F9" w:rsidRDefault="00CD43F9" w:rsidP="00CD43F9">
      <w:pPr>
        <w:pStyle w:val="CommentText"/>
      </w:pPr>
      <w:r>
        <w:rPr>
          <w:rStyle w:val="CommentReference"/>
        </w:rPr>
        <w:annotationRef/>
      </w:r>
      <w:r>
        <w:rPr>
          <w:lang w:val="en-IL"/>
        </w:rPr>
        <w:t xml:space="preserve"> moved this to the top of the paragraph (it was sentence #2).</w:t>
      </w:r>
    </w:p>
  </w:comment>
  <w:comment w:id="2" w:author="Shulamit Finkelman Suna" w:date="2024-03-07T16:29:00Z" w:initials="Sש">
    <w:p w14:paraId="1918C255" w14:textId="6ACE8463" w:rsidR="00A32165" w:rsidRDefault="00A32165" w:rsidP="00A32165">
      <w:pPr>
        <w:pStyle w:val="CommentText"/>
      </w:pPr>
      <w:r>
        <w:rPr>
          <w:rStyle w:val="CommentReference"/>
        </w:rPr>
        <w:annotationRef/>
      </w:r>
      <w:r>
        <w:t>Is this correct?</w:t>
      </w:r>
    </w:p>
  </w:comment>
  <w:comment w:id="3" w:author="Shulamit Finkelman Suna" w:date="2024-03-12T08:53:00Z" w:initials="Sש">
    <w:p w14:paraId="544C77B8" w14:textId="77777777" w:rsidR="00B748D2" w:rsidRDefault="00B748D2" w:rsidP="00B748D2">
      <w:pPr>
        <w:pStyle w:val="CommentText"/>
      </w:pPr>
      <w:r>
        <w:rPr>
          <w:rStyle w:val="CommentReference"/>
        </w:rPr>
        <w:annotationRef/>
      </w:r>
      <w:r>
        <w:t>Perhaps put some sort of introduction sentence here, such as: We will now look at the literature describing these three components, specifically as relating to survivors of CSA.</w:t>
      </w:r>
    </w:p>
    <w:p w14:paraId="7643F000" w14:textId="77777777" w:rsidR="00B748D2" w:rsidRDefault="00B748D2" w:rsidP="00B748D2">
      <w:pPr>
        <w:pStyle w:val="CommentText"/>
      </w:pPr>
      <w:r>
        <w:t>Or something like that</w:t>
      </w:r>
    </w:p>
  </w:comment>
  <w:comment w:id="4" w:author="Shulamit Finkelman Suna" w:date="2024-03-12T08:57:00Z" w:initials="Sש">
    <w:p w14:paraId="5869EC15" w14:textId="77777777" w:rsidR="00953F11" w:rsidRDefault="00953F11" w:rsidP="00953F11">
      <w:pPr>
        <w:pStyle w:val="CommentText"/>
      </w:pPr>
      <w:r>
        <w:rPr>
          <w:rStyle w:val="CommentReference"/>
        </w:rPr>
        <w:annotationRef/>
      </w:r>
      <w:r>
        <w:t>All types of relationships between workers (as in the Hebrew text), or Relationships between all types or workers (as would make sense from the examples in the parentheses)?</w:t>
      </w:r>
    </w:p>
  </w:comment>
  <w:comment w:id="5" w:author="Shulamit Finkelman Suna" w:date="2024-03-12T08:55:00Z" w:initials="Sש">
    <w:p w14:paraId="6E0D5DAC" w14:textId="0578107B" w:rsidR="00953F11" w:rsidRDefault="00953F11" w:rsidP="00953F11">
      <w:pPr>
        <w:pStyle w:val="CommentText"/>
      </w:pPr>
      <w:r>
        <w:rPr>
          <w:rStyle w:val="CommentReference"/>
        </w:rPr>
        <w:annotationRef/>
      </w:r>
      <w:r>
        <w:t>Is this true also for interpersonal relationships between executives and subordinates? Etc</w:t>
      </w:r>
    </w:p>
  </w:comment>
  <w:comment w:id="6" w:author="Shulamit Finkelman Suna" w:date="2024-03-12T09:07:00Z" w:initials="Sש">
    <w:p w14:paraId="32CBB752" w14:textId="77777777" w:rsidR="00F56DAA" w:rsidRDefault="00F56DAA" w:rsidP="00F56DAA">
      <w:pPr>
        <w:pStyle w:val="CommentText"/>
      </w:pPr>
      <w:r>
        <w:rPr>
          <w:rStyle w:val="CommentReference"/>
        </w:rPr>
        <w:annotationRef/>
      </w:r>
      <w:r>
        <w:rPr>
          <w:lang w:val="en-IL"/>
        </w:rPr>
        <w:t xml:space="preserve">Intuitively, since CSA survivors were the </w:t>
      </w:r>
      <w:r>
        <w:rPr>
          <w:i/>
          <w:iCs/>
          <w:lang w:val="en-IL"/>
        </w:rPr>
        <w:t>victims</w:t>
      </w:r>
      <w:r>
        <w:rPr>
          <w:lang w:val="en-IL"/>
        </w:rPr>
        <w:t xml:space="preserve"> of abuse, and they tend to recreate earlier social roles within the workplace, I would assume that these survivors would take on the role of </w:t>
      </w:r>
      <w:r>
        <w:rPr>
          <w:i/>
          <w:iCs/>
          <w:lang w:val="en-IL"/>
        </w:rPr>
        <w:t>victim</w:t>
      </w:r>
      <w:r>
        <w:rPr>
          <w:lang w:val="en-IL"/>
        </w:rPr>
        <w:t xml:space="preserve"> within the workplace, not </w:t>
      </w:r>
      <w:r>
        <w:rPr>
          <w:i/>
          <w:iCs/>
          <w:lang w:val="en-IL"/>
        </w:rPr>
        <w:t>aggressor</w:t>
      </w:r>
      <w:r>
        <w:rPr>
          <w:lang w:val="en-IL"/>
        </w:rPr>
        <w:t>. Why would one assume the opposite?</w:t>
      </w:r>
    </w:p>
  </w:comment>
  <w:comment w:id="7" w:author="Shulamit Finkelman Suna" w:date="2024-03-12T09:14:00Z" w:initials="Sש">
    <w:p w14:paraId="55C92FC0" w14:textId="77777777" w:rsidR="002407BF" w:rsidRDefault="002407BF" w:rsidP="002407BF">
      <w:pPr>
        <w:pStyle w:val="CommentText"/>
      </w:pPr>
      <w:r>
        <w:rPr>
          <w:rStyle w:val="CommentReference"/>
        </w:rPr>
        <w:annotationRef/>
      </w:r>
      <w:r>
        <w:t>This is bolded in the Hebrew but the other questionnaires (below) were not. I think you should pick one or the other (either bold all of them or don’t)</w:t>
      </w:r>
    </w:p>
  </w:comment>
  <w:comment w:id="8" w:author="Shulamit Finkelman Suna" w:date="2024-03-07T22:48:00Z" w:initials="Sש">
    <w:p w14:paraId="34B518D3" w14:textId="7515BEFF" w:rsidR="00EB049F" w:rsidRDefault="00EB049F" w:rsidP="00EB049F">
      <w:pPr>
        <w:pStyle w:val="CommentText"/>
      </w:pPr>
      <w:r>
        <w:rPr>
          <w:rStyle w:val="CommentReference"/>
        </w:rPr>
        <w:annotationRef/>
      </w:r>
      <w:r>
        <w:t xml:space="preserve">Is this how you say </w:t>
      </w:r>
      <w:r>
        <w:rPr>
          <w:rFonts w:hint="eastAsia"/>
          <w:rtl/>
        </w:rPr>
        <w:t>מבחן</w:t>
      </w:r>
      <w:r>
        <w:rPr>
          <w:rtl/>
        </w:rPr>
        <w:t xml:space="preserve"> חוזר</w:t>
      </w:r>
      <w:r>
        <w:t>?</w:t>
      </w:r>
    </w:p>
  </w:comment>
  <w:comment w:id="9" w:author="Shulamit Finkelman Suna" w:date="2024-03-12T09:16:00Z" w:initials="Sש">
    <w:p w14:paraId="1EDC9576" w14:textId="77777777" w:rsidR="002407BF" w:rsidRDefault="002407BF" w:rsidP="002407BF">
      <w:pPr>
        <w:pStyle w:val="CommentText"/>
      </w:pPr>
      <w:r>
        <w:rPr>
          <w:rStyle w:val="CommentReference"/>
        </w:rPr>
        <w:annotationRef/>
      </w:r>
      <w:r>
        <w:t>NOTE! There were no Appendices in the file I was asked to translate</w:t>
      </w:r>
    </w:p>
  </w:comment>
  <w:comment w:id="10" w:author="Shulamit Finkelman Suna" w:date="2024-03-08T09:02:00Z" w:initials="Sש">
    <w:p w14:paraId="38EC8937" w14:textId="58E5698D" w:rsidR="00A2242C" w:rsidRDefault="00A2242C" w:rsidP="00A2242C">
      <w:pPr>
        <w:pStyle w:val="CommentText"/>
      </w:pPr>
      <w:r>
        <w:rPr>
          <w:rStyle w:val="CommentReference"/>
        </w:rPr>
        <w:annotationRef/>
      </w:r>
      <w:r>
        <w:rPr>
          <w:rFonts w:hint="eastAsia"/>
          <w:rtl/>
        </w:rPr>
        <w:t>תוקף</w:t>
      </w:r>
      <w:r>
        <w:rPr>
          <w:rtl/>
        </w:rPr>
        <w:t xml:space="preserve"> מבחין חזק... בהשוואה לקודמים</w:t>
      </w:r>
      <w:r>
        <w:rPr>
          <w:rtl/>
        </w:rPr>
        <w:br/>
      </w:r>
    </w:p>
    <w:p w14:paraId="788BB2D7" w14:textId="77777777" w:rsidR="00A2242C" w:rsidRDefault="00A2242C" w:rsidP="00A2242C">
      <w:pPr>
        <w:pStyle w:val="CommentText"/>
      </w:pPr>
      <w:r>
        <w:rPr>
          <w:rFonts w:hint="eastAsia"/>
          <w:rtl/>
        </w:rPr>
        <w:t>בהשוואה</w:t>
      </w:r>
      <w:r>
        <w:rPr>
          <w:rtl/>
        </w:rPr>
        <w:t xml:space="preserve"> לאיזה קודמים של מה?</w:t>
      </w:r>
    </w:p>
  </w:comment>
  <w:comment w:id="11" w:author="Shulamit Finkelman Suna" w:date="2024-03-08T09:03:00Z" w:initials="Sש">
    <w:p w14:paraId="6200A371" w14:textId="77777777" w:rsidR="00A2242C" w:rsidRDefault="00A2242C" w:rsidP="00A2242C">
      <w:pPr>
        <w:pStyle w:val="CommentText"/>
      </w:pPr>
      <w:r>
        <w:rPr>
          <w:rStyle w:val="CommentReference"/>
        </w:rPr>
        <w:annotationRef/>
      </w:r>
      <w:r>
        <w:t xml:space="preserve">What is the real name of the </w:t>
      </w:r>
      <w:r>
        <w:rPr>
          <w:rFonts w:hint="eastAsia"/>
          <w:rtl/>
        </w:rPr>
        <w:t>הלוך</w:t>
      </w:r>
      <w:r>
        <w:rPr>
          <w:rtl/>
        </w:rPr>
        <w:t xml:space="preserve"> ושוב</w:t>
      </w:r>
      <w:r>
        <w:t xml:space="preserve"> questionnaire?</w:t>
      </w:r>
    </w:p>
  </w:comment>
  <w:comment w:id="12" w:author="Shulamit Finkelman Suna" w:date="2024-03-08T09:06:00Z" w:initials="Sש">
    <w:p w14:paraId="3BCC1216" w14:textId="77777777" w:rsidR="00A2242C" w:rsidRDefault="00A2242C" w:rsidP="00A2242C">
      <w:pPr>
        <w:pStyle w:val="CommentText"/>
      </w:pPr>
      <w:r>
        <w:rPr>
          <w:rStyle w:val="CommentReference"/>
        </w:rPr>
        <w:annotationRef/>
      </w:r>
      <w:r>
        <w:t>“good internal consistency” - maybe specify for what, exactly</w:t>
      </w:r>
    </w:p>
  </w:comment>
  <w:comment w:id="13" w:author="Shulamit Finkelman Suna" w:date="2024-03-12T09:19:00Z" w:initials="Sש">
    <w:p w14:paraId="450000D7" w14:textId="77777777" w:rsidR="002407BF" w:rsidRDefault="002407BF" w:rsidP="002407BF">
      <w:pPr>
        <w:pStyle w:val="CommentText"/>
      </w:pPr>
      <w:r>
        <w:rPr>
          <w:rStyle w:val="CommentReference"/>
        </w:rPr>
        <w:annotationRef/>
      </w:r>
      <w:r>
        <w:t>Once again, this translation has no such Appendix!</w:t>
      </w:r>
    </w:p>
  </w:comment>
  <w:comment w:id="14" w:author="Shulamit Finkelman Suna" w:date="2024-03-08T11:03:00Z" w:initials="Sש">
    <w:p w14:paraId="73DB5410" w14:textId="71CF9646" w:rsidR="005E6DAB" w:rsidRDefault="005E6DAB" w:rsidP="00B427F4">
      <w:pPr>
        <w:pStyle w:val="CommentText"/>
      </w:pPr>
      <w:r>
        <w:rPr>
          <w:rStyle w:val="CommentReference"/>
        </w:rPr>
        <w:annotationRef/>
      </w:r>
      <w:r>
        <w:t>I think these are better in the plural than in the singular, as per the Hebrew original</w:t>
      </w:r>
    </w:p>
  </w:comment>
  <w:comment w:id="15" w:author="Shulamit Finkelman Suna" w:date="2024-03-12T09:24:00Z" w:initials="Sש">
    <w:p w14:paraId="1027FEB9" w14:textId="77777777" w:rsidR="003D0EC4" w:rsidRDefault="003D0EC4" w:rsidP="003D0EC4">
      <w:pPr>
        <w:pStyle w:val="CommentText"/>
      </w:pPr>
      <w:r>
        <w:rPr>
          <w:rStyle w:val="CommentReference"/>
        </w:rPr>
        <w:annotationRef/>
      </w:r>
      <w:r>
        <w:t xml:space="preserve">This was capitalized in the Hebrew text. Should it be? </w:t>
      </w:r>
    </w:p>
  </w:comment>
  <w:comment w:id="16" w:author="Shulamit Finkelman Suna" w:date="2024-03-10T10:28:00Z" w:initials="Sש">
    <w:p w14:paraId="566D18D5" w14:textId="6E980F54" w:rsidR="008B0267" w:rsidRDefault="008B0267" w:rsidP="008B0267">
      <w:pPr>
        <w:pStyle w:val="CommentText"/>
      </w:pPr>
      <w:r>
        <w:rPr>
          <w:rStyle w:val="CommentReference"/>
        </w:rPr>
        <w:annotationRef/>
      </w:r>
      <w:r>
        <w:t>The Hebrew text says “Table 7”, but I assume you meant Table 2</w:t>
      </w:r>
    </w:p>
  </w:comment>
  <w:comment w:id="17" w:author="Shulamit Finkelman Suna" w:date="2024-03-11T07:41:00Z" w:initials="Sש">
    <w:p w14:paraId="613133C1" w14:textId="77777777" w:rsidR="009928CA" w:rsidRDefault="009928CA" w:rsidP="009928CA">
      <w:pPr>
        <w:pStyle w:val="CommentText"/>
      </w:pPr>
      <w:r>
        <w:rPr>
          <w:rStyle w:val="CommentReference"/>
        </w:rPr>
        <w:annotationRef/>
      </w:r>
      <w:r>
        <w:t xml:space="preserve">The Hebrew text has here </w:t>
      </w:r>
      <w:r>
        <w:rPr>
          <w:rFonts w:hint="eastAsia"/>
          <w:rtl/>
        </w:rPr>
        <w:t>“לחץ</w:t>
      </w:r>
      <w:r>
        <w:rPr>
          <w:rtl/>
        </w:rPr>
        <w:t xml:space="preserve"> או הקש כאן להזנת טקסט</w:t>
      </w:r>
      <w:r>
        <w:t>". Is there something missing?</w:t>
      </w:r>
    </w:p>
  </w:comment>
  <w:comment w:id="18" w:author="Shulamit Finkelman Suna" w:date="2024-03-12T09:33:00Z" w:initials="Sש">
    <w:p w14:paraId="7A8A0117" w14:textId="77777777" w:rsidR="00D07962" w:rsidRDefault="00D07962" w:rsidP="00D07962">
      <w:pPr>
        <w:pStyle w:val="CommentText"/>
      </w:pPr>
      <w:r>
        <w:rPr>
          <w:rStyle w:val="CommentReference"/>
        </w:rPr>
        <w:annotationRef/>
      </w:r>
      <w:r>
        <w:t>I didn’t understand why the number of people in each of these groups is important information for our purposes</w:t>
      </w:r>
    </w:p>
  </w:comment>
  <w:comment w:id="19" w:author="Shulamit Finkelman Suna" w:date="2024-03-12T09:37:00Z" w:initials="Sש">
    <w:p w14:paraId="5DD19693" w14:textId="77777777" w:rsidR="004236AC" w:rsidRDefault="004236AC" w:rsidP="004236AC">
      <w:pPr>
        <w:pStyle w:val="CommentText"/>
      </w:pPr>
      <w:r>
        <w:rPr>
          <w:rStyle w:val="CommentReference"/>
        </w:rPr>
        <w:annotationRef/>
      </w:r>
      <w:r>
        <w:t>I added this to the previous sentence instead of having it as its own paragraph</w:t>
      </w:r>
    </w:p>
  </w:comment>
  <w:comment w:id="20" w:author="Shulamit Finkelman Suna" w:date="2024-03-12T09:39:00Z" w:initials="Sש">
    <w:p w14:paraId="49A6FC81" w14:textId="77777777" w:rsidR="004236AC" w:rsidRDefault="004236AC" w:rsidP="004236AC">
      <w:pPr>
        <w:pStyle w:val="CommentText"/>
      </w:pPr>
      <w:r>
        <w:rPr>
          <w:rStyle w:val="CommentReference"/>
        </w:rPr>
        <w:annotationRef/>
      </w:r>
      <w:r>
        <w:t>This helps explain my question at the beginning, why these survivors would be aggressive and not continue playing the role of victim</w:t>
      </w:r>
    </w:p>
  </w:comment>
  <w:comment w:id="21" w:author="Shulamit Finkelman Suna" w:date="2024-03-12T09:51:00Z" w:initials="Sש">
    <w:p w14:paraId="709DD552" w14:textId="77777777" w:rsidR="00BB339C" w:rsidRDefault="00BB339C" w:rsidP="00BB339C">
      <w:pPr>
        <w:pStyle w:val="CommentText"/>
      </w:pPr>
      <w:r>
        <w:rPr>
          <w:rStyle w:val="CommentReference"/>
        </w:rPr>
        <w:annotationRef/>
      </w:r>
      <w:r>
        <w:t>If the second group in the future study is survivors who are not part of the workforce, how can you check their levels of loneliness and aggression in the workplace?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97AED71" w15:done="0"/>
  <w15:commentEx w15:paraId="41DDB906" w15:done="0"/>
  <w15:commentEx w15:paraId="1918C255" w15:done="0"/>
  <w15:commentEx w15:paraId="7643F000" w15:done="0"/>
  <w15:commentEx w15:paraId="5869EC15" w15:done="0"/>
  <w15:commentEx w15:paraId="6E0D5DAC" w15:done="0"/>
  <w15:commentEx w15:paraId="32CBB752" w15:done="0"/>
  <w15:commentEx w15:paraId="55C92FC0" w15:done="0"/>
  <w15:commentEx w15:paraId="34B518D3" w15:done="0"/>
  <w15:commentEx w15:paraId="1EDC9576" w15:done="0"/>
  <w15:commentEx w15:paraId="788BB2D7" w15:done="0"/>
  <w15:commentEx w15:paraId="6200A371" w15:done="0"/>
  <w15:commentEx w15:paraId="3BCC1216" w15:done="0"/>
  <w15:commentEx w15:paraId="450000D7" w15:done="0"/>
  <w15:commentEx w15:paraId="73DB5410" w15:done="0"/>
  <w15:commentEx w15:paraId="1027FEB9" w15:done="0"/>
  <w15:commentEx w15:paraId="566D18D5" w15:done="0"/>
  <w15:commentEx w15:paraId="613133C1" w15:done="0"/>
  <w15:commentEx w15:paraId="7A8A0117" w15:done="0"/>
  <w15:commentEx w15:paraId="5DD19693" w15:done="0"/>
  <w15:commentEx w15:paraId="49A6FC81" w15:done="0"/>
  <w15:commentEx w15:paraId="709DD55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BDB46E8" w16cex:dateUtc="2024-03-12T06:44:00Z"/>
  <w16cex:commentExtensible w16cex:durableId="00F0930A" w16cex:dateUtc="2024-03-12T06:46:00Z"/>
  <w16cex:commentExtensible w16cex:durableId="61673447" w16cex:dateUtc="2024-03-07T14:29:00Z"/>
  <w16cex:commentExtensible w16cex:durableId="1002DDC5" w16cex:dateUtc="2024-03-12T06:53:00Z"/>
  <w16cex:commentExtensible w16cex:durableId="42BE65AD" w16cex:dateUtc="2024-03-12T06:57:00Z"/>
  <w16cex:commentExtensible w16cex:durableId="1677B28A" w16cex:dateUtc="2024-03-12T06:55:00Z"/>
  <w16cex:commentExtensible w16cex:durableId="6BB77A23" w16cex:dateUtc="2024-03-12T07:07:00Z"/>
  <w16cex:commentExtensible w16cex:durableId="29F7DFBF" w16cex:dateUtc="2024-03-12T07:14:00Z"/>
  <w16cex:commentExtensible w16cex:durableId="549FA7B5" w16cex:dateUtc="2024-03-07T20:48:00Z"/>
  <w16cex:commentExtensible w16cex:durableId="03FF4E13" w16cex:dateUtc="2024-03-12T07:16:00Z"/>
  <w16cex:commentExtensible w16cex:durableId="452B1768" w16cex:dateUtc="2024-03-08T07:02:00Z"/>
  <w16cex:commentExtensible w16cex:durableId="23B8D285" w16cex:dateUtc="2024-03-08T07:03:00Z"/>
  <w16cex:commentExtensible w16cex:durableId="45D822BD" w16cex:dateUtc="2024-03-08T07:06:00Z"/>
  <w16cex:commentExtensible w16cex:durableId="7B142AB8" w16cex:dateUtc="2024-03-12T07:19:00Z"/>
  <w16cex:commentExtensible w16cex:durableId="355C2E93" w16cex:dateUtc="2024-03-08T09:03:00Z"/>
  <w16cex:commentExtensible w16cex:durableId="401BD5E7" w16cex:dateUtc="2024-03-12T07:24:00Z"/>
  <w16cex:commentExtensible w16cex:durableId="65369F42" w16cex:dateUtc="2024-03-10T08:28:00Z"/>
  <w16cex:commentExtensible w16cex:durableId="582C92BD" w16cex:dateUtc="2024-03-11T05:41:00Z"/>
  <w16cex:commentExtensible w16cex:durableId="546AE11F" w16cex:dateUtc="2024-03-12T07:33:00Z"/>
  <w16cex:commentExtensible w16cex:durableId="4A1F55B2" w16cex:dateUtc="2024-03-12T07:37:00Z"/>
  <w16cex:commentExtensible w16cex:durableId="5CBBDCF1" w16cex:dateUtc="2024-03-12T07:39:00Z"/>
  <w16cex:commentExtensible w16cex:durableId="0089C6A1" w16cex:dateUtc="2024-03-12T07: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97AED71" w16cid:durableId="2BDB46E8"/>
  <w16cid:commentId w16cid:paraId="41DDB906" w16cid:durableId="00F0930A"/>
  <w16cid:commentId w16cid:paraId="1918C255" w16cid:durableId="61673447"/>
  <w16cid:commentId w16cid:paraId="7643F000" w16cid:durableId="1002DDC5"/>
  <w16cid:commentId w16cid:paraId="5869EC15" w16cid:durableId="42BE65AD"/>
  <w16cid:commentId w16cid:paraId="6E0D5DAC" w16cid:durableId="1677B28A"/>
  <w16cid:commentId w16cid:paraId="32CBB752" w16cid:durableId="6BB77A23"/>
  <w16cid:commentId w16cid:paraId="55C92FC0" w16cid:durableId="29F7DFBF"/>
  <w16cid:commentId w16cid:paraId="34B518D3" w16cid:durableId="549FA7B5"/>
  <w16cid:commentId w16cid:paraId="1EDC9576" w16cid:durableId="03FF4E13"/>
  <w16cid:commentId w16cid:paraId="788BB2D7" w16cid:durableId="452B1768"/>
  <w16cid:commentId w16cid:paraId="6200A371" w16cid:durableId="23B8D285"/>
  <w16cid:commentId w16cid:paraId="3BCC1216" w16cid:durableId="45D822BD"/>
  <w16cid:commentId w16cid:paraId="450000D7" w16cid:durableId="7B142AB8"/>
  <w16cid:commentId w16cid:paraId="73DB5410" w16cid:durableId="355C2E93"/>
  <w16cid:commentId w16cid:paraId="1027FEB9" w16cid:durableId="401BD5E7"/>
  <w16cid:commentId w16cid:paraId="566D18D5" w16cid:durableId="65369F42"/>
  <w16cid:commentId w16cid:paraId="613133C1" w16cid:durableId="582C92BD"/>
  <w16cid:commentId w16cid:paraId="7A8A0117" w16cid:durableId="546AE11F"/>
  <w16cid:commentId w16cid:paraId="5DD19693" w16cid:durableId="4A1F55B2"/>
  <w16cid:commentId w16cid:paraId="49A6FC81" w16cid:durableId="5CBBDCF1"/>
  <w16cid:commentId w16cid:paraId="709DD552" w16cid:durableId="0089C6A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ulamit Finkelman Suna">
    <w15:presenceInfo w15:providerId="AD" w15:userId="S::shulamitf@on.huji.ac.il::e84d37e0-a72f-4fb3-9b89-d5ce40258b5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savePreviewPicture/>
  <w:compat>
    <w:compatSetting w:name="compatibilityMode" w:uri="http://schemas.microsoft.com/office/word" w:val="12"/>
    <w:compatSetting w:name="useWord2013TrackBottomHyphenation" w:uri="http://schemas.microsoft.com/office/word" w:val="1"/>
  </w:compat>
  <w:rsids>
    <w:rsidRoot w:val="002D46ED"/>
    <w:rsid w:val="00022DE0"/>
    <w:rsid w:val="00024E2C"/>
    <w:rsid w:val="00071A34"/>
    <w:rsid w:val="000D12C4"/>
    <w:rsid w:val="00113A2F"/>
    <w:rsid w:val="00186DE9"/>
    <w:rsid w:val="001E7BEA"/>
    <w:rsid w:val="0021755B"/>
    <w:rsid w:val="00232433"/>
    <w:rsid w:val="00240107"/>
    <w:rsid w:val="002407BF"/>
    <w:rsid w:val="00252E28"/>
    <w:rsid w:val="0025587E"/>
    <w:rsid w:val="00277DDF"/>
    <w:rsid w:val="00282049"/>
    <w:rsid w:val="002D46ED"/>
    <w:rsid w:val="00305152"/>
    <w:rsid w:val="0038559E"/>
    <w:rsid w:val="003A21AA"/>
    <w:rsid w:val="003C02D2"/>
    <w:rsid w:val="003C5A63"/>
    <w:rsid w:val="003D0EC4"/>
    <w:rsid w:val="00422992"/>
    <w:rsid w:val="004236AC"/>
    <w:rsid w:val="00427B25"/>
    <w:rsid w:val="00431079"/>
    <w:rsid w:val="00445768"/>
    <w:rsid w:val="0047704A"/>
    <w:rsid w:val="00481237"/>
    <w:rsid w:val="004F4CAB"/>
    <w:rsid w:val="00507A1F"/>
    <w:rsid w:val="005666E6"/>
    <w:rsid w:val="00572433"/>
    <w:rsid w:val="0057448E"/>
    <w:rsid w:val="00582DBC"/>
    <w:rsid w:val="005B201A"/>
    <w:rsid w:val="005C5674"/>
    <w:rsid w:val="005D2E0C"/>
    <w:rsid w:val="005E6DAB"/>
    <w:rsid w:val="005F183D"/>
    <w:rsid w:val="005F4C5E"/>
    <w:rsid w:val="006175CE"/>
    <w:rsid w:val="00647193"/>
    <w:rsid w:val="00664703"/>
    <w:rsid w:val="006763D3"/>
    <w:rsid w:val="006A29F4"/>
    <w:rsid w:val="0072792B"/>
    <w:rsid w:val="007C5C73"/>
    <w:rsid w:val="0080798D"/>
    <w:rsid w:val="008107CF"/>
    <w:rsid w:val="0083099F"/>
    <w:rsid w:val="00866786"/>
    <w:rsid w:val="008734CB"/>
    <w:rsid w:val="00873D00"/>
    <w:rsid w:val="008B0267"/>
    <w:rsid w:val="00915E83"/>
    <w:rsid w:val="00930365"/>
    <w:rsid w:val="00935D09"/>
    <w:rsid w:val="00944AB4"/>
    <w:rsid w:val="0094528F"/>
    <w:rsid w:val="00953F11"/>
    <w:rsid w:val="009928CA"/>
    <w:rsid w:val="009A054B"/>
    <w:rsid w:val="009A388A"/>
    <w:rsid w:val="009B587E"/>
    <w:rsid w:val="00A1797E"/>
    <w:rsid w:val="00A2242C"/>
    <w:rsid w:val="00A32165"/>
    <w:rsid w:val="00A375D6"/>
    <w:rsid w:val="00A76F12"/>
    <w:rsid w:val="00A829D3"/>
    <w:rsid w:val="00AB5455"/>
    <w:rsid w:val="00AE199A"/>
    <w:rsid w:val="00B04FF8"/>
    <w:rsid w:val="00B20371"/>
    <w:rsid w:val="00B41794"/>
    <w:rsid w:val="00B427F4"/>
    <w:rsid w:val="00B748D2"/>
    <w:rsid w:val="00B7639E"/>
    <w:rsid w:val="00B8510A"/>
    <w:rsid w:val="00BA5403"/>
    <w:rsid w:val="00BB339C"/>
    <w:rsid w:val="00BB7049"/>
    <w:rsid w:val="00BF095A"/>
    <w:rsid w:val="00BF750C"/>
    <w:rsid w:val="00C249F7"/>
    <w:rsid w:val="00C357CE"/>
    <w:rsid w:val="00C5724E"/>
    <w:rsid w:val="00C8283F"/>
    <w:rsid w:val="00CD43F9"/>
    <w:rsid w:val="00CF19D6"/>
    <w:rsid w:val="00CF26ED"/>
    <w:rsid w:val="00D07962"/>
    <w:rsid w:val="00D31462"/>
    <w:rsid w:val="00D4644A"/>
    <w:rsid w:val="00D80B8A"/>
    <w:rsid w:val="00D86C16"/>
    <w:rsid w:val="00DA4163"/>
    <w:rsid w:val="00DB33CE"/>
    <w:rsid w:val="00DE79A9"/>
    <w:rsid w:val="00E175E0"/>
    <w:rsid w:val="00E25505"/>
    <w:rsid w:val="00E767A6"/>
    <w:rsid w:val="00E81819"/>
    <w:rsid w:val="00E92829"/>
    <w:rsid w:val="00E93680"/>
    <w:rsid w:val="00EB049F"/>
    <w:rsid w:val="00ED6C48"/>
    <w:rsid w:val="00F0406D"/>
    <w:rsid w:val="00F0467C"/>
    <w:rsid w:val="00F072AF"/>
    <w:rsid w:val="00F208AD"/>
    <w:rsid w:val="00F42320"/>
    <w:rsid w:val="00F51192"/>
    <w:rsid w:val="00F56DAA"/>
    <w:rsid w:val="00F809D8"/>
    <w:rsid w:val="00F863DD"/>
    <w:rsid w:val="00FA426E"/>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D90972"/>
  <w15:chartTrackingRefBased/>
  <w15:docId w15:val="{00F784DB-1062-42BB-A6FD-633991DB1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David"/>
        <w:kern w:val="2"/>
        <w:sz w:val="24"/>
        <w:szCs w:val="24"/>
        <w:lang w:val="en-IL"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nhideWhenUsed/>
    <w:rsid w:val="00E81819"/>
    <w:rPr>
      <w:rFonts w:asciiTheme="majorBidi" w:hAnsiTheme="majorBidi" w:cstheme="majorBidi"/>
      <w:sz w:val="24"/>
      <w:szCs w:val="24"/>
      <w:vertAlign w:val="superscript"/>
    </w:rPr>
  </w:style>
  <w:style w:type="character" w:styleId="CommentReference">
    <w:name w:val="annotation reference"/>
    <w:basedOn w:val="DefaultParagraphFont"/>
    <w:uiPriority w:val="99"/>
    <w:semiHidden/>
    <w:unhideWhenUsed/>
    <w:rsid w:val="00A32165"/>
    <w:rPr>
      <w:sz w:val="16"/>
      <w:szCs w:val="16"/>
    </w:rPr>
  </w:style>
  <w:style w:type="paragraph" w:styleId="CommentText">
    <w:name w:val="annotation text"/>
    <w:basedOn w:val="Normal"/>
    <w:link w:val="CommentTextChar"/>
    <w:uiPriority w:val="99"/>
    <w:unhideWhenUsed/>
    <w:rsid w:val="00A32165"/>
    <w:pPr>
      <w:spacing w:line="240" w:lineRule="auto"/>
    </w:pPr>
    <w:rPr>
      <w:sz w:val="20"/>
      <w:szCs w:val="20"/>
    </w:rPr>
  </w:style>
  <w:style w:type="character" w:customStyle="1" w:styleId="CommentTextChar">
    <w:name w:val="Comment Text Char"/>
    <w:basedOn w:val="DefaultParagraphFont"/>
    <w:link w:val="CommentText"/>
    <w:uiPriority w:val="99"/>
    <w:rsid w:val="00A32165"/>
    <w:rPr>
      <w:sz w:val="20"/>
      <w:szCs w:val="20"/>
    </w:rPr>
  </w:style>
  <w:style w:type="paragraph" w:styleId="CommentSubject">
    <w:name w:val="annotation subject"/>
    <w:basedOn w:val="CommentText"/>
    <w:next w:val="CommentText"/>
    <w:link w:val="CommentSubjectChar"/>
    <w:uiPriority w:val="99"/>
    <w:semiHidden/>
    <w:unhideWhenUsed/>
    <w:rsid w:val="00A32165"/>
    <w:rPr>
      <w:b/>
      <w:bCs/>
    </w:rPr>
  </w:style>
  <w:style w:type="character" w:customStyle="1" w:styleId="CommentSubjectChar">
    <w:name w:val="Comment Subject Char"/>
    <w:basedOn w:val="CommentTextChar"/>
    <w:link w:val="CommentSubject"/>
    <w:uiPriority w:val="99"/>
    <w:semiHidden/>
    <w:rsid w:val="00A32165"/>
    <w:rPr>
      <w:b/>
      <w:bCs/>
      <w:sz w:val="20"/>
      <w:szCs w:val="20"/>
    </w:rPr>
  </w:style>
  <w:style w:type="table" w:styleId="TableGrid">
    <w:name w:val="Table Grid"/>
    <w:basedOn w:val="TableNormal"/>
    <w:uiPriority w:val="39"/>
    <w:rsid w:val="00A375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microsoft.com/office/2011/relationships/commentsExtended" Target="commentsExtended.xml"/><Relationship Id="rId11" Type="http://schemas.openxmlformats.org/officeDocument/2006/relationships/glossaryDocument" Target="glossary/document.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6EB433BD8F649F1B230345D4F350CCB"/>
        <w:category>
          <w:name w:val="General"/>
          <w:gallery w:val="placeholder"/>
        </w:category>
        <w:types>
          <w:type w:val="bbPlcHdr"/>
        </w:types>
        <w:behaviors>
          <w:behavior w:val="content"/>
        </w:behaviors>
        <w:guid w:val="{B7B6ECFD-D07C-4D06-8434-FE1750309053}"/>
      </w:docPartPr>
      <w:docPartBody>
        <w:p w:rsidR="009F2EE6" w:rsidRDefault="0076713A" w:rsidP="0076713A">
          <w:pPr>
            <w:pStyle w:val="16EB433BD8F649F1B230345D4F350CCB"/>
          </w:pPr>
          <w:r w:rsidRPr="00E42820">
            <w:rPr>
              <w:rStyle w:val="PlaceholderText"/>
              <w:rtl/>
            </w:rPr>
            <w:t>לחץ או הקש כאן להזנת טקסט</w:t>
          </w:r>
          <w:r w:rsidRPr="00E42820">
            <w:rPr>
              <w:rStyle w:val="PlaceholderText"/>
            </w:rPr>
            <w:t>.</w:t>
          </w:r>
        </w:p>
      </w:docPartBody>
    </w:docPart>
    <w:docPart>
      <w:docPartPr>
        <w:name w:val="292A83C5529649A6B67B261910A8E9AA"/>
        <w:category>
          <w:name w:val="General"/>
          <w:gallery w:val="placeholder"/>
        </w:category>
        <w:types>
          <w:type w:val="bbPlcHdr"/>
        </w:types>
        <w:behaviors>
          <w:behavior w:val="content"/>
        </w:behaviors>
        <w:guid w:val="{67C1584C-6FFE-4D95-9A3C-C765A821B21B}"/>
      </w:docPartPr>
      <w:docPartBody>
        <w:p w:rsidR="009F2EE6" w:rsidRDefault="0076713A" w:rsidP="0076713A">
          <w:pPr>
            <w:pStyle w:val="292A83C5529649A6B67B261910A8E9AA"/>
          </w:pPr>
          <w:r w:rsidRPr="00E42820">
            <w:rPr>
              <w:rStyle w:val="PlaceholderText"/>
              <w:rtl/>
            </w:rPr>
            <w:t>לחץ או הקש כאן להזנת טקסט</w:t>
          </w:r>
          <w:r w:rsidRPr="00E42820">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13A"/>
    <w:rsid w:val="00684D98"/>
    <w:rsid w:val="0076713A"/>
    <w:rsid w:val="009F2EE6"/>
    <w:rsid w:val="00E737BD"/>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L" w:eastAsia="en-IL"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6713A"/>
    <w:rPr>
      <w:color w:val="808080"/>
    </w:rPr>
  </w:style>
  <w:style w:type="paragraph" w:customStyle="1" w:styleId="16EB433BD8F649F1B230345D4F350CCB">
    <w:name w:val="16EB433BD8F649F1B230345D4F350CCB"/>
    <w:rsid w:val="0076713A"/>
  </w:style>
  <w:style w:type="paragraph" w:customStyle="1" w:styleId="292A83C5529649A6B67B261910A8E9AA">
    <w:name w:val="292A83C5529649A6B67B261910A8E9AA"/>
    <w:rsid w:val="007671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FE3D01-258C-4918-BD78-D8F2E4155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2972</TotalTime>
  <Pages>13</Pages>
  <Words>5753</Words>
  <Characters>31702</Characters>
  <Application>Microsoft Office Word</Application>
  <DocSecurity>0</DocSecurity>
  <Lines>880</Lines>
  <Paragraphs>363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Shulamit Finkelman Suna</dc:creator>
  <cp:keywords/>
  <dc:description/>
  <cp:lastModifiedBy>Shulamit Finkelman Suna</cp:lastModifiedBy>
  <cp:revision>68</cp:revision>
  <dcterms:created xsi:type="dcterms:W3CDTF">2024-03-07T13:22:00Z</dcterms:created>
  <dcterms:modified xsi:type="dcterms:W3CDTF">2024-03-12T07:52:00Z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f561c355-a9c6-4cfe-b7cf-dc79e414092a</vt:lpwstr>
  </property>
</Properties>
</file>