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C4D" w:rsidRPr="00AF27E9" w:rsidRDefault="005F7C4D" w:rsidP="00AF27E9">
      <w:pPr>
        <w:spacing w:line="360" w:lineRule="auto"/>
        <w:ind w:left="6480"/>
        <w:rPr>
          <w:rFonts w:asciiTheme="minorBidi" w:hAnsiTheme="minorBidi"/>
        </w:rPr>
      </w:pPr>
      <w:r w:rsidRPr="00AF27E9">
        <w:rPr>
          <w:rFonts w:asciiTheme="minorBidi" w:hAnsiTheme="minorBidi"/>
        </w:rPr>
        <w:t>Date: May 8</w:t>
      </w:r>
      <w:r w:rsidRPr="00AF27E9">
        <w:rPr>
          <w:rFonts w:asciiTheme="minorBidi" w:hAnsiTheme="minorBidi"/>
          <w:vertAlign w:val="superscript"/>
        </w:rPr>
        <w:t>th</w:t>
      </w:r>
      <w:r w:rsidRPr="00AF27E9">
        <w:rPr>
          <w:rFonts w:asciiTheme="minorBidi" w:hAnsiTheme="minorBidi"/>
        </w:rPr>
        <w:t>, 2024</w:t>
      </w:r>
      <w:r w:rsidRPr="00AF27E9">
        <w:rPr>
          <w:rFonts w:asciiTheme="minorBidi" w:hAnsiTheme="minorBidi"/>
        </w:rPr>
        <w:br/>
        <w:t>Ref.: BTRM-2069084996</w:t>
      </w:r>
      <w:r w:rsidRPr="00AF27E9">
        <w:rPr>
          <w:rFonts w:asciiTheme="minorBidi" w:hAnsiTheme="minorBidi"/>
        </w:rPr>
        <w:br/>
        <w:t>1947</w:t>
      </w:r>
    </w:p>
    <w:p w:rsidR="00D621AF" w:rsidRPr="00D621AF" w:rsidRDefault="00D621AF" w:rsidP="00D621AF">
      <w:pPr>
        <w:spacing w:line="360" w:lineRule="auto"/>
        <w:jc w:val="center"/>
        <w:rPr>
          <w:rFonts w:asciiTheme="minorBidi" w:hAnsiTheme="minorBidi"/>
          <w:b/>
          <w:bCs/>
          <w:sz w:val="24"/>
          <w:szCs w:val="24"/>
        </w:rPr>
      </w:pPr>
      <w:r w:rsidRPr="00D621AF">
        <w:rPr>
          <w:rFonts w:asciiTheme="minorBidi" w:hAnsiTheme="minorBidi"/>
          <w:b/>
          <w:bCs/>
          <w:sz w:val="24"/>
          <w:szCs w:val="24"/>
        </w:rPr>
        <w:t>Assessment of the Annual Economic Cost of Child Injuries</w:t>
      </w:r>
    </w:p>
    <w:p w:rsidR="00D621AF" w:rsidRPr="00C53577" w:rsidRDefault="00D621AF" w:rsidP="00D621AF">
      <w:pPr>
        <w:spacing w:line="360" w:lineRule="auto"/>
        <w:rPr>
          <w:rFonts w:asciiTheme="minorBidi" w:hAnsiTheme="minorBidi"/>
          <w:b/>
          <w:bCs/>
          <w:sz w:val="24"/>
          <w:szCs w:val="24"/>
          <w:u w:val="single"/>
        </w:rPr>
      </w:pPr>
      <w:r w:rsidRPr="00C53577">
        <w:rPr>
          <w:rFonts w:asciiTheme="minorBidi" w:hAnsiTheme="minorBidi"/>
          <w:b/>
          <w:bCs/>
          <w:sz w:val="24"/>
          <w:szCs w:val="24"/>
          <w:u w:val="single"/>
        </w:rPr>
        <w:t>Background</w:t>
      </w:r>
    </w:p>
    <w:p w:rsidR="00D621AF" w:rsidRDefault="00282B6A" w:rsidP="00354556">
      <w:pPr>
        <w:spacing w:line="360" w:lineRule="auto"/>
        <w:jc w:val="both"/>
        <w:rPr>
          <w:rFonts w:asciiTheme="minorBidi" w:hAnsiTheme="minorBidi"/>
          <w:sz w:val="24"/>
          <w:szCs w:val="24"/>
        </w:rPr>
      </w:pPr>
      <w:r>
        <w:rPr>
          <w:rFonts w:asciiTheme="minorBidi" w:hAnsiTheme="minorBidi"/>
          <w:sz w:val="24"/>
          <w:szCs w:val="24"/>
        </w:rPr>
        <w:t>Th</w:t>
      </w:r>
      <w:r>
        <w:rPr>
          <w:rFonts w:asciiTheme="minorBidi" w:hAnsiTheme="minorBidi"/>
          <w:sz w:val="24"/>
          <w:szCs w:val="24"/>
          <w:lang w:val="en-GB"/>
        </w:rPr>
        <w:t>is</w:t>
      </w:r>
      <w:r w:rsidR="00D621AF" w:rsidRPr="00D621AF">
        <w:rPr>
          <w:rFonts w:asciiTheme="minorBidi" w:hAnsiTheme="minorBidi"/>
          <w:sz w:val="24"/>
          <w:szCs w:val="24"/>
        </w:rPr>
        <w:t xml:space="preserve"> study examines the economic cost of child injuries </w:t>
      </w:r>
      <w:r w:rsidR="00D621AF">
        <w:rPr>
          <w:rFonts w:asciiTheme="minorBidi" w:hAnsiTheme="minorBidi"/>
          <w:sz w:val="24"/>
          <w:szCs w:val="24"/>
        </w:rPr>
        <w:t>across all their components</w:t>
      </w:r>
      <w:r w:rsidR="00D621AF" w:rsidRPr="00D621AF">
        <w:rPr>
          <w:rFonts w:asciiTheme="minorBidi" w:hAnsiTheme="minorBidi"/>
          <w:sz w:val="24"/>
          <w:szCs w:val="24"/>
        </w:rPr>
        <w:t xml:space="preserve">: emergency care, hospitalization, rehabilitation, temporary/permanent disability, and death. This includes the costs of lost wages </w:t>
      </w:r>
      <w:r>
        <w:rPr>
          <w:rFonts w:asciiTheme="minorBidi" w:hAnsiTheme="minorBidi"/>
          <w:sz w:val="24"/>
          <w:szCs w:val="24"/>
        </w:rPr>
        <w:t>of</w:t>
      </w:r>
      <w:r w:rsidR="00D621AF" w:rsidRPr="00D621AF">
        <w:rPr>
          <w:rFonts w:asciiTheme="minorBidi" w:hAnsiTheme="minorBidi"/>
          <w:sz w:val="24"/>
          <w:szCs w:val="24"/>
        </w:rPr>
        <w:t xml:space="preserve"> a family member during rehabilitation, disability benefits, medical equipment, nursing services, future income </w:t>
      </w:r>
      <w:r w:rsidR="009B214E">
        <w:rPr>
          <w:rFonts w:asciiTheme="minorBidi" w:hAnsiTheme="minorBidi"/>
          <w:sz w:val="24"/>
          <w:szCs w:val="24"/>
        </w:rPr>
        <w:t>reduction</w:t>
      </w:r>
      <w:r w:rsidR="00D621AF" w:rsidRPr="00D621AF">
        <w:rPr>
          <w:rFonts w:asciiTheme="minorBidi" w:hAnsiTheme="minorBidi"/>
          <w:sz w:val="24"/>
          <w:szCs w:val="24"/>
        </w:rPr>
        <w:t xml:space="preserve"> of a disabled child for the remainder of their life, </w:t>
      </w:r>
      <w:r w:rsidR="00162D46">
        <w:rPr>
          <w:rFonts w:asciiTheme="minorBidi" w:hAnsiTheme="minorBidi"/>
          <w:sz w:val="24"/>
          <w:szCs w:val="24"/>
        </w:rPr>
        <w:t>the</w:t>
      </w:r>
      <w:r w:rsidR="00D621AF" w:rsidRPr="00D621AF">
        <w:rPr>
          <w:rFonts w:asciiTheme="minorBidi" w:hAnsiTheme="minorBidi"/>
          <w:sz w:val="24"/>
          <w:szCs w:val="24"/>
        </w:rPr>
        <w:t xml:space="preserve"> estimate</w:t>
      </w:r>
      <w:r w:rsidR="00162D46">
        <w:rPr>
          <w:rFonts w:asciiTheme="minorBidi" w:hAnsiTheme="minorBidi"/>
          <w:sz w:val="24"/>
          <w:szCs w:val="24"/>
        </w:rPr>
        <w:t>d</w:t>
      </w:r>
      <w:r w:rsidR="00D621AF" w:rsidRPr="00D621AF">
        <w:rPr>
          <w:rFonts w:asciiTheme="minorBidi" w:hAnsiTheme="minorBidi"/>
          <w:sz w:val="24"/>
          <w:szCs w:val="24"/>
        </w:rPr>
        <w:t xml:space="preserve"> </w:t>
      </w:r>
      <w:r w:rsidR="00162D46">
        <w:rPr>
          <w:rFonts w:asciiTheme="minorBidi" w:hAnsiTheme="minorBidi"/>
          <w:sz w:val="24"/>
          <w:szCs w:val="24"/>
        </w:rPr>
        <w:t>decreased wellbeing of</w:t>
      </w:r>
      <w:r w:rsidR="00D621AF" w:rsidRPr="00D621AF">
        <w:rPr>
          <w:rFonts w:asciiTheme="minorBidi" w:hAnsiTheme="minorBidi"/>
          <w:sz w:val="24"/>
          <w:szCs w:val="24"/>
        </w:rPr>
        <w:t xml:space="preserve"> the injured child and their family due to injury</w:t>
      </w:r>
      <w:r>
        <w:rPr>
          <w:rFonts w:asciiTheme="minorBidi" w:hAnsiTheme="minorBidi"/>
          <w:sz w:val="24"/>
          <w:szCs w:val="24"/>
        </w:rPr>
        <w:t xml:space="preserve"> and </w:t>
      </w:r>
      <w:r w:rsidR="00D621AF" w:rsidRPr="00D621AF">
        <w:rPr>
          <w:rFonts w:asciiTheme="minorBidi" w:hAnsiTheme="minorBidi"/>
          <w:sz w:val="24"/>
          <w:szCs w:val="24"/>
        </w:rPr>
        <w:t xml:space="preserve">due to death (damages for </w:t>
      </w:r>
      <w:r w:rsidR="00162D46">
        <w:rPr>
          <w:rFonts w:asciiTheme="minorBidi" w:hAnsiTheme="minorBidi"/>
          <w:sz w:val="24"/>
          <w:szCs w:val="24"/>
        </w:rPr>
        <w:t xml:space="preserve">“grief, </w:t>
      </w:r>
      <w:r w:rsidR="00D621AF" w:rsidRPr="00D621AF">
        <w:rPr>
          <w:rFonts w:asciiTheme="minorBidi" w:hAnsiTheme="minorBidi"/>
          <w:sz w:val="24"/>
          <w:szCs w:val="24"/>
        </w:rPr>
        <w:t>pain and suffering</w:t>
      </w:r>
      <w:r w:rsidR="00162D46">
        <w:rPr>
          <w:rFonts w:asciiTheme="minorBidi" w:hAnsiTheme="minorBidi"/>
          <w:sz w:val="24"/>
          <w:szCs w:val="24"/>
        </w:rPr>
        <w:t>”</w:t>
      </w:r>
      <w:r w:rsidR="00D621AF" w:rsidRPr="00D621AF">
        <w:rPr>
          <w:rFonts w:asciiTheme="minorBidi" w:hAnsiTheme="minorBidi"/>
          <w:sz w:val="24"/>
          <w:szCs w:val="24"/>
        </w:rPr>
        <w:t>). The cost calculations were based on various sources, including the Ministry of Health</w:t>
      </w:r>
      <w:r>
        <w:rPr>
          <w:rFonts w:asciiTheme="minorBidi" w:hAnsiTheme="minorBidi"/>
          <w:sz w:val="24"/>
          <w:szCs w:val="24"/>
        </w:rPr>
        <w:t>’</w:t>
      </w:r>
      <w:r w:rsidR="00D621AF" w:rsidRPr="00D621AF">
        <w:rPr>
          <w:rFonts w:asciiTheme="minorBidi" w:hAnsiTheme="minorBidi"/>
          <w:sz w:val="24"/>
          <w:szCs w:val="24"/>
        </w:rPr>
        <w:t xml:space="preserve">s price list, </w:t>
      </w:r>
      <w:r>
        <w:rPr>
          <w:rFonts w:asciiTheme="minorBidi" w:hAnsiTheme="minorBidi"/>
          <w:sz w:val="24"/>
          <w:szCs w:val="24"/>
        </w:rPr>
        <w:t xml:space="preserve">data from the </w:t>
      </w:r>
      <w:r w:rsidR="00D621AF" w:rsidRPr="00D621AF">
        <w:rPr>
          <w:rFonts w:asciiTheme="minorBidi" w:hAnsiTheme="minorBidi"/>
          <w:sz w:val="24"/>
          <w:szCs w:val="24"/>
        </w:rPr>
        <w:t xml:space="preserve">National Insurance </w:t>
      </w:r>
      <w:r>
        <w:rPr>
          <w:rFonts w:asciiTheme="minorBidi" w:hAnsiTheme="minorBidi"/>
          <w:sz w:val="24"/>
          <w:szCs w:val="24"/>
        </w:rPr>
        <w:t>Institute</w:t>
      </w:r>
      <w:r w:rsidR="00D621AF" w:rsidRPr="00D621AF">
        <w:rPr>
          <w:rFonts w:asciiTheme="minorBidi" w:hAnsiTheme="minorBidi"/>
          <w:sz w:val="24"/>
          <w:szCs w:val="24"/>
        </w:rPr>
        <w:t xml:space="preserve">, legal precedents regarding income loss, hospital data, </w:t>
      </w:r>
      <w:r w:rsidR="003A6217" w:rsidRPr="003A6217">
        <w:rPr>
          <w:rFonts w:asciiTheme="minorBidi" w:hAnsiTheme="minorBidi"/>
          <w:sz w:val="24"/>
          <w:szCs w:val="24"/>
        </w:rPr>
        <w:t xml:space="preserve">and </w:t>
      </w:r>
      <w:r>
        <w:rPr>
          <w:rFonts w:asciiTheme="minorBidi" w:hAnsiTheme="minorBidi"/>
          <w:sz w:val="24"/>
          <w:szCs w:val="24"/>
        </w:rPr>
        <w:t xml:space="preserve">the </w:t>
      </w:r>
      <w:r w:rsidR="00F31217">
        <w:rPr>
          <w:rFonts w:asciiTheme="minorBidi" w:hAnsiTheme="minorBidi"/>
          <w:sz w:val="24"/>
          <w:szCs w:val="24"/>
        </w:rPr>
        <w:t>project</w:t>
      </w:r>
      <w:r w:rsidR="003A6217" w:rsidRPr="003A6217">
        <w:rPr>
          <w:rFonts w:asciiTheme="minorBidi" w:hAnsiTheme="minorBidi"/>
          <w:sz w:val="24"/>
          <w:szCs w:val="24"/>
        </w:rPr>
        <w:t xml:space="preserve"> </w:t>
      </w:r>
      <w:r w:rsidR="00F31217">
        <w:rPr>
          <w:rFonts w:asciiTheme="minorBidi" w:hAnsiTheme="minorBidi"/>
          <w:sz w:val="24"/>
          <w:szCs w:val="24"/>
        </w:rPr>
        <w:t xml:space="preserve">feasibility </w:t>
      </w:r>
      <w:r w:rsidR="003A6217" w:rsidRPr="003A6217">
        <w:rPr>
          <w:rFonts w:asciiTheme="minorBidi" w:hAnsiTheme="minorBidi"/>
          <w:sz w:val="24"/>
          <w:szCs w:val="24"/>
        </w:rPr>
        <w:t xml:space="preserve">procedure </w:t>
      </w:r>
      <w:r w:rsidR="00F31217">
        <w:rPr>
          <w:rFonts w:asciiTheme="minorBidi" w:hAnsiTheme="minorBidi"/>
          <w:sz w:val="24"/>
          <w:szCs w:val="24"/>
        </w:rPr>
        <w:t>developed by the</w:t>
      </w:r>
      <w:r w:rsidR="003A6217" w:rsidRPr="003A6217">
        <w:rPr>
          <w:rFonts w:asciiTheme="minorBidi" w:hAnsiTheme="minorBidi"/>
          <w:sz w:val="24"/>
          <w:szCs w:val="24"/>
        </w:rPr>
        <w:t xml:space="preserve"> Ministries of Transportation and Finance.</w:t>
      </w:r>
    </w:p>
    <w:p w:rsidR="004B4337" w:rsidRDefault="004B4337" w:rsidP="00354556">
      <w:pPr>
        <w:spacing w:line="360" w:lineRule="auto"/>
        <w:jc w:val="both"/>
        <w:rPr>
          <w:rFonts w:asciiTheme="minorBidi" w:hAnsiTheme="minorBidi"/>
          <w:sz w:val="24"/>
          <w:szCs w:val="24"/>
        </w:rPr>
      </w:pPr>
      <w:r w:rsidRPr="004B4337">
        <w:rPr>
          <w:rFonts w:asciiTheme="minorBidi" w:hAnsiTheme="minorBidi"/>
          <w:sz w:val="24"/>
          <w:szCs w:val="24"/>
        </w:rPr>
        <w:t xml:space="preserve">To assess the economic and social value of promoting child safety and preventing child injuries, 2019 was chosen as the representative year due to the completeness of available data for that year and because it preceded the COVID-19 pandemic years (2020-2021), which </w:t>
      </w:r>
      <w:r w:rsidR="00354556">
        <w:rPr>
          <w:rFonts w:asciiTheme="minorBidi" w:hAnsiTheme="minorBidi"/>
          <w:sz w:val="24"/>
          <w:szCs w:val="24"/>
        </w:rPr>
        <w:t>do not represent</w:t>
      </w:r>
      <w:r w:rsidRPr="004B4337">
        <w:rPr>
          <w:rFonts w:asciiTheme="minorBidi" w:hAnsiTheme="minorBidi"/>
          <w:sz w:val="24"/>
          <w:szCs w:val="24"/>
        </w:rPr>
        <w:t xml:space="preserve"> the routine behavior of children and the healthcare system.</w:t>
      </w:r>
    </w:p>
    <w:p w:rsidR="00EA3EE2" w:rsidRPr="004B4337" w:rsidRDefault="00EA3EE2" w:rsidP="00354556">
      <w:pPr>
        <w:spacing w:line="360" w:lineRule="auto"/>
        <w:jc w:val="both"/>
        <w:rPr>
          <w:rFonts w:asciiTheme="minorBidi" w:hAnsiTheme="minorBidi"/>
          <w:sz w:val="24"/>
          <w:szCs w:val="24"/>
        </w:rPr>
      </w:pPr>
      <w:bookmarkStart w:id="0" w:name="_GoBack"/>
      <w:bookmarkEnd w:id="0"/>
    </w:p>
    <w:p w:rsidR="004B4337" w:rsidRPr="00C53577" w:rsidRDefault="004B4337" w:rsidP="00EC3D32">
      <w:pPr>
        <w:spacing w:line="360" w:lineRule="auto"/>
        <w:jc w:val="both"/>
        <w:rPr>
          <w:rFonts w:asciiTheme="minorBidi" w:hAnsiTheme="minorBidi"/>
          <w:b/>
          <w:bCs/>
          <w:sz w:val="24"/>
          <w:szCs w:val="24"/>
          <w:u w:val="single"/>
        </w:rPr>
      </w:pPr>
      <w:r w:rsidRPr="00C53577">
        <w:rPr>
          <w:rFonts w:asciiTheme="minorBidi" w:hAnsiTheme="minorBidi"/>
          <w:b/>
          <w:bCs/>
          <w:sz w:val="24"/>
          <w:szCs w:val="24"/>
          <w:u w:val="single"/>
        </w:rPr>
        <w:t xml:space="preserve">Research </w:t>
      </w:r>
      <w:r w:rsidR="00EC3D32">
        <w:rPr>
          <w:rFonts w:asciiTheme="minorBidi" w:hAnsiTheme="minorBidi"/>
          <w:b/>
          <w:bCs/>
          <w:sz w:val="24"/>
          <w:szCs w:val="24"/>
          <w:u w:val="single"/>
        </w:rPr>
        <w:t>m</w:t>
      </w:r>
      <w:r w:rsidRPr="00C53577">
        <w:rPr>
          <w:rFonts w:asciiTheme="minorBidi" w:hAnsiTheme="minorBidi"/>
          <w:b/>
          <w:bCs/>
          <w:sz w:val="24"/>
          <w:szCs w:val="24"/>
          <w:u w:val="single"/>
        </w:rPr>
        <w:t>ethods</w:t>
      </w:r>
    </w:p>
    <w:p w:rsidR="00F31217" w:rsidRPr="00D621AF" w:rsidRDefault="004B4337" w:rsidP="00EC3D32">
      <w:pPr>
        <w:spacing w:line="360" w:lineRule="auto"/>
        <w:jc w:val="both"/>
        <w:rPr>
          <w:rFonts w:asciiTheme="minorBidi" w:hAnsiTheme="minorBidi"/>
          <w:sz w:val="24"/>
          <w:szCs w:val="24"/>
          <w:rtl/>
        </w:rPr>
      </w:pPr>
      <w:r w:rsidRPr="004B4337">
        <w:rPr>
          <w:rFonts w:asciiTheme="minorBidi" w:hAnsiTheme="minorBidi"/>
          <w:sz w:val="24"/>
          <w:szCs w:val="24"/>
        </w:rPr>
        <w:t xml:space="preserve">To estimate the total direct medical costs associated with emergency treatments for children injured for various reasons, </w:t>
      </w:r>
      <w:r w:rsidR="000F3E49">
        <w:rPr>
          <w:rFonts w:asciiTheme="minorBidi" w:hAnsiTheme="minorBidi"/>
          <w:sz w:val="24"/>
          <w:szCs w:val="24"/>
        </w:rPr>
        <w:t>treatment</w:t>
      </w:r>
      <w:r w:rsidRPr="004B4337">
        <w:rPr>
          <w:rFonts w:asciiTheme="minorBidi" w:hAnsiTheme="minorBidi"/>
          <w:sz w:val="24"/>
          <w:szCs w:val="24"/>
        </w:rPr>
        <w:t xml:space="preserve"> types were divided into five main categories: emergency room visits, hospitalization, rehabilitation, permanent disability, and death. The cost difference varies at each stage of treatment</w:t>
      </w:r>
      <w:r w:rsidR="00EC3D32">
        <w:rPr>
          <w:rFonts w:asciiTheme="minorBidi" w:hAnsiTheme="minorBidi"/>
          <w:sz w:val="24"/>
          <w:szCs w:val="24"/>
        </w:rPr>
        <w:t>,</w:t>
      </w:r>
      <w:r w:rsidRPr="004B4337">
        <w:rPr>
          <w:rFonts w:asciiTheme="minorBidi" w:hAnsiTheme="minorBidi"/>
          <w:sz w:val="24"/>
          <w:szCs w:val="24"/>
        </w:rPr>
        <w:t xml:space="preserve"> and </w:t>
      </w:r>
      <w:r w:rsidR="00EC3D32">
        <w:rPr>
          <w:rFonts w:asciiTheme="minorBidi" w:hAnsiTheme="minorBidi"/>
          <w:sz w:val="24"/>
          <w:szCs w:val="24"/>
        </w:rPr>
        <w:t xml:space="preserve">this </w:t>
      </w:r>
      <w:r w:rsidRPr="004B4337">
        <w:rPr>
          <w:rFonts w:asciiTheme="minorBidi" w:hAnsiTheme="minorBidi"/>
          <w:sz w:val="24"/>
          <w:szCs w:val="24"/>
        </w:rPr>
        <w:t xml:space="preserve">is </w:t>
      </w:r>
      <w:r w:rsidR="00EC3D32">
        <w:rPr>
          <w:rFonts w:asciiTheme="minorBidi" w:hAnsiTheme="minorBidi"/>
          <w:sz w:val="24"/>
          <w:szCs w:val="24"/>
        </w:rPr>
        <w:t>clearly</w:t>
      </w:r>
      <w:r w:rsidRPr="004B4337">
        <w:rPr>
          <w:rFonts w:asciiTheme="minorBidi" w:hAnsiTheme="minorBidi"/>
          <w:sz w:val="24"/>
          <w:szCs w:val="24"/>
        </w:rPr>
        <w:t xml:space="preserve"> a significant issue </w:t>
      </w:r>
      <w:r w:rsidR="00EC3D32">
        <w:rPr>
          <w:rFonts w:asciiTheme="minorBidi" w:hAnsiTheme="minorBidi"/>
          <w:sz w:val="24"/>
          <w:szCs w:val="24"/>
        </w:rPr>
        <w:t>affecting</w:t>
      </w:r>
      <w:r w:rsidRPr="004B4337">
        <w:rPr>
          <w:rFonts w:asciiTheme="minorBidi" w:hAnsiTheme="minorBidi"/>
          <w:sz w:val="24"/>
          <w:szCs w:val="24"/>
        </w:rPr>
        <w:t xml:space="preserve"> the economy across all age groups and socio-economic clusters. </w:t>
      </w:r>
      <w:r w:rsidR="00EC3D32">
        <w:rPr>
          <w:rFonts w:asciiTheme="minorBidi" w:hAnsiTheme="minorBidi"/>
          <w:sz w:val="24"/>
          <w:szCs w:val="24"/>
        </w:rPr>
        <w:t>At the same time</w:t>
      </w:r>
      <w:r w:rsidRPr="004B4337">
        <w:rPr>
          <w:rFonts w:asciiTheme="minorBidi" w:hAnsiTheme="minorBidi"/>
          <w:sz w:val="24"/>
          <w:szCs w:val="24"/>
        </w:rPr>
        <w:t>, the economic burden is regressive, meaning</w:t>
      </w:r>
      <w:r w:rsidR="000F3E49">
        <w:rPr>
          <w:rFonts w:asciiTheme="minorBidi" w:hAnsiTheme="minorBidi"/>
          <w:sz w:val="24"/>
          <w:szCs w:val="24"/>
        </w:rPr>
        <w:t xml:space="preserve"> that</w:t>
      </w:r>
      <w:r w:rsidRPr="004B4337">
        <w:rPr>
          <w:rFonts w:asciiTheme="minorBidi" w:hAnsiTheme="minorBidi"/>
          <w:sz w:val="24"/>
          <w:szCs w:val="24"/>
        </w:rPr>
        <w:t xml:space="preserve"> it increases as income decreases.</w:t>
      </w:r>
    </w:p>
    <w:p w:rsidR="00D621AF" w:rsidRPr="00D621AF" w:rsidRDefault="00D621AF" w:rsidP="00D621AF">
      <w:pPr>
        <w:spacing w:line="360" w:lineRule="auto"/>
        <w:rPr>
          <w:rFonts w:asciiTheme="minorBidi" w:hAnsiTheme="minorBidi"/>
          <w:sz w:val="24"/>
          <w:szCs w:val="24"/>
        </w:rPr>
      </w:pPr>
    </w:p>
    <w:p w:rsidR="000F3E49" w:rsidRPr="00DD6A96" w:rsidRDefault="000F3E49" w:rsidP="00EC3D32">
      <w:pPr>
        <w:spacing w:line="360" w:lineRule="auto"/>
        <w:rPr>
          <w:rFonts w:asciiTheme="minorBidi" w:hAnsiTheme="minorBidi"/>
          <w:b/>
          <w:bCs/>
          <w:sz w:val="24"/>
          <w:szCs w:val="24"/>
          <w:u w:val="single"/>
        </w:rPr>
      </w:pPr>
      <w:r w:rsidRPr="00DD6A96">
        <w:rPr>
          <w:rFonts w:asciiTheme="minorBidi" w:hAnsiTheme="minorBidi"/>
          <w:b/>
          <w:bCs/>
          <w:sz w:val="24"/>
          <w:szCs w:val="24"/>
          <w:u w:val="single"/>
        </w:rPr>
        <w:lastRenderedPageBreak/>
        <w:t xml:space="preserve">Research </w:t>
      </w:r>
      <w:r w:rsidR="00EC3D32">
        <w:rPr>
          <w:rFonts w:asciiTheme="minorBidi" w:hAnsiTheme="minorBidi"/>
          <w:b/>
          <w:bCs/>
          <w:sz w:val="24"/>
          <w:szCs w:val="24"/>
          <w:u w:val="single"/>
        </w:rPr>
        <w:t>r</w:t>
      </w:r>
      <w:r w:rsidRPr="00DD6A96">
        <w:rPr>
          <w:rFonts w:asciiTheme="minorBidi" w:hAnsiTheme="minorBidi"/>
          <w:b/>
          <w:bCs/>
          <w:sz w:val="24"/>
          <w:szCs w:val="24"/>
          <w:u w:val="single"/>
        </w:rPr>
        <w:t>esults:</w:t>
      </w:r>
    </w:p>
    <w:p w:rsidR="000F3E49" w:rsidRPr="00DD6A96" w:rsidRDefault="000F3E49" w:rsidP="00EC3D32">
      <w:pPr>
        <w:spacing w:line="360" w:lineRule="auto"/>
        <w:rPr>
          <w:rFonts w:asciiTheme="minorBidi" w:hAnsiTheme="minorBidi"/>
          <w:b/>
          <w:bCs/>
          <w:sz w:val="24"/>
          <w:szCs w:val="24"/>
        </w:rPr>
      </w:pPr>
      <w:r w:rsidRPr="00DD6A96">
        <w:rPr>
          <w:rFonts w:asciiTheme="minorBidi" w:hAnsiTheme="minorBidi"/>
          <w:b/>
          <w:bCs/>
          <w:sz w:val="24"/>
          <w:szCs w:val="24"/>
        </w:rPr>
        <w:t xml:space="preserve">Total </w:t>
      </w:r>
      <w:r w:rsidR="00EC3D32">
        <w:rPr>
          <w:rFonts w:asciiTheme="minorBidi" w:hAnsiTheme="minorBidi"/>
          <w:b/>
          <w:bCs/>
          <w:sz w:val="24"/>
          <w:szCs w:val="24"/>
        </w:rPr>
        <w:t>c</w:t>
      </w:r>
      <w:r w:rsidRPr="00DD6A96">
        <w:rPr>
          <w:rFonts w:asciiTheme="minorBidi" w:hAnsiTheme="minorBidi"/>
          <w:b/>
          <w:bCs/>
          <w:sz w:val="24"/>
          <w:szCs w:val="24"/>
        </w:rPr>
        <w:t>osts</w:t>
      </w:r>
    </w:p>
    <w:tbl>
      <w:tblPr>
        <w:tblStyle w:val="TableGrid"/>
        <w:tblW w:w="0" w:type="auto"/>
        <w:tblLook w:val="04A0" w:firstRow="1" w:lastRow="0" w:firstColumn="1" w:lastColumn="0" w:noHBand="0" w:noVBand="1"/>
      </w:tblPr>
      <w:tblGrid>
        <w:gridCol w:w="2547"/>
        <w:gridCol w:w="2410"/>
        <w:gridCol w:w="3260"/>
      </w:tblGrid>
      <w:tr w:rsidR="000F3E49" w:rsidTr="00DD6A96">
        <w:tc>
          <w:tcPr>
            <w:tcW w:w="2547" w:type="dxa"/>
            <w:shd w:val="clear" w:color="auto" w:fill="D9D9D9" w:themeFill="background1" w:themeFillShade="D9"/>
          </w:tcPr>
          <w:p w:rsidR="000F3E49" w:rsidRPr="000F3E49" w:rsidRDefault="000F3E49" w:rsidP="000F3E49">
            <w:pPr>
              <w:spacing w:line="360" w:lineRule="auto"/>
              <w:rPr>
                <w:rFonts w:asciiTheme="minorBidi" w:hAnsiTheme="minorBidi"/>
                <w:b/>
                <w:bCs/>
                <w:sz w:val="24"/>
                <w:szCs w:val="24"/>
              </w:rPr>
            </w:pPr>
            <w:r w:rsidRPr="000F3E49">
              <w:rPr>
                <w:rFonts w:asciiTheme="minorBidi" w:hAnsiTheme="minorBidi"/>
                <w:b/>
                <w:bCs/>
                <w:sz w:val="24"/>
                <w:szCs w:val="24"/>
              </w:rPr>
              <w:t>Damage component</w:t>
            </w:r>
          </w:p>
        </w:tc>
        <w:tc>
          <w:tcPr>
            <w:tcW w:w="2410" w:type="dxa"/>
            <w:shd w:val="clear" w:color="auto" w:fill="D9D9D9" w:themeFill="background1" w:themeFillShade="D9"/>
          </w:tcPr>
          <w:p w:rsidR="000F3E49" w:rsidRPr="000F3E49" w:rsidRDefault="000F3E49" w:rsidP="000F3E49">
            <w:pPr>
              <w:spacing w:line="360" w:lineRule="auto"/>
              <w:rPr>
                <w:rFonts w:asciiTheme="minorBidi" w:hAnsiTheme="minorBidi"/>
                <w:b/>
                <w:bCs/>
                <w:sz w:val="24"/>
                <w:szCs w:val="24"/>
              </w:rPr>
            </w:pPr>
            <w:r w:rsidRPr="000F3E49">
              <w:rPr>
                <w:rFonts w:asciiTheme="minorBidi" w:hAnsiTheme="minorBidi"/>
                <w:b/>
                <w:bCs/>
                <w:sz w:val="24"/>
                <w:szCs w:val="24"/>
              </w:rPr>
              <w:t>Current prices</w:t>
            </w:r>
          </w:p>
        </w:tc>
        <w:tc>
          <w:tcPr>
            <w:tcW w:w="3260" w:type="dxa"/>
            <w:shd w:val="clear" w:color="auto" w:fill="D9D9D9" w:themeFill="background1" w:themeFillShade="D9"/>
          </w:tcPr>
          <w:p w:rsidR="000F3E49" w:rsidRPr="000F3E49" w:rsidRDefault="000F3E49" w:rsidP="000F3E49">
            <w:pPr>
              <w:spacing w:line="360" w:lineRule="auto"/>
              <w:rPr>
                <w:rFonts w:asciiTheme="minorBidi" w:hAnsiTheme="minorBidi"/>
                <w:b/>
                <w:bCs/>
                <w:sz w:val="24"/>
                <w:szCs w:val="24"/>
              </w:rPr>
            </w:pPr>
            <w:r w:rsidRPr="000F3E49">
              <w:rPr>
                <w:rFonts w:asciiTheme="minorBidi" w:hAnsiTheme="minorBidi"/>
                <w:b/>
                <w:bCs/>
                <w:sz w:val="24"/>
                <w:szCs w:val="24"/>
              </w:rPr>
              <w:t>Prices as of January 2024</w:t>
            </w:r>
          </w:p>
        </w:tc>
      </w:tr>
      <w:tr w:rsidR="000F3E49" w:rsidTr="00DD6A96">
        <w:tc>
          <w:tcPr>
            <w:tcW w:w="2547" w:type="dxa"/>
          </w:tcPr>
          <w:p w:rsidR="000F3E49" w:rsidRDefault="000F3E49" w:rsidP="000F3E49">
            <w:pPr>
              <w:spacing w:line="360" w:lineRule="auto"/>
              <w:rPr>
                <w:rFonts w:asciiTheme="minorBidi" w:hAnsiTheme="minorBidi"/>
                <w:sz w:val="24"/>
                <w:szCs w:val="24"/>
              </w:rPr>
            </w:pPr>
            <w:r>
              <w:rPr>
                <w:rFonts w:asciiTheme="minorBidi" w:hAnsiTheme="minorBidi"/>
                <w:sz w:val="24"/>
                <w:szCs w:val="24"/>
              </w:rPr>
              <w:t>Emergency room</w:t>
            </w:r>
          </w:p>
        </w:tc>
        <w:tc>
          <w:tcPr>
            <w:tcW w:w="2410" w:type="dxa"/>
          </w:tcPr>
          <w:p w:rsidR="000F3E49" w:rsidRPr="000F3E49" w:rsidRDefault="000F3E49" w:rsidP="000F3E49">
            <w:pPr>
              <w:spacing w:line="360" w:lineRule="auto"/>
              <w:rPr>
                <w:rFonts w:asciiTheme="minorBidi" w:hAnsiTheme="minorBidi"/>
                <w:sz w:val="24"/>
                <w:szCs w:val="24"/>
              </w:rPr>
            </w:pPr>
            <w:r>
              <w:rPr>
                <w:rFonts w:asciiTheme="minorBidi" w:hAnsiTheme="minorBidi"/>
                <w:sz w:val="24"/>
                <w:szCs w:val="24"/>
              </w:rPr>
              <w:t>170 million NIS</w:t>
            </w:r>
          </w:p>
        </w:tc>
        <w:tc>
          <w:tcPr>
            <w:tcW w:w="3260" w:type="dxa"/>
          </w:tcPr>
          <w:p w:rsidR="000F3E49" w:rsidRPr="00DD6A96" w:rsidRDefault="00DD6A96" w:rsidP="000F3E49">
            <w:pPr>
              <w:spacing w:line="360" w:lineRule="auto"/>
              <w:rPr>
                <w:rFonts w:asciiTheme="minorBidi" w:hAnsiTheme="minorBidi"/>
                <w:b/>
                <w:bCs/>
                <w:sz w:val="24"/>
                <w:szCs w:val="24"/>
                <w:rtl/>
              </w:rPr>
            </w:pPr>
            <w:r w:rsidRPr="00DD6A96">
              <w:rPr>
                <w:rFonts w:asciiTheme="minorBidi" w:hAnsiTheme="minorBidi"/>
                <w:b/>
                <w:bCs/>
                <w:sz w:val="24"/>
                <w:szCs w:val="24"/>
              </w:rPr>
              <w:t>189 million NIS</w:t>
            </w:r>
          </w:p>
        </w:tc>
      </w:tr>
      <w:tr w:rsidR="000F3E49" w:rsidTr="00DD6A96">
        <w:tc>
          <w:tcPr>
            <w:tcW w:w="2547" w:type="dxa"/>
          </w:tcPr>
          <w:p w:rsidR="000F3E49" w:rsidRDefault="000F3E49" w:rsidP="000F3E49">
            <w:pPr>
              <w:spacing w:line="360" w:lineRule="auto"/>
              <w:rPr>
                <w:rFonts w:asciiTheme="minorBidi" w:hAnsiTheme="minorBidi"/>
                <w:sz w:val="24"/>
                <w:szCs w:val="24"/>
              </w:rPr>
            </w:pPr>
            <w:r>
              <w:rPr>
                <w:rFonts w:asciiTheme="minorBidi" w:hAnsiTheme="minorBidi"/>
                <w:sz w:val="24"/>
                <w:szCs w:val="24"/>
              </w:rPr>
              <w:t>Hospitalization</w:t>
            </w:r>
          </w:p>
        </w:tc>
        <w:tc>
          <w:tcPr>
            <w:tcW w:w="2410" w:type="dxa"/>
          </w:tcPr>
          <w:p w:rsidR="000F3E49" w:rsidRDefault="00DD6A96" w:rsidP="000F3E49">
            <w:pPr>
              <w:spacing w:line="360" w:lineRule="auto"/>
              <w:rPr>
                <w:rFonts w:asciiTheme="minorBidi" w:hAnsiTheme="minorBidi"/>
                <w:sz w:val="24"/>
                <w:szCs w:val="24"/>
              </w:rPr>
            </w:pPr>
            <w:r>
              <w:rPr>
                <w:rFonts w:asciiTheme="minorBidi" w:hAnsiTheme="minorBidi"/>
                <w:sz w:val="24"/>
                <w:szCs w:val="24"/>
              </w:rPr>
              <w:t>590 million NIS</w:t>
            </w:r>
          </w:p>
        </w:tc>
        <w:tc>
          <w:tcPr>
            <w:tcW w:w="3260" w:type="dxa"/>
          </w:tcPr>
          <w:p w:rsidR="000F3E49" w:rsidRPr="00DD6A96" w:rsidRDefault="00DD6A96" w:rsidP="000F3E49">
            <w:pPr>
              <w:spacing w:line="360" w:lineRule="auto"/>
              <w:rPr>
                <w:rFonts w:asciiTheme="minorBidi" w:hAnsiTheme="minorBidi"/>
                <w:b/>
                <w:bCs/>
                <w:sz w:val="24"/>
                <w:szCs w:val="24"/>
              </w:rPr>
            </w:pPr>
            <w:r w:rsidRPr="00DD6A96">
              <w:rPr>
                <w:rFonts w:asciiTheme="minorBidi" w:hAnsiTheme="minorBidi"/>
                <w:b/>
                <w:bCs/>
                <w:sz w:val="24"/>
                <w:szCs w:val="24"/>
              </w:rPr>
              <w:t>650 million NIS</w:t>
            </w:r>
          </w:p>
        </w:tc>
      </w:tr>
      <w:tr w:rsidR="000F3E49" w:rsidTr="00DD6A96">
        <w:tc>
          <w:tcPr>
            <w:tcW w:w="2547" w:type="dxa"/>
          </w:tcPr>
          <w:p w:rsidR="000F3E49" w:rsidRDefault="000F3E49" w:rsidP="000F3E49">
            <w:pPr>
              <w:spacing w:line="360" w:lineRule="auto"/>
              <w:rPr>
                <w:rFonts w:asciiTheme="minorBidi" w:hAnsiTheme="minorBidi"/>
                <w:sz w:val="24"/>
                <w:szCs w:val="24"/>
              </w:rPr>
            </w:pPr>
            <w:r>
              <w:rPr>
                <w:rFonts w:asciiTheme="minorBidi" w:hAnsiTheme="minorBidi"/>
                <w:sz w:val="24"/>
                <w:szCs w:val="24"/>
              </w:rPr>
              <w:t>Rehabilitation</w:t>
            </w:r>
          </w:p>
        </w:tc>
        <w:tc>
          <w:tcPr>
            <w:tcW w:w="2410" w:type="dxa"/>
          </w:tcPr>
          <w:p w:rsidR="000F3E49" w:rsidRDefault="00DD6A96" w:rsidP="000F3E49">
            <w:pPr>
              <w:spacing w:line="360" w:lineRule="auto"/>
              <w:rPr>
                <w:rFonts w:asciiTheme="minorBidi" w:hAnsiTheme="minorBidi"/>
                <w:sz w:val="24"/>
                <w:szCs w:val="24"/>
              </w:rPr>
            </w:pPr>
            <w:r>
              <w:rPr>
                <w:rFonts w:asciiTheme="minorBidi" w:hAnsiTheme="minorBidi"/>
                <w:sz w:val="24"/>
                <w:szCs w:val="24"/>
              </w:rPr>
              <w:t>23.1 million NIS</w:t>
            </w:r>
          </w:p>
        </w:tc>
        <w:tc>
          <w:tcPr>
            <w:tcW w:w="3260" w:type="dxa"/>
          </w:tcPr>
          <w:p w:rsidR="000F3E49" w:rsidRPr="00DD6A96" w:rsidRDefault="00DD6A96" w:rsidP="000F3E49">
            <w:pPr>
              <w:spacing w:line="360" w:lineRule="auto"/>
              <w:rPr>
                <w:rFonts w:asciiTheme="minorBidi" w:hAnsiTheme="minorBidi"/>
                <w:b/>
                <w:bCs/>
                <w:sz w:val="24"/>
                <w:szCs w:val="24"/>
              </w:rPr>
            </w:pPr>
            <w:r w:rsidRPr="00DD6A96">
              <w:rPr>
                <w:rFonts w:asciiTheme="minorBidi" w:hAnsiTheme="minorBidi"/>
                <w:b/>
                <w:bCs/>
                <w:sz w:val="24"/>
                <w:szCs w:val="24"/>
              </w:rPr>
              <w:t>25.4 million NIS</w:t>
            </w:r>
          </w:p>
        </w:tc>
      </w:tr>
      <w:tr w:rsidR="000F3E49" w:rsidTr="00DD6A96">
        <w:tc>
          <w:tcPr>
            <w:tcW w:w="2547" w:type="dxa"/>
          </w:tcPr>
          <w:p w:rsidR="000F3E49" w:rsidRDefault="000F3E49" w:rsidP="000F3E49">
            <w:pPr>
              <w:spacing w:line="360" w:lineRule="auto"/>
              <w:rPr>
                <w:rFonts w:asciiTheme="minorBidi" w:hAnsiTheme="minorBidi"/>
                <w:sz w:val="24"/>
                <w:szCs w:val="24"/>
              </w:rPr>
            </w:pPr>
            <w:r>
              <w:rPr>
                <w:rFonts w:asciiTheme="minorBidi" w:hAnsiTheme="minorBidi"/>
                <w:sz w:val="24"/>
                <w:szCs w:val="24"/>
              </w:rPr>
              <w:t>Disability</w:t>
            </w:r>
          </w:p>
        </w:tc>
        <w:tc>
          <w:tcPr>
            <w:tcW w:w="2410" w:type="dxa"/>
          </w:tcPr>
          <w:p w:rsidR="000F3E49" w:rsidRDefault="00DD6A96" w:rsidP="000F3E49">
            <w:pPr>
              <w:spacing w:line="360" w:lineRule="auto"/>
              <w:rPr>
                <w:rFonts w:asciiTheme="minorBidi" w:hAnsiTheme="minorBidi"/>
                <w:sz w:val="24"/>
                <w:szCs w:val="24"/>
              </w:rPr>
            </w:pPr>
            <w:r>
              <w:rPr>
                <w:rFonts w:asciiTheme="minorBidi" w:hAnsiTheme="minorBidi"/>
                <w:sz w:val="24"/>
                <w:szCs w:val="24"/>
              </w:rPr>
              <w:t>1,265 million NIS</w:t>
            </w:r>
          </w:p>
        </w:tc>
        <w:tc>
          <w:tcPr>
            <w:tcW w:w="3260" w:type="dxa"/>
          </w:tcPr>
          <w:p w:rsidR="000F3E49" w:rsidRPr="00DD6A96" w:rsidRDefault="00DD6A96" w:rsidP="000F3E49">
            <w:pPr>
              <w:spacing w:line="360" w:lineRule="auto"/>
              <w:rPr>
                <w:rFonts w:asciiTheme="minorBidi" w:hAnsiTheme="minorBidi"/>
                <w:b/>
                <w:bCs/>
                <w:sz w:val="24"/>
                <w:szCs w:val="24"/>
              </w:rPr>
            </w:pPr>
            <w:r w:rsidRPr="00DD6A96">
              <w:rPr>
                <w:rFonts w:asciiTheme="minorBidi" w:hAnsiTheme="minorBidi"/>
                <w:b/>
                <w:bCs/>
                <w:sz w:val="24"/>
                <w:szCs w:val="24"/>
              </w:rPr>
              <w:t>1,404 million NIS</w:t>
            </w:r>
          </w:p>
        </w:tc>
      </w:tr>
      <w:tr w:rsidR="000F3E49" w:rsidTr="00DD6A96">
        <w:tc>
          <w:tcPr>
            <w:tcW w:w="2547" w:type="dxa"/>
          </w:tcPr>
          <w:p w:rsidR="000F3E49" w:rsidRDefault="000F3E49" w:rsidP="000F3E49">
            <w:pPr>
              <w:spacing w:line="360" w:lineRule="auto"/>
              <w:rPr>
                <w:rFonts w:asciiTheme="minorBidi" w:hAnsiTheme="minorBidi"/>
                <w:sz w:val="24"/>
                <w:szCs w:val="24"/>
              </w:rPr>
            </w:pPr>
            <w:r>
              <w:rPr>
                <w:rFonts w:asciiTheme="minorBidi" w:hAnsiTheme="minorBidi"/>
                <w:sz w:val="24"/>
                <w:szCs w:val="24"/>
              </w:rPr>
              <w:t>Death</w:t>
            </w:r>
          </w:p>
        </w:tc>
        <w:tc>
          <w:tcPr>
            <w:tcW w:w="2410" w:type="dxa"/>
          </w:tcPr>
          <w:p w:rsidR="000F3E49" w:rsidRDefault="00DD6A96" w:rsidP="000F3E49">
            <w:pPr>
              <w:spacing w:line="360" w:lineRule="auto"/>
              <w:rPr>
                <w:rFonts w:asciiTheme="minorBidi" w:hAnsiTheme="minorBidi"/>
                <w:sz w:val="24"/>
                <w:szCs w:val="24"/>
              </w:rPr>
            </w:pPr>
            <w:r>
              <w:rPr>
                <w:rFonts w:asciiTheme="minorBidi" w:hAnsiTheme="minorBidi"/>
                <w:sz w:val="24"/>
                <w:szCs w:val="24"/>
              </w:rPr>
              <w:t>1,134 million NIS</w:t>
            </w:r>
          </w:p>
        </w:tc>
        <w:tc>
          <w:tcPr>
            <w:tcW w:w="3260" w:type="dxa"/>
          </w:tcPr>
          <w:p w:rsidR="000F3E49" w:rsidRPr="00DD6A96" w:rsidRDefault="00DD6A96" w:rsidP="000F3E49">
            <w:pPr>
              <w:spacing w:line="360" w:lineRule="auto"/>
              <w:rPr>
                <w:rFonts w:asciiTheme="minorBidi" w:hAnsiTheme="minorBidi"/>
                <w:b/>
                <w:bCs/>
                <w:sz w:val="24"/>
                <w:szCs w:val="24"/>
              </w:rPr>
            </w:pPr>
            <w:r w:rsidRPr="00DD6A96">
              <w:rPr>
                <w:rFonts w:asciiTheme="minorBidi" w:hAnsiTheme="minorBidi"/>
                <w:b/>
                <w:bCs/>
                <w:sz w:val="24"/>
                <w:szCs w:val="24"/>
              </w:rPr>
              <w:t>1,259 million NIS</w:t>
            </w:r>
          </w:p>
        </w:tc>
      </w:tr>
      <w:tr w:rsidR="000F3E49" w:rsidTr="00DD6A96">
        <w:tc>
          <w:tcPr>
            <w:tcW w:w="2547" w:type="dxa"/>
          </w:tcPr>
          <w:p w:rsidR="000F3E49" w:rsidRDefault="000F3E49" w:rsidP="000F3E49">
            <w:pPr>
              <w:spacing w:line="360" w:lineRule="auto"/>
              <w:rPr>
                <w:rFonts w:asciiTheme="minorBidi" w:hAnsiTheme="minorBidi"/>
                <w:sz w:val="24"/>
                <w:szCs w:val="24"/>
              </w:rPr>
            </w:pPr>
            <w:r>
              <w:rPr>
                <w:rFonts w:asciiTheme="minorBidi" w:hAnsiTheme="minorBidi"/>
                <w:sz w:val="24"/>
                <w:szCs w:val="24"/>
              </w:rPr>
              <w:t>Total</w:t>
            </w:r>
          </w:p>
        </w:tc>
        <w:tc>
          <w:tcPr>
            <w:tcW w:w="2410" w:type="dxa"/>
          </w:tcPr>
          <w:p w:rsidR="000F3E49" w:rsidRDefault="00DD6A96" w:rsidP="000F3E49">
            <w:pPr>
              <w:spacing w:line="360" w:lineRule="auto"/>
              <w:rPr>
                <w:rFonts w:asciiTheme="minorBidi" w:hAnsiTheme="minorBidi"/>
                <w:sz w:val="24"/>
                <w:szCs w:val="24"/>
              </w:rPr>
            </w:pPr>
            <w:r>
              <w:rPr>
                <w:rFonts w:asciiTheme="minorBidi" w:hAnsiTheme="minorBidi"/>
                <w:sz w:val="24"/>
                <w:szCs w:val="24"/>
              </w:rPr>
              <w:t>3.21 billion NIS</w:t>
            </w:r>
          </w:p>
        </w:tc>
        <w:tc>
          <w:tcPr>
            <w:tcW w:w="3260" w:type="dxa"/>
          </w:tcPr>
          <w:p w:rsidR="000F3E49" w:rsidRPr="00DD6A96" w:rsidRDefault="00DD6A96" w:rsidP="000F3E49">
            <w:pPr>
              <w:spacing w:line="360" w:lineRule="auto"/>
              <w:rPr>
                <w:rFonts w:asciiTheme="minorBidi" w:hAnsiTheme="minorBidi"/>
                <w:b/>
                <w:bCs/>
                <w:sz w:val="24"/>
                <w:szCs w:val="24"/>
              </w:rPr>
            </w:pPr>
            <w:r w:rsidRPr="00DD6A96">
              <w:rPr>
                <w:rFonts w:asciiTheme="minorBidi" w:hAnsiTheme="minorBidi"/>
                <w:b/>
                <w:bCs/>
                <w:sz w:val="24"/>
                <w:szCs w:val="24"/>
              </w:rPr>
              <w:t>3.527 billion NIS</w:t>
            </w:r>
          </w:p>
        </w:tc>
      </w:tr>
    </w:tbl>
    <w:p w:rsidR="000F3E49" w:rsidRDefault="000F3E49" w:rsidP="000F3E49">
      <w:pPr>
        <w:spacing w:line="360" w:lineRule="auto"/>
        <w:rPr>
          <w:rFonts w:asciiTheme="minorBidi" w:hAnsiTheme="minorBidi"/>
          <w:sz w:val="24"/>
          <w:szCs w:val="24"/>
        </w:rPr>
      </w:pPr>
    </w:p>
    <w:p w:rsidR="00DD6A96" w:rsidRPr="00DD6A96" w:rsidRDefault="00DD6A96" w:rsidP="00CF0215">
      <w:pPr>
        <w:spacing w:line="360" w:lineRule="auto"/>
        <w:jc w:val="both"/>
        <w:rPr>
          <w:rFonts w:asciiTheme="minorBidi" w:hAnsiTheme="minorBidi"/>
          <w:sz w:val="24"/>
          <w:szCs w:val="24"/>
        </w:rPr>
      </w:pPr>
      <w:r w:rsidRPr="00DD6A96">
        <w:rPr>
          <w:rFonts w:asciiTheme="minorBidi" w:hAnsiTheme="minorBidi"/>
          <w:sz w:val="24"/>
          <w:szCs w:val="24"/>
        </w:rPr>
        <w:t xml:space="preserve">The research results show that the total annual cost of child injuries is 3.53 billion </w:t>
      </w:r>
      <w:r w:rsidR="00F2430D">
        <w:rPr>
          <w:rFonts w:asciiTheme="minorBidi" w:hAnsiTheme="minorBidi"/>
          <w:sz w:val="24"/>
          <w:szCs w:val="24"/>
        </w:rPr>
        <w:t>NIS</w:t>
      </w:r>
      <w:r w:rsidRPr="00DD6A96">
        <w:rPr>
          <w:rFonts w:asciiTheme="minorBidi" w:hAnsiTheme="minorBidi"/>
          <w:sz w:val="24"/>
          <w:szCs w:val="24"/>
        </w:rPr>
        <w:t xml:space="preserve"> per year. Children aged birth to 4 years account for 1.83 billion </w:t>
      </w:r>
      <w:r w:rsidR="00F2430D">
        <w:rPr>
          <w:rFonts w:asciiTheme="minorBidi" w:hAnsiTheme="minorBidi"/>
          <w:sz w:val="24"/>
          <w:szCs w:val="24"/>
        </w:rPr>
        <w:t>NIS</w:t>
      </w:r>
      <w:r w:rsidRPr="00DD6A96">
        <w:rPr>
          <w:rFonts w:asciiTheme="minorBidi" w:hAnsiTheme="minorBidi"/>
          <w:sz w:val="24"/>
          <w:szCs w:val="24"/>
        </w:rPr>
        <w:t xml:space="preserve"> of the total cost, representing 52% of the total injury cost. The cost of child injuries in socio-economic clusters 1-3 is 1.73 billion </w:t>
      </w:r>
      <w:r w:rsidR="00F2430D">
        <w:rPr>
          <w:rFonts w:asciiTheme="minorBidi" w:hAnsiTheme="minorBidi"/>
          <w:sz w:val="24"/>
          <w:szCs w:val="24"/>
        </w:rPr>
        <w:t>NIS</w:t>
      </w:r>
      <w:r w:rsidRPr="00DD6A96">
        <w:rPr>
          <w:rFonts w:asciiTheme="minorBidi" w:hAnsiTheme="minorBidi"/>
          <w:sz w:val="24"/>
          <w:szCs w:val="24"/>
        </w:rPr>
        <w:t xml:space="preserve">, constituting 49% of the total injury costs, even though children from these clusters make up only 25% of the child population in Israel. A significant portion of the cost is caused by </w:t>
      </w:r>
      <w:r>
        <w:rPr>
          <w:rFonts w:asciiTheme="minorBidi" w:hAnsiTheme="minorBidi"/>
          <w:sz w:val="24"/>
          <w:szCs w:val="24"/>
        </w:rPr>
        <w:t>road</w:t>
      </w:r>
      <w:r w:rsidRPr="00DD6A96">
        <w:rPr>
          <w:rFonts w:asciiTheme="minorBidi" w:hAnsiTheme="minorBidi"/>
          <w:sz w:val="24"/>
          <w:szCs w:val="24"/>
        </w:rPr>
        <w:t xml:space="preserve"> accidents, which account for 42% of the total injury cost. The annual economic cost due to child disability resulting from injuries is 31.2 million </w:t>
      </w:r>
      <w:r w:rsidR="00F2430D">
        <w:rPr>
          <w:rFonts w:asciiTheme="minorBidi" w:hAnsiTheme="minorBidi"/>
          <w:sz w:val="24"/>
          <w:szCs w:val="24"/>
        </w:rPr>
        <w:t>NIS</w:t>
      </w:r>
      <w:r w:rsidRPr="00DD6A96">
        <w:rPr>
          <w:rFonts w:asciiTheme="minorBidi" w:hAnsiTheme="minorBidi"/>
          <w:sz w:val="24"/>
          <w:szCs w:val="24"/>
        </w:rPr>
        <w:t xml:space="preserve">, with 26.6 million </w:t>
      </w:r>
      <w:r w:rsidR="00F2430D">
        <w:rPr>
          <w:rFonts w:asciiTheme="minorBidi" w:hAnsiTheme="minorBidi"/>
          <w:sz w:val="24"/>
          <w:szCs w:val="24"/>
        </w:rPr>
        <w:t>NIS</w:t>
      </w:r>
      <w:r w:rsidRPr="00DD6A96">
        <w:rPr>
          <w:rFonts w:asciiTheme="minorBidi" w:hAnsiTheme="minorBidi"/>
          <w:sz w:val="24"/>
          <w:szCs w:val="24"/>
        </w:rPr>
        <w:t xml:space="preserve"> resulting from direct expenses and an additional 4.6 million </w:t>
      </w:r>
      <w:r w:rsidR="00F2430D">
        <w:rPr>
          <w:rFonts w:asciiTheme="minorBidi" w:hAnsiTheme="minorBidi"/>
          <w:sz w:val="24"/>
          <w:szCs w:val="24"/>
        </w:rPr>
        <w:t>NIS</w:t>
      </w:r>
      <w:r w:rsidRPr="00DD6A96">
        <w:rPr>
          <w:rFonts w:asciiTheme="minorBidi" w:hAnsiTheme="minorBidi"/>
          <w:sz w:val="24"/>
          <w:szCs w:val="24"/>
        </w:rPr>
        <w:t xml:space="preserve"> from lost </w:t>
      </w:r>
      <w:r w:rsidR="00CF0215">
        <w:rPr>
          <w:rFonts w:asciiTheme="minorBidi" w:hAnsiTheme="minorBidi"/>
          <w:sz w:val="24"/>
          <w:szCs w:val="24"/>
        </w:rPr>
        <w:t>income for the state.</w:t>
      </w:r>
    </w:p>
    <w:p w:rsidR="00DD6A96" w:rsidRPr="00DD6A96" w:rsidRDefault="00DD6A96" w:rsidP="00C77477">
      <w:pPr>
        <w:spacing w:line="360" w:lineRule="auto"/>
        <w:jc w:val="both"/>
        <w:rPr>
          <w:rFonts w:asciiTheme="minorBidi" w:hAnsiTheme="minorBidi"/>
          <w:sz w:val="24"/>
          <w:szCs w:val="24"/>
        </w:rPr>
      </w:pPr>
      <w:r w:rsidRPr="00DD6A96">
        <w:rPr>
          <w:rFonts w:asciiTheme="minorBidi" w:hAnsiTheme="minorBidi"/>
          <w:sz w:val="24"/>
          <w:szCs w:val="24"/>
        </w:rPr>
        <w:t xml:space="preserve">The total benefits and assistance for each disabled person (nine years of childhood disability and an average of 62 years of adult disability) amount to 361 million </w:t>
      </w:r>
      <w:r w:rsidR="00C77477">
        <w:rPr>
          <w:rFonts w:asciiTheme="minorBidi" w:hAnsiTheme="minorBidi"/>
          <w:sz w:val="24"/>
          <w:szCs w:val="24"/>
        </w:rPr>
        <w:t>NIS</w:t>
      </w:r>
      <w:r w:rsidRPr="00DD6A96">
        <w:rPr>
          <w:rFonts w:asciiTheme="minorBidi" w:hAnsiTheme="minorBidi"/>
          <w:sz w:val="24"/>
          <w:szCs w:val="24"/>
        </w:rPr>
        <w:t>, with a discounted cost imposed on the state.</w:t>
      </w:r>
    </w:p>
    <w:p w:rsidR="00DD6A96" w:rsidRDefault="00DD6A96" w:rsidP="00DD6A96">
      <w:pPr>
        <w:spacing w:line="360" w:lineRule="auto"/>
        <w:jc w:val="both"/>
        <w:rPr>
          <w:rFonts w:asciiTheme="minorBidi" w:hAnsiTheme="minorBidi"/>
          <w:sz w:val="24"/>
          <w:szCs w:val="24"/>
        </w:rPr>
      </w:pPr>
      <w:r w:rsidRPr="00DD6A96">
        <w:rPr>
          <w:rFonts w:asciiTheme="minorBidi" w:hAnsiTheme="minorBidi"/>
          <w:sz w:val="24"/>
          <w:szCs w:val="24"/>
        </w:rPr>
        <w:t>The calculated cumulative cost for children who became disabled in 2019 for the rest of their lives is 1.3 billion shekels (assuming full realization of their rights).</w:t>
      </w:r>
    </w:p>
    <w:p w:rsidR="00004548" w:rsidRDefault="00004548" w:rsidP="00DD6A96">
      <w:pPr>
        <w:spacing w:line="360" w:lineRule="auto"/>
        <w:jc w:val="both"/>
        <w:rPr>
          <w:rFonts w:asciiTheme="minorBidi" w:hAnsiTheme="minorBidi"/>
          <w:sz w:val="24"/>
          <w:szCs w:val="24"/>
        </w:rPr>
      </w:pPr>
    </w:p>
    <w:p w:rsidR="00004548" w:rsidRPr="00004548" w:rsidRDefault="00004548" w:rsidP="000D6FC2">
      <w:pPr>
        <w:spacing w:line="360" w:lineRule="auto"/>
        <w:rPr>
          <w:rFonts w:asciiTheme="minorBidi" w:hAnsiTheme="minorBidi"/>
          <w:b/>
          <w:bCs/>
          <w:sz w:val="24"/>
          <w:szCs w:val="24"/>
          <w:u w:val="single"/>
        </w:rPr>
      </w:pPr>
      <w:r w:rsidRPr="00004548">
        <w:rPr>
          <w:rFonts w:asciiTheme="minorBidi" w:hAnsiTheme="minorBidi"/>
          <w:b/>
          <w:bCs/>
          <w:sz w:val="24"/>
          <w:szCs w:val="24"/>
          <w:u w:val="single"/>
        </w:rPr>
        <w:t xml:space="preserve">Summary and </w:t>
      </w:r>
      <w:r w:rsidR="000D6FC2">
        <w:rPr>
          <w:rFonts w:asciiTheme="minorBidi" w:hAnsiTheme="minorBidi"/>
          <w:b/>
          <w:bCs/>
          <w:sz w:val="24"/>
          <w:szCs w:val="24"/>
          <w:u w:val="single"/>
        </w:rPr>
        <w:t>c</w:t>
      </w:r>
      <w:r w:rsidRPr="00004548">
        <w:rPr>
          <w:rFonts w:asciiTheme="minorBidi" w:hAnsiTheme="minorBidi"/>
          <w:b/>
          <w:bCs/>
          <w:sz w:val="24"/>
          <w:szCs w:val="24"/>
          <w:u w:val="single"/>
        </w:rPr>
        <w:t>onclusions</w:t>
      </w:r>
    </w:p>
    <w:p w:rsidR="00004548" w:rsidRPr="000F3E49" w:rsidRDefault="00527D55" w:rsidP="00EA3EE2">
      <w:pPr>
        <w:spacing w:line="360" w:lineRule="auto"/>
        <w:jc w:val="both"/>
        <w:rPr>
          <w:rFonts w:asciiTheme="minorBidi" w:hAnsiTheme="minorBidi"/>
          <w:sz w:val="24"/>
          <w:szCs w:val="24"/>
        </w:rPr>
      </w:pPr>
      <w:r>
        <w:rPr>
          <w:rFonts w:asciiTheme="minorBidi" w:hAnsiTheme="minorBidi"/>
          <w:sz w:val="24"/>
          <w:szCs w:val="24"/>
        </w:rPr>
        <w:t>This study</w:t>
      </w:r>
      <w:r w:rsidR="00004548" w:rsidRPr="00004548">
        <w:rPr>
          <w:rFonts w:asciiTheme="minorBidi" w:hAnsiTheme="minorBidi"/>
          <w:sz w:val="24"/>
          <w:szCs w:val="24"/>
        </w:rPr>
        <w:t xml:space="preserve"> is </w:t>
      </w:r>
      <w:r>
        <w:rPr>
          <w:rFonts w:asciiTheme="minorBidi" w:hAnsiTheme="minorBidi"/>
          <w:sz w:val="24"/>
          <w:szCs w:val="24"/>
        </w:rPr>
        <w:t>pioneering in its field</w:t>
      </w:r>
      <w:r w:rsidR="000D6FC2">
        <w:rPr>
          <w:rFonts w:asciiTheme="minorBidi" w:hAnsiTheme="minorBidi"/>
          <w:sz w:val="24"/>
          <w:szCs w:val="24"/>
        </w:rPr>
        <w:t xml:space="preserve"> and</w:t>
      </w:r>
      <w:r w:rsidR="00ED1ACF">
        <w:rPr>
          <w:rFonts w:asciiTheme="minorBidi" w:hAnsiTheme="minorBidi"/>
          <w:sz w:val="24"/>
          <w:szCs w:val="24"/>
        </w:rPr>
        <w:t xml:space="preserve"> </w:t>
      </w:r>
      <w:r w:rsidR="00004548" w:rsidRPr="00004548">
        <w:rPr>
          <w:rFonts w:asciiTheme="minorBidi" w:hAnsiTheme="minorBidi"/>
          <w:sz w:val="24"/>
          <w:szCs w:val="24"/>
        </w:rPr>
        <w:t>highlights the need for al</w:t>
      </w:r>
      <w:r w:rsidR="000D6FC2">
        <w:rPr>
          <w:rFonts w:asciiTheme="minorBidi" w:hAnsiTheme="minorBidi"/>
          <w:sz w:val="24"/>
          <w:szCs w:val="24"/>
        </w:rPr>
        <w:t xml:space="preserve">locating economic resources to </w:t>
      </w:r>
      <w:r w:rsidR="00004548" w:rsidRPr="00004548">
        <w:rPr>
          <w:rFonts w:asciiTheme="minorBidi" w:hAnsiTheme="minorBidi"/>
          <w:sz w:val="24"/>
          <w:szCs w:val="24"/>
        </w:rPr>
        <w:t>prevent</w:t>
      </w:r>
      <w:r w:rsidR="000D6FC2">
        <w:rPr>
          <w:rFonts w:asciiTheme="minorBidi" w:hAnsiTheme="minorBidi"/>
          <w:sz w:val="24"/>
          <w:szCs w:val="24"/>
        </w:rPr>
        <w:t xml:space="preserve"> injury</w:t>
      </w:r>
      <w:r w:rsidR="00004548" w:rsidRPr="00004548">
        <w:rPr>
          <w:rFonts w:asciiTheme="minorBidi" w:hAnsiTheme="minorBidi"/>
          <w:sz w:val="24"/>
          <w:szCs w:val="24"/>
        </w:rPr>
        <w:t xml:space="preserve"> </w:t>
      </w:r>
      <w:r w:rsidR="00ED1ACF">
        <w:rPr>
          <w:rFonts w:asciiTheme="minorBidi" w:hAnsiTheme="minorBidi"/>
          <w:sz w:val="24"/>
          <w:szCs w:val="24"/>
        </w:rPr>
        <w:t>as well as</w:t>
      </w:r>
      <w:r w:rsidR="00004548" w:rsidRPr="00004548">
        <w:rPr>
          <w:rFonts w:asciiTheme="minorBidi" w:hAnsiTheme="minorBidi"/>
          <w:sz w:val="24"/>
          <w:szCs w:val="24"/>
        </w:rPr>
        <w:t xml:space="preserve"> developing policies to promote child safety</w:t>
      </w:r>
      <w:r w:rsidR="000D6FC2">
        <w:rPr>
          <w:rFonts w:asciiTheme="minorBidi" w:hAnsiTheme="minorBidi"/>
          <w:sz w:val="24"/>
          <w:szCs w:val="24"/>
        </w:rPr>
        <w:t>. These measures</w:t>
      </w:r>
      <w:r w:rsidR="00ED1ACF">
        <w:rPr>
          <w:rFonts w:asciiTheme="minorBidi" w:hAnsiTheme="minorBidi"/>
          <w:sz w:val="24"/>
          <w:szCs w:val="24"/>
        </w:rPr>
        <w:t xml:space="preserve"> w</w:t>
      </w:r>
      <w:r w:rsidR="00004548" w:rsidRPr="00004548">
        <w:rPr>
          <w:rFonts w:asciiTheme="minorBidi" w:hAnsiTheme="minorBidi"/>
          <w:sz w:val="24"/>
          <w:szCs w:val="24"/>
        </w:rPr>
        <w:t xml:space="preserve">ill </w:t>
      </w:r>
      <w:r>
        <w:rPr>
          <w:rFonts w:asciiTheme="minorBidi" w:hAnsiTheme="minorBidi"/>
          <w:sz w:val="24"/>
          <w:szCs w:val="24"/>
        </w:rPr>
        <w:t>reduce</w:t>
      </w:r>
      <w:r w:rsidR="00004548" w:rsidRPr="00004548">
        <w:rPr>
          <w:rFonts w:asciiTheme="minorBidi" w:hAnsiTheme="minorBidi"/>
          <w:sz w:val="24"/>
          <w:szCs w:val="24"/>
        </w:rPr>
        <w:t xml:space="preserve"> future losses, grief, and suffering, </w:t>
      </w:r>
      <w:r>
        <w:rPr>
          <w:rFonts w:asciiTheme="minorBidi" w:hAnsiTheme="minorBidi"/>
          <w:sz w:val="24"/>
          <w:szCs w:val="24"/>
        </w:rPr>
        <w:t>and save</w:t>
      </w:r>
      <w:r w:rsidR="00004548" w:rsidRPr="00004548">
        <w:rPr>
          <w:rFonts w:asciiTheme="minorBidi" w:hAnsiTheme="minorBidi"/>
          <w:sz w:val="24"/>
          <w:szCs w:val="24"/>
        </w:rPr>
        <w:t xml:space="preserve"> significant amounts of money for the state. The research results are currently being used to </w:t>
      </w:r>
      <w:r w:rsidR="00ED1ACF">
        <w:rPr>
          <w:rFonts w:asciiTheme="minorBidi" w:hAnsiTheme="minorBidi"/>
          <w:sz w:val="24"/>
          <w:szCs w:val="24"/>
        </w:rPr>
        <w:t xml:space="preserve">help </w:t>
      </w:r>
      <w:r w:rsidR="00004548" w:rsidRPr="00004548">
        <w:rPr>
          <w:rFonts w:asciiTheme="minorBidi" w:hAnsiTheme="minorBidi"/>
          <w:sz w:val="24"/>
          <w:szCs w:val="24"/>
        </w:rPr>
        <w:t>promote activities for the prevention of unintentional child injuries</w:t>
      </w:r>
      <w:r w:rsidR="00ED1ACF">
        <w:rPr>
          <w:rFonts w:asciiTheme="minorBidi" w:hAnsiTheme="minorBidi"/>
          <w:sz w:val="24"/>
          <w:szCs w:val="24"/>
        </w:rPr>
        <w:t>, which i</w:t>
      </w:r>
      <w:r w:rsidR="00004548" w:rsidRPr="00004548">
        <w:rPr>
          <w:rFonts w:asciiTheme="minorBidi" w:hAnsiTheme="minorBidi"/>
          <w:sz w:val="24"/>
          <w:szCs w:val="24"/>
        </w:rPr>
        <w:t xml:space="preserve">n addition to saving lives, </w:t>
      </w:r>
      <w:r w:rsidR="00ED1ACF">
        <w:rPr>
          <w:rFonts w:asciiTheme="minorBidi" w:hAnsiTheme="minorBidi"/>
          <w:sz w:val="24"/>
          <w:szCs w:val="24"/>
        </w:rPr>
        <w:t>constitute</w:t>
      </w:r>
      <w:r w:rsidR="00004548" w:rsidRPr="00004548">
        <w:rPr>
          <w:rFonts w:asciiTheme="minorBidi" w:hAnsiTheme="minorBidi"/>
          <w:sz w:val="24"/>
          <w:szCs w:val="24"/>
        </w:rPr>
        <w:t xml:space="preserve"> a significant investment in the</w:t>
      </w:r>
      <w:r w:rsidR="00ED1ACF">
        <w:rPr>
          <w:rFonts w:asciiTheme="minorBidi" w:hAnsiTheme="minorBidi"/>
          <w:sz w:val="24"/>
          <w:szCs w:val="24"/>
        </w:rPr>
        <w:t xml:space="preserve"> Israeli</w:t>
      </w:r>
      <w:r w:rsidR="00004548" w:rsidRPr="00004548">
        <w:rPr>
          <w:rFonts w:asciiTheme="minorBidi" w:hAnsiTheme="minorBidi"/>
          <w:sz w:val="24"/>
          <w:szCs w:val="24"/>
        </w:rPr>
        <w:t xml:space="preserve"> economy and </w:t>
      </w:r>
      <w:r w:rsidR="005930F9">
        <w:rPr>
          <w:rFonts w:asciiTheme="minorBidi" w:hAnsiTheme="minorBidi"/>
          <w:sz w:val="24"/>
          <w:szCs w:val="24"/>
        </w:rPr>
        <w:t xml:space="preserve">Israeli </w:t>
      </w:r>
      <w:r w:rsidR="00004548" w:rsidRPr="00004548">
        <w:rPr>
          <w:rFonts w:asciiTheme="minorBidi" w:hAnsiTheme="minorBidi"/>
          <w:sz w:val="24"/>
          <w:szCs w:val="24"/>
        </w:rPr>
        <w:t>society.</w:t>
      </w:r>
    </w:p>
    <w:sectPr w:rsidR="00004548" w:rsidRPr="000F3E49" w:rsidSect="003F06F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CF"/>
    <w:rsid w:val="00004548"/>
    <w:rsid w:val="000D6FC2"/>
    <w:rsid w:val="000F3E49"/>
    <w:rsid w:val="00162D46"/>
    <w:rsid w:val="00282B6A"/>
    <w:rsid w:val="00354556"/>
    <w:rsid w:val="003A6217"/>
    <w:rsid w:val="003F06F8"/>
    <w:rsid w:val="004B4337"/>
    <w:rsid w:val="004D21C7"/>
    <w:rsid w:val="00527D55"/>
    <w:rsid w:val="005930F9"/>
    <w:rsid w:val="005F7C4D"/>
    <w:rsid w:val="0095131E"/>
    <w:rsid w:val="009B214E"/>
    <w:rsid w:val="00AF27E9"/>
    <w:rsid w:val="00B27D8F"/>
    <w:rsid w:val="00C53577"/>
    <w:rsid w:val="00C77477"/>
    <w:rsid w:val="00CF0215"/>
    <w:rsid w:val="00D621AF"/>
    <w:rsid w:val="00D920CF"/>
    <w:rsid w:val="00DD6A96"/>
    <w:rsid w:val="00E06DCD"/>
    <w:rsid w:val="00E54AA9"/>
    <w:rsid w:val="00E73A91"/>
    <w:rsid w:val="00E92F51"/>
    <w:rsid w:val="00EA3EE2"/>
    <w:rsid w:val="00EC3D32"/>
    <w:rsid w:val="00ED1ACF"/>
    <w:rsid w:val="00F2430D"/>
    <w:rsid w:val="00F312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86CCA-671D-452F-910E-C5BCBB8E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3D32"/>
    <w:rPr>
      <w:sz w:val="16"/>
      <w:szCs w:val="16"/>
    </w:rPr>
  </w:style>
  <w:style w:type="paragraph" w:styleId="CommentText">
    <w:name w:val="annotation text"/>
    <w:basedOn w:val="Normal"/>
    <w:link w:val="CommentTextChar"/>
    <w:uiPriority w:val="99"/>
    <w:semiHidden/>
    <w:unhideWhenUsed/>
    <w:rsid w:val="00EC3D32"/>
    <w:pPr>
      <w:spacing w:line="240" w:lineRule="auto"/>
    </w:pPr>
    <w:rPr>
      <w:sz w:val="20"/>
      <w:szCs w:val="20"/>
    </w:rPr>
  </w:style>
  <w:style w:type="character" w:customStyle="1" w:styleId="CommentTextChar">
    <w:name w:val="Comment Text Char"/>
    <w:basedOn w:val="DefaultParagraphFont"/>
    <w:link w:val="CommentText"/>
    <w:uiPriority w:val="99"/>
    <w:semiHidden/>
    <w:rsid w:val="00EC3D32"/>
    <w:rPr>
      <w:sz w:val="20"/>
      <w:szCs w:val="20"/>
    </w:rPr>
  </w:style>
  <w:style w:type="paragraph" w:styleId="CommentSubject">
    <w:name w:val="annotation subject"/>
    <w:basedOn w:val="CommentText"/>
    <w:next w:val="CommentText"/>
    <w:link w:val="CommentSubjectChar"/>
    <w:uiPriority w:val="99"/>
    <w:semiHidden/>
    <w:unhideWhenUsed/>
    <w:rsid w:val="00EC3D32"/>
    <w:rPr>
      <w:b/>
      <w:bCs/>
    </w:rPr>
  </w:style>
  <w:style w:type="character" w:customStyle="1" w:styleId="CommentSubjectChar">
    <w:name w:val="Comment Subject Char"/>
    <w:basedOn w:val="CommentTextChar"/>
    <w:link w:val="CommentSubject"/>
    <w:uiPriority w:val="99"/>
    <w:semiHidden/>
    <w:rsid w:val="00EC3D32"/>
    <w:rPr>
      <w:b/>
      <w:bCs/>
      <w:sz w:val="20"/>
      <w:szCs w:val="20"/>
    </w:rPr>
  </w:style>
  <w:style w:type="paragraph" w:styleId="BalloonText">
    <w:name w:val="Balloon Text"/>
    <w:basedOn w:val="Normal"/>
    <w:link w:val="BalloonTextChar"/>
    <w:uiPriority w:val="99"/>
    <w:semiHidden/>
    <w:unhideWhenUsed/>
    <w:rsid w:val="00EC3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19</cp:revision>
  <dcterms:created xsi:type="dcterms:W3CDTF">2024-06-05T05:43:00Z</dcterms:created>
  <dcterms:modified xsi:type="dcterms:W3CDTF">2024-06-05T14:32:00Z</dcterms:modified>
</cp:coreProperties>
</file>