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5B55" w14:textId="4CA0B7B6" w:rsidR="003C5A63" w:rsidRDefault="00992BF0">
      <w:r>
        <w:rPr>
          <w:noProof/>
        </w:rPr>
        <w:drawing>
          <wp:inline distT="0" distB="0" distL="0" distR="0" wp14:anchorId="49669AC2" wp14:editId="73CAF833">
            <wp:extent cx="1457325" cy="731520"/>
            <wp:effectExtent l="0" t="0" r="9525" b="0"/>
            <wp:docPr id="1595278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F9C20" w14:textId="77777777" w:rsidR="00384516" w:rsidRPr="00384516" w:rsidRDefault="00384516" w:rsidP="00992BF0">
      <w:pPr>
        <w:spacing w:line="360" w:lineRule="auto"/>
        <w:jc w:val="center"/>
        <w:rPr>
          <w:b/>
          <w:bCs/>
          <w:sz w:val="16"/>
          <w:szCs w:val="16"/>
        </w:rPr>
      </w:pPr>
    </w:p>
    <w:p w14:paraId="281A7F65" w14:textId="0DE052EB" w:rsidR="00992BF0" w:rsidRDefault="00992BF0" w:rsidP="00992BF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Shopping is Happiness: Perceptions of </w:t>
      </w:r>
      <w:r w:rsidR="00B53788">
        <w:rPr>
          <w:b/>
          <w:bCs/>
          <w:lang w:val="en-US"/>
        </w:rPr>
        <w:t>P</w:t>
      </w:r>
      <w:r>
        <w:rPr>
          <w:b/>
          <w:bCs/>
        </w:rPr>
        <w:t xml:space="preserve">eople with </w:t>
      </w:r>
      <w:r w:rsidR="00B53788">
        <w:rPr>
          <w:b/>
          <w:bCs/>
          <w:lang w:val="en-US"/>
        </w:rPr>
        <w:t>Co</w:t>
      </w:r>
      <w:r>
        <w:rPr>
          <w:b/>
          <w:bCs/>
        </w:rPr>
        <w:t xml:space="preserve">mpulsive </w:t>
      </w:r>
      <w:r w:rsidR="00B53788">
        <w:rPr>
          <w:b/>
          <w:bCs/>
          <w:lang w:val="en-US"/>
        </w:rPr>
        <w:t>B</w:t>
      </w:r>
      <w:r>
        <w:rPr>
          <w:b/>
          <w:bCs/>
        </w:rPr>
        <w:t xml:space="preserve">uying </w:t>
      </w:r>
      <w:r w:rsidR="00B53788">
        <w:rPr>
          <w:b/>
          <w:bCs/>
          <w:lang w:val="en-US"/>
        </w:rPr>
        <w:t>Di</w:t>
      </w:r>
      <w:r>
        <w:rPr>
          <w:b/>
          <w:bCs/>
        </w:rPr>
        <w:t xml:space="preserve">sorder </w:t>
      </w:r>
      <w:r w:rsidR="00E9472A">
        <w:rPr>
          <w:b/>
          <w:bCs/>
          <w:lang w:val="en-US"/>
        </w:rPr>
        <w:t>R</w:t>
      </w:r>
      <w:r>
        <w:rPr>
          <w:b/>
          <w:bCs/>
        </w:rPr>
        <w:t xml:space="preserve">egarding </w:t>
      </w:r>
      <w:r w:rsidR="00F37E3A">
        <w:rPr>
          <w:b/>
          <w:bCs/>
        </w:rPr>
        <w:t>its</w:t>
      </w:r>
      <w:r>
        <w:rPr>
          <w:b/>
          <w:bCs/>
        </w:rPr>
        <w:t xml:space="preserve"> </w:t>
      </w:r>
      <w:r w:rsidR="00E9472A">
        <w:rPr>
          <w:b/>
          <w:bCs/>
          <w:lang w:val="en-US"/>
        </w:rPr>
        <w:t>C</w:t>
      </w:r>
      <w:r>
        <w:rPr>
          <w:b/>
          <w:bCs/>
        </w:rPr>
        <w:t xml:space="preserve">haracteristics, </w:t>
      </w:r>
      <w:r w:rsidR="00E9472A">
        <w:rPr>
          <w:b/>
          <w:bCs/>
          <w:lang w:val="en-US"/>
        </w:rPr>
        <w:t>Origins</w:t>
      </w:r>
      <w:r>
        <w:rPr>
          <w:b/>
          <w:bCs/>
        </w:rPr>
        <w:t xml:space="preserve">, and </w:t>
      </w:r>
      <w:r w:rsidR="00E9472A">
        <w:rPr>
          <w:b/>
          <w:bCs/>
          <w:lang w:val="en-US"/>
        </w:rPr>
        <w:t>C</w:t>
      </w:r>
      <w:r>
        <w:rPr>
          <w:b/>
          <w:bCs/>
        </w:rPr>
        <w:t>onsequences</w:t>
      </w:r>
    </w:p>
    <w:p w14:paraId="093339B3" w14:textId="2E1B989A" w:rsidR="00992BF0" w:rsidRPr="00992BF0" w:rsidRDefault="00B53788" w:rsidP="00992BF0">
      <w:pPr>
        <w:jc w:val="center"/>
      </w:pPr>
      <w:r w:rsidRPr="00992BF0">
        <w:rPr>
          <w:rFonts w:ascii="Calibri" w:eastAsia="Calibri" w:hAnsi="Calibri" w:cs="Arial"/>
          <w:noProof/>
          <w:kern w:val="0"/>
          <w:sz w:val="22"/>
          <w:szCs w:val="22"/>
          <w:rtl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9F135" wp14:editId="51E23EA4">
                <wp:simplePos x="0" y="0"/>
                <wp:positionH relativeFrom="margin">
                  <wp:posOffset>-620395</wp:posOffset>
                </wp:positionH>
                <wp:positionV relativeFrom="paragraph">
                  <wp:posOffset>308610</wp:posOffset>
                </wp:positionV>
                <wp:extent cx="7030720" cy="1009650"/>
                <wp:effectExtent l="0" t="0" r="17780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3072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46A08" w14:textId="20260357" w:rsidR="00992BF0" w:rsidRPr="001703FC" w:rsidRDefault="00992BF0" w:rsidP="00992BF0">
                            <w:pPr>
                              <w:spacing w:after="0"/>
                              <w:jc w:val="center"/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</w:rPr>
                              <w:t>Introduction</w:t>
                            </w:r>
                          </w:p>
                          <w:p w14:paraId="5105759C" w14:textId="09CC9B9C" w:rsidR="00992BF0" w:rsidRPr="001703FC" w:rsidRDefault="00B53788" w:rsidP="00992BF0">
                            <w:pPr>
                              <w:spacing w:after="0"/>
                              <w:rPr>
                                <w:rFonts w:ascii="David" w:hAnsi="David"/>
                                <w:sz w:val="22"/>
                                <w:szCs w:val="22"/>
                                <w:rtl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>Individuals</w:t>
                            </w:r>
                            <w:r w:rsidR="00992BF0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diagnosed with compulsive buying disorder (CBD) are described as unable to control the urge to purchase unnecessary items or services, an act that turns the experience of shopping from a 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 xml:space="preserve">simple </w:t>
                            </w:r>
                            <w:r w:rsidR="00992BF0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activity to one that can significantly impair </w:t>
                            </w:r>
                            <w:r w:rsidR="00AE6310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the quality of life of those affected with the disorder</w:t>
                            </w:r>
                            <w:r w:rsidR="00E9472A"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 xml:space="preserve"> – as </w:t>
                            </w:r>
                            <w:r w:rsidR="00AE6310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well as their families and close 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>friends</w:t>
                            </w:r>
                            <w:r w:rsidR="00AE6310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F135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8.85pt;margin-top:24.3pt;width:553.6pt;height:79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">
                <v:textbox>
                  <w:txbxContent>
                    <w:p w14:paraId="41346A08" w14:textId="20260357" w:rsidR="00992BF0" w:rsidRPr="001703FC" w:rsidRDefault="00992BF0" w:rsidP="00992BF0">
                      <w:pPr>
                        <w:spacing w:after="0"/>
                        <w:jc w:val="center"/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</w:rPr>
                      </w:pP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</w:rPr>
                        <w:t>Introduction</w:t>
                      </w:r>
                    </w:p>
                    <w:p w14:paraId="5105759C" w14:textId="09CC9B9C" w:rsidR="00992BF0" w:rsidRPr="001703FC" w:rsidRDefault="00B53788" w:rsidP="00992BF0">
                      <w:pPr>
                        <w:spacing w:after="0"/>
                        <w:rPr>
                          <w:rFonts w:ascii="David" w:hAnsi="David"/>
                          <w:sz w:val="22"/>
                          <w:szCs w:val="22"/>
                          <w:rtl/>
                        </w:rPr>
                      </w:pPr>
                      <w:r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>Individuals</w:t>
                      </w:r>
                      <w:r w:rsidR="00992BF0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diagnosed with compulsive buying disorder (CBD) are described as unable to control the urge to purchase unnecessary items or services, an act that turns the experience of shopping from a 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 xml:space="preserve">simple </w:t>
                      </w:r>
                      <w:r w:rsidR="00992BF0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activity to one that can significantly impair </w:t>
                      </w:r>
                      <w:r w:rsidR="00AE6310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the quality of life of those affected with the disorder</w:t>
                      </w:r>
                      <w:r w:rsidR="00E9472A"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 xml:space="preserve"> – as </w:t>
                      </w:r>
                      <w:r w:rsidR="00AE6310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well as their families and close 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>friends</w:t>
                      </w:r>
                      <w:r w:rsidR="00AE6310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76C5">
        <w:rPr>
          <w:rFonts w:ascii="Calibri" w:eastAsia="Calibri" w:hAnsi="Calibri" w:cs="Arial"/>
          <w:noProof/>
          <w:kern w:val="0"/>
          <w:sz w:val="22"/>
          <w:szCs w:val="22"/>
          <w:rtl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60F533" wp14:editId="6EF783BE">
                <wp:simplePos x="0" y="0"/>
                <wp:positionH relativeFrom="margin">
                  <wp:posOffset>-620395</wp:posOffset>
                </wp:positionH>
                <wp:positionV relativeFrom="paragraph">
                  <wp:posOffset>1359535</wp:posOffset>
                </wp:positionV>
                <wp:extent cx="7030720" cy="824865"/>
                <wp:effectExtent l="0" t="0" r="17780" b="13335"/>
                <wp:wrapSquare wrapText="bothSides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3072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0B87" w14:textId="2B09CD52" w:rsidR="008176C5" w:rsidRPr="001703FC" w:rsidRDefault="008176C5" w:rsidP="005C7DAA">
                            <w:pPr>
                              <w:spacing w:after="0" w:line="276" w:lineRule="auto"/>
                              <w:jc w:val="center"/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B53788"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urrent </w:t>
                            </w:r>
                            <w:r w:rsidR="00B53788"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</w:rPr>
                              <w:t>tudy</w:t>
                            </w:r>
                          </w:p>
                          <w:p w14:paraId="111CDE9B" w14:textId="2E2C4A8E" w:rsidR="008176C5" w:rsidRPr="001703FC" w:rsidRDefault="008176C5" w:rsidP="008176C5">
                            <w:pPr>
                              <w:spacing w:after="0" w:line="276" w:lineRule="auto"/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The current study aimed to understand how compulsive buyers define themselves, </w:t>
                            </w:r>
                            <w:r w:rsidR="00B53788"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>as well as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describe their shopping 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behaviour and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B53788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accompany</w:t>
                            </w:r>
                            <w:proofErr w:type="spellStart"/>
                            <w:r w:rsidR="00B53788"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>ing</w:t>
                            </w:r>
                            <w:proofErr w:type="spellEnd"/>
                            <w:r w:rsidR="00B53788"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mental processes. </w:t>
                            </w:r>
                            <w:r w:rsidR="00E9472A"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>W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e primarily wanted to understand the personal, interpersonal, and legal </w:t>
                            </w:r>
                            <w:r w:rsidR="00B53788"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>consequences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of the disorder on their 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>lives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0F533" id="_x0000_s1027" type="#_x0000_t202" style="position:absolute;left:0;text-align:left;margin-left:-48.85pt;margin-top:107.05pt;width:553.6pt;height:64.9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">
                <v:textbox>
                  <w:txbxContent>
                    <w:p w14:paraId="24F60B87" w14:textId="2B09CD52" w:rsidR="008176C5" w:rsidRPr="001703FC" w:rsidRDefault="008176C5" w:rsidP="005C7DAA">
                      <w:pPr>
                        <w:spacing w:after="0" w:line="276" w:lineRule="auto"/>
                        <w:jc w:val="center"/>
                        <w:rPr>
                          <w:rFonts w:ascii="David" w:hAnsi="David"/>
                          <w:sz w:val="22"/>
                          <w:szCs w:val="22"/>
                        </w:rPr>
                      </w:pP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</w:rPr>
                        <w:t xml:space="preserve">The </w:t>
                      </w:r>
                      <w:r w:rsidR="00B53788"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lang w:val="en-US"/>
                        </w:rPr>
                        <w:t>C</w:t>
                      </w: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</w:rPr>
                        <w:t xml:space="preserve">urrent </w:t>
                      </w:r>
                      <w:r w:rsidR="00B53788"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</w:rPr>
                        <w:t>tudy</w:t>
                      </w:r>
                    </w:p>
                    <w:p w14:paraId="111CDE9B" w14:textId="2E2C4A8E" w:rsidR="008176C5" w:rsidRPr="001703FC" w:rsidRDefault="008176C5" w:rsidP="008176C5">
                      <w:pPr>
                        <w:spacing w:after="0" w:line="276" w:lineRule="auto"/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The current study aimed to understand how compulsive buyers define themselves, </w:t>
                      </w:r>
                      <w:r w:rsidR="00B53788"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>as well as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describe their shopping 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behaviour and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the </w:t>
                      </w:r>
                      <w:r w:rsidR="00B53788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accompany</w:t>
                      </w:r>
                      <w:proofErr w:type="spellStart"/>
                      <w:r w:rsidR="00B53788"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>ing</w:t>
                      </w:r>
                      <w:proofErr w:type="spellEnd"/>
                      <w:r w:rsidR="00B53788"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mental processes. </w:t>
                      </w:r>
                      <w:r w:rsidR="00E9472A"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>W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e primarily wanted to understand the personal, interpersonal, and legal </w:t>
                      </w:r>
                      <w:r w:rsidR="00B53788"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>consequences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of the disorder on their 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>lives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7DAA">
        <w:rPr>
          <w:rFonts w:eastAsia="Calibri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983C67" wp14:editId="4B701835">
                <wp:simplePos x="0" y="0"/>
                <wp:positionH relativeFrom="margin">
                  <wp:posOffset>-620395</wp:posOffset>
                </wp:positionH>
                <wp:positionV relativeFrom="paragraph">
                  <wp:posOffset>5521325</wp:posOffset>
                </wp:positionV>
                <wp:extent cx="7030720" cy="1576070"/>
                <wp:effectExtent l="0" t="0" r="17780" b="11430"/>
                <wp:wrapSquare wrapText="bothSides"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30720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E92C" w14:textId="152BB7B9" w:rsidR="005C7DAA" w:rsidRPr="001703FC" w:rsidRDefault="005C7DAA" w:rsidP="005C7DAA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</w:rPr>
                              <w:t>Conclusions</w:t>
                            </w:r>
                          </w:p>
                          <w:p w14:paraId="6654C15E" w14:textId="79D13C84" w:rsidR="005C7DAA" w:rsidRPr="001703FC" w:rsidRDefault="00ED50CC" w:rsidP="001E76DF">
                            <w:pPr>
                              <w:spacing w:after="0" w:line="360" w:lineRule="auto"/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Addictive buying is a disorder that appears in 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norma</w:t>
                            </w:r>
                            <w:r w:rsidR="00790E76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l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people who 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have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no 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criminal or medical background. 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According to those affected by it, compulsive buying is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primarily a compensat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ion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for earlier deprivations (economic/medical). This behavio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u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r occupies the 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addicted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0E76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individual 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for many hours of the day,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6210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both in terms of performing the behaviour and thinking about it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. While the subjects explicitly denied negative</w:t>
                            </w:r>
                            <w:r w:rsidR="00790E76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mental consequences, the interviews show that this behavio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u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r negatively impacts their family </w:t>
                            </w:r>
                            <w:r w:rsidR="00790E76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relationships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and economic state. </w:t>
                            </w:r>
                            <w:r w:rsidR="00AC7FC7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As with 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other addictions, denial clearly enables the condition to </w:t>
                            </w:r>
                            <w:r w:rsidR="00790E76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be present and persist</w:t>
                            </w:r>
                            <w:r w:rsidR="001E76DF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B5A1221" w14:textId="77777777" w:rsidR="005C7DAA" w:rsidRPr="001703FC" w:rsidRDefault="005C7DAA" w:rsidP="005C7DAA">
                            <w:pPr>
                              <w:bidi/>
                              <w:spacing w:after="0" w:line="480" w:lineRule="auto"/>
                              <w:jc w:val="both"/>
                              <w:rPr>
                                <w:rFonts w:ascii="David" w:hAnsi="David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3C67" id="_x0000_s1028" type="#_x0000_t202" style="position:absolute;left:0;text-align:left;margin-left:-48.85pt;margin-top:434.75pt;width:553.6pt;height:124.1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">
                <v:textbox>
                  <w:txbxContent>
                    <w:p w14:paraId="5861E92C" w14:textId="152BB7B9" w:rsidR="005C7DAA" w:rsidRPr="001703FC" w:rsidRDefault="005C7DAA" w:rsidP="005C7DAA">
                      <w:pPr>
                        <w:bidi/>
                        <w:spacing w:after="0" w:line="360" w:lineRule="auto"/>
                        <w:jc w:val="center"/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</w:rPr>
                      </w:pP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</w:rPr>
                        <w:t>Conclusions</w:t>
                      </w:r>
                    </w:p>
                    <w:p w14:paraId="6654C15E" w14:textId="79D13C84" w:rsidR="005C7DAA" w:rsidRPr="001703FC" w:rsidRDefault="00ED50CC" w:rsidP="001E76DF">
                      <w:pPr>
                        <w:spacing w:after="0" w:line="360" w:lineRule="auto"/>
                        <w:rPr>
                          <w:rFonts w:ascii="David" w:hAnsi="David"/>
                          <w:sz w:val="22"/>
                          <w:szCs w:val="22"/>
                        </w:rPr>
                      </w:pP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Addictive buying is a disorder that appears in 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norma</w:t>
                      </w:r>
                      <w:r w:rsidR="00790E76">
                        <w:rPr>
                          <w:rFonts w:ascii="David" w:hAnsi="David"/>
                          <w:sz w:val="22"/>
                          <w:szCs w:val="22"/>
                        </w:rPr>
                        <w:t>l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people who 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have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no 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criminal or medical background. 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According to those affected by it, compulsive buying is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primarily a compensat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ion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for earlier deprivations (economic/medical). This behavio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u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r occupies the 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addicted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</w:t>
                      </w:r>
                      <w:r w:rsidR="00790E76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individual 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for many hours of the day,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</w:t>
                      </w:r>
                      <w:r w:rsidR="00D06210">
                        <w:rPr>
                          <w:rFonts w:ascii="David" w:hAnsi="David"/>
                          <w:sz w:val="22"/>
                          <w:szCs w:val="22"/>
                        </w:rPr>
                        <w:t>both in terms of performing the behaviour and thinking about it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. While the subjects explicitly denied negative</w:t>
                      </w:r>
                      <w:r w:rsidR="00790E76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mental consequences, the interviews show that this behavio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u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r negatively impacts their family </w:t>
                      </w:r>
                      <w:r w:rsidR="00790E76">
                        <w:rPr>
                          <w:rFonts w:ascii="David" w:hAnsi="David"/>
                          <w:sz w:val="22"/>
                          <w:szCs w:val="22"/>
                        </w:rPr>
                        <w:t>relationships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and economic state. </w:t>
                      </w:r>
                      <w:r w:rsidR="00AC7FC7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As with 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other addictions, denial clearly enables the condition to </w:t>
                      </w:r>
                      <w:r w:rsidR="00790E76">
                        <w:rPr>
                          <w:rFonts w:ascii="David" w:hAnsi="David"/>
                          <w:sz w:val="22"/>
                          <w:szCs w:val="22"/>
                        </w:rPr>
                        <w:t>be present and persist</w:t>
                      </w:r>
                      <w:r w:rsidR="001E76DF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.</w:t>
                      </w:r>
                    </w:p>
                    <w:p w14:paraId="5B5A1221" w14:textId="77777777" w:rsidR="005C7DAA" w:rsidRPr="001703FC" w:rsidRDefault="005C7DAA" w:rsidP="005C7DAA">
                      <w:pPr>
                        <w:bidi/>
                        <w:spacing w:after="0" w:line="480" w:lineRule="auto"/>
                        <w:jc w:val="both"/>
                        <w:rPr>
                          <w:rFonts w:ascii="David" w:hAnsi="David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4156">
        <w:rPr>
          <w:rFonts w:ascii="Calibri" w:eastAsia="Calibri" w:hAnsi="Calibri" w:cs="Arial"/>
          <w:noProof/>
          <w:kern w:val="0"/>
          <w:sz w:val="22"/>
          <w:szCs w:val="22"/>
          <w:rtl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921769" wp14:editId="44447F67">
                <wp:simplePos x="0" y="0"/>
                <wp:positionH relativeFrom="page">
                  <wp:posOffset>5360035</wp:posOffset>
                </wp:positionH>
                <wp:positionV relativeFrom="paragraph">
                  <wp:posOffset>2263140</wp:posOffset>
                </wp:positionV>
                <wp:extent cx="1965325" cy="3141980"/>
                <wp:effectExtent l="0" t="0" r="15875" b="7620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5325" cy="314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43107" w14:textId="7360B169" w:rsidR="007E4156" w:rsidRPr="001703FC" w:rsidRDefault="00514FF8" w:rsidP="00384516">
                            <w:pPr>
                              <w:spacing w:after="80" w:line="240" w:lineRule="auto"/>
                              <w:jc w:val="center"/>
                              <w:rPr>
                                <w:rFonts w:ascii="David" w:hAnsi="David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Method</w:t>
                            </w:r>
                          </w:p>
                          <w:p w14:paraId="3DD73203" w14:textId="55975078" w:rsidR="00514FF8" w:rsidRPr="001703FC" w:rsidRDefault="00C70D00" w:rsidP="001703FC">
                            <w:pPr>
                              <w:spacing w:line="276" w:lineRule="auto"/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>The sample included 33 subjects aged 21-68</w:t>
                            </w:r>
                            <w:r w:rsidR="001703FC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 xml:space="preserve"> with a diagnosis of CBD</w:t>
                            </w:r>
                            <w:r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>. In the first stage</w:t>
                            </w:r>
                            <w:r w:rsidR="005C7DA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>,</w:t>
                            </w:r>
                            <w:r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 xml:space="preserve"> the subjects filled out the Clinical Screening for Compulsive Buying Questionnaire, developed by Faber and O’Guinn</w:t>
                            </w:r>
                            <w:r w:rsidR="00F37E3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>1992</w:t>
                            </w:r>
                            <w:r w:rsidR="00F37E3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>)</w:t>
                            </w:r>
                            <w:r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37E3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>designed for</w:t>
                            </w:r>
                            <w:r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 xml:space="preserve"> diagnos</w:t>
                            </w:r>
                            <w:r w:rsidR="00F37E3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>ing</w:t>
                            </w:r>
                            <w:r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 xml:space="preserve"> compulsive buying disorder. Only </w:t>
                            </w:r>
                            <w:r w:rsidR="00F37E3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>respond</w:t>
                            </w:r>
                            <w:r w:rsidR="007A09F8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="00F37E3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>nts</w:t>
                            </w:r>
                            <w:r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 xml:space="preserve"> who scored above -1.35 on the scale were included in the sample. </w:t>
                            </w:r>
                            <w:r w:rsid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>Following</w:t>
                            </w:r>
                            <w:r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 xml:space="preserve"> th</w:t>
                            </w:r>
                            <w:r w:rsid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>is</w:t>
                            </w:r>
                            <w:r w:rsidR="005C7DA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>,</w:t>
                            </w:r>
                            <w:r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 xml:space="preserve"> we conducted semi-</w:t>
                            </w:r>
                            <w:r w:rsidR="005C7DA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</w:rPr>
                              <w:t>structured</w:t>
                            </w:r>
                            <w:r w:rsidR="0077586B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 xml:space="preserve"> in-depth</w:t>
                            </w:r>
                            <w:r w:rsidR="005C7DA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 xml:space="preserve"> interview</w:t>
                            </w:r>
                            <w:r w:rsidR="0077586B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 xml:space="preserve">s </w:t>
                            </w:r>
                            <w:r w:rsidR="005C7DA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>compris</w:t>
                            </w:r>
                            <w:r w:rsidR="0077586B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>ed</w:t>
                            </w:r>
                            <w:r w:rsidR="005C7DA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7586B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 xml:space="preserve">of </w:t>
                            </w:r>
                            <w:r w:rsidR="005C7DAA" w:rsidRPr="001703FC">
                              <w:rPr>
                                <w:rFonts w:ascii="David" w:hAnsi="David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>20 questions.</w:t>
                            </w:r>
                          </w:p>
                          <w:p w14:paraId="041E6A59" w14:textId="77777777" w:rsidR="007E4156" w:rsidRPr="001703FC" w:rsidRDefault="007E4156" w:rsidP="005C7DAA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1769" id="_x0000_s1029" type="#_x0000_t202" style="position:absolute;left:0;text-align:left;margin-left:422.05pt;margin-top:178.2pt;width:154.75pt;height:247.4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">
                <v:textbox>
                  <w:txbxContent>
                    <w:p w14:paraId="79C43107" w14:textId="7360B169" w:rsidR="007E4156" w:rsidRPr="001703FC" w:rsidRDefault="00514FF8" w:rsidP="00384516">
                      <w:pPr>
                        <w:spacing w:after="80" w:line="240" w:lineRule="auto"/>
                        <w:jc w:val="center"/>
                        <w:rPr>
                          <w:rFonts w:ascii="David" w:hAnsi="David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1703FC">
                        <w:rPr>
                          <w:rFonts w:ascii="David" w:hAnsi="David"/>
                          <w:b/>
                          <w:bCs/>
                          <w:noProof/>
                          <w:sz w:val="22"/>
                          <w:szCs w:val="22"/>
                        </w:rPr>
                        <w:t>Method</w:t>
                      </w:r>
                    </w:p>
                    <w:p w14:paraId="3DD73203" w14:textId="55975078" w:rsidR="00514FF8" w:rsidRPr="001703FC" w:rsidRDefault="00C70D00" w:rsidP="001703FC">
                      <w:pPr>
                        <w:spacing w:line="276" w:lineRule="auto"/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</w:pPr>
                      <w:r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>The sample included 33 subjects aged 21-68</w:t>
                      </w:r>
                      <w:r w:rsidR="001703FC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 xml:space="preserve"> with a diagnosis of CBD</w:t>
                      </w:r>
                      <w:r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>. In the first stage</w:t>
                      </w:r>
                      <w:r w:rsidR="005C7DA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>,</w:t>
                      </w:r>
                      <w:r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 xml:space="preserve"> the subjects filled out the Clinical Screening for Compulsive Buying Questionnaire, developed by Faber and O’Guinn</w:t>
                      </w:r>
                      <w:r w:rsidR="00F37E3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 xml:space="preserve"> (</w:t>
                      </w:r>
                      <w:r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>1992</w:t>
                      </w:r>
                      <w:r w:rsidR="00F37E3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>)</w:t>
                      </w:r>
                      <w:r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 xml:space="preserve">, </w:t>
                      </w:r>
                      <w:r w:rsidR="00F37E3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>designed for</w:t>
                      </w:r>
                      <w:r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 xml:space="preserve"> diagnos</w:t>
                      </w:r>
                      <w:r w:rsidR="00F37E3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>ing</w:t>
                      </w:r>
                      <w:r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 xml:space="preserve"> compulsive buying disorder. Only </w:t>
                      </w:r>
                      <w:r w:rsidR="00F37E3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>respond</w:t>
                      </w:r>
                      <w:r w:rsidR="007A09F8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>e</w:t>
                      </w:r>
                      <w:r w:rsidR="00F37E3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>nts</w:t>
                      </w:r>
                      <w:r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 xml:space="preserve"> who scored above -1.35 on the scale were included in the sample. </w:t>
                      </w:r>
                      <w:r w:rsidR="001703FC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>Following</w:t>
                      </w:r>
                      <w:r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 xml:space="preserve"> th</w:t>
                      </w:r>
                      <w:r w:rsidR="001703FC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>is</w:t>
                      </w:r>
                      <w:r w:rsidR="005C7DA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>,</w:t>
                      </w:r>
                      <w:r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 xml:space="preserve"> we conducted semi-</w:t>
                      </w:r>
                      <w:r w:rsidR="005C7DA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</w:rPr>
                        <w:t>structured</w:t>
                      </w:r>
                      <w:r w:rsidR="0077586B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 xml:space="preserve"> in-depth</w:t>
                      </w:r>
                      <w:r w:rsidR="005C7DA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 xml:space="preserve"> interview</w:t>
                      </w:r>
                      <w:r w:rsidR="0077586B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 xml:space="preserve">s </w:t>
                      </w:r>
                      <w:r w:rsidR="005C7DA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>compris</w:t>
                      </w:r>
                      <w:r w:rsidR="0077586B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>ed</w:t>
                      </w:r>
                      <w:r w:rsidR="005C7DA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7586B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 xml:space="preserve">of </w:t>
                      </w:r>
                      <w:r w:rsidR="005C7DAA" w:rsidRPr="001703FC">
                        <w:rPr>
                          <w:rFonts w:ascii="David" w:hAnsi="David"/>
                          <w:noProof/>
                          <w:sz w:val="22"/>
                          <w:szCs w:val="22"/>
                          <w:lang w:val="en-US"/>
                        </w:rPr>
                        <w:t>20 questions.</w:t>
                      </w:r>
                    </w:p>
                    <w:p w14:paraId="041E6A59" w14:textId="77777777" w:rsidR="007E4156" w:rsidRPr="001703FC" w:rsidRDefault="007E4156" w:rsidP="005C7DAA">
                      <w:pPr>
                        <w:spacing w:line="240" w:lineRule="auto"/>
                        <w:rPr>
                          <w:sz w:val="22"/>
                          <w:szCs w:val="22"/>
                          <w:rtl/>
                          <w: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E4156">
        <w:rPr>
          <w:rFonts w:ascii="Calibri" w:eastAsia="Calibri" w:hAnsi="Calibri" w:cs="Arial"/>
          <w:noProof/>
          <w:kern w:val="0"/>
          <w:sz w:val="22"/>
          <w:szCs w:val="22"/>
          <w:rtl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41CC57" wp14:editId="5933B6F6">
                <wp:simplePos x="0" y="0"/>
                <wp:positionH relativeFrom="page">
                  <wp:posOffset>283210</wp:posOffset>
                </wp:positionH>
                <wp:positionV relativeFrom="paragraph">
                  <wp:posOffset>2252980</wp:posOffset>
                </wp:positionV>
                <wp:extent cx="2117090" cy="3215640"/>
                <wp:effectExtent l="0" t="0" r="16510" b="10160"/>
                <wp:wrapSquare wrapText="bothSides"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7090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2F965" w14:textId="26C8F214" w:rsidR="007E4156" w:rsidRPr="001703FC" w:rsidRDefault="007E4156" w:rsidP="005C7DAA">
                            <w:pPr>
                              <w:spacing w:line="240" w:lineRule="auto"/>
                              <w:jc w:val="center"/>
                              <w:rPr>
                                <w:rFonts w:ascii="David" w:hAnsi="Davi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Primary </w:t>
                            </w:r>
                            <w:r w:rsidR="00B53788"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F</w:t>
                            </w: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indings</w:t>
                            </w:r>
                          </w:p>
                          <w:p w14:paraId="754844F9" w14:textId="6232AF74" w:rsidR="007E4156" w:rsidRPr="001703FC" w:rsidRDefault="007E4156" w:rsidP="005C7DAA">
                            <w:pPr>
                              <w:spacing w:line="240" w:lineRule="auto"/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Addict </w:t>
                            </w:r>
                            <w:r w:rsidR="00B53788"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P</w:t>
                            </w: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rofiles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A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ll study participants reported that they hold a steady job</w:t>
                            </w:r>
                            <w:r w:rsidR="00514FF8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and most earn a higher-than-average salary.</w:t>
                            </w:r>
                          </w:p>
                          <w:p w14:paraId="48AD742B" w14:textId="203AF277" w:rsidR="00514FF8" w:rsidRPr="001703FC" w:rsidRDefault="00514FF8" w:rsidP="005C7DAA">
                            <w:pPr>
                              <w:spacing w:line="240" w:lineRule="auto"/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Reason for </w:t>
                            </w:r>
                            <w:r w:rsidR="00B53788"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A</w:t>
                            </w: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ddiction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– Compensation for past suffering</w:t>
                            </w:r>
                            <w:r w:rsidR="00F37E3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895D04B" w14:textId="06990BE9" w:rsidR="00514FF8" w:rsidRPr="001703FC" w:rsidRDefault="00514FF8" w:rsidP="005C7DAA">
                            <w:pPr>
                              <w:spacing w:line="240" w:lineRule="auto"/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Consumer </w:t>
                            </w:r>
                            <w:r w:rsidR="00B53788"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B</w:t>
                            </w: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ehavior </w:t>
                            </w:r>
                            <w:r w:rsidR="00B53788"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C</w:t>
                            </w: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haracteristics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B53788"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>Form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of purchase (physical or online), duration of involvement in </w:t>
                            </w:r>
                            <w:r w:rsidR="00B53788"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>shopping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per day, type and necessity of</w:t>
                            </w:r>
                            <w:r w:rsidR="00E9472A"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 xml:space="preserve"> the products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purchased.</w:t>
                            </w:r>
                          </w:p>
                          <w:p w14:paraId="60C698F9" w14:textId="73B6461C" w:rsidR="00514FF8" w:rsidRPr="001703FC" w:rsidRDefault="00514FF8" w:rsidP="005C7DAA">
                            <w:pPr>
                              <w:spacing w:line="240" w:lineRule="auto"/>
                              <w:rPr>
                                <w:rFonts w:ascii="David" w:hAnsi="David"/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Addiction </w:t>
                            </w:r>
                            <w:r w:rsidR="00B53788"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C</w:t>
                            </w:r>
                            <w:r w:rsidRPr="001703FC">
                              <w:rPr>
                                <w:rFonts w:ascii="David" w:hAnsi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onsequences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– Impact on relationships and </w:t>
                            </w:r>
                            <w:r w:rsidR="00E9472A"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>financial</w:t>
                            </w:r>
                            <w:r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472A" w:rsidRPr="001703FC">
                              <w:rPr>
                                <w:rFonts w:ascii="David" w:hAnsi="David"/>
                                <w:sz w:val="22"/>
                                <w:szCs w:val="22"/>
                                <w:lang w:val="en-US"/>
                              </w:rPr>
                              <w:t>situation</w:t>
                            </w:r>
                            <w:r w:rsidR="005C7DAA" w:rsidRPr="001703FC">
                              <w:rPr>
                                <w:rFonts w:ascii="David" w:hAnsi="Davi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CC57" id="_x0000_s1030" type="#_x0000_t202" style="position:absolute;left:0;text-align:left;margin-left:22.3pt;margin-top:177.4pt;width:166.7pt;height:253.2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">
                <v:textbox>
                  <w:txbxContent>
                    <w:p w14:paraId="7F42F965" w14:textId="26C8F214" w:rsidR="007E4156" w:rsidRPr="001703FC" w:rsidRDefault="007E4156" w:rsidP="005C7DAA">
                      <w:pPr>
                        <w:spacing w:line="240" w:lineRule="auto"/>
                        <w:jc w:val="center"/>
                        <w:rPr>
                          <w:rFonts w:ascii="David" w:hAnsi="David"/>
                          <w:sz w:val="22"/>
                          <w:szCs w:val="22"/>
                          <w:u w:val="single"/>
                        </w:rPr>
                      </w:pP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Primary </w:t>
                      </w:r>
                      <w:r w:rsidR="00B53788"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</w:rPr>
                        <w:t>F</w:t>
                      </w: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>indings</w:t>
                      </w:r>
                    </w:p>
                    <w:p w14:paraId="754844F9" w14:textId="6232AF74" w:rsidR="007E4156" w:rsidRPr="001703FC" w:rsidRDefault="007E4156" w:rsidP="005C7DAA">
                      <w:pPr>
                        <w:spacing w:line="240" w:lineRule="auto"/>
                        <w:rPr>
                          <w:rFonts w:ascii="David" w:hAnsi="David"/>
                          <w:sz w:val="22"/>
                          <w:szCs w:val="22"/>
                        </w:rPr>
                      </w:pP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Addict </w:t>
                      </w:r>
                      <w:r w:rsidR="00B53788"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</w:rPr>
                        <w:t>P</w:t>
                      </w: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>rofiles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– 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A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>ll study participants reported that they hold a steady job</w:t>
                      </w:r>
                      <w:r w:rsidR="00514FF8"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and most earn a higher-than-average salary.</w:t>
                      </w:r>
                    </w:p>
                    <w:p w14:paraId="48AD742B" w14:textId="203AF277" w:rsidR="00514FF8" w:rsidRPr="001703FC" w:rsidRDefault="00514FF8" w:rsidP="005C7DAA">
                      <w:pPr>
                        <w:spacing w:line="240" w:lineRule="auto"/>
                        <w:rPr>
                          <w:rFonts w:ascii="David" w:hAnsi="David"/>
                          <w:sz w:val="22"/>
                          <w:szCs w:val="22"/>
                        </w:rPr>
                      </w:pP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Reason for </w:t>
                      </w:r>
                      <w:r w:rsidR="00B53788"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</w:rPr>
                        <w:t>A</w:t>
                      </w: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>ddiction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– Compensation for past suffering</w:t>
                      </w:r>
                      <w:r w:rsidR="00F37E3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.</w:t>
                      </w:r>
                    </w:p>
                    <w:p w14:paraId="0895D04B" w14:textId="06990BE9" w:rsidR="00514FF8" w:rsidRPr="001703FC" w:rsidRDefault="00514FF8" w:rsidP="005C7DAA">
                      <w:pPr>
                        <w:spacing w:line="240" w:lineRule="auto"/>
                        <w:rPr>
                          <w:rFonts w:ascii="David" w:hAnsi="David"/>
                          <w:sz w:val="22"/>
                          <w:szCs w:val="22"/>
                        </w:rPr>
                      </w:pP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Consumer </w:t>
                      </w:r>
                      <w:r w:rsidR="00B53788"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</w:rPr>
                        <w:t>B</w:t>
                      </w: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ehavior </w:t>
                      </w:r>
                      <w:r w:rsidR="00B53788"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</w:rPr>
                        <w:t>C</w:t>
                      </w: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>haracteristics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– </w:t>
                      </w:r>
                      <w:r w:rsidR="00B53788"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>Form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of purchase (physical or online), duration of involvement in </w:t>
                      </w:r>
                      <w:r w:rsidR="00B53788"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>shopping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per day, type and necessity of</w:t>
                      </w:r>
                      <w:r w:rsidR="00E9472A"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 xml:space="preserve"> the products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purchased.</w:t>
                      </w:r>
                    </w:p>
                    <w:p w14:paraId="60C698F9" w14:textId="73B6461C" w:rsidR="00514FF8" w:rsidRPr="001703FC" w:rsidRDefault="00514FF8" w:rsidP="005C7DAA">
                      <w:pPr>
                        <w:spacing w:line="240" w:lineRule="auto"/>
                        <w:rPr>
                          <w:rFonts w:ascii="David" w:hAnsi="David"/>
                          <w:sz w:val="22"/>
                          <w:szCs w:val="22"/>
                          <w:rtl/>
                          <w:cs/>
                        </w:rPr>
                      </w:pP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Addiction </w:t>
                      </w:r>
                      <w:r w:rsidR="00B53788"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</w:rPr>
                        <w:t>C</w:t>
                      </w:r>
                      <w:r w:rsidRPr="001703FC">
                        <w:rPr>
                          <w:rFonts w:ascii="David" w:hAnsi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>onsequences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– Impact on relationships and </w:t>
                      </w:r>
                      <w:r w:rsidR="00E9472A"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>financial</w:t>
                      </w:r>
                      <w:r w:rsidRPr="001703FC">
                        <w:rPr>
                          <w:rFonts w:ascii="David" w:hAnsi="David"/>
                          <w:sz w:val="22"/>
                          <w:szCs w:val="22"/>
                        </w:rPr>
                        <w:t xml:space="preserve"> </w:t>
                      </w:r>
                      <w:r w:rsidR="00E9472A" w:rsidRPr="001703FC">
                        <w:rPr>
                          <w:rFonts w:ascii="David" w:hAnsi="David"/>
                          <w:sz w:val="22"/>
                          <w:szCs w:val="22"/>
                          <w:lang w:val="en-US"/>
                        </w:rPr>
                        <w:t>situation</w:t>
                      </w:r>
                      <w:r w:rsidR="005C7DAA" w:rsidRPr="001703FC">
                        <w:rPr>
                          <w:rFonts w:ascii="David" w:hAnsi="David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84516" w:rsidRPr="007E4156">
        <w:rPr>
          <w:rFonts w:ascii="Calibri" w:eastAsia="Calibri" w:hAnsi="Calibri" w:cs="Arial"/>
          <w:noProof/>
          <w:kern w:val="0"/>
          <w:sz w:val="22"/>
          <w:szCs w:val="22"/>
          <w:lang w:val="en-US"/>
          <w14:ligatures w14:val="none"/>
        </w:rPr>
        <w:drawing>
          <wp:anchor distT="0" distB="0" distL="114300" distR="114300" simplePos="0" relativeHeight="251662336" behindDoc="1" locked="0" layoutInCell="1" allowOverlap="1" wp14:anchorId="365F8544" wp14:editId="4034253B">
            <wp:simplePos x="0" y="0"/>
            <wp:positionH relativeFrom="column">
              <wp:posOffset>1545932</wp:posOffset>
            </wp:positionH>
            <wp:positionV relativeFrom="paragraph">
              <wp:posOffset>2286000</wp:posOffset>
            </wp:positionV>
            <wp:extent cx="2857500" cy="3017520"/>
            <wp:effectExtent l="0" t="0" r="0" b="0"/>
            <wp:wrapTight wrapText="bothSides">
              <wp:wrapPolygon edited="0">
                <wp:start x="0" y="0"/>
                <wp:lineTo x="0" y="21409"/>
                <wp:lineTo x="21456" y="21409"/>
                <wp:lineTo x="21456" y="0"/>
                <wp:lineTo x="0" y="0"/>
              </wp:wrapPolygon>
            </wp:wrapTight>
            <wp:docPr id="4" name="תמונה 4" descr="C:\Users\גולן\Desktop\תמו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גולן\Desktop\תמונה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BF0">
        <w:t>Etty Efrat Golan and Anat Zelig</w:t>
      </w:r>
    </w:p>
    <w:sectPr w:rsidR="00992BF0" w:rsidRPr="00992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FF"/>
    <w:rsid w:val="00097F67"/>
    <w:rsid w:val="001703FC"/>
    <w:rsid w:val="001E76DF"/>
    <w:rsid w:val="001E7BEA"/>
    <w:rsid w:val="00344DF8"/>
    <w:rsid w:val="00384516"/>
    <w:rsid w:val="003C5A63"/>
    <w:rsid w:val="004A08CF"/>
    <w:rsid w:val="00514FF8"/>
    <w:rsid w:val="005C7DAA"/>
    <w:rsid w:val="005E19FF"/>
    <w:rsid w:val="0077586B"/>
    <w:rsid w:val="00790E76"/>
    <w:rsid w:val="007A09F8"/>
    <w:rsid w:val="007E4156"/>
    <w:rsid w:val="008176C5"/>
    <w:rsid w:val="008E0B82"/>
    <w:rsid w:val="00992BF0"/>
    <w:rsid w:val="00AC7FC7"/>
    <w:rsid w:val="00AE6310"/>
    <w:rsid w:val="00B53788"/>
    <w:rsid w:val="00C35567"/>
    <w:rsid w:val="00C70D00"/>
    <w:rsid w:val="00D06210"/>
    <w:rsid w:val="00D243CA"/>
    <w:rsid w:val="00E81819"/>
    <w:rsid w:val="00E9472A"/>
    <w:rsid w:val="00ED50CC"/>
    <w:rsid w:val="00F3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7835F0"/>
  <w15:chartTrackingRefBased/>
  <w15:docId w15:val="{983A1064-5359-4F3B-8175-773D323B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kern w:val="2"/>
        <w:sz w:val="24"/>
        <w:szCs w:val="24"/>
        <w:lang w:val="en-ZA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9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9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9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9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9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9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9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E81819"/>
    <w:rPr>
      <w:rFonts w:asciiTheme="majorBidi" w:hAnsiTheme="majorBidi" w:cstheme="majorBidi"/>
      <w:sz w:val="24"/>
      <w:szCs w:val="24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E1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9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9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9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9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9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9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9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9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9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9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A9D64B-3922-744C-A627-C7E29B59C9D3}">
  <we:reference id="wa200005988" version="1.1.0.0" store="en-US" storeType="OMEX"/>
  <we:alternateReferences>
    <we:reference id="wa200005988" version="1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Shulamit Finkelman Suna</dc:creator>
  <cp:keywords/>
  <dc:description/>
  <cp:lastModifiedBy>Meredith Armstrong</cp:lastModifiedBy>
  <cp:revision>3</cp:revision>
  <dcterms:created xsi:type="dcterms:W3CDTF">2024-06-05T10:06:00Z</dcterms:created>
  <dcterms:modified xsi:type="dcterms:W3CDTF">2024-06-05T10:32:00Z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7672d681a1c899a5bd7607a04b91a8ae97b0a150ea32ddfdd519747745f36711</vt:lpwstr>
  </property>
</Properties>
</file>