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E732A" w:rsidRDefault="004E732A">
      <w:pPr>
        <w:spacing w:line="276" w:lineRule="auto"/>
        <w:rPr>
          <w:b/>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4E732A" w14:paraId="56C36D15" w14:textId="77777777">
        <w:trPr>
          <w:tblHeader/>
        </w:trPr>
        <w:tc>
          <w:tcPr>
            <w:tcW w:w="4675" w:type="dxa"/>
            <w:shd w:val="clear" w:color="auto" w:fill="D9E2F3"/>
          </w:tcPr>
          <w:p w14:paraId="00000002" w14:textId="77777777" w:rsidR="004E732A" w:rsidRDefault="00000000">
            <w:pPr>
              <w:spacing w:line="276" w:lineRule="auto"/>
              <w:rPr>
                <w:b/>
              </w:rPr>
            </w:pPr>
            <w:r>
              <w:rPr>
                <w:b/>
              </w:rPr>
              <w:t>Original</w:t>
            </w:r>
          </w:p>
        </w:tc>
        <w:tc>
          <w:tcPr>
            <w:tcW w:w="4675" w:type="dxa"/>
            <w:shd w:val="clear" w:color="auto" w:fill="D9E2F3"/>
          </w:tcPr>
          <w:p w14:paraId="00000003" w14:textId="77777777" w:rsidR="004E732A" w:rsidRDefault="00000000">
            <w:pPr>
              <w:spacing w:line="276" w:lineRule="auto"/>
              <w:rPr>
                <w:b/>
                <w:sz w:val="28"/>
                <w:szCs w:val="28"/>
              </w:rPr>
            </w:pPr>
            <w:r>
              <w:rPr>
                <w:b/>
                <w:sz w:val="28"/>
                <w:szCs w:val="28"/>
              </w:rPr>
              <w:t>Translation</w:t>
            </w:r>
          </w:p>
        </w:tc>
      </w:tr>
      <w:tr w:rsidR="004E732A" w14:paraId="223C9D91" w14:textId="77777777">
        <w:tc>
          <w:tcPr>
            <w:tcW w:w="4675" w:type="dxa"/>
          </w:tcPr>
          <w:p w14:paraId="00000004" w14:textId="77777777" w:rsidR="004E732A" w:rsidRDefault="00000000">
            <w:r>
              <w:t>Prof. C. L. Crouch</w:t>
            </w:r>
          </w:p>
          <w:p w14:paraId="00000005" w14:textId="77777777" w:rsidR="004E732A" w:rsidRDefault="00000000">
            <w:r>
              <w:t>Radboud University</w:t>
            </w:r>
          </w:p>
          <w:p w14:paraId="00000006" w14:textId="77777777" w:rsidR="004E732A" w:rsidRDefault="00000000">
            <w:r>
              <w:t>Prof. Carly L. Crouch is a Professor of Hebrew Bible/Old Testament and Ancient Judaism and Chair of the Department of Textual, Historical and Systematic Studies of Judaism and Christianity at Radboud University, the Netherlands. She is also a Research Associate of the University of Pretoria, South Africa. She is author of several books, including Israel and Judah Redefined (CUP, 2021), Translating Empire (with Jeremy Hutton; Mohr Siebeck, 2019), An Introduction to the Study of Jeremiah (Bloomsbury, 2017), The Making of Israel (Brill, 2014), Israel and the Assyrians (SBL, 2014), War and Ethics in the Ancient Near East (de Gruyter, 2009), and Isaiah: An Introduction and Study Guide (with Christopher B. Hays; Bloomsbury, 2022), as well as editor of volumes on the Bible and American gun culture, involuntary migration and the prophets, and the Cambridge Companion to the Hebrew Bible and Ethics (CUP, 2021).</w:t>
            </w:r>
          </w:p>
          <w:p w14:paraId="00000007" w14:textId="77777777" w:rsidR="004E732A" w:rsidRDefault="004E732A">
            <w:pPr>
              <w:shd w:val="clear" w:color="auto" w:fill="FFFFFF"/>
              <w:spacing w:after="450"/>
              <w:jc w:val="center"/>
              <w:rPr>
                <w:rFonts w:ascii="Merriweather" w:eastAsia="Merriweather" w:hAnsi="Merriweather" w:cs="Merriweather"/>
                <w:color w:val="333333"/>
                <w:sz w:val="60"/>
                <w:szCs w:val="60"/>
              </w:rPr>
            </w:pPr>
          </w:p>
        </w:tc>
        <w:tc>
          <w:tcPr>
            <w:tcW w:w="4675" w:type="dxa"/>
          </w:tcPr>
          <w:p w14:paraId="00000008" w14:textId="77777777" w:rsidR="004E732A" w:rsidRDefault="00000000">
            <w:pPr>
              <w:bidi/>
              <w:spacing w:line="276" w:lineRule="auto"/>
              <w:rPr>
                <w:sz w:val="28"/>
                <w:szCs w:val="28"/>
              </w:rPr>
            </w:pPr>
            <w:r>
              <w:rPr>
                <w:sz w:val="28"/>
                <w:szCs w:val="28"/>
                <w:rtl/>
              </w:rPr>
              <w:t>פרופ' קרלי ל' קראוץ'</w:t>
            </w:r>
          </w:p>
          <w:p w14:paraId="00000009" w14:textId="77777777" w:rsidR="004E732A" w:rsidRDefault="00000000">
            <w:pPr>
              <w:bidi/>
              <w:spacing w:line="276" w:lineRule="auto"/>
              <w:rPr>
                <w:sz w:val="28"/>
                <w:szCs w:val="28"/>
              </w:rPr>
            </w:pPr>
            <w:r>
              <w:rPr>
                <w:sz w:val="28"/>
                <w:szCs w:val="28"/>
                <w:rtl/>
              </w:rPr>
              <w:t>אוניברסיטת ראדבוד</w:t>
            </w:r>
          </w:p>
          <w:p w14:paraId="0000000A" w14:textId="2EB21032" w:rsidR="004E732A" w:rsidRDefault="00000000" w:rsidP="00DD7C4A">
            <w:pPr>
              <w:bidi/>
              <w:spacing w:line="276" w:lineRule="auto"/>
              <w:rPr>
                <w:sz w:val="28"/>
                <w:szCs w:val="28"/>
              </w:rPr>
            </w:pPr>
            <w:r>
              <w:rPr>
                <w:sz w:val="28"/>
                <w:szCs w:val="28"/>
                <w:rtl/>
              </w:rPr>
              <w:t xml:space="preserve">פרופ' קרלי ל' קראוץ' היא חוקרת מקרא ויהדות קדומה וראש המחלקה </w:t>
            </w:r>
            <w:r w:rsidRPr="00273305">
              <w:rPr>
                <w:sz w:val="28"/>
                <w:szCs w:val="28"/>
                <w:rtl/>
              </w:rPr>
              <w:t>למדעי היהדות והנצרות בגישה טקסטואלית, היסטורית ומערכתית באוניברסיטת</w:t>
            </w:r>
            <w:r>
              <w:rPr>
                <w:sz w:val="28"/>
                <w:szCs w:val="28"/>
                <w:rtl/>
              </w:rPr>
              <w:t xml:space="preserve"> ראדבורד, הולנד. לצד זאת היא עמיתת מחקר באוניברסיטת פרטוריה, דרום אפריקה. </w:t>
            </w:r>
            <w:r w:rsidR="00291B66">
              <w:rPr>
                <w:rFonts w:hint="cs"/>
                <w:sz w:val="28"/>
                <w:szCs w:val="28"/>
                <w:rtl/>
              </w:rPr>
              <w:t xml:space="preserve">היא </w:t>
            </w:r>
            <w:r>
              <w:rPr>
                <w:sz w:val="28"/>
                <w:szCs w:val="28"/>
                <w:rtl/>
              </w:rPr>
              <w:t xml:space="preserve">פרסמה כמה וכמה ספרים, בהם </w:t>
            </w:r>
            <w:r>
              <w:rPr>
                <w:sz w:val="28"/>
                <w:szCs w:val="28"/>
              </w:rPr>
              <w:t>Israel and Judah Redefined</w:t>
            </w:r>
            <w:r>
              <w:rPr>
                <w:sz w:val="28"/>
                <w:szCs w:val="28"/>
                <w:rtl/>
              </w:rPr>
              <w:t xml:space="preserve"> </w:t>
            </w:r>
            <w:r w:rsidR="00DD7C4A">
              <w:rPr>
                <w:rFonts w:hint="cs"/>
                <w:sz w:val="28"/>
                <w:szCs w:val="28"/>
                <w:rtl/>
              </w:rPr>
              <w:t xml:space="preserve">(הוצאת </w:t>
            </w:r>
            <w:r w:rsidR="00DD7C4A">
              <w:rPr>
                <w:sz w:val="28"/>
                <w:szCs w:val="28"/>
              </w:rPr>
              <w:t>CUP</w:t>
            </w:r>
            <w:r w:rsidR="00DD7C4A">
              <w:rPr>
                <w:rFonts w:hint="cs"/>
                <w:sz w:val="28"/>
                <w:szCs w:val="28"/>
                <w:rtl/>
              </w:rPr>
              <w:t xml:space="preserve">, 2021); </w:t>
            </w:r>
            <w:r>
              <w:rPr>
                <w:sz w:val="28"/>
                <w:szCs w:val="28"/>
              </w:rPr>
              <w:t xml:space="preserve"> Translating Empire</w:t>
            </w:r>
            <w:r>
              <w:rPr>
                <w:sz w:val="28"/>
                <w:szCs w:val="28"/>
                <w:rtl/>
              </w:rPr>
              <w:t xml:space="preserve"> (יחד עם ג'רמי האטון; הוצאת</w:t>
            </w:r>
            <w:r w:rsidR="00DD7C4A">
              <w:rPr>
                <w:rFonts w:hint="cs"/>
                <w:sz w:val="28"/>
                <w:szCs w:val="28"/>
                <w:rtl/>
              </w:rPr>
              <w:t xml:space="preserve"> </w:t>
            </w:r>
            <w:r w:rsidR="00DD7C4A">
              <w:rPr>
                <w:sz w:val="28"/>
                <w:szCs w:val="28"/>
              </w:rPr>
              <w:t>Mohr Siebeck</w:t>
            </w:r>
            <w:r w:rsidR="00DD7C4A">
              <w:rPr>
                <w:rFonts w:hint="cs"/>
                <w:sz w:val="28"/>
                <w:szCs w:val="28"/>
                <w:rtl/>
              </w:rPr>
              <w:t>, 2019)</w:t>
            </w:r>
            <w:r>
              <w:rPr>
                <w:sz w:val="28"/>
                <w:szCs w:val="28"/>
              </w:rPr>
              <w:t xml:space="preserve"> An Introduction to the Study of Jeremiah</w:t>
            </w:r>
            <w:r>
              <w:rPr>
                <w:sz w:val="28"/>
                <w:szCs w:val="28"/>
                <w:rtl/>
              </w:rPr>
              <w:t xml:space="preserve"> (הוצאת</w:t>
            </w:r>
            <w:r w:rsidR="00DD7C4A">
              <w:rPr>
                <w:rFonts w:hint="cs"/>
                <w:sz w:val="28"/>
                <w:szCs w:val="28"/>
                <w:rtl/>
              </w:rPr>
              <w:t xml:space="preserve"> </w:t>
            </w:r>
            <w:r w:rsidR="00DD7C4A">
              <w:rPr>
                <w:sz w:val="28"/>
                <w:szCs w:val="28"/>
              </w:rPr>
              <w:t>Bloomsbury</w:t>
            </w:r>
            <w:r w:rsidR="00DD7C4A">
              <w:rPr>
                <w:rFonts w:hint="cs"/>
                <w:sz w:val="28"/>
                <w:szCs w:val="28"/>
                <w:rtl/>
              </w:rPr>
              <w:t xml:space="preserve">, 2017); </w:t>
            </w:r>
            <w:r>
              <w:rPr>
                <w:sz w:val="28"/>
                <w:szCs w:val="28"/>
                <w:rtl/>
              </w:rPr>
              <w:t xml:space="preserve"> </w:t>
            </w:r>
            <w:r>
              <w:rPr>
                <w:sz w:val="28"/>
                <w:szCs w:val="28"/>
              </w:rPr>
              <w:t>The Making of Israel</w:t>
            </w:r>
            <w:r>
              <w:rPr>
                <w:sz w:val="28"/>
                <w:szCs w:val="28"/>
                <w:rtl/>
              </w:rPr>
              <w:t xml:space="preserve"> (הוצא</w:t>
            </w:r>
            <w:r w:rsidR="00DD7C4A">
              <w:rPr>
                <w:rFonts w:hint="cs"/>
                <w:sz w:val="28"/>
                <w:szCs w:val="28"/>
                <w:rtl/>
              </w:rPr>
              <w:t xml:space="preserve">ת </w:t>
            </w:r>
            <w:r w:rsidR="00DD7C4A">
              <w:rPr>
                <w:sz w:val="28"/>
                <w:szCs w:val="28"/>
              </w:rPr>
              <w:t xml:space="preserve">Brill </w:t>
            </w:r>
            <w:r w:rsidR="00DD7C4A">
              <w:rPr>
                <w:rFonts w:hint="cs"/>
                <w:sz w:val="28"/>
                <w:szCs w:val="28"/>
                <w:rtl/>
              </w:rPr>
              <w:t xml:space="preserve">, 2014); </w:t>
            </w:r>
            <w:r>
              <w:rPr>
                <w:sz w:val="28"/>
                <w:szCs w:val="28"/>
              </w:rPr>
              <w:t>Israel and the Assyrians</w:t>
            </w:r>
            <w:r>
              <w:rPr>
                <w:sz w:val="28"/>
                <w:szCs w:val="28"/>
                <w:rtl/>
              </w:rPr>
              <w:t xml:space="preserve"> (הוצאת</w:t>
            </w:r>
            <w:r w:rsidR="00DD7C4A">
              <w:rPr>
                <w:rFonts w:hint="cs"/>
                <w:sz w:val="28"/>
                <w:szCs w:val="28"/>
                <w:rtl/>
              </w:rPr>
              <w:t xml:space="preserve"> </w:t>
            </w:r>
            <w:r w:rsidR="00DD7C4A">
              <w:rPr>
                <w:sz w:val="28"/>
                <w:szCs w:val="28"/>
              </w:rPr>
              <w:t xml:space="preserve">SBL </w:t>
            </w:r>
            <w:r w:rsidR="00DD7C4A">
              <w:rPr>
                <w:rFonts w:hint="cs"/>
                <w:sz w:val="28"/>
                <w:szCs w:val="28"/>
                <w:rtl/>
              </w:rPr>
              <w:t xml:space="preserve">, 2014); </w:t>
            </w:r>
            <w:r>
              <w:rPr>
                <w:sz w:val="28"/>
                <w:szCs w:val="28"/>
              </w:rPr>
              <w:t>War and Ethics in the Ancient Near East</w:t>
            </w:r>
            <w:r>
              <w:rPr>
                <w:sz w:val="28"/>
                <w:szCs w:val="28"/>
                <w:rtl/>
              </w:rPr>
              <w:t xml:space="preserve"> (הוצאת</w:t>
            </w:r>
            <w:r w:rsidR="00DD7C4A">
              <w:rPr>
                <w:rFonts w:hint="cs"/>
                <w:sz w:val="28"/>
                <w:szCs w:val="28"/>
                <w:rtl/>
              </w:rPr>
              <w:t xml:space="preserve"> </w:t>
            </w:r>
            <w:r w:rsidR="00DD7C4A">
              <w:rPr>
                <w:sz w:val="28"/>
                <w:szCs w:val="28"/>
              </w:rPr>
              <w:t xml:space="preserve">de Gruyter </w:t>
            </w:r>
            <w:r w:rsidR="00DD7C4A">
              <w:rPr>
                <w:rFonts w:hint="cs"/>
                <w:sz w:val="28"/>
                <w:szCs w:val="28"/>
                <w:rtl/>
              </w:rPr>
              <w:t xml:space="preserve">, 2009); </w:t>
            </w:r>
            <w:r>
              <w:rPr>
                <w:sz w:val="28"/>
                <w:szCs w:val="28"/>
              </w:rPr>
              <w:t>Isaiah: An Introduction and Study Guide</w:t>
            </w:r>
            <w:r>
              <w:rPr>
                <w:sz w:val="28"/>
                <w:szCs w:val="28"/>
                <w:rtl/>
              </w:rPr>
              <w:t xml:space="preserve"> (יחד עם כריסטופר הייז; הוצאת </w:t>
            </w:r>
            <w:r>
              <w:rPr>
                <w:sz w:val="28"/>
                <w:szCs w:val="28"/>
              </w:rPr>
              <w:t>Bloomsbury</w:t>
            </w:r>
            <w:r>
              <w:rPr>
                <w:sz w:val="28"/>
                <w:szCs w:val="28"/>
                <w:rtl/>
              </w:rPr>
              <w:t>, 2002). כמו כן ערכה ספרים על המקרא ותרבות הנשק בארה"ב, הגירה מכורח בראי הנביאים ואת ה-</w:t>
            </w:r>
            <w:r>
              <w:rPr>
                <w:sz w:val="28"/>
                <w:szCs w:val="28"/>
              </w:rPr>
              <w:t>Cambridge Companion</w:t>
            </w:r>
            <w:r w:rsidR="00DD7C4A">
              <w:rPr>
                <w:sz w:val="28"/>
                <w:szCs w:val="28"/>
              </w:rPr>
              <w:t xml:space="preserve"> </w:t>
            </w:r>
            <w:r>
              <w:rPr>
                <w:sz w:val="28"/>
                <w:szCs w:val="28"/>
              </w:rPr>
              <w:t>to the Hebrew Bible and Ethics</w:t>
            </w:r>
            <w:r>
              <w:rPr>
                <w:sz w:val="28"/>
                <w:szCs w:val="28"/>
                <w:rtl/>
              </w:rPr>
              <w:t xml:space="preserve"> (הוצאת </w:t>
            </w:r>
            <w:r>
              <w:rPr>
                <w:sz w:val="28"/>
                <w:szCs w:val="28"/>
              </w:rPr>
              <w:t>CUP</w:t>
            </w:r>
            <w:r>
              <w:rPr>
                <w:sz w:val="28"/>
                <w:szCs w:val="28"/>
                <w:rtl/>
              </w:rPr>
              <w:t>, 2021).</w:t>
            </w:r>
          </w:p>
        </w:tc>
      </w:tr>
      <w:tr w:rsidR="004E732A" w14:paraId="0A757C7A" w14:textId="77777777">
        <w:tc>
          <w:tcPr>
            <w:tcW w:w="4675" w:type="dxa"/>
          </w:tcPr>
          <w:p w14:paraId="0000000B" w14:textId="77777777" w:rsidR="004E732A" w:rsidRDefault="00000000">
            <w:pPr>
              <w:shd w:val="clear" w:color="auto" w:fill="FFFFFF"/>
              <w:spacing w:after="450"/>
              <w:jc w:val="center"/>
              <w:rPr>
                <w:rFonts w:ascii="Merriweather" w:eastAsia="Merriweather" w:hAnsi="Merriweather" w:cs="Merriweather"/>
                <w:color w:val="333333"/>
                <w:sz w:val="60"/>
                <w:szCs w:val="60"/>
              </w:rPr>
            </w:pPr>
            <w:r>
              <w:rPr>
                <w:rFonts w:ascii="Merriweather" w:eastAsia="Merriweather" w:hAnsi="Merriweather" w:cs="Merriweather"/>
                <w:color w:val="333333"/>
                <w:sz w:val="60"/>
                <w:szCs w:val="60"/>
              </w:rPr>
              <w:t xml:space="preserve">Justifying War Crimes in the </w:t>
            </w:r>
            <w:r>
              <w:rPr>
                <w:rFonts w:ascii="Merriweather" w:eastAsia="Merriweather" w:hAnsi="Merriweather" w:cs="Merriweather"/>
                <w:color w:val="333333"/>
                <w:sz w:val="60"/>
                <w:szCs w:val="60"/>
              </w:rPr>
              <w:lastRenderedPageBreak/>
              <w:t>Bible and the Ancient Near East</w:t>
            </w:r>
          </w:p>
          <w:p w14:paraId="0000000C" w14:textId="77777777" w:rsidR="004E732A" w:rsidRDefault="004E732A">
            <w:pPr>
              <w:spacing w:line="276" w:lineRule="auto"/>
              <w:rPr>
                <w:b/>
              </w:rPr>
            </w:pPr>
          </w:p>
        </w:tc>
        <w:tc>
          <w:tcPr>
            <w:tcW w:w="4675" w:type="dxa"/>
          </w:tcPr>
          <w:p w14:paraId="0000000D" w14:textId="77777777" w:rsidR="004E732A" w:rsidRDefault="00000000">
            <w:pPr>
              <w:bidi/>
              <w:spacing w:line="276" w:lineRule="auto"/>
              <w:rPr>
                <w:sz w:val="28"/>
                <w:szCs w:val="28"/>
              </w:rPr>
            </w:pPr>
            <w:r>
              <w:rPr>
                <w:sz w:val="28"/>
                <w:szCs w:val="28"/>
                <w:rtl/>
              </w:rPr>
              <w:lastRenderedPageBreak/>
              <w:t>הצדקת פשעי מלחמה במקרא ובמזרח הקרוב הקדום</w:t>
            </w:r>
          </w:p>
        </w:tc>
      </w:tr>
      <w:tr w:rsidR="004E732A" w14:paraId="5834FBA8" w14:textId="77777777">
        <w:tc>
          <w:tcPr>
            <w:tcW w:w="4675" w:type="dxa"/>
          </w:tcPr>
          <w:p w14:paraId="0000000E" w14:textId="77777777" w:rsidR="004E732A" w:rsidRDefault="00000000">
            <w:pPr>
              <w:shd w:val="clear" w:color="auto" w:fill="FFFFFF"/>
              <w:spacing w:after="150"/>
              <w:rPr>
                <w:rFonts w:ascii="Merriweather" w:eastAsia="Merriweather" w:hAnsi="Merriweather" w:cs="Merriweather"/>
                <w:color w:val="333333"/>
                <w:sz w:val="30"/>
                <w:szCs w:val="30"/>
              </w:rPr>
            </w:pPr>
            <w:r>
              <w:rPr>
                <w:rFonts w:ascii="Merriweather" w:eastAsia="Merriweather" w:hAnsi="Merriweather" w:cs="Merriweather"/>
                <w:color w:val="333333"/>
                <w:sz w:val="30"/>
                <w:szCs w:val="30"/>
              </w:rPr>
              <w:t>In the ancient world, as now, indiscriminate violence and mass killing in war is explained as a struggle to defend “our” way of life against those who threaten to destroy it.</w:t>
            </w:r>
          </w:p>
          <w:p w14:paraId="0000000F" w14:textId="77777777" w:rsidR="004E732A" w:rsidRDefault="004E732A">
            <w:pPr>
              <w:spacing w:line="276" w:lineRule="auto"/>
              <w:ind w:firstLine="720"/>
            </w:pPr>
          </w:p>
        </w:tc>
        <w:tc>
          <w:tcPr>
            <w:tcW w:w="4675" w:type="dxa"/>
          </w:tcPr>
          <w:p w14:paraId="00000010" w14:textId="77777777" w:rsidR="004E732A" w:rsidRDefault="00000000">
            <w:pPr>
              <w:bidi/>
              <w:spacing w:line="276" w:lineRule="auto"/>
              <w:rPr>
                <w:sz w:val="28"/>
                <w:szCs w:val="28"/>
              </w:rPr>
            </w:pPr>
            <w:r>
              <w:rPr>
                <w:sz w:val="28"/>
                <w:szCs w:val="28"/>
                <w:rtl/>
              </w:rPr>
              <w:t>כמו בימינו, גם העולם העתיק הצדיק אלימות פרועה ורצח המונים במלחמה ככלי לגיטימי במלחמה על אורח החיים "שלנו" מול מי שמנסים להחריב אותו.</w:t>
            </w:r>
          </w:p>
        </w:tc>
      </w:tr>
      <w:tr w:rsidR="004E732A" w14:paraId="03A743BC" w14:textId="77777777">
        <w:tc>
          <w:tcPr>
            <w:tcW w:w="4675" w:type="dxa"/>
          </w:tcPr>
          <w:p w14:paraId="00000011" w14:textId="77777777" w:rsidR="004E732A" w:rsidRDefault="00000000">
            <w:pPr>
              <w:spacing w:line="276" w:lineRule="auto"/>
            </w:pPr>
            <w:r>
              <w:t>Prof.</w:t>
            </w:r>
          </w:p>
          <w:p w14:paraId="00000012" w14:textId="77777777" w:rsidR="004E732A" w:rsidRDefault="00000000">
            <w:pPr>
              <w:spacing w:line="276" w:lineRule="auto"/>
            </w:pPr>
            <w:r>
              <w:t>C. L. Crouch</w:t>
            </w:r>
          </w:p>
          <w:p w14:paraId="00000013" w14:textId="77777777" w:rsidR="004E732A" w:rsidRDefault="004E732A">
            <w:pPr>
              <w:spacing w:line="276" w:lineRule="auto"/>
            </w:pPr>
          </w:p>
        </w:tc>
        <w:tc>
          <w:tcPr>
            <w:tcW w:w="4675" w:type="dxa"/>
          </w:tcPr>
          <w:p w14:paraId="00000014" w14:textId="77777777" w:rsidR="004E732A" w:rsidRDefault="00000000">
            <w:pPr>
              <w:bidi/>
              <w:spacing w:line="276" w:lineRule="auto"/>
              <w:rPr>
                <w:sz w:val="28"/>
                <w:szCs w:val="28"/>
              </w:rPr>
            </w:pPr>
            <w:r>
              <w:rPr>
                <w:sz w:val="28"/>
                <w:szCs w:val="28"/>
                <w:rtl/>
              </w:rPr>
              <w:t>פרופ' קרלי ל' קראוץ'</w:t>
            </w:r>
          </w:p>
        </w:tc>
      </w:tr>
      <w:tr w:rsidR="004E732A" w14:paraId="42DE45C2" w14:textId="77777777">
        <w:tc>
          <w:tcPr>
            <w:tcW w:w="4675" w:type="dxa"/>
          </w:tcPr>
          <w:p w14:paraId="00000015" w14:textId="77777777" w:rsidR="004E732A" w:rsidRDefault="00000000">
            <w:pPr>
              <w:tabs>
                <w:tab w:val="left" w:pos="2865"/>
              </w:tabs>
              <w:spacing w:line="276" w:lineRule="auto"/>
            </w:pPr>
            <w:r>
              <w:tab/>
            </w:r>
            <w:r>
              <w:rPr>
                <w:noProof/>
              </w:rPr>
              <w:drawing>
                <wp:anchor distT="0" distB="0" distL="114300" distR="114300" simplePos="0" relativeHeight="251658240" behindDoc="0" locked="0" layoutInCell="1" hidden="0" allowOverlap="1" wp14:anchorId="79B14157" wp14:editId="2024B20D">
                  <wp:simplePos x="0" y="0"/>
                  <wp:positionH relativeFrom="column">
                    <wp:posOffset>1386205</wp:posOffset>
                  </wp:positionH>
                  <wp:positionV relativeFrom="paragraph">
                    <wp:posOffset>2540</wp:posOffset>
                  </wp:positionV>
                  <wp:extent cx="1510665" cy="1047750"/>
                  <wp:effectExtent l="0" t="0" r="0" b="0"/>
                  <wp:wrapSquare wrapText="bothSides" distT="0" distB="0" distL="114300" distR="114300"/>
                  <wp:docPr id="1158537903" name="image2.jpg" descr="Justifying War Crimes in the Bible and the Ancient Near East"/>
                  <wp:cNvGraphicFramePr/>
                  <a:graphic xmlns:a="http://schemas.openxmlformats.org/drawingml/2006/main">
                    <a:graphicData uri="http://schemas.openxmlformats.org/drawingml/2006/picture">
                      <pic:pic xmlns:pic="http://schemas.openxmlformats.org/drawingml/2006/picture">
                        <pic:nvPicPr>
                          <pic:cNvPr id="0" name="image2.jpg" descr="Justifying War Crimes in the Bible and the Ancient Near East"/>
                          <pic:cNvPicPr preferRelativeResize="0"/>
                        </pic:nvPicPr>
                        <pic:blipFill>
                          <a:blip r:embed="rId8"/>
                          <a:srcRect/>
                          <a:stretch>
                            <a:fillRect/>
                          </a:stretch>
                        </pic:blipFill>
                        <pic:spPr>
                          <a:xfrm>
                            <a:off x="0" y="0"/>
                            <a:ext cx="1510665" cy="1047750"/>
                          </a:xfrm>
                          <a:prstGeom prst="rect">
                            <a:avLst/>
                          </a:prstGeom>
                          <a:ln/>
                        </pic:spPr>
                      </pic:pic>
                    </a:graphicData>
                  </a:graphic>
                </wp:anchor>
              </w:drawing>
            </w:r>
          </w:p>
        </w:tc>
        <w:tc>
          <w:tcPr>
            <w:tcW w:w="4675" w:type="dxa"/>
          </w:tcPr>
          <w:p w14:paraId="00000016" w14:textId="77777777" w:rsidR="004E732A" w:rsidRDefault="00000000">
            <w:pPr>
              <w:bidi/>
              <w:spacing w:line="276" w:lineRule="auto"/>
              <w:rPr>
                <w:sz w:val="28"/>
                <w:szCs w:val="28"/>
              </w:rPr>
            </w:pPr>
            <w:r>
              <w:rPr>
                <w:noProof/>
              </w:rPr>
              <w:drawing>
                <wp:anchor distT="0" distB="0" distL="114300" distR="114300" simplePos="0" relativeHeight="251659264" behindDoc="0" locked="0" layoutInCell="1" hidden="0" allowOverlap="1" wp14:anchorId="3ACF518C" wp14:editId="3E7843DF">
                  <wp:simplePos x="0" y="0"/>
                  <wp:positionH relativeFrom="column">
                    <wp:posOffset>214630</wp:posOffset>
                  </wp:positionH>
                  <wp:positionV relativeFrom="paragraph">
                    <wp:posOffset>0</wp:posOffset>
                  </wp:positionV>
                  <wp:extent cx="1510665" cy="1047750"/>
                  <wp:effectExtent l="0" t="0" r="0" b="0"/>
                  <wp:wrapSquare wrapText="bothSides" distT="0" distB="0" distL="114300" distR="114300"/>
                  <wp:docPr id="1158537905" name="image2.jpg" descr="Justifying War Crimes in the Bible and the Ancient Near East"/>
                  <wp:cNvGraphicFramePr/>
                  <a:graphic xmlns:a="http://schemas.openxmlformats.org/drawingml/2006/main">
                    <a:graphicData uri="http://schemas.openxmlformats.org/drawingml/2006/picture">
                      <pic:pic xmlns:pic="http://schemas.openxmlformats.org/drawingml/2006/picture">
                        <pic:nvPicPr>
                          <pic:cNvPr id="0" name="image2.jpg" descr="Justifying War Crimes in the Bible and the Ancient Near East"/>
                          <pic:cNvPicPr preferRelativeResize="0"/>
                        </pic:nvPicPr>
                        <pic:blipFill>
                          <a:blip r:embed="rId8"/>
                          <a:srcRect/>
                          <a:stretch>
                            <a:fillRect/>
                          </a:stretch>
                        </pic:blipFill>
                        <pic:spPr>
                          <a:xfrm>
                            <a:off x="0" y="0"/>
                            <a:ext cx="1510665" cy="1047750"/>
                          </a:xfrm>
                          <a:prstGeom prst="rect">
                            <a:avLst/>
                          </a:prstGeom>
                          <a:ln/>
                        </pic:spPr>
                      </pic:pic>
                    </a:graphicData>
                  </a:graphic>
                </wp:anchor>
              </w:drawing>
            </w:r>
          </w:p>
        </w:tc>
      </w:tr>
      <w:tr w:rsidR="004E732A" w14:paraId="642701BC" w14:textId="77777777">
        <w:tc>
          <w:tcPr>
            <w:tcW w:w="4675" w:type="dxa"/>
          </w:tcPr>
          <w:p w14:paraId="00000017" w14:textId="77777777" w:rsidR="004E732A" w:rsidRDefault="00000000">
            <w:pPr>
              <w:shd w:val="clear" w:color="auto" w:fill="FFFFFF"/>
              <w:spacing w:after="150"/>
              <w:rPr>
                <w:rFonts w:ascii="Merriweather" w:eastAsia="Merriweather" w:hAnsi="Merriweather" w:cs="Merriweather"/>
                <w:color w:val="333333"/>
                <w:sz w:val="20"/>
                <w:szCs w:val="20"/>
              </w:rPr>
            </w:pPr>
            <w:r>
              <w:rPr>
                <w:rFonts w:ascii="Merriweather" w:eastAsia="Merriweather" w:hAnsi="Merriweather" w:cs="Merriweather"/>
                <w:color w:val="333333"/>
                <w:sz w:val="20"/>
                <w:szCs w:val="20"/>
              </w:rPr>
              <w:t>Gypsum wall panel depicting, in relief, an attack by Tiglath-pileser III on an enemy town, 730-727</w:t>
            </w:r>
            <w:r>
              <w:rPr>
                <w:rFonts w:ascii="Merriweather" w:eastAsia="Merriweather" w:hAnsi="Merriweather" w:cs="Merriweather"/>
                <w:smallCaps/>
                <w:color w:val="333333"/>
                <w:sz w:val="20"/>
                <w:szCs w:val="20"/>
              </w:rPr>
              <w:t> B.C.E</w:t>
            </w:r>
            <w:r>
              <w:rPr>
                <w:rFonts w:ascii="Merriweather" w:eastAsia="Merriweather" w:hAnsi="Merriweather" w:cs="Merriweather"/>
                <w:color w:val="333333"/>
                <w:sz w:val="20"/>
                <w:szCs w:val="20"/>
              </w:rPr>
              <w:t>. British Museum</w:t>
            </w:r>
          </w:p>
          <w:p w14:paraId="00000018" w14:textId="77777777" w:rsidR="004E732A" w:rsidRDefault="004E732A">
            <w:pPr>
              <w:tabs>
                <w:tab w:val="left" w:pos="3510"/>
              </w:tabs>
              <w:spacing w:line="276" w:lineRule="auto"/>
            </w:pPr>
          </w:p>
        </w:tc>
        <w:tc>
          <w:tcPr>
            <w:tcW w:w="4675" w:type="dxa"/>
          </w:tcPr>
          <w:p w14:paraId="00000019" w14:textId="77777777" w:rsidR="004E732A" w:rsidRDefault="00000000">
            <w:pPr>
              <w:bidi/>
              <w:spacing w:line="276" w:lineRule="auto"/>
              <w:rPr>
                <w:color w:val="333333"/>
                <w:sz w:val="28"/>
                <w:szCs w:val="28"/>
              </w:rPr>
            </w:pPr>
            <w:r>
              <w:rPr>
                <w:color w:val="333333"/>
                <w:sz w:val="28"/>
                <w:szCs w:val="28"/>
                <w:rtl/>
              </w:rPr>
              <w:t>לוח בהט המציג בתבליט את תגלת פלאסר השלישי במתקפה על עיר אויב, 730–727 לפנה"ס, המוזיאון הבריטי</w:t>
            </w:r>
          </w:p>
        </w:tc>
      </w:tr>
      <w:tr w:rsidR="004E732A" w14:paraId="477A7678" w14:textId="77777777">
        <w:tc>
          <w:tcPr>
            <w:tcW w:w="4675" w:type="dxa"/>
          </w:tcPr>
          <w:p w14:paraId="0000001A"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Decapitation. Impalement. Flaying. Tying prisoners up in cages like dogs. Military violence in the ancient Near East is not for the faint of heart.</w:t>
            </w:r>
            <w:r>
              <w:rPr>
                <w:rFonts w:ascii="Merriweather" w:eastAsia="Merriweather" w:hAnsi="Merriweather" w:cs="Merriweather"/>
                <w:color w:val="B22222"/>
                <w:sz w:val="23"/>
                <w:szCs w:val="23"/>
                <w:vertAlign w:val="superscript"/>
              </w:rPr>
              <w:t>[1]</w:t>
            </w:r>
            <w:r>
              <w:rPr>
                <w:rFonts w:ascii="Merriweather" w:eastAsia="Merriweather" w:hAnsi="Merriweather" w:cs="Merriweather"/>
                <w:color w:val="000000"/>
                <w:sz w:val="26"/>
                <w:szCs w:val="26"/>
              </w:rPr>
              <w:t xml:space="preserve"> We know of these exploits from the written </w:t>
            </w:r>
            <w:r>
              <w:rPr>
                <w:rFonts w:ascii="Merriweather" w:eastAsia="Merriweather" w:hAnsi="Merriweather" w:cs="Merriweather"/>
                <w:color w:val="000000"/>
                <w:sz w:val="26"/>
                <w:szCs w:val="26"/>
              </w:rPr>
              <w:lastRenderedPageBreak/>
              <w:t>accounts of ancient scribes as well as from artistic depictions commissioned by rulers to decorate their palaces. Modern readers rightly recoil at such violence, and the creators of the accounts and images seem also to have been aware of the moral questions raised by these actions. Thus, ancient Near Eastern rulers and their scribes needed to explain this violence within a wider ethical framework.</w:t>
            </w:r>
          </w:p>
          <w:p w14:paraId="0000001B" w14:textId="77777777" w:rsidR="004E732A" w:rsidRDefault="004E732A">
            <w:pPr>
              <w:tabs>
                <w:tab w:val="left" w:pos="2865"/>
              </w:tabs>
              <w:spacing w:line="276" w:lineRule="auto"/>
            </w:pPr>
          </w:p>
        </w:tc>
        <w:tc>
          <w:tcPr>
            <w:tcW w:w="4675" w:type="dxa"/>
          </w:tcPr>
          <w:p w14:paraId="0000001C" w14:textId="0EB641E6" w:rsidR="004E732A" w:rsidRDefault="00000000">
            <w:pPr>
              <w:bidi/>
              <w:spacing w:line="276" w:lineRule="auto"/>
              <w:rPr>
                <w:color w:val="333333"/>
                <w:sz w:val="28"/>
                <w:szCs w:val="28"/>
              </w:rPr>
            </w:pPr>
            <w:r>
              <w:rPr>
                <w:color w:val="333333"/>
                <w:sz w:val="28"/>
                <w:szCs w:val="28"/>
                <w:rtl/>
              </w:rPr>
              <w:lastRenderedPageBreak/>
              <w:t>עריפת ראשים. הוקעה על שפוד. פשיטת עור. כבילת אסירים בכלובים כאילו היו כלבים. האלימות הצבאית במזרח התיכון הקדום אינה עניין לרכי הלבב.</w:t>
            </w:r>
            <w:r>
              <w:rPr>
                <w:color w:val="333333"/>
                <w:sz w:val="28"/>
                <w:szCs w:val="28"/>
                <w:vertAlign w:val="superscript"/>
              </w:rPr>
              <w:t>[1]</w:t>
            </w:r>
            <w:r>
              <w:rPr>
                <w:color w:val="333333"/>
                <w:sz w:val="28"/>
                <w:szCs w:val="28"/>
                <w:rtl/>
              </w:rPr>
              <w:t xml:space="preserve"> מעללים אלו ידועים לנו מתוך כתביהם של סופרים קדומים </w:t>
            </w:r>
            <w:r>
              <w:rPr>
                <w:color w:val="333333"/>
                <w:sz w:val="28"/>
                <w:szCs w:val="28"/>
                <w:rtl/>
              </w:rPr>
              <w:lastRenderedPageBreak/>
              <w:t>ומי</w:t>
            </w:r>
            <w:r w:rsidR="00DD7C4A">
              <w:rPr>
                <w:rFonts w:hint="cs"/>
                <w:color w:val="333333"/>
                <w:sz w:val="28"/>
                <w:szCs w:val="28"/>
                <w:rtl/>
              </w:rPr>
              <w:t>י</w:t>
            </w:r>
            <w:r>
              <w:rPr>
                <w:color w:val="333333"/>
                <w:sz w:val="28"/>
                <w:szCs w:val="28"/>
                <w:rtl/>
              </w:rPr>
              <w:t>צוגים אמנותיים שהזמינו שליטים כדי לעטר את ארמ</w:t>
            </w:r>
            <w:r w:rsidR="00DD7C4A">
              <w:rPr>
                <w:rFonts w:hint="cs"/>
                <w:color w:val="333333"/>
                <w:sz w:val="28"/>
                <w:szCs w:val="28"/>
                <w:rtl/>
              </w:rPr>
              <w:t>ו</w:t>
            </w:r>
            <w:r>
              <w:rPr>
                <w:color w:val="333333"/>
                <w:sz w:val="28"/>
                <w:szCs w:val="28"/>
                <w:rtl/>
              </w:rPr>
              <w:t>נותיהם. הקורא המודרני נרתע ובצדק מאלימות קשה כל כך, וגם כותבי הטקסטים ויוצרי הדימויים החזותיים היו מודעים לשאלות המוסריות שמעוררים מעשים כאלו.</w:t>
            </w:r>
            <w:r w:rsidR="00DD7C4A">
              <w:rPr>
                <w:rFonts w:hint="cs"/>
                <w:color w:val="333333"/>
                <w:sz w:val="28"/>
                <w:szCs w:val="28"/>
                <w:rtl/>
              </w:rPr>
              <w:t xml:space="preserve"> </w:t>
            </w:r>
            <w:r>
              <w:rPr>
                <w:color w:val="333333"/>
                <w:sz w:val="28"/>
                <w:szCs w:val="28"/>
                <w:rtl/>
              </w:rPr>
              <w:t>לפיכך נזקקו שליטי המזרח התיכון הקדום וסופריהם למסגרת אתית רחבה יותר להצדקת מעשיהם.</w:t>
            </w:r>
          </w:p>
        </w:tc>
      </w:tr>
      <w:tr w:rsidR="004E732A" w14:paraId="401FA605" w14:textId="77777777">
        <w:tc>
          <w:tcPr>
            <w:tcW w:w="4675" w:type="dxa"/>
          </w:tcPr>
          <w:p w14:paraId="0000001D"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lastRenderedPageBreak/>
              <w:t>Indeed, the rationalization of military violence in the ancient Near East often sounds uncannily similar to modern rhetoric supporting wars of aggression or conquest: the enemy people are a threat to the civilized order of society, and thus killing them protects one’s own society from the forces that threaten to undermine it.</w:t>
            </w:r>
          </w:p>
          <w:p w14:paraId="0000001E" w14:textId="77777777" w:rsidR="004E732A" w:rsidRDefault="004E732A">
            <w:pPr>
              <w:tabs>
                <w:tab w:val="left" w:pos="2865"/>
              </w:tabs>
              <w:spacing w:line="276" w:lineRule="auto"/>
            </w:pPr>
          </w:p>
        </w:tc>
        <w:tc>
          <w:tcPr>
            <w:tcW w:w="4675" w:type="dxa"/>
          </w:tcPr>
          <w:p w14:paraId="0000001F" w14:textId="77777777" w:rsidR="004E732A" w:rsidRDefault="00000000">
            <w:pPr>
              <w:bidi/>
              <w:spacing w:line="276" w:lineRule="auto"/>
              <w:rPr>
                <w:color w:val="333333"/>
                <w:sz w:val="28"/>
                <w:szCs w:val="28"/>
              </w:rPr>
            </w:pPr>
            <w:r>
              <w:rPr>
                <w:color w:val="333333"/>
                <w:sz w:val="28"/>
                <w:szCs w:val="28"/>
                <w:rtl/>
              </w:rPr>
              <w:t>הרציונליזציה של האלימות הצבאית במזרח התיכון הקדום נשמעת דומה במידה מעוררת פליאה לרטוריקה המשמשת בימינו אנו להצדקת תקיפה צבאית ומלחמות כיבוש: האויב הוא איום על הסדר החברתי ועל הציוויליזציה, והשמדתו תגן על החברה מן הכוחות המאיימים להחריבה.</w:t>
            </w:r>
          </w:p>
        </w:tc>
      </w:tr>
      <w:tr w:rsidR="004E732A" w14:paraId="1930F226" w14:textId="77777777">
        <w:tc>
          <w:tcPr>
            <w:tcW w:w="4675" w:type="dxa"/>
          </w:tcPr>
          <w:p w14:paraId="00000020"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Articulations of the specific threat posed by the “enemy” take many different forms in ancient Near Eastern texts.</w:t>
            </w:r>
          </w:p>
          <w:p w14:paraId="00000021" w14:textId="77777777" w:rsidR="004E732A" w:rsidRDefault="004E732A">
            <w:pPr>
              <w:tabs>
                <w:tab w:val="left" w:pos="2865"/>
              </w:tabs>
              <w:spacing w:line="276" w:lineRule="auto"/>
            </w:pPr>
          </w:p>
        </w:tc>
        <w:tc>
          <w:tcPr>
            <w:tcW w:w="4675" w:type="dxa"/>
          </w:tcPr>
          <w:p w14:paraId="00000022" w14:textId="2B983490" w:rsidR="004E732A" w:rsidRDefault="00000000">
            <w:pPr>
              <w:bidi/>
              <w:spacing w:line="276" w:lineRule="auto"/>
              <w:rPr>
                <w:color w:val="333333"/>
                <w:sz w:val="28"/>
                <w:szCs w:val="28"/>
              </w:rPr>
            </w:pPr>
            <w:r>
              <w:rPr>
                <w:color w:val="333333"/>
                <w:sz w:val="28"/>
                <w:szCs w:val="28"/>
                <w:rtl/>
              </w:rPr>
              <w:t>תיאור האיום הספציפי הנשקף מן ה"אוי</w:t>
            </w:r>
            <w:r w:rsidR="00DD7C4A">
              <w:rPr>
                <w:rFonts w:hint="cs"/>
                <w:color w:val="333333"/>
                <w:sz w:val="28"/>
                <w:szCs w:val="28"/>
                <w:rtl/>
              </w:rPr>
              <w:t>ב</w:t>
            </w:r>
            <w:r>
              <w:rPr>
                <w:color w:val="333333"/>
                <w:sz w:val="28"/>
                <w:szCs w:val="28"/>
                <w:rtl/>
              </w:rPr>
              <w:t xml:space="preserve">" לובש צורות שונות בטקסטים שונים </w:t>
            </w:r>
            <w:r w:rsidR="00DD7C4A">
              <w:rPr>
                <w:rFonts w:hint="cs"/>
                <w:color w:val="333333"/>
                <w:sz w:val="28"/>
                <w:szCs w:val="28"/>
                <w:rtl/>
              </w:rPr>
              <w:t xml:space="preserve">מן </w:t>
            </w:r>
            <w:r>
              <w:rPr>
                <w:color w:val="333333"/>
                <w:sz w:val="28"/>
                <w:szCs w:val="28"/>
                <w:rtl/>
              </w:rPr>
              <w:t>המזרח התיכון הקדום.</w:t>
            </w:r>
          </w:p>
        </w:tc>
      </w:tr>
      <w:tr w:rsidR="004E732A" w14:paraId="05C6579A" w14:textId="77777777">
        <w:tc>
          <w:tcPr>
            <w:tcW w:w="4675" w:type="dxa"/>
          </w:tcPr>
          <w:p w14:paraId="00000023" w14:textId="77777777" w:rsidR="004E732A" w:rsidRDefault="00000000">
            <w:pPr>
              <w:shd w:val="clear" w:color="auto" w:fill="FFFFFF"/>
              <w:spacing w:before="210" w:after="210"/>
              <w:jc w:val="center"/>
              <w:rPr>
                <w:rFonts w:ascii="Merriweather" w:eastAsia="Merriweather" w:hAnsi="Merriweather" w:cs="Merriweather"/>
                <w:color w:val="000000"/>
                <w:sz w:val="38"/>
                <w:szCs w:val="38"/>
              </w:rPr>
            </w:pPr>
            <w:r>
              <w:rPr>
                <w:rFonts w:ascii="Merriweather" w:eastAsia="Merriweather" w:hAnsi="Merriweather" w:cs="Merriweather"/>
                <w:color w:val="000000"/>
                <w:sz w:val="38"/>
                <w:szCs w:val="38"/>
              </w:rPr>
              <w:lastRenderedPageBreak/>
              <w:t>Wipe out the Canaanites to Avoid YHWH’s Wrath</w:t>
            </w:r>
          </w:p>
          <w:p w14:paraId="00000024" w14:textId="77777777" w:rsidR="004E732A" w:rsidRDefault="004E732A">
            <w:pPr>
              <w:tabs>
                <w:tab w:val="left" w:pos="2865"/>
              </w:tabs>
              <w:spacing w:line="276" w:lineRule="auto"/>
            </w:pPr>
          </w:p>
        </w:tc>
        <w:tc>
          <w:tcPr>
            <w:tcW w:w="4675" w:type="dxa"/>
          </w:tcPr>
          <w:p w14:paraId="00000025" w14:textId="07610079" w:rsidR="004E732A" w:rsidRDefault="00000000">
            <w:pPr>
              <w:bidi/>
              <w:spacing w:line="276" w:lineRule="auto"/>
              <w:rPr>
                <w:color w:val="333333"/>
                <w:sz w:val="28"/>
                <w:szCs w:val="28"/>
              </w:rPr>
            </w:pPr>
            <w:r>
              <w:rPr>
                <w:color w:val="333333"/>
                <w:sz w:val="28"/>
                <w:szCs w:val="28"/>
                <w:rtl/>
              </w:rPr>
              <w:t xml:space="preserve">מחיית הכנענים מעל פני האדמה כדי לא לעורר את </w:t>
            </w:r>
            <w:r w:rsidR="00DD7C4A">
              <w:rPr>
                <w:rFonts w:hint="cs"/>
                <w:color w:val="333333"/>
                <w:sz w:val="28"/>
                <w:szCs w:val="28"/>
                <w:rtl/>
              </w:rPr>
              <w:t>חרון אפו</w:t>
            </w:r>
            <w:r>
              <w:rPr>
                <w:color w:val="333333"/>
                <w:sz w:val="28"/>
                <w:szCs w:val="28"/>
                <w:rtl/>
              </w:rPr>
              <w:t xml:space="preserve"> של יהו-ה</w:t>
            </w:r>
          </w:p>
        </w:tc>
      </w:tr>
      <w:tr w:rsidR="004E732A" w14:paraId="251B607A" w14:textId="77777777">
        <w:tc>
          <w:tcPr>
            <w:tcW w:w="4675" w:type="dxa"/>
          </w:tcPr>
          <w:p w14:paraId="00000026"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Consider Deuteronomy’s instruction to eradicate the peoples currently in the land—every man, woman, and child:</w:t>
            </w:r>
          </w:p>
        </w:tc>
        <w:tc>
          <w:tcPr>
            <w:tcW w:w="4675" w:type="dxa"/>
          </w:tcPr>
          <w:p w14:paraId="00000027" w14:textId="77777777" w:rsidR="004E732A" w:rsidRDefault="00000000">
            <w:pPr>
              <w:bidi/>
              <w:spacing w:line="276" w:lineRule="auto"/>
              <w:rPr>
                <w:color w:val="333333"/>
                <w:sz w:val="28"/>
                <w:szCs w:val="28"/>
              </w:rPr>
            </w:pPr>
            <w:r>
              <w:rPr>
                <w:color w:val="333333"/>
                <w:sz w:val="28"/>
                <w:szCs w:val="28"/>
                <w:rtl/>
              </w:rPr>
              <w:t>נביט לדוגמה בציווי בדברים להכרית את עממי כנען – גברים, נשים וטף גם יחד:</w:t>
            </w:r>
          </w:p>
        </w:tc>
      </w:tr>
      <w:tr w:rsidR="004E732A" w14:paraId="2650DE45" w14:textId="77777777">
        <w:tc>
          <w:tcPr>
            <w:tcW w:w="4675" w:type="dxa"/>
          </w:tcPr>
          <w:p w14:paraId="00000028" w14:textId="77777777" w:rsidR="004E732A" w:rsidRDefault="004E732A">
            <w:pPr>
              <w:tabs>
                <w:tab w:val="left" w:pos="2865"/>
              </w:tabs>
              <w:spacing w:line="276" w:lineRule="auto"/>
            </w:pPr>
          </w:p>
        </w:tc>
        <w:tc>
          <w:tcPr>
            <w:tcW w:w="4675" w:type="dxa"/>
          </w:tcPr>
          <w:p w14:paraId="00000029" w14:textId="77777777" w:rsidR="004E732A" w:rsidRDefault="00000000">
            <w:pPr>
              <w:bidi/>
              <w:spacing w:line="276" w:lineRule="auto"/>
              <w:rPr>
                <w:color w:val="333333"/>
                <w:sz w:val="28"/>
                <w:szCs w:val="28"/>
              </w:rPr>
            </w:pPr>
            <w:r>
              <w:rPr>
                <w:color w:val="000000"/>
                <w:sz w:val="28"/>
                <w:szCs w:val="28"/>
                <w:vertAlign w:val="superscript"/>
                <w:rtl/>
              </w:rPr>
              <w:t>דברים כ:טז</w:t>
            </w:r>
            <w:r>
              <w:rPr>
                <w:color w:val="000000"/>
                <w:sz w:val="28"/>
                <w:szCs w:val="28"/>
                <w:rtl/>
              </w:rPr>
              <w:t> רַק מֵעָרֵי הָעַמִּים הָאֵלֶּה אֲשֶׁר יְ־הוָה אֱלֹהֶיךָ נֹתֵן לְךָ נַחֲלָה לֹא תְחַיֶּה כָּל נְשָׁמָה. </w:t>
            </w:r>
            <w:r>
              <w:rPr>
                <w:color w:val="000000"/>
                <w:sz w:val="28"/>
                <w:szCs w:val="28"/>
                <w:vertAlign w:val="superscript"/>
                <w:rtl/>
              </w:rPr>
              <w:t>כ:יז</w:t>
            </w:r>
            <w:r>
              <w:rPr>
                <w:color w:val="000000"/>
                <w:sz w:val="28"/>
                <w:szCs w:val="28"/>
                <w:rtl/>
              </w:rPr>
              <w:t> כִּי הַחֲרֵם תַּחֲרִימֵם הַחִתִּי וְהָאֱמֹרִי הַכְּנַעֲנִי וְהַפְּרִזִּי הַחִוִּי וְהַיְבוּסִי כַּאֲשֶׁר צִוְּךָ יְ־הוָה אֱלֹהֶיךָ.</w:t>
            </w:r>
            <w:r w:rsidRPr="00DD7C4A">
              <w:rPr>
                <w:color w:val="333333"/>
                <w:sz w:val="28"/>
                <w:szCs w:val="28"/>
                <w:vertAlign w:val="superscript"/>
              </w:rPr>
              <w:t>[2]</w:t>
            </w:r>
          </w:p>
        </w:tc>
      </w:tr>
      <w:tr w:rsidR="004E732A" w14:paraId="076BCE84" w14:textId="77777777">
        <w:tc>
          <w:tcPr>
            <w:tcW w:w="4675" w:type="dxa"/>
          </w:tcPr>
          <w:p w14:paraId="0000002A" w14:textId="77777777" w:rsidR="004E732A" w:rsidRDefault="00000000">
            <w:pPr>
              <w:shd w:val="clear" w:color="auto" w:fill="FFFFFF"/>
              <w:spacing w:after="300"/>
              <w:rPr>
                <w:rFonts w:ascii="Merriweather" w:eastAsia="Merriweather" w:hAnsi="Merriweather" w:cs="Merriweather"/>
                <w:color w:val="000000"/>
                <w:sz w:val="26"/>
                <w:szCs w:val="26"/>
              </w:rPr>
            </w:pPr>
            <w:r>
              <w:tab/>
            </w:r>
            <w:r>
              <w:rPr>
                <w:rFonts w:ascii="Merriweather" w:eastAsia="Merriweather" w:hAnsi="Merriweather" w:cs="Merriweather"/>
                <w:color w:val="000000"/>
                <w:sz w:val="26"/>
                <w:szCs w:val="26"/>
              </w:rPr>
              <w:t>Earlier in that passage, when dealing with distant peoples, Deuteronomy allows for the city to surrender and take on vassalage to avoid destruction (vv. 10–15). The local peoples are given no such option. Deuteronomy justifies this requirement by claiming that they will lead the Israelites into apostasy:</w:t>
            </w:r>
          </w:p>
          <w:p w14:paraId="0000002B" w14:textId="77777777" w:rsidR="004E732A" w:rsidRDefault="004E732A">
            <w:pPr>
              <w:tabs>
                <w:tab w:val="left" w:pos="1680"/>
              </w:tabs>
              <w:spacing w:line="276" w:lineRule="auto"/>
            </w:pPr>
          </w:p>
        </w:tc>
        <w:tc>
          <w:tcPr>
            <w:tcW w:w="4675" w:type="dxa"/>
          </w:tcPr>
          <w:p w14:paraId="0000002C" w14:textId="77777777" w:rsidR="004E732A" w:rsidRDefault="00000000">
            <w:pPr>
              <w:bidi/>
              <w:spacing w:line="276" w:lineRule="auto"/>
              <w:rPr>
                <w:color w:val="333333"/>
                <w:sz w:val="28"/>
                <w:szCs w:val="28"/>
              </w:rPr>
            </w:pPr>
            <w:r>
              <w:rPr>
                <w:color w:val="333333"/>
                <w:sz w:val="28"/>
                <w:szCs w:val="28"/>
                <w:rtl/>
              </w:rPr>
              <w:t>לפני כן עוסק הטקסט במלחמה על ערים רחוקות, שלהן עומדת האפשרות להיכנע ולהעלות מס עובד כדי להינצל מחורבן (פס' י–טו). לגויי הארץ אין כל פתח הצלה מעין זה. דברים מצדיק את הציווי בטענה שעמי הארץ עלולים להטות את ישראל מדרך הישר וללמדו עבודה זרה:</w:t>
            </w:r>
          </w:p>
        </w:tc>
      </w:tr>
      <w:tr w:rsidR="004E732A" w14:paraId="4DDE6270" w14:textId="77777777">
        <w:tc>
          <w:tcPr>
            <w:tcW w:w="4675" w:type="dxa"/>
          </w:tcPr>
          <w:p w14:paraId="0000002D" w14:textId="77777777" w:rsidR="004E732A" w:rsidRDefault="004E732A">
            <w:pPr>
              <w:tabs>
                <w:tab w:val="left" w:pos="2865"/>
              </w:tabs>
              <w:spacing w:line="276" w:lineRule="auto"/>
            </w:pPr>
          </w:p>
        </w:tc>
        <w:tc>
          <w:tcPr>
            <w:tcW w:w="4675" w:type="dxa"/>
          </w:tcPr>
          <w:p w14:paraId="0000002E" w14:textId="77777777" w:rsidR="004E732A" w:rsidRDefault="00000000">
            <w:pPr>
              <w:bidi/>
              <w:spacing w:line="276" w:lineRule="auto"/>
              <w:rPr>
                <w:color w:val="333333"/>
                <w:sz w:val="28"/>
                <w:szCs w:val="28"/>
              </w:rPr>
            </w:pPr>
            <w:r>
              <w:rPr>
                <w:color w:val="000000"/>
                <w:sz w:val="28"/>
                <w:szCs w:val="28"/>
                <w:vertAlign w:val="superscript"/>
                <w:rtl/>
              </w:rPr>
              <w:t>דברים כ:יח</w:t>
            </w:r>
            <w:r>
              <w:rPr>
                <w:color w:val="000000"/>
                <w:sz w:val="28"/>
                <w:szCs w:val="28"/>
                <w:rtl/>
              </w:rPr>
              <w:t> לְמַעַן אֲשֶׁר לֹא</w:t>
            </w:r>
            <w:r>
              <w:rPr>
                <w:color w:val="000000"/>
                <w:sz w:val="28"/>
                <w:szCs w:val="28"/>
                <w:vertAlign w:val="superscript"/>
              </w:rPr>
              <w:t> </w:t>
            </w:r>
            <w:r>
              <w:rPr>
                <w:color w:val="000000"/>
                <w:sz w:val="28"/>
                <w:szCs w:val="28"/>
                <w:rtl/>
              </w:rPr>
              <w:t>יְלַמְּדוּ אֶתְכֶם לַעֲשׂוֹת כְּכֹל תּוֹעֲבֹתָם אֲשֶׁר עָשׂוּ לֵאלֹהֵיהֶם וַחֲטָאתֶם לַי־הוָה אֱלֹהֵיכֶם.</w:t>
            </w:r>
          </w:p>
        </w:tc>
      </w:tr>
      <w:tr w:rsidR="004E732A" w14:paraId="6C930DC6" w14:textId="77777777">
        <w:tc>
          <w:tcPr>
            <w:tcW w:w="4675" w:type="dxa"/>
          </w:tcPr>
          <w:p w14:paraId="0000002F" w14:textId="77777777" w:rsidR="004E732A" w:rsidRDefault="00000000">
            <w:pPr>
              <w:shd w:val="clear" w:color="auto" w:fill="FFFFFF"/>
              <w:spacing w:after="300"/>
              <w:rPr>
                <w:rFonts w:ascii="Merriweather" w:eastAsia="Merriweather" w:hAnsi="Merriweather" w:cs="Merriweather"/>
                <w:color w:val="000000"/>
                <w:sz w:val="26"/>
                <w:szCs w:val="26"/>
              </w:rPr>
            </w:pPr>
            <w:r>
              <w:tab/>
            </w:r>
            <w:r>
              <w:rPr>
                <w:rFonts w:ascii="Merriweather" w:eastAsia="Merriweather" w:hAnsi="Merriweather" w:cs="Merriweather"/>
                <w:color w:val="000000"/>
                <w:sz w:val="26"/>
                <w:szCs w:val="26"/>
              </w:rPr>
              <w:t xml:space="preserve">Indeed, elsewhere Deuteronomy warns that if the Israelites do not remove the people living in the land, and they </w:t>
            </w:r>
            <w:r>
              <w:rPr>
                <w:rFonts w:ascii="Merriweather" w:eastAsia="Merriweather" w:hAnsi="Merriweather" w:cs="Merriweather"/>
                <w:color w:val="000000"/>
                <w:sz w:val="26"/>
                <w:szCs w:val="26"/>
              </w:rPr>
              <w:lastRenderedPageBreak/>
              <w:t>do end up worshipping other gods, then YHWH “will quickly wipe you out” (</w:t>
            </w:r>
            <w:sdt>
              <w:sdtPr>
                <w:tag w:val="goog_rdk_0"/>
                <w:id w:val="-975287008"/>
              </w:sdtPr>
              <w:sdtContent>
                <w:r>
                  <w:rPr>
                    <w:rFonts w:ascii="Arial" w:eastAsia="Arial" w:hAnsi="Arial" w:cs="Arial"/>
                    <w:color w:val="000000"/>
                    <w:sz w:val="26"/>
                    <w:szCs w:val="26"/>
                    <w:rtl/>
                  </w:rPr>
                  <w:t>ו</w:t>
                </w:r>
              </w:sdtContent>
            </w:sdt>
            <w:sdt>
              <w:sdtPr>
                <w:tag w:val="goog_rdk_1"/>
                <w:id w:val="632672707"/>
              </w:sdtPr>
              <w:sdtContent>
                <w:r>
                  <w:rPr>
                    <w:rFonts w:ascii="Arial" w:eastAsia="Arial" w:hAnsi="Arial" w:cs="Arial"/>
                    <w:color w:val="000000"/>
                    <w:sz w:val="26"/>
                    <w:szCs w:val="26"/>
                    <w:rtl/>
                  </w:rPr>
                  <w:t>ְ</w:t>
                </w:r>
              </w:sdtContent>
            </w:sdt>
            <w:sdt>
              <w:sdtPr>
                <w:tag w:val="goog_rdk_2"/>
                <w:id w:val="-2039038838"/>
              </w:sdtPr>
              <w:sdtContent>
                <w:r>
                  <w:rPr>
                    <w:rFonts w:ascii="Arial" w:eastAsia="Arial" w:hAnsi="Arial" w:cs="Arial"/>
                    <w:color w:val="000000"/>
                    <w:sz w:val="26"/>
                    <w:szCs w:val="26"/>
                    <w:rtl/>
                  </w:rPr>
                  <w:t>ה</w:t>
                </w:r>
              </w:sdtContent>
            </w:sdt>
            <w:sdt>
              <w:sdtPr>
                <w:tag w:val="goog_rdk_3"/>
                <w:id w:val="1386139522"/>
              </w:sdtPr>
              <w:sdtContent>
                <w:r>
                  <w:rPr>
                    <w:rFonts w:ascii="Arial" w:eastAsia="Arial" w:hAnsi="Arial" w:cs="Arial"/>
                    <w:color w:val="000000"/>
                    <w:sz w:val="26"/>
                    <w:szCs w:val="26"/>
                    <w:rtl/>
                  </w:rPr>
                  <w:t>ִ</w:t>
                </w:r>
              </w:sdtContent>
            </w:sdt>
            <w:sdt>
              <w:sdtPr>
                <w:tag w:val="goog_rdk_4"/>
                <w:id w:val="169541912"/>
              </w:sdtPr>
              <w:sdtContent>
                <w:r>
                  <w:rPr>
                    <w:rFonts w:ascii="Cardo" w:eastAsia="Cardo" w:hAnsi="Cardo" w:cs="Cardo"/>
                    <w:color w:val="000000"/>
                    <w:sz w:val="26"/>
                    <w:szCs w:val="26"/>
                    <w:rtl/>
                  </w:rPr>
                  <w:t>שׁ</w:t>
                </w:r>
              </w:sdtContent>
            </w:sdt>
            <w:sdt>
              <w:sdtPr>
                <w:tag w:val="goog_rdk_5"/>
                <w:id w:val="1257719926"/>
              </w:sdtPr>
              <w:sdtContent>
                <w:r>
                  <w:rPr>
                    <w:rFonts w:ascii="Arial" w:eastAsia="Arial" w:hAnsi="Arial" w:cs="Arial"/>
                    <w:color w:val="000000"/>
                    <w:sz w:val="26"/>
                    <w:szCs w:val="26"/>
                    <w:rtl/>
                  </w:rPr>
                  <w:t>ְ</w:t>
                </w:r>
              </w:sdtContent>
            </w:sdt>
            <w:sdt>
              <w:sdtPr>
                <w:tag w:val="goog_rdk_6"/>
                <w:id w:val="447442116"/>
              </w:sdtPr>
              <w:sdtContent>
                <w:r>
                  <w:rPr>
                    <w:rFonts w:ascii="Arial" w:eastAsia="Arial" w:hAnsi="Arial" w:cs="Arial"/>
                    <w:color w:val="000000"/>
                    <w:sz w:val="26"/>
                    <w:szCs w:val="26"/>
                    <w:rtl/>
                  </w:rPr>
                  <w:t>מ</w:t>
                </w:r>
              </w:sdtContent>
            </w:sdt>
            <w:sdt>
              <w:sdtPr>
                <w:tag w:val="goog_rdk_7"/>
                <w:id w:val="-49154585"/>
              </w:sdtPr>
              <w:sdtContent>
                <w:r>
                  <w:rPr>
                    <w:rFonts w:ascii="Arial" w:eastAsia="Arial" w:hAnsi="Arial" w:cs="Arial"/>
                    <w:color w:val="000000"/>
                    <w:sz w:val="26"/>
                    <w:szCs w:val="26"/>
                    <w:rtl/>
                  </w:rPr>
                  <w:t>ִ</w:t>
                </w:r>
              </w:sdtContent>
            </w:sdt>
            <w:sdt>
              <w:sdtPr>
                <w:tag w:val="goog_rdk_8"/>
                <w:id w:val="352383305"/>
              </w:sdtPr>
              <w:sdtContent>
                <w:r>
                  <w:rPr>
                    <w:rFonts w:ascii="Arial" w:eastAsia="Arial" w:hAnsi="Arial" w:cs="Arial"/>
                    <w:color w:val="000000"/>
                    <w:sz w:val="26"/>
                    <w:szCs w:val="26"/>
                    <w:rtl/>
                  </w:rPr>
                  <w:t>יד</w:t>
                </w:r>
              </w:sdtContent>
            </w:sdt>
            <w:sdt>
              <w:sdtPr>
                <w:tag w:val="goog_rdk_9"/>
                <w:id w:val="-656541044"/>
              </w:sdtPr>
              <w:sdtContent>
                <w:r>
                  <w:rPr>
                    <w:rFonts w:ascii="Arial" w:eastAsia="Arial" w:hAnsi="Arial" w:cs="Arial"/>
                    <w:color w:val="000000"/>
                    <w:sz w:val="26"/>
                    <w:szCs w:val="26"/>
                    <w:rtl/>
                  </w:rPr>
                  <w:t>ְ</w:t>
                </w:r>
              </w:sdtContent>
            </w:sdt>
            <w:sdt>
              <w:sdtPr>
                <w:tag w:val="goog_rdk_10"/>
                <w:id w:val="1182783097"/>
              </w:sdtPr>
              <w:sdtContent>
                <w:r>
                  <w:rPr>
                    <w:rFonts w:ascii="Arial" w:eastAsia="Arial" w:hAnsi="Arial" w:cs="Arial"/>
                    <w:color w:val="000000"/>
                    <w:sz w:val="26"/>
                    <w:szCs w:val="26"/>
                    <w:rtl/>
                  </w:rPr>
                  <w:t>ך</w:t>
                </w:r>
              </w:sdtContent>
            </w:sdt>
            <w:sdt>
              <w:sdtPr>
                <w:tag w:val="goog_rdk_11"/>
                <w:id w:val="1395314508"/>
              </w:sdtPr>
              <w:sdtContent>
                <w:r>
                  <w:rPr>
                    <w:rFonts w:ascii="Arial" w:eastAsia="Arial" w:hAnsi="Arial" w:cs="Arial"/>
                    <w:color w:val="000000"/>
                    <w:sz w:val="26"/>
                    <w:szCs w:val="26"/>
                    <w:rtl/>
                  </w:rPr>
                  <w:t xml:space="preserve">ָ </w:t>
                </w:r>
              </w:sdtContent>
            </w:sdt>
            <w:sdt>
              <w:sdtPr>
                <w:tag w:val="goog_rdk_12"/>
                <w:id w:val="-229688234"/>
              </w:sdtPr>
              <w:sdtContent>
                <w:r>
                  <w:rPr>
                    <w:rFonts w:ascii="Arial" w:eastAsia="Arial" w:hAnsi="Arial" w:cs="Arial"/>
                    <w:color w:val="000000"/>
                    <w:sz w:val="26"/>
                    <w:szCs w:val="26"/>
                    <w:rtl/>
                  </w:rPr>
                  <w:t>מ</w:t>
                </w:r>
              </w:sdtContent>
            </w:sdt>
            <w:sdt>
              <w:sdtPr>
                <w:tag w:val="goog_rdk_13"/>
                <w:id w:val="-33822372"/>
              </w:sdtPr>
              <w:sdtContent>
                <w:r>
                  <w:rPr>
                    <w:rFonts w:ascii="Arial" w:eastAsia="Arial" w:hAnsi="Arial" w:cs="Arial"/>
                    <w:color w:val="000000"/>
                    <w:sz w:val="26"/>
                    <w:szCs w:val="26"/>
                    <w:rtl/>
                  </w:rPr>
                  <w:t>ַ</w:t>
                </w:r>
              </w:sdtContent>
            </w:sdt>
            <w:sdt>
              <w:sdtPr>
                <w:tag w:val="goog_rdk_14"/>
                <w:id w:val="-347252272"/>
              </w:sdtPr>
              <w:sdtContent>
                <w:r>
                  <w:rPr>
                    <w:rFonts w:ascii="Arial" w:eastAsia="Arial" w:hAnsi="Arial" w:cs="Arial"/>
                    <w:color w:val="000000"/>
                    <w:sz w:val="26"/>
                    <w:szCs w:val="26"/>
                    <w:rtl/>
                  </w:rPr>
                  <w:t>ה</w:t>
                </w:r>
              </w:sdtContent>
            </w:sdt>
            <w:sdt>
              <w:sdtPr>
                <w:tag w:val="goog_rdk_15"/>
                <w:id w:val="-410236071"/>
              </w:sdtPr>
              <w:sdtContent>
                <w:r>
                  <w:rPr>
                    <w:rFonts w:ascii="Arial" w:eastAsia="Arial" w:hAnsi="Arial" w:cs="Arial"/>
                    <w:color w:val="000000"/>
                    <w:sz w:val="26"/>
                    <w:szCs w:val="26"/>
                    <w:rtl/>
                  </w:rPr>
                  <w:t>ֵ</w:t>
                </w:r>
              </w:sdtContent>
            </w:sdt>
            <w:sdt>
              <w:sdtPr>
                <w:tag w:val="goog_rdk_16"/>
                <w:id w:val="-245952827"/>
              </w:sdtPr>
              <w:sdtContent>
                <w:r>
                  <w:rPr>
                    <w:rFonts w:ascii="Arial" w:eastAsia="Arial" w:hAnsi="Arial" w:cs="Arial"/>
                    <w:color w:val="000000"/>
                    <w:sz w:val="26"/>
                    <w:szCs w:val="26"/>
                    <w:rtl/>
                  </w:rPr>
                  <w:t>ר</w:t>
                </w:r>
              </w:sdtContent>
            </w:sdt>
            <w:r>
              <w:rPr>
                <w:rFonts w:ascii="Merriweather" w:eastAsia="Merriweather" w:hAnsi="Merriweather" w:cs="Merriweather"/>
                <w:color w:val="000000"/>
                <w:sz w:val="26"/>
                <w:szCs w:val="26"/>
              </w:rPr>
              <w:t>; Deut 7:4), thus presenting the destruction of the Canaanites as a defensive measure of sorts.</w:t>
            </w:r>
          </w:p>
        </w:tc>
        <w:tc>
          <w:tcPr>
            <w:tcW w:w="4675" w:type="dxa"/>
          </w:tcPr>
          <w:p w14:paraId="00000030" w14:textId="4DD5E56C" w:rsidR="004E732A" w:rsidRDefault="00000000">
            <w:pPr>
              <w:bidi/>
              <w:spacing w:line="276" w:lineRule="auto"/>
              <w:rPr>
                <w:color w:val="333333"/>
                <w:sz w:val="28"/>
                <w:szCs w:val="28"/>
              </w:rPr>
            </w:pPr>
            <w:r>
              <w:rPr>
                <w:color w:val="333333"/>
                <w:sz w:val="28"/>
                <w:szCs w:val="28"/>
                <w:rtl/>
              </w:rPr>
              <w:lastRenderedPageBreak/>
              <w:t>ואכן, במקומות אחרים מזהיר ספר דברים שאם לא ישמיד ישראל את עמי הארץ, ידיחו אותו עמים אלו לעבודה זרה, ובתגובה יחרה ב</w:t>
            </w:r>
            <w:r w:rsidR="00DD7C4A">
              <w:rPr>
                <w:rFonts w:hint="cs"/>
                <w:color w:val="333333"/>
                <w:sz w:val="28"/>
                <w:szCs w:val="28"/>
                <w:rtl/>
              </w:rPr>
              <w:t>ו</w:t>
            </w:r>
            <w:r>
              <w:rPr>
                <w:color w:val="333333"/>
                <w:sz w:val="28"/>
                <w:szCs w:val="28"/>
                <w:rtl/>
              </w:rPr>
              <w:t xml:space="preserve"> אף יהו-ה "והשמידך מהר" (דברים ז:ד); כך </w:t>
            </w:r>
            <w:r>
              <w:rPr>
                <w:color w:val="333333"/>
                <w:sz w:val="28"/>
                <w:szCs w:val="28"/>
                <w:rtl/>
              </w:rPr>
              <w:lastRenderedPageBreak/>
              <w:t>מציג דברים את רצח הכנענים כצעד של מגננה.</w:t>
            </w:r>
          </w:p>
        </w:tc>
      </w:tr>
      <w:tr w:rsidR="004E732A" w14:paraId="60846129" w14:textId="77777777">
        <w:tc>
          <w:tcPr>
            <w:tcW w:w="4675" w:type="dxa"/>
          </w:tcPr>
          <w:p w14:paraId="00000031" w14:textId="77777777" w:rsidR="004E732A" w:rsidRDefault="00000000">
            <w:pPr>
              <w:shd w:val="clear" w:color="auto" w:fill="FFFFFF"/>
              <w:spacing w:before="210" w:after="210"/>
              <w:jc w:val="center"/>
              <w:rPr>
                <w:rFonts w:ascii="Merriweather" w:eastAsia="Merriweather" w:hAnsi="Merriweather" w:cs="Merriweather"/>
                <w:color w:val="000000"/>
                <w:sz w:val="38"/>
                <w:szCs w:val="38"/>
              </w:rPr>
            </w:pPr>
            <w:r>
              <w:lastRenderedPageBreak/>
              <w:tab/>
            </w:r>
            <w:r>
              <w:rPr>
                <w:rFonts w:ascii="Merriweather" w:eastAsia="Merriweather" w:hAnsi="Merriweather" w:cs="Merriweather"/>
                <w:color w:val="000000"/>
                <w:sz w:val="38"/>
                <w:szCs w:val="38"/>
              </w:rPr>
              <w:t>Defeating the Forces of Chaos: </w:t>
            </w:r>
            <w:r>
              <w:rPr>
                <w:rFonts w:ascii="Merriweather" w:eastAsia="Merriweather" w:hAnsi="Merriweather" w:cs="Merriweather"/>
                <w:i/>
                <w:color w:val="000000"/>
                <w:sz w:val="38"/>
                <w:szCs w:val="38"/>
              </w:rPr>
              <w:t>Enuma elish</w:t>
            </w:r>
          </w:p>
          <w:p w14:paraId="00000032" w14:textId="77777777" w:rsidR="004E732A" w:rsidRDefault="004E732A">
            <w:pPr>
              <w:tabs>
                <w:tab w:val="left" w:pos="1275"/>
              </w:tabs>
              <w:spacing w:line="276" w:lineRule="auto"/>
            </w:pPr>
          </w:p>
        </w:tc>
        <w:tc>
          <w:tcPr>
            <w:tcW w:w="4675" w:type="dxa"/>
          </w:tcPr>
          <w:p w14:paraId="00000033" w14:textId="77777777" w:rsidR="004E732A" w:rsidRDefault="00000000">
            <w:pPr>
              <w:bidi/>
              <w:spacing w:line="276" w:lineRule="auto"/>
              <w:rPr>
                <w:color w:val="333333"/>
                <w:sz w:val="28"/>
                <w:szCs w:val="28"/>
              </w:rPr>
            </w:pPr>
            <w:r>
              <w:rPr>
                <w:color w:val="333333"/>
                <w:sz w:val="28"/>
                <w:szCs w:val="28"/>
                <w:rtl/>
              </w:rPr>
              <w:t>הבסת כוחות הכאוס: אנומה אליש</w:t>
            </w:r>
          </w:p>
        </w:tc>
      </w:tr>
      <w:tr w:rsidR="004E732A" w14:paraId="51904207" w14:textId="77777777">
        <w:tc>
          <w:tcPr>
            <w:tcW w:w="4675" w:type="dxa"/>
          </w:tcPr>
          <w:p w14:paraId="00000034"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Another approach found in the ancient Near East is to express defeat of one’s enemies as reflecting the primeval struggle of the gods against chaos.</w:t>
            </w:r>
            <w:r>
              <w:rPr>
                <w:rFonts w:ascii="Merriweather" w:eastAsia="Merriweather" w:hAnsi="Merriweather" w:cs="Merriweather"/>
                <w:color w:val="B22222"/>
                <w:sz w:val="23"/>
                <w:szCs w:val="23"/>
                <w:vertAlign w:val="superscript"/>
              </w:rPr>
              <w:t>[3]</w:t>
            </w:r>
            <w:r>
              <w:rPr>
                <w:rFonts w:ascii="Merriweather" w:eastAsia="Merriweather" w:hAnsi="Merriweather" w:cs="Merriweather"/>
                <w:color w:val="000000"/>
                <w:sz w:val="26"/>
                <w:szCs w:val="26"/>
              </w:rPr>
              <w:t> The clearest example of this type of rhetoric draws on the Mesopotamian myth known as </w:t>
            </w:r>
            <w:r>
              <w:rPr>
                <w:rFonts w:ascii="Merriweather" w:eastAsia="Merriweather" w:hAnsi="Merriweather" w:cs="Merriweather"/>
                <w:i/>
                <w:color w:val="000000"/>
                <w:sz w:val="26"/>
                <w:szCs w:val="26"/>
              </w:rPr>
              <w:t>Enuma elish</w:t>
            </w:r>
            <w:r>
              <w:rPr>
                <w:rFonts w:ascii="Merriweather" w:eastAsia="Merriweather" w:hAnsi="Merriweather" w:cs="Merriweather"/>
                <w:color w:val="000000"/>
                <w:sz w:val="26"/>
                <w:szCs w:val="26"/>
              </w:rPr>
              <w:t>. In the story, Tiamat, the watery mother of the gods, threatens to destroy the gods in anger over the killing of her husband, Apsu. The gods then declare Marduk, the most powerful deity, to be king, and they commission him to fight against Tiamat.</w:t>
            </w:r>
            <w:r>
              <w:rPr>
                <w:rFonts w:ascii="Merriweather" w:eastAsia="Merriweather" w:hAnsi="Merriweather" w:cs="Merriweather"/>
                <w:color w:val="B22222"/>
                <w:sz w:val="23"/>
                <w:szCs w:val="23"/>
                <w:vertAlign w:val="superscript"/>
              </w:rPr>
              <w:t>[4]</w:t>
            </w:r>
            <w:r>
              <w:rPr>
                <w:rFonts w:ascii="Merriweather" w:eastAsia="Merriweather" w:hAnsi="Merriweather" w:cs="Merriweather"/>
                <w:color w:val="000000"/>
                <w:sz w:val="26"/>
                <w:szCs w:val="26"/>
              </w:rPr>
              <w:t> Marduk defeats her and uses her body parts to create the orderly and habitable universe where we now live.</w:t>
            </w:r>
          </w:p>
          <w:p w14:paraId="00000035" w14:textId="77777777" w:rsidR="004E732A" w:rsidRDefault="004E732A">
            <w:pPr>
              <w:tabs>
                <w:tab w:val="left" w:pos="2865"/>
              </w:tabs>
              <w:spacing w:line="276" w:lineRule="auto"/>
            </w:pPr>
          </w:p>
        </w:tc>
        <w:tc>
          <w:tcPr>
            <w:tcW w:w="4675" w:type="dxa"/>
          </w:tcPr>
          <w:p w14:paraId="00000036" w14:textId="4294D90E" w:rsidR="004E732A" w:rsidRDefault="00000000">
            <w:pPr>
              <w:bidi/>
              <w:spacing w:line="276" w:lineRule="auto"/>
              <w:rPr>
                <w:color w:val="333333"/>
                <w:sz w:val="28"/>
                <w:szCs w:val="28"/>
              </w:rPr>
            </w:pPr>
            <w:r>
              <w:rPr>
                <w:color w:val="333333"/>
                <w:sz w:val="28"/>
                <w:szCs w:val="28"/>
                <w:rtl/>
              </w:rPr>
              <w:t xml:space="preserve">גישה אחרת שרווחה במזרח התיכון הקדום היא להציג את תבוסת האויב כחלק ממלחמת בראשית של האלים בכאוס, </w:t>
            </w:r>
            <w:r w:rsidR="00DD7C4A">
              <w:rPr>
                <w:rFonts w:hint="cs"/>
                <w:color w:val="333333"/>
                <w:sz w:val="28"/>
                <w:szCs w:val="28"/>
                <w:rtl/>
              </w:rPr>
              <w:t xml:space="preserve">היא </w:t>
            </w:r>
            <w:r>
              <w:rPr>
                <w:color w:val="333333"/>
                <w:sz w:val="28"/>
                <w:szCs w:val="28"/>
                <w:rtl/>
              </w:rPr>
              <w:t>ה</w:t>
            </w:r>
            <w:r w:rsidR="00DD7C4A">
              <w:rPr>
                <w:rFonts w:hint="cs"/>
                <w:color w:val="333333"/>
                <w:sz w:val="28"/>
                <w:szCs w:val="28"/>
                <w:rtl/>
              </w:rPr>
              <w:t>תהום, הוא ה</w:t>
            </w:r>
            <w:r>
              <w:rPr>
                <w:color w:val="333333"/>
                <w:sz w:val="28"/>
                <w:szCs w:val="28"/>
                <w:rtl/>
              </w:rPr>
              <w:t>תוהו ובוהו.</w:t>
            </w:r>
            <w:r>
              <w:rPr>
                <w:color w:val="333333"/>
                <w:sz w:val="28"/>
                <w:szCs w:val="28"/>
                <w:vertAlign w:val="superscript"/>
              </w:rPr>
              <w:t>[3]</w:t>
            </w:r>
            <w:r>
              <w:rPr>
                <w:color w:val="333333"/>
                <w:sz w:val="28"/>
                <w:szCs w:val="28"/>
                <w:rtl/>
              </w:rPr>
              <w:t xml:space="preserve"> הדוגמה המייצגת ביותר לרטוריקה זו מצויה במיתוס הבבלי המוכר בשם "אנומה אליש". המיתוס מתאר את תיאמת, אם האלים ואלת המים, המאיימת להרוג את האלים בחמתה על מות בעלה, אפסו. האלים ממליכים עליהם את מרדוך, החזק שבהם, ושולחים אותו להילחם בתיאמת.</w:t>
            </w:r>
            <w:r w:rsidRPr="00DD7C4A">
              <w:rPr>
                <w:color w:val="333333"/>
                <w:sz w:val="28"/>
                <w:szCs w:val="28"/>
                <w:vertAlign w:val="superscript"/>
                <w:rtl/>
              </w:rPr>
              <w:t xml:space="preserve">[4] </w:t>
            </w:r>
            <w:r>
              <w:rPr>
                <w:color w:val="333333"/>
                <w:sz w:val="28"/>
                <w:szCs w:val="28"/>
                <w:rtl/>
              </w:rPr>
              <w:t>מרדוך מביס אותה ומתוך בתרי גופה בורא את היקום שאנו חיים בו – יקום שבו שוררים סדר ותנאים ראויים לחיים.</w:t>
            </w:r>
          </w:p>
        </w:tc>
      </w:tr>
      <w:tr w:rsidR="004E732A" w14:paraId="2641E21B" w14:textId="77777777">
        <w:tc>
          <w:tcPr>
            <w:tcW w:w="4675" w:type="dxa"/>
          </w:tcPr>
          <w:p w14:paraId="00000037"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 xml:space="preserve">In Mesopotamian royal propaganda, the human king </w:t>
            </w:r>
            <w:r>
              <w:rPr>
                <w:rFonts w:ascii="Merriweather" w:eastAsia="Merriweather" w:hAnsi="Merriweather" w:cs="Merriweather"/>
                <w:color w:val="000000"/>
                <w:sz w:val="26"/>
                <w:szCs w:val="26"/>
              </w:rPr>
              <w:lastRenderedPageBreak/>
              <w:t>demonstrates his fitness for kingship by assuming the role of Marduk and proving his prowess as a warrior.</w:t>
            </w:r>
            <w:r>
              <w:rPr>
                <w:rFonts w:ascii="Merriweather" w:eastAsia="Merriweather" w:hAnsi="Merriweather" w:cs="Merriweather"/>
                <w:color w:val="B22222"/>
                <w:sz w:val="23"/>
                <w:szCs w:val="23"/>
                <w:vertAlign w:val="superscript"/>
              </w:rPr>
              <w:t>[5]</w:t>
            </w:r>
            <w:r>
              <w:rPr>
                <w:rFonts w:ascii="Merriweather" w:eastAsia="Merriweather" w:hAnsi="Merriweather" w:cs="Merriweather"/>
                <w:color w:val="000000"/>
                <w:sz w:val="26"/>
                <w:szCs w:val="26"/>
              </w:rPr>
              <w:t> Indeed, following the model of kingship established by Marduk’s combat with Tiamat, the first task a new king must undertake is to go out on a military campaign.</w:t>
            </w:r>
          </w:p>
          <w:p w14:paraId="00000038" w14:textId="77777777" w:rsidR="004E732A" w:rsidRDefault="004E732A">
            <w:pPr>
              <w:tabs>
                <w:tab w:val="left" w:pos="2865"/>
              </w:tabs>
              <w:spacing w:line="276" w:lineRule="auto"/>
            </w:pPr>
          </w:p>
        </w:tc>
        <w:tc>
          <w:tcPr>
            <w:tcW w:w="4675" w:type="dxa"/>
          </w:tcPr>
          <w:p w14:paraId="00000039" w14:textId="77777777" w:rsidR="004E732A" w:rsidRDefault="00000000">
            <w:pPr>
              <w:bidi/>
              <w:spacing w:line="276" w:lineRule="auto"/>
              <w:rPr>
                <w:color w:val="333333"/>
                <w:sz w:val="28"/>
                <w:szCs w:val="28"/>
              </w:rPr>
            </w:pPr>
            <w:r>
              <w:rPr>
                <w:color w:val="333333"/>
                <w:sz w:val="28"/>
                <w:szCs w:val="28"/>
                <w:rtl/>
              </w:rPr>
              <w:lastRenderedPageBreak/>
              <w:t xml:space="preserve">בתעמולה של מלכי מסופוטמיה היה המלך בן-האנוש מוכיח את היותו ראוי למלוכה </w:t>
            </w:r>
            <w:r>
              <w:rPr>
                <w:color w:val="333333"/>
                <w:sz w:val="28"/>
                <w:szCs w:val="28"/>
                <w:rtl/>
              </w:rPr>
              <w:lastRenderedPageBreak/>
              <w:t>באמצעות כניסה לתפקידו של מרדוך והוכחת כוחו כלוחם.</w:t>
            </w:r>
            <w:r w:rsidRPr="00DD7C4A">
              <w:rPr>
                <w:color w:val="333333"/>
                <w:sz w:val="28"/>
                <w:szCs w:val="28"/>
                <w:vertAlign w:val="superscript"/>
                <w:rtl/>
              </w:rPr>
              <w:t>[5]</w:t>
            </w:r>
            <w:r>
              <w:rPr>
                <w:color w:val="333333"/>
                <w:sz w:val="28"/>
                <w:szCs w:val="28"/>
                <w:rtl/>
              </w:rPr>
              <w:t xml:space="preserve"> בדגם המלוכה המושתת על מלחמתו של מרדוך בתיאמת, המשימה הראשונה שעל המלך לקחת על עצמו היא יציאה למסע מלחמה.</w:t>
            </w:r>
          </w:p>
        </w:tc>
      </w:tr>
      <w:tr w:rsidR="004E732A" w14:paraId="488BFE4C" w14:textId="77777777">
        <w:tc>
          <w:tcPr>
            <w:tcW w:w="4675" w:type="dxa"/>
          </w:tcPr>
          <w:p w14:paraId="0000003A" w14:textId="77777777" w:rsidR="004E732A" w:rsidRDefault="00000000">
            <w:pPr>
              <w:shd w:val="clear" w:color="auto" w:fill="FFFFFF"/>
              <w:spacing w:before="300" w:after="150"/>
              <w:rPr>
                <w:rFonts w:ascii="Merriweather" w:eastAsia="Merriweather" w:hAnsi="Merriweather" w:cs="Merriweather"/>
                <w:color w:val="000000"/>
                <w:sz w:val="32"/>
                <w:szCs w:val="32"/>
              </w:rPr>
            </w:pPr>
            <w:r>
              <w:rPr>
                <w:rFonts w:ascii="Merriweather" w:eastAsia="Merriweather" w:hAnsi="Merriweather" w:cs="Merriweather"/>
                <w:color w:val="000000"/>
                <w:sz w:val="32"/>
                <w:szCs w:val="32"/>
              </w:rPr>
              <w:lastRenderedPageBreak/>
              <w:t>Girded with Marduk’s Weapons</w:t>
            </w:r>
          </w:p>
          <w:p w14:paraId="0000003B"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The invocation of creation mythology in service of royal military campaigns is explicit in the titulary of the great imperial Assyrian king, Tiglath-pileser III’s (r. 745–727</w:t>
            </w:r>
            <w:r>
              <w:rPr>
                <w:rFonts w:ascii="Merriweather" w:eastAsia="Merriweather" w:hAnsi="Merriweather" w:cs="Merriweather"/>
                <w:smallCaps/>
                <w:color w:val="000000"/>
                <w:sz w:val="26"/>
                <w:szCs w:val="26"/>
              </w:rPr>
              <w:t> B.C.E</w:t>
            </w:r>
            <w:r>
              <w:rPr>
                <w:rFonts w:ascii="Merriweather" w:eastAsia="Merriweather" w:hAnsi="Merriweather" w:cs="Merriweather"/>
                <w:color w:val="000000"/>
                <w:sz w:val="26"/>
                <w:szCs w:val="26"/>
              </w:rPr>
              <w:t>.), which served as a summary of his self-perception. Of his effects on his enemies, he claims:</w:t>
            </w:r>
          </w:p>
          <w:p w14:paraId="0000003C" w14:textId="77777777" w:rsidR="004E732A" w:rsidRDefault="004E732A">
            <w:pPr>
              <w:tabs>
                <w:tab w:val="left" w:pos="2865"/>
              </w:tabs>
              <w:spacing w:line="276" w:lineRule="auto"/>
            </w:pPr>
          </w:p>
        </w:tc>
        <w:tc>
          <w:tcPr>
            <w:tcW w:w="4675" w:type="dxa"/>
          </w:tcPr>
          <w:p w14:paraId="0000003D" w14:textId="77777777" w:rsidR="004E732A" w:rsidRDefault="00000000">
            <w:pPr>
              <w:bidi/>
              <w:spacing w:line="276" w:lineRule="auto"/>
              <w:rPr>
                <w:color w:val="333333"/>
                <w:sz w:val="28"/>
                <w:szCs w:val="28"/>
              </w:rPr>
            </w:pPr>
            <w:r>
              <w:rPr>
                <w:color w:val="333333"/>
                <w:sz w:val="28"/>
                <w:szCs w:val="28"/>
                <w:rtl/>
              </w:rPr>
              <w:t>חגור בנשקו של מרדוך</w:t>
            </w:r>
          </w:p>
          <w:p w14:paraId="0000003E" w14:textId="3FF13951" w:rsidR="004E732A" w:rsidRDefault="00000000">
            <w:pPr>
              <w:bidi/>
              <w:spacing w:line="276" w:lineRule="auto"/>
              <w:rPr>
                <w:color w:val="333333"/>
                <w:sz w:val="28"/>
                <w:szCs w:val="28"/>
              </w:rPr>
            </w:pPr>
            <w:r>
              <w:rPr>
                <w:color w:val="333333"/>
                <w:sz w:val="28"/>
                <w:szCs w:val="28"/>
                <w:rtl/>
              </w:rPr>
              <w:t xml:space="preserve">השימוש במיתולוגיית הבריאה </w:t>
            </w:r>
            <w:r w:rsidR="00DD7C4A">
              <w:rPr>
                <w:rFonts w:hint="cs"/>
                <w:color w:val="333333"/>
                <w:sz w:val="28"/>
                <w:szCs w:val="28"/>
                <w:rtl/>
              </w:rPr>
              <w:t>ל</w:t>
            </w:r>
            <w:r>
              <w:rPr>
                <w:color w:val="333333"/>
                <w:sz w:val="28"/>
                <w:szCs w:val="28"/>
                <w:rtl/>
              </w:rPr>
              <w:t xml:space="preserve">שירות מערכות המלחמה של המלכים </w:t>
            </w:r>
            <w:r w:rsidR="00DD7C4A">
              <w:rPr>
                <w:rFonts w:hint="cs"/>
                <w:color w:val="333333"/>
                <w:sz w:val="28"/>
                <w:szCs w:val="28"/>
                <w:rtl/>
              </w:rPr>
              <w:t xml:space="preserve">מתבטא באופן </w:t>
            </w:r>
            <w:r>
              <w:rPr>
                <w:color w:val="333333"/>
                <w:sz w:val="28"/>
                <w:szCs w:val="28"/>
                <w:rtl/>
              </w:rPr>
              <w:t>מפורש בתוארו של המלך האשורי הגדול, שליט האימפריה תגלת פלאסר השלישי (מלך 745–727 לפנה"ס), המשמש כתמצית של תפיסתו העצמית. וכך העיד על עצמו בכל האמור בהשפעתו על אויביו:</w:t>
            </w:r>
          </w:p>
        </w:tc>
      </w:tr>
      <w:tr w:rsidR="004E732A" w14:paraId="3DA7974E" w14:textId="77777777">
        <w:tc>
          <w:tcPr>
            <w:tcW w:w="4675" w:type="dxa"/>
          </w:tcPr>
          <w:p w14:paraId="0000003F"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Valiant man who, with the help of Aššur, his lord, smashed like pots all the unsubmissive, </w:t>
            </w:r>
            <w:r>
              <w:rPr>
                <w:rFonts w:ascii="Merriweather" w:eastAsia="Merriweather" w:hAnsi="Merriweather" w:cs="Merriweather"/>
                <w:b/>
                <w:color w:val="000000"/>
                <w:sz w:val="26"/>
                <w:szCs w:val="26"/>
              </w:rPr>
              <w:t>swept over them like the flood</w:t>
            </w:r>
            <w:r>
              <w:rPr>
                <w:rFonts w:ascii="Merriweather" w:eastAsia="Merriweather" w:hAnsi="Merriweather" w:cs="Merriweather"/>
                <w:color w:val="000000"/>
                <w:sz w:val="26"/>
                <w:szCs w:val="26"/>
              </w:rPr>
              <w:t>, made them as powerless ghosts.</w:t>
            </w:r>
            <w:r>
              <w:rPr>
                <w:rFonts w:ascii="Merriweather" w:eastAsia="Merriweather" w:hAnsi="Merriweather" w:cs="Merriweather"/>
                <w:color w:val="B22222"/>
                <w:sz w:val="23"/>
                <w:szCs w:val="23"/>
                <w:vertAlign w:val="superscript"/>
              </w:rPr>
              <w:t>[6]</w:t>
            </w:r>
          </w:p>
          <w:p w14:paraId="00000040" w14:textId="77777777" w:rsidR="004E732A" w:rsidRDefault="004E732A">
            <w:pPr>
              <w:tabs>
                <w:tab w:val="left" w:pos="2865"/>
              </w:tabs>
              <w:spacing w:line="276" w:lineRule="auto"/>
            </w:pPr>
          </w:p>
        </w:tc>
        <w:tc>
          <w:tcPr>
            <w:tcW w:w="4675" w:type="dxa"/>
          </w:tcPr>
          <w:p w14:paraId="00000041" w14:textId="2430B56A" w:rsidR="004E732A" w:rsidRDefault="00DD7C4A">
            <w:pPr>
              <w:bidi/>
              <w:spacing w:line="276" w:lineRule="auto"/>
              <w:rPr>
                <w:color w:val="333333"/>
                <w:sz w:val="28"/>
                <w:szCs w:val="28"/>
              </w:rPr>
            </w:pPr>
            <w:r>
              <w:rPr>
                <w:rFonts w:hint="cs"/>
                <w:color w:val="333333"/>
                <w:sz w:val="28"/>
                <w:szCs w:val="28"/>
                <w:highlight w:val="yellow"/>
                <w:rtl/>
              </w:rPr>
              <w:t>ה</w:t>
            </w:r>
            <w:commentRangeStart w:id="0"/>
            <w:r>
              <w:rPr>
                <w:color w:val="333333"/>
                <w:sz w:val="28"/>
                <w:szCs w:val="28"/>
                <w:highlight w:val="yellow"/>
                <w:rtl/>
              </w:rPr>
              <w:t>גיבור שבעזר אשור אדוניו ניתץ כנתץ סירים את העומדים בפניו, שטף עליהם כמבול, עשאם כרוח ללא כוח.</w:t>
            </w:r>
            <w:r w:rsidRPr="00DD7C4A">
              <w:rPr>
                <w:color w:val="333333"/>
                <w:sz w:val="28"/>
                <w:szCs w:val="28"/>
                <w:highlight w:val="yellow"/>
                <w:vertAlign w:val="superscript"/>
                <w:rtl/>
              </w:rPr>
              <w:t>[6]</w:t>
            </w:r>
            <w:commentRangeEnd w:id="0"/>
            <w:r w:rsidR="00542259" w:rsidRPr="00DD7C4A">
              <w:rPr>
                <w:rStyle w:val="CommentReference"/>
                <w:vertAlign w:val="superscript"/>
              </w:rPr>
              <w:commentReference w:id="0"/>
            </w:r>
          </w:p>
        </w:tc>
      </w:tr>
      <w:tr w:rsidR="004E732A" w14:paraId="6164622D" w14:textId="77777777">
        <w:tc>
          <w:tcPr>
            <w:tcW w:w="4675" w:type="dxa"/>
          </w:tcPr>
          <w:p w14:paraId="00000042"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The flood is one of the weapons that Marduk uses in his battle against Tiamat:</w:t>
            </w:r>
          </w:p>
          <w:p w14:paraId="00000043" w14:textId="77777777" w:rsidR="004E732A" w:rsidRDefault="004E732A">
            <w:pPr>
              <w:tabs>
                <w:tab w:val="left" w:pos="2865"/>
              </w:tabs>
              <w:spacing w:line="276" w:lineRule="auto"/>
            </w:pPr>
          </w:p>
        </w:tc>
        <w:tc>
          <w:tcPr>
            <w:tcW w:w="4675" w:type="dxa"/>
          </w:tcPr>
          <w:p w14:paraId="00000044" w14:textId="77777777" w:rsidR="004E732A" w:rsidRDefault="00000000">
            <w:pPr>
              <w:bidi/>
              <w:spacing w:line="276" w:lineRule="auto"/>
              <w:rPr>
                <w:color w:val="333333"/>
                <w:sz w:val="28"/>
                <w:szCs w:val="28"/>
              </w:rPr>
            </w:pPr>
            <w:r>
              <w:rPr>
                <w:color w:val="333333"/>
                <w:sz w:val="28"/>
                <w:szCs w:val="28"/>
                <w:rtl/>
              </w:rPr>
              <w:t>המבול הוא אחד מכלי הנשק המשמשים את מרדוך במלחמתו על תיאמת:</w:t>
            </w:r>
          </w:p>
        </w:tc>
      </w:tr>
      <w:tr w:rsidR="004E732A" w14:paraId="72FE5CAC" w14:textId="77777777">
        <w:tc>
          <w:tcPr>
            <w:tcW w:w="4675" w:type="dxa"/>
          </w:tcPr>
          <w:p w14:paraId="00000045"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i/>
                <w:color w:val="000000"/>
                <w:sz w:val="19"/>
                <w:szCs w:val="19"/>
                <w:vertAlign w:val="superscript"/>
              </w:rPr>
              <w:lastRenderedPageBreak/>
              <w:t>EE</w:t>
            </w:r>
            <w:r>
              <w:rPr>
                <w:rFonts w:ascii="Merriweather" w:eastAsia="Merriweather" w:hAnsi="Merriweather" w:cs="Merriweather"/>
                <w:color w:val="000000"/>
                <w:sz w:val="19"/>
                <w:szCs w:val="19"/>
                <w:vertAlign w:val="superscript"/>
              </w:rPr>
              <w:t> IV 48–49</w:t>
            </w:r>
            <w:r>
              <w:rPr>
                <w:rFonts w:ascii="Merriweather" w:eastAsia="Merriweather" w:hAnsi="Merriweather" w:cs="Merriweather"/>
                <w:color w:val="000000"/>
                <w:sz w:val="26"/>
                <w:szCs w:val="26"/>
              </w:rPr>
              <w:t> The lord raised the </w:t>
            </w:r>
            <w:r>
              <w:rPr>
                <w:rFonts w:ascii="Merriweather" w:eastAsia="Merriweather" w:hAnsi="Merriweather" w:cs="Merriweather"/>
                <w:b/>
                <w:color w:val="000000"/>
                <w:sz w:val="26"/>
                <w:szCs w:val="26"/>
              </w:rPr>
              <w:t>flood-weapon</w:t>
            </w:r>
            <w:r>
              <w:rPr>
                <w:rFonts w:ascii="Merriweather" w:eastAsia="Merriweather" w:hAnsi="Merriweather" w:cs="Merriweather"/>
                <w:color w:val="000000"/>
                <w:sz w:val="26"/>
                <w:szCs w:val="26"/>
              </w:rPr>
              <w:t>, his great weapon,</w:t>
            </w:r>
            <w:r>
              <w:rPr>
                <w:rFonts w:ascii="Merriweather" w:eastAsia="Merriweather" w:hAnsi="Merriweather" w:cs="Merriweather"/>
                <w:color w:val="000000"/>
                <w:sz w:val="26"/>
                <w:szCs w:val="26"/>
              </w:rPr>
              <w:br/>
              <w:t>And mounted the frightful, unfaceable </w:t>
            </w:r>
            <w:r>
              <w:rPr>
                <w:rFonts w:ascii="Merriweather" w:eastAsia="Merriweather" w:hAnsi="Merriweather" w:cs="Merriweather"/>
                <w:b/>
                <w:color w:val="000000"/>
                <w:sz w:val="26"/>
                <w:szCs w:val="26"/>
              </w:rPr>
              <w:t>storm-chariot</w:t>
            </w:r>
            <w:r>
              <w:rPr>
                <w:rFonts w:ascii="Merriweather" w:eastAsia="Merriweather" w:hAnsi="Merriweather" w:cs="Merriweather"/>
                <w:color w:val="000000"/>
                <w:sz w:val="26"/>
                <w:szCs w:val="26"/>
              </w:rPr>
              <w:t>....</w:t>
            </w:r>
          </w:p>
          <w:p w14:paraId="00000046" w14:textId="77777777" w:rsidR="004E732A" w:rsidRDefault="004E732A">
            <w:pPr>
              <w:shd w:val="clear" w:color="auto" w:fill="FFFFFF"/>
              <w:spacing w:after="300"/>
              <w:ind w:firstLine="720"/>
              <w:rPr>
                <w:rFonts w:ascii="Merriweather" w:eastAsia="Merriweather" w:hAnsi="Merriweather" w:cs="Merriweather"/>
                <w:color w:val="000000"/>
                <w:sz w:val="26"/>
                <w:szCs w:val="26"/>
              </w:rPr>
            </w:pPr>
          </w:p>
        </w:tc>
        <w:tc>
          <w:tcPr>
            <w:tcW w:w="4675" w:type="dxa"/>
          </w:tcPr>
          <w:p w14:paraId="00000047" w14:textId="217F6CE2" w:rsidR="004E732A" w:rsidRDefault="00000000">
            <w:pPr>
              <w:bidi/>
              <w:spacing w:line="276" w:lineRule="auto"/>
              <w:rPr>
                <w:color w:val="333333"/>
                <w:sz w:val="28"/>
                <w:szCs w:val="28"/>
              </w:rPr>
            </w:pPr>
            <w:sdt>
              <w:sdtPr>
                <w:rPr>
                  <w:rtl/>
                </w:rPr>
                <w:tag w:val="goog_rdk_17"/>
                <w:id w:val="-970121767"/>
              </w:sdtPr>
              <w:sdtContent>
                <w:commentRangeStart w:id="1"/>
              </w:sdtContent>
            </w:sdt>
            <w:r>
              <w:rPr>
                <w:color w:val="333333"/>
                <w:sz w:val="28"/>
                <w:szCs w:val="28"/>
                <w:highlight w:val="yellow"/>
                <w:vertAlign w:val="superscript"/>
                <w:rtl/>
              </w:rPr>
              <w:t>אנומה אליש לוח רביעי 48–49</w:t>
            </w:r>
            <w:r>
              <w:rPr>
                <w:color w:val="333333"/>
                <w:sz w:val="28"/>
                <w:szCs w:val="28"/>
                <w:highlight w:val="yellow"/>
                <w:rtl/>
              </w:rPr>
              <w:t xml:space="preserve">והאדון הניף את </w:t>
            </w:r>
            <w:r>
              <w:rPr>
                <w:b/>
                <w:color w:val="333333"/>
                <w:sz w:val="28"/>
                <w:szCs w:val="28"/>
                <w:highlight w:val="yellow"/>
                <w:rtl/>
              </w:rPr>
              <w:t>נשק המבול</w:t>
            </w:r>
            <w:r>
              <w:rPr>
                <w:color w:val="333333"/>
                <w:sz w:val="28"/>
                <w:szCs w:val="28"/>
                <w:highlight w:val="yellow"/>
                <w:rtl/>
              </w:rPr>
              <w:t xml:space="preserve">, כלי נשקו הגדול, ועלה על </w:t>
            </w:r>
            <w:r>
              <w:rPr>
                <w:b/>
                <w:color w:val="333333"/>
                <w:sz w:val="28"/>
                <w:szCs w:val="28"/>
                <w:highlight w:val="yellow"/>
                <w:rtl/>
              </w:rPr>
              <w:t>כרכרת הסערה</w:t>
            </w:r>
            <w:r>
              <w:rPr>
                <w:color w:val="333333"/>
                <w:sz w:val="28"/>
                <w:szCs w:val="28"/>
                <w:highlight w:val="yellow"/>
                <w:rtl/>
              </w:rPr>
              <w:t xml:space="preserve"> הנוראה שאין עומד נגדה...</w:t>
            </w:r>
            <w:commentRangeEnd w:id="1"/>
            <w:r>
              <w:commentReference w:id="1"/>
            </w:r>
          </w:p>
        </w:tc>
      </w:tr>
      <w:tr w:rsidR="004E732A" w14:paraId="23363769" w14:textId="77777777">
        <w:tc>
          <w:tcPr>
            <w:tcW w:w="4675" w:type="dxa"/>
          </w:tcPr>
          <w:p w14:paraId="00000048"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Sargon II (r. 724–705) also uses imagery drawn from Marduk’s weapons:</w:t>
            </w:r>
          </w:p>
          <w:p w14:paraId="00000049"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b/>
                <w:color w:val="000000"/>
                <w:sz w:val="26"/>
                <w:szCs w:val="26"/>
              </w:rPr>
              <w:t>Storm</w:t>
            </w:r>
            <w:r>
              <w:rPr>
                <w:rFonts w:ascii="Merriweather" w:eastAsia="Merriweather" w:hAnsi="Merriweather" w:cs="Merriweather"/>
                <w:color w:val="000000"/>
                <w:sz w:val="26"/>
                <w:szCs w:val="26"/>
              </w:rPr>
              <w:t>—“Like the onslaught of a storm, I overwhelmed the cities of Sam</w:t>
            </w:r>
            <w:r>
              <w:rPr>
                <w:rFonts w:ascii="Times New Roman" w:eastAsia="Times New Roman" w:hAnsi="Times New Roman" w:cs="Times New Roman"/>
                <w:color w:val="000000"/>
                <w:sz w:val="26"/>
                <w:szCs w:val="26"/>
              </w:rPr>
              <w:t>ʾ</w:t>
            </w:r>
            <w:r>
              <w:rPr>
                <w:rFonts w:ascii="Merriweather" w:eastAsia="Merriweather" w:hAnsi="Merriweather" w:cs="Merriweather"/>
                <w:color w:val="000000"/>
                <w:sz w:val="26"/>
                <w:szCs w:val="26"/>
              </w:rPr>
              <w:t>ūna and Bāb-dūri.”</w:t>
            </w:r>
            <w:r>
              <w:rPr>
                <w:rFonts w:ascii="Merriweather" w:eastAsia="Merriweather" w:hAnsi="Merriweather" w:cs="Merriweather"/>
                <w:color w:val="B22222"/>
                <w:sz w:val="23"/>
                <w:szCs w:val="23"/>
                <w:vertAlign w:val="superscript"/>
              </w:rPr>
              <w:t>[7]</w:t>
            </w:r>
          </w:p>
          <w:p w14:paraId="0000004A"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4B" w14:textId="77777777" w:rsidR="004E732A" w:rsidRDefault="00000000">
            <w:pPr>
              <w:bidi/>
              <w:spacing w:line="276" w:lineRule="auto"/>
              <w:rPr>
                <w:color w:val="333333"/>
                <w:sz w:val="28"/>
                <w:szCs w:val="28"/>
              </w:rPr>
            </w:pPr>
            <w:r>
              <w:rPr>
                <w:color w:val="333333"/>
                <w:sz w:val="28"/>
                <w:szCs w:val="28"/>
                <w:rtl/>
              </w:rPr>
              <w:t>סרגון השני (מלך 724–705 לפנה"ס) אף הוא משתמש בדימויים השואלים את כלי נשקו של מרדוך:</w:t>
            </w:r>
          </w:p>
          <w:p w14:paraId="0000004C" w14:textId="26914DCA" w:rsidR="004E732A" w:rsidRDefault="00000000">
            <w:pPr>
              <w:bidi/>
              <w:spacing w:line="276" w:lineRule="auto"/>
              <w:rPr>
                <w:color w:val="333333"/>
                <w:sz w:val="28"/>
                <w:szCs w:val="28"/>
              </w:rPr>
            </w:pPr>
            <w:r w:rsidRPr="00273305">
              <w:rPr>
                <w:bCs/>
                <w:color w:val="333333"/>
                <w:sz w:val="28"/>
                <w:szCs w:val="28"/>
                <w:rtl/>
              </w:rPr>
              <w:t>סערה</w:t>
            </w:r>
            <w:r>
              <w:rPr>
                <w:color w:val="333333"/>
                <w:sz w:val="28"/>
                <w:szCs w:val="28"/>
                <w:rtl/>
              </w:rPr>
              <w:t xml:space="preserve"> – "כ</w:t>
            </w:r>
            <w:r w:rsidR="00273305">
              <w:rPr>
                <w:rFonts w:hint="cs"/>
                <w:color w:val="333333"/>
                <w:sz w:val="28"/>
                <w:szCs w:val="28"/>
                <w:rtl/>
              </w:rPr>
              <w:t xml:space="preserve">בוא </w:t>
            </w:r>
            <w:r>
              <w:rPr>
                <w:color w:val="333333"/>
                <w:sz w:val="28"/>
                <w:szCs w:val="28"/>
                <w:rtl/>
              </w:rPr>
              <w:t>סערה</w:t>
            </w:r>
            <w:r w:rsidR="00273305">
              <w:rPr>
                <w:rFonts w:hint="cs"/>
                <w:color w:val="333333"/>
                <w:sz w:val="28"/>
                <w:szCs w:val="28"/>
                <w:rtl/>
              </w:rPr>
              <w:t xml:space="preserve"> עליתי על הערים סמעונה ובב-דורי".</w:t>
            </w:r>
            <w:r w:rsidR="00273305" w:rsidRPr="00DD7C4A">
              <w:rPr>
                <w:rFonts w:hint="cs"/>
                <w:color w:val="333333"/>
                <w:sz w:val="28"/>
                <w:szCs w:val="28"/>
                <w:vertAlign w:val="superscript"/>
                <w:rtl/>
              </w:rPr>
              <w:t>[7]</w:t>
            </w:r>
          </w:p>
        </w:tc>
      </w:tr>
      <w:tr w:rsidR="004E732A" w14:paraId="71F8739C" w14:textId="77777777">
        <w:tc>
          <w:tcPr>
            <w:tcW w:w="4675" w:type="dxa"/>
          </w:tcPr>
          <w:p w14:paraId="0000004D"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b/>
                <w:color w:val="000000"/>
                <w:sz w:val="26"/>
                <w:szCs w:val="26"/>
              </w:rPr>
              <w:t>Net</w:t>
            </w:r>
            <w:r>
              <w:rPr>
                <w:rFonts w:ascii="Merriweather" w:eastAsia="Merriweather" w:hAnsi="Merriweather" w:cs="Merriweather"/>
                <w:color w:val="000000"/>
                <w:sz w:val="26"/>
                <w:szCs w:val="26"/>
              </w:rPr>
              <w:t>—“I mustered the troops of the god Aššur and overwhelmed the land Tabal to its full extent as if with a net.”</w:t>
            </w:r>
            <w:r>
              <w:rPr>
                <w:rFonts w:ascii="Merriweather" w:eastAsia="Merriweather" w:hAnsi="Merriweather" w:cs="Merriweather"/>
                <w:color w:val="B22222"/>
                <w:sz w:val="23"/>
                <w:szCs w:val="23"/>
                <w:vertAlign w:val="superscript"/>
              </w:rPr>
              <w:t>[8]</w:t>
            </w:r>
          </w:p>
          <w:p w14:paraId="0000004E"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4F" w14:textId="5B3ADAB8" w:rsidR="004E732A" w:rsidRPr="00273305" w:rsidRDefault="00273305">
            <w:pPr>
              <w:bidi/>
              <w:spacing w:line="276" w:lineRule="auto"/>
              <w:rPr>
                <w:color w:val="333333"/>
                <w:sz w:val="28"/>
                <w:szCs w:val="28"/>
              </w:rPr>
            </w:pPr>
            <w:r>
              <w:rPr>
                <w:rFonts w:hint="cs"/>
                <w:b/>
                <w:bCs/>
                <w:color w:val="333333"/>
                <w:sz w:val="28"/>
                <w:szCs w:val="28"/>
                <w:rtl/>
              </w:rPr>
              <w:t xml:space="preserve">רשת </w:t>
            </w:r>
            <w:r>
              <w:rPr>
                <w:rFonts w:hint="cs"/>
                <w:color w:val="333333"/>
                <w:sz w:val="28"/>
                <w:szCs w:val="28"/>
                <w:rtl/>
              </w:rPr>
              <w:t>– "אספתי את צבא האל אשור והכנעתי את תבל כולה כברשת".</w:t>
            </w:r>
            <w:r w:rsidRPr="00DD7C4A">
              <w:rPr>
                <w:rFonts w:hint="cs"/>
                <w:color w:val="333333"/>
                <w:sz w:val="28"/>
                <w:szCs w:val="28"/>
                <w:vertAlign w:val="superscript"/>
                <w:rtl/>
              </w:rPr>
              <w:t>[8]</w:t>
            </w:r>
          </w:p>
        </w:tc>
      </w:tr>
      <w:tr w:rsidR="004E732A" w14:paraId="637817EA" w14:textId="77777777">
        <w:tc>
          <w:tcPr>
            <w:tcW w:w="4675" w:type="dxa"/>
          </w:tcPr>
          <w:p w14:paraId="00000050"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This image mirrors Marduk, who immobilizes Tiamat with his net:</w:t>
            </w:r>
          </w:p>
          <w:p w14:paraId="00000051"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52" w14:textId="77777777" w:rsidR="004E732A" w:rsidRDefault="00000000">
            <w:pPr>
              <w:bidi/>
              <w:spacing w:line="276" w:lineRule="auto"/>
              <w:rPr>
                <w:color w:val="333333"/>
                <w:sz w:val="28"/>
                <w:szCs w:val="28"/>
              </w:rPr>
            </w:pPr>
            <w:r>
              <w:rPr>
                <w:color w:val="333333"/>
                <w:sz w:val="28"/>
                <w:szCs w:val="28"/>
                <w:rtl/>
              </w:rPr>
              <w:t>דימויים אלו ממצבים את המלך כמרדוך, שלכד את תיאמת ברשתו:</w:t>
            </w:r>
          </w:p>
        </w:tc>
      </w:tr>
      <w:tr w:rsidR="004E732A" w14:paraId="113A49BF" w14:textId="77777777">
        <w:tc>
          <w:tcPr>
            <w:tcW w:w="4675" w:type="dxa"/>
          </w:tcPr>
          <w:p w14:paraId="00000053"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i/>
                <w:color w:val="000000"/>
                <w:sz w:val="19"/>
                <w:szCs w:val="19"/>
                <w:vertAlign w:val="superscript"/>
              </w:rPr>
              <w:t>EE</w:t>
            </w:r>
            <w:r>
              <w:rPr>
                <w:rFonts w:ascii="Merriweather" w:eastAsia="Merriweather" w:hAnsi="Merriweather" w:cs="Merriweather"/>
                <w:color w:val="000000"/>
                <w:sz w:val="19"/>
                <w:szCs w:val="19"/>
                <w:vertAlign w:val="superscript"/>
              </w:rPr>
              <w:t> IV 41–42</w:t>
            </w:r>
            <w:r>
              <w:rPr>
                <w:rFonts w:ascii="Merriweather" w:eastAsia="Merriweather" w:hAnsi="Merriweather" w:cs="Merriweather"/>
                <w:color w:val="000000"/>
                <w:sz w:val="26"/>
                <w:szCs w:val="26"/>
              </w:rPr>
              <w:t> He made a </w:t>
            </w:r>
            <w:r>
              <w:rPr>
                <w:rFonts w:ascii="Merriweather" w:eastAsia="Merriweather" w:hAnsi="Merriweather" w:cs="Merriweather"/>
                <w:b/>
                <w:color w:val="000000"/>
                <w:sz w:val="26"/>
                <w:szCs w:val="26"/>
              </w:rPr>
              <w:t>net</w:t>
            </w:r>
            <w:r>
              <w:rPr>
                <w:rFonts w:ascii="Merriweather" w:eastAsia="Merriweather" w:hAnsi="Merriweather" w:cs="Merriweather"/>
                <w:color w:val="000000"/>
                <w:sz w:val="26"/>
                <w:szCs w:val="26"/>
              </w:rPr>
              <w:t> to encircle Tiamat within it,</w:t>
            </w:r>
            <w:r>
              <w:rPr>
                <w:rFonts w:ascii="Merriweather" w:eastAsia="Merriweather" w:hAnsi="Merriweather" w:cs="Merriweather"/>
                <w:color w:val="000000"/>
                <w:sz w:val="26"/>
                <w:szCs w:val="26"/>
              </w:rPr>
              <w:br/>
              <w:t>Guarded the four winds so that none of her could escape.</w:t>
            </w:r>
          </w:p>
          <w:p w14:paraId="00000054"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55" w14:textId="77777777" w:rsidR="004E732A" w:rsidRDefault="00000000">
            <w:pPr>
              <w:bidi/>
              <w:spacing w:line="276" w:lineRule="auto"/>
              <w:rPr>
                <w:color w:val="333333"/>
                <w:sz w:val="28"/>
                <w:szCs w:val="28"/>
              </w:rPr>
            </w:pPr>
            <w:r w:rsidRPr="00273305">
              <w:rPr>
                <w:color w:val="333333"/>
                <w:sz w:val="28"/>
                <w:szCs w:val="28"/>
                <w:vertAlign w:val="superscript"/>
                <w:rtl/>
              </w:rPr>
              <w:t>אנומה אליש לוח רביעי 41–42</w:t>
            </w:r>
            <w:r>
              <w:rPr>
                <w:color w:val="333333"/>
                <w:sz w:val="28"/>
                <w:szCs w:val="28"/>
                <w:rtl/>
              </w:rPr>
              <w:t xml:space="preserve"> עשה רשת להקיף בה את תיאמת, ושמר על ארבע רוחותיה שלא תימלט.</w:t>
            </w:r>
          </w:p>
        </w:tc>
      </w:tr>
      <w:tr w:rsidR="004E732A" w14:paraId="042BE0C8" w14:textId="77777777">
        <w:tc>
          <w:tcPr>
            <w:tcW w:w="4675" w:type="dxa"/>
          </w:tcPr>
          <w:p w14:paraId="00000056"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 xml:space="preserve">Sargon also repeatedly emphasizes that he was “without </w:t>
            </w:r>
            <w:r>
              <w:rPr>
                <w:rFonts w:ascii="Merriweather" w:eastAsia="Merriweather" w:hAnsi="Merriweather" w:cs="Merriweather"/>
                <w:color w:val="000000"/>
                <w:sz w:val="26"/>
                <w:szCs w:val="26"/>
              </w:rPr>
              <w:lastRenderedPageBreak/>
              <w:t>rival” in battle and combat,</w:t>
            </w:r>
            <w:r>
              <w:rPr>
                <w:rFonts w:ascii="Merriweather" w:eastAsia="Merriweather" w:hAnsi="Merriweather" w:cs="Merriweather"/>
                <w:color w:val="B22222"/>
                <w:sz w:val="23"/>
                <w:szCs w:val="23"/>
                <w:vertAlign w:val="superscript"/>
              </w:rPr>
              <w:t>[9]</w:t>
            </w:r>
            <w:r>
              <w:rPr>
                <w:rFonts w:ascii="Merriweather" w:eastAsia="Merriweather" w:hAnsi="Merriweather" w:cs="Merriweather"/>
                <w:color w:val="000000"/>
                <w:sz w:val="26"/>
                <w:szCs w:val="26"/>
              </w:rPr>
              <w:t> which may allude to the climax of </w:t>
            </w:r>
            <w:r>
              <w:rPr>
                <w:rFonts w:ascii="Merriweather" w:eastAsia="Merriweather" w:hAnsi="Merriweather" w:cs="Merriweather"/>
                <w:i/>
                <w:color w:val="000000"/>
                <w:sz w:val="26"/>
                <w:szCs w:val="26"/>
              </w:rPr>
              <w:t>Enuma elish</w:t>
            </w:r>
            <w:r>
              <w:rPr>
                <w:rFonts w:ascii="Merriweather" w:eastAsia="Merriweather" w:hAnsi="Merriweather" w:cs="Merriweather"/>
                <w:color w:val="000000"/>
                <w:sz w:val="26"/>
                <w:szCs w:val="26"/>
              </w:rPr>
              <w:t>, in which Marduk is also declared to be without rival.</w:t>
            </w:r>
            <w:r>
              <w:rPr>
                <w:rFonts w:ascii="Merriweather" w:eastAsia="Merriweather" w:hAnsi="Merriweather" w:cs="Merriweather"/>
                <w:color w:val="B22222"/>
                <w:sz w:val="23"/>
                <w:szCs w:val="23"/>
                <w:vertAlign w:val="superscript"/>
              </w:rPr>
              <w:t>[10]</w:t>
            </w:r>
          </w:p>
          <w:p w14:paraId="00000057"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58" w14:textId="0DB584F6" w:rsidR="004E732A" w:rsidRDefault="00000000">
            <w:pPr>
              <w:bidi/>
              <w:spacing w:line="276" w:lineRule="auto"/>
              <w:rPr>
                <w:color w:val="333333"/>
                <w:sz w:val="28"/>
                <w:szCs w:val="28"/>
              </w:rPr>
            </w:pPr>
            <w:r>
              <w:rPr>
                <w:color w:val="333333"/>
                <w:sz w:val="28"/>
                <w:szCs w:val="28"/>
                <w:rtl/>
              </w:rPr>
              <w:lastRenderedPageBreak/>
              <w:t>סרגון אף חזר והדגיש ש"אין שני לו" במלחמה ובקרב</w:t>
            </w:r>
            <w:r w:rsidRPr="00DD7C4A">
              <w:rPr>
                <w:color w:val="333333"/>
                <w:sz w:val="28"/>
                <w:szCs w:val="28"/>
                <w:rtl/>
              </w:rPr>
              <w:t>,</w:t>
            </w:r>
            <w:r w:rsidRPr="00DD7C4A">
              <w:rPr>
                <w:color w:val="333333"/>
                <w:sz w:val="28"/>
                <w:szCs w:val="28"/>
                <w:vertAlign w:val="superscript"/>
                <w:rtl/>
              </w:rPr>
              <w:t>[9]</w:t>
            </w:r>
            <w:r>
              <w:rPr>
                <w:color w:val="333333"/>
                <w:sz w:val="28"/>
                <w:szCs w:val="28"/>
                <w:rtl/>
              </w:rPr>
              <w:t xml:space="preserve"> ואולי כוונתו </w:t>
            </w:r>
            <w:r w:rsidR="00DD7C4A">
              <w:rPr>
                <w:rFonts w:hint="cs"/>
                <w:color w:val="333333"/>
                <w:sz w:val="28"/>
                <w:szCs w:val="28"/>
                <w:rtl/>
              </w:rPr>
              <w:t>לרמוז בזאת</w:t>
            </w:r>
            <w:r>
              <w:rPr>
                <w:color w:val="333333"/>
                <w:sz w:val="28"/>
                <w:szCs w:val="28"/>
                <w:rtl/>
              </w:rPr>
              <w:t xml:space="preserve"> </w:t>
            </w:r>
            <w:r>
              <w:rPr>
                <w:color w:val="333333"/>
                <w:sz w:val="28"/>
                <w:szCs w:val="28"/>
                <w:rtl/>
              </w:rPr>
              <w:lastRenderedPageBreak/>
              <w:t>לשיאה של העלילה באנומה אליש, שם מוכרז מרדוך כאחד ויחיד</w:t>
            </w:r>
            <w:r w:rsidR="00DD7C4A">
              <w:rPr>
                <w:rFonts w:hint="cs"/>
                <w:color w:val="333333"/>
                <w:sz w:val="28"/>
                <w:szCs w:val="28"/>
                <w:rtl/>
              </w:rPr>
              <w:t xml:space="preserve"> שאין שני לו</w:t>
            </w:r>
            <w:r>
              <w:rPr>
                <w:color w:val="333333"/>
                <w:sz w:val="28"/>
                <w:szCs w:val="28"/>
                <w:rtl/>
              </w:rPr>
              <w:t>.</w:t>
            </w:r>
            <w:r w:rsidRPr="00DD7C4A">
              <w:rPr>
                <w:color w:val="333333"/>
                <w:sz w:val="28"/>
                <w:szCs w:val="28"/>
                <w:vertAlign w:val="superscript"/>
                <w:rtl/>
              </w:rPr>
              <w:t>[10]</w:t>
            </w:r>
          </w:p>
        </w:tc>
      </w:tr>
      <w:tr w:rsidR="004E732A" w14:paraId="225B1B92" w14:textId="77777777">
        <w:tc>
          <w:tcPr>
            <w:tcW w:w="4675" w:type="dxa"/>
          </w:tcPr>
          <w:p w14:paraId="00000059" w14:textId="77777777" w:rsidR="004E732A" w:rsidRDefault="00000000">
            <w:pPr>
              <w:shd w:val="clear" w:color="auto" w:fill="FFFFFF"/>
              <w:spacing w:before="300" w:after="150"/>
              <w:rPr>
                <w:rFonts w:ascii="Merriweather" w:eastAsia="Merriweather" w:hAnsi="Merriweather" w:cs="Merriweather"/>
                <w:color w:val="000000"/>
                <w:sz w:val="32"/>
                <w:szCs w:val="32"/>
              </w:rPr>
            </w:pPr>
            <w:r>
              <w:rPr>
                <w:rFonts w:ascii="Merriweather" w:eastAsia="Merriweather" w:hAnsi="Merriweather" w:cs="Merriweather"/>
                <w:color w:val="000000"/>
                <w:sz w:val="32"/>
                <w:szCs w:val="32"/>
              </w:rPr>
              <w:lastRenderedPageBreak/>
              <w:t>Demonizing the Enemy, </w:t>
            </w:r>
            <w:r>
              <w:rPr>
                <w:rFonts w:ascii="Merriweather" w:eastAsia="Merriweather" w:hAnsi="Merriweather" w:cs="Merriweather"/>
                <w:i/>
                <w:color w:val="000000"/>
                <w:sz w:val="32"/>
                <w:szCs w:val="32"/>
              </w:rPr>
              <w:t>Enuma elish</w:t>
            </w:r>
            <w:r>
              <w:rPr>
                <w:rFonts w:ascii="Merriweather" w:eastAsia="Merriweather" w:hAnsi="Merriweather" w:cs="Merriweather"/>
                <w:color w:val="000000"/>
                <w:sz w:val="32"/>
                <w:szCs w:val="32"/>
              </w:rPr>
              <w:t>-Style</w:t>
            </w:r>
          </w:p>
          <w:p w14:paraId="0000005A"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5B" w14:textId="77777777" w:rsidR="004E732A" w:rsidRDefault="00000000">
            <w:pPr>
              <w:bidi/>
              <w:spacing w:line="276" w:lineRule="auto"/>
              <w:rPr>
                <w:color w:val="333333"/>
                <w:sz w:val="28"/>
                <w:szCs w:val="28"/>
              </w:rPr>
            </w:pPr>
            <w:r>
              <w:rPr>
                <w:color w:val="333333"/>
                <w:sz w:val="28"/>
                <w:szCs w:val="28"/>
                <w:rtl/>
              </w:rPr>
              <w:t>דמוניזציה של האויב ברוח האנומה אליש</w:t>
            </w:r>
          </w:p>
        </w:tc>
      </w:tr>
      <w:tr w:rsidR="004E732A" w14:paraId="1C3D6B63" w14:textId="77777777">
        <w:tc>
          <w:tcPr>
            <w:tcW w:w="4675" w:type="dxa"/>
          </w:tcPr>
          <w:p w14:paraId="0000005C"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Notably, the inscriptions’ allusions to </w:t>
            </w:r>
            <w:r>
              <w:rPr>
                <w:rFonts w:ascii="Merriweather" w:eastAsia="Merriweather" w:hAnsi="Merriweather" w:cs="Merriweather"/>
                <w:i/>
                <w:color w:val="000000"/>
                <w:sz w:val="26"/>
                <w:szCs w:val="26"/>
              </w:rPr>
              <w:t>Enuma elish </w:t>
            </w:r>
            <w:r>
              <w:rPr>
                <w:rFonts w:ascii="Merriweather" w:eastAsia="Merriweather" w:hAnsi="Merriweather" w:cs="Merriweather"/>
                <w:color w:val="000000"/>
                <w:sz w:val="26"/>
                <w:szCs w:val="26"/>
              </w:rPr>
              <w:t>become more frequent and more complex when they are describing more extreme acts of violence. When Sargon describes having bespattered the Babylonians “with deadly venom,”</w:t>
            </w:r>
            <w:r>
              <w:rPr>
                <w:rFonts w:ascii="Merriweather" w:eastAsia="Merriweather" w:hAnsi="Merriweather" w:cs="Merriweather"/>
                <w:color w:val="B22222"/>
                <w:sz w:val="23"/>
                <w:szCs w:val="23"/>
                <w:vertAlign w:val="superscript"/>
              </w:rPr>
              <w:t>[11]</w:t>
            </w:r>
            <w:r>
              <w:rPr>
                <w:rFonts w:ascii="Merriweather" w:eastAsia="Merriweather" w:hAnsi="Merriweather" w:cs="Merriweather"/>
                <w:color w:val="000000"/>
                <w:sz w:val="26"/>
                <w:szCs w:val="26"/>
              </w:rPr>
              <w:t> for example, he claims that this is because the Babylonians are allies of Tiamat, the sea goddess—describing their king, Marduk apla-iddina (biblical Merodach Baladan [see 2 Kgs 20:12; Isa 39:1]), as trusting the sea and comparing him to a </w:t>
            </w:r>
            <w:r>
              <w:rPr>
                <w:rFonts w:ascii="Merriweather" w:eastAsia="Merriweather" w:hAnsi="Merriweather" w:cs="Merriweather"/>
                <w:i/>
                <w:color w:val="000000"/>
                <w:sz w:val="26"/>
                <w:szCs w:val="26"/>
              </w:rPr>
              <w:t>gallû</w:t>
            </w:r>
            <w:r>
              <w:rPr>
                <w:rFonts w:ascii="Merriweather" w:eastAsia="Merriweather" w:hAnsi="Merriweather" w:cs="Merriweather"/>
                <w:color w:val="000000"/>
                <w:sz w:val="26"/>
                <w:szCs w:val="26"/>
              </w:rPr>
              <w:t>-demon (one of the minions of Tiamat in </w:t>
            </w:r>
            <w:r>
              <w:rPr>
                <w:rFonts w:ascii="Merriweather" w:eastAsia="Merriweather" w:hAnsi="Merriweather" w:cs="Merriweather"/>
                <w:i/>
                <w:color w:val="000000"/>
                <w:sz w:val="26"/>
                <w:szCs w:val="26"/>
              </w:rPr>
              <w:t>Enuma elish</w:t>
            </w:r>
            <w:r>
              <w:rPr>
                <w:rFonts w:ascii="Merriweather" w:eastAsia="Merriweather" w:hAnsi="Merriweather" w:cs="Merriweather"/>
                <w:color w:val="000000"/>
                <w:sz w:val="26"/>
                <w:szCs w:val="26"/>
              </w:rPr>
              <w:t>):</w:t>
            </w:r>
          </w:p>
          <w:p w14:paraId="0000005D"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5E" w14:textId="002427B5" w:rsidR="004E732A" w:rsidRDefault="00000000">
            <w:pPr>
              <w:bidi/>
              <w:spacing w:line="276" w:lineRule="auto"/>
              <w:rPr>
                <w:color w:val="333333"/>
                <w:sz w:val="28"/>
                <w:szCs w:val="28"/>
              </w:rPr>
            </w:pPr>
            <w:r>
              <w:rPr>
                <w:color w:val="333333"/>
                <w:sz w:val="28"/>
                <w:szCs w:val="28"/>
                <w:rtl/>
              </w:rPr>
              <w:t>הרמזים לאנומה אליש בכתובות מתרבים ונעשים מורכבים יותר כאשר הן מתארות מעשי אלימות קשים יותר. כאשר סרגון מתאר כיצד המטיר על הבבלים "ארס ממית"</w:t>
            </w:r>
            <w:r w:rsidRPr="00DD7C4A">
              <w:rPr>
                <w:color w:val="333333"/>
                <w:sz w:val="28"/>
                <w:szCs w:val="28"/>
                <w:vertAlign w:val="superscript"/>
                <w:rtl/>
              </w:rPr>
              <w:t>[11]</w:t>
            </w:r>
            <w:r>
              <w:rPr>
                <w:color w:val="333333"/>
                <w:sz w:val="28"/>
                <w:szCs w:val="28"/>
                <w:rtl/>
              </w:rPr>
              <w:t>, לדוגמה, הוא טוען שעשה זאת משום שהבבלים הם בני בריתה של תיאמת, אלת הים, מתאר את מלכם, מרדוך אפלה-אידינה (המכונה במקרא מרודך בלאדן [ראו מלכים ב כ:יב, ישעיהו לט:א]), כמי ששואב את כוחו מן הים ומשווה אותו לשד גאלו (מבני לוויתה של תיאמת באנומה אליש):</w:t>
            </w:r>
          </w:p>
        </w:tc>
      </w:tr>
      <w:tr w:rsidR="004E732A" w14:paraId="7B4D630B" w14:textId="77777777">
        <w:tc>
          <w:tcPr>
            <w:tcW w:w="4675" w:type="dxa"/>
          </w:tcPr>
          <w:p w14:paraId="0000005F"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ab/>
              <w:t>Marduk-apla-iddina, descendant of Yakīn, king of Chaldea, a murderer (and) </w:t>
            </w:r>
            <w:r>
              <w:rPr>
                <w:rFonts w:ascii="Merriweather" w:eastAsia="Merriweather" w:hAnsi="Merriweather" w:cs="Merriweather"/>
                <w:b/>
                <w:color w:val="000000"/>
                <w:sz w:val="26"/>
                <w:szCs w:val="26"/>
              </w:rPr>
              <w:t>the (very) image of a </w:t>
            </w:r>
            <w:r>
              <w:rPr>
                <w:rFonts w:ascii="Merriweather" w:eastAsia="Merriweather" w:hAnsi="Merriweather" w:cs="Merriweather"/>
                <w:b/>
                <w:i/>
                <w:color w:val="000000"/>
                <w:sz w:val="26"/>
                <w:szCs w:val="26"/>
              </w:rPr>
              <w:t>gallû</w:t>
            </w:r>
            <w:r>
              <w:rPr>
                <w:rFonts w:ascii="Merriweather" w:eastAsia="Merriweather" w:hAnsi="Merriweather" w:cs="Merriweather"/>
                <w:b/>
                <w:color w:val="000000"/>
                <w:sz w:val="26"/>
                <w:szCs w:val="26"/>
              </w:rPr>
              <w:t>-demon</w:t>
            </w:r>
            <w:r>
              <w:rPr>
                <w:rFonts w:ascii="Merriweather" w:eastAsia="Merriweather" w:hAnsi="Merriweather" w:cs="Merriweather"/>
                <w:color w:val="000000"/>
                <w:sz w:val="26"/>
                <w:szCs w:val="26"/>
              </w:rPr>
              <w:t xml:space="preserve">, </w:t>
            </w:r>
            <w:r>
              <w:rPr>
                <w:rFonts w:ascii="Merriweather" w:eastAsia="Merriweather" w:hAnsi="Merriweather" w:cs="Merriweather"/>
                <w:color w:val="000000"/>
                <w:sz w:val="26"/>
                <w:szCs w:val="26"/>
              </w:rPr>
              <w:lastRenderedPageBreak/>
              <w:t>who does not fear the word of the lord of lords (Marduk), </w:t>
            </w:r>
            <w:r>
              <w:rPr>
                <w:rFonts w:ascii="Merriweather" w:eastAsia="Merriweather" w:hAnsi="Merriweather" w:cs="Merriweather"/>
                <w:b/>
                <w:color w:val="000000"/>
                <w:sz w:val="26"/>
                <w:szCs w:val="26"/>
              </w:rPr>
              <w:t>put his trust in the sea (and its) surging waves</w:t>
            </w:r>
            <w:r>
              <w:rPr>
                <w:rFonts w:ascii="Merriweather" w:eastAsia="Merriweather" w:hAnsi="Merriweather" w:cs="Merriweather"/>
                <w:color w:val="000000"/>
                <w:sz w:val="26"/>
                <w:szCs w:val="26"/>
              </w:rPr>
              <w:t>, broke the treaty (sworn) by the great gods, and withheld his audience gift.</w:t>
            </w:r>
            <w:r>
              <w:rPr>
                <w:rFonts w:ascii="Merriweather" w:eastAsia="Merriweather" w:hAnsi="Merriweather" w:cs="Merriweather"/>
                <w:color w:val="B22222"/>
                <w:sz w:val="23"/>
                <w:szCs w:val="23"/>
                <w:vertAlign w:val="superscript"/>
              </w:rPr>
              <w:t>[12]</w:t>
            </w:r>
          </w:p>
          <w:p w14:paraId="00000060" w14:textId="77777777" w:rsidR="004E732A" w:rsidRDefault="004E732A">
            <w:pPr>
              <w:shd w:val="clear" w:color="auto" w:fill="FFFFFF"/>
              <w:tabs>
                <w:tab w:val="left" w:pos="1095"/>
              </w:tabs>
              <w:spacing w:after="300"/>
              <w:rPr>
                <w:rFonts w:ascii="Merriweather" w:eastAsia="Merriweather" w:hAnsi="Merriweather" w:cs="Merriweather"/>
                <w:color w:val="000000"/>
                <w:sz w:val="26"/>
                <w:szCs w:val="26"/>
              </w:rPr>
            </w:pPr>
          </w:p>
        </w:tc>
        <w:tc>
          <w:tcPr>
            <w:tcW w:w="4675" w:type="dxa"/>
          </w:tcPr>
          <w:p w14:paraId="00000061" w14:textId="07BA8F09" w:rsidR="004E732A" w:rsidRDefault="00000000">
            <w:pPr>
              <w:bidi/>
              <w:spacing w:line="276" w:lineRule="auto"/>
              <w:rPr>
                <w:color w:val="333333"/>
                <w:sz w:val="28"/>
                <w:szCs w:val="28"/>
              </w:rPr>
            </w:pPr>
            <w:r>
              <w:rPr>
                <w:color w:val="333333"/>
                <w:sz w:val="28"/>
                <w:szCs w:val="28"/>
                <w:rtl/>
              </w:rPr>
              <w:lastRenderedPageBreak/>
              <w:t>מרדו</w:t>
            </w:r>
            <w:r w:rsidR="00273305">
              <w:rPr>
                <w:rFonts w:hint="cs"/>
                <w:color w:val="333333"/>
                <w:sz w:val="28"/>
                <w:szCs w:val="28"/>
                <w:rtl/>
              </w:rPr>
              <w:t>ך</w:t>
            </w:r>
            <w:r>
              <w:rPr>
                <w:color w:val="333333"/>
                <w:sz w:val="28"/>
                <w:szCs w:val="28"/>
                <w:rtl/>
              </w:rPr>
              <w:t xml:space="preserve">-אפלה-אידינה, יוצא חלציו של יכין, מלך כשדים, רוצח (ו)בן דמותו של השד גאלו, שאינו ירא את דבריו של מלך המלכים </w:t>
            </w:r>
            <w:r>
              <w:rPr>
                <w:color w:val="333333"/>
                <w:sz w:val="28"/>
                <w:szCs w:val="28"/>
                <w:rtl/>
              </w:rPr>
              <w:lastRenderedPageBreak/>
              <w:t>(מרדוך), שם מבטחו בים (וב)גליו הגועשים, הפר את הברית (שכרתו) האלים הגדולים ומנע את מתנת ראיית פניו.</w:t>
            </w:r>
            <w:r w:rsidRPr="00DD7C4A">
              <w:rPr>
                <w:color w:val="333333"/>
                <w:sz w:val="28"/>
                <w:szCs w:val="28"/>
                <w:vertAlign w:val="superscript"/>
                <w:rtl/>
              </w:rPr>
              <w:t>[12]</w:t>
            </w:r>
          </w:p>
        </w:tc>
      </w:tr>
      <w:tr w:rsidR="004E732A" w14:paraId="62DD9208" w14:textId="77777777">
        <w:tc>
          <w:tcPr>
            <w:tcW w:w="4675" w:type="dxa"/>
          </w:tcPr>
          <w:p w14:paraId="00000062"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lastRenderedPageBreak/>
              <w:t>Sennacherib’s (r. 705–681</w:t>
            </w:r>
            <w:r>
              <w:rPr>
                <w:rFonts w:ascii="Merriweather" w:eastAsia="Merriweather" w:hAnsi="Merriweather" w:cs="Merriweather"/>
                <w:smallCaps/>
                <w:color w:val="000000"/>
                <w:sz w:val="26"/>
                <w:szCs w:val="26"/>
              </w:rPr>
              <w:t> B.C.E</w:t>
            </w:r>
            <w:r>
              <w:rPr>
                <w:rFonts w:ascii="Merriweather" w:eastAsia="Merriweather" w:hAnsi="Merriweather" w:cs="Merriweather"/>
                <w:color w:val="000000"/>
                <w:sz w:val="26"/>
                <w:szCs w:val="26"/>
              </w:rPr>
              <w:t>.) descriptions of his campaigns against the Babylonians include some of the most extreme violence of his reign. For example, a hexagonal prism found at Nineveh describes the enemies’ blood flowing like a river in flood:</w:t>
            </w:r>
          </w:p>
          <w:p w14:paraId="00000063"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64" w14:textId="77777777" w:rsidR="004E732A" w:rsidRDefault="00000000">
            <w:pPr>
              <w:bidi/>
              <w:spacing w:line="276" w:lineRule="auto"/>
              <w:rPr>
                <w:color w:val="333333"/>
                <w:sz w:val="28"/>
                <w:szCs w:val="28"/>
              </w:rPr>
            </w:pPr>
            <w:r>
              <w:rPr>
                <w:color w:val="333333"/>
                <w:sz w:val="28"/>
                <w:szCs w:val="28"/>
                <w:rtl/>
              </w:rPr>
              <w:t>דבריו של סנחריב (מלך 705–681 לפנה"ס) שבהם תיאר את מסעות המלחמה שלו נגד הבבלים כוללים תיאורי אלימות קשים יותר מכל המופיע בכתבים המתעדים ימי מלכותו. לדוגמה, מנסרה משושה שנמצאה בנינווה מתארת כיצד שטף דם האויבים כנהר גואה:</w:t>
            </w:r>
          </w:p>
        </w:tc>
      </w:tr>
      <w:tr w:rsidR="004E732A" w14:paraId="6938329E" w14:textId="77777777">
        <w:tc>
          <w:tcPr>
            <w:tcW w:w="4675" w:type="dxa"/>
          </w:tcPr>
          <w:p w14:paraId="00000065"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 xml:space="preserve">I slit their throats like sheep (and thus) cut off their precious lives like thread. Like a flood in full spate after a seasonal rainstorm, I made their blood flow over the broad earth. The swift thoroughbreds harnessed to my chariot plunged into floods of their blood (just) like the river ordeal. The wheels of my war chariot, which lays criminals and villains low, were bathed in blood and gore. I filled the plain with the corpses of their warriors like grass. I cut off (their) lips and (thus) destroyed their pride. I cut </w:t>
            </w:r>
            <w:r>
              <w:rPr>
                <w:rFonts w:ascii="Merriweather" w:eastAsia="Merriweather" w:hAnsi="Merriweather" w:cs="Merriweather"/>
                <w:color w:val="000000"/>
                <w:sz w:val="26"/>
                <w:szCs w:val="26"/>
              </w:rPr>
              <w:lastRenderedPageBreak/>
              <w:t>off their hands like the stems of cucumbers in season.</w:t>
            </w:r>
            <w:r>
              <w:rPr>
                <w:rFonts w:ascii="Merriweather" w:eastAsia="Merriweather" w:hAnsi="Merriweather" w:cs="Merriweather"/>
                <w:color w:val="B22222"/>
                <w:sz w:val="23"/>
                <w:szCs w:val="23"/>
                <w:vertAlign w:val="superscript"/>
              </w:rPr>
              <w:t>[13]</w:t>
            </w:r>
          </w:p>
          <w:p w14:paraId="00000066"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67" w14:textId="101227B5" w:rsidR="004E732A" w:rsidRDefault="00000000">
            <w:pPr>
              <w:bidi/>
              <w:spacing w:line="276" w:lineRule="auto"/>
              <w:rPr>
                <w:color w:val="333333"/>
                <w:sz w:val="28"/>
                <w:szCs w:val="28"/>
              </w:rPr>
            </w:pPr>
            <w:r>
              <w:rPr>
                <w:color w:val="333333"/>
                <w:sz w:val="28"/>
                <w:szCs w:val="28"/>
                <w:rtl/>
              </w:rPr>
              <w:lastRenderedPageBreak/>
              <w:t xml:space="preserve">שיספתי צווארם כצאן (וכך) גדעתי את חייהם היקרים כבתק חוט. כגאות הנהר לאחר סערה שפכתי את דמם מלוא הארץ. הסוסים המהירים הרתומים לכרכרתי בוססו בדמם השוטף (כמוהו) כנהר. גלגלי מרכבתי הכניעו תחתם חוטאים ואנשי מדון ונטפו בשר ודם. </w:t>
            </w:r>
            <w:r w:rsidR="00481A2A">
              <w:rPr>
                <w:rFonts w:hint="cs"/>
                <w:color w:val="333333"/>
                <w:sz w:val="28"/>
                <w:szCs w:val="28"/>
                <w:rtl/>
              </w:rPr>
              <w:t xml:space="preserve">זרעתי </w:t>
            </w:r>
            <w:r>
              <w:rPr>
                <w:color w:val="333333"/>
                <w:sz w:val="28"/>
                <w:szCs w:val="28"/>
                <w:rtl/>
              </w:rPr>
              <w:t>את השדות בגופות לוחמיהם כעשב. כרתי שפתיהם והכנעתי גאוותם. גדעתי ידיהם כנתק גבעולי המלפפון בעונתו.</w:t>
            </w:r>
            <w:r w:rsidRPr="00481A2A">
              <w:rPr>
                <w:color w:val="333333"/>
                <w:sz w:val="28"/>
                <w:szCs w:val="28"/>
                <w:vertAlign w:val="superscript"/>
                <w:rtl/>
              </w:rPr>
              <w:t>[13]</w:t>
            </w:r>
          </w:p>
        </w:tc>
      </w:tr>
      <w:tr w:rsidR="004E732A" w14:paraId="2BFABEF3" w14:textId="77777777">
        <w:tc>
          <w:tcPr>
            <w:tcW w:w="4675" w:type="dxa"/>
          </w:tcPr>
          <w:p w14:paraId="00000068"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In the same text, allusions to </w:t>
            </w:r>
            <w:r>
              <w:rPr>
                <w:rFonts w:ascii="Merriweather" w:eastAsia="Merriweather" w:hAnsi="Merriweather" w:cs="Merriweather"/>
                <w:i/>
                <w:color w:val="000000"/>
                <w:sz w:val="26"/>
                <w:szCs w:val="26"/>
              </w:rPr>
              <w:t>Enuma elish</w:t>
            </w:r>
            <w:r>
              <w:rPr>
                <w:rFonts w:ascii="Merriweather" w:eastAsia="Merriweather" w:hAnsi="Merriweather" w:cs="Merriweather"/>
                <w:color w:val="000000"/>
                <w:sz w:val="26"/>
                <w:szCs w:val="26"/>
              </w:rPr>
              <w:t> work hard to justify the violence as proportional to the perceived danger by associating his enemies with personified chaos. Thus, the citizens of the entire city are called </w:t>
            </w:r>
            <w:r>
              <w:rPr>
                <w:rFonts w:ascii="Merriweather" w:eastAsia="Merriweather" w:hAnsi="Merriweather" w:cs="Merriweather"/>
                <w:i/>
                <w:color w:val="000000"/>
                <w:sz w:val="26"/>
                <w:szCs w:val="26"/>
              </w:rPr>
              <w:t>gallû</w:t>
            </w:r>
            <w:r>
              <w:rPr>
                <w:rFonts w:ascii="Merriweather" w:eastAsia="Merriweather" w:hAnsi="Merriweather" w:cs="Merriweather"/>
                <w:color w:val="000000"/>
                <w:sz w:val="26"/>
                <w:szCs w:val="26"/>
              </w:rPr>
              <w:t>-demons,</w:t>
            </w:r>
            <w:r>
              <w:rPr>
                <w:rFonts w:ascii="Merriweather" w:eastAsia="Merriweather" w:hAnsi="Merriweather" w:cs="Merriweather"/>
                <w:color w:val="B22222"/>
                <w:sz w:val="23"/>
                <w:szCs w:val="23"/>
                <w:vertAlign w:val="superscript"/>
              </w:rPr>
              <w:t>[14]</w:t>
            </w:r>
            <w:r>
              <w:rPr>
                <w:rFonts w:ascii="Merriweather" w:eastAsia="Merriweather" w:hAnsi="Merriweather" w:cs="Merriweather"/>
                <w:color w:val="000000"/>
                <w:sz w:val="26"/>
                <w:szCs w:val="26"/>
              </w:rPr>
              <w:t> and their king is said to be enthroned “inappropriately for him.”</w:t>
            </w:r>
            <w:r>
              <w:rPr>
                <w:rFonts w:ascii="Merriweather" w:eastAsia="Merriweather" w:hAnsi="Merriweather" w:cs="Merriweather"/>
                <w:color w:val="B22222"/>
                <w:sz w:val="23"/>
                <w:szCs w:val="23"/>
                <w:vertAlign w:val="superscript"/>
              </w:rPr>
              <w:t>[15]</w:t>
            </w:r>
            <w:r>
              <w:rPr>
                <w:rFonts w:ascii="Merriweather" w:eastAsia="Merriweather" w:hAnsi="Merriweather" w:cs="Merriweather"/>
                <w:color w:val="000000"/>
                <w:sz w:val="26"/>
                <w:szCs w:val="26"/>
              </w:rPr>
              <w:t> This invokes a rare phrase used to describe Tiamat’s enthronement of her second husband, Qingu, who helped lead Tiamat’s attack against Marduk (</w:t>
            </w:r>
            <w:r>
              <w:rPr>
                <w:rFonts w:ascii="Merriweather" w:eastAsia="Merriweather" w:hAnsi="Merriweather" w:cs="Merriweather"/>
                <w:i/>
                <w:color w:val="000000"/>
                <w:sz w:val="26"/>
                <w:szCs w:val="26"/>
              </w:rPr>
              <w:t>EE</w:t>
            </w:r>
            <w:r>
              <w:rPr>
                <w:rFonts w:ascii="Merriweather" w:eastAsia="Merriweather" w:hAnsi="Merriweather" w:cs="Merriweather"/>
                <w:color w:val="000000"/>
                <w:sz w:val="26"/>
                <w:szCs w:val="26"/>
              </w:rPr>
              <w:t> IV 82). Sennacherib also imagines himself attacking the enemy like Marduk’s weaponry against Tiamat:</w:t>
            </w:r>
          </w:p>
          <w:p w14:paraId="00000069"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6A" w14:textId="27D24050" w:rsidR="004E732A" w:rsidRDefault="00000000">
            <w:pPr>
              <w:bidi/>
              <w:spacing w:line="276" w:lineRule="auto"/>
              <w:rPr>
                <w:color w:val="333333"/>
                <w:sz w:val="28"/>
                <w:szCs w:val="28"/>
              </w:rPr>
            </w:pPr>
            <w:r>
              <w:rPr>
                <w:color w:val="333333"/>
                <w:sz w:val="28"/>
                <w:szCs w:val="28"/>
                <w:rtl/>
              </w:rPr>
              <w:t>בטקסט זה, האלוזיות לאנומה אליש מטרתן להצדיק את האלימות כמעשה מידתי לנוכח הסכנה הנשקפת מן האויבים לכאורה באמצעות קשירתם עם האנשת הכאוס. כך מוצגים תושבי אחת הערים כולם כשדים מסוג גאלו,</w:t>
            </w:r>
            <w:r w:rsidRPr="00481A2A">
              <w:rPr>
                <w:color w:val="333333"/>
                <w:sz w:val="28"/>
                <w:szCs w:val="28"/>
                <w:vertAlign w:val="superscript"/>
                <w:rtl/>
              </w:rPr>
              <w:t>[14]</w:t>
            </w:r>
            <w:r>
              <w:rPr>
                <w:color w:val="333333"/>
                <w:sz w:val="28"/>
                <w:szCs w:val="28"/>
                <w:rtl/>
              </w:rPr>
              <w:t xml:space="preserve"> ומלכם מתואר כמי שיושב על כס "ואינו ראוי לו".</w:t>
            </w:r>
            <w:r w:rsidRPr="00481A2A">
              <w:rPr>
                <w:color w:val="333333"/>
                <w:sz w:val="28"/>
                <w:szCs w:val="28"/>
                <w:vertAlign w:val="superscript"/>
                <w:rtl/>
              </w:rPr>
              <w:t>[15]</w:t>
            </w:r>
            <w:r>
              <w:rPr>
                <w:color w:val="333333"/>
                <w:sz w:val="28"/>
                <w:szCs w:val="28"/>
                <w:rtl/>
              </w:rPr>
              <w:t xml:space="preserve"> יש כאן אלוזיה לביטוי נדיר המשמש בתיאור תיאמת הממליכה את בעלה השני, קינגו, שסיע לה במלחמה על מרדוך (אנומה אליש</w:t>
            </w:r>
            <w:r w:rsidR="00481A2A">
              <w:rPr>
                <w:rFonts w:hint="cs"/>
                <w:color w:val="333333"/>
                <w:sz w:val="28"/>
                <w:szCs w:val="28"/>
                <w:rtl/>
              </w:rPr>
              <w:t>,</w:t>
            </w:r>
            <w:r>
              <w:rPr>
                <w:color w:val="333333"/>
                <w:sz w:val="28"/>
                <w:szCs w:val="28"/>
                <w:rtl/>
              </w:rPr>
              <w:t xml:space="preserve"> לוח רביעי</w:t>
            </w:r>
            <w:r w:rsidR="00481A2A">
              <w:rPr>
                <w:rFonts w:hint="cs"/>
                <w:color w:val="333333"/>
                <w:sz w:val="28"/>
                <w:szCs w:val="28"/>
                <w:rtl/>
              </w:rPr>
              <w:t>,</w:t>
            </w:r>
            <w:r>
              <w:rPr>
                <w:color w:val="333333"/>
                <w:sz w:val="28"/>
                <w:szCs w:val="28"/>
                <w:rtl/>
              </w:rPr>
              <w:t xml:space="preserve"> 82). סנחריב אף מתאר את עצמו תוקף את אויביו בכלי הנשק ששימש את מרדוך במלחמתו על תיאמת:</w:t>
            </w:r>
          </w:p>
        </w:tc>
      </w:tr>
      <w:tr w:rsidR="004E732A" w14:paraId="4D7C4B2A" w14:textId="77777777">
        <w:tc>
          <w:tcPr>
            <w:tcW w:w="4675" w:type="dxa"/>
          </w:tcPr>
          <w:p w14:paraId="0000006B"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I blew like the onset of a severe storm against the enemy on (their) flanks and front lines.</w:t>
            </w:r>
            <w:r>
              <w:rPr>
                <w:rFonts w:ascii="Merriweather" w:eastAsia="Merriweather" w:hAnsi="Merriweather" w:cs="Merriweather"/>
                <w:color w:val="B22222"/>
                <w:sz w:val="23"/>
                <w:szCs w:val="23"/>
                <w:vertAlign w:val="superscript"/>
              </w:rPr>
              <w:t>[16]</w:t>
            </w:r>
          </w:p>
          <w:p w14:paraId="0000006C"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6D" w14:textId="77777777" w:rsidR="004E732A" w:rsidRDefault="00000000">
            <w:pPr>
              <w:bidi/>
              <w:spacing w:line="276" w:lineRule="auto"/>
              <w:rPr>
                <w:color w:val="333333"/>
                <w:sz w:val="28"/>
                <w:szCs w:val="28"/>
              </w:rPr>
            </w:pPr>
            <w:r>
              <w:rPr>
                <w:color w:val="333333"/>
                <w:sz w:val="28"/>
                <w:szCs w:val="28"/>
                <w:rtl/>
              </w:rPr>
              <w:t>נשבתי כסערה עזה על חזית אויבי ואגפיהם.</w:t>
            </w:r>
            <w:r w:rsidRPr="00481A2A">
              <w:rPr>
                <w:color w:val="333333"/>
                <w:sz w:val="28"/>
                <w:szCs w:val="28"/>
                <w:vertAlign w:val="superscript"/>
                <w:rtl/>
              </w:rPr>
              <w:t>[16]</w:t>
            </w:r>
          </w:p>
        </w:tc>
      </w:tr>
      <w:tr w:rsidR="004E732A" w14:paraId="345C70C3" w14:textId="77777777">
        <w:tc>
          <w:tcPr>
            <w:tcW w:w="4675" w:type="dxa"/>
          </w:tcPr>
          <w:p w14:paraId="0000006E" w14:textId="77777777" w:rsidR="004E732A" w:rsidRDefault="00000000">
            <w:pPr>
              <w:shd w:val="clear" w:color="auto" w:fill="FFFFFF"/>
              <w:spacing w:before="210" w:after="210"/>
              <w:jc w:val="center"/>
              <w:rPr>
                <w:rFonts w:ascii="Merriweather" w:eastAsia="Merriweather" w:hAnsi="Merriweather" w:cs="Merriweather"/>
                <w:color w:val="000000"/>
                <w:sz w:val="38"/>
                <w:szCs w:val="38"/>
              </w:rPr>
            </w:pPr>
            <w:r>
              <w:rPr>
                <w:rFonts w:ascii="Merriweather" w:eastAsia="Merriweather" w:hAnsi="Merriweather" w:cs="Merriweather"/>
                <w:color w:val="000000"/>
                <w:sz w:val="26"/>
                <w:szCs w:val="26"/>
              </w:rPr>
              <w:tab/>
            </w:r>
            <w:r>
              <w:rPr>
                <w:rFonts w:ascii="Merriweather" w:eastAsia="Merriweather" w:hAnsi="Merriweather" w:cs="Merriweather"/>
                <w:color w:val="000000"/>
                <w:sz w:val="38"/>
                <w:szCs w:val="38"/>
              </w:rPr>
              <w:t>The Righteous King Preserving Justice</w:t>
            </w:r>
          </w:p>
          <w:p w14:paraId="0000006F"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 xml:space="preserve">Both Sargon and Sennacherib reinforce their status as bulwarks </w:t>
            </w:r>
            <w:r>
              <w:rPr>
                <w:rFonts w:ascii="Merriweather" w:eastAsia="Merriweather" w:hAnsi="Merriweather" w:cs="Merriweather"/>
                <w:color w:val="000000"/>
                <w:sz w:val="26"/>
                <w:szCs w:val="26"/>
              </w:rPr>
              <w:lastRenderedPageBreak/>
              <w:t>against incipient chaos with assertions of their own justice and righteousness. Sennacherib’s titulary, for example, explicitly conflates his moral standing with his role in preserving order, describing him as:</w:t>
            </w:r>
          </w:p>
          <w:p w14:paraId="00000070" w14:textId="77777777" w:rsidR="004E732A" w:rsidRDefault="004E732A">
            <w:pPr>
              <w:shd w:val="clear" w:color="auto" w:fill="FFFFFF"/>
              <w:tabs>
                <w:tab w:val="left" w:pos="915"/>
              </w:tabs>
              <w:spacing w:after="300"/>
              <w:rPr>
                <w:rFonts w:ascii="Merriweather" w:eastAsia="Merriweather" w:hAnsi="Merriweather" w:cs="Merriweather"/>
                <w:color w:val="000000"/>
                <w:sz w:val="26"/>
                <w:szCs w:val="26"/>
              </w:rPr>
            </w:pPr>
          </w:p>
        </w:tc>
        <w:tc>
          <w:tcPr>
            <w:tcW w:w="4675" w:type="dxa"/>
          </w:tcPr>
          <w:p w14:paraId="00000071" w14:textId="2A1BE8A9" w:rsidR="004E732A" w:rsidRDefault="00000000">
            <w:pPr>
              <w:bidi/>
              <w:spacing w:line="276" w:lineRule="auto"/>
              <w:rPr>
                <w:color w:val="333333"/>
                <w:sz w:val="28"/>
                <w:szCs w:val="28"/>
              </w:rPr>
            </w:pPr>
            <w:r>
              <w:rPr>
                <w:color w:val="333333"/>
                <w:sz w:val="28"/>
                <w:szCs w:val="28"/>
                <w:rtl/>
              </w:rPr>
              <w:lastRenderedPageBreak/>
              <w:t xml:space="preserve">המלך הצדיק העושה </w:t>
            </w:r>
            <w:r w:rsidR="00481A2A">
              <w:rPr>
                <w:rFonts w:hint="cs"/>
                <w:color w:val="333333"/>
                <w:sz w:val="28"/>
                <w:szCs w:val="28"/>
                <w:rtl/>
              </w:rPr>
              <w:t>משפט</w:t>
            </w:r>
          </w:p>
          <w:p w14:paraId="00000072" w14:textId="4DCD7C76" w:rsidR="004E732A" w:rsidRDefault="00000000">
            <w:pPr>
              <w:bidi/>
              <w:spacing w:line="276" w:lineRule="auto"/>
              <w:rPr>
                <w:color w:val="333333"/>
                <w:sz w:val="28"/>
                <w:szCs w:val="28"/>
              </w:rPr>
            </w:pPr>
            <w:r>
              <w:rPr>
                <w:color w:val="333333"/>
                <w:sz w:val="28"/>
                <w:szCs w:val="28"/>
                <w:rtl/>
              </w:rPr>
              <w:t>הן סרגון, הן סנחריב מבצרים את מעמדם כחומה העוצרת בעד עליית הכאוס תוך הצהרה על צדקתם וה</w:t>
            </w:r>
            <w:r w:rsidR="00481A2A">
              <w:rPr>
                <w:rFonts w:hint="cs"/>
                <w:color w:val="333333"/>
                <w:sz w:val="28"/>
                <w:szCs w:val="28"/>
                <w:rtl/>
              </w:rPr>
              <w:t xml:space="preserve">משפט </w:t>
            </w:r>
            <w:r>
              <w:rPr>
                <w:color w:val="333333"/>
                <w:sz w:val="28"/>
                <w:szCs w:val="28"/>
                <w:rtl/>
              </w:rPr>
              <w:t xml:space="preserve">שהם עושים. </w:t>
            </w:r>
            <w:r>
              <w:rPr>
                <w:color w:val="333333"/>
                <w:sz w:val="28"/>
                <w:szCs w:val="28"/>
                <w:rtl/>
              </w:rPr>
              <w:lastRenderedPageBreak/>
              <w:t>תוארו המלכותי של סנחריב, לדוגמה, כורך את מוסריותו עם תפקידו כמגן הסדר:</w:t>
            </w:r>
          </w:p>
        </w:tc>
      </w:tr>
      <w:tr w:rsidR="004E732A" w14:paraId="595EAEE6" w14:textId="77777777">
        <w:tc>
          <w:tcPr>
            <w:tcW w:w="4675" w:type="dxa"/>
          </w:tcPr>
          <w:p w14:paraId="00000073"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lastRenderedPageBreak/>
              <w:t>Guardian of the right, lover of justice…perfect hero, mighty man, first among all princes, the powerful one who consumes the insubmissive, who strikes the wicked with lightning.</w:t>
            </w:r>
            <w:r>
              <w:rPr>
                <w:rFonts w:ascii="Merriweather" w:eastAsia="Merriweather" w:hAnsi="Merriweather" w:cs="Merriweather"/>
                <w:color w:val="B22222"/>
                <w:sz w:val="23"/>
                <w:szCs w:val="23"/>
                <w:vertAlign w:val="superscript"/>
              </w:rPr>
              <w:t>[17]</w:t>
            </w:r>
          </w:p>
          <w:p w14:paraId="00000074"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75" w14:textId="77777777" w:rsidR="004E732A" w:rsidRDefault="00000000">
            <w:pPr>
              <w:bidi/>
              <w:spacing w:line="276" w:lineRule="auto"/>
              <w:rPr>
                <w:color w:val="333333"/>
                <w:sz w:val="28"/>
                <w:szCs w:val="28"/>
              </w:rPr>
            </w:pPr>
            <w:r>
              <w:rPr>
                <w:color w:val="333333"/>
                <w:sz w:val="28"/>
                <w:szCs w:val="28"/>
                <w:rtl/>
              </w:rPr>
              <w:t>מגן ישרים, אוהב צדק… גיבור, גדול, ראשון לנסיכים, אדיר בכוח המכניע את הקמים עליו, המכה רשעים בברקו.</w:t>
            </w:r>
            <w:r w:rsidRPr="00481A2A">
              <w:rPr>
                <w:color w:val="333333"/>
                <w:sz w:val="28"/>
                <w:szCs w:val="28"/>
                <w:vertAlign w:val="superscript"/>
                <w:rtl/>
              </w:rPr>
              <w:t>[17]</w:t>
            </w:r>
          </w:p>
        </w:tc>
      </w:tr>
      <w:tr w:rsidR="004E732A" w14:paraId="20688107" w14:textId="77777777">
        <w:tc>
          <w:tcPr>
            <w:tcW w:w="4675" w:type="dxa"/>
          </w:tcPr>
          <w:p w14:paraId="00000076"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Both kings’ inscriptions also emphasize the rebelliousness of their enemies, using language that conflates rebellion with sin. For example, Sargon describes an attempted rebellion as a “wicked plan” and declares that he deported the rebels as punishment for their “sin”:</w:t>
            </w:r>
          </w:p>
          <w:p w14:paraId="00000077"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78" w14:textId="2C603F0F" w:rsidR="004E732A" w:rsidRDefault="00481A2A">
            <w:pPr>
              <w:bidi/>
              <w:spacing w:line="276" w:lineRule="auto"/>
              <w:rPr>
                <w:color w:val="333333"/>
                <w:sz w:val="28"/>
                <w:szCs w:val="28"/>
              </w:rPr>
            </w:pPr>
            <w:r>
              <w:rPr>
                <w:rFonts w:hint="cs"/>
                <w:color w:val="333333"/>
                <w:sz w:val="28"/>
                <w:szCs w:val="28"/>
                <w:rtl/>
              </w:rPr>
              <w:t>כ</w:t>
            </w:r>
            <w:r>
              <w:rPr>
                <w:color w:val="333333"/>
                <w:sz w:val="28"/>
                <w:szCs w:val="28"/>
                <w:rtl/>
              </w:rPr>
              <w:t>תובות שני המלכים מדגישות גם את מרדנותם של אויביהם, ועושות שימוש בלשון הכורכת מרדנות וחטא. לדוגמה, סרגון מתאר ניסיון מרד נגדו כ"מזימת רשע" ומצהיר כי גירש את המורדים כדי להענישם על "חטאם":</w:t>
            </w:r>
          </w:p>
        </w:tc>
      </w:tr>
      <w:tr w:rsidR="004E732A" w14:paraId="03A88496" w14:textId="77777777">
        <w:tc>
          <w:tcPr>
            <w:tcW w:w="4675" w:type="dxa"/>
          </w:tcPr>
          <w:p w14:paraId="00000079"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The people of the cities of Sukka, Bala, and Abitikna conceived a</w:t>
            </w:r>
            <w:r>
              <w:rPr>
                <w:rFonts w:ascii="Merriweather" w:eastAsia="Merriweather" w:hAnsi="Merriweather" w:cs="Merriweather"/>
                <w:b/>
                <w:color w:val="000000"/>
                <w:sz w:val="26"/>
                <w:szCs w:val="26"/>
              </w:rPr>
              <w:t> wicked plan</w:t>
            </w:r>
            <w:r>
              <w:rPr>
                <w:rFonts w:ascii="Merriweather" w:eastAsia="Merriweather" w:hAnsi="Merriweather" w:cs="Merriweather"/>
                <w:color w:val="000000"/>
                <w:sz w:val="26"/>
                <w:szCs w:val="26"/>
              </w:rPr>
              <w:t> (</w:t>
            </w:r>
            <w:r>
              <w:rPr>
                <w:rFonts w:ascii="Merriweather" w:eastAsia="Merriweather" w:hAnsi="Merriweather" w:cs="Merriweather"/>
                <w:i/>
                <w:color w:val="000000"/>
                <w:sz w:val="26"/>
                <w:szCs w:val="26"/>
              </w:rPr>
              <w:t>milik lemuttim</w:t>
            </w:r>
            <w:r>
              <w:rPr>
                <w:rFonts w:ascii="Merriweather" w:eastAsia="Merriweather" w:hAnsi="Merriweather" w:cs="Merriweather"/>
                <w:color w:val="000000"/>
                <w:sz w:val="26"/>
                <w:szCs w:val="26"/>
              </w:rPr>
              <w:t>) of tearing up the roots of (their) land and with Ursâ, or Urartu (Armenia), they came to terms. Because of </w:t>
            </w:r>
            <w:r>
              <w:rPr>
                <w:rFonts w:ascii="Merriweather" w:eastAsia="Merriweather" w:hAnsi="Merriweather" w:cs="Merriweather"/>
                <w:b/>
                <w:color w:val="000000"/>
                <w:sz w:val="26"/>
                <w:szCs w:val="26"/>
              </w:rPr>
              <w:t xml:space="preserve">the sin which they had </w:t>
            </w:r>
            <w:r>
              <w:rPr>
                <w:rFonts w:ascii="Merriweather" w:eastAsia="Merriweather" w:hAnsi="Merriweather" w:cs="Merriweather"/>
                <w:b/>
                <w:color w:val="000000"/>
                <w:sz w:val="26"/>
                <w:szCs w:val="26"/>
              </w:rPr>
              <w:lastRenderedPageBreak/>
              <w:t>committed</w:t>
            </w:r>
            <w:r>
              <w:rPr>
                <w:rFonts w:ascii="Merriweather" w:eastAsia="Merriweather" w:hAnsi="Merriweather" w:cs="Merriweather"/>
                <w:color w:val="000000"/>
                <w:sz w:val="26"/>
                <w:szCs w:val="26"/>
              </w:rPr>
              <w:t> (</w:t>
            </w:r>
            <w:r>
              <w:rPr>
                <w:rFonts w:ascii="Merriweather" w:eastAsia="Merriweather" w:hAnsi="Merriweather" w:cs="Merriweather"/>
                <w:i/>
                <w:color w:val="000000"/>
                <w:sz w:val="26"/>
                <w:szCs w:val="26"/>
              </w:rPr>
              <w:t xml:space="preserve">ina </w:t>
            </w:r>
            <w:r>
              <w:rPr>
                <w:rFonts w:ascii="Cambria" w:eastAsia="Cambria" w:hAnsi="Cambria" w:cs="Cambria"/>
                <w:i/>
                <w:color w:val="000000"/>
                <w:sz w:val="26"/>
                <w:szCs w:val="26"/>
              </w:rPr>
              <w:t>ḫ</w:t>
            </w:r>
            <w:sdt>
              <w:sdtPr>
                <w:tag w:val="goog_rdk_18"/>
                <w:id w:val="-933976149"/>
              </w:sdtPr>
              <w:sdtContent>
                <w:r>
                  <w:rPr>
                    <w:rFonts w:ascii="Andika" w:eastAsia="Andika" w:hAnsi="Andika" w:cs="Andika"/>
                    <w:i/>
                    <w:color w:val="000000"/>
                    <w:sz w:val="26"/>
                    <w:szCs w:val="26"/>
                  </w:rPr>
                  <w:t>iṭṭi i</w:t>
                </w:r>
              </w:sdtContent>
            </w:sdt>
            <w:r>
              <w:rPr>
                <w:rFonts w:ascii="Cambria" w:eastAsia="Cambria" w:hAnsi="Cambria" w:cs="Cambria"/>
                <w:i/>
                <w:color w:val="000000"/>
                <w:sz w:val="26"/>
                <w:szCs w:val="26"/>
              </w:rPr>
              <w:t>ḫ</w:t>
            </w:r>
            <w:sdt>
              <w:sdtPr>
                <w:tag w:val="goog_rdk_19"/>
                <w:id w:val="-1144188999"/>
              </w:sdtPr>
              <w:sdtContent>
                <w:r>
                  <w:rPr>
                    <w:rFonts w:ascii="Andika" w:eastAsia="Andika" w:hAnsi="Andika" w:cs="Andika"/>
                    <w:i/>
                    <w:color w:val="000000"/>
                    <w:sz w:val="26"/>
                    <w:szCs w:val="26"/>
                  </w:rPr>
                  <w:t>ṭû</w:t>
                </w:r>
              </w:sdtContent>
            </w:sdt>
            <w:r>
              <w:rPr>
                <w:rFonts w:ascii="Merriweather" w:eastAsia="Merriweather" w:hAnsi="Merriweather" w:cs="Merriweather"/>
                <w:color w:val="000000"/>
                <w:sz w:val="26"/>
                <w:szCs w:val="26"/>
              </w:rPr>
              <w:t>), I tore them away from their homes and settled them in Hatti of Amurru.</w:t>
            </w:r>
            <w:r>
              <w:rPr>
                <w:rFonts w:ascii="Merriweather" w:eastAsia="Merriweather" w:hAnsi="Merriweather" w:cs="Merriweather"/>
                <w:color w:val="B22222"/>
                <w:sz w:val="23"/>
                <w:szCs w:val="23"/>
                <w:vertAlign w:val="superscript"/>
              </w:rPr>
              <w:t>[18]</w:t>
            </w:r>
          </w:p>
          <w:p w14:paraId="0000007A"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7B" w14:textId="49245C1B" w:rsidR="004E732A" w:rsidRDefault="00000000">
            <w:pPr>
              <w:bidi/>
              <w:spacing w:line="276" w:lineRule="auto"/>
              <w:rPr>
                <w:color w:val="333333"/>
                <w:sz w:val="28"/>
                <w:szCs w:val="28"/>
              </w:rPr>
            </w:pPr>
            <w:r>
              <w:rPr>
                <w:color w:val="333333"/>
                <w:sz w:val="28"/>
                <w:szCs w:val="28"/>
                <w:rtl/>
              </w:rPr>
              <w:lastRenderedPageBreak/>
              <w:t>אנשי הערים סוכה, בלה ואביתיקנה זממו מזימת רשע</w:t>
            </w:r>
            <w:r>
              <w:rPr>
                <w:rFonts w:ascii="Merriweather" w:eastAsia="Merriweather" w:hAnsi="Merriweather" w:cs="Merriweather"/>
                <w:i/>
                <w:sz w:val="28"/>
                <w:szCs w:val="28"/>
              </w:rPr>
              <w:t>milik lemuttim)</w:t>
            </w:r>
            <w:r>
              <w:rPr>
                <w:rFonts w:ascii="Merriweather" w:eastAsia="Merriweather" w:hAnsi="Merriweather" w:cs="Merriweather"/>
                <w:sz w:val="28"/>
                <w:szCs w:val="28"/>
              </w:rPr>
              <w:t xml:space="preserve"> </w:t>
            </w:r>
            <w:r w:rsidR="00542259">
              <w:rPr>
                <w:rFonts w:hint="cs"/>
                <w:sz w:val="28"/>
                <w:szCs w:val="28"/>
                <w:rtl/>
              </w:rPr>
              <w:t xml:space="preserve">) </w:t>
            </w:r>
            <w:r>
              <w:rPr>
                <w:sz w:val="28"/>
                <w:szCs w:val="28"/>
                <w:rtl/>
              </w:rPr>
              <w:t xml:space="preserve">לעקור שורשי ארץ(ם) ועם אורסה, או אוררטו (ארמניה), כרתו ברית. </w:t>
            </w:r>
            <w:r w:rsidRPr="00481A2A">
              <w:rPr>
                <w:b/>
                <w:bCs/>
                <w:sz w:val="28"/>
                <w:szCs w:val="28"/>
                <w:rtl/>
              </w:rPr>
              <w:t>על חטאם שחטאו</w:t>
            </w:r>
            <w:r>
              <w:rPr>
                <w:sz w:val="28"/>
                <w:szCs w:val="28"/>
                <w:rtl/>
              </w:rPr>
              <w:t xml:space="preserve"> </w:t>
            </w:r>
            <w:r>
              <w:rPr>
                <w:rFonts w:ascii="Merriweather" w:eastAsia="Merriweather" w:hAnsi="Merriweather" w:cs="Merriweather"/>
                <w:i/>
                <w:sz w:val="26"/>
                <w:szCs w:val="26"/>
              </w:rPr>
              <w:t xml:space="preserve">ina </w:t>
            </w:r>
            <w:r>
              <w:rPr>
                <w:rFonts w:ascii="Cambria" w:eastAsia="Cambria" w:hAnsi="Cambria" w:cs="Cambria"/>
                <w:i/>
                <w:sz w:val="26"/>
                <w:szCs w:val="26"/>
              </w:rPr>
              <w:t>ḫ</w:t>
            </w:r>
            <w:sdt>
              <w:sdtPr>
                <w:rPr>
                  <w:rtl/>
                </w:rPr>
                <w:tag w:val="goog_rdk_20"/>
                <w:id w:val="-2038336706"/>
              </w:sdtPr>
              <w:sdtContent>
                <w:r>
                  <w:rPr>
                    <w:rFonts w:ascii="Andika" w:eastAsia="Andika" w:hAnsi="Andika" w:cs="Andika"/>
                    <w:i/>
                    <w:sz w:val="26"/>
                    <w:szCs w:val="26"/>
                  </w:rPr>
                  <w:t>iṭṭi i</w:t>
                </w:r>
              </w:sdtContent>
            </w:sdt>
            <w:r>
              <w:rPr>
                <w:rFonts w:ascii="Cambria" w:eastAsia="Cambria" w:hAnsi="Cambria" w:cs="Cambria"/>
                <w:i/>
                <w:sz w:val="26"/>
                <w:szCs w:val="26"/>
              </w:rPr>
              <w:t>ḫ</w:t>
            </w:r>
            <w:sdt>
              <w:sdtPr>
                <w:rPr>
                  <w:rtl/>
                </w:rPr>
                <w:tag w:val="goog_rdk_21"/>
                <w:id w:val="1865248915"/>
              </w:sdtPr>
              <w:sdtContent>
                <w:r>
                  <w:rPr>
                    <w:rFonts w:ascii="Andika" w:eastAsia="Andika" w:hAnsi="Andika" w:cs="Andika"/>
                    <w:i/>
                    <w:sz w:val="26"/>
                    <w:szCs w:val="26"/>
                  </w:rPr>
                  <w:t>ṭû)</w:t>
                </w:r>
              </w:sdtContent>
            </w:sdt>
            <w:r w:rsidR="00542259">
              <w:rPr>
                <w:rFonts w:hint="cs"/>
                <w:sz w:val="28"/>
                <w:szCs w:val="28"/>
                <w:rtl/>
              </w:rPr>
              <w:t>)</w:t>
            </w:r>
            <w:r>
              <w:rPr>
                <w:sz w:val="28"/>
                <w:szCs w:val="28"/>
                <w:rtl/>
              </w:rPr>
              <w:t xml:space="preserve"> עקרתים מבתיהם והושבתי אותם בחתי שבאמורו.</w:t>
            </w:r>
            <w:r w:rsidRPr="00481A2A">
              <w:rPr>
                <w:sz w:val="28"/>
                <w:szCs w:val="28"/>
                <w:vertAlign w:val="superscript"/>
                <w:rtl/>
              </w:rPr>
              <w:t>[18</w:t>
            </w:r>
            <w:r w:rsidR="00542259" w:rsidRPr="00481A2A">
              <w:rPr>
                <w:rFonts w:hint="cs"/>
                <w:color w:val="333333"/>
                <w:sz w:val="28"/>
                <w:szCs w:val="28"/>
                <w:vertAlign w:val="superscript"/>
                <w:rtl/>
              </w:rPr>
              <w:t>]</w:t>
            </w:r>
          </w:p>
        </w:tc>
      </w:tr>
      <w:tr w:rsidR="004E732A" w14:paraId="72F324BD" w14:textId="77777777">
        <w:tc>
          <w:tcPr>
            <w:tcW w:w="4675" w:type="dxa"/>
          </w:tcPr>
          <w:p w14:paraId="0000007C"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The particular emphasis on enemy rebelliousness suggests that increased levels of violence required a concomitant increase in moral rationalization.</w:t>
            </w:r>
          </w:p>
          <w:p w14:paraId="0000007D"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7E" w14:textId="7BF4747E" w:rsidR="004E732A" w:rsidRDefault="00000000">
            <w:pPr>
              <w:bidi/>
              <w:spacing w:line="276" w:lineRule="auto"/>
              <w:rPr>
                <w:color w:val="333333"/>
                <w:sz w:val="28"/>
                <w:szCs w:val="28"/>
              </w:rPr>
            </w:pPr>
            <w:r>
              <w:rPr>
                <w:color w:val="333333"/>
                <w:sz w:val="28"/>
                <w:szCs w:val="28"/>
                <w:rtl/>
              </w:rPr>
              <w:t xml:space="preserve">הדגש המיוחד על מרדנות האויב מלמד </w:t>
            </w:r>
            <w:r w:rsidR="00481A2A">
              <w:rPr>
                <w:rFonts w:hint="cs"/>
                <w:color w:val="333333"/>
                <w:sz w:val="28"/>
                <w:szCs w:val="28"/>
                <w:rtl/>
              </w:rPr>
              <w:t>שאלימות קשה יותר הצריכה</w:t>
            </w:r>
            <w:r>
              <w:rPr>
                <w:color w:val="333333"/>
                <w:sz w:val="28"/>
                <w:szCs w:val="28"/>
                <w:rtl/>
              </w:rPr>
              <w:t xml:space="preserve"> רציונליזציה מוסרית שמשקלה רב יותר.</w:t>
            </w:r>
          </w:p>
        </w:tc>
      </w:tr>
      <w:tr w:rsidR="004E732A" w14:paraId="74D553FA" w14:textId="77777777">
        <w:tc>
          <w:tcPr>
            <w:tcW w:w="4675" w:type="dxa"/>
          </w:tcPr>
          <w:p w14:paraId="0000007F" w14:textId="77777777" w:rsidR="004E732A" w:rsidRDefault="00000000">
            <w:pPr>
              <w:shd w:val="clear" w:color="auto" w:fill="FFFFFF"/>
              <w:spacing w:before="210" w:after="210"/>
              <w:jc w:val="center"/>
              <w:rPr>
                <w:rFonts w:ascii="Merriweather" w:eastAsia="Merriweather" w:hAnsi="Merriweather" w:cs="Merriweather"/>
                <w:color w:val="000000"/>
                <w:sz w:val="38"/>
                <w:szCs w:val="38"/>
              </w:rPr>
            </w:pPr>
            <w:r>
              <w:rPr>
                <w:rFonts w:ascii="Merriweather" w:eastAsia="Merriweather" w:hAnsi="Merriweather" w:cs="Merriweather"/>
                <w:color w:val="000000"/>
                <w:sz w:val="38"/>
                <w:szCs w:val="38"/>
              </w:rPr>
              <w:t>Cosmic Battle in the Bible</w:t>
            </w:r>
          </w:p>
          <w:p w14:paraId="00000080"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Though the Bible does not include a complete Israelite creation myth in which creation is preceded by YHWH’s battle against watery chaos, several passages, particularly in the Psalms, preserve vestiges of such a tradition. As in Assyria, the human king is YHWH’s counterpart, defending order and justice on earth in a perpetual re-enactment of YHWH’s own battle against chaos.</w:t>
            </w:r>
            <w:r>
              <w:rPr>
                <w:rFonts w:ascii="Merriweather" w:eastAsia="Merriweather" w:hAnsi="Merriweather" w:cs="Merriweather"/>
                <w:color w:val="B22222"/>
                <w:sz w:val="23"/>
                <w:szCs w:val="23"/>
                <w:vertAlign w:val="superscript"/>
              </w:rPr>
              <w:t>[19]</w:t>
            </w:r>
          </w:p>
          <w:p w14:paraId="00000081"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82" w14:textId="77777777" w:rsidR="004E732A" w:rsidRDefault="00000000">
            <w:pPr>
              <w:bidi/>
              <w:spacing w:line="276" w:lineRule="auto"/>
              <w:rPr>
                <w:color w:val="333333"/>
                <w:sz w:val="28"/>
                <w:szCs w:val="28"/>
              </w:rPr>
            </w:pPr>
            <w:r>
              <w:rPr>
                <w:color w:val="333333"/>
                <w:sz w:val="28"/>
                <w:szCs w:val="28"/>
                <w:rtl/>
              </w:rPr>
              <w:t>קרב קוסמי במקרא</w:t>
            </w:r>
          </w:p>
          <w:p w14:paraId="00000083" w14:textId="354902D3" w:rsidR="004E732A" w:rsidRPr="00481A2A" w:rsidRDefault="00000000">
            <w:pPr>
              <w:bidi/>
              <w:spacing w:line="276" w:lineRule="auto"/>
              <w:rPr>
                <w:color w:val="333333"/>
                <w:sz w:val="28"/>
                <w:szCs w:val="28"/>
              </w:rPr>
            </w:pPr>
            <w:r>
              <w:rPr>
                <w:color w:val="333333"/>
                <w:sz w:val="28"/>
                <w:szCs w:val="28"/>
                <w:rtl/>
              </w:rPr>
              <w:t>אף שהמקרא אינו מביא מיתולוגי</w:t>
            </w:r>
            <w:r w:rsidR="00481A2A">
              <w:rPr>
                <w:rFonts w:hint="cs"/>
                <w:color w:val="333333"/>
                <w:sz w:val="28"/>
                <w:szCs w:val="28"/>
                <w:rtl/>
              </w:rPr>
              <w:t>י</w:t>
            </w:r>
            <w:r>
              <w:rPr>
                <w:color w:val="333333"/>
                <w:sz w:val="28"/>
                <w:szCs w:val="28"/>
                <w:rtl/>
              </w:rPr>
              <w:t>ת בריאה ישראלית שלמה שבה לפני הבריאה נלחם יהו-ה במימי הכאוס, פזורים בו אזכורים, בייחוד בתהלים, שהם בבחינת שקיעים של מסורת מעין זו. כמו באשור, המלך בשר ודם הוא מקבילו של יהו-ה המגן על הסדר והצדק על פני האדמה באופן המשחזר שוב ושוב את מלחמתו של יהו-ה בכאוס.</w:t>
            </w:r>
            <w:r w:rsidR="00481A2A">
              <w:rPr>
                <w:rFonts w:hint="cs"/>
                <w:color w:val="333333"/>
                <w:sz w:val="28"/>
                <w:szCs w:val="28"/>
                <w:vertAlign w:val="superscript"/>
                <w:rtl/>
              </w:rPr>
              <w:t>[19]</w:t>
            </w:r>
          </w:p>
        </w:tc>
      </w:tr>
      <w:tr w:rsidR="004E732A" w14:paraId="37039E9F" w14:textId="77777777">
        <w:tc>
          <w:tcPr>
            <w:tcW w:w="4675" w:type="dxa"/>
          </w:tcPr>
          <w:p w14:paraId="00000084" w14:textId="77777777" w:rsidR="004E732A" w:rsidRDefault="00000000">
            <w:pPr>
              <w:shd w:val="clear" w:color="auto" w:fill="FFFFFF"/>
              <w:spacing w:before="300" w:after="150"/>
              <w:rPr>
                <w:rFonts w:ascii="Merriweather" w:eastAsia="Merriweather" w:hAnsi="Merriweather" w:cs="Merriweather"/>
                <w:color w:val="000000"/>
                <w:sz w:val="32"/>
                <w:szCs w:val="32"/>
              </w:rPr>
            </w:pPr>
            <w:r>
              <w:rPr>
                <w:rFonts w:ascii="Merriweather" w:eastAsia="Merriweather" w:hAnsi="Merriweather" w:cs="Merriweather"/>
                <w:color w:val="000000"/>
                <w:sz w:val="32"/>
                <w:szCs w:val="32"/>
              </w:rPr>
              <w:t>YHWH Equips the King to Battle Chaos</w:t>
            </w:r>
          </w:p>
          <w:p w14:paraId="00000085"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lastRenderedPageBreak/>
              <w:t>Psalm 18 describes YHWH’s military power using terms that evoke YHWH’s struggle against chaos:</w:t>
            </w:r>
          </w:p>
          <w:p w14:paraId="00000086"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87" w14:textId="77777777" w:rsidR="004E732A" w:rsidRDefault="00000000">
            <w:pPr>
              <w:bidi/>
              <w:spacing w:line="276" w:lineRule="auto"/>
              <w:rPr>
                <w:color w:val="333333"/>
                <w:sz w:val="28"/>
                <w:szCs w:val="28"/>
              </w:rPr>
            </w:pPr>
            <w:r>
              <w:rPr>
                <w:color w:val="333333"/>
                <w:sz w:val="28"/>
                <w:szCs w:val="28"/>
                <w:rtl/>
              </w:rPr>
              <w:lastRenderedPageBreak/>
              <w:t>יהו-ה מעניק למלך כלים למלחמה בכאוס</w:t>
            </w:r>
          </w:p>
          <w:p w14:paraId="00000088" w14:textId="77777777" w:rsidR="004E732A" w:rsidRDefault="00000000">
            <w:pPr>
              <w:bidi/>
              <w:spacing w:line="276" w:lineRule="auto"/>
              <w:rPr>
                <w:color w:val="333333"/>
                <w:sz w:val="28"/>
                <w:szCs w:val="28"/>
              </w:rPr>
            </w:pPr>
            <w:r>
              <w:rPr>
                <w:color w:val="333333"/>
                <w:sz w:val="28"/>
                <w:szCs w:val="28"/>
                <w:rtl/>
              </w:rPr>
              <w:t>תהלים יח מתאר את כוחו הצבאי של יהו-ה במושגים הלקוחים מתיאור מלחמתו בכאוס:</w:t>
            </w:r>
          </w:p>
        </w:tc>
      </w:tr>
      <w:tr w:rsidR="004E732A" w14:paraId="20E91CE5" w14:textId="77777777">
        <w:tc>
          <w:tcPr>
            <w:tcW w:w="4675" w:type="dxa"/>
          </w:tcPr>
          <w:p w14:paraId="00000089"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8A" w14:textId="77777777" w:rsidR="004E732A" w:rsidRPr="00481A2A" w:rsidRDefault="00000000">
            <w:pPr>
              <w:shd w:val="clear" w:color="auto" w:fill="FFFFFF"/>
              <w:bidi/>
              <w:rPr>
                <w:color w:val="000000"/>
                <w:sz w:val="28"/>
                <w:szCs w:val="28"/>
                <w:vertAlign w:val="superscript"/>
              </w:rPr>
            </w:pPr>
            <w:r>
              <w:rPr>
                <w:color w:val="000000"/>
                <w:sz w:val="28"/>
                <w:szCs w:val="28"/>
                <w:vertAlign w:val="superscript"/>
                <w:rtl/>
              </w:rPr>
              <w:t>תהלים יח:יד</w:t>
            </w:r>
            <w:r>
              <w:rPr>
                <w:color w:val="000000"/>
                <w:sz w:val="28"/>
                <w:szCs w:val="28"/>
                <w:rtl/>
              </w:rPr>
              <w:t> וַיַּרְעֵם בַּשָּׁמַיִם יְ־הוָה וְעֶלְיוֹן יִתֵּן קֹלוֹ בָּרָד וְגַחֲלֵי אֵשׁ. </w:t>
            </w:r>
            <w:r>
              <w:rPr>
                <w:color w:val="000000"/>
                <w:sz w:val="28"/>
                <w:szCs w:val="28"/>
                <w:vertAlign w:val="superscript"/>
                <w:rtl/>
              </w:rPr>
              <w:t>יח:טו</w:t>
            </w:r>
            <w:r>
              <w:rPr>
                <w:color w:val="000000"/>
                <w:sz w:val="28"/>
                <w:szCs w:val="28"/>
                <w:rtl/>
              </w:rPr>
              <w:t> וַיִּשְׁלַח חִצָּיו וַיְפִיצֵם וּבְרָקִים רָב וַיְהֻמֵּם. </w:t>
            </w:r>
            <w:r>
              <w:rPr>
                <w:color w:val="000000"/>
                <w:sz w:val="28"/>
                <w:szCs w:val="28"/>
                <w:vertAlign w:val="superscript"/>
                <w:rtl/>
              </w:rPr>
              <w:t>יח:טז</w:t>
            </w:r>
            <w:r>
              <w:rPr>
                <w:color w:val="000000"/>
                <w:sz w:val="28"/>
                <w:szCs w:val="28"/>
                <w:rtl/>
              </w:rPr>
              <w:t> וַיֵּרָאוּ אֲפִיקֵי מַיִם וַיִּגָּלוּ מוֹסְדוֹת תֵּבֵל מִגַּעֲרָתְךָ יְ־הוָה מִנִּשְׁמַת רוּחַ אַפֶּךָ. </w:t>
            </w:r>
            <w:r>
              <w:rPr>
                <w:color w:val="000000"/>
                <w:sz w:val="28"/>
                <w:szCs w:val="28"/>
                <w:vertAlign w:val="superscript"/>
                <w:rtl/>
              </w:rPr>
              <w:t>יח:יז</w:t>
            </w:r>
            <w:r>
              <w:rPr>
                <w:color w:val="000000"/>
                <w:sz w:val="28"/>
                <w:szCs w:val="28"/>
                <w:rtl/>
              </w:rPr>
              <w:t> יִשְׁלַח מִמָּרוֹם יִקָּחֵנִי יַמְשֵׁנִי מִמַּיִם רַבִּים</w:t>
            </w:r>
            <w:r w:rsidRPr="00481A2A">
              <w:rPr>
                <w:color w:val="000000"/>
                <w:sz w:val="28"/>
                <w:szCs w:val="28"/>
                <w:vertAlign w:val="superscript"/>
                <w:rtl/>
              </w:rPr>
              <w:t>.[20]</w:t>
            </w:r>
          </w:p>
          <w:p w14:paraId="0000008B" w14:textId="77777777" w:rsidR="004E732A" w:rsidRDefault="004E732A">
            <w:pPr>
              <w:bidi/>
              <w:spacing w:line="276" w:lineRule="auto"/>
              <w:rPr>
                <w:color w:val="333333"/>
                <w:sz w:val="28"/>
                <w:szCs w:val="28"/>
              </w:rPr>
            </w:pPr>
          </w:p>
        </w:tc>
      </w:tr>
      <w:tr w:rsidR="004E732A" w14:paraId="2A063C95" w14:textId="77777777">
        <w:tc>
          <w:tcPr>
            <w:tcW w:w="4675" w:type="dxa"/>
          </w:tcPr>
          <w:p w14:paraId="0000008C"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The text initially presents YHWH rescuing the king, but then later credits YHWH with preparing the king himself for battle:</w:t>
            </w:r>
          </w:p>
          <w:p w14:paraId="0000008D"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8E" w14:textId="77777777" w:rsidR="004E732A" w:rsidRDefault="00000000">
            <w:pPr>
              <w:bidi/>
              <w:spacing w:line="276" w:lineRule="auto"/>
              <w:rPr>
                <w:color w:val="333333"/>
                <w:sz w:val="28"/>
                <w:szCs w:val="28"/>
              </w:rPr>
            </w:pPr>
            <w:r>
              <w:rPr>
                <w:color w:val="333333"/>
                <w:sz w:val="28"/>
                <w:szCs w:val="28"/>
                <w:rtl/>
              </w:rPr>
              <w:t>הטקסט פותח בתיאור יהו-ה המציל את המלך אולם בהמשך מייחס ליהו-ה את הכנת המלך עצמו לקרב:</w:t>
            </w:r>
          </w:p>
        </w:tc>
      </w:tr>
      <w:tr w:rsidR="004E732A" w14:paraId="4C4EED3B" w14:textId="77777777">
        <w:tc>
          <w:tcPr>
            <w:tcW w:w="4675" w:type="dxa"/>
          </w:tcPr>
          <w:p w14:paraId="0000008F"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90" w14:textId="77777777" w:rsidR="004E732A" w:rsidRDefault="00000000">
            <w:pPr>
              <w:bidi/>
              <w:spacing w:line="276" w:lineRule="auto"/>
              <w:rPr>
                <w:color w:val="333333"/>
                <w:sz w:val="28"/>
                <w:szCs w:val="28"/>
              </w:rPr>
            </w:pPr>
            <w:r>
              <w:rPr>
                <w:color w:val="000000"/>
                <w:sz w:val="28"/>
                <w:szCs w:val="28"/>
                <w:vertAlign w:val="superscript"/>
                <w:rtl/>
              </w:rPr>
              <w:t>תהלים יח:לג</w:t>
            </w:r>
            <w:r>
              <w:rPr>
                <w:color w:val="000000"/>
                <w:sz w:val="28"/>
                <w:szCs w:val="28"/>
                <w:rtl/>
              </w:rPr>
              <w:t> הָאֵל הַמְאַזְּרֵנִי חָיִל וַיִּתֵּן תָּמִים דַּרְכִּי. </w:t>
            </w:r>
            <w:r>
              <w:rPr>
                <w:color w:val="000000"/>
                <w:sz w:val="28"/>
                <w:szCs w:val="28"/>
                <w:vertAlign w:val="superscript"/>
                <w:rtl/>
              </w:rPr>
              <w:t>יח:לד</w:t>
            </w:r>
            <w:r>
              <w:rPr>
                <w:color w:val="000000"/>
                <w:sz w:val="28"/>
                <w:szCs w:val="28"/>
                <w:rtl/>
              </w:rPr>
              <w:t> מְשַׁוֶּה רַגְלַי כָּאַיָּלוֹת וְעַל בָּמֹתַי </w:t>
            </w:r>
            <w:r>
              <w:rPr>
                <w:color w:val="000000"/>
                <w:sz w:val="28"/>
                <w:szCs w:val="28"/>
                <w:vertAlign w:val="superscript"/>
              </w:rPr>
              <w:t>‎</w:t>
            </w:r>
            <w:r>
              <w:rPr>
                <w:color w:val="000000"/>
                <w:sz w:val="28"/>
                <w:szCs w:val="28"/>
                <w:rtl/>
              </w:rPr>
              <w:t>יַעֲמִידֵנִי. </w:t>
            </w:r>
            <w:r>
              <w:rPr>
                <w:color w:val="000000"/>
                <w:sz w:val="28"/>
                <w:szCs w:val="28"/>
                <w:vertAlign w:val="superscript"/>
                <w:rtl/>
              </w:rPr>
              <w:t>יח:לה</w:t>
            </w:r>
            <w:r>
              <w:rPr>
                <w:color w:val="000000"/>
                <w:sz w:val="28"/>
                <w:szCs w:val="28"/>
                <w:rtl/>
              </w:rPr>
              <w:t> מְלַמֵּד יָדַי לַמִּלְחָמָה וְנִחֲתָה קֶשֶׁת נְחוּשָׁה זְרוֹעֹתָי.</w:t>
            </w:r>
          </w:p>
        </w:tc>
      </w:tr>
      <w:tr w:rsidR="004E732A" w14:paraId="60904309" w14:textId="77777777">
        <w:tc>
          <w:tcPr>
            <w:tcW w:w="4675" w:type="dxa"/>
          </w:tcPr>
          <w:p w14:paraId="00000091"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The psalm also associates certain military images—bow (</w:t>
            </w:r>
            <w:sdt>
              <w:sdtPr>
                <w:tag w:val="goog_rdk_22"/>
                <w:id w:val="366958416"/>
              </w:sdtPr>
              <w:sdtContent>
                <w:r>
                  <w:rPr>
                    <w:rFonts w:ascii="Arial" w:eastAsia="Arial" w:hAnsi="Arial" w:cs="Arial"/>
                    <w:color w:val="000000"/>
                    <w:sz w:val="26"/>
                    <w:szCs w:val="26"/>
                    <w:rtl/>
                  </w:rPr>
                  <w:t>ק</w:t>
                </w:r>
              </w:sdtContent>
            </w:sdt>
            <w:sdt>
              <w:sdtPr>
                <w:tag w:val="goog_rdk_23"/>
                <w:id w:val="-75985117"/>
              </w:sdtPr>
              <w:sdtContent>
                <w:r>
                  <w:rPr>
                    <w:rFonts w:ascii="Arial" w:eastAsia="Arial" w:hAnsi="Arial" w:cs="Arial"/>
                    <w:color w:val="000000"/>
                    <w:sz w:val="26"/>
                    <w:szCs w:val="26"/>
                    <w:rtl/>
                  </w:rPr>
                  <w:t>ֶ</w:t>
                </w:r>
              </w:sdtContent>
            </w:sdt>
            <w:sdt>
              <w:sdtPr>
                <w:tag w:val="goog_rdk_24"/>
                <w:id w:val="-1721427604"/>
              </w:sdtPr>
              <w:sdtContent>
                <w:r>
                  <w:rPr>
                    <w:rFonts w:ascii="Cardo" w:eastAsia="Cardo" w:hAnsi="Cardo" w:cs="Cardo"/>
                    <w:color w:val="000000"/>
                    <w:sz w:val="26"/>
                    <w:szCs w:val="26"/>
                    <w:rtl/>
                  </w:rPr>
                  <w:t>שׁ</w:t>
                </w:r>
              </w:sdtContent>
            </w:sdt>
            <w:sdt>
              <w:sdtPr>
                <w:tag w:val="goog_rdk_25"/>
                <w:id w:val="-1965578523"/>
              </w:sdtPr>
              <w:sdtContent>
                <w:r>
                  <w:rPr>
                    <w:rFonts w:ascii="Arial" w:eastAsia="Arial" w:hAnsi="Arial" w:cs="Arial"/>
                    <w:color w:val="000000"/>
                    <w:sz w:val="26"/>
                    <w:szCs w:val="26"/>
                    <w:rtl/>
                  </w:rPr>
                  <w:t>ֶ</w:t>
                </w:r>
              </w:sdtContent>
            </w:sdt>
            <w:sdt>
              <w:sdtPr>
                <w:tag w:val="goog_rdk_26"/>
                <w:id w:val="-153606218"/>
              </w:sdtPr>
              <w:sdtContent>
                <w:r>
                  <w:rPr>
                    <w:rFonts w:ascii="Arial" w:eastAsia="Arial" w:hAnsi="Arial" w:cs="Arial"/>
                    <w:color w:val="000000"/>
                    <w:sz w:val="26"/>
                    <w:szCs w:val="26"/>
                    <w:rtl/>
                  </w:rPr>
                  <w:t>ת</w:t>
                </w:r>
              </w:sdtContent>
            </w:sdt>
            <w:r>
              <w:rPr>
                <w:rFonts w:ascii="Merriweather" w:eastAsia="Merriweather" w:hAnsi="Merriweather" w:cs="Merriweather"/>
                <w:color w:val="000000"/>
                <w:sz w:val="26"/>
                <w:szCs w:val="26"/>
              </w:rPr>
              <w:t>), arrow (</w:t>
            </w:r>
            <w:sdt>
              <w:sdtPr>
                <w:tag w:val="goog_rdk_27"/>
                <w:id w:val="-999729889"/>
              </w:sdtPr>
              <w:sdtContent>
                <w:r>
                  <w:rPr>
                    <w:rFonts w:ascii="Arial" w:eastAsia="Arial" w:hAnsi="Arial" w:cs="Arial"/>
                    <w:color w:val="000000"/>
                    <w:sz w:val="26"/>
                    <w:szCs w:val="26"/>
                    <w:rtl/>
                  </w:rPr>
                  <w:t>ח</w:t>
                </w:r>
              </w:sdtContent>
            </w:sdt>
            <w:sdt>
              <w:sdtPr>
                <w:tag w:val="goog_rdk_28"/>
                <w:id w:val="-649676863"/>
              </w:sdtPr>
              <w:sdtContent>
                <w:r>
                  <w:rPr>
                    <w:rFonts w:ascii="Arial" w:eastAsia="Arial" w:hAnsi="Arial" w:cs="Arial"/>
                    <w:color w:val="000000"/>
                    <w:sz w:val="26"/>
                    <w:szCs w:val="26"/>
                    <w:rtl/>
                  </w:rPr>
                  <w:t>ֵ</w:t>
                </w:r>
              </w:sdtContent>
            </w:sdt>
            <w:sdt>
              <w:sdtPr>
                <w:tag w:val="goog_rdk_29"/>
                <w:id w:val="-685818904"/>
              </w:sdtPr>
              <w:sdtContent>
                <w:r>
                  <w:rPr>
                    <w:rFonts w:ascii="Arial" w:eastAsia="Arial" w:hAnsi="Arial" w:cs="Arial"/>
                    <w:color w:val="000000"/>
                    <w:sz w:val="26"/>
                    <w:szCs w:val="26"/>
                    <w:rtl/>
                  </w:rPr>
                  <w:t>ץ</w:t>
                </w:r>
              </w:sdtContent>
            </w:sdt>
            <w:r>
              <w:rPr>
                <w:rFonts w:ascii="Merriweather" w:eastAsia="Merriweather" w:hAnsi="Merriweather" w:cs="Merriweather"/>
                <w:color w:val="000000"/>
                <w:sz w:val="26"/>
                <w:szCs w:val="26"/>
              </w:rPr>
              <w:t>), shield (</w:t>
            </w:r>
            <w:sdt>
              <w:sdtPr>
                <w:tag w:val="goog_rdk_30"/>
                <w:id w:val="-1920479535"/>
              </w:sdtPr>
              <w:sdtContent>
                <w:r>
                  <w:rPr>
                    <w:rFonts w:ascii="Arial" w:eastAsia="Arial" w:hAnsi="Arial" w:cs="Arial"/>
                    <w:color w:val="000000"/>
                    <w:sz w:val="26"/>
                    <w:szCs w:val="26"/>
                    <w:rtl/>
                  </w:rPr>
                  <w:t>מ</w:t>
                </w:r>
              </w:sdtContent>
            </w:sdt>
            <w:sdt>
              <w:sdtPr>
                <w:tag w:val="goog_rdk_31"/>
                <w:id w:val="-2111804916"/>
              </w:sdtPr>
              <w:sdtContent>
                <w:r>
                  <w:rPr>
                    <w:rFonts w:ascii="Arial" w:eastAsia="Arial" w:hAnsi="Arial" w:cs="Arial"/>
                    <w:color w:val="000000"/>
                    <w:sz w:val="26"/>
                    <w:szCs w:val="26"/>
                    <w:rtl/>
                  </w:rPr>
                  <w:t>ָ</w:t>
                </w:r>
              </w:sdtContent>
            </w:sdt>
            <w:sdt>
              <w:sdtPr>
                <w:tag w:val="goog_rdk_32"/>
                <w:id w:val="-1609893995"/>
              </w:sdtPr>
              <w:sdtContent>
                <w:r>
                  <w:rPr>
                    <w:rFonts w:ascii="Arial" w:eastAsia="Arial" w:hAnsi="Arial" w:cs="Arial"/>
                    <w:color w:val="000000"/>
                    <w:sz w:val="26"/>
                    <w:szCs w:val="26"/>
                    <w:rtl/>
                  </w:rPr>
                  <w:t>ג</w:t>
                </w:r>
              </w:sdtContent>
            </w:sdt>
            <w:sdt>
              <w:sdtPr>
                <w:tag w:val="goog_rdk_33"/>
                <w:id w:val="1918279187"/>
              </w:sdtPr>
              <w:sdtContent>
                <w:r>
                  <w:rPr>
                    <w:rFonts w:ascii="Arial" w:eastAsia="Arial" w:hAnsi="Arial" w:cs="Arial"/>
                    <w:color w:val="000000"/>
                    <w:sz w:val="26"/>
                    <w:szCs w:val="26"/>
                    <w:rtl/>
                  </w:rPr>
                  <w:t>ֵ</w:t>
                </w:r>
              </w:sdtContent>
            </w:sdt>
            <w:sdt>
              <w:sdtPr>
                <w:tag w:val="goog_rdk_34"/>
                <w:id w:val="-1395189428"/>
              </w:sdtPr>
              <w:sdtContent>
                <w:r>
                  <w:rPr>
                    <w:rFonts w:ascii="Arial" w:eastAsia="Arial" w:hAnsi="Arial" w:cs="Arial"/>
                    <w:color w:val="000000"/>
                    <w:sz w:val="26"/>
                    <w:szCs w:val="26"/>
                    <w:rtl/>
                  </w:rPr>
                  <w:t>ן</w:t>
                </w:r>
              </w:sdtContent>
            </w:sdt>
            <w:r>
              <w:rPr>
                <w:rFonts w:ascii="Merriweather" w:eastAsia="Merriweather" w:hAnsi="Merriweather" w:cs="Merriweather"/>
                <w:color w:val="000000"/>
                <w:sz w:val="26"/>
                <w:szCs w:val="26"/>
              </w:rPr>
              <w:t>)—with both parties (vv. 3, 15, 31, 35, 36). The text thus creates an image of YHWH, amid a threat from chaotic waters, seizing the king and equipping him to combat those forces by bestowing upon him his divine military skill.</w:t>
            </w:r>
          </w:p>
          <w:p w14:paraId="00000092"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93" w14:textId="2CC73E27" w:rsidR="004E732A" w:rsidRDefault="00000000">
            <w:pPr>
              <w:bidi/>
              <w:spacing w:line="276" w:lineRule="auto"/>
              <w:rPr>
                <w:color w:val="333333"/>
                <w:sz w:val="28"/>
                <w:szCs w:val="28"/>
              </w:rPr>
            </w:pPr>
            <w:r>
              <w:rPr>
                <w:color w:val="333333"/>
                <w:sz w:val="28"/>
                <w:szCs w:val="28"/>
                <w:rtl/>
              </w:rPr>
              <w:lastRenderedPageBreak/>
              <w:t xml:space="preserve">משורר תהלים אף קושר דימויים צבאיים מסוימים – קשת, חץ ומגן עם יהו-ה והמלך גם יחד (פס' ג, טו, לא, לה, לו). כך מצייר הטקסט דימוי של יהו-ה, תוך שהוא נלחם במימי הכאוס, </w:t>
            </w:r>
            <w:r w:rsidR="00481A2A">
              <w:rPr>
                <w:rFonts w:hint="cs"/>
                <w:color w:val="333333"/>
                <w:sz w:val="28"/>
                <w:szCs w:val="28"/>
                <w:rtl/>
              </w:rPr>
              <w:t>המחזיק</w:t>
            </w:r>
            <w:r>
              <w:rPr>
                <w:color w:val="333333"/>
                <w:sz w:val="28"/>
                <w:szCs w:val="28"/>
                <w:rtl/>
              </w:rPr>
              <w:t xml:space="preserve"> </w:t>
            </w:r>
            <w:r w:rsidR="00481A2A">
              <w:rPr>
                <w:rFonts w:hint="cs"/>
                <w:color w:val="333333"/>
                <w:sz w:val="28"/>
                <w:szCs w:val="28"/>
                <w:rtl/>
              </w:rPr>
              <w:t>ב</w:t>
            </w:r>
            <w:r>
              <w:rPr>
                <w:color w:val="333333"/>
                <w:sz w:val="28"/>
                <w:szCs w:val="28"/>
                <w:rtl/>
              </w:rPr>
              <w:t>מלך, מעניק לו את יכולתו הצבאית שמקורה באלוהותו ומצייד אותו למלחמה בכוחות אלו.</w:t>
            </w:r>
          </w:p>
        </w:tc>
      </w:tr>
      <w:tr w:rsidR="004E732A" w14:paraId="19689D71" w14:textId="77777777">
        <w:tc>
          <w:tcPr>
            <w:tcW w:w="4675" w:type="dxa"/>
          </w:tcPr>
          <w:p w14:paraId="00000094" w14:textId="77777777" w:rsidR="004E732A" w:rsidRDefault="00000000">
            <w:pPr>
              <w:shd w:val="clear" w:color="auto" w:fill="FFFFFF"/>
              <w:spacing w:before="300" w:after="150"/>
              <w:rPr>
                <w:rFonts w:ascii="Merriweather" w:eastAsia="Merriweather" w:hAnsi="Merriweather" w:cs="Merriweather"/>
                <w:color w:val="000000"/>
                <w:sz w:val="32"/>
                <w:szCs w:val="32"/>
              </w:rPr>
            </w:pPr>
            <w:r>
              <w:rPr>
                <w:rFonts w:ascii="Merriweather" w:eastAsia="Merriweather" w:hAnsi="Merriweather" w:cs="Merriweather"/>
                <w:color w:val="000000"/>
                <w:sz w:val="32"/>
                <w:szCs w:val="32"/>
              </w:rPr>
              <w:t>Equating Warfare with the Struggle against Chaos</w:t>
            </w:r>
          </w:p>
          <w:p w14:paraId="00000095" w14:textId="4736A1D9"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Psalm 89 reiterates the close connection between YHWH and the human king and underlines the extent to which the human king’s military activity is seen as part of a cosmic struggle. The psalm depicts YHWH as the triumphant victor over the chaotic sea, personified as the monster, Rahab:</w:t>
            </w:r>
          </w:p>
          <w:p w14:paraId="00000096"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97" w14:textId="77777777" w:rsidR="004E732A" w:rsidRDefault="00000000">
            <w:pPr>
              <w:bidi/>
              <w:spacing w:line="276" w:lineRule="auto"/>
              <w:rPr>
                <w:color w:val="333333"/>
                <w:sz w:val="28"/>
                <w:szCs w:val="28"/>
              </w:rPr>
            </w:pPr>
            <w:r>
              <w:rPr>
                <w:color w:val="333333"/>
                <w:sz w:val="28"/>
                <w:szCs w:val="28"/>
                <w:rtl/>
              </w:rPr>
              <w:t>השוואת המלחמה למאבק בכאוס</w:t>
            </w:r>
          </w:p>
          <w:p w14:paraId="00000098" w14:textId="2A52A80B" w:rsidR="004E732A" w:rsidRDefault="00000000">
            <w:pPr>
              <w:bidi/>
              <w:spacing w:line="276" w:lineRule="auto"/>
              <w:rPr>
                <w:color w:val="333333"/>
                <w:sz w:val="28"/>
                <w:szCs w:val="28"/>
              </w:rPr>
            </w:pPr>
            <w:r>
              <w:rPr>
                <w:color w:val="333333"/>
                <w:sz w:val="28"/>
                <w:szCs w:val="28"/>
                <w:rtl/>
              </w:rPr>
              <w:t>תהלים צט חוזר ומאזכר את הקשר ההדוק שבין יהו-ה והמלך בן האנוש ומדגיש את המידה שבה מעשי המלחמה של המלך הם חלק מן המאבק הקוסמי. משורר תהלים מתאר את יהו-ה כמנצח עטור תהילה על הים המייצג את הכאוס</w:t>
            </w:r>
            <w:r w:rsidR="00481A2A">
              <w:rPr>
                <w:rFonts w:hint="cs"/>
                <w:color w:val="333333"/>
                <w:sz w:val="28"/>
                <w:szCs w:val="28"/>
                <w:rtl/>
              </w:rPr>
              <w:t xml:space="preserve"> ואשר </w:t>
            </w:r>
            <w:r>
              <w:rPr>
                <w:color w:val="333333"/>
                <w:sz w:val="28"/>
                <w:szCs w:val="28"/>
                <w:rtl/>
              </w:rPr>
              <w:t>מתגלם בדמות המפלצת רהב.</w:t>
            </w:r>
          </w:p>
        </w:tc>
      </w:tr>
      <w:tr w:rsidR="004E732A" w14:paraId="5D6CC47A" w14:textId="77777777">
        <w:tc>
          <w:tcPr>
            <w:tcW w:w="4675" w:type="dxa"/>
          </w:tcPr>
          <w:p w14:paraId="00000099"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9A" w14:textId="77777777" w:rsidR="004E732A" w:rsidRDefault="00000000">
            <w:pPr>
              <w:shd w:val="clear" w:color="auto" w:fill="FFFFFF"/>
              <w:bidi/>
              <w:rPr>
                <w:color w:val="000000"/>
                <w:sz w:val="28"/>
                <w:szCs w:val="28"/>
              </w:rPr>
            </w:pPr>
            <w:r>
              <w:rPr>
                <w:color w:val="000000"/>
                <w:sz w:val="28"/>
                <w:szCs w:val="28"/>
                <w:vertAlign w:val="superscript"/>
                <w:rtl/>
              </w:rPr>
              <w:t>תהלים פט:יא</w:t>
            </w:r>
            <w:r>
              <w:rPr>
                <w:color w:val="000000"/>
                <w:sz w:val="28"/>
                <w:szCs w:val="28"/>
                <w:rtl/>
              </w:rPr>
              <w:t> אַתָּה דִכִּאתָ כֶחָלָל רָהַב בִּזְרוֹעַ עֻזְּךָ פִּזַּרְתָּ אוֹיְבֶיךָ.</w:t>
            </w:r>
          </w:p>
          <w:p w14:paraId="0000009B" w14:textId="77777777" w:rsidR="004E732A" w:rsidRDefault="004E732A">
            <w:pPr>
              <w:bidi/>
              <w:spacing w:line="276" w:lineRule="auto"/>
              <w:rPr>
                <w:color w:val="333333"/>
                <w:sz w:val="28"/>
                <w:szCs w:val="28"/>
              </w:rPr>
            </w:pPr>
          </w:p>
        </w:tc>
      </w:tr>
      <w:tr w:rsidR="004E732A" w14:paraId="30BA60A7" w14:textId="77777777">
        <w:tc>
          <w:tcPr>
            <w:tcW w:w="4675" w:type="dxa"/>
          </w:tcPr>
          <w:p w14:paraId="0000009C"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After verses celebrating YHWH’s just and righteous dominion over the whole of creation, the psalm rejoices that YHWH has also chosen a human king, whose battles against earthly enemies will be supported by YHWH:</w:t>
            </w:r>
          </w:p>
          <w:p w14:paraId="0000009D"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9E" w14:textId="77777777" w:rsidR="004E732A" w:rsidRDefault="00000000">
            <w:pPr>
              <w:bidi/>
              <w:spacing w:line="276" w:lineRule="auto"/>
              <w:rPr>
                <w:color w:val="333333"/>
                <w:sz w:val="28"/>
                <w:szCs w:val="28"/>
              </w:rPr>
            </w:pPr>
            <w:r>
              <w:rPr>
                <w:color w:val="333333"/>
                <w:sz w:val="28"/>
                <w:szCs w:val="28"/>
                <w:rtl/>
              </w:rPr>
              <w:t>אחרי הפסוקים המהללים את ממשלו הנכון והישר של יהו-ה על הבריאה כולה, תהלים פונה לקילוס בחירתו של יהו-ה במלך אנושי, שמלחמתו באויביו על פני האדמה תזכה לסיוע יהו-ה:</w:t>
            </w:r>
          </w:p>
        </w:tc>
      </w:tr>
      <w:tr w:rsidR="004E732A" w14:paraId="791AA275" w14:textId="77777777">
        <w:tc>
          <w:tcPr>
            <w:tcW w:w="4675" w:type="dxa"/>
          </w:tcPr>
          <w:p w14:paraId="0000009F"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A0" w14:textId="77777777" w:rsidR="004E732A" w:rsidRDefault="00000000">
            <w:pPr>
              <w:shd w:val="clear" w:color="auto" w:fill="FFFFFF"/>
              <w:bidi/>
              <w:rPr>
                <w:color w:val="000000"/>
                <w:sz w:val="28"/>
                <w:szCs w:val="28"/>
              </w:rPr>
            </w:pPr>
            <w:r>
              <w:rPr>
                <w:color w:val="000000"/>
                <w:sz w:val="28"/>
                <w:szCs w:val="28"/>
                <w:rtl/>
              </w:rPr>
              <w:t>‏</w:t>
            </w:r>
            <w:r>
              <w:rPr>
                <w:color w:val="000000"/>
                <w:sz w:val="28"/>
                <w:szCs w:val="28"/>
                <w:vertAlign w:val="superscript"/>
                <w:rtl/>
              </w:rPr>
              <w:t>תהלים פט:כ</w:t>
            </w:r>
            <w:r>
              <w:rPr>
                <w:color w:val="000000"/>
                <w:sz w:val="28"/>
                <w:szCs w:val="28"/>
                <w:rtl/>
              </w:rPr>
              <w:t> אָז דִּבַּרְתָּ בְחָזוֹן לַחֲסִידֶיךָ וַתֹּאמֶר שִׁוִּיתִי עֵזֶר עַל גִּבּוֹר הֲרִימוֹתִי בָחוּר מֵעָם.</w:t>
            </w:r>
          </w:p>
          <w:p w14:paraId="000000A1" w14:textId="77777777" w:rsidR="004E732A" w:rsidRDefault="00000000">
            <w:pPr>
              <w:shd w:val="clear" w:color="auto" w:fill="FFFFFF"/>
              <w:rPr>
                <w:color w:val="000000"/>
                <w:sz w:val="28"/>
                <w:szCs w:val="28"/>
              </w:rPr>
            </w:pPr>
            <w:r>
              <w:rPr>
                <w:color w:val="000000"/>
                <w:sz w:val="28"/>
                <w:szCs w:val="28"/>
              </w:rPr>
              <w:t> </w:t>
            </w:r>
          </w:p>
          <w:p w14:paraId="000000A2" w14:textId="77777777" w:rsidR="004E732A" w:rsidRDefault="004E732A">
            <w:pPr>
              <w:bidi/>
              <w:spacing w:line="276" w:lineRule="auto"/>
              <w:rPr>
                <w:color w:val="333333"/>
                <w:sz w:val="28"/>
                <w:szCs w:val="28"/>
              </w:rPr>
            </w:pPr>
          </w:p>
        </w:tc>
      </w:tr>
      <w:tr w:rsidR="004E732A" w14:paraId="0DD760C3" w14:textId="77777777">
        <w:tc>
          <w:tcPr>
            <w:tcW w:w="4675" w:type="dxa"/>
          </w:tcPr>
          <w:p w14:paraId="000000A3"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lastRenderedPageBreak/>
              <w:t>Like in the Assyrian inscriptions, YHWH’s support for the human king is communicated with water imagery—the king’s enemies are like the chaotic, watery forces that YHWH also fights:</w:t>
            </w:r>
          </w:p>
          <w:p w14:paraId="000000A4" w14:textId="77777777" w:rsidR="004E732A" w:rsidRDefault="004E732A">
            <w:pPr>
              <w:shd w:val="clear" w:color="auto" w:fill="FFFFFF"/>
              <w:tabs>
                <w:tab w:val="left" w:pos="945"/>
              </w:tabs>
              <w:spacing w:after="300"/>
              <w:rPr>
                <w:rFonts w:ascii="Merriweather" w:eastAsia="Merriweather" w:hAnsi="Merriweather" w:cs="Merriweather"/>
                <w:color w:val="000000"/>
                <w:sz w:val="26"/>
                <w:szCs w:val="26"/>
              </w:rPr>
            </w:pPr>
          </w:p>
        </w:tc>
        <w:tc>
          <w:tcPr>
            <w:tcW w:w="4675" w:type="dxa"/>
          </w:tcPr>
          <w:p w14:paraId="000000A5" w14:textId="77777777" w:rsidR="004E732A" w:rsidRDefault="00000000">
            <w:pPr>
              <w:bidi/>
              <w:spacing w:line="276" w:lineRule="auto"/>
              <w:rPr>
                <w:color w:val="333333"/>
                <w:sz w:val="28"/>
                <w:szCs w:val="28"/>
              </w:rPr>
            </w:pPr>
            <w:r>
              <w:rPr>
                <w:color w:val="333333"/>
                <w:sz w:val="28"/>
                <w:szCs w:val="28"/>
                <w:rtl/>
              </w:rPr>
              <w:t>כמו בכתובות האשוריות, תמיכתו של יהו-ה במלך בן האנוש מתוארת בדימויים משדה המים – אויבי המלך כמוהם ככוחות המים הכאוטיים שבהם נלחם יהו-ה.</w:t>
            </w:r>
          </w:p>
        </w:tc>
      </w:tr>
      <w:tr w:rsidR="004E732A" w14:paraId="1AA7CEDE" w14:textId="77777777">
        <w:tc>
          <w:tcPr>
            <w:tcW w:w="4675" w:type="dxa"/>
          </w:tcPr>
          <w:p w14:paraId="000000A6"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A7" w14:textId="77777777" w:rsidR="004E732A" w:rsidRDefault="00000000">
            <w:pPr>
              <w:shd w:val="clear" w:color="auto" w:fill="FFFFFF"/>
              <w:bidi/>
              <w:rPr>
                <w:color w:val="000000"/>
                <w:sz w:val="28"/>
                <w:szCs w:val="28"/>
              </w:rPr>
            </w:pPr>
            <w:r>
              <w:rPr>
                <w:color w:val="000000"/>
                <w:sz w:val="28"/>
                <w:szCs w:val="28"/>
                <w:vertAlign w:val="superscript"/>
                <w:rtl/>
              </w:rPr>
              <w:t>תהלים פט:כו</w:t>
            </w:r>
            <w:r>
              <w:rPr>
                <w:color w:val="000000"/>
                <w:sz w:val="28"/>
                <w:szCs w:val="28"/>
                <w:rtl/>
              </w:rPr>
              <w:t> וְשַׂמְתִּי בַיָּם יָדוֹ וּבַנְּהָרוֹת יְמִינוֹ.</w:t>
            </w:r>
          </w:p>
          <w:p w14:paraId="000000A8" w14:textId="77777777" w:rsidR="004E732A" w:rsidRDefault="00000000">
            <w:pPr>
              <w:tabs>
                <w:tab w:val="left" w:pos="3319"/>
              </w:tabs>
              <w:bidi/>
              <w:spacing w:line="276" w:lineRule="auto"/>
              <w:rPr>
                <w:color w:val="333333"/>
                <w:sz w:val="28"/>
                <w:szCs w:val="28"/>
              </w:rPr>
            </w:pPr>
            <w:r>
              <w:rPr>
                <w:color w:val="333333"/>
                <w:sz w:val="28"/>
                <w:szCs w:val="28"/>
              </w:rPr>
              <w:tab/>
            </w:r>
          </w:p>
        </w:tc>
      </w:tr>
      <w:tr w:rsidR="004E732A" w14:paraId="32B7CCB4" w14:textId="77777777">
        <w:tc>
          <w:tcPr>
            <w:tcW w:w="4675" w:type="dxa"/>
          </w:tcPr>
          <w:p w14:paraId="000000A9"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ab/>
              <w:t>As in Assyria, the intimacy between god and king makes aggression against Israel tantamount to aggression against YHWH, and the threat posed by these mutual enemies is conceived in cosmic terms.</w:t>
            </w:r>
          </w:p>
          <w:p w14:paraId="000000AA" w14:textId="77777777" w:rsidR="004E732A" w:rsidRDefault="004E732A">
            <w:pPr>
              <w:shd w:val="clear" w:color="auto" w:fill="FFFFFF"/>
              <w:tabs>
                <w:tab w:val="left" w:pos="1545"/>
              </w:tabs>
              <w:spacing w:after="300"/>
              <w:rPr>
                <w:rFonts w:ascii="Merriweather" w:eastAsia="Merriweather" w:hAnsi="Merriweather" w:cs="Merriweather"/>
                <w:color w:val="000000"/>
                <w:sz w:val="26"/>
                <w:szCs w:val="26"/>
              </w:rPr>
            </w:pPr>
          </w:p>
        </w:tc>
        <w:tc>
          <w:tcPr>
            <w:tcW w:w="4675" w:type="dxa"/>
          </w:tcPr>
          <w:p w14:paraId="000000AB" w14:textId="77777777" w:rsidR="004E732A" w:rsidRDefault="00000000">
            <w:pPr>
              <w:bidi/>
              <w:spacing w:line="276" w:lineRule="auto"/>
              <w:rPr>
                <w:color w:val="333333"/>
                <w:sz w:val="28"/>
                <w:szCs w:val="28"/>
              </w:rPr>
            </w:pPr>
            <w:r>
              <w:rPr>
                <w:color w:val="333333"/>
                <w:sz w:val="28"/>
                <w:szCs w:val="28"/>
                <w:rtl/>
              </w:rPr>
              <w:t>כמו באשור, הקרבה בין יהו-ה והמלך משמעה שמתקפה על ישראל היא מתקפה על יהו-ה, והאיום הנשקף מאויבים משותפים אלו מתואר במונחים קוסמיים:</w:t>
            </w:r>
          </w:p>
        </w:tc>
      </w:tr>
      <w:tr w:rsidR="004E732A" w14:paraId="5034D5C1" w14:textId="77777777">
        <w:tc>
          <w:tcPr>
            <w:tcW w:w="4675" w:type="dxa"/>
          </w:tcPr>
          <w:p w14:paraId="000000AC" w14:textId="77777777" w:rsidR="004E732A" w:rsidRDefault="00000000">
            <w:pPr>
              <w:shd w:val="clear" w:color="auto" w:fill="FFFFFF"/>
              <w:spacing w:before="300" w:after="150"/>
              <w:rPr>
                <w:rFonts w:ascii="Merriweather" w:eastAsia="Merriweather" w:hAnsi="Merriweather" w:cs="Merriweather"/>
                <w:color w:val="000000"/>
                <w:sz w:val="32"/>
                <w:szCs w:val="32"/>
              </w:rPr>
            </w:pPr>
            <w:r>
              <w:rPr>
                <w:rFonts w:ascii="Merriweather" w:eastAsia="Merriweather" w:hAnsi="Merriweather" w:cs="Merriweather"/>
                <w:color w:val="000000"/>
                <w:sz w:val="32"/>
                <w:szCs w:val="32"/>
              </w:rPr>
              <w:t>Demonizing the Enemy</w:t>
            </w:r>
          </w:p>
          <w:p w14:paraId="000000AD"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The psalms also identify Israel’s enemies as wicked, and thus cast Israel as the suppressor of the nations’ unnatural, antisocial, and immoral activities:</w:t>
            </w:r>
          </w:p>
          <w:p w14:paraId="000000AE"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AF" w14:textId="77777777" w:rsidR="004E732A" w:rsidRDefault="00000000">
            <w:pPr>
              <w:bidi/>
              <w:spacing w:line="276" w:lineRule="auto"/>
              <w:rPr>
                <w:color w:val="333333"/>
                <w:sz w:val="28"/>
                <w:szCs w:val="28"/>
              </w:rPr>
            </w:pPr>
            <w:r>
              <w:rPr>
                <w:color w:val="333333"/>
                <w:sz w:val="28"/>
                <w:szCs w:val="28"/>
                <w:rtl/>
              </w:rPr>
              <w:t>דמוניזציה של האויב</w:t>
            </w:r>
          </w:p>
          <w:p w14:paraId="000000B0" w14:textId="77777777" w:rsidR="004E732A" w:rsidRDefault="00000000">
            <w:pPr>
              <w:bidi/>
              <w:spacing w:line="276" w:lineRule="auto"/>
              <w:rPr>
                <w:color w:val="333333"/>
                <w:sz w:val="28"/>
                <w:szCs w:val="28"/>
              </w:rPr>
            </w:pPr>
            <w:r>
              <w:rPr>
                <w:color w:val="333333"/>
                <w:sz w:val="28"/>
                <w:szCs w:val="28"/>
                <w:rtl/>
              </w:rPr>
              <w:t>תהלים גם הוא מתאר את אויבי ישראל כרשעים, ומציב את ישראל בתפקיד האומה העושה שפטים בגויים על מעשיהם המנוגדים לדרכי הטבע, לסדר הטוב ולמוסר:</w:t>
            </w:r>
          </w:p>
        </w:tc>
      </w:tr>
      <w:tr w:rsidR="004E732A" w14:paraId="15F92814" w14:textId="77777777">
        <w:tc>
          <w:tcPr>
            <w:tcW w:w="4675" w:type="dxa"/>
          </w:tcPr>
          <w:p w14:paraId="000000B1"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B2" w14:textId="77777777" w:rsidR="004E732A" w:rsidRDefault="00000000">
            <w:pPr>
              <w:shd w:val="clear" w:color="auto" w:fill="FFFFFF"/>
              <w:bidi/>
              <w:rPr>
                <w:color w:val="000000"/>
                <w:sz w:val="28"/>
                <w:szCs w:val="28"/>
              </w:rPr>
            </w:pPr>
            <w:r>
              <w:rPr>
                <w:color w:val="000000"/>
                <w:sz w:val="28"/>
                <w:szCs w:val="28"/>
                <w:vertAlign w:val="superscript"/>
                <w:rtl/>
              </w:rPr>
              <w:t>תהלים ט:ה</w:t>
            </w:r>
            <w:r>
              <w:rPr>
                <w:color w:val="000000"/>
                <w:sz w:val="28"/>
                <w:szCs w:val="28"/>
                <w:rtl/>
              </w:rPr>
              <w:t> כִּי־עָשִׂיתָ מִשְׁפָּטִי וְדִינִי יָשַׁבְתָּ לְכִסֵּא שׁוֹפֵט צֶדֶק. </w:t>
            </w:r>
            <w:r>
              <w:rPr>
                <w:color w:val="000000"/>
                <w:sz w:val="28"/>
                <w:szCs w:val="28"/>
                <w:vertAlign w:val="superscript"/>
                <w:rtl/>
              </w:rPr>
              <w:t>ט:ו</w:t>
            </w:r>
            <w:r>
              <w:rPr>
                <w:color w:val="000000"/>
                <w:sz w:val="28"/>
                <w:szCs w:val="28"/>
                <w:rtl/>
              </w:rPr>
              <w:t> גָּעַרְתָּ גוֹיִם אִבַּדְתָּ רָשָׁע שְׁמָם מָחִיתָ לְעוֹלָם וָעֶד.</w:t>
            </w:r>
          </w:p>
          <w:p w14:paraId="000000B3" w14:textId="77777777" w:rsidR="004E732A" w:rsidRDefault="004E732A">
            <w:pPr>
              <w:bidi/>
              <w:spacing w:line="276" w:lineRule="auto"/>
              <w:rPr>
                <w:color w:val="333333"/>
                <w:sz w:val="28"/>
                <w:szCs w:val="28"/>
              </w:rPr>
            </w:pPr>
          </w:p>
        </w:tc>
      </w:tr>
      <w:tr w:rsidR="004E732A" w14:paraId="12834E60" w14:textId="77777777">
        <w:tc>
          <w:tcPr>
            <w:tcW w:w="4675" w:type="dxa"/>
          </w:tcPr>
          <w:p w14:paraId="000000B4"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lastRenderedPageBreak/>
              <w:tab/>
              <w:t>YHWH and the psalmist are aligned with justice, but the nations are rife with wickedness (Ps 9:15–16; 68:22; 144:11).</w:t>
            </w:r>
          </w:p>
          <w:p w14:paraId="000000B5" w14:textId="77777777" w:rsidR="004E732A" w:rsidRDefault="004E732A">
            <w:pPr>
              <w:shd w:val="clear" w:color="auto" w:fill="FFFFFF"/>
              <w:tabs>
                <w:tab w:val="left" w:pos="1365"/>
              </w:tabs>
              <w:spacing w:after="300"/>
              <w:rPr>
                <w:rFonts w:ascii="Merriweather" w:eastAsia="Merriweather" w:hAnsi="Merriweather" w:cs="Merriweather"/>
                <w:color w:val="000000"/>
                <w:sz w:val="26"/>
                <w:szCs w:val="26"/>
              </w:rPr>
            </w:pPr>
          </w:p>
        </w:tc>
        <w:tc>
          <w:tcPr>
            <w:tcW w:w="4675" w:type="dxa"/>
          </w:tcPr>
          <w:p w14:paraId="000000B6" w14:textId="77777777" w:rsidR="004E732A" w:rsidRDefault="00000000">
            <w:pPr>
              <w:bidi/>
              <w:spacing w:line="276" w:lineRule="auto"/>
              <w:rPr>
                <w:color w:val="333333"/>
                <w:sz w:val="28"/>
                <w:szCs w:val="28"/>
              </w:rPr>
            </w:pPr>
            <w:r>
              <w:rPr>
                <w:color w:val="333333"/>
                <w:sz w:val="28"/>
                <w:szCs w:val="28"/>
                <w:rtl/>
              </w:rPr>
              <w:t>יהו-ה ומשורר תהלים מזוהים עם הצדק, אולם האומות הם מקום הרשע (תהלים ט:טו–טז; סח:כב; קמד:יא).</w:t>
            </w:r>
          </w:p>
        </w:tc>
      </w:tr>
      <w:tr w:rsidR="004E732A" w14:paraId="52627AD0" w14:textId="77777777">
        <w:tc>
          <w:tcPr>
            <w:tcW w:w="4675" w:type="dxa"/>
          </w:tcPr>
          <w:p w14:paraId="000000B7" w14:textId="77777777" w:rsidR="004E732A" w:rsidRDefault="00000000">
            <w:pPr>
              <w:shd w:val="clear" w:color="auto" w:fill="FFFFFF"/>
              <w:spacing w:before="210" w:after="210"/>
              <w:jc w:val="center"/>
              <w:rPr>
                <w:rFonts w:ascii="Merriweather" w:eastAsia="Merriweather" w:hAnsi="Merriweather" w:cs="Merriweather"/>
                <w:color w:val="000000"/>
                <w:sz w:val="38"/>
                <w:szCs w:val="38"/>
              </w:rPr>
            </w:pPr>
            <w:r>
              <w:rPr>
                <w:rFonts w:ascii="Merriweather" w:eastAsia="Merriweather" w:hAnsi="Merriweather" w:cs="Merriweather"/>
                <w:color w:val="000000"/>
                <w:sz w:val="38"/>
                <w:szCs w:val="38"/>
              </w:rPr>
              <w:t>Conquest as the Establishment of Justice and Order</w:t>
            </w:r>
          </w:p>
          <w:p w14:paraId="000000B8"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B9" w14:textId="77777777" w:rsidR="004E732A" w:rsidRDefault="00000000">
            <w:pPr>
              <w:bidi/>
              <w:spacing w:line="276" w:lineRule="auto"/>
              <w:rPr>
                <w:color w:val="333333"/>
                <w:sz w:val="28"/>
                <w:szCs w:val="28"/>
              </w:rPr>
            </w:pPr>
            <w:r>
              <w:rPr>
                <w:color w:val="333333"/>
                <w:sz w:val="28"/>
                <w:szCs w:val="28"/>
                <w:rtl/>
              </w:rPr>
              <w:t>ניצחון כעשיית משפט וכינון הסדר</w:t>
            </w:r>
          </w:p>
        </w:tc>
      </w:tr>
      <w:tr w:rsidR="004E732A" w14:paraId="270E5169" w14:textId="77777777">
        <w:tc>
          <w:tcPr>
            <w:tcW w:w="4675" w:type="dxa"/>
          </w:tcPr>
          <w:p w14:paraId="000000BA"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As in the Assyrian inscriptions, the execution of war is sometimes presented in the psalms as a matter of the establishment of justice. Psalm 110 explicitly connects the two themes, as the king’s judgment of the nations means filling them with corpses and shattered heads:</w:t>
            </w:r>
          </w:p>
          <w:p w14:paraId="000000BB"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BC" w14:textId="17C1E44A" w:rsidR="004E732A" w:rsidRDefault="00000000">
            <w:pPr>
              <w:bidi/>
              <w:spacing w:line="276" w:lineRule="auto"/>
              <w:rPr>
                <w:color w:val="333333"/>
                <w:sz w:val="28"/>
                <w:szCs w:val="28"/>
              </w:rPr>
            </w:pPr>
            <w:r>
              <w:rPr>
                <w:color w:val="333333"/>
                <w:sz w:val="28"/>
                <w:szCs w:val="28"/>
                <w:rtl/>
              </w:rPr>
              <w:t xml:space="preserve">כמו בכתובות האשוריות, עשיית מלחמה מתוארת לעתים בתהלים כעשיית צדק ומשפט. תהלים קי קושר בין השניים במפורש, והמשפט שעושה המלך בעמים משמעו </w:t>
            </w:r>
            <w:r w:rsidR="00481A2A">
              <w:rPr>
                <w:rFonts w:hint="cs"/>
                <w:color w:val="333333"/>
                <w:sz w:val="28"/>
                <w:szCs w:val="28"/>
                <w:rtl/>
              </w:rPr>
              <w:t xml:space="preserve">הותרת </w:t>
            </w:r>
            <w:r>
              <w:rPr>
                <w:color w:val="333333"/>
                <w:sz w:val="28"/>
                <w:szCs w:val="28"/>
                <w:rtl/>
              </w:rPr>
              <w:t>ערימות של גופות וגולגלות מנותצות:</w:t>
            </w:r>
          </w:p>
        </w:tc>
      </w:tr>
      <w:tr w:rsidR="004E732A" w14:paraId="6B55E66F" w14:textId="77777777">
        <w:tc>
          <w:tcPr>
            <w:tcW w:w="4675" w:type="dxa"/>
          </w:tcPr>
          <w:p w14:paraId="000000BD"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BE" w14:textId="77777777" w:rsidR="004E732A" w:rsidRDefault="00000000">
            <w:pPr>
              <w:shd w:val="clear" w:color="auto" w:fill="FFFFFF"/>
              <w:bidi/>
              <w:rPr>
                <w:color w:val="000000"/>
                <w:sz w:val="28"/>
                <w:szCs w:val="28"/>
              </w:rPr>
            </w:pPr>
            <w:r>
              <w:rPr>
                <w:color w:val="000000"/>
                <w:sz w:val="28"/>
                <w:szCs w:val="28"/>
                <w:vertAlign w:val="superscript"/>
                <w:rtl/>
              </w:rPr>
              <w:t>תהלים קי:ה</w:t>
            </w:r>
            <w:r>
              <w:rPr>
                <w:color w:val="000000"/>
                <w:sz w:val="28"/>
                <w:szCs w:val="28"/>
                <w:rtl/>
              </w:rPr>
              <w:t> אֲדֹנָי עַל יְמִינְךָ מָחַץ בְּיוֹם אַפּוֹ מְלָכִים. </w:t>
            </w:r>
            <w:r>
              <w:rPr>
                <w:color w:val="000000"/>
                <w:sz w:val="28"/>
                <w:szCs w:val="28"/>
                <w:vertAlign w:val="superscript"/>
                <w:rtl/>
              </w:rPr>
              <w:t>קי:ו</w:t>
            </w:r>
            <w:r>
              <w:rPr>
                <w:color w:val="000000"/>
                <w:sz w:val="28"/>
                <w:szCs w:val="28"/>
                <w:rtl/>
              </w:rPr>
              <w:t> יָדִין בַּגּוֹיִם מָלֵא גְוִיּוֹת מָחַץ רֹאשׁ עַל אֶרֶץ רַבָּה.</w:t>
            </w:r>
          </w:p>
          <w:p w14:paraId="000000BF" w14:textId="77777777" w:rsidR="004E732A" w:rsidRDefault="004E732A">
            <w:pPr>
              <w:bidi/>
              <w:spacing w:line="276" w:lineRule="auto"/>
              <w:rPr>
                <w:color w:val="333333"/>
                <w:sz w:val="28"/>
                <w:szCs w:val="28"/>
              </w:rPr>
            </w:pPr>
          </w:p>
        </w:tc>
      </w:tr>
      <w:tr w:rsidR="004E732A" w14:paraId="5976207E" w14:textId="77777777">
        <w:tc>
          <w:tcPr>
            <w:tcW w:w="4675" w:type="dxa"/>
          </w:tcPr>
          <w:p w14:paraId="000000C0"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 xml:space="preserve">The ancient Israelites never exerted the kind of political power that Assyria had, but this seems not to have precluded the theoretical justification of imperial pursuits. In Psalm 72, for example, the king’s power is </w:t>
            </w:r>
            <w:r>
              <w:rPr>
                <w:rFonts w:ascii="Merriweather" w:eastAsia="Merriweather" w:hAnsi="Merriweather" w:cs="Merriweather"/>
                <w:color w:val="000000"/>
                <w:sz w:val="26"/>
                <w:szCs w:val="26"/>
              </w:rPr>
              <w:lastRenderedPageBreak/>
              <w:t>ideally conceived as universal, with foreign kings expressing their subordinate status through tribute or prostration:</w:t>
            </w:r>
          </w:p>
          <w:p w14:paraId="000000C1"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C2" w14:textId="77777777" w:rsidR="004E732A" w:rsidRDefault="00000000">
            <w:pPr>
              <w:bidi/>
              <w:spacing w:line="276" w:lineRule="auto"/>
              <w:rPr>
                <w:color w:val="333333"/>
                <w:sz w:val="28"/>
                <w:szCs w:val="28"/>
              </w:rPr>
            </w:pPr>
            <w:r>
              <w:rPr>
                <w:color w:val="333333"/>
                <w:sz w:val="28"/>
                <w:szCs w:val="28"/>
                <w:rtl/>
              </w:rPr>
              <w:lastRenderedPageBreak/>
              <w:t xml:space="preserve">לישראל הקדום מעולם לא היה הכוח הפוליטי שעמד לרשות אשור, אולם הדבר לא מנע מתהלים להצדיק את שאיפותיהם האימפריאליות, הגם שלא הוגשמו. תהלים עב, לדוגמה, מתאר את המלך על דרך האידיאליזציה כמלך על כל העולם כולו, </w:t>
            </w:r>
            <w:r>
              <w:rPr>
                <w:color w:val="333333"/>
                <w:sz w:val="28"/>
                <w:szCs w:val="28"/>
                <w:rtl/>
              </w:rPr>
              <w:lastRenderedPageBreak/>
              <w:t>ומלכים זרים מעלים לו מנחות ומשתחווים לרגליו כדי לבטא את נחיתותם:</w:t>
            </w:r>
          </w:p>
        </w:tc>
      </w:tr>
      <w:tr w:rsidR="004E732A" w14:paraId="23C95878" w14:textId="77777777">
        <w:tc>
          <w:tcPr>
            <w:tcW w:w="4675" w:type="dxa"/>
          </w:tcPr>
          <w:p w14:paraId="000000C3"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C4" w14:textId="77777777" w:rsidR="004E732A" w:rsidRDefault="00000000">
            <w:pPr>
              <w:shd w:val="clear" w:color="auto" w:fill="FFFFFF"/>
              <w:bidi/>
              <w:rPr>
                <w:color w:val="000000"/>
                <w:sz w:val="28"/>
                <w:szCs w:val="28"/>
              </w:rPr>
            </w:pPr>
            <w:r>
              <w:rPr>
                <w:color w:val="000000"/>
                <w:sz w:val="28"/>
                <w:szCs w:val="28"/>
                <w:vertAlign w:val="superscript"/>
                <w:rtl/>
              </w:rPr>
              <w:t>תהלים עב:ח</w:t>
            </w:r>
            <w:r>
              <w:rPr>
                <w:color w:val="000000"/>
                <w:sz w:val="28"/>
                <w:szCs w:val="28"/>
                <w:rtl/>
              </w:rPr>
              <w:t> וְיֵרְדְּ מִיָּם עַד יָם וּמִנָּהָר עַד אַפְסֵי אָרֶץ. </w:t>
            </w:r>
            <w:r>
              <w:rPr>
                <w:color w:val="000000"/>
                <w:sz w:val="28"/>
                <w:szCs w:val="28"/>
                <w:vertAlign w:val="superscript"/>
                <w:rtl/>
              </w:rPr>
              <w:t>עב:ט</w:t>
            </w:r>
            <w:r>
              <w:rPr>
                <w:color w:val="000000"/>
                <w:sz w:val="28"/>
                <w:szCs w:val="28"/>
                <w:rtl/>
              </w:rPr>
              <w:t> לְפָנָיו יִכְרְעוּ צִיִּים וְאֹיְבָיו עָפָר יְלַחֵכוּ. </w:t>
            </w:r>
            <w:r>
              <w:rPr>
                <w:color w:val="000000"/>
                <w:sz w:val="28"/>
                <w:szCs w:val="28"/>
                <w:vertAlign w:val="superscript"/>
                <w:rtl/>
              </w:rPr>
              <w:t>עב:י</w:t>
            </w:r>
            <w:r>
              <w:rPr>
                <w:color w:val="000000"/>
                <w:sz w:val="28"/>
                <w:szCs w:val="28"/>
                <w:rtl/>
              </w:rPr>
              <w:t> מַלְכֵי תַרְשִׁישׁ וְאִיִּים מִנְחָה יָשִׁיבוּ מַלְכֵי שְׁבָא וּסְבָא אֶשְׁכָּר יַקְרִיבוּ. </w:t>
            </w:r>
            <w:r>
              <w:rPr>
                <w:color w:val="000000"/>
                <w:sz w:val="28"/>
                <w:szCs w:val="28"/>
                <w:vertAlign w:val="superscript"/>
                <w:rtl/>
              </w:rPr>
              <w:t>עב:יא</w:t>
            </w:r>
            <w:r>
              <w:rPr>
                <w:color w:val="000000"/>
                <w:sz w:val="28"/>
                <w:szCs w:val="28"/>
                <w:rtl/>
              </w:rPr>
              <w:t> וְיִשְׁתַּחֲווּ לוֹ כָל מְלָכִים כָּל גּוֹיִם יַעַבְדוּהוּ.</w:t>
            </w:r>
          </w:p>
          <w:p w14:paraId="000000C5" w14:textId="77777777" w:rsidR="004E732A" w:rsidRDefault="004E732A">
            <w:pPr>
              <w:bidi/>
              <w:spacing w:line="276" w:lineRule="auto"/>
              <w:rPr>
                <w:color w:val="333333"/>
                <w:sz w:val="28"/>
                <w:szCs w:val="28"/>
              </w:rPr>
            </w:pPr>
          </w:p>
        </w:tc>
      </w:tr>
      <w:tr w:rsidR="004E732A" w14:paraId="7E53AD23" w14:textId="77777777">
        <w:tc>
          <w:tcPr>
            <w:tcW w:w="4675" w:type="dxa"/>
          </w:tcPr>
          <w:p w14:paraId="000000C6"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Collectively, these psalms, like the Assyrian annals, reflect a moral framework in which king and god converge in war to defeat the chaotic threat posed by their mutual enemies, presented as an ongoing manifestation of the struggle between YHWH and the sea at creation.</w:t>
            </w:r>
          </w:p>
        </w:tc>
        <w:tc>
          <w:tcPr>
            <w:tcW w:w="4675" w:type="dxa"/>
          </w:tcPr>
          <w:p w14:paraId="000000C7" w14:textId="77777777" w:rsidR="004E732A" w:rsidRDefault="00000000">
            <w:pPr>
              <w:bidi/>
              <w:spacing w:line="276" w:lineRule="auto"/>
              <w:rPr>
                <w:color w:val="333333"/>
                <w:sz w:val="28"/>
                <w:szCs w:val="28"/>
              </w:rPr>
            </w:pPr>
            <w:r>
              <w:rPr>
                <w:color w:val="333333"/>
                <w:sz w:val="28"/>
                <w:szCs w:val="28"/>
                <w:rtl/>
              </w:rPr>
              <w:t>בדומה לאנאלים של מלכי אשור, פרקי תהלים אלו יחד משקפים את קיומה של מסגרת חשיבה מוסרית שבה המלך והאל הופכים לדמות אחת במלחמה כדי להביס את את אויביהם המשותפים, המתוארים כהתגלמות מתמשכת של המאבק בין יהו-ה והים בשעת הבריאה.</w:t>
            </w:r>
          </w:p>
        </w:tc>
      </w:tr>
      <w:tr w:rsidR="004E732A" w14:paraId="6B2604BC" w14:textId="77777777">
        <w:tc>
          <w:tcPr>
            <w:tcW w:w="4675" w:type="dxa"/>
          </w:tcPr>
          <w:p w14:paraId="000000C8"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Military threats against Israel are interpreted as theological threats to the sovereignty of YHWH, while language of wickedness and innocence underscore the moral rectitude of punitive violence. The object of military action is the incorporation of an ever-increasing territory into the ordered dominion of god and king.</w:t>
            </w:r>
          </w:p>
        </w:tc>
        <w:tc>
          <w:tcPr>
            <w:tcW w:w="4675" w:type="dxa"/>
          </w:tcPr>
          <w:p w14:paraId="000000C9" w14:textId="77777777" w:rsidR="004E732A" w:rsidRDefault="00000000">
            <w:pPr>
              <w:bidi/>
              <w:spacing w:line="276" w:lineRule="auto"/>
              <w:rPr>
                <w:color w:val="333333"/>
                <w:sz w:val="28"/>
                <w:szCs w:val="28"/>
              </w:rPr>
            </w:pPr>
            <w:r>
              <w:rPr>
                <w:color w:val="333333"/>
                <w:sz w:val="28"/>
                <w:szCs w:val="28"/>
                <w:rtl/>
              </w:rPr>
              <w:t>איומים צבאיים הנשקפים לישראל מתפרשים כאיומים תיאולוגיים, והשפה הלקוחה מן השדה הסמנטי של רשע וחפות מפשע מדגישה את ההצדקה המוסרית של התוקפנות והאלימות. מטרת הפעולה הצבאית היא צירוף עוד ועוד נחלות לממלכתם של המלך והאל שבה שורר הסדר הנכון.</w:t>
            </w:r>
          </w:p>
        </w:tc>
      </w:tr>
      <w:tr w:rsidR="004E732A" w14:paraId="2C90853A" w14:textId="77777777">
        <w:tc>
          <w:tcPr>
            <w:tcW w:w="4675" w:type="dxa"/>
          </w:tcPr>
          <w:p w14:paraId="000000CA" w14:textId="77777777" w:rsidR="004E732A" w:rsidRDefault="00000000">
            <w:pPr>
              <w:shd w:val="clear" w:color="auto" w:fill="FFFFFF"/>
              <w:spacing w:before="210" w:after="210"/>
              <w:jc w:val="center"/>
              <w:rPr>
                <w:rFonts w:ascii="Merriweather" w:eastAsia="Merriweather" w:hAnsi="Merriweather" w:cs="Merriweather"/>
                <w:color w:val="000000"/>
                <w:sz w:val="38"/>
                <w:szCs w:val="38"/>
              </w:rPr>
            </w:pPr>
            <w:r>
              <w:rPr>
                <w:rFonts w:ascii="Merriweather" w:eastAsia="Merriweather" w:hAnsi="Merriweather" w:cs="Merriweather"/>
                <w:color w:val="000000"/>
                <w:sz w:val="38"/>
                <w:szCs w:val="38"/>
              </w:rPr>
              <w:lastRenderedPageBreak/>
              <w:t>War as a Moral Imperative</w:t>
            </w:r>
          </w:p>
          <w:p w14:paraId="000000CB"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Both the Assyrian and the Israelite texts express the idea that an orderly universe was created in the aftermath of an almighty battle between personified chaos and a god who was subsequently acclaimed king. In both civilizations, this produced an ethical framework where military violence could be morally justified as a struggle against a fantastically dangerous alternative. The efforts of human kings to expand their territory by conquest were portrayed as part of an ultimate and ongoing struggle.</w:t>
            </w:r>
          </w:p>
        </w:tc>
        <w:tc>
          <w:tcPr>
            <w:tcW w:w="4675" w:type="dxa"/>
          </w:tcPr>
          <w:p w14:paraId="000000CC" w14:textId="77777777" w:rsidR="004E732A" w:rsidRDefault="00000000">
            <w:pPr>
              <w:bidi/>
              <w:spacing w:line="276" w:lineRule="auto"/>
              <w:rPr>
                <w:color w:val="333333"/>
                <w:sz w:val="28"/>
                <w:szCs w:val="28"/>
              </w:rPr>
            </w:pPr>
            <w:r>
              <w:rPr>
                <w:color w:val="333333"/>
                <w:sz w:val="28"/>
                <w:szCs w:val="28"/>
                <w:rtl/>
              </w:rPr>
              <w:t>מלחמה כצו מוסרי</w:t>
            </w:r>
          </w:p>
          <w:p w14:paraId="000000CD" w14:textId="77777777" w:rsidR="004E732A" w:rsidRDefault="00000000">
            <w:pPr>
              <w:bidi/>
              <w:spacing w:line="276" w:lineRule="auto"/>
              <w:rPr>
                <w:color w:val="333333"/>
                <w:sz w:val="28"/>
                <w:szCs w:val="28"/>
              </w:rPr>
            </w:pPr>
            <w:r>
              <w:rPr>
                <w:color w:val="333333"/>
                <w:sz w:val="28"/>
                <w:szCs w:val="28"/>
                <w:rtl/>
              </w:rPr>
              <w:t>הטקסטים האשוריים והישראליים כאחד מבטאים את התפיסה שהיקום על הסדר השורר בו נולד מן הקרב הנורא בין התגלמות הכאוס ובין האל שהוכתר לאחר הקרב למלך.  בשתי התרבויות הוליד המיתוס מסגרת תפיסתית מוסרית שבה ניתנה לפעולה הצבאית הצדקה מוסרית בהיותה מאבק בחלופה מסוכנת והרת אימה. מאמציהם של המלכים האנושיים להרחיב את גבולם במלחמות כיבוש תוארו כחלק ממאבק סובב כל ומתמשך.</w:t>
            </w:r>
          </w:p>
        </w:tc>
      </w:tr>
      <w:tr w:rsidR="004E732A" w14:paraId="3F53CF52" w14:textId="77777777">
        <w:tc>
          <w:tcPr>
            <w:tcW w:w="4675" w:type="dxa"/>
          </w:tcPr>
          <w:p w14:paraId="000000CE" w14:textId="77777777" w:rsidR="004E732A" w:rsidRDefault="00000000">
            <w:pPr>
              <w:shd w:val="clear" w:color="auto" w:fill="FFFFFF"/>
              <w:spacing w:after="300"/>
              <w:rPr>
                <w:rFonts w:ascii="Merriweather" w:eastAsia="Merriweather" w:hAnsi="Merriweather" w:cs="Merriweather"/>
                <w:color w:val="000000"/>
                <w:sz w:val="26"/>
                <w:szCs w:val="26"/>
              </w:rPr>
            </w:pPr>
            <w:r>
              <w:rPr>
                <w:rFonts w:ascii="Merriweather" w:eastAsia="Merriweather" w:hAnsi="Merriweather" w:cs="Merriweather"/>
                <w:color w:val="000000"/>
                <w:sz w:val="26"/>
                <w:szCs w:val="26"/>
              </w:rPr>
              <w:tab/>
              <w:t>By this reckoning, to violently destroy the enemy was not only a matter of preserving one’s own way of life, in the immediate sense, but part of a much wider existential struggle for the preservation of the universe itself. Achieving the submission of the enemy, even by violent means, was not merely a matter of moral tolerability but a matter of moral imperative.</w:t>
            </w:r>
          </w:p>
        </w:tc>
        <w:tc>
          <w:tcPr>
            <w:tcW w:w="4675" w:type="dxa"/>
          </w:tcPr>
          <w:p w14:paraId="000000CF" w14:textId="77777777" w:rsidR="004E732A" w:rsidRDefault="00000000">
            <w:pPr>
              <w:bidi/>
              <w:spacing w:line="276" w:lineRule="auto"/>
              <w:rPr>
                <w:color w:val="333333"/>
                <w:sz w:val="28"/>
                <w:szCs w:val="28"/>
              </w:rPr>
            </w:pPr>
            <w:r>
              <w:rPr>
                <w:color w:val="333333"/>
                <w:sz w:val="28"/>
                <w:szCs w:val="28"/>
                <w:rtl/>
              </w:rPr>
              <w:t>לפי תפיסה זו, מלחמת שמד באויב אין משמעה רק הגנה על אורח החיים של האומה במישור הפיזי, אלא חלק ממאבק קיומי נרחב על היקום עצמו. הכנעת האויב, ואפילו באלימות רבה, אינה רק מתקבלת על הדעת מן הבחינה המוסרית אלא צו מוסרי ממש.</w:t>
            </w:r>
          </w:p>
        </w:tc>
      </w:tr>
      <w:tr w:rsidR="004E732A" w14:paraId="0D45610C" w14:textId="77777777">
        <w:tc>
          <w:tcPr>
            <w:tcW w:w="4675" w:type="dxa"/>
          </w:tcPr>
          <w:p w14:paraId="000000D0"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D1" w14:textId="77777777" w:rsidR="004E732A" w:rsidRDefault="004E732A">
            <w:pPr>
              <w:bidi/>
              <w:spacing w:line="276" w:lineRule="auto"/>
              <w:rPr>
                <w:color w:val="333333"/>
                <w:sz w:val="28"/>
                <w:szCs w:val="28"/>
              </w:rPr>
            </w:pPr>
          </w:p>
        </w:tc>
      </w:tr>
      <w:tr w:rsidR="004E732A" w14:paraId="39A8BE2F" w14:textId="77777777">
        <w:tc>
          <w:tcPr>
            <w:tcW w:w="4675" w:type="dxa"/>
          </w:tcPr>
          <w:p w14:paraId="000000D2"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lastRenderedPageBreak/>
              <w:t>An earlier version of this article appeared as </w:t>
            </w:r>
            <w:hyperlink r:id="rId13">
              <w:r>
                <w:rPr>
                  <w:rFonts w:ascii="Merriweather" w:eastAsia="Merriweather" w:hAnsi="Merriweather" w:cs="Merriweather"/>
                  <w:color w:val="B22222"/>
                  <w:sz w:val="23"/>
                  <w:szCs w:val="23"/>
                  <w:u w:val="single"/>
                </w:rPr>
                <w:t>“The Ethics of War in Ancient Israel and Assyria,”</w:t>
              </w:r>
            </w:hyperlink>
            <w:r>
              <w:rPr>
                <w:rFonts w:ascii="Merriweather" w:eastAsia="Merriweather" w:hAnsi="Merriweather" w:cs="Merriweather"/>
                <w:color w:val="333333"/>
                <w:sz w:val="23"/>
                <w:szCs w:val="23"/>
              </w:rPr>
              <w:t> </w:t>
            </w:r>
            <w:r>
              <w:rPr>
                <w:rFonts w:ascii="Merriweather" w:eastAsia="Merriweather" w:hAnsi="Merriweather" w:cs="Merriweather"/>
                <w:i/>
                <w:color w:val="333333"/>
                <w:sz w:val="23"/>
                <w:szCs w:val="23"/>
              </w:rPr>
              <w:t>The Bible and Interpretation </w:t>
            </w:r>
            <w:r>
              <w:rPr>
                <w:rFonts w:ascii="Merriweather" w:eastAsia="Merriweather" w:hAnsi="Merriweather" w:cs="Merriweather"/>
                <w:color w:val="333333"/>
                <w:sz w:val="23"/>
                <w:szCs w:val="23"/>
              </w:rPr>
              <w:t>(2017).</w:t>
            </w:r>
          </w:p>
          <w:p w14:paraId="000000D3" w14:textId="77777777" w:rsidR="004E732A" w:rsidRDefault="004E732A">
            <w:pPr>
              <w:shd w:val="clear" w:color="auto" w:fill="FFFFFF"/>
              <w:spacing w:after="300"/>
              <w:ind w:firstLine="720"/>
              <w:rPr>
                <w:rFonts w:ascii="Merriweather" w:eastAsia="Merriweather" w:hAnsi="Merriweather" w:cs="Merriweather"/>
                <w:color w:val="000000"/>
                <w:sz w:val="26"/>
                <w:szCs w:val="26"/>
              </w:rPr>
            </w:pPr>
          </w:p>
        </w:tc>
        <w:tc>
          <w:tcPr>
            <w:tcW w:w="4675" w:type="dxa"/>
          </w:tcPr>
          <w:p w14:paraId="000000D4" w14:textId="5FC9A2E2" w:rsidR="004E732A" w:rsidRDefault="00000000">
            <w:pPr>
              <w:bidi/>
              <w:spacing w:line="276" w:lineRule="auto"/>
              <w:rPr>
                <w:color w:val="333333"/>
                <w:sz w:val="28"/>
                <w:szCs w:val="28"/>
              </w:rPr>
            </w:pPr>
            <w:r>
              <w:rPr>
                <w:color w:val="333333"/>
                <w:sz w:val="28"/>
                <w:szCs w:val="28"/>
                <w:rtl/>
              </w:rPr>
              <w:t xml:space="preserve">[1] </w:t>
            </w:r>
            <w:r w:rsidR="00481A2A">
              <w:rPr>
                <w:rFonts w:hint="cs"/>
                <w:color w:val="333333"/>
                <w:sz w:val="28"/>
                <w:szCs w:val="28"/>
                <w:rtl/>
              </w:rPr>
              <w:t>מאמר זה ראה אור בגרסה מוקדמת</w:t>
            </w:r>
            <w:r>
              <w:rPr>
                <w:color w:val="333333"/>
                <w:sz w:val="28"/>
                <w:szCs w:val="28"/>
                <w:rtl/>
              </w:rPr>
              <w:t>. ראו:</w:t>
            </w:r>
          </w:p>
          <w:p w14:paraId="000000D5" w14:textId="77777777" w:rsidR="004E732A" w:rsidRDefault="00000000">
            <w:pPr>
              <w:shd w:val="clear" w:color="auto" w:fill="FFFFFF"/>
              <w:spacing w:line="480" w:lineRule="auto"/>
              <w:rPr>
                <w:b/>
                <w:color w:val="333333"/>
                <w:sz w:val="28"/>
                <w:szCs w:val="28"/>
              </w:rPr>
            </w:pPr>
            <w:hyperlink r:id="rId14">
              <w:r>
                <w:rPr>
                  <w:rFonts w:ascii="Merriweather" w:eastAsia="Merriweather" w:hAnsi="Merriweather" w:cs="Merriweather"/>
                  <w:color w:val="B22222"/>
                  <w:sz w:val="23"/>
                  <w:szCs w:val="23"/>
                  <w:u w:val="single"/>
                </w:rPr>
                <w:t>“The Ethics of War in Ancient Israel and Assyria,”</w:t>
              </w:r>
            </w:hyperlink>
            <w:r>
              <w:rPr>
                <w:rFonts w:ascii="Merriweather" w:eastAsia="Merriweather" w:hAnsi="Merriweather" w:cs="Merriweather"/>
                <w:color w:val="333333"/>
                <w:sz w:val="23"/>
                <w:szCs w:val="23"/>
              </w:rPr>
              <w:t> </w:t>
            </w:r>
            <w:r>
              <w:rPr>
                <w:rFonts w:ascii="Merriweather" w:eastAsia="Merriweather" w:hAnsi="Merriweather" w:cs="Merriweather"/>
                <w:i/>
                <w:color w:val="333333"/>
                <w:sz w:val="23"/>
                <w:szCs w:val="23"/>
              </w:rPr>
              <w:t>The Bible and Interpretation </w:t>
            </w:r>
            <w:r>
              <w:rPr>
                <w:rFonts w:ascii="Merriweather" w:eastAsia="Merriweather" w:hAnsi="Merriweather" w:cs="Merriweather"/>
                <w:color w:val="333333"/>
                <w:sz w:val="23"/>
                <w:szCs w:val="23"/>
              </w:rPr>
              <w:t>(2017).</w:t>
            </w:r>
          </w:p>
        </w:tc>
      </w:tr>
      <w:tr w:rsidR="004E732A" w14:paraId="1994ED17" w14:textId="77777777">
        <w:tc>
          <w:tcPr>
            <w:tcW w:w="4675" w:type="dxa"/>
          </w:tcPr>
          <w:p w14:paraId="000000D6"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000000"/>
                <w:sz w:val="26"/>
                <w:szCs w:val="26"/>
              </w:rPr>
              <w:tab/>
            </w:r>
            <w:r>
              <w:rPr>
                <w:rFonts w:ascii="Merriweather" w:eastAsia="Merriweather" w:hAnsi="Merriweather" w:cs="Merriweather"/>
                <w:color w:val="333333"/>
                <w:sz w:val="23"/>
                <w:szCs w:val="23"/>
              </w:rPr>
              <w:t>Cf. Deuteronomy 7:1–2. Biblical translations follow NJPS, with modifications.</w:t>
            </w:r>
          </w:p>
          <w:p w14:paraId="000000D7" w14:textId="77777777" w:rsidR="004E732A" w:rsidRDefault="004E732A">
            <w:pPr>
              <w:shd w:val="clear" w:color="auto" w:fill="FFFFFF"/>
              <w:tabs>
                <w:tab w:val="left" w:pos="1215"/>
              </w:tabs>
              <w:spacing w:after="300"/>
              <w:rPr>
                <w:rFonts w:ascii="Merriweather" w:eastAsia="Merriweather" w:hAnsi="Merriweather" w:cs="Merriweather"/>
                <w:color w:val="000000"/>
                <w:sz w:val="26"/>
                <w:szCs w:val="26"/>
              </w:rPr>
            </w:pPr>
          </w:p>
        </w:tc>
        <w:tc>
          <w:tcPr>
            <w:tcW w:w="4675" w:type="dxa"/>
          </w:tcPr>
          <w:p w14:paraId="000000D8" w14:textId="77777777" w:rsidR="004E732A" w:rsidRDefault="00000000">
            <w:pPr>
              <w:bidi/>
              <w:spacing w:line="276" w:lineRule="auto"/>
              <w:rPr>
                <w:color w:val="333333"/>
                <w:sz w:val="28"/>
                <w:szCs w:val="28"/>
              </w:rPr>
            </w:pPr>
            <w:r>
              <w:rPr>
                <w:color w:val="333333"/>
                <w:sz w:val="28"/>
                <w:szCs w:val="28"/>
                <w:rtl/>
              </w:rPr>
              <w:t>[2] השוו דברים ז:א–ב.</w:t>
            </w:r>
          </w:p>
        </w:tc>
      </w:tr>
      <w:tr w:rsidR="004E732A" w14:paraId="015840EF" w14:textId="77777777">
        <w:tc>
          <w:tcPr>
            <w:tcW w:w="4675" w:type="dxa"/>
          </w:tcPr>
          <w:p w14:paraId="000000D9"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 xml:space="preserve">We see in many ancient Near Eastern cultures the idea that the world is a bubble of order situated in the midst of a watery chaos. For example, Mesopotamian mythology pictured a primordial battle between the gods and chaotic monsters, leading to the creation of the ordered world. The Egyptians envisioned a </w:t>
            </w:r>
            <w:r>
              <w:rPr>
                <w:rFonts w:ascii="Merriweather" w:eastAsia="Merriweather" w:hAnsi="Merriweather" w:cs="Merriweather"/>
                <w:color w:val="333333"/>
                <w:sz w:val="23"/>
                <w:szCs w:val="23"/>
              </w:rPr>
              <w:lastRenderedPageBreak/>
              <w:t>nightly battle of the sun-god against chaos to maintain </w:t>
            </w:r>
            <w:r>
              <w:rPr>
                <w:rFonts w:ascii="Merriweather" w:eastAsia="Merriweather" w:hAnsi="Merriweather" w:cs="Merriweather"/>
                <w:i/>
                <w:color w:val="333333"/>
                <w:sz w:val="23"/>
                <w:szCs w:val="23"/>
              </w:rPr>
              <w:t>ma’at</w:t>
            </w:r>
            <w:r>
              <w:rPr>
                <w:rFonts w:ascii="Merriweather" w:eastAsia="Merriweather" w:hAnsi="Merriweather" w:cs="Merriweather"/>
                <w:color w:val="333333"/>
                <w:sz w:val="23"/>
                <w:szCs w:val="23"/>
              </w:rPr>
              <w:t> “order,” with the Pharaoh doing the same by quashing the enemies of Egypt. See discussion in Jan Assman, </w:t>
            </w:r>
            <w:r>
              <w:rPr>
                <w:rFonts w:ascii="Merriweather" w:eastAsia="Merriweather" w:hAnsi="Merriweather" w:cs="Merriweather"/>
                <w:i/>
                <w:color w:val="333333"/>
                <w:sz w:val="23"/>
                <w:szCs w:val="23"/>
              </w:rPr>
              <w:t>Death and Salvation in Ancient Egypt</w:t>
            </w:r>
            <w:r>
              <w:rPr>
                <w:rFonts w:ascii="Merriweather" w:eastAsia="Merriweather" w:hAnsi="Merriweather" w:cs="Merriweather"/>
                <w:color w:val="333333"/>
                <w:sz w:val="23"/>
                <w:szCs w:val="23"/>
              </w:rPr>
              <w:t>, trans. by David Lorton (Ithaca: Cornell University Press, 2005), 69–70; Erik Hornung, </w:t>
            </w:r>
            <w:r>
              <w:rPr>
                <w:rFonts w:ascii="Merriweather" w:eastAsia="Merriweather" w:hAnsi="Merriweather" w:cs="Merriweather"/>
                <w:i/>
                <w:color w:val="333333"/>
                <w:sz w:val="23"/>
                <w:szCs w:val="23"/>
              </w:rPr>
              <w:t>Idea into Image: Essays on Ancient Egyptian Thought</w:t>
            </w:r>
            <w:r>
              <w:rPr>
                <w:rFonts w:ascii="Merriweather" w:eastAsia="Merriweather" w:hAnsi="Merriweather" w:cs="Merriweather"/>
                <w:color w:val="333333"/>
                <w:sz w:val="23"/>
                <w:szCs w:val="23"/>
              </w:rPr>
              <w:t>, trans. Elizabeth Bredeck (Princeton, NJ: Timken Pub. 1992), 131–146.</w:t>
            </w:r>
          </w:p>
        </w:tc>
        <w:tc>
          <w:tcPr>
            <w:tcW w:w="4675" w:type="dxa"/>
          </w:tcPr>
          <w:p w14:paraId="000000DA" w14:textId="77777777" w:rsidR="004E732A" w:rsidRDefault="00000000">
            <w:pPr>
              <w:bidi/>
              <w:spacing w:line="276" w:lineRule="auto"/>
              <w:rPr>
                <w:color w:val="333333"/>
                <w:sz w:val="28"/>
                <w:szCs w:val="28"/>
              </w:rPr>
            </w:pPr>
            <w:r>
              <w:rPr>
                <w:color w:val="333333"/>
                <w:sz w:val="28"/>
                <w:szCs w:val="28"/>
                <w:rtl/>
              </w:rPr>
              <w:lastRenderedPageBreak/>
              <w:t>[3] בתרבויות המזרח התיכון הקדום רווחה התפיסה שלפיה העולם הוא בועה של סדר המתקיימת בתוך מימי הכאוס. לדוגמה, המיתולוגיה המסופוטמית תיארה קרב בראשית בין האלים ומפלצות התהום-הכאוס, שהביא לבריאת העולם שבו שורר הסדר. המצרים סיפרו על קרב לילי בין אל השמש והכאוס שמטרתו להשליט את המעאת, הצדק והאמת, וזו גם מטרתה של מלחמת פרעה באויבי מצרים. ראו:</w:t>
            </w:r>
          </w:p>
          <w:p w14:paraId="000000DB" w14:textId="77777777" w:rsidR="004E732A" w:rsidRDefault="00000000">
            <w:pPr>
              <w:shd w:val="clear" w:color="auto" w:fill="FFFFFF"/>
              <w:spacing w:line="480" w:lineRule="auto"/>
              <w:rPr>
                <w:color w:val="333333"/>
                <w:sz w:val="28"/>
                <w:szCs w:val="28"/>
              </w:rPr>
            </w:pPr>
            <w:r>
              <w:rPr>
                <w:rFonts w:ascii="Merriweather" w:eastAsia="Merriweather" w:hAnsi="Merriweather" w:cs="Merriweather"/>
                <w:color w:val="333333"/>
                <w:sz w:val="23"/>
                <w:szCs w:val="23"/>
              </w:rPr>
              <w:t>Jan Assman, </w:t>
            </w:r>
            <w:r>
              <w:rPr>
                <w:rFonts w:ascii="Merriweather" w:eastAsia="Merriweather" w:hAnsi="Merriweather" w:cs="Merriweather"/>
                <w:i/>
                <w:color w:val="333333"/>
                <w:sz w:val="23"/>
                <w:szCs w:val="23"/>
              </w:rPr>
              <w:t>Death and Salvation in Ancient Egypt</w:t>
            </w:r>
            <w:r>
              <w:rPr>
                <w:rFonts w:ascii="Merriweather" w:eastAsia="Merriweather" w:hAnsi="Merriweather" w:cs="Merriweather"/>
                <w:color w:val="333333"/>
                <w:sz w:val="23"/>
                <w:szCs w:val="23"/>
              </w:rPr>
              <w:t>, trans. by David Lorton (Ithaca: Cornell University Press, 2005), 69–70; Erik Hornung, </w:t>
            </w:r>
            <w:r>
              <w:rPr>
                <w:rFonts w:ascii="Merriweather" w:eastAsia="Merriweather" w:hAnsi="Merriweather" w:cs="Merriweather"/>
                <w:i/>
                <w:color w:val="333333"/>
                <w:sz w:val="23"/>
                <w:szCs w:val="23"/>
              </w:rPr>
              <w:t xml:space="preserve">Idea into </w:t>
            </w:r>
            <w:r>
              <w:rPr>
                <w:rFonts w:ascii="Merriweather" w:eastAsia="Merriweather" w:hAnsi="Merriweather" w:cs="Merriweather"/>
                <w:i/>
                <w:color w:val="333333"/>
                <w:sz w:val="23"/>
                <w:szCs w:val="23"/>
              </w:rPr>
              <w:lastRenderedPageBreak/>
              <w:t>Image: Essays on Ancient Egyptian Thought</w:t>
            </w:r>
            <w:r>
              <w:rPr>
                <w:rFonts w:ascii="Merriweather" w:eastAsia="Merriweather" w:hAnsi="Merriweather" w:cs="Merriweather"/>
                <w:color w:val="333333"/>
                <w:sz w:val="23"/>
                <w:szCs w:val="23"/>
              </w:rPr>
              <w:t>, trans. Elizabeth Bredeck (Princeton, NJ: Timken Pub. 1992), 131–146.</w:t>
            </w:r>
          </w:p>
        </w:tc>
      </w:tr>
      <w:tr w:rsidR="004E732A" w14:paraId="31BFBF6E" w14:textId="77777777">
        <w:tc>
          <w:tcPr>
            <w:tcW w:w="4675" w:type="dxa"/>
          </w:tcPr>
          <w:p w14:paraId="000000DC" w14:textId="77777777" w:rsidR="004E732A" w:rsidRDefault="004E732A">
            <w:pPr>
              <w:numPr>
                <w:ilvl w:val="0"/>
                <w:numId w:val="1"/>
              </w:numPr>
              <w:shd w:val="clear" w:color="auto" w:fill="FFFFFF"/>
              <w:spacing w:line="480" w:lineRule="auto"/>
              <w:rPr>
                <w:rFonts w:ascii="Merriweather" w:eastAsia="Merriweather" w:hAnsi="Merriweather" w:cs="Merriweather"/>
                <w:color w:val="333333"/>
                <w:sz w:val="23"/>
                <w:szCs w:val="23"/>
              </w:rPr>
            </w:pPr>
          </w:p>
          <w:p w14:paraId="000000DD" w14:textId="77777777" w:rsidR="004E732A" w:rsidRDefault="00000000">
            <w:pPr>
              <w:shd w:val="clear" w:color="auto" w:fill="FFFFFF"/>
              <w:spacing w:after="150" w:line="480" w:lineRule="auto"/>
              <w:ind w:left="720"/>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They rejoiced, they proclaimed: “Marduk is King!”</w:t>
            </w:r>
            <w:r>
              <w:rPr>
                <w:rFonts w:ascii="Merriweather" w:eastAsia="Merriweather" w:hAnsi="Merriweather" w:cs="Merriweather"/>
                <w:color w:val="333333"/>
                <w:sz w:val="23"/>
                <w:szCs w:val="23"/>
              </w:rPr>
              <w:br/>
              <w:t>They invested him with sceptre, throne, and staff-of-office.</w:t>
            </w:r>
            <w:r>
              <w:rPr>
                <w:rFonts w:ascii="Merriweather" w:eastAsia="Merriweather" w:hAnsi="Merriweather" w:cs="Merriweather"/>
                <w:color w:val="333333"/>
                <w:sz w:val="23"/>
                <w:szCs w:val="23"/>
              </w:rPr>
              <w:br/>
              <w:t xml:space="preserve">They gave him an unfaceable </w:t>
            </w:r>
            <w:r>
              <w:rPr>
                <w:rFonts w:ascii="Merriweather" w:eastAsia="Merriweather" w:hAnsi="Merriweather" w:cs="Merriweather"/>
                <w:color w:val="333333"/>
                <w:sz w:val="23"/>
                <w:szCs w:val="23"/>
              </w:rPr>
              <w:lastRenderedPageBreak/>
              <w:t>weapon to crush the foe.</w:t>
            </w:r>
            <w:r>
              <w:rPr>
                <w:rFonts w:ascii="Merriweather" w:eastAsia="Merriweather" w:hAnsi="Merriweather" w:cs="Merriweather"/>
                <w:color w:val="333333"/>
                <w:sz w:val="23"/>
                <w:szCs w:val="23"/>
              </w:rPr>
              <w:br/>
              <w:t>“Go, and cut off the life of Tiamat!</w:t>
            </w:r>
            <w:r>
              <w:rPr>
                <w:rFonts w:ascii="Merriweather" w:eastAsia="Merriweather" w:hAnsi="Merriweather" w:cs="Merriweather"/>
                <w:color w:val="333333"/>
                <w:sz w:val="23"/>
                <w:szCs w:val="23"/>
              </w:rPr>
              <w:br/>
              <w:t>Let the winds bear her blood to us as good news!” (</w:t>
            </w:r>
            <w:r>
              <w:rPr>
                <w:rFonts w:ascii="Merriweather" w:eastAsia="Merriweather" w:hAnsi="Merriweather" w:cs="Merriweather"/>
                <w:i/>
                <w:color w:val="333333"/>
                <w:sz w:val="23"/>
                <w:szCs w:val="23"/>
              </w:rPr>
              <w:t>EE</w:t>
            </w:r>
            <w:r>
              <w:rPr>
                <w:rFonts w:ascii="Merriweather" w:eastAsia="Merriweather" w:hAnsi="Merriweather" w:cs="Merriweather"/>
                <w:color w:val="333333"/>
                <w:sz w:val="23"/>
                <w:szCs w:val="23"/>
              </w:rPr>
              <w:t> IV 28–32)</w:t>
            </w:r>
          </w:p>
          <w:p w14:paraId="000000DE" w14:textId="77777777" w:rsidR="004E732A" w:rsidRDefault="00000000">
            <w:pPr>
              <w:shd w:val="clear" w:color="auto" w:fill="FFFFFF"/>
              <w:spacing w:after="150" w:line="480" w:lineRule="auto"/>
              <w:ind w:left="720"/>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Translations of </w:t>
            </w:r>
            <w:r>
              <w:rPr>
                <w:rFonts w:ascii="Merriweather" w:eastAsia="Merriweather" w:hAnsi="Merriweather" w:cs="Merriweather"/>
                <w:i/>
                <w:color w:val="333333"/>
                <w:sz w:val="23"/>
                <w:szCs w:val="23"/>
              </w:rPr>
              <w:t>Enuma elish </w:t>
            </w:r>
            <w:r>
              <w:rPr>
                <w:rFonts w:ascii="Merriweather" w:eastAsia="Merriweather" w:hAnsi="Merriweather" w:cs="Merriweather"/>
                <w:color w:val="333333"/>
                <w:sz w:val="23"/>
                <w:szCs w:val="23"/>
              </w:rPr>
              <w:t>follow Philippe Talon, </w:t>
            </w:r>
            <w:r>
              <w:rPr>
                <w:rFonts w:ascii="Merriweather" w:eastAsia="Merriweather" w:hAnsi="Merriweather" w:cs="Merriweather"/>
                <w:i/>
                <w:color w:val="333333"/>
                <w:sz w:val="23"/>
                <w:szCs w:val="23"/>
              </w:rPr>
              <w:t>Enūma Eliš: The Standard Babylonian Creation Myth</w:t>
            </w:r>
            <w:r>
              <w:rPr>
                <w:rFonts w:ascii="Merriweather" w:eastAsia="Merriweather" w:hAnsi="Merriweather" w:cs="Merriweather"/>
                <w:color w:val="333333"/>
                <w:sz w:val="23"/>
                <w:szCs w:val="23"/>
              </w:rPr>
              <w:t>, SAACT 4 (Helsinki: Neo-Assyrian Text Corpus Project, 2005); and Stephanie Dalley, </w:t>
            </w:r>
            <w:r>
              <w:rPr>
                <w:rFonts w:ascii="Merriweather" w:eastAsia="Merriweather" w:hAnsi="Merriweather" w:cs="Merriweather"/>
                <w:i/>
                <w:color w:val="333333"/>
                <w:sz w:val="23"/>
                <w:szCs w:val="23"/>
              </w:rPr>
              <w:t>Myths from Mesopotamia: Creation, The Flood, Gilgamesh, and Others</w:t>
            </w:r>
            <w:r>
              <w:rPr>
                <w:rFonts w:ascii="Merriweather" w:eastAsia="Merriweather" w:hAnsi="Merriweather" w:cs="Merriweather"/>
                <w:color w:val="333333"/>
                <w:sz w:val="23"/>
                <w:szCs w:val="23"/>
              </w:rPr>
              <w:t> (Oxford: Oxford University Press, 2000).</w:t>
            </w:r>
          </w:p>
          <w:p w14:paraId="000000DF"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E0" w14:textId="77777777" w:rsidR="004E732A" w:rsidRDefault="00000000">
            <w:pPr>
              <w:bidi/>
              <w:spacing w:line="276" w:lineRule="auto"/>
              <w:rPr>
                <w:color w:val="333333"/>
                <w:sz w:val="28"/>
                <w:szCs w:val="28"/>
              </w:rPr>
            </w:pPr>
            <w:r>
              <w:rPr>
                <w:color w:val="333333"/>
                <w:sz w:val="28"/>
                <w:szCs w:val="28"/>
              </w:rPr>
              <w:lastRenderedPageBreak/>
              <w:t>[4]</w:t>
            </w:r>
          </w:p>
          <w:p w14:paraId="000000E1" w14:textId="77777777" w:rsidR="004E732A" w:rsidRDefault="00000000">
            <w:pPr>
              <w:bidi/>
              <w:spacing w:line="276" w:lineRule="auto"/>
              <w:rPr>
                <w:color w:val="333333"/>
                <w:sz w:val="28"/>
                <w:szCs w:val="28"/>
              </w:rPr>
            </w:pPr>
            <w:r>
              <w:rPr>
                <w:color w:val="333333"/>
                <w:sz w:val="28"/>
                <w:szCs w:val="28"/>
                <w:rtl/>
              </w:rPr>
              <w:t>ויעלזו האלים ויכריזו:</w:t>
            </w:r>
          </w:p>
          <w:p w14:paraId="000000E2" w14:textId="77777777" w:rsidR="004E732A" w:rsidRDefault="00000000">
            <w:pPr>
              <w:bidi/>
              <w:spacing w:line="276" w:lineRule="auto"/>
              <w:rPr>
                <w:color w:val="333333"/>
                <w:sz w:val="28"/>
                <w:szCs w:val="28"/>
              </w:rPr>
            </w:pPr>
            <w:r>
              <w:rPr>
                <w:color w:val="333333"/>
                <w:sz w:val="28"/>
                <w:szCs w:val="28"/>
                <w:rtl/>
              </w:rPr>
              <w:t>"מרדוך הוא המלך!"</w:t>
            </w:r>
          </w:p>
          <w:p w14:paraId="000000E3" w14:textId="77777777" w:rsidR="004E732A" w:rsidRDefault="00000000">
            <w:pPr>
              <w:bidi/>
              <w:spacing w:line="276" w:lineRule="auto"/>
              <w:rPr>
                <w:color w:val="333333"/>
                <w:sz w:val="28"/>
                <w:szCs w:val="28"/>
              </w:rPr>
            </w:pPr>
            <w:r>
              <w:rPr>
                <w:color w:val="333333"/>
                <w:sz w:val="28"/>
                <w:szCs w:val="28"/>
                <w:rtl/>
              </w:rPr>
              <w:t>ויתנו בידו שרביט ויושיבוהו על כס ויתנו לו נס. ונתנו בידו כלי נשק שאין עומד בפניו למחוץ את אויביו.</w:t>
            </w:r>
          </w:p>
          <w:p w14:paraId="000000E4" w14:textId="77777777" w:rsidR="004E732A" w:rsidRDefault="00000000">
            <w:pPr>
              <w:bidi/>
              <w:spacing w:line="276" w:lineRule="auto"/>
              <w:rPr>
                <w:color w:val="333333"/>
                <w:sz w:val="28"/>
                <w:szCs w:val="28"/>
              </w:rPr>
            </w:pPr>
            <w:r>
              <w:rPr>
                <w:color w:val="333333"/>
                <w:sz w:val="28"/>
                <w:szCs w:val="28"/>
                <w:rtl/>
              </w:rPr>
              <w:t>"לך ונטלת את חייה של תיאמת! תישא הרוח את דמה אלינו כבשורה טובה!" (אנומה אליש, לוח רביעי, 28–32).</w:t>
            </w:r>
          </w:p>
          <w:p w14:paraId="000000E5" w14:textId="77777777" w:rsidR="004E732A" w:rsidRDefault="00000000">
            <w:pPr>
              <w:bidi/>
              <w:spacing w:line="276" w:lineRule="auto"/>
              <w:rPr>
                <w:color w:val="333333"/>
                <w:sz w:val="28"/>
                <w:szCs w:val="28"/>
              </w:rPr>
            </w:pPr>
            <w:r>
              <w:rPr>
                <w:color w:val="333333"/>
                <w:sz w:val="28"/>
                <w:szCs w:val="28"/>
                <w:rtl/>
              </w:rPr>
              <w:lastRenderedPageBreak/>
              <w:t>התרגום על פי:</w:t>
            </w:r>
          </w:p>
          <w:p w14:paraId="000000E6" w14:textId="77777777" w:rsidR="004E732A" w:rsidRDefault="00000000">
            <w:pPr>
              <w:shd w:val="clear" w:color="auto" w:fill="FFFFFF"/>
              <w:spacing w:after="150"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Philippe Talon, </w:t>
            </w:r>
            <w:r>
              <w:rPr>
                <w:rFonts w:ascii="Merriweather" w:eastAsia="Merriweather" w:hAnsi="Merriweather" w:cs="Merriweather"/>
                <w:i/>
                <w:color w:val="333333"/>
                <w:sz w:val="23"/>
                <w:szCs w:val="23"/>
              </w:rPr>
              <w:t>Enūma Eliš: The Standard Babylonian Creation Myth</w:t>
            </w:r>
            <w:r>
              <w:rPr>
                <w:rFonts w:ascii="Merriweather" w:eastAsia="Merriweather" w:hAnsi="Merriweather" w:cs="Merriweather"/>
                <w:color w:val="333333"/>
                <w:sz w:val="23"/>
                <w:szCs w:val="23"/>
              </w:rPr>
              <w:t>, SAACT 4 (Helsinki: Neo-Assyrian Text Corpus Project, 2005); and Stephanie Dalley, </w:t>
            </w:r>
            <w:r>
              <w:rPr>
                <w:rFonts w:ascii="Merriweather" w:eastAsia="Merriweather" w:hAnsi="Merriweather" w:cs="Merriweather"/>
                <w:i/>
                <w:color w:val="333333"/>
                <w:sz w:val="23"/>
                <w:szCs w:val="23"/>
              </w:rPr>
              <w:t>Myths from Mesopotamia: Creation, The Flood, Gilgamesh, and Others</w:t>
            </w:r>
            <w:r>
              <w:rPr>
                <w:rFonts w:ascii="Merriweather" w:eastAsia="Merriweather" w:hAnsi="Merriweather" w:cs="Merriweather"/>
                <w:color w:val="333333"/>
                <w:sz w:val="23"/>
                <w:szCs w:val="23"/>
              </w:rPr>
              <w:t> (Oxford: Oxford University Press, 2000).</w:t>
            </w:r>
          </w:p>
          <w:p w14:paraId="000000E7" w14:textId="77777777" w:rsidR="004E732A" w:rsidRDefault="004E732A">
            <w:pPr>
              <w:shd w:val="clear" w:color="auto" w:fill="FFFFFF"/>
              <w:spacing w:after="150" w:line="480" w:lineRule="auto"/>
              <w:rPr>
                <w:rFonts w:ascii="Merriweather" w:eastAsia="Merriweather" w:hAnsi="Merriweather" w:cs="Merriweather"/>
                <w:color w:val="333333"/>
                <w:sz w:val="23"/>
                <w:szCs w:val="23"/>
              </w:rPr>
            </w:pPr>
          </w:p>
        </w:tc>
      </w:tr>
      <w:tr w:rsidR="004E732A" w14:paraId="241FB80E" w14:textId="77777777">
        <w:tc>
          <w:tcPr>
            <w:tcW w:w="4675" w:type="dxa"/>
          </w:tcPr>
          <w:p w14:paraId="000000E8"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lastRenderedPageBreak/>
              <w:t xml:space="preserve">The centrality of Marduk, a Babylonian god, in these inscriptions requires </w:t>
            </w:r>
            <w:r>
              <w:rPr>
                <w:rFonts w:ascii="Merriweather" w:eastAsia="Merriweather" w:hAnsi="Merriweather" w:cs="Merriweather"/>
                <w:color w:val="333333"/>
                <w:sz w:val="23"/>
                <w:szCs w:val="23"/>
              </w:rPr>
              <w:lastRenderedPageBreak/>
              <w:t>explanation, since the Assyrians had their own national deity, Ashur, whom they viewed as the head of the pantheon. </w:t>
            </w:r>
            <w:r>
              <w:rPr>
                <w:rFonts w:ascii="Merriweather" w:eastAsia="Merriweather" w:hAnsi="Merriweather" w:cs="Merriweather"/>
                <w:i/>
                <w:color w:val="333333"/>
                <w:sz w:val="23"/>
                <w:szCs w:val="23"/>
              </w:rPr>
              <w:t>Sargon’s Letter to Aššur</w:t>
            </w:r>
            <w:r>
              <w:rPr>
                <w:rFonts w:ascii="Merriweather" w:eastAsia="Merriweather" w:hAnsi="Merriweather" w:cs="Merriweather"/>
                <w:color w:val="333333"/>
                <w:sz w:val="23"/>
                <w:szCs w:val="23"/>
              </w:rPr>
              <w:t> claims that Marduk has, from the beginning, given authority over the territories of the world to Ashur to honor him (D. D. Luckenbill, </w:t>
            </w:r>
            <w:r>
              <w:rPr>
                <w:rFonts w:ascii="Merriweather" w:eastAsia="Merriweather" w:hAnsi="Merriweather" w:cs="Merriweather"/>
                <w:i/>
                <w:color w:val="333333"/>
                <w:sz w:val="23"/>
                <w:szCs w:val="23"/>
              </w:rPr>
              <w:t>Historical Records of Assyria from Sargon to the End</w:t>
            </w:r>
            <w:r>
              <w:rPr>
                <w:rFonts w:ascii="Merriweather" w:eastAsia="Merriweather" w:hAnsi="Merriweather" w:cs="Merriweather"/>
                <w:color w:val="333333"/>
                <w:sz w:val="23"/>
                <w:szCs w:val="23"/>
              </w:rPr>
              <w:t>, vol. 2 of </w:t>
            </w:r>
            <w:r>
              <w:rPr>
                <w:rFonts w:ascii="Merriweather" w:eastAsia="Merriweather" w:hAnsi="Merriweather" w:cs="Merriweather"/>
                <w:i/>
                <w:color w:val="333333"/>
                <w:sz w:val="23"/>
                <w:szCs w:val="23"/>
              </w:rPr>
              <w:t>Ancient Records of Assyria and Babylonia</w:t>
            </w:r>
            <w:r>
              <w:rPr>
                <w:rFonts w:ascii="Merriweather" w:eastAsia="Merriweather" w:hAnsi="Merriweather" w:cs="Merriweather"/>
                <w:color w:val="333333"/>
                <w:sz w:val="23"/>
                <w:szCs w:val="23"/>
              </w:rPr>
              <w:t> (Chicago, IL: University of Chicago Press, 1927), §170). One way that the Assyrians used the Marduk-centered </w:t>
            </w:r>
            <w:r>
              <w:rPr>
                <w:rFonts w:ascii="Merriweather" w:eastAsia="Merriweather" w:hAnsi="Merriweather" w:cs="Merriweather"/>
                <w:i/>
                <w:color w:val="333333"/>
                <w:sz w:val="23"/>
                <w:szCs w:val="23"/>
              </w:rPr>
              <w:t>Enuma elish</w:t>
            </w:r>
            <w:r>
              <w:rPr>
                <w:rFonts w:ascii="Merriweather" w:eastAsia="Merriweather" w:hAnsi="Merriweather" w:cs="Merriweather"/>
                <w:color w:val="333333"/>
                <w:sz w:val="23"/>
                <w:szCs w:val="23"/>
              </w:rPr>
              <w:t xml:space="preserve"> in their rhetoric was to place the Assyrian king in the role of Marduk. Acting as Marduk’s earthly counterpart, the </w:t>
            </w:r>
            <w:r>
              <w:rPr>
                <w:rFonts w:ascii="Merriweather" w:eastAsia="Merriweather" w:hAnsi="Merriweather" w:cs="Merriweather"/>
                <w:color w:val="333333"/>
                <w:sz w:val="23"/>
                <w:szCs w:val="23"/>
              </w:rPr>
              <w:lastRenderedPageBreak/>
              <w:t>Assyrian king conquered territory and placed it under Ashur’s authority. Sennacherib’s scribes apparently attempted to solve the problem of Marduk’s central role in the story in another way, by rewriting </w:t>
            </w:r>
            <w:r>
              <w:rPr>
                <w:rFonts w:ascii="Merriweather" w:eastAsia="Merriweather" w:hAnsi="Merriweather" w:cs="Merriweather"/>
                <w:i/>
                <w:color w:val="333333"/>
                <w:sz w:val="23"/>
                <w:szCs w:val="23"/>
              </w:rPr>
              <w:t>Enuma elish</w:t>
            </w:r>
            <w:r>
              <w:rPr>
                <w:rFonts w:ascii="Merriweather" w:eastAsia="Merriweather" w:hAnsi="Merriweather" w:cs="Merriweather"/>
                <w:color w:val="333333"/>
                <w:sz w:val="23"/>
                <w:szCs w:val="23"/>
              </w:rPr>
              <w:t> with Ashur replacing Marduk. This revised version of the myth does not appear to have become dominant, however. Note also that invocations of </w:t>
            </w:r>
            <w:r>
              <w:rPr>
                <w:rFonts w:ascii="Merriweather" w:eastAsia="Merriweather" w:hAnsi="Merriweather" w:cs="Merriweather"/>
                <w:i/>
                <w:color w:val="333333"/>
                <w:sz w:val="23"/>
                <w:szCs w:val="23"/>
              </w:rPr>
              <w:t>Enuma elish</w:t>
            </w:r>
            <w:r>
              <w:rPr>
                <w:rFonts w:ascii="Merriweather" w:eastAsia="Merriweather" w:hAnsi="Merriweather" w:cs="Merriweather"/>
                <w:color w:val="333333"/>
                <w:sz w:val="23"/>
                <w:szCs w:val="23"/>
              </w:rPr>
              <w:t xml:space="preserve"> are rare in the inscriptions of the last two major kings of Assyria, Esarhaddon (r. 680–669) and Assurbanipal (r. 668–626). Both kings elected instead to establish their synergy with the gods, and justify their military actions, through </w:t>
            </w:r>
            <w:r>
              <w:rPr>
                <w:rFonts w:ascii="Merriweather" w:eastAsia="Merriweather" w:hAnsi="Merriweather" w:cs="Merriweather"/>
                <w:color w:val="333333"/>
                <w:sz w:val="23"/>
                <w:szCs w:val="23"/>
              </w:rPr>
              <w:lastRenderedPageBreak/>
              <w:t>appeals to divination, especially prophecy.</w:t>
            </w:r>
          </w:p>
          <w:p w14:paraId="000000E9" w14:textId="77777777" w:rsidR="004E732A" w:rsidRDefault="004E732A">
            <w:pPr>
              <w:shd w:val="clear" w:color="auto" w:fill="FFFFFF"/>
              <w:spacing w:after="300"/>
              <w:rPr>
                <w:rFonts w:ascii="Merriweather" w:eastAsia="Merriweather" w:hAnsi="Merriweather" w:cs="Merriweather"/>
                <w:color w:val="000000"/>
                <w:sz w:val="26"/>
                <w:szCs w:val="26"/>
              </w:rPr>
            </w:pPr>
          </w:p>
        </w:tc>
        <w:tc>
          <w:tcPr>
            <w:tcW w:w="4675" w:type="dxa"/>
          </w:tcPr>
          <w:p w14:paraId="000000EA" w14:textId="77777777" w:rsidR="004E732A" w:rsidRPr="00252887" w:rsidRDefault="00000000">
            <w:pPr>
              <w:bidi/>
              <w:spacing w:line="276" w:lineRule="auto"/>
              <w:rPr>
                <w:color w:val="333333"/>
                <w:sz w:val="28"/>
                <w:szCs w:val="28"/>
              </w:rPr>
            </w:pPr>
            <w:r w:rsidRPr="00252887">
              <w:rPr>
                <w:color w:val="333333"/>
                <w:sz w:val="28"/>
                <w:szCs w:val="28"/>
                <w:rtl/>
              </w:rPr>
              <w:lastRenderedPageBreak/>
              <w:t xml:space="preserve">[5] מרכזיותו של מרדוך האל הבבלי בכתובות אלו מצריכה הסבר, משום שלאשורים היה אל משלהם, אשור, שלאמונתם עמד בראש הפנתאון. לפי מכתבו של סרגון לאשור, </w:t>
            </w:r>
            <w:r w:rsidRPr="00252887">
              <w:rPr>
                <w:color w:val="333333"/>
                <w:sz w:val="28"/>
                <w:szCs w:val="28"/>
                <w:rtl/>
              </w:rPr>
              <w:lastRenderedPageBreak/>
              <w:t>מרדוך מסר כבר מראשית הבריאה את הסמכות על העולם לאשור כדי לכבדו. ראו:</w:t>
            </w:r>
          </w:p>
          <w:p w14:paraId="000000EB" w14:textId="77777777" w:rsidR="004E732A" w:rsidRPr="00252887" w:rsidRDefault="00000000">
            <w:pPr>
              <w:shd w:val="clear" w:color="auto" w:fill="FFFFFF"/>
              <w:spacing w:line="480" w:lineRule="auto"/>
              <w:rPr>
                <w:rFonts w:ascii="Merriweather" w:eastAsia="Merriweather" w:hAnsi="Merriweather" w:cs="Merriweather"/>
                <w:color w:val="333333"/>
              </w:rPr>
            </w:pPr>
            <w:r w:rsidRPr="00252887">
              <w:rPr>
                <w:rFonts w:ascii="Merriweather" w:eastAsia="Merriweather" w:hAnsi="Merriweather" w:cs="Merriweather"/>
                <w:color w:val="333333"/>
              </w:rPr>
              <w:t>D. D. Luckenbill, </w:t>
            </w:r>
            <w:r w:rsidRPr="00252887">
              <w:rPr>
                <w:rFonts w:ascii="Merriweather" w:eastAsia="Merriweather" w:hAnsi="Merriweather" w:cs="Merriweather"/>
                <w:i/>
                <w:color w:val="333333"/>
              </w:rPr>
              <w:t>Historical Records of Assyria from Sargon to the End</w:t>
            </w:r>
            <w:r w:rsidRPr="00252887">
              <w:rPr>
                <w:rFonts w:ascii="Merriweather" w:eastAsia="Merriweather" w:hAnsi="Merriweather" w:cs="Merriweather"/>
                <w:color w:val="333333"/>
              </w:rPr>
              <w:t>, vol. 2 of </w:t>
            </w:r>
            <w:r w:rsidRPr="00252887">
              <w:rPr>
                <w:rFonts w:ascii="Merriweather" w:eastAsia="Merriweather" w:hAnsi="Merriweather" w:cs="Merriweather"/>
                <w:i/>
                <w:color w:val="333333"/>
              </w:rPr>
              <w:t>Ancient Records of Assyria and Babylonia</w:t>
            </w:r>
            <w:r w:rsidRPr="00252887">
              <w:rPr>
                <w:rFonts w:ascii="Merriweather" w:eastAsia="Merriweather" w:hAnsi="Merriweather" w:cs="Merriweather"/>
                <w:color w:val="333333"/>
              </w:rPr>
              <w:t> (Chicago, IL: University of Chicago Press, 1927), §170.</w:t>
            </w:r>
          </w:p>
          <w:p w14:paraId="000000EC" w14:textId="2FFAF358" w:rsidR="004E732A" w:rsidRPr="00252887" w:rsidRDefault="00000000">
            <w:pPr>
              <w:shd w:val="clear" w:color="auto" w:fill="FFFFFF"/>
              <w:bidi/>
              <w:spacing w:line="480" w:lineRule="auto"/>
              <w:rPr>
                <w:color w:val="333333"/>
                <w:sz w:val="28"/>
                <w:szCs w:val="28"/>
                <w:rtl/>
              </w:rPr>
            </w:pPr>
            <w:r w:rsidRPr="00252887">
              <w:rPr>
                <w:color w:val="333333"/>
                <w:sz w:val="28"/>
                <w:szCs w:val="28"/>
                <w:rtl/>
              </w:rPr>
              <w:t xml:space="preserve">אחד האופנים שבהם ניצלו האשורים את האנומה אליש שבמרכזו עומד מרדוך לצרכיהם הרטוריים הוא הצבת מלך אשור בתפקיד מרדוך. מלך אשור ממלא את תפקיד מקבילו של מרדוך על פני האדמה, כובש אדמות ומכפיף אותן לשלטון אשור. סופריו של סנחריב ניסו לפתור את שאלת תפקידו המרכזי של מרדוך בסיפור הבריאה באופן אחר, ושכתבו את האנומה אליש לכדי גרסה שבה אשור מחליף את מרדוך. אך נראה שגרסה משוכתבת זו של המיתוס לא קנתה לה </w:t>
            </w:r>
            <w:r w:rsidR="00252887">
              <w:rPr>
                <w:rFonts w:hint="cs"/>
                <w:color w:val="333333"/>
                <w:sz w:val="28"/>
                <w:szCs w:val="28"/>
                <w:rtl/>
              </w:rPr>
              <w:t>אחיזה</w:t>
            </w:r>
            <w:r w:rsidRPr="00252887">
              <w:rPr>
                <w:color w:val="333333"/>
                <w:sz w:val="28"/>
                <w:szCs w:val="28"/>
                <w:rtl/>
              </w:rPr>
              <w:t xml:space="preserve">. יש לציין שנדיר למצוא אזכורים לאנומה אליש באנאלים של שני מלכיה </w:t>
            </w:r>
            <w:r w:rsidRPr="00252887">
              <w:rPr>
                <w:color w:val="333333"/>
                <w:sz w:val="28"/>
                <w:szCs w:val="28"/>
                <w:rtl/>
              </w:rPr>
              <w:lastRenderedPageBreak/>
              <w:t>האחרונים של אשור, אסרחדון (מלך 680–669 לפנה"ס) ואשורבניפל (מלך 668–626). שניהם העדיפו לבסס את קשריהם עם האלים ולהצדיק את מעשיהם באמצעות פניה לנביאים ו</w:t>
            </w:r>
            <w:r w:rsidR="00252887">
              <w:rPr>
                <w:rFonts w:hint="cs"/>
                <w:color w:val="333333"/>
                <w:sz w:val="28"/>
                <w:szCs w:val="28"/>
                <w:rtl/>
              </w:rPr>
              <w:t>ל</w:t>
            </w:r>
            <w:r w:rsidRPr="00252887">
              <w:rPr>
                <w:color w:val="333333"/>
                <w:sz w:val="28"/>
                <w:szCs w:val="28"/>
                <w:rtl/>
              </w:rPr>
              <w:t>חוזים.</w:t>
            </w:r>
          </w:p>
          <w:p w14:paraId="000000ED" w14:textId="77777777" w:rsidR="004E732A" w:rsidRPr="00252887" w:rsidRDefault="004E732A">
            <w:pPr>
              <w:shd w:val="clear" w:color="auto" w:fill="FFFFFF"/>
              <w:spacing w:line="480" w:lineRule="auto"/>
              <w:rPr>
                <w:color w:val="333333"/>
                <w:sz w:val="28"/>
                <w:szCs w:val="28"/>
              </w:rPr>
            </w:pPr>
          </w:p>
        </w:tc>
      </w:tr>
      <w:tr w:rsidR="004E732A" w14:paraId="6FE4AEF0" w14:textId="77777777">
        <w:tc>
          <w:tcPr>
            <w:tcW w:w="4675" w:type="dxa"/>
          </w:tcPr>
          <w:p w14:paraId="000000EE"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lastRenderedPageBreak/>
              <w:t>Translation based on Tiglath-pileser 53, line 2 (Hayim Tadmor and Shigeo Yamada, </w:t>
            </w:r>
            <w:r>
              <w:rPr>
                <w:rFonts w:ascii="Merriweather" w:eastAsia="Merriweather" w:hAnsi="Merriweather" w:cs="Merriweather"/>
                <w:i/>
                <w:color w:val="333333"/>
                <w:sz w:val="23"/>
                <w:szCs w:val="23"/>
              </w:rPr>
              <w:t>The Royal Inscriptions of Tiglath-pileser III [744–727 BC] and Shalmaneser V [726–722 BC], Kings of Assyria</w:t>
            </w:r>
            <w:r>
              <w:rPr>
                <w:rFonts w:ascii="Merriweather" w:eastAsia="Merriweather" w:hAnsi="Merriweather" w:cs="Merriweather"/>
                <w:color w:val="333333"/>
                <w:sz w:val="23"/>
                <w:szCs w:val="23"/>
              </w:rPr>
              <w:t>, RINAP 1 [Winona Lake, IN: Eisenbrauns, 2011], 138); and Summ. 11:2 (Hayim Tadmor, </w:t>
            </w:r>
            <w:r>
              <w:rPr>
                <w:rFonts w:ascii="Merriweather" w:eastAsia="Merriweather" w:hAnsi="Merriweather" w:cs="Merriweather"/>
                <w:i/>
                <w:color w:val="333333"/>
                <w:sz w:val="23"/>
                <w:szCs w:val="23"/>
              </w:rPr>
              <w:t>The Inscriptions of Tiglath-Pileser III King of Assyria: Critical Edition, with Introductions, Translations and Commentary</w:t>
            </w:r>
            <w:r>
              <w:rPr>
                <w:rFonts w:ascii="Merriweather" w:eastAsia="Merriweather" w:hAnsi="Merriweather" w:cs="Merriweather"/>
                <w:color w:val="333333"/>
                <w:sz w:val="23"/>
                <w:szCs w:val="23"/>
              </w:rPr>
              <w:t> [Jerusalem: The Israel Academy of Sciences and Humanities, 1994]).</w:t>
            </w:r>
          </w:p>
          <w:p w14:paraId="000000EF"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000000F0" w14:textId="77777777" w:rsidR="004E732A" w:rsidRDefault="00000000">
            <w:pPr>
              <w:bidi/>
              <w:spacing w:line="276" w:lineRule="auto"/>
              <w:rPr>
                <w:color w:val="333333"/>
                <w:sz w:val="28"/>
                <w:szCs w:val="28"/>
              </w:rPr>
            </w:pPr>
            <w:r>
              <w:rPr>
                <w:color w:val="333333"/>
                <w:sz w:val="28"/>
                <w:szCs w:val="28"/>
                <w:rtl/>
              </w:rPr>
              <w:t>[6] התרגום על פי:</w:t>
            </w:r>
          </w:p>
          <w:p w14:paraId="000000F1" w14:textId="77777777" w:rsidR="004E732A" w:rsidRDefault="00000000">
            <w:pPr>
              <w:shd w:val="clear" w:color="auto" w:fill="FFFFFF"/>
              <w:spacing w:line="480" w:lineRule="auto"/>
              <w:rPr>
                <w:color w:val="333333"/>
                <w:sz w:val="28"/>
                <w:szCs w:val="28"/>
              </w:rPr>
            </w:pPr>
            <w:r>
              <w:rPr>
                <w:rFonts w:ascii="Merriweather" w:eastAsia="Merriweather" w:hAnsi="Merriweather" w:cs="Merriweather"/>
                <w:color w:val="333333"/>
                <w:sz w:val="23"/>
                <w:szCs w:val="23"/>
              </w:rPr>
              <w:t>Tiglath-pileser 53, line 2 (Hayim Tadmor and Shigeo Yamada, </w:t>
            </w:r>
            <w:r>
              <w:rPr>
                <w:rFonts w:ascii="Merriweather" w:eastAsia="Merriweather" w:hAnsi="Merriweather" w:cs="Merriweather"/>
                <w:i/>
                <w:color w:val="333333"/>
                <w:sz w:val="23"/>
                <w:szCs w:val="23"/>
              </w:rPr>
              <w:t>The Royal Inscriptions of Tiglath-pileser III [744–727 BC] and Shalmaneser V [726–722 BC], Kings of Assyria</w:t>
            </w:r>
            <w:r>
              <w:rPr>
                <w:rFonts w:ascii="Merriweather" w:eastAsia="Merriweather" w:hAnsi="Merriweather" w:cs="Merriweather"/>
                <w:color w:val="333333"/>
                <w:sz w:val="23"/>
                <w:szCs w:val="23"/>
              </w:rPr>
              <w:t>, RINAP 1 [Winona Lake, IN: Eisenbrauns, 2011], 138); and Summ. 11:2 (Hayim Tadmor, </w:t>
            </w:r>
            <w:r>
              <w:rPr>
                <w:rFonts w:ascii="Merriweather" w:eastAsia="Merriweather" w:hAnsi="Merriweather" w:cs="Merriweather"/>
                <w:i/>
                <w:color w:val="333333"/>
                <w:sz w:val="23"/>
                <w:szCs w:val="23"/>
              </w:rPr>
              <w:t>The Inscriptions of Tiglath-Pileser III King of Assyria: Critical Edition, with Introductions, Translations and Commentary</w:t>
            </w:r>
            <w:r>
              <w:rPr>
                <w:rFonts w:ascii="Merriweather" w:eastAsia="Merriweather" w:hAnsi="Merriweather" w:cs="Merriweather"/>
                <w:color w:val="333333"/>
                <w:sz w:val="23"/>
                <w:szCs w:val="23"/>
              </w:rPr>
              <w:t> [Jerusalem: The Israel Academy of Sciences and Humanities, 1994]).</w:t>
            </w:r>
          </w:p>
        </w:tc>
      </w:tr>
      <w:tr w:rsidR="004E732A" w14:paraId="33181813" w14:textId="77777777">
        <w:tc>
          <w:tcPr>
            <w:tcW w:w="4675" w:type="dxa"/>
          </w:tcPr>
          <w:p w14:paraId="000000F2" w14:textId="77777777" w:rsidR="004E732A" w:rsidRDefault="00000000">
            <w:pPr>
              <w:numPr>
                <w:ilvl w:val="0"/>
                <w:numId w:val="1"/>
              </w:numPr>
              <w:pBdr>
                <w:top w:val="nil"/>
                <w:left w:val="nil"/>
                <w:bottom w:val="nil"/>
                <w:right w:val="nil"/>
                <w:between w:val="nil"/>
              </w:pBdr>
              <w:shd w:val="clear" w:color="auto" w:fill="FFFFFF"/>
              <w:spacing w:after="160"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lastRenderedPageBreak/>
              <w:t>Sargon II 4, line 60 (Grant Frame, </w:t>
            </w:r>
            <w:r>
              <w:rPr>
                <w:rFonts w:ascii="Merriweather" w:eastAsia="Merriweather" w:hAnsi="Merriweather" w:cs="Merriweather"/>
                <w:i/>
                <w:color w:val="333333"/>
                <w:sz w:val="23"/>
                <w:szCs w:val="23"/>
              </w:rPr>
              <w:t>The Royal Inscriptions of Sargon II, King of Assyria (721–705 BC) </w:t>
            </w:r>
            <w:r>
              <w:rPr>
                <w:rFonts w:ascii="Merriweather" w:eastAsia="Merriweather" w:hAnsi="Merriweather" w:cs="Merriweather"/>
                <w:color w:val="333333"/>
                <w:sz w:val="23"/>
                <w:szCs w:val="23"/>
              </w:rPr>
              <w:t>RINAP 2 [University Park, PA: Eisenbrauns, 2021], 121).</w:t>
            </w:r>
          </w:p>
        </w:tc>
        <w:tc>
          <w:tcPr>
            <w:tcW w:w="4675" w:type="dxa"/>
          </w:tcPr>
          <w:p w14:paraId="000000F3" w14:textId="31F1300E" w:rsidR="004E732A" w:rsidRDefault="00000000">
            <w:pPr>
              <w:bidi/>
              <w:spacing w:line="276" w:lineRule="auto"/>
              <w:rPr>
                <w:color w:val="333333"/>
                <w:sz w:val="28"/>
                <w:szCs w:val="28"/>
              </w:rPr>
            </w:pPr>
            <w:r>
              <w:rPr>
                <w:color w:val="333333"/>
                <w:sz w:val="28"/>
                <w:szCs w:val="28"/>
                <w:rtl/>
              </w:rPr>
              <w:t>[7] רא</w:t>
            </w:r>
            <w:r w:rsidR="00252887">
              <w:rPr>
                <w:rFonts w:hint="cs"/>
                <w:color w:val="333333"/>
                <w:sz w:val="28"/>
                <w:szCs w:val="28"/>
                <w:rtl/>
              </w:rPr>
              <w:t>ו סרגון ב' 4 שורה 60.</w:t>
            </w:r>
          </w:p>
          <w:p w14:paraId="000000F4" w14:textId="525E199F" w:rsidR="004E732A" w:rsidRDefault="00000000">
            <w:pPr>
              <w:shd w:val="clear" w:color="auto" w:fill="FFFFFF"/>
              <w:spacing w:after="160" w:line="480" w:lineRule="auto"/>
              <w:rPr>
                <w:color w:val="333333"/>
                <w:sz w:val="28"/>
                <w:szCs w:val="28"/>
              </w:rPr>
            </w:pPr>
            <w:r>
              <w:rPr>
                <w:rFonts w:ascii="Merriweather" w:eastAsia="Merriweather" w:hAnsi="Merriweather" w:cs="Merriweather"/>
                <w:color w:val="333333"/>
                <w:sz w:val="23"/>
                <w:szCs w:val="23"/>
              </w:rPr>
              <w:t>Grant Frame, </w:t>
            </w:r>
            <w:r>
              <w:rPr>
                <w:rFonts w:ascii="Merriweather" w:eastAsia="Merriweather" w:hAnsi="Merriweather" w:cs="Merriweather"/>
                <w:i/>
                <w:color w:val="333333"/>
                <w:sz w:val="23"/>
                <w:szCs w:val="23"/>
              </w:rPr>
              <w:t>The Royal Inscriptions of Sargon II, King of Assyria (721–705 BC) </w:t>
            </w:r>
            <w:r>
              <w:rPr>
                <w:rFonts w:ascii="Merriweather" w:eastAsia="Merriweather" w:hAnsi="Merriweather" w:cs="Merriweather"/>
                <w:color w:val="333333"/>
                <w:sz w:val="23"/>
                <w:szCs w:val="23"/>
              </w:rPr>
              <w:t>RINAP 2 [University Park, PA: Eisenbrauns, 2021], 121.</w:t>
            </w:r>
          </w:p>
        </w:tc>
      </w:tr>
      <w:tr w:rsidR="004E732A" w14:paraId="3E605BE8" w14:textId="77777777">
        <w:tc>
          <w:tcPr>
            <w:tcW w:w="4675" w:type="dxa"/>
          </w:tcPr>
          <w:p w14:paraId="000000F5"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Sargon II 2, line 338 (Frame,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69). Sargon also employs fog imagery—“Angrily, I mustered the numerous troops of Assyria and, like a fog, overwhelmed extensive districts within the lands of Kammanu and Gurgum, together with settlements in their environs” (Sargon II 74, lines 53–58 [Frame,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xml:space="preserve">, 331]). Fog is not one of Marduk’s initial weapons in his battle, but he subsequently </w:t>
            </w:r>
            <w:r>
              <w:rPr>
                <w:rFonts w:ascii="Merriweather" w:eastAsia="Merriweather" w:hAnsi="Merriweather" w:cs="Merriweather"/>
                <w:color w:val="333333"/>
                <w:sz w:val="23"/>
                <w:szCs w:val="23"/>
              </w:rPr>
              <w:lastRenderedPageBreak/>
              <w:t>makes it out of Tiamat’s spittle (</w:t>
            </w:r>
            <w:r>
              <w:rPr>
                <w:rFonts w:ascii="Merriweather" w:eastAsia="Merriweather" w:hAnsi="Merriweather" w:cs="Merriweather"/>
                <w:i/>
                <w:color w:val="333333"/>
                <w:sz w:val="23"/>
                <w:szCs w:val="23"/>
              </w:rPr>
              <w:t>EE</w:t>
            </w:r>
            <w:r>
              <w:rPr>
                <w:rFonts w:ascii="Merriweather" w:eastAsia="Merriweather" w:hAnsi="Merriweather" w:cs="Merriweather"/>
                <w:color w:val="333333"/>
                <w:sz w:val="23"/>
                <w:szCs w:val="23"/>
              </w:rPr>
              <w:t> V 51).</w:t>
            </w:r>
          </w:p>
          <w:p w14:paraId="000000F6" w14:textId="77777777" w:rsidR="004E732A" w:rsidRDefault="004E732A">
            <w:pPr>
              <w:shd w:val="clear" w:color="auto" w:fill="FFFFFF"/>
              <w:spacing w:before="280" w:line="480" w:lineRule="auto"/>
              <w:ind w:left="360"/>
              <w:rPr>
                <w:rFonts w:ascii="Merriweather" w:eastAsia="Merriweather" w:hAnsi="Merriweather" w:cs="Merriweather"/>
                <w:color w:val="333333"/>
                <w:sz w:val="23"/>
                <w:szCs w:val="23"/>
              </w:rPr>
            </w:pPr>
          </w:p>
        </w:tc>
        <w:tc>
          <w:tcPr>
            <w:tcW w:w="4675" w:type="dxa"/>
          </w:tcPr>
          <w:p w14:paraId="000000F7" w14:textId="7B5DFB12" w:rsidR="004E732A" w:rsidRDefault="00000000">
            <w:pPr>
              <w:bidi/>
              <w:spacing w:line="276" w:lineRule="auto"/>
              <w:rPr>
                <w:color w:val="333333"/>
                <w:sz w:val="28"/>
                <w:szCs w:val="28"/>
                <w:rtl/>
              </w:rPr>
            </w:pPr>
            <w:r>
              <w:rPr>
                <w:color w:val="333333"/>
                <w:sz w:val="28"/>
                <w:szCs w:val="28"/>
                <w:rtl/>
              </w:rPr>
              <w:lastRenderedPageBreak/>
              <w:t>[8] ראו</w:t>
            </w:r>
            <w:r w:rsidR="00542259">
              <w:rPr>
                <w:rFonts w:hint="cs"/>
                <w:color w:val="333333"/>
                <w:sz w:val="28"/>
                <w:szCs w:val="28"/>
                <w:rtl/>
              </w:rPr>
              <w:t xml:space="preserve"> סרגון ב' 2 שורה 338.</w:t>
            </w:r>
          </w:p>
          <w:p w14:paraId="000000F8" w14:textId="0BBA9CEA" w:rsidR="004E732A" w:rsidRDefault="00000000">
            <w:p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69</w:t>
            </w:r>
            <w:r w:rsidR="00542259">
              <w:rPr>
                <w:rFonts w:ascii="Merriweather" w:eastAsia="Merriweather" w:hAnsi="Merriweather" w:cs="Merriweather"/>
                <w:color w:val="333333"/>
                <w:sz w:val="23"/>
                <w:szCs w:val="23"/>
              </w:rPr>
              <w:t>.</w:t>
            </w:r>
          </w:p>
          <w:p w14:paraId="726A2965" w14:textId="77777777" w:rsidR="00542259" w:rsidRPr="00252887" w:rsidRDefault="00000000">
            <w:pPr>
              <w:shd w:val="clear" w:color="auto" w:fill="FFFFFF"/>
              <w:bidi/>
              <w:spacing w:line="480" w:lineRule="auto"/>
              <w:rPr>
                <w:color w:val="333333"/>
                <w:sz w:val="28"/>
                <w:szCs w:val="28"/>
                <w:rtl/>
              </w:rPr>
            </w:pPr>
            <w:r w:rsidRPr="00252887">
              <w:rPr>
                <w:color w:val="333333"/>
                <w:sz w:val="28"/>
                <w:szCs w:val="28"/>
                <w:rtl/>
              </w:rPr>
              <w:t>סרגון אף פונה לדימוי הערפל: "בכעסי, אספתי את צבאה הרב של אשור וכערפל גברתי על ארץ רבה בקמנו ובגורגום וערים סביבן" (סרגון ב' 74, שורות 53–</w:t>
            </w:r>
          </w:p>
          <w:p w14:paraId="09834078" w14:textId="77BF0F2C" w:rsidR="00542259" w:rsidRPr="00252887" w:rsidRDefault="00000000" w:rsidP="00542259">
            <w:pPr>
              <w:shd w:val="clear" w:color="auto" w:fill="FFFFFF"/>
              <w:bidi/>
              <w:spacing w:line="480" w:lineRule="auto"/>
              <w:rPr>
                <w:color w:val="333333"/>
                <w:sz w:val="28"/>
                <w:szCs w:val="28"/>
                <w:rtl/>
              </w:rPr>
            </w:pPr>
            <w:r w:rsidRPr="00252887">
              <w:rPr>
                <w:color w:val="333333"/>
                <w:sz w:val="28"/>
                <w:szCs w:val="28"/>
                <w:rtl/>
              </w:rPr>
              <w:t>58</w:t>
            </w:r>
            <w:r w:rsidR="00542259" w:rsidRPr="00252887">
              <w:rPr>
                <w:rFonts w:hint="cs"/>
                <w:color w:val="333333"/>
                <w:sz w:val="28"/>
                <w:szCs w:val="28"/>
                <w:rtl/>
              </w:rPr>
              <w:t>).</w:t>
            </w:r>
          </w:p>
          <w:p w14:paraId="59637A22" w14:textId="1DEC215B" w:rsidR="00542259" w:rsidRDefault="00000000" w:rsidP="00542259">
            <w:pPr>
              <w:shd w:val="clear" w:color="auto" w:fill="FFFFFF"/>
              <w:spacing w:line="480" w:lineRule="auto"/>
              <w:rPr>
                <w:color w:val="333333"/>
                <w:sz w:val="23"/>
                <w:szCs w:val="23"/>
                <w:rtl/>
              </w:rPr>
            </w:pPr>
            <w:r>
              <w:rPr>
                <w:color w:val="333333"/>
                <w:sz w:val="23"/>
                <w:szCs w:val="23"/>
                <w:rtl/>
              </w:rPr>
              <w:t xml:space="preserve"> </w:t>
            </w:r>
            <w:r>
              <w:rPr>
                <w:rFonts w:ascii="Merriweather" w:eastAsia="Merriweather" w:hAnsi="Merriweather" w:cs="Merriweather"/>
                <w:color w:val="333333"/>
                <w:sz w:val="23"/>
                <w:szCs w:val="23"/>
              </w:rPr>
              <w:t>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331</w:t>
            </w:r>
            <w:r w:rsidR="00542259">
              <w:rPr>
                <w:rFonts w:ascii="Merriweather" w:eastAsia="Merriweather" w:hAnsi="Merriweather" w:cs="Merriweather"/>
                <w:color w:val="333333"/>
                <w:sz w:val="23"/>
                <w:szCs w:val="23"/>
              </w:rPr>
              <w:t>.</w:t>
            </w:r>
          </w:p>
          <w:p w14:paraId="000000F9" w14:textId="12EE41EA" w:rsidR="004E732A" w:rsidRDefault="00000000" w:rsidP="00542259">
            <w:pPr>
              <w:shd w:val="clear" w:color="auto" w:fill="FFFFFF"/>
              <w:bidi/>
              <w:spacing w:line="480" w:lineRule="auto"/>
              <w:rPr>
                <w:color w:val="333333"/>
                <w:sz w:val="23"/>
                <w:szCs w:val="23"/>
              </w:rPr>
            </w:pPr>
            <w:r w:rsidRPr="00252887">
              <w:rPr>
                <w:color w:val="333333"/>
                <w:sz w:val="28"/>
                <w:szCs w:val="28"/>
                <w:rtl/>
              </w:rPr>
              <w:t xml:space="preserve">הערפל אינו אחד מכלי הנשק שעמדו לרשות מרדוך בראשית הקרב, אולם בהמשכו יצר </w:t>
            </w:r>
            <w:r w:rsidRPr="00252887">
              <w:rPr>
                <w:color w:val="333333"/>
                <w:sz w:val="28"/>
                <w:szCs w:val="28"/>
                <w:rtl/>
              </w:rPr>
              <w:lastRenderedPageBreak/>
              <w:t>מרדוך את הערפל מרוקה של תיאמת (אנומה אליש, לוח חמישי, 51).</w:t>
            </w:r>
          </w:p>
        </w:tc>
      </w:tr>
      <w:tr w:rsidR="004E732A" w14:paraId="11B2A64E" w14:textId="77777777">
        <w:tc>
          <w:tcPr>
            <w:tcW w:w="4675" w:type="dxa"/>
          </w:tcPr>
          <w:p w14:paraId="000000FA"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lastRenderedPageBreak/>
              <w:t>For more on this term in Assyrian rhetoric, see the chapter, “Without Rival: The Royal Performance of Masculinity in Assyrian Royal Inscriptions and Palace Reliefs,” in Cynthia Chapman, </w:t>
            </w:r>
            <w:r>
              <w:rPr>
                <w:rFonts w:ascii="Merriweather" w:eastAsia="Merriweather" w:hAnsi="Merriweather" w:cs="Merriweather"/>
                <w:i/>
                <w:color w:val="333333"/>
                <w:sz w:val="23"/>
                <w:szCs w:val="23"/>
              </w:rPr>
              <w:t>The Gendered Language of Warfare in the Israelite-Assyrian Encounter</w:t>
            </w:r>
            <w:r>
              <w:rPr>
                <w:rFonts w:ascii="Merriweather" w:eastAsia="Merriweather" w:hAnsi="Merriweather" w:cs="Merriweather"/>
                <w:color w:val="333333"/>
                <w:sz w:val="23"/>
                <w:szCs w:val="23"/>
              </w:rPr>
              <w:t>, Harvard Semitic Monographs 62 (Leiden: Brill, 2004), 20–59.</w:t>
            </w:r>
          </w:p>
          <w:p w14:paraId="000000FB"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43995DF9" w14:textId="77777777" w:rsidR="004E732A" w:rsidRDefault="00000000">
            <w:pPr>
              <w:bidi/>
              <w:spacing w:line="276" w:lineRule="auto"/>
              <w:rPr>
                <w:color w:val="333333"/>
                <w:sz w:val="28"/>
                <w:szCs w:val="28"/>
                <w:rtl/>
              </w:rPr>
            </w:pPr>
            <w:r>
              <w:rPr>
                <w:color w:val="333333"/>
                <w:sz w:val="28"/>
                <w:szCs w:val="28"/>
              </w:rPr>
              <w:t>[9]</w:t>
            </w:r>
            <w:r w:rsidR="00542259">
              <w:rPr>
                <w:rFonts w:hint="cs"/>
                <w:color w:val="333333"/>
                <w:sz w:val="28"/>
                <w:szCs w:val="28"/>
                <w:rtl/>
              </w:rPr>
              <w:t xml:space="preserve"> לדיון בביטוי זה ברטוריקה האשורית, ראו:</w:t>
            </w:r>
          </w:p>
          <w:p w14:paraId="000000FC" w14:textId="1E2AA196" w:rsidR="00542259" w:rsidRPr="00542259" w:rsidRDefault="00542259" w:rsidP="00542259">
            <w:pPr>
              <w:spacing w:line="276" w:lineRule="auto"/>
              <w:rPr>
                <w:color w:val="333333"/>
                <w:sz w:val="28"/>
                <w:szCs w:val="28"/>
              </w:rPr>
            </w:pPr>
            <w:r>
              <w:rPr>
                <w:rFonts w:ascii="Merriweather" w:eastAsia="Merriweather" w:hAnsi="Merriweather" w:cs="Merriweather"/>
                <w:color w:val="333333"/>
                <w:sz w:val="23"/>
                <w:szCs w:val="23"/>
              </w:rPr>
              <w:t>“Without Rival: The Royal Performance of Masculinity in Assyrian Royal Inscriptions and Palace Reliefs,” in Cynthia Chapman, </w:t>
            </w:r>
            <w:r>
              <w:rPr>
                <w:rFonts w:ascii="Merriweather" w:eastAsia="Merriweather" w:hAnsi="Merriweather" w:cs="Merriweather"/>
                <w:i/>
                <w:color w:val="333333"/>
                <w:sz w:val="23"/>
                <w:szCs w:val="23"/>
              </w:rPr>
              <w:t>The Gendered Language of Warfare in the Israelite-Assyrian Encounter</w:t>
            </w:r>
            <w:r>
              <w:rPr>
                <w:rFonts w:ascii="Merriweather" w:eastAsia="Merriweather" w:hAnsi="Merriweather" w:cs="Merriweather"/>
                <w:color w:val="333333"/>
                <w:sz w:val="23"/>
                <w:szCs w:val="23"/>
              </w:rPr>
              <w:t>, Harvard Semitic Monographs 62 (Leiden: Brill, 2004), 20–59.</w:t>
            </w:r>
          </w:p>
        </w:tc>
      </w:tr>
      <w:tr w:rsidR="004E732A" w14:paraId="0DA2BBB5" w14:textId="77777777">
        <w:tc>
          <w:tcPr>
            <w:tcW w:w="4675" w:type="dxa"/>
          </w:tcPr>
          <w:p w14:paraId="000000FD"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Luckenbill, </w:t>
            </w:r>
            <w:r>
              <w:rPr>
                <w:rFonts w:ascii="Merriweather" w:eastAsia="Merriweather" w:hAnsi="Merriweather" w:cs="Merriweather"/>
                <w:i/>
                <w:color w:val="333333"/>
                <w:sz w:val="23"/>
                <w:szCs w:val="23"/>
              </w:rPr>
              <w:t>Historical Records of Assyria from Sargon to the End</w:t>
            </w:r>
            <w:r>
              <w:rPr>
                <w:rFonts w:ascii="Merriweather" w:eastAsia="Merriweather" w:hAnsi="Merriweather" w:cs="Merriweather"/>
                <w:color w:val="333333"/>
                <w:sz w:val="23"/>
                <w:szCs w:val="23"/>
              </w:rPr>
              <w:t>, §§54, 104, 107; cf. </w:t>
            </w:r>
            <w:r>
              <w:rPr>
                <w:rFonts w:ascii="Merriweather" w:eastAsia="Merriweather" w:hAnsi="Merriweather" w:cs="Merriweather"/>
                <w:i/>
                <w:color w:val="333333"/>
                <w:sz w:val="23"/>
                <w:szCs w:val="23"/>
              </w:rPr>
              <w:t>Enuma elish</w:t>
            </w:r>
            <w:r>
              <w:rPr>
                <w:rFonts w:ascii="Merriweather" w:eastAsia="Merriweather" w:hAnsi="Merriweather" w:cs="Merriweather"/>
                <w:color w:val="333333"/>
                <w:sz w:val="23"/>
                <w:szCs w:val="23"/>
              </w:rPr>
              <w:t> VI 106.</w:t>
            </w:r>
          </w:p>
          <w:p w14:paraId="000000FE"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7D93BAB7" w14:textId="77777777" w:rsidR="004E732A" w:rsidRDefault="00542259">
            <w:pPr>
              <w:bidi/>
              <w:spacing w:line="276" w:lineRule="auto"/>
              <w:rPr>
                <w:color w:val="333333"/>
                <w:sz w:val="28"/>
                <w:szCs w:val="28"/>
                <w:rtl/>
              </w:rPr>
            </w:pPr>
            <w:r>
              <w:rPr>
                <w:rFonts w:hint="cs"/>
                <w:color w:val="333333"/>
                <w:sz w:val="28"/>
                <w:szCs w:val="28"/>
                <w:rtl/>
              </w:rPr>
              <w:t>[10] ראו:</w:t>
            </w:r>
          </w:p>
          <w:p w14:paraId="17F67461" w14:textId="77777777" w:rsidR="00542259" w:rsidRDefault="00542259" w:rsidP="00542259">
            <w:pPr>
              <w:bidi/>
              <w:spacing w:line="276"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Luckenbill, </w:t>
            </w:r>
            <w:r>
              <w:rPr>
                <w:rFonts w:ascii="Merriweather" w:eastAsia="Merriweather" w:hAnsi="Merriweather" w:cs="Merriweather"/>
                <w:i/>
                <w:color w:val="333333"/>
                <w:sz w:val="23"/>
                <w:szCs w:val="23"/>
              </w:rPr>
              <w:t>Historical Records of Assyria from Sargon to the End</w:t>
            </w:r>
            <w:r>
              <w:rPr>
                <w:rFonts w:ascii="Merriweather" w:eastAsia="Merriweather" w:hAnsi="Merriweather" w:cs="Merriweather"/>
                <w:color w:val="333333"/>
                <w:sz w:val="23"/>
                <w:szCs w:val="23"/>
              </w:rPr>
              <w:t>, §§54, 104, 107;</w:t>
            </w:r>
          </w:p>
          <w:p w14:paraId="000000FF" w14:textId="43C0C7C7" w:rsidR="00542259" w:rsidRPr="00542259" w:rsidRDefault="00542259" w:rsidP="00542259">
            <w:pPr>
              <w:bidi/>
              <w:spacing w:line="276" w:lineRule="auto"/>
              <w:rPr>
                <w:rFonts w:cstheme="minorBidi"/>
                <w:color w:val="333333"/>
                <w:sz w:val="28"/>
                <w:szCs w:val="28"/>
                <w:rtl/>
                <w:lang w:val="fr-FR"/>
              </w:rPr>
            </w:pPr>
            <w:r>
              <w:rPr>
                <w:rFonts w:ascii="Merriweather" w:eastAsia="Merriweather" w:hAnsi="Merriweather" w:cstheme="minorBidi" w:hint="cs"/>
                <w:color w:val="333333"/>
                <w:sz w:val="23"/>
                <w:szCs w:val="23"/>
                <w:rtl/>
                <w:lang w:val="fr-FR"/>
              </w:rPr>
              <w:t>השוו אנומה אליש, לוח שישי, 106.</w:t>
            </w:r>
          </w:p>
        </w:tc>
      </w:tr>
      <w:tr w:rsidR="004E732A" w14:paraId="3707B92A" w14:textId="77777777">
        <w:tc>
          <w:tcPr>
            <w:tcW w:w="4675" w:type="dxa"/>
          </w:tcPr>
          <w:p w14:paraId="00000100"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lastRenderedPageBreak/>
              <w:tab/>
              <w:t>Sargon II 7, lines 131 (Frame,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149)</w:t>
            </w:r>
          </w:p>
          <w:p w14:paraId="00000101" w14:textId="77777777" w:rsidR="004E732A" w:rsidRDefault="004E732A">
            <w:pPr>
              <w:shd w:val="clear" w:color="auto" w:fill="FFFFFF"/>
              <w:tabs>
                <w:tab w:val="left" w:pos="1620"/>
              </w:tabs>
              <w:spacing w:before="280" w:line="480" w:lineRule="auto"/>
              <w:ind w:left="720"/>
              <w:rPr>
                <w:rFonts w:ascii="Merriweather" w:eastAsia="Merriweather" w:hAnsi="Merriweather" w:cs="Merriweather"/>
                <w:color w:val="333333"/>
                <w:sz w:val="23"/>
                <w:szCs w:val="23"/>
              </w:rPr>
            </w:pPr>
          </w:p>
        </w:tc>
        <w:tc>
          <w:tcPr>
            <w:tcW w:w="4675" w:type="dxa"/>
          </w:tcPr>
          <w:p w14:paraId="12AF1E68" w14:textId="77777777" w:rsidR="00542259" w:rsidRDefault="00542259" w:rsidP="00542259">
            <w:pPr>
              <w:bidi/>
              <w:spacing w:line="276" w:lineRule="auto"/>
              <w:rPr>
                <w:color w:val="333333"/>
                <w:sz w:val="28"/>
                <w:szCs w:val="28"/>
              </w:rPr>
            </w:pPr>
            <w:r>
              <w:rPr>
                <w:rFonts w:hint="cs"/>
                <w:color w:val="333333"/>
                <w:sz w:val="28"/>
                <w:szCs w:val="28"/>
                <w:rtl/>
              </w:rPr>
              <w:t>[1] סרגון ב' 7 שורה 131.</w:t>
            </w:r>
          </w:p>
          <w:p w14:paraId="00000102" w14:textId="632E32DA" w:rsidR="00542259" w:rsidRDefault="00542259" w:rsidP="00542259">
            <w:pPr>
              <w:spacing w:line="276" w:lineRule="auto"/>
              <w:rPr>
                <w:color w:val="333333"/>
                <w:sz w:val="28"/>
                <w:szCs w:val="28"/>
              </w:rPr>
            </w:pPr>
            <w:r>
              <w:rPr>
                <w:rFonts w:ascii="Merriweather" w:eastAsia="Merriweather" w:hAnsi="Merriweather" w:cs="Merriweather"/>
                <w:color w:val="333333"/>
                <w:sz w:val="23"/>
                <w:szCs w:val="23"/>
              </w:rPr>
              <w:t>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149</w:t>
            </w:r>
            <w:r>
              <w:rPr>
                <w:color w:val="333333"/>
                <w:sz w:val="28"/>
                <w:szCs w:val="28"/>
              </w:rPr>
              <w:t>.</w:t>
            </w:r>
          </w:p>
        </w:tc>
      </w:tr>
      <w:tr w:rsidR="004E732A" w14:paraId="3E5752C1" w14:textId="77777777">
        <w:tc>
          <w:tcPr>
            <w:tcW w:w="4675" w:type="dxa"/>
          </w:tcPr>
          <w:p w14:paraId="00000103"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Sargon II 7, lines 121b–122 (Frame,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148).</w:t>
            </w:r>
          </w:p>
          <w:p w14:paraId="00000104"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7B70A116" w14:textId="77777777" w:rsidR="004E732A" w:rsidRDefault="00542259">
            <w:pPr>
              <w:bidi/>
              <w:spacing w:line="276" w:lineRule="auto"/>
              <w:rPr>
                <w:color w:val="333333"/>
                <w:sz w:val="28"/>
                <w:szCs w:val="28"/>
                <w:rtl/>
              </w:rPr>
            </w:pPr>
            <w:r>
              <w:rPr>
                <w:rFonts w:hint="cs"/>
                <w:color w:val="333333"/>
                <w:sz w:val="28"/>
                <w:szCs w:val="28"/>
                <w:rtl/>
              </w:rPr>
              <w:t>[12] סרגון ב' 7 שורות 121ב–122.</w:t>
            </w:r>
          </w:p>
          <w:p w14:paraId="00000105" w14:textId="1A9887DB" w:rsidR="00542259" w:rsidRDefault="00542259" w:rsidP="00542259">
            <w:pPr>
              <w:spacing w:line="276" w:lineRule="auto"/>
              <w:rPr>
                <w:color w:val="333333"/>
                <w:sz w:val="28"/>
                <w:szCs w:val="28"/>
              </w:rPr>
            </w:pPr>
            <w:r>
              <w:rPr>
                <w:rFonts w:ascii="Merriweather" w:eastAsia="Merriweather" w:hAnsi="Merriweather" w:cs="Merriweather"/>
                <w:color w:val="333333"/>
                <w:sz w:val="23"/>
                <w:szCs w:val="23"/>
              </w:rPr>
              <w:t>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148</w:t>
            </w:r>
            <w:r>
              <w:rPr>
                <w:color w:val="333333"/>
                <w:sz w:val="28"/>
                <w:szCs w:val="28"/>
              </w:rPr>
              <w:t>.</w:t>
            </w:r>
          </w:p>
        </w:tc>
      </w:tr>
      <w:tr w:rsidR="004E732A" w14:paraId="370E8F6E" w14:textId="77777777">
        <w:tc>
          <w:tcPr>
            <w:tcW w:w="4675" w:type="dxa"/>
          </w:tcPr>
          <w:p w14:paraId="00000106"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Sennacherib 22, col. vi, lines 2–12 (A. Kirk Grayson and Jamie Novotny, </w:t>
            </w:r>
            <w:r>
              <w:rPr>
                <w:rFonts w:ascii="Merriweather" w:eastAsia="Merriweather" w:hAnsi="Merriweather" w:cs="Merriweather"/>
                <w:i/>
                <w:color w:val="333333"/>
                <w:sz w:val="23"/>
                <w:szCs w:val="23"/>
              </w:rPr>
              <w:t>The Royal Inscriptions of Sennacherib, King of Assyria [704–681 BC]</w:t>
            </w:r>
            <w:r>
              <w:rPr>
                <w:rFonts w:ascii="Merriweather" w:eastAsia="Merriweather" w:hAnsi="Merriweather" w:cs="Merriweather"/>
                <w:color w:val="333333"/>
                <w:sz w:val="23"/>
                <w:szCs w:val="23"/>
              </w:rPr>
              <w:t>, Part 1, RINAP 3/1, [Winona Lake, IN: Eisenbrauns, 2012], 183).</w:t>
            </w:r>
          </w:p>
          <w:p w14:paraId="00000107"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3ADDFCEE" w14:textId="77777777" w:rsidR="004E732A" w:rsidRDefault="00542259">
            <w:pPr>
              <w:bidi/>
              <w:spacing w:line="276" w:lineRule="auto"/>
              <w:rPr>
                <w:color w:val="333333"/>
                <w:sz w:val="28"/>
                <w:szCs w:val="28"/>
                <w:rtl/>
              </w:rPr>
            </w:pPr>
            <w:r>
              <w:rPr>
                <w:rFonts w:hint="cs"/>
                <w:color w:val="333333"/>
                <w:sz w:val="28"/>
                <w:szCs w:val="28"/>
                <w:rtl/>
              </w:rPr>
              <w:t>[13] סנחריב 22 עמודה 6 שורות 2–12.</w:t>
            </w:r>
          </w:p>
          <w:p w14:paraId="00000108" w14:textId="2B760D3C" w:rsidR="00542259" w:rsidRDefault="00542259" w:rsidP="00542259">
            <w:pPr>
              <w:spacing w:line="276" w:lineRule="auto"/>
              <w:rPr>
                <w:color w:val="333333"/>
                <w:sz w:val="28"/>
                <w:szCs w:val="28"/>
              </w:rPr>
            </w:pPr>
            <w:r>
              <w:rPr>
                <w:rFonts w:ascii="Merriweather" w:eastAsia="Merriweather" w:hAnsi="Merriweather" w:cs="Merriweather"/>
                <w:color w:val="333333"/>
                <w:sz w:val="23"/>
                <w:szCs w:val="23"/>
              </w:rPr>
              <w:t>A. Kirk Grayson and Jamie Novotny, </w:t>
            </w:r>
            <w:r>
              <w:rPr>
                <w:rFonts w:ascii="Merriweather" w:eastAsia="Merriweather" w:hAnsi="Merriweather" w:cs="Merriweather"/>
                <w:i/>
                <w:color w:val="333333"/>
                <w:sz w:val="23"/>
                <w:szCs w:val="23"/>
              </w:rPr>
              <w:t>The Royal Inscriptions of Sennacherib, King of Assyria [704–681 BC]</w:t>
            </w:r>
            <w:r>
              <w:rPr>
                <w:rFonts w:ascii="Merriweather" w:eastAsia="Merriweather" w:hAnsi="Merriweather" w:cs="Merriweather"/>
                <w:color w:val="333333"/>
                <w:sz w:val="23"/>
                <w:szCs w:val="23"/>
              </w:rPr>
              <w:t>, Part 1, RINAP 3/1, [Winona Lake, IN: Eisenbrauns, 2012], 183).</w:t>
            </w:r>
          </w:p>
        </w:tc>
      </w:tr>
      <w:tr w:rsidR="004E732A" w14:paraId="44A13638" w14:textId="77777777">
        <w:tc>
          <w:tcPr>
            <w:tcW w:w="4675" w:type="dxa"/>
          </w:tcPr>
          <w:p w14:paraId="00000109"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Sennacherib 22, col. v, lines 17–19 (Grayson and Novotny, </w:t>
            </w:r>
            <w:r>
              <w:rPr>
                <w:rFonts w:ascii="Merriweather" w:eastAsia="Merriweather" w:hAnsi="Merriweather" w:cs="Merriweather"/>
                <w:i/>
                <w:color w:val="333333"/>
                <w:sz w:val="23"/>
                <w:szCs w:val="23"/>
              </w:rPr>
              <w:t xml:space="preserve">Royal Inscriptions of Sennacherib, King </w:t>
            </w:r>
            <w:r>
              <w:rPr>
                <w:rFonts w:ascii="Merriweather" w:eastAsia="Merriweather" w:hAnsi="Merriweather" w:cs="Merriweather"/>
                <w:i/>
                <w:color w:val="333333"/>
                <w:sz w:val="23"/>
                <w:szCs w:val="23"/>
              </w:rPr>
              <w:lastRenderedPageBreak/>
              <w:t>of Assyria [704–681 BC]</w:t>
            </w:r>
            <w:r>
              <w:rPr>
                <w:rFonts w:ascii="Merriweather" w:eastAsia="Merriweather" w:hAnsi="Merriweather" w:cs="Merriweather"/>
                <w:color w:val="333333"/>
                <w:sz w:val="23"/>
                <w:szCs w:val="23"/>
              </w:rPr>
              <w:t>, Part 1, 181).</w:t>
            </w:r>
          </w:p>
          <w:p w14:paraId="0000010A"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136A54B3" w14:textId="77777777" w:rsidR="004E732A" w:rsidRDefault="00542259">
            <w:pPr>
              <w:bidi/>
              <w:spacing w:line="276" w:lineRule="auto"/>
              <w:rPr>
                <w:color w:val="333333"/>
                <w:sz w:val="28"/>
                <w:szCs w:val="28"/>
                <w:rtl/>
              </w:rPr>
            </w:pPr>
            <w:r>
              <w:rPr>
                <w:rFonts w:hint="cs"/>
                <w:color w:val="333333"/>
                <w:sz w:val="28"/>
                <w:szCs w:val="28"/>
                <w:rtl/>
              </w:rPr>
              <w:lastRenderedPageBreak/>
              <w:t>[14] סנחריב 22 עמודה 5 שורות 17–19.</w:t>
            </w:r>
          </w:p>
          <w:p w14:paraId="0000010B" w14:textId="12526D07" w:rsidR="00542259" w:rsidRDefault="00542259" w:rsidP="00542259">
            <w:pPr>
              <w:spacing w:line="276" w:lineRule="auto"/>
              <w:rPr>
                <w:color w:val="333333"/>
                <w:sz w:val="28"/>
                <w:szCs w:val="28"/>
              </w:rPr>
            </w:pPr>
            <w:r>
              <w:rPr>
                <w:rFonts w:ascii="Merriweather" w:eastAsia="Merriweather" w:hAnsi="Merriweather" w:cs="Merriweather"/>
                <w:color w:val="333333"/>
                <w:sz w:val="23"/>
                <w:szCs w:val="23"/>
              </w:rPr>
              <w:t>Grayson and Novotny, </w:t>
            </w:r>
            <w:r>
              <w:rPr>
                <w:rFonts w:ascii="Merriweather" w:eastAsia="Merriweather" w:hAnsi="Merriweather" w:cs="Merriweather"/>
                <w:i/>
                <w:color w:val="333333"/>
                <w:sz w:val="23"/>
                <w:szCs w:val="23"/>
              </w:rPr>
              <w:t>Royal Inscriptions of Sennacherib, King of Assyria [704–681 BC]</w:t>
            </w:r>
            <w:r>
              <w:rPr>
                <w:rFonts w:ascii="Merriweather" w:eastAsia="Merriweather" w:hAnsi="Merriweather" w:cs="Merriweather"/>
                <w:color w:val="333333"/>
                <w:sz w:val="23"/>
                <w:szCs w:val="23"/>
              </w:rPr>
              <w:t>, Part 1, 181</w:t>
            </w:r>
            <w:r>
              <w:rPr>
                <w:color w:val="333333"/>
                <w:sz w:val="28"/>
                <w:szCs w:val="28"/>
              </w:rPr>
              <w:t>.</w:t>
            </w:r>
          </w:p>
        </w:tc>
      </w:tr>
      <w:tr w:rsidR="004E732A" w14:paraId="77A9D237" w14:textId="77777777">
        <w:tc>
          <w:tcPr>
            <w:tcW w:w="4675" w:type="dxa"/>
          </w:tcPr>
          <w:p w14:paraId="0000010C"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Sennacherib 22, col. v, line 29 and Sennacherib 23, col. v, line 21 (Grayson and Novotny, </w:t>
            </w:r>
            <w:r>
              <w:rPr>
                <w:rFonts w:ascii="Merriweather" w:eastAsia="Merriweather" w:hAnsi="Merriweather" w:cs="Merriweather"/>
                <w:i/>
                <w:color w:val="333333"/>
                <w:sz w:val="23"/>
                <w:szCs w:val="23"/>
              </w:rPr>
              <w:t>Royal Inscriptions of Sennacherib, King of Assyria [704–681 BC]</w:t>
            </w:r>
            <w:r>
              <w:rPr>
                <w:rFonts w:ascii="Merriweather" w:eastAsia="Merriweather" w:hAnsi="Merriweather" w:cs="Merriweather"/>
                <w:color w:val="333333"/>
                <w:sz w:val="23"/>
                <w:szCs w:val="23"/>
              </w:rPr>
              <w:t>, Part 1, 181 and 198).</w:t>
            </w:r>
          </w:p>
          <w:p w14:paraId="0000010D"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5BE192E6" w14:textId="77777777" w:rsidR="004E732A" w:rsidRDefault="00542259">
            <w:pPr>
              <w:bidi/>
              <w:spacing w:line="276" w:lineRule="auto"/>
              <w:rPr>
                <w:color w:val="333333"/>
                <w:sz w:val="28"/>
                <w:szCs w:val="28"/>
                <w:rtl/>
              </w:rPr>
            </w:pPr>
            <w:r>
              <w:rPr>
                <w:rFonts w:hint="cs"/>
                <w:color w:val="333333"/>
                <w:sz w:val="28"/>
                <w:szCs w:val="28"/>
                <w:rtl/>
              </w:rPr>
              <w:t>[15] סנחריב 22 עמודה 5 שורה 29, וסנחריב 23 עמודה 5 שורה 21.</w:t>
            </w:r>
          </w:p>
          <w:p w14:paraId="0000010E" w14:textId="0FD00A27" w:rsidR="00542259" w:rsidRDefault="00542259" w:rsidP="00542259">
            <w:pPr>
              <w:spacing w:line="276" w:lineRule="auto"/>
              <w:rPr>
                <w:color w:val="333333"/>
                <w:sz w:val="28"/>
                <w:szCs w:val="28"/>
              </w:rPr>
            </w:pPr>
            <w:r>
              <w:rPr>
                <w:rFonts w:ascii="Merriweather" w:eastAsia="Merriweather" w:hAnsi="Merriweather" w:cs="Merriweather"/>
                <w:color w:val="333333"/>
                <w:sz w:val="23"/>
                <w:szCs w:val="23"/>
              </w:rPr>
              <w:t>Grayson and Novotny, </w:t>
            </w:r>
            <w:r>
              <w:rPr>
                <w:rFonts w:ascii="Merriweather" w:eastAsia="Merriweather" w:hAnsi="Merriweather" w:cs="Merriweather"/>
                <w:i/>
                <w:color w:val="333333"/>
                <w:sz w:val="23"/>
                <w:szCs w:val="23"/>
              </w:rPr>
              <w:t>Royal Inscriptions of Sennacherib, King of Assyria [704–681 BC]</w:t>
            </w:r>
            <w:r>
              <w:rPr>
                <w:rFonts w:ascii="Merriweather" w:eastAsia="Merriweather" w:hAnsi="Merriweather" w:cs="Merriweather"/>
                <w:color w:val="333333"/>
                <w:sz w:val="23"/>
                <w:szCs w:val="23"/>
              </w:rPr>
              <w:t>, Part 1, 181 and 198</w:t>
            </w:r>
          </w:p>
        </w:tc>
      </w:tr>
      <w:tr w:rsidR="004E732A" w14:paraId="48F279F2" w14:textId="77777777">
        <w:tc>
          <w:tcPr>
            <w:tcW w:w="4675" w:type="dxa"/>
          </w:tcPr>
          <w:p w14:paraId="0000010F"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ab/>
              <w:t>Sennacherib 22, col. v, lines 76–77 (Grayson and Novotny, </w:t>
            </w:r>
            <w:r>
              <w:rPr>
                <w:rFonts w:ascii="Merriweather" w:eastAsia="Merriweather" w:hAnsi="Merriweather" w:cs="Merriweather"/>
                <w:i/>
                <w:color w:val="333333"/>
                <w:sz w:val="23"/>
                <w:szCs w:val="23"/>
              </w:rPr>
              <w:t>Royal Inscriptions of Sennacherib, King of Assyria [704–681 BC]</w:t>
            </w:r>
            <w:r>
              <w:rPr>
                <w:rFonts w:ascii="Merriweather" w:eastAsia="Merriweather" w:hAnsi="Merriweather" w:cs="Merriweather"/>
                <w:color w:val="333333"/>
                <w:sz w:val="23"/>
                <w:szCs w:val="23"/>
              </w:rPr>
              <w:t>, Part 1, 183).</w:t>
            </w:r>
          </w:p>
          <w:p w14:paraId="00000110" w14:textId="77777777" w:rsidR="004E732A" w:rsidRDefault="004E732A">
            <w:pPr>
              <w:shd w:val="clear" w:color="auto" w:fill="FFFFFF"/>
              <w:tabs>
                <w:tab w:val="left" w:pos="1215"/>
              </w:tabs>
              <w:spacing w:before="280" w:line="480" w:lineRule="auto"/>
              <w:ind w:left="720"/>
              <w:rPr>
                <w:rFonts w:ascii="Merriweather" w:eastAsia="Merriweather" w:hAnsi="Merriweather" w:cs="Merriweather"/>
                <w:color w:val="333333"/>
                <w:sz w:val="23"/>
                <w:szCs w:val="23"/>
              </w:rPr>
            </w:pPr>
          </w:p>
        </w:tc>
        <w:tc>
          <w:tcPr>
            <w:tcW w:w="4675" w:type="dxa"/>
          </w:tcPr>
          <w:p w14:paraId="2551A2B9" w14:textId="77777777" w:rsidR="004E732A" w:rsidRDefault="00542259">
            <w:pPr>
              <w:bidi/>
              <w:spacing w:line="276" w:lineRule="auto"/>
              <w:rPr>
                <w:color w:val="333333"/>
                <w:sz w:val="28"/>
                <w:szCs w:val="28"/>
                <w:rtl/>
              </w:rPr>
            </w:pPr>
            <w:r>
              <w:rPr>
                <w:rFonts w:hint="cs"/>
                <w:color w:val="333333"/>
                <w:sz w:val="28"/>
                <w:szCs w:val="28"/>
                <w:rtl/>
              </w:rPr>
              <w:t>[16] סנחריב 22 עמודה 5 שורות 76–77.</w:t>
            </w:r>
          </w:p>
          <w:p w14:paraId="00000111" w14:textId="2CDC4E64" w:rsidR="00542259" w:rsidRDefault="00542259" w:rsidP="00542259">
            <w:pPr>
              <w:spacing w:line="276" w:lineRule="auto"/>
              <w:rPr>
                <w:color w:val="333333"/>
                <w:sz w:val="28"/>
                <w:szCs w:val="28"/>
              </w:rPr>
            </w:pPr>
            <w:r>
              <w:rPr>
                <w:rFonts w:ascii="Merriweather" w:eastAsia="Merriweather" w:hAnsi="Merriweather" w:cs="Merriweather"/>
                <w:color w:val="333333"/>
                <w:sz w:val="23"/>
                <w:szCs w:val="23"/>
              </w:rPr>
              <w:t>Grayson and Novotny, </w:t>
            </w:r>
            <w:r>
              <w:rPr>
                <w:rFonts w:ascii="Merriweather" w:eastAsia="Merriweather" w:hAnsi="Merriweather" w:cs="Merriweather"/>
                <w:i/>
                <w:color w:val="333333"/>
                <w:sz w:val="23"/>
                <w:szCs w:val="23"/>
              </w:rPr>
              <w:t>Royal Inscriptions of Sennacherib, King of Assyria [704–681 BC]</w:t>
            </w:r>
            <w:r>
              <w:rPr>
                <w:rFonts w:ascii="Merriweather" w:eastAsia="Merriweather" w:hAnsi="Merriweather" w:cs="Merriweather"/>
                <w:color w:val="333333"/>
                <w:sz w:val="23"/>
                <w:szCs w:val="23"/>
              </w:rPr>
              <w:t>, Part 1, 183</w:t>
            </w:r>
          </w:p>
        </w:tc>
      </w:tr>
      <w:tr w:rsidR="004E732A" w14:paraId="193D1D65" w14:textId="77777777">
        <w:tc>
          <w:tcPr>
            <w:tcW w:w="4675" w:type="dxa"/>
          </w:tcPr>
          <w:p w14:paraId="00000112" w14:textId="77777777" w:rsidR="004E732A" w:rsidRDefault="00000000">
            <w:pPr>
              <w:numPr>
                <w:ilvl w:val="0"/>
                <w:numId w:val="1"/>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D. D. Luckenbill, </w:t>
            </w:r>
            <w:r>
              <w:rPr>
                <w:rFonts w:ascii="Merriweather" w:eastAsia="Merriweather" w:hAnsi="Merriweather" w:cs="Merriweather"/>
                <w:i/>
                <w:color w:val="333333"/>
                <w:sz w:val="23"/>
                <w:szCs w:val="23"/>
              </w:rPr>
              <w:t>The Annals of Sennacherib</w:t>
            </w:r>
            <w:r>
              <w:rPr>
                <w:rFonts w:ascii="Merriweather" w:eastAsia="Merriweather" w:hAnsi="Merriweather" w:cs="Merriweather"/>
                <w:color w:val="333333"/>
                <w:sz w:val="23"/>
                <w:szCs w:val="23"/>
              </w:rPr>
              <w:t xml:space="preserve">, OIP 2 (Chicago, IL: University of Chicago Press, </w:t>
            </w:r>
            <w:r>
              <w:rPr>
                <w:rFonts w:ascii="Merriweather" w:eastAsia="Merriweather" w:hAnsi="Merriweather" w:cs="Merriweather"/>
                <w:color w:val="333333"/>
                <w:sz w:val="23"/>
                <w:szCs w:val="23"/>
              </w:rPr>
              <w:lastRenderedPageBreak/>
              <w:t>1924), 23:4–5, 7–9; 48:2–3; 55:2–3; 66:1–2.</w:t>
            </w:r>
          </w:p>
          <w:p w14:paraId="00000113"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3407D750" w14:textId="77777777" w:rsidR="004E732A" w:rsidRDefault="00542259">
            <w:pPr>
              <w:bidi/>
              <w:spacing w:line="276" w:lineRule="auto"/>
              <w:rPr>
                <w:color w:val="333333"/>
                <w:sz w:val="28"/>
                <w:szCs w:val="28"/>
                <w:rtl/>
              </w:rPr>
            </w:pPr>
            <w:r>
              <w:rPr>
                <w:rFonts w:hint="cs"/>
                <w:color w:val="333333"/>
                <w:sz w:val="28"/>
                <w:szCs w:val="28"/>
                <w:rtl/>
              </w:rPr>
              <w:lastRenderedPageBreak/>
              <w:t>[17] ראו:</w:t>
            </w:r>
          </w:p>
          <w:p w14:paraId="53073851" w14:textId="77777777" w:rsidR="00542259" w:rsidRDefault="00542259" w:rsidP="00542259">
            <w:p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D. D. Luckenbill, </w:t>
            </w:r>
            <w:r>
              <w:rPr>
                <w:rFonts w:ascii="Merriweather" w:eastAsia="Merriweather" w:hAnsi="Merriweather" w:cs="Merriweather"/>
                <w:i/>
                <w:color w:val="333333"/>
                <w:sz w:val="23"/>
                <w:szCs w:val="23"/>
              </w:rPr>
              <w:t>The Annals of Sennacherib</w:t>
            </w:r>
            <w:r>
              <w:rPr>
                <w:rFonts w:ascii="Merriweather" w:eastAsia="Merriweather" w:hAnsi="Merriweather" w:cs="Merriweather"/>
                <w:color w:val="333333"/>
                <w:sz w:val="23"/>
                <w:szCs w:val="23"/>
              </w:rPr>
              <w:t xml:space="preserve">, OIP 2 (Chicago, IL: </w:t>
            </w:r>
            <w:r>
              <w:rPr>
                <w:rFonts w:ascii="Merriweather" w:eastAsia="Merriweather" w:hAnsi="Merriweather" w:cs="Merriweather"/>
                <w:color w:val="333333"/>
                <w:sz w:val="23"/>
                <w:szCs w:val="23"/>
              </w:rPr>
              <w:lastRenderedPageBreak/>
              <w:t>University of Chicago Press, 1924), 23:4–5, 7–9; 48:2–3; 55:2–3; 66:1–2.</w:t>
            </w:r>
          </w:p>
          <w:p w14:paraId="00000114" w14:textId="3159DAA2" w:rsidR="00542259" w:rsidRPr="00542259" w:rsidRDefault="00542259" w:rsidP="00542259">
            <w:pPr>
              <w:bidi/>
              <w:spacing w:line="276" w:lineRule="auto"/>
              <w:rPr>
                <w:color w:val="333333"/>
                <w:sz w:val="28"/>
                <w:szCs w:val="28"/>
              </w:rPr>
            </w:pPr>
          </w:p>
        </w:tc>
      </w:tr>
      <w:tr w:rsidR="004E732A" w14:paraId="7D8EC52D" w14:textId="77777777">
        <w:tc>
          <w:tcPr>
            <w:tcW w:w="4675" w:type="dxa"/>
          </w:tcPr>
          <w:p w14:paraId="00000115" w14:textId="77777777" w:rsidR="004E732A" w:rsidRDefault="00000000" w:rsidP="00542259">
            <w:pPr>
              <w:numPr>
                <w:ilvl w:val="0"/>
                <w:numId w:val="2"/>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lastRenderedPageBreak/>
              <w:t>Luckenbill, </w:t>
            </w:r>
            <w:r>
              <w:rPr>
                <w:rFonts w:ascii="Merriweather" w:eastAsia="Merriweather" w:hAnsi="Merriweather" w:cs="Merriweather"/>
                <w:i/>
                <w:color w:val="333333"/>
                <w:sz w:val="23"/>
                <w:szCs w:val="23"/>
              </w:rPr>
              <w:t>Historical Records of Assyria from Sargon to the End</w:t>
            </w:r>
            <w:r>
              <w:rPr>
                <w:rFonts w:ascii="Merriweather" w:eastAsia="Merriweather" w:hAnsi="Merriweather" w:cs="Merriweather"/>
                <w:color w:val="333333"/>
                <w:sz w:val="23"/>
                <w:szCs w:val="23"/>
              </w:rPr>
              <w:t>, §6. For the Akkadian text, see Sargon II 1, lines 66–68a (Frame,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58). Akkadian </w:t>
            </w:r>
            <w:r>
              <w:rPr>
                <w:rFonts w:ascii="Cambria" w:eastAsia="Cambria" w:hAnsi="Cambria" w:cs="Cambria"/>
                <w:i/>
                <w:color w:val="333333"/>
                <w:sz w:val="23"/>
                <w:szCs w:val="23"/>
              </w:rPr>
              <w:t>ḫ</w:t>
            </w:r>
            <w:sdt>
              <w:sdtPr>
                <w:tag w:val="goog_rdk_35"/>
                <w:id w:val="-1321576612"/>
              </w:sdtPr>
              <w:sdtContent>
                <w:r>
                  <w:rPr>
                    <w:rFonts w:ascii="Andika" w:eastAsia="Andika" w:hAnsi="Andika" w:cs="Andika"/>
                    <w:i/>
                    <w:color w:val="333333"/>
                    <w:sz w:val="23"/>
                    <w:szCs w:val="23"/>
                  </w:rPr>
                  <w:t>iṭṭi i</w:t>
                </w:r>
              </w:sdtContent>
            </w:sdt>
            <w:r>
              <w:rPr>
                <w:rFonts w:ascii="Cambria" w:eastAsia="Cambria" w:hAnsi="Cambria" w:cs="Cambria"/>
                <w:i/>
                <w:color w:val="333333"/>
                <w:sz w:val="23"/>
                <w:szCs w:val="23"/>
              </w:rPr>
              <w:t>ḫ</w:t>
            </w:r>
            <w:sdt>
              <w:sdtPr>
                <w:tag w:val="goog_rdk_36"/>
                <w:id w:val="-1059547354"/>
              </w:sdtPr>
              <w:sdtContent>
                <w:r>
                  <w:rPr>
                    <w:rFonts w:ascii="Andika" w:eastAsia="Andika" w:hAnsi="Andika" w:cs="Andika"/>
                    <w:i/>
                    <w:color w:val="333333"/>
                    <w:sz w:val="23"/>
                    <w:szCs w:val="23"/>
                  </w:rPr>
                  <w:t>ṭû</w:t>
                </w:r>
              </w:sdtContent>
            </w:sdt>
            <w:r>
              <w:rPr>
                <w:rFonts w:ascii="Merriweather" w:eastAsia="Merriweather" w:hAnsi="Merriweather" w:cs="Merriweather"/>
                <w:color w:val="333333"/>
                <w:sz w:val="23"/>
                <w:szCs w:val="23"/>
              </w:rPr>
              <w:t>, from the root </w:t>
            </w:r>
            <w:r>
              <w:rPr>
                <w:rFonts w:ascii="Cambria" w:eastAsia="Cambria" w:hAnsi="Cambria" w:cs="Cambria"/>
                <w:i/>
                <w:color w:val="333333"/>
                <w:sz w:val="23"/>
                <w:szCs w:val="23"/>
              </w:rPr>
              <w:t>ḫ</w:t>
            </w:r>
            <w:sdt>
              <w:sdtPr>
                <w:tag w:val="goog_rdk_37"/>
                <w:id w:val="-81452132"/>
              </w:sdtPr>
              <w:sdtContent>
                <w:r>
                  <w:rPr>
                    <w:rFonts w:ascii="Andika" w:eastAsia="Andika" w:hAnsi="Andika" w:cs="Andika"/>
                    <w:i/>
                    <w:color w:val="333333"/>
                    <w:sz w:val="23"/>
                    <w:szCs w:val="23"/>
                  </w:rPr>
                  <w:t>.ṭ.</w:t>
                </w:r>
              </w:sdtContent>
            </w:sdt>
            <w:r>
              <w:rPr>
                <w:rFonts w:ascii="Times New Roman" w:eastAsia="Times New Roman" w:hAnsi="Times New Roman" w:cs="Times New Roman"/>
                <w:i/>
                <w:color w:val="333333"/>
                <w:sz w:val="23"/>
                <w:szCs w:val="23"/>
              </w:rPr>
              <w:t>ʾ</w:t>
            </w:r>
            <w:r>
              <w:rPr>
                <w:rFonts w:ascii="Merriweather" w:eastAsia="Merriweather" w:hAnsi="Merriweather" w:cs="Merriweather"/>
                <w:color w:val="333333"/>
                <w:sz w:val="23"/>
                <w:szCs w:val="23"/>
              </w:rPr>
              <w:t>, can refer to making a mistake or committing a sin (</w:t>
            </w:r>
            <w:r>
              <w:rPr>
                <w:rFonts w:ascii="Merriweather" w:eastAsia="Merriweather" w:hAnsi="Merriweather" w:cs="Merriweather"/>
                <w:i/>
                <w:color w:val="333333"/>
                <w:sz w:val="23"/>
                <w:szCs w:val="23"/>
              </w:rPr>
              <w:t xml:space="preserve">CAD </w:t>
            </w:r>
            <w:r>
              <w:rPr>
                <w:rFonts w:ascii="Cambria" w:eastAsia="Cambria" w:hAnsi="Cambria" w:cs="Cambria"/>
                <w:i/>
                <w:color w:val="333333"/>
                <w:sz w:val="23"/>
                <w:szCs w:val="23"/>
              </w:rPr>
              <w:t>Ḫ</w:t>
            </w:r>
            <w:r>
              <w:rPr>
                <w:rFonts w:ascii="Merriweather" w:eastAsia="Merriweather" w:hAnsi="Merriweather" w:cs="Merriweather"/>
                <w:color w:val="333333"/>
                <w:sz w:val="23"/>
                <w:szCs w:val="23"/>
              </w:rPr>
              <w:t>, s.v.</w:t>
            </w:r>
            <w:r>
              <w:rPr>
                <w:rFonts w:ascii="Merriweather" w:eastAsia="Merriweather" w:hAnsi="Merriweather" w:cs="Merriweather"/>
                <w:i/>
                <w:color w:val="333333"/>
                <w:sz w:val="23"/>
                <w:szCs w:val="23"/>
              </w:rPr>
              <w:t> </w:t>
            </w:r>
            <w:r>
              <w:rPr>
                <w:rFonts w:ascii="Cambria" w:eastAsia="Cambria" w:hAnsi="Cambria" w:cs="Cambria"/>
                <w:i/>
                <w:color w:val="333333"/>
                <w:sz w:val="23"/>
                <w:szCs w:val="23"/>
              </w:rPr>
              <w:t>ḫ</w:t>
            </w:r>
            <w:sdt>
              <w:sdtPr>
                <w:tag w:val="goog_rdk_38"/>
                <w:id w:val="1641839059"/>
              </w:sdtPr>
              <w:sdtContent>
                <w:r>
                  <w:rPr>
                    <w:rFonts w:ascii="Andika" w:eastAsia="Andika" w:hAnsi="Andika" w:cs="Andika"/>
                    <w:i/>
                    <w:color w:val="333333"/>
                    <w:sz w:val="23"/>
                    <w:szCs w:val="23"/>
                  </w:rPr>
                  <w:t>aṭû</w:t>
                </w:r>
              </w:sdtContent>
            </w:sdt>
            <w:r>
              <w:rPr>
                <w:rFonts w:ascii="Merriweather" w:eastAsia="Merriweather" w:hAnsi="Merriweather" w:cs="Merriweather"/>
                <w:color w:val="333333"/>
                <w:sz w:val="23"/>
                <w:szCs w:val="23"/>
              </w:rPr>
              <w:t xml:space="preserve">, 6:156). The root is cognate with Hebrew </w:t>
            </w:r>
            <w:sdt>
              <w:sdtPr>
                <w:tag w:val="goog_rdk_39"/>
                <w:id w:val="-593619527"/>
              </w:sdtPr>
              <w:sdtContent>
                <w:r>
                  <w:rPr>
                    <w:rFonts w:ascii="Arial" w:eastAsia="Arial" w:hAnsi="Arial" w:cs="Arial"/>
                    <w:color w:val="333333"/>
                    <w:sz w:val="23"/>
                    <w:szCs w:val="23"/>
                    <w:rtl/>
                  </w:rPr>
                  <w:t>ח</w:t>
                </w:r>
              </w:sdtContent>
            </w:sdt>
            <w:r>
              <w:rPr>
                <w:rFonts w:ascii="Merriweather" w:eastAsia="Merriweather" w:hAnsi="Merriweather" w:cs="Merriweather"/>
                <w:color w:val="333333"/>
                <w:sz w:val="23"/>
                <w:szCs w:val="23"/>
                <w:rtl/>
              </w:rPr>
              <w:t>.</w:t>
            </w:r>
            <w:sdt>
              <w:sdtPr>
                <w:tag w:val="goog_rdk_40"/>
                <w:id w:val="-1400900768"/>
              </w:sdtPr>
              <w:sdtContent>
                <w:r>
                  <w:rPr>
                    <w:rFonts w:ascii="Arial" w:eastAsia="Arial" w:hAnsi="Arial" w:cs="Arial"/>
                    <w:color w:val="333333"/>
                    <w:sz w:val="23"/>
                    <w:szCs w:val="23"/>
                    <w:rtl/>
                  </w:rPr>
                  <w:t>ט</w:t>
                </w:r>
              </w:sdtContent>
            </w:sdt>
            <w:r>
              <w:rPr>
                <w:rFonts w:ascii="Merriweather" w:eastAsia="Merriweather" w:hAnsi="Merriweather" w:cs="Merriweather"/>
                <w:color w:val="333333"/>
                <w:sz w:val="23"/>
                <w:szCs w:val="23"/>
                <w:rtl/>
              </w:rPr>
              <w:t>.</w:t>
            </w:r>
            <w:sdt>
              <w:sdtPr>
                <w:tag w:val="goog_rdk_41"/>
                <w:id w:val="667989824"/>
              </w:sdtPr>
              <w:sdtContent>
                <w:r>
                  <w:rPr>
                    <w:rFonts w:ascii="Arial" w:eastAsia="Arial" w:hAnsi="Arial" w:cs="Arial"/>
                    <w:color w:val="333333"/>
                    <w:sz w:val="23"/>
                    <w:szCs w:val="23"/>
                    <w:rtl/>
                  </w:rPr>
                  <w:t>א</w:t>
                </w:r>
              </w:sdtContent>
            </w:sdt>
            <w:r>
              <w:rPr>
                <w:rFonts w:ascii="Merriweather" w:eastAsia="Merriweather" w:hAnsi="Merriweather" w:cs="Merriweather"/>
                <w:color w:val="333333"/>
                <w:sz w:val="23"/>
                <w:szCs w:val="23"/>
              </w:rPr>
              <w:t>, which carries a similar range of senses.</w:t>
            </w:r>
          </w:p>
          <w:p w14:paraId="00000116"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00000117" w14:textId="77777777" w:rsidR="004E732A" w:rsidRDefault="00000000">
            <w:pPr>
              <w:bidi/>
              <w:spacing w:line="276" w:lineRule="auto"/>
              <w:rPr>
                <w:color w:val="333333"/>
                <w:sz w:val="28"/>
                <w:szCs w:val="28"/>
              </w:rPr>
            </w:pPr>
            <w:r>
              <w:rPr>
                <w:color w:val="333333"/>
                <w:sz w:val="28"/>
                <w:szCs w:val="28"/>
                <w:rtl/>
              </w:rPr>
              <w:t>[18] ראו:</w:t>
            </w:r>
          </w:p>
          <w:p w14:paraId="00000118" w14:textId="77777777" w:rsidR="004E732A" w:rsidRDefault="00000000">
            <w:p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Luckenbill, </w:t>
            </w:r>
            <w:r>
              <w:rPr>
                <w:rFonts w:ascii="Merriweather" w:eastAsia="Merriweather" w:hAnsi="Merriweather" w:cs="Merriweather"/>
                <w:i/>
                <w:color w:val="333333"/>
                <w:sz w:val="23"/>
                <w:szCs w:val="23"/>
              </w:rPr>
              <w:t>Historical Records of Assyria from Sargon to the End</w:t>
            </w:r>
            <w:r>
              <w:rPr>
                <w:rFonts w:ascii="Merriweather" w:eastAsia="Merriweather" w:hAnsi="Merriweather" w:cs="Merriweather"/>
                <w:color w:val="333333"/>
                <w:sz w:val="23"/>
                <w:szCs w:val="23"/>
              </w:rPr>
              <w:t>, §6.</w:t>
            </w:r>
          </w:p>
          <w:p w14:paraId="14206EFD" w14:textId="77777777" w:rsidR="004E732A" w:rsidRPr="00252887" w:rsidRDefault="00000000" w:rsidP="00542259">
            <w:pPr>
              <w:shd w:val="clear" w:color="auto" w:fill="FFFFFF"/>
              <w:bidi/>
              <w:spacing w:line="480" w:lineRule="auto"/>
              <w:rPr>
                <w:color w:val="333333"/>
                <w:sz w:val="28"/>
                <w:szCs w:val="28"/>
                <w:rtl/>
              </w:rPr>
            </w:pPr>
            <w:r w:rsidRPr="00252887">
              <w:rPr>
                <w:color w:val="333333"/>
                <w:sz w:val="28"/>
                <w:szCs w:val="28"/>
                <w:rtl/>
              </w:rPr>
              <w:t>לטקסט האכדי ראו סרגון ב’ 1, שורות 66–68א</w:t>
            </w:r>
            <w:r w:rsidR="00542259" w:rsidRPr="00252887">
              <w:rPr>
                <w:rFonts w:hint="cs"/>
                <w:color w:val="333333"/>
                <w:sz w:val="28"/>
                <w:szCs w:val="28"/>
                <w:rtl/>
              </w:rPr>
              <w:t xml:space="preserve">. </w:t>
            </w:r>
          </w:p>
          <w:p w14:paraId="7C317B18" w14:textId="77777777" w:rsidR="00542259" w:rsidRDefault="00542259" w:rsidP="00542259">
            <w:pPr>
              <w:shd w:val="clear" w:color="auto" w:fill="FFFFFF"/>
              <w:spacing w:line="480" w:lineRule="auto"/>
              <w:rPr>
                <w:color w:val="333333"/>
                <w:sz w:val="23"/>
                <w:szCs w:val="23"/>
              </w:rPr>
            </w:pPr>
            <w:r>
              <w:rPr>
                <w:rFonts w:ascii="Merriweather" w:eastAsia="Merriweather" w:hAnsi="Merriweather" w:cs="Merriweather"/>
                <w:color w:val="333333"/>
                <w:sz w:val="23"/>
                <w:szCs w:val="23"/>
              </w:rPr>
              <w:t>Frame, </w:t>
            </w:r>
            <w:r>
              <w:rPr>
                <w:rFonts w:ascii="Merriweather" w:eastAsia="Merriweather" w:hAnsi="Merriweather" w:cs="Merriweather"/>
                <w:i/>
                <w:color w:val="333333"/>
                <w:sz w:val="23"/>
                <w:szCs w:val="23"/>
              </w:rPr>
              <w:t>Royal Inscriptions of Sargon II</w:t>
            </w:r>
            <w:r>
              <w:rPr>
                <w:rFonts w:ascii="Merriweather" w:eastAsia="Merriweather" w:hAnsi="Merriweather" w:cs="Merriweather"/>
                <w:color w:val="333333"/>
                <w:sz w:val="23"/>
                <w:szCs w:val="23"/>
              </w:rPr>
              <w:t>, 58</w:t>
            </w:r>
            <w:r>
              <w:rPr>
                <w:color w:val="333333"/>
                <w:sz w:val="23"/>
                <w:szCs w:val="23"/>
              </w:rPr>
              <w:t>.</w:t>
            </w:r>
          </w:p>
          <w:p w14:paraId="0000011B" w14:textId="3EAC3419" w:rsidR="00542259" w:rsidRPr="00252887" w:rsidRDefault="00542259" w:rsidP="00542259">
            <w:pPr>
              <w:shd w:val="clear" w:color="auto" w:fill="FFFFFF"/>
              <w:bidi/>
              <w:spacing w:line="480" w:lineRule="auto"/>
              <w:rPr>
                <w:rFonts w:asciiTheme="minorHAnsi" w:hAnsiTheme="minorHAnsi" w:cstheme="minorHAnsi"/>
                <w:color w:val="333333"/>
                <w:sz w:val="23"/>
                <w:szCs w:val="23"/>
                <w:rtl/>
              </w:rPr>
            </w:pPr>
            <w:r w:rsidRPr="00252887">
              <w:rPr>
                <w:rFonts w:asciiTheme="minorHAnsi" w:hAnsiTheme="minorHAnsi" w:cstheme="minorHAnsi"/>
                <w:color w:val="333333"/>
                <w:sz w:val="28"/>
                <w:szCs w:val="28"/>
                <w:rtl/>
              </w:rPr>
              <w:t xml:space="preserve">הביטוי האכדי </w:t>
            </w:r>
            <w:r w:rsidRPr="00252887">
              <w:rPr>
                <w:rFonts w:asciiTheme="minorHAnsi" w:eastAsia="Cambria" w:hAnsiTheme="minorHAnsi" w:cstheme="minorHAnsi"/>
                <w:i/>
                <w:color w:val="333333"/>
                <w:sz w:val="28"/>
                <w:szCs w:val="28"/>
              </w:rPr>
              <w:t>ḫ</w:t>
            </w:r>
            <w:sdt>
              <w:sdtPr>
                <w:rPr>
                  <w:rFonts w:asciiTheme="minorHAnsi" w:hAnsiTheme="minorHAnsi" w:cstheme="minorHAnsi"/>
                  <w:sz w:val="28"/>
                  <w:szCs w:val="28"/>
                  <w:rtl/>
                </w:rPr>
                <w:tag w:val="goog_rdk_35"/>
                <w:id w:val="-1446537920"/>
              </w:sdtPr>
              <w:sdtContent>
                <w:r w:rsidRPr="00252887">
                  <w:rPr>
                    <w:rFonts w:asciiTheme="minorHAnsi" w:eastAsia="Andika" w:hAnsiTheme="minorHAnsi" w:cstheme="minorHAnsi"/>
                    <w:i/>
                    <w:color w:val="333333"/>
                    <w:sz w:val="27"/>
                    <w:szCs w:val="27"/>
                  </w:rPr>
                  <w:t>iṭṭi i</w:t>
                </w:r>
              </w:sdtContent>
            </w:sdt>
            <w:r w:rsidRPr="00252887">
              <w:rPr>
                <w:rFonts w:asciiTheme="minorHAnsi" w:eastAsia="Cambria" w:hAnsiTheme="minorHAnsi" w:cstheme="minorHAnsi"/>
                <w:i/>
                <w:color w:val="333333"/>
                <w:sz w:val="28"/>
                <w:szCs w:val="28"/>
              </w:rPr>
              <w:t>ḫ</w:t>
            </w:r>
            <w:sdt>
              <w:sdtPr>
                <w:rPr>
                  <w:rFonts w:asciiTheme="minorHAnsi" w:hAnsiTheme="minorHAnsi" w:cstheme="minorHAnsi"/>
                  <w:sz w:val="28"/>
                  <w:szCs w:val="28"/>
                  <w:rtl/>
                </w:rPr>
                <w:tag w:val="goog_rdk_36"/>
                <w:id w:val="460395879"/>
              </w:sdtPr>
              <w:sdtContent>
                <w:r w:rsidRPr="00252887">
                  <w:rPr>
                    <w:rFonts w:asciiTheme="minorHAnsi" w:eastAsia="Andika" w:hAnsiTheme="minorHAnsi" w:cstheme="minorHAnsi"/>
                    <w:i/>
                    <w:color w:val="333333"/>
                    <w:sz w:val="27"/>
                    <w:szCs w:val="27"/>
                  </w:rPr>
                  <w:t>ṭû</w:t>
                </w:r>
              </w:sdtContent>
            </w:sdt>
            <w:r w:rsidRPr="00252887">
              <w:rPr>
                <w:rFonts w:asciiTheme="minorHAnsi" w:hAnsiTheme="minorHAnsi" w:cstheme="minorHAnsi"/>
                <w:color w:val="333333"/>
                <w:sz w:val="28"/>
                <w:szCs w:val="28"/>
                <w:rtl/>
              </w:rPr>
              <w:t xml:space="preserve">, מן השורש </w:t>
            </w:r>
            <w:r w:rsidRPr="00252887">
              <w:rPr>
                <w:rFonts w:asciiTheme="minorHAnsi" w:eastAsia="Cambria" w:hAnsiTheme="minorHAnsi" w:cstheme="minorHAnsi"/>
                <w:i/>
                <w:color w:val="333333"/>
                <w:sz w:val="28"/>
                <w:szCs w:val="28"/>
              </w:rPr>
              <w:t>ḫ</w:t>
            </w:r>
            <w:sdt>
              <w:sdtPr>
                <w:rPr>
                  <w:rFonts w:asciiTheme="minorHAnsi" w:hAnsiTheme="minorHAnsi" w:cstheme="minorHAnsi"/>
                  <w:sz w:val="28"/>
                  <w:szCs w:val="28"/>
                  <w:rtl/>
                </w:rPr>
                <w:tag w:val="goog_rdk_37"/>
                <w:id w:val="-1665387737"/>
              </w:sdtPr>
              <w:sdtContent>
                <w:r w:rsidRPr="00252887">
                  <w:rPr>
                    <w:rFonts w:asciiTheme="minorHAnsi" w:eastAsia="Andika" w:hAnsiTheme="minorHAnsi" w:cstheme="minorHAnsi"/>
                    <w:i/>
                    <w:color w:val="333333"/>
                    <w:sz w:val="27"/>
                    <w:szCs w:val="27"/>
                  </w:rPr>
                  <w:t>.ṭ.</w:t>
                </w:r>
              </w:sdtContent>
            </w:sdt>
            <w:r w:rsidRPr="00252887">
              <w:rPr>
                <w:rFonts w:asciiTheme="minorHAnsi" w:eastAsia="Times New Roman" w:hAnsiTheme="minorHAnsi" w:cstheme="minorHAnsi"/>
                <w:i/>
                <w:color w:val="333333"/>
                <w:sz w:val="28"/>
                <w:szCs w:val="28"/>
              </w:rPr>
              <w:t>ʾ</w:t>
            </w:r>
            <w:r w:rsidRPr="00252887">
              <w:rPr>
                <w:rFonts w:asciiTheme="minorHAnsi" w:eastAsia="Merriweather" w:hAnsiTheme="minorHAnsi" w:cstheme="minorHAnsi"/>
                <w:color w:val="333333"/>
                <w:sz w:val="28"/>
                <w:szCs w:val="28"/>
                <w:rtl/>
              </w:rPr>
              <w:t>, יכול לתאר טעות או חטא (</w:t>
            </w:r>
            <w:r w:rsidRPr="00252887">
              <w:rPr>
                <w:rFonts w:asciiTheme="minorHAnsi" w:eastAsia="Merriweather" w:hAnsiTheme="minorHAnsi" w:cstheme="minorHAnsi"/>
                <w:i/>
                <w:color w:val="333333"/>
                <w:sz w:val="28"/>
                <w:szCs w:val="28"/>
              </w:rPr>
              <w:t xml:space="preserve">CAD </w:t>
            </w:r>
            <w:r w:rsidRPr="00252887">
              <w:rPr>
                <w:rFonts w:asciiTheme="minorHAnsi" w:eastAsia="Cambria" w:hAnsiTheme="minorHAnsi" w:cstheme="minorHAnsi"/>
                <w:i/>
                <w:color w:val="333333"/>
                <w:sz w:val="28"/>
                <w:szCs w:val="28"/>
              </w:rPr>
              <w:t>Ḫ</w:t>
            </w:r>
            <w:r w:rsidRPr="00252887">
              <w:rPr>
                <w:rFonts w:asciiTheme="minorHAnsi" w:eastAsia="Merriweather" w:hAnsiTheme="minorHAnsi" w:cstheme="minorHAnsi"/>
                <w:color w:val="333333"/>
                <w:sz w:val="28"/>
                <w:szCs w:val="28"/>
              </w:rPr>
              <w:t>, s.v.</w:t>
            </w:r>
            <w:r w:rsidRPr="00252887">
              <w:rPr>
                <w:rFonts w:asciiTheme="minorHAnsi" w:eastAsia="Merriweather" w:hAnsiTheme="minorHAnsi" w:cstheme="minorHAnsi"/>
                <w:i/>
                <w:color w:val="333333"/>
                <w:sz w:val="28"/>
                <w:szCs w:val="28"/>
              </w:rPr>
              <w:t> </w:t>
            </w:r>
            <w:r w:rsidRPr="00252887">
              <w:rPr>
                <w:rFonts w:asciiTheme="minorHAnsi" w:eastAsia="Cambria" w:hAnsiTheme="minorHAnsi" w:cstheme="minorHAnsi"/>
                <w:i/>
                <w:color w:val="333333"/>
                <w:sz w:val="28"/>
                <w:szCs w:val="28"/>
              </w:rPr>
              <w:t>ḫ</w:t>
            </w:r>
            <w:sdt>
              <w:sdtPr>
                <w:rPr>
                  <w:rFonts w:asciiTheme="minorHAnsi" w:hAnsiTheme="minorHAnsi" w:cstheme="minorHAnsi"/>
                  <w:sz w:val="28"/>
                  <w:szCs w:val="28"/>
                  <w:rtl/>
                </w:rPr>
                <w:tag w:val="goog_rdk_38"/>
                <w:id w:val="-1546062589"/>
              </w:sdtPr>
              <w:sdtContent>
                <w:r w:rsidRPr="00252887">
                  <w:rPr>
                    <w:rFonts w:asciiTheme="minorHAnsi" w:eastAsia="Andika" w:hAnsiTheme="minorHAnsi" w:cstheme="minorHAnsi"/>
                    <w:i/>
                    <w:color w:val="333333"/>
                    <w:sz w:val="27"/>
                    <w:szCs w:val="27"/>
                  </w:rPr>
                  <w:t>aṭû</w:t>
                </w:r>
              </w:sdtContent>
            </w:sdt>
            <w:r w:rsidRPr="00252887">
              <w:rPr>
                <w:rFonts w:asciiTheme="minorHAnsi" w:eastAsia="Merriweather" w:hAnsiTheme="minorHAnsi" w:cstheme="minorHAnsi"/>
                <w:color w:val="333333"/>
                <w:sz w:val="28"/>
                <w:szCs w:val="28"/>
              </w:rPr>
              <w:t>, 6:156</w:t>
            </w:r>
            <w:r w:rsidRPr="00252887">
              <w:rPr>
                <w:rFonts w:asciiTheme="minorHAnsi" w:hAnsiTheme="minorHAnsi" w:cstheme="minorHAnsi"/>
                <w:color w:val="333333"/>
                <w:sz w:val="28"/>
                <w:szCs w:val="28"/>
                <w:rtl/>
              </w:rPr>
              <w:t>). השורש קוגנטי לשורש העברי חט"א, שמשמעיו דומים.</w:t>
            </w:r>
          </w:p>
        </w:tc>
      </w:tr>
      <w:tr w:rsidR="004E732A" w14:paraId="692F4429" w14:textId="77777777">
        <w:tc>
          <w:tcPr>
            <w:tcW w:w="4675" w:type="dxa"/>
          </w:tcPr>
          <w:p w14:paraId="0000011C" w14:textId="77777777" w:rsidR="004E732A" w:rsidRDefault="00000000" w:rsidP="00542259">
            <w:pPr>
              <w:numPr>
                <w:ilvl w:val="0"/>
                <w:numId w:val="2"/>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t xml:space="preserve">The similarity in themes to the Assyrian tradition does not indicate that a direct </w:t>
            </w:r>
            <w:r>
              <w:rPr>
                <w:rFonts w:ascii="Merriweather" w:eastAsia="Merriweather" w:hAnsi="Merriweather" w:cs="Merriweather"/>
                <w:color w:val="333333"/>
                <w:sz w:val="23"/>
                <w:szCs w:val="23"/>
              </w:rPr>
              <w:lastRenderedPageBreak/>
              <w:t>relationship exists between the written texts. Rather, it reflects a similar conception of the universe and a similar social provenance: like the Assyrian inscriptions, the psalms mostly derive from the royal temple and court.</w:t>
            </w:r>
          </w:p>
          <w:p w14:paraId="0000011D"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0000011E" w14:textId="5B702E68" w:rsidR="004E732A" w:rsidRDefault="00000000">
            <w:pPr>
              <w:bidi/>
              <w:spacing w:line="276" w:lineRule="auto"/>
              <w:rPr>
                <w:color w:val="333333"/>
                <w:sz w:val="28"/>
                <w:szCs w:val="28"/>
              </w:rPr>
            </w:pPr>
            <w:r>
              <w:rPr>
                <w:color w:val="333333"/>
                <w:sz w:val="28"/>
                <w:szCs w:val="28"/>
                <w:rtl/>
              </w:rPr>
              <w:lastRenderedPageBreak/>
              <w:t xml:space="preserve">[19] הדמיון התמטי למסורת האשורית אינו מלמד על קשר ישיר בין הטקסטים. תחת זאת הוא מעיד על תפיסה דומה של היקום ומקור חברתי דומה: כמו הכתובות האשוריות, גם </w:t>
            </w:r>
            <w:r>
              <w:rPr>
                <w:color w:val="333333"/>
                <w:sz w:val="28"/>
                <w:szCs w:val="28"/>
                <w:rtl/>
              </w:rPr>
              <w:lastRenderedPageBreak/>
              <w:t>תהלים הוא טקסט שמקורו במקדש המלכותי ובחצר בית המלוכה.</w:t>
            </w:r>
          </w:p>
        </w:tc>
      </w:tr>
      <w:tr w:rsidR="004E732A" w14:paraId="5556B9A0" w14:textId="77777777">
        <w:tc>
          <w:tcPr>
            <w:tcW w:w="4675" w:type="dxa"/>
          </w:tcPr>
          <w:p w14:paraId="0000011F" w14:textId="77777777" w:rsidR="004E732A" w:rsidRDefault="00000000" w:rsidP="00542259">
            <w:pPr>
              <w:numPr>
                <w:ilvl w:val="0"/>
                <w:numId w:val="2"/>
              </w:numPr>
              <w:shd w:val="clear" w:color="auto" w:fill="FFFFFF"/>
              <w:spacing w:line="480" w:lineRule="auto"/>
              <w:rPr>
                <w:rFonts w:ascii="Merriweather" w:eastAsia="Merriweather" w:hAnsi="Merriweather" w:cs="Merriweather"/>
                <w:color w:val="333333"/>
                <w:sz w:val="23"/>
                <w:szCs w:val="23"/>
              </w:rPr>
            </w:pPr>
            <w:r>
              <w:rPr>
                <w:rFonts w:ascii="Merriweather" w:eastAsia="Merriweather" w:hAnsi="Merriweather" w:cs="Merriweather"/>
                <w:color w:val="333333"/>
                <w:sz w:val="23"/>
                <w:szCs w:val="23"/>
              </w:rPr>
              <w:lastRenderedPageBreak/>
              <w:t>A nearly identical psalm appears in 2 Samuel 22.</w:t>
            </w:r>
          </w:p>
          <w:p w14:paraId="00000120"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00000121" w14:textId="77777777" w:rsidR="004E732A" w:rsidRDefault="00000000">
            <w:pPr>
              <w:bidi/>
              <w:spacing w:line="276" w:lineRule="auto"/>
              <w:rPr>
                <w:color w:val="333333"/>
                <w:sz w:val="28"/>
                <w:szCs w:val="28"/>
              </w:rPr>
            </w:pPr>
            <w:r>
              <w:rPr>
                <w:color w:val="333333"/>
                <w:sz w:val="28"/>
                <w:szCs w:val="28"/>
                <w:rtl/>
              </w:rPr>
              <w:t>[20] תהלה דומה ביותר מופיעה בשמואל ב כב.</w:t>
            </w:r>
          </w:p>
        </w:tc>
      </w:tr>
      <w:tr w:rsidR="004E732A" w14:paraId="7B1C1C11" w14:textId="77777777">
        <w:tc>
          <w:tcPr>
            <w:tcW w:w="4675" w:type="dxa"/>
          </w:tcPr>
          <w:p w14:paraId="00000122" w14:textId="77777777" w:rsidR="004E732A" w:rsidRDefault="004E732A">
            <w:pPr>
              <w:shd w:val="clear" w:color="auto" w:fill="FFFFFF"/>
              <w:spacing w:line="480" w:lineRule="auto"/>
              <w:rPr>
                <w:rFonts w:ascii="Merriweather" w:eastAsia="Merriweather" w:hAnsi="Merriweather" w:cs="Merriweather"/>
                <w:color w:val="333333"/>
                <w:sz w:val="23"/>
                <w:szCs w:val="23"/>
              </w:rPr>
            </w:pPr>
          </w:p>
          <w:p w14:paraId="00000123" w14:textId="77777777" w:rsidR="004E732A" w:rsidRDefault="004E732A">
            <w:pPr>
              <w:shd w:val="clear" w:color="auto" w:fill="FFFFFF"/>
              <w:spacing w:before="280" w:line="480" w:lineRule="auto"/>
              <w:ind w:left="720"/>
              <w:rPr>
                <w:rFonts w:ascii="Merriweather" w:eastAsia="Merriweather" w:hAnsi="Merriweather" w:cs="Merriweather"/>
                <w:color w:val="333333"/>
                <w:sz w:val="23"/>
                <w:szCs w:val="23"/>
              </w:rPr>
            </w:pPr>
          </w:p>
        </w:tc>
        <w:tc>
          <w:tcPr>
            <w:tcW w:w="4675" w:type="dxa"/>
          </w:tcPr>
          <w:p w14:paraId="00000124" w14:textId="77777777" w:rsidR="004E732A" w:rsidRDefault="004E732A">
            <w:pPr>
              <w:bidi/>
              <w:spacing w:line="276" w:lineRule="auto"/>
              <w:rPr>
                <w:color w:val="333333"/>
                <w:sz w:val="28"/>
                <w:szCs w:val="28"/>
              </w:rPr>
            </w:pPr>
          </w:p>
        </w:tc>
      </w:tr>
    </w:tbl>
    <w:p w14:paraId="00000125" w14:textId="77777777" w:rsidR="004E732A" w:rsidRDefault="004E732A">
      <w:pPr>
        <w:spacing w:line="276" w:lineRule="auto"/>
      </w:pPr>
    </w:p>
    <w:sectPr w:rsidR="004E732A">
      <w:headerReference w:type="default" r:id="rId15"/>
      <w:footerReference w:type="default" r:id="rId1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Ruth Pachtowitz" w:date="2024-07-08T00:43:00Z" w:initials="RP">
    <w:p w14:paraId="173CC5CB" w14:textId="020B1DFB" w:rsidR="00542259" w:rsidRPr="00542259" w:rsidRDefault="00542259">
      <w:pPr>
        <w:pStyle w:val="CommentText"/>
        <w:rPr>
          <w:rtl/>
          <w:lang w:val="fr-FR"/>
        </w:rPr>
      </w:pPr>
      <w:r>
        <w:rPr>
          <w:rStyle w:val="CommentReference"/>
        </w:rPr>
        <w:annotationRef/>
      </w:r>
      <w:r>
        <w:rPr>
          <w:rFonts w:hint="cs"/>
          <w:rtl/>
          <w:lang w:val="fr-FR"/>
        </w:rPr>
        <w:t>הכתובות והאנאלים אינם זמינים ברשת ובמקרה זה גם איני יודעת בוודאות האם תורגמו לעברית. תרגמתי מן האנגלית.</w:t>
      </w:r>
    </w:p>
  </w:comment>
  <w:comment w:id="1" w:author="Ruth Pachtowitz" w:date="2024-07-06T17:51:00Z" w:initials="">
    <w:p w14:paraId="00000129" w14:textId="358EEE45" w:rsidR="004E732A"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 xml:space="preserve">התרגום </w:t>
      </w:r>
      <w:r w:rsidR="00964FE9">
        <w:rPr>
          <w:rFonts w:ascii="Arial" w:eastAsia="Arial" w:hAnsi="Arial" w:cs="Arial" w:hint="cs"/>
          <w:color w:val="000000"/>
          <w:rtl/>
        </w:rPr>
        <w:t>אינו</w:t>
      </w:r>
      <w:r>
        <w:rPr>
          <w:rFonts w:ascii="Arial" w:eastAsia="Arial" w:hAnsi="Arial" w:cs="Arial"/>
          <w:color w:val="000000"/>
          <w:rtl/>
        </w:rPr>
        <w:t xml:space="preserve"> זמין ברשת ולא בספריה בהישג יד. </w:t>
      </w:r>
      <w:r w:rsidR="00273305">
        <w:rPr>
          <w:rFonts w:ascii="Arial" w:eastAsia="Arial" w:hAnsi="Arial" w:cs="Arial" w:hint="cs"/>
          <w:color w:val="000000"/>
          <w:rtl/>
        </w:rPr>
        <w:t xml:space="preserve">הצעתי תרגום משלי, </w:t>
      </w:r>
      <w:r>
        <w:rPr>
          <w:rFonts w:ascii="Arial" w:eastAsia="Arial" w:hAnsi="Arial" w:cs="Arial"/>
          <w:color w:val="000000"/>
          <w:rtl/>
        </w:rPr>
        <w:t>אך בספריה הלאומית אפשר</w:t>
      </w:r>
      <w:r w:rsidR="00273305">
        <w:rPr>
          <w:rFonts w:ascii="Arial" w:eastAsia="Arial" w:hAnsi="Arial" w:cs="Arial" w:hint="cs"/>
          <w:color w:val="000000"/>
          <w:rtl/>
        </w:rPr>
        <w:t xml:space="preserve"> ועדיף</w:t>
      </w:r>
      <w:r>
        <w:rPr>
          <w:rFonts w:ascii="Arial" w:eastAsia="Arial" w:hAnsi="Arial" w:cs="Arial"/>
          <w:color w:val="000000"/>
          <w:rtl/>
        </w:rPr>
        <w:t xml:space="preserve"> למצוא את התרגום של וינפלד</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73CC5CB" w15:done="0"/>
  <w15:commentEx w15:paraId="000001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3C9F8E4" w16cex:dateUtc="2024-07-07T2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3CC5CB" w16cid:durableId="33C9F8E4"/>
  <w16cid:commentId w16cid:paraId="00000129" w16cid:durableId="6D7E83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8BA18" w14:textId="77777777" w:rsidR="000A43C2" w:rsidRDefault="000A43C2">
      <w:pPr>
        <w:spacing w:after="0" w:line="240" w:lineRule="auto"/>
      </w:pPr>
      <w:r>
        <w:separator/>
      </w:r>
    </w:p>
  </w:endnote>
  <w:endnote w:type="continuationSeparator" w:id="0">
    <w:p w14:paraId="014EFB72" w14:textId="77777777" w:rsidR="000A43C2" w:rsidRDefault="000A4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EE74782-38E3-4F2B-8F1B-872004D35C2E}"/>
    <w:embedBold r:id="rId2" w:fontKey="{F496D4A6-3BB7-4A53-AF05-BFAD1577CC9A}"/>
    <w:embedItalic r:id="rId3" w:fontKey="{45DD3CB4-1BE3-4C02-B49E-70C15CB723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6D55CDB-9D9D-4E0B-B973-2B5698F23B2A}"/>
    <w:embedItalic r:id="rId5" w:fontKey="{C56B5E5B-01F1-473D-8EF2-CC4BB2451D74}"/>
  </w:font>
  <w:font w:name="Merriweather">
    <w:charset w:val="00"/>
    <w:family w:val="auto"/>
    <w:pitch w:val="variable"/>
    <w:sig w:usb0="20000207" w:usb1="00000002" w:usb2="00000000" w:usb3="00000000" w:csb0="00000197" w:csb1="00000000"/>
    <w:embedRegular r:id="rId6" w:fontKey="{0279777B-1F28-496C-8A69-850160EDBAE7}"/>
    <w:embedBold r:id="rId7" w:fontKey="{0CF6A24F-E37A-492C-9D4F-B2E2440E1824}"/>
    <w:embedItalic r:id="rId8" w:fontKey="{06CA7439-6D3E-4616-9173-53D93787F5E4}"/>
    <w:embedBoldItalic r:id="rId9" w:fontKey="{3815B235-8C6A-4327-B643-0A091978C873}"/>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0" w:fontKey="{C265F71E-EB19-465C-8A62-BDA7746D93F6}"/>
  </w:font>
  <w:font w:name="Cambria">
    <w:panose1 w:val="02040503050406030204"/>
    <w:charset w:val="00"/>
    <w:family w:val="roman"/>
    <w:pitch w:val="variable"/>
    <w:sig w:usb0="E00006FF" w:usb1="420024FF" w:usb2="02000000" w:usb3="00000000" w:csb0="0000019F" w:csb1="00000000"/>
    <w:embedRegular r:id="rId11" w:fontKey="{BB428DB4-1592-4AB6-9100-F3C6D8246EDC}"/>
    <w:embedItalic r:id="rId12" w:fontKey="{1A80676D-E044-4558-983A-338E6CFB000A}"/>
  </w:font>
  <w:font w:name="Andika">
    <w:charset w:val="00"/>
    <w:family w:val="auto"/>
    <w:pitch w:val="default"/>
    <w:embedRegular r:id="rId13" w:fontKey="{FEE1376E-740D-4172-9229-3DE8D6E14A41}"/>
    <w:embedItalic r:id="rId14" w:fontKey="{62833254-7356-4CC6-9FC7-DBDC14713C56}"/>
  </w:font>
  <w:font w:name="Calibri Light">
    <w:panose1 w:val="020F0302020204030204"/>
    <w:charset w:val="00"/>
    <w:family w:val="swiss"/>
    <w:pitch w:val="variable"/>
    <w:sig w:usb0="E4002EFF" w:usb1="C000247B" w:usb2="00000009" w:usb3="00000000" w:csb0="000001FF" w:csb1="00000000"/>
    <w:embedRegular r:id="rId15" w:fontKey="{4F158978-5261-426D-9CE2-0307F39D8B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7" w14:textId="6BA0E370" w:rsidR="004E732A" w:rsidRDefault="00000000">
    <w:pPr>
      <w:pBdr>
        <w:top w:val="single" w:sz="4" w:space="1" w:color="000000"/>
        <w:left w:val="nil"/>
        <w:bottom w:val="nil"/>
        <w:right w:val="nil"/>
        <w:between w:val="nil"/>
      </w:pBdr>
      <w:tabs>
        <w:tab w:val="center" w:pos="4513"/>
        <w:tab w:val="right" w:pos="9026"/>
        <w:tab w:val="center" w:pos="4680"/>
        <w:tab w:val="left" w:pos="5138"/>
      </w:tabs>
      <w:spacing w:after="0" w:line="240" w:lineRule="auto"/>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sidR="00542259">
      <w:rPr>
        <w:noProof/>
        <w:color w:val="000000"/>
      </w:rPr>
      <w:t>1</w:t>
    </w:r>
    <w:r>
      <w:rPr>
        <w:color w:val="000000"/>
      </w:rPr>
      <w:fldChar w:fldCharType="end"/>
    </w:r>
    <w:r>
      <w:rPr>
        <w:color w:val="000000"/>
      </w:rPr>
      <w:tab/>
    </w:r>
  </w:p>
  <w:p w14:paraId="00000128" w14:textId="77777777" w:rsidR="004E732A" w:rsidRDefault="004E732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5A22FA" w14:textId="77777777" w:rsidR="000A43C2" w:rsidRDefault="000A43C2">
      <w:pPr>
        <w:spacing w:after="0" w:line="240" w:lineRule="auto"/>
      </w:pPr>
      <w:r>
        <w:separator/>
      </w:r>
    </w:p>
  </w:footnote>
  <w:footnote w:type="continuationSeparator" w:id="0">
    <w:p w14:paraId="415A1082" w14:textId="77777777" w:rsidR="000A43C2" w:rsidRDefault="000A4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6" w14:textId="77777777" w:rsidR="004E732A" w:rsidRDefault="00000000">
    <w:pPr>
      <w:pBdr>
        <w:top w:val="nil"/>
        <w:left w:val="nil"/>
        <w:bottom w:val="single" w:sz="4" w:space="1" w:color="000000"/>
        <w:right w:val="nil"/>
        <w:between w:val="nil"/>
      </w:pBdr>
      <w:tabs>
        <w:tab w:val="center" w:pos="4513"/>
        <w:tab w:val="right" w:pos="9026"/>
      </w:tabs>
      <w:spacing w:after="0" w:line="240" w:lineRule="auto"/>
      <w:rPr>
        <w:color w:val="000000"/>
      </w:rPr>
    </w:pPr>
    <w:r>
      <w:rPr>
        <w:noProof/>
        <w:color w:val="000000"/>
      </w:rPr>
      <w:drawing>
        <wp:inline distT="0" distB="0" distL="0" distR="0" wp14:anchorId="26D09DF3" wp14:editId="2C48483F">
          <wp:extent cx="1703027" cy="486579"/>
          <wp:effectExtent l="0" t="0" r="0" b="0"/>
          <wp:docPr id="11585379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03027" cy="4865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827D0"/>
    <w:multiLevelType w:val="multilevel"/>
    <w:tmpl w:val="23E0BD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B231AB8"/>
    <w:multiLevelType w:val="multilevel"/>
    <w:tmpl w:val="23E0BD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37490605">
    <w:abstractNumId w:val="0"/>
  </w:num>
  <w:num w:numId="2" w16cid:durableId="126965607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uth Pachtowitz">
    <w15:presenceInfo w15:providerId="Windows Live" w15:userId="1024209b4aeb2d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32A"/>
    <w:rsid w:val="000A43C2"/>
    <w:rsid w:val="00125ADD"/>
    <w:rsid w:val="00252887"/>
    <w:rsid w:val="00273305"/>
    <w:rsid w:val="00291B66"/>
    <w:rsid w:val="00375029"/>
    <w:rsid w:val="00481A2A"/>
    <w:rsid w:val="004E732A"/>
    <w:rsid w:val="00542259"/>
    <w:rsid w:val="00964FE9"/>
    <w:rsid w:val="00A36C5A"/>
    <w:rsid w:val="00B951E0"/>
    <w:rsid w:val="00DD7C4A"/>
    <w:rsid w:val="00F603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DE6A0"/>
  <w15:docId w15:val="{D99D585B-C893-4427-9F2C-221425B8A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F5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DD9"/>
  </w:style>
  <w:style w:type="paragraph" w:styleId="Footer">
    <w:name w:val="footer"/>
    <w:basedOn w:val="Normal"/>
    <w:link w:val="FooterChar"/>
    <w:uiPriority w:val="99"/>
    <w:unhideWhenUsed/>
    <w:rsid w:val="00EF5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DD9"/>
  </w:style>
  <w:style w:type="table" w:styleId="TableGrid">
    <w:name w:val="Table Grid"/>
    <w:basedOn w:val="TableNormal"/>
    <w:uiPriority w:val="39"/>
    <w:rsid w:val="00A62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0F7"/>
    <w:pPr>
      <w:ind w:left="720"/>
      <w:contextualSpacing/>
    </w:pPr>
  </w:style>
  <w:style w:type="character" w:styleId="Hyperlink">
    <w:name w:val="Hyperlink"/>
    <w:basedOn w:val="DefaultParagraphFont"/>
    <w:uiPriority w:val="99"/>
    <w:unhideWhenUsed/>
    <w:rsid w:val="00203949"/>
    <w:rPr>
      <w:color w:val="0000FF"/>
      <w:u w:val="single"/>
    </w:rPr>
  </w:style>
  <w:style w:type="character" w:styleId="CommentReference">
    <w:name w:val="annotation reference"/>
    <w:basedOn w:val="DefaultParagraphFont"/>
    <w:uiPriority w:val="99"/>
    <w:semiHidden/>
    <w:unhideWhenUsed/>
    <w:rsid w:val="00BE530C"/>
    <w:rPr>
      <w:sz w:val="16"/>
      <w:szCs w:val="16"/>
    </w:rPr>
  </w:style>
  <w:style w:type="paragraph" w:styleId="CommentText">
    <w:name w:val="annotation text"/>
    <w:basedOn w:val="Normal"/>
    <w:link w:val="CommentTextChar"/>
    <w:uiPriority w:val="99"/>
    <w:semiHidden/>
    <w:unhideWhenUsed/>
    <w:rsid w:val="00BE530C"/>
    <w:pPr>
      <w:spacing w:line="240" w:lineRule="auto"/>
    </w:pPr>
    <w:rPr>
      <w:sz w:val="20"/>
      <w:szCs w:val="20"/>
    </w:rPr>
  </w:style>
  <w:style w:type="character" w:customStyle="1" w:styleId="CommentTextChar">
    <w:name w:val="Comment Text Char"/>
    <w:basedOn w:val="DefaultParagraphFont"/>
    <w:link w:val="CommentText"/>
    <w:uiPriority w:val="99"/>
    <w:semiHidden/>
    <w:rsid w:val="00BE530C"/>
    <w:rPr>
      <w:sz w:val="20"/>
      <w:szCs w:val="20"/>
    </w:rPr>
  </w:style>
  <w:style w:type="paragraph" w:styleId="CommentSubject">
    <w:name w:val="annotation subject"/>
    <w:basedOn w:val="CommentText"/>
    <w:next w:val="CommentText"/>
    <w:link w:val="CommentSubjectChar"/>
    <w:uiPriority w:val="99"/>
    <w:semiHidden/>
    <w:unhideWhenUsed/>
    <w:rsid w:val="00BE530C"/>
    <w:rPr>
      <w:b/>
      <w:bCs/>
    </w:rPr>
  </w:style>
  <w:style w:type="character" w:customStyle="1" w:styleId="CommentSubjectChar">
    <w:name w:val="Comment Subject Char"/>
    <w:basedOn w:val="CommentTextChar"/>
    <w:link w:val="CommentSubject"/>
    <w:uiPriority w:val="99"/>
    <w:semiHidden/>
    <w:rsid w:val="00BE530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bleinterp.arizona.edu/articles/2017/08/cro418001"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bibleinterp.arizona.edu/articles/2017/08/cro41800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EgTG5fHFsFD/eL+ulnB8+xhQw==">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5450</Words>
  <Characters>31069</Characters>
  <Application>Microsoft Office Word</Application>
  <DocSecurity>0</DocSecurity>
  <Lines>258</Lines>
  <Paragraphs>72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JA</cp:lastModifiedBy>
  <cp:revision>3</cp:revision>
  <dcterms:created xsi:type="dcterms:W3CDTF">2024-07-07T22:20:00Z</dcterms:created>
  <dcterms:modified xsi:type="dcterms:W3CDTF">2024-07-08T13:26:00Z</dcterms:modified>
</cp:coreProperties>
</file>