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CEC39" w14:textId="57838877" w:rsidR="00F3647D" w:rsidRPr="0042398B" w:rsidRDefault="006B1AE8" w:rsidP="00A4081B">
      <w:pPr>
        <w:widowControl w:val="0"/>
        <w:autoSpaceDE w:val="0"/>
        <w:autoSpaceDN w:val="0"/>
        <w:adjustRightInd w:val="0"/>
        <w:spacing w:after="240"/>
        <w:jc w:val="both"/>
        <w:rPr>
          <w:b/>
          <w:color w:val="000000"/>
          <w:sz w:val="22"/>
          <w:szCs w:val="22"/>
        </w:rPr>
      </w:pPr>
      <w:r>
        <w:rPr>
          <w:b/>
          <w:color w:val="000000"/>
          <w:sz w:val="22"/>
          <w:szCs w:val="22"/>
        </w:rPr>
        <w:t>CLINICAL AND PATHOLOGICAL CHARACTERISTICS, MANAGEMENT AND PROGRESSION OF MALE BREAST CANCER IN URUGUAY. A RETROSPECTIVE ANALYSIS OF A CASE SERIES.</w:t>
      </w:r>
    </w:p>
    <w:p w14:paraId="052A1D79" w14:textId="44664819" w:rsidR="006B1AE8" w:rsidRPr="00A4081B" w:rsidRDefault="006B1AE8" w:rsidP="00A4081B">
      <w:pPr>
        <w:widowControl w:val="0"/>
        <w:autoSpaceDE w:val="0"/>
        <w:autoSpaceDN w:val="0"/>
        <w:adjustRightInd w:val="0"/>
        <w:spacing w:after="240"/>
        <w:jc w:val="both"/>
        <w:rPr>
          <w:bCs/>
          <w:color w:val="000000"/>
          <w:sz w:val="22"/>
          <w:szCs w:val="22"/>
        </w:rPr>
      </w:pPr>
      <w:r>
        <w:rPr>
          <w:bCs/>
          <w:color w:val="000000"/>
          <w:sz w:val="22"/>
          <w:szCs w:val="22"/>
        </w:rPr>
        <w:t xml:space="preserve">Castillo Cecilia, </w:t>
      </w:r>
      <w:proofErr w:type="spellStart"/>
      <w:r>
        <w:rPr>
          <w:bCs/>
          <w:color w:val="000000"/>
          <w:sz w:val="22"/>
          <w:szCs w:val="22"/>
        </w:rPr>
        <w:t>Camejo</w:t>
      </w:r>
      <w:proofErr w:type="spellEnd"/>
      <w:r>
        <w:rPr>
          <w:bCs/>
          <w:color w:val="000000"/>
          <w:sz w:val="22"/>
          <w:szCs w:val="22"/>
        </w:rPr>
        <w:t xml:space="preserve"> Natalia, </w:t>
      </w:r>
      <w:proofErr w:type="spellStart"/>
      <w:r>
        <w:rPr>
          <w:bCs/>
          <w:color w:val="000000"/>
          <w:sz w:val="22"/>
          <w:szCs w:val="22"/>
        </w:rPr>
        <w:t>Shiavone</w:t>
      </w:r>
      <w:proofErr w:type="spellEnd"/>
      <w:r>
        <w:rPr>
          <w:bCs/>
          <w:color w:val="000000"/>
          <w:sz w:val="22"/>
          <w:szCs w:val="22"/>
        </w:rPr>
        <w:t xml:space="preserve"> Andrea, Alfonso Ana, Amarillo </w:t>
      </w:r>
      <w:proofErr w:type="spellStart"/>
      <w:r>
        <w:rPr>
          <w:bCs/>
          <w:color w:val="000000"/>
          <w:sz w:val="22"/>
          <w:szCs w:val="22"/>
        </w:rPr>
        <w:t>Dahiana</w:t>
      </w:r>
      <w:proofErr w:type="spellEnd"/>
      <w:r>
        <w:rPr>
          <w:bCs/>
          <w:color w:val="000000"/>
          <w:sz w:val="22"/>
          <w:szCs w:val="22"/>
        </w:rPr>
        <w:t xml:space="preserve">, Xavier Franco, Alvarez Esteban, </w:t>
      </w:r>
      <w:proofErr w:type="spellStart"/>
      <w:r>
        <w:rPr>
          <w:bCs/>
          <w:color w:val="000000"/>
          <w:sz w:val="22"/>
          <w:szCs w:val="22"/>
        </w:rPr>
        <w:t>Krygier</w:t>
      </w:r>
      <w:proofErr w:type="spellEnd"/>
      <w:r>
        <w:rPr>
          <w:bCs/>
          <w:color w:val="000000"/>
          <w:sz w:val="22"/>
          <w:szCs w:val="22"/>
        </w:rPr>
        <w:t xml:space="preserve"> Gabriel, Delgado Lucía. </w:t>
      </w:r>
    </w:p>
    <w:p w14:paraId="5314E6BA" w14:textId="014C900A" w:rsidR="006B1AE8" w:rsidRPr="00A4081B" w:rsidRDefault="006B1AE8" w:rsidP="00A4081B">
      <w:pPr>
        <w:widowControl w:val="0"/>
        <w:autoSpaceDE w:val="0"/>
        <w:autoSpaceDN w:val="0"/>
        <w:adjustRightInd w:val="0"/>
        <w:spacing w:after="240"/>
        <w:jc w:val="both"/>
        <w:rPr>
          <w:bCs/>
          <w:color w:val="000000"/>
          <w:sz w:val="22"/>
          <w:szCs w:val="22"/>
        </w:rPr>
      </w:pPr>
      <w:r>
        <w:rPr>
          <w:bCs/>
          <w:color w:val="000000"/>
          <w:sz w:val="22"/>
          <w:szCs w:val="22"/>
        </w:rPr>
        <w:t xml:space="preserve">Clinical Oncology Department. Hospital de </w:t>
      </w:r>
      <w:proofErr w:type="spellStart"/>
      <w:r>
        <w:rPr>
          <w:bCs/>
          <w:color w:val="000000"/>
          <w:sz w:val="22"/>
          <w:szCs w:val="22"/>
        </w:rPr>
        <w:t>Clínicas</w:t>
      </w:r>
      <w:proofErr w:type="spellEnd"/>
      <w:r>
        <w:rPr>
          <w:bCs/>
          <w:color w:val="000000"/>
          <w:sz w:val="22"/>
          <w:szCs w:val="22"/>
        </w:rPr>
        <w:t xml:space="preserve"> “</w:t>
      </w:r>
      <w:proofErr w:type="spellStart"/>
      <w:r>
        <w:rPr>
          <w:bCs/>
          <w:color w:val="000000"/>
          <w:sz w:val="22"/>
          <w:szCs w:val="22"/>
        </w:rPr>
        <w:t>Dr.</w:t>
      </w:r>
      <w:proofErr w:type="spellEnd"/>
      <w:r>
        <w:rPr>
          <w:bCs/>
          <w:color w:val="000000"/>
          <w:sz w:val="22"/>
          <w:szCs w:val="22"/>
        </w:rPr>
        <w:t xml:space="preserve"> Manuel </w:t>
      </w:r>
      <w:proofErr w:type="spellStart"/>
      <w:r>
        <w:rPr>
          <w:bCs/>
          <w:color w:val="000000"/>
          <w:sz w:val="22"/>
          <w:szCs w:val="22"/>
        </w:rPr>
        <w:t>Quintela</w:t>
      </w:r>
      <w:proofErr w:type="spellEnd"/>
      <w:r>
        <w:rPr>
          <w:bCs/>
          <w:color w:val="000000"/>
          <w:sz w:val="22"/>
          <w:szCs w:val="22"/>
        </w:rPr>
        <w:t xml:space="preserve">”. Universidad de la </w:t>
      </w:r>
      <w:proofErr w:type="spellStart"/>
      <w:r>
        <w:rPr>
          <w:bCs/>
          <w:color w:val="000000"/>
          <w:sz w:val="22"/>
          <w:szCs w:val="22"/>
        </w:rPr>
        <w:t>República</w:t>
      </w:r>
      <w:proofErr w:type="spellEnd"/>
      <w:r>
        <w:rPr>
          <w:bCs/>
          <w:color w:val="000000"/>
          <w:sz w:val="22"/>
          <w:szCs w:val="22"/>
        </w:rPr>
        <w:t xml:space="preserve">. </w:t>
      </w:r>
      <w:proofErr w:type="spellStart"/>
      <w:r>
        <w:rPr>
          <w:bCs/>
          <w:color w:val="000000"/>
          <w:sz w:val="22"/>
          <w:szCs w:val="22"/>
        </w:rPr>
        <w:t>Servicio</w:t>
      </w:r>
      <w:proofErr w:type="spellEnd"/>
      <w:r>
        <w:rPr>
          <w:bCs/>
          <w:color w:val="000000"/>
          <w:sz w:val="22"/>
          <w:szCs w:val="22"/>
        </w:rPr>
        <w:t xml:space="preserve"> </w:t>
      </w:r>
      <w:proofErr w:type="spellStart"/>
      <w:r>
        <w:rPr>
          <w:bCs/>
          <w:color w:val="000000"/>
          <w:sz w:val="22"/>
          <w:szCs w:val="22"/>
        </w:rPr>
        <w:t>Médico</w:t>
      </w:r>
      <w:proofErr w:type="spellEnd"/>
      <w:r>
        <w:rPr>
          <w:bCs/>
          <w:color w:val="000000"/>
          <w:sz w:val="22"/>
          <w:szCs w:val="22"/>
        </w:rPr>
        <w:t xml:space="preserve"> Integral</w:t>
      </w:r>
      <w:r w:rsidR="00570831">
        <w:rPr>
          <w:bCs/>
          <w:color w:val="000000"/>
          <w:sz w:val="22"/>
          <w:szCs w:val="22"/>
        </w:rPr>
        <w:t xml:space="preserve">. </w:t>
      </w:r>
      <w:proofErr w:type="spellStart"/>
      <w:r>
        <w:rPr>
          <w:bCs/>
          <w:color w:val="000000"/>
          <w:sz w:val="22"/>
          <w:szCs w:val="22"/>
        </w:rPr>
        <w:t>CASMER</w:t>
      </w:r>
      <w:proofErr w:type="spellEnd"/>
      <w:r>
        <w:rPr>
          <w:bCs/>
          <w:color w:val="000000"/>
          <w:sz w:val="22"/>
          <w:szCs w:val="22"/>
        </w:rPr>
        <w:t>.</w:t>
      </w:r>
      <w:r w:rsidR="00570831">
        <w:rPr>
          <w:bCs/>
          <w:color w:val="000000"/>
          <w:sz w:val="22"/>
          <w:szCs w:val="22"/>
        </w:rPr>
        <w:t xml:space="preserve"> Montevideo, Uruguay.</w:t>
      </w:r>
    </w:p>
    <w:p w14:paraId="63E446BC" w14:textId="77777777" w:rsidR="006B1AE8" w:rsidRPr="00A4081B" w:rsidRDefault="006B1AE8" w:rsidP="00A4081B">
      <w:pPr>
        <w:widowControl w:val="0"/>
        <w:autoSpaceDE w:val="0"/>
        <w:autoSpaceDN w:val="0"/>
        <w:adjustRightInd w:val="0"/>
        <w:spacing w:after="240"/>
        <w:jc w:val="both"/>
        <w:rPr>
          <w:b/>
          <w:color w:val="000000"/>
          <w:sz w:val="22"/>
          <w:szCs w:val="22"/>
        </w:rPr>
      </w:pPr>
      <w:r>
        <w:rPr>
          <w:b/>
          <w:color w:val="000000"/>
          <w:sz w:val="22"/>
          <w:szCs w:val="22"/>
        </w:rPr>
        <w:t>Abstract</w:t>
      </w:r>
    </w:p>
    <w:p w14:paraId="40A66A4D" w14:textId="28E6DC12" w:rsidR="006B1AE8" w:rsidRPr="00A4081B" w:rsidRDefault="006B1AE8" w:rsidP="00A4081B">
      <w:pPr>
        <w:widowControl w:val="0"/>
        <w:autoSpaceDE w:val="0"/>
        <w:autoSpaceDN w:val="0"/>
        <w:adjustRightInd w:val="0"/>
        <w:spacing w:after="240"/>
        <w:jc w:val="both"/>
        <w:rPr>
          <w:bCs/>
          <w:color w:val="000000"/>
          <w:sz w:val="22"/>
          <w:szCs w:val="22"/>
        </w:rPr>
      </w:pPr>
      <w:r>
        <w:rPr>
          <w:bCs/>
          <w:color w:val="000000"/>
          <w:sz w:val="22"/>
          <w:szCs w:val="22"/>
        </w:rPr>
        <w:t xml:space="preserve">Male breast cancer (MBC) is a rare condition that, while sharing some similarities with breast cancer (BC) in women, has a unique disease profile of its own. </w:t>
      </w:r>
      <w:r w:rsidRPr="00F3647D">
        <w:rPr>
          <w:b/>
          <w:color w:val="000000"/>
          <w:sz w:val="22"/>
          <w:szCs w:val="22"/>
        </w:rPr>
        <w:t>Objective</w:t>
      </w:r>
      <w:r>
        <w:rPr>
          <w:bCs/>
          <w:color w:val="000000"/>
          <w:sz w:val="22"/>
          <w:szCs w:val="22"/>
        </w:rPr>
        <w:t xml:space="preserve">: To understand the characteristics of MBC and its management in our area. </w:t>
      </w:r>
      <w:r w:rsidR="00F33A66">
        <w:rPr>
          <w:b/>
          <w:color w:val="000000"/>
          <w:sz w:val="22"/>
          <w:szCs w:val="22"/>
        </w:rPr>
        <w:t>Patients</w:t>
      </w:r>
      <w:r w:rsidRPr="00F3647D">
        <w:rPr>
          <w:b/>
          <w:color w:val="000000"/>
          <w:sz w:val="22"/>
          <w:szCs w:val="22"/>
        </w:rPr>
        <w:t xml:space="preserve"> and Methods</w:t>
      </w:r>
      <w:r>
        <w:rPr>
          <w:bCs/>
          <w:color w:val="000000"/>
          <w:sz w:val="22"/>
          <w:szCs w:val="22"/>
        </w:rPr>
        <w:t xml:space="preserve">: Retrospective observational study that included patients diagnosed with MBC in 3 </w:t>
      </w:r>
      <w:r w:rsidR="00494365">
        <w:rPr>
          <w:bCs/>
          <w:color w:val="000000"/>
          <w:sz w:val="22"/>
          <w:szCs w:val="22"/>
        </w:rPr>
        <w:t>centre</w:t>
      </w:r>
      <w:r>
        <w:rPr>
          <w:bCs/>
          <w:color w:val="000000"/>
          <w:sz w:val="22"/>
          <w:szCs w:val="22"/>
        </w:rPr>
        <w:t xml:space="preserve">s in Uruguay over a period of 14 years. </w:t>
      </w:r>
      <w:r w:rsidRPr="00F3647D">
        <w:rPr>
          <w:b/>
          <w:color w:val="000000"/>
          <w:sz w:val="22"/>
          <w:szCs w:val="22"/>
        </w:rPr>
        <w:t>Results</w:t>
      </w:r>
      <w:r>
        <w:rPr>
          <w:bCs/>
          <w:color w:val="000000"/>
          <w:sz w:val="22"/>
          <w:szCs w:val="22"/>
        </w:rPr>
        <w:t>: The study included 22 patients, with a median age at diagnosis of 62.5 years. Of these, 27% (6 patients) had relevant family history. Clinical-pathological characteristics: All cases were infiltrating ductal carcinomas (IDC); 90.9% (20 patients) were classified as final histologic</w:t>
      </w:r>
      <w:r w:rsidR="004C6A77">
        <w:rPr>
          <w:bCs/>
          <w:color w:val="000000"/>
          <w:sz w:val="22"/>
          <w:szCs w:val="22"/>
        </w:rPr>
        <w:t>al</w:t>
      </w:r>
      <w:r>
        <w:rPr>
          <w:bCs/>
          <w:color w:val="000000"/>
          <w:sz w:val="22"/>
          <w:szCs w:val="22"/>
        </w:rPr>
        <w:t xml:space="preserve"> grade (</w:t>
      </w:r>
      <w:proofErr w:type="spellStart"/>
      <w:r>
        <w:rPr>
          <w:bCs/>
          <w:color w:val="000000"/>
          <w:sz w:val="22"/>
          <w:szCs w:val="22"/>
        </w:rPr>
        <w:t>FHG</w:t>
      </w:r>
      <w:proofErr w:type="spellEnd"/>
      <w:r>
        <w:rPr>
          <w:bCs/>
          <w:color w:val="000000"/>
          <w:sz w:val="22"/>
          <w:szCs w:val="22"/>
        </w:rPr>
        <w:t xml:space="preserve">) 2-3, 68.1% (15 patients) were stage (S) I-II, and 68.1% (15 patients) had axillary metastases. Three biological subtypes were defined: 73% (16 patients) were </w:t>
      </w:r>
      <w:proofErr w:type="spellStart"/>
      <w:r>
        <w:rPr>
          <w:bCs/>
          <w:color w:val="000000"/>
          <w:sz w:val="22"/>
          <w:szCs w:val="22"/>
        </w:rPr>
        <w:t>HER2</w:t>
      </w:r>
      <w:proofErr w:type="spellEnd"/>
      <w:r>
        <w:rPr>
          <w:bCs/>
          <w:color w:val="000000"/>
          <w:sz w:val="22"/>
          <w:szCs w:val="22"/>
        </w:rPr>
        <w:t xml:space="preserve">- ER/PR+, 23% (5 patients) were </w:t>
      </w:r>
      <w:proofErr w:type="spellStart"/>
      <w:r>
        <w:rPr>
          <w:bCs/>
          <w:color w:val="000000"/>
          <w:sz w:val="22"/>
          <w:szCs w:val="22"/>
        </w:rPr>
        <w:t>HER2</w:t>
      </w:r>
      <w:proofErr w:type="spellEnd"/>
      <w:r>
        <w:rPr>
          <w:bCs/>
          <w:color w:val="000000"/>
          <w:sz w:val="22"/>
          <w:szCs w:val="22"/>
        </w:rPr>
        <w:t>+</w:t>
      </w:r>
      <w:r w:rsidR="00EC54A7">
        <w:rPr>
          <w:bCs/>
          <w:color w:val="000000"/>
          <w:sz w:val="22"/>
          <w:szCs w:val="22"/>
        </w:rPr>
        <w:t>,</w:t>
      </w:r>
      <w:r>
        <w:rPr>
          <w:bCs/>
          <w:color w:val="000000"/>
          <w:sz w:val="22"/>
          <w:szCs w:val="22"/>
        </w:rPr>
        <w:t xml:space="preserve"> and one patient was triple negative. Patients with locali</w:t>
      </w:r>
      <w:r w:rsidR="0094466E">
        <w:rPr>
          <w:bCs/>
          <w:color w:val="000000"/>
          <w:sz w:val="22"/>
          <w:szCs w:val="22"/>
        </w:rPr>
        <w:t>s</w:t>
      </w:r>
      <w:r>
        <w:rPr>
          <w:bCs/>
          <w:color w:val="000000"/>
          <w:sz w:val="22"/>
          <w:szCs w:val="22"/>
        </w:rPr>
        <w:t>ed disease underwent a mastectomy, most patients were treated with chemotherapy (</w:t>
      </w:r>
      <w:proofErr w:type="spellStart"/>
      <w:r>
        <w:rPr>
          <w:bCs/>
          <w:color w:val="000000"/>
          <w:sz w:val="22"/>
          <w:szCs w:val="22"/>
        </w:rPr>
        <w:t>CTx</w:t>
      </w:r>
      <w:proofErr w:type="spellEnd"/>
      <w:r>
        <w:rPr>
          <w:bCs/>
          <w:color w:val="000000"/>
          <w:sz w:val="22"/>
          <w:szCs w:val="22"/>
        </w:rPr>
        <w:t xml:space="preserve">), and all ER/PR+ patients received adjuvant hormone therapy, mostly with good adherence and tolerability. Nineteen percent of patients treated with </w:t>
      </w:r>
      <w:commentRangeStart w:id="0"/>
      <w:r>
        <w:rPr>
          <w:bCs/>
          <w:color w:val="000000"/>
          <w:sz w:val="22"/>
          <w:szCs w:val="22"/>
        </w:rPr>
        <w:t xml:space="preserve">curative intent </w:t>
      </w:r>
      <w:commentRangeEnd w:id="0"/>
      <w:r w:rsidR="0041206C">
        <w:rPr>
          <w:rStyle w:val="CommentReference"/>
        </w:rPr>
        <w:commentReference w:id="0"/>
      </w:r>
      <w:r>
        <w:rPr>
          <w:bCs/>
          <w:color w:val="000000"/>
          <w:sz w:val="22"/>
          <w:szCs w:val="22"/>
        </w:rPr>
        <w:t xml:space="preserve">(4 out of 21 patients) relapsed. </w:t>
      </w:r>
      <w:r w:rsidRPr="00F3647D">
        <w:rPr>
          <w:b/>
          <w:color w:val="000000"/>
          <w:sz w:val="22"/>
          <w:szCs w:val="22"/>
        </w:rPr>
        <w:t>Discussion</w:t>
      </w:r>
      <w:r>
        <w:rPr>
          <w:bCs/>
          <w:color w:val="000000"/>
          <w:sz w:val="22"/>
          <w:szCs w:val="22"/>
        </w:rPr>
        <w:t xml:space="preserve">: On a national and international level, the median age at diagnosis for MBC is higher than for female BC, which was also reflected in this study. As reported on a national and international level, the predominant histological type was IDC; however, most </w:t>
      </w:r>
      <w:r w:rsidR="00494365">
        <w:rPr>
          <w:bCs/>
          <w:color w:val="000000"/>
          <w:sz w:val="22"/>
          <w:szCs w:val="22"/>
        </w:rPr>
        <w:t>tumour</w:t>
      </w:r>
      <w:r>
        <w:rPr>
          <w:bCs/>
          <w:color w:val="000000"/>
          <w:sz w:val="22"/>
          <w:szCs w:val="22"/>
        </w:rPr>
        <w:t xml:space="preserve">s were </w:t>
      </w:r>
      <w:proofErr w:type="spellStart"/>
      <w:r>
        <w:rPr>
          <w:bCs/>
          <w:color w:val="000000"/>
          <w:sz w:val="22"/>
          <w:szCs w:val="22"/>
        </w:rPr>
        <w:t>FHG</w:t>
      </w:r>
      <w:proofErr w:type="spellEnd"/>
      <w:r>
        <w:rPr>
          <w:bCs/>
          <w:color w:val="000000"/>
          <w:sz w:val="22"/>
          <w:szCs w:val="22"/>
        </w:rPr>
        <w:t xml:space="preserve"> 2-3, while on a national and international level it is well-differentiated </w:t>
      </w:r>
      <w:r w:rsidR="00494365">
        <w:rPr>
          <w:bCs/>
          <w:color w:val="000000"/>
          <w:sz w:val="22"/>
          <w:szCs w:val="22"/>
        </w:rPr>
        <w:t>tumour</w:t>
      </w:r>
      <w:r>
        <w:rPr>
          <w:bCs/>
          <w:color w:val="000000"/>
          <w:sz w:val="22"/>
          <w:szCs w:val="22"/>
        </w:rPr>
        <w:t xml:space="preserve">s that are reported most frequently. It is common for these patients to initially present with S III or </w:t>
      </w:r>
      <w:r w:rsidR="00D15837">
        <w:rPr>
          <w:bCs/>
          <w:color w:val="000000"/>
          <w:sz w:val="22"/>
          <w:szCs w:val="22"/>
        </w:rPr>
        <w:t xml:space="preserve">S </w:t>
      </w:r>
      <w:r>
        <w:rPr>
          <w:bCs/>
          <w:color w:val="000000"/>
          <w:sz w:val="22"/>
          <w:szCs w:val="22"/>
        </w:rPr>
        <w:t xml:space="preserve">IV BC, but in our study 68.1% of patients initially presented with S I-II. In accordance with what is documented in the literature, most of the </w:t>
      </w:r>
      <w:r w:rsidR="00494365">
        <w:rPr>
          <w:bCs/>
          <w:color w:val="000000"/>
          <w:sz w:val="22"/>
          <w:szCs w:val="22"/>
        </w:rPr>
        <w:t>tumour</w:t>
      </w:r>
      <w:r>
        <w:rPr>
          <w:bCs/>
          <w:color w:val="000000"/>
          <w:sz w:val="22"/>
          <w:szCs w:val="22"/>
        </w:rPr>
        <w:t xml:space="preserve">s were HR+. Twenty-three percent of our patients were </w:t>
      </w:r>
      <w:proofErr w:type="spellStart"/>
      <w:r>
        <w:rPr>
          <w:bCs/>
          <w:color w:val="000000"/>
          <w:sz w:val="22"/>
          <w:szCs w:val="22"/>
        </w:rPr>
        <w:t>HER2</w:t>
      </w:r>
      <w:proofErr w:type="spellEnd"/>
      <w:r>
        <w:rPr>
          <w:bCs/>
          <w:color w:val="000000"/>
          <w:sz w:val="22"/>
          <w:szCs w:val="22"/>
        </w:rPr>
        <w:t xml:space="preserve">+, which is similar to the figure reported for women internationally (20%) and somewhat lower than the figure reported nationally (27%). </w:t>
      </w:r>
      <w:r w:rsidRPr="00F3647D">
        <w:rPr>
          <w:b/>
          <w:color w:val="000000"/>
          <w:sz w:val="22"/>
          <w:szCs w:val="22"/>
        </w:rPr>
        <w:t>Conclusion</w:t>
      </w:r>
      <w:r>
        <w:rPr>
          <w:bCs/>
          <w:color w:val="000000"/>
          <w:sz w:val="22"/>
          <w:szCs w:val="22"/>
        </w:rPr>
        <w:t xml:space="preserve">: We present a case series of patients with MBC. In accordance with what has previously been reported, most cases were ER/PR+ and </w:t>
      </w:r>
      <w:proofErr w:type="spellStart"/>
      <w:r>
        <w:rPr>
          <w:bCs/>
          <w:color w:val="000000"/>
          <w:sz w:val="22"/>
          <w:szCs w:val="22"/>
        </w:rPr>
        <w:t>HER2</w:t>
      </w:r>
      <w:proofErr w:type="spellEnd"/>
      <w:r>
        <w:rPr>
          <w:bCs/>
          <w:color w:val="000000"/>
          <w:sz w:val="22"/>
          <w:szCs w:val="22"/>
        </w:rPr>
        <w:t xml:space="preserve">-. However, in this series, the median age at diagnosis was similar to that of </w:t>
      </w:r>
      <w:r w:rsidR="0063766F">
        <w:rPr>
          <w:bCs/>
          <w:color w:val="000000"/>
          <w:sz w:val="22"/>
          <w:szCs w:val="22"/>
        </w:rPr>
        <w:t xml:space="preserve">BC in </w:t>
      </w:r>
      <w:r>
        <w:rPr>
          <w:bCs/>
          <w:color w:val="000000"/>
          <w:sz w:val="22"/>
          <w:szCs w:val="22"/>
        </w:rPr>
        <w:t>women, and a higher proportion of the patients initially presented with locali</w:t>
      </w:r>
      <w:r w:rsidR="0094466E">
        <w:rPr>
          <w:bCs/>
          <w:color w:val="000000"/>
          <w:sz w:val="22"/>
          <w:szCs w:val="22"/>
        </w:rPr>
        <w:t>s</w:t>
      </w:r>
      <w:r>
        <w:rPr>
          <w:bCs/>
          <w:color w:val="000000"/>
          <w:sz w:val="22"/>
          <w:szCs w:val="22"/>
        </w:rPr>
        <w:t xml:space="preserve">ed stages and high-grade </w:t>
      </w:r>
      <w:r w:rsidR="00494365">
        <w:rPr>
          <w:bCs/>
          <w:color w:val="000000"/>
          <w:sz w:val="22"/>
          <w:szCs w:val="22"/>
        </w:rPr>
        <w:t>tumour</w:t>
      </w:r>
      <w:r>
        <w:rPr>
          <w:bCs/>
          <w:color w:val="000000"/>
          <w:sz w:val="22"/>
          <w:szCs w:val="22"/>
        </w:rPr>
        <w:t xml:space="preserve">s when compared to what has previously been described in the literature. </w:t>
      </w:r>
    </w:p>
    <w:p w14:paraId="09C18596" w14:textId="009D40CA" w:rsidR="006B1AE8" w:rsidRPr="0042398B" w:rsidRDefault="006B1AE8" w:rsidP="00A4081B">
      <w:pPr>
        <w:widowControl w:val="0"/>
        <w:autoSpaceDE w:val="0"/>
        <w:autoSpaceDN w:val="0"/>
        <w:adjustRightInd w:val="0"/>
        <w:spacing w:after="240"/>
        <w:jc w:val="both"/>
        <w:rPr>
          <w:bCs/>
          <w:color w:val="000000"/>
          <w:sz w:val="22"/>
          <w:szCs w:val="22"/>
        </w:rPr>
      </w:pPr>
      <w:r w:rsidRPr="00F3647D">
        <w:rPr>
          <w:b/>
          <w:color w:val="000000"/>
          <w:sz w:val="22"/>
          <w:szCs w:val="22"/>
        </w:rPr>
        <w:t>Keywords</w:t>
      </w:r>
      <w:r>
        <w:rPr>
          <w:bCs/>
          <w:color w:val="000000"/>
          <w:sz w:val="22"/>
          <w:szCs w:val="22"/>
        </w:rPr>
        <w:t xml:space="preserve">: breast neoplasm, ductal carcinoma, male, diagnosis, treatment. </w:t>
      </w:r>
    </w:p>
    <w:p w14:paraId="3E175608" w14:textId="57485473" w:rsidR="00CB44C2" w:rsidRPr="00A4081B" w:rsidRDefault="006B1C02" w:rsidP="00A4081B">
      <w:pPr>
        <w:widowControl w:val="0"/>
        <w:autoSpaceDE w:val="0"/>
        <w:autoSpaceDN w:val="0"/>
        <w:adjustRightInd w:val="0"/>
        <w:spacing w:after="240"/>
        <w:jc w:val="both"/>
        <w:rPr>
          <w:b/>
          <w:color w:val="000000"/>
          <w:sz w:val="22"/>
          <w:szCs w:val="22"/>
        </w:rPr>
      </w:pPr>
      <w:r>
        <w:rPr>
          <w:b/>
          <w:color w:val="000000"/>
          <w:sz w:val="22"/>
          <w:szCs w:val="22"/>
        </w:rPr>
        <w:t>Introduction</w:t>
      </w:r>
    </w:p>
    <w:p w14:paraId="204C4F18" w14:textId="1035FD72" w:rsidR="00F0088B" w:rsidRPr="00A4081B" w:rsidRDefault="008C3827" w:rsidP="00A4081B">
      <w:pPr>
        <w:widowControl w:val="0"/>
        <w:autoSpaceDE w:val="0"/>
        <w:autoSpaceDN w:val="0"/>
        <w:adjustRightInd w:val="0"/>
        <w:spacing w:after="240"/>
        <w:jc w:val="both"/>
        <w:rPr>
          <w:color w:val="000000"/>
          <w:sz w:val="22"/>
          <w:szCs w:val="22"/>
        </w:rPr>
      </w:pPr>
      <w:r>
        <w:rPr>
          <w:color w:val="000000"/>
          <w:sz w:val="22"/>
          <w:szCs w:val="22"/>
        </w:rPr>
        <w:t xml:space="preserve">Male breast cancer (MBC) is a rare condition. Much of what is known about the disease is based on non-randomised retrospective studies, as well as on the greater understanding we have of breast cancer (BC) in women. However, although MBC has some similarities to female BC, it is a condition that has a unique disease profile of its own. It has a set of specific clinical and pathological characteristics that make it a distinct disease, such as its age of presentation – 5 to 10 years later than in women – and a predominantly retroareolar location. It is also more hormone-sensitive, and is frequently diagnosed </w:t>
      </w:r>
      <w:r w:rsidR="00F94034">
        <w:rPr>
          <w:color w:val="000000"/>
          <w:sz w:val="22"/>
          <w:szCs w:val="22"/>
        </w:rPr>
        <w:t>at a more</w:t>
      </w:r>
      <w:r>
        <w:rPr>
          <w:color w:val="000000"/>
          <w:sz w:val="22"/>
          <w:szCs w:val="22"/>
        </w:rPr>
        <w:t xml:space="preserve"> advanced stage than in women </w:t>
      </w:r>
      <w:r w:rsidR="00623BC9">
        <w:rPr>
          <w:color w:val="000000"/>
          <w:sz w:val="22"/>
          <w:szCs w:val="22"/>
        </w:rPr>
        <w:t>[</w:t>
      </w:r>
      <w:r>
        <w:rPr>
          <w:color w:val="000000"/>
          <w:sz w:val="22"/>
          <w:szCs w:val="22"/>
        </w:rPr>
        <w:t>1</w:t>
      </w:r>
      <w:r w:rsidR="00623BC9">
        <w:rPr>
          <w:color w:val="000000"/>
          <w:sz w:val="22"/>
          <w:szCs w:val="22"/>
        </w:rPr>
        <w:t>]</w:t>
      </w:r>
      <w:r>
        <w:rPr>
          <w:color w:val="000000"/>
          <w:sz w:val="22"/>
          <w:szCs w:val="22"/>
        </w:rPr>
        <w:t xml:space="preserve">. The female/male ratio of BC in Western countries is 100/1. In Uruguay, in the period 2012-2016 the incidence of MBC was 102 cases, corresponding to 20 patients per year, which gives a crude rate of 1.29 and an adjusted rate based on the standard world population of 0.83 cases per 100,000 men </w:t>
      </w:r>
      <w:r w:rsidR="00623BC9">
        <w:rPr>
          <w:color w:val="000000"/>
          <w:sz w:val="22"/>
          <w:szCs w:val="22"/>
        </w:rPr>
        <w:t>[</w:t>
      </w:r>
      <w:r>
        <w:rPr>
          <w:color w:val="000000"/>
          <w:sz w:val="22"/>
          <w:szCs w:val="22"/>
        </w:rPr>
        <w:t>2</w:t>
      </w:r>
      <w:r w:rsidR="00623BC9">
        <w:rPr>
          <w:color w:val="000000"/>
          <w:sz w:val="22"/>
          <w:szCs w:val="22"/>
        </w:rPr>
        <w:t>]</w:t>
      </w:r>
      <w:r>
        <w:rPr>
          <w:color w:val="000000"/>
          <w:sz w:val="22"/>
          <w:szCs w:val="22"/>
        </w:rPr>
        <w:t>.</w:t>
      </w:r>
      <w:r>
        <w:rPr>
          <w:bCs/>
          <w:color w:val="000000"/>
          <w:sz w:val="22"/>
          <w:szCs w:val="22"/>
        </w:rPr>
        <w:t xml:space="preserve"> </w:t>
      </w:r>
      <w:r>
        <w:rPr>
          <w:color w:val="000000"/>
          <w:sz w:val="22"/>
          <w:szCs w:val="22"/>
        </w:rPr>
        <w:t xml:space="preserve">Like BC in women, the incidence of the disease increases with age; however, the median age at diagnosis is 65-67 years, somewhat higher than for women, where the median age at </w:t>
      </w:r>
      <w:r>
        <w:rPr>
          <w:color w:val="000000"/>
          <w:sz w:val="22"/>
          <w:szCs w:val="22"/>
        </w:rPr>
        <w:lastRenderedPageBreak/>
        <w:t xml:space="preserve">diagnosis is 61 years </w:t>
      </w:r>
      <w:r w:rsidR="00623BC9">
        <w:rPr>
          <w:color w:val="000000"/>
          <w:sz w:val="22"/>
          <w:szCs w:val="22"/>
        </w:rPr>
        <w:t>[</w:t>
      </w:r>
      <w:r>
        <w:rPr>
          <w:color w:val="000000"/>
          <w:sz w:val="22"/>
          <w:szCs w:val="22"/>
        </w:rPr>
        <w:t>3</w:t>
      </w:r>
      <w:r w:rsidR="00623BC9">
        <w:rPr>
          <w:color w:val="000000"/>
          <w:sz w:val="22"/>
          <w:szCs w:val="22"/>
        </w:rPr>
        <w:t>]</w:t>
      </w:r>
      <w:r>
        <w:rPr>
          <w:color w:val="000000"/>
          <w:sz w:val="22"/>
          <w:szCs w:val="22"/>
        </w:rPr>
        <w:t xml:space="preserve">. </w:t>
      </w:r>
    </w:p>
    <w:p w14:paraId="2A830B8F" w14:textId="49513D33" w:rsidR="00653CE1" w:rsidRPr="00A4081B" w:rsidRDefault="005D6842" w:rsidP="00A4081B">
      <w:pPr>
        <w:widowControl w:val="0"/>
        <w:autoSpaceDE w:val="0"/>
        <w:autoSpaceDN w:val="0"/>
        <w:adjustRightInd w:val="0"/>
        <w:spacing w:after="240"/>
        <w:jc w:val="both"/>
        <w:rPr>
          <w:bCs/>
          <w:color w:val="000000"/>
          <w:sz w:val="22"/>
          <w:szCs w:val="22"/>
        </w:rPr>
      </w:pPr>
      <w:r>
        <w:rPr>
          <w:bCs/>
          <w:color w:val="000000"/>
          <w:sz w:val="22"/>
          <w:szCs w:val="22"/>
        </w:rPr>
        <w:t xml:space="preserve">The </w:t>
      </w:r>
      <w:r w:rsidR="00494365">
        <w:rPr>
          <w:bCs/>
          <w:color w:val="000000"/>
          <w:sz w:val="22"/>
          <w:szCs w:val="22"/>
        </w:rPr>
        <w:t>aetiology</w:t>
      </w:r>
      <w:r>
        <w:rPr>
          <w:bCs/>
          <w:color w:val="000000"/>
          <w:sz w:val="22"/>
          <w:szCs w:val="22"/>
        </w:rPr>
        <w:t xml:space="preserve"> of MBC is unclear. Most of those affected have no associated risk factors; however, genetic, environmental and hormonal factors have been implicated in its pathogenesis. The risk factor most associated with the development of MBC is Klinefelter syndrome, a very rare condition that arises from inheriting an extra X chromosome (XXY). Patients with this condition have elevated gonadotropin and low testosterone levels, which leads to testicular atrophy and gynecomastia. These patients have a higher </w:t>
      </w:r>
      <w:r w:rsidR="00494365">
        <w:rPr>
          <w:bCs/>
          <w:color w:val="000000"/>
          <w:sz w:val="22"/>
          <w:szCs w:val="22"/>
        </w:rPr>
        <w:t>oestrogen</w:t>
      </w:r>
      <w:r>
        <w:rPr>
          <w:bCs/>
          <w:color w:val="000000"/>
          <w:sz w:val="22"/>
          <w:szCs w:val="22"/>
        </w:rPr>
        <w:t xml:space="preserve">/testosterone ratio, and their risk of developing MBC is 20 to 50 times higher than in the general population </w:t>
      </w:r>
      <w:r w:rsidR="00623BC9">
        <w:rPr>
          <w:bCs/>
          <w:color w:val="000000"/>
          <w:sz w:val="22"/>
          <w:szCs w:val="22"/>
        </w:rPr>
        <w:t>[</w:t>
      </w:r>
      <w:r>
        <w:rPr>
          <w:bCs/>
          <w:color w:val="000000"/>
          <w:sz w:val="22"/>
          <w:szCs w:val="22"/>
        </w:rPr>
        <w:t>4</w:t>
      </w:r>
      <w:r w:rsidR="00623BC9">
        <w:rPr>
          <w:bCs/>
          <w:color w:val="000000"/>
          <w:sz w:val="22"/>
          <w:szCs w:val="22"/>
        </w:rPr>
        <w:t>]</w:t>
      </w:r>
      <w:r>
        <w:rPr>
          <w:bCs/>
          <w:color w:val="000000"/>
          <w:sz w:val="22"/>
          <w:szCs w:val="22"/>
        </w:rPr>
        <w:t xml:space="preserve">. Approximately 15% to 20% of men diagnosed with BC have a family history of breast or ovarian cancer. The risk increases in proportion to the number of first-degree relatives who have been affected and the number of those who were diagnosed at an early age </w:t>
      </w:r>
      <w:r w:rsidR="00623BC9">
        <w:rPr>
          <w:bCs/>
          <w:color w:val="000000"/>
          <w:sz w:val="22"/>
          <w:szCs w:val="22"/>
        </w:rPr>
        <w:t>[</w:t>
      </w:r>
      <w:r>
        <w:rPr>
          <w:bCs/>
          <w:color w:val="000000"/>
          <w:sz w:val="22"/>
          <w:szCs w:val="22"/>
        </w:rPr>
        <w:t>5,6</w:t>
      </w:r>
      <w:r w:rsidR="00623BC9">
        <w:rPr>
          <w:bCs/>
          <w:color w:val="000000"/>
          <w:sz w:val="22"/>
          <w:szCs w:val="22"/>
        </w:rPr>
        <w:t>]</w:t>
      </w:r>
      <w:r>
        <w:rPr>
          <w:bCs/>
          <w:color w:val="000000"/>
          <w:sz w:val="22"/>
          <w:szCs w:val="22"/>
        </w:rPr>
        <w:t xml:space="preserve">. </w:t>
      </w:r>
      <w:r>
        <w:rPr>
          <w:color w:val="000000"/>
          <w:sz w:val="22"/>
          <w:szCs w:val="22"/>
        </w:rPr>
        <w:t xml:space="preserve">Genetic predisposition to MBC may result from autosomal dominant inheritance, particularly from mutations in the high-penetrance genes </w:t>
      </w:r>
      <w:proofErr w:type="spellStart"/>
      <w:r>
        <w:rPr>
          <w:color w:val="000000"/>
          <w:sz w:val="22"/>
          <w:szCs w:val="22"/>
        </w:rPr>
        <w:t>BRCA1</w:t>
      </w:r>
      <w:proofErr w:type="spellEnd"/>
      <w:r>
        <w:rPr>
          <w:color w:val="000000"/>
          <w:sz w:val="22"/>
          <w:szCs w:val="22"/>
        </w:rPr>
        <w:t xml:space="preserve"> or </w:t>
      </w:r>
      <w:proofErr w:type="spellStart"/>
      <w:r>
        <w:rPr>
          <w:color w:val="000000"/>
          <w:sz w:val="22"/>
          <w:szCs w:val="22"/>
        </w:rPr>
        <w:t>BRCA2</w:t>
      </w:r>
      <w:proofErr w:type="spellEnd"/>
      <w:r>
        <w:rPr>
          <w:color w:val="000000"/>
          <w:sz w:val="22"/>
          <w:szCs w:val="22"/>
        </w:rPr>
        <w:t xml:space="preserve">. There is little evidence linking an increased risk of developing MBC to mutations in the </w:t>
      </w:r>
      <w:proofErr w:type="spellStart"/>
      <w:r>
        <w:rPr>
          <w:color w:val="000000"/>
          <w:sz w:val="22"/>
          <w:szCs w:val="22"/>
        </w:rPr>
        <w:t>BRCA1</w:t>
      </w:r>
      <w:proofErr w:type="spellEnd"/>
      <w:r>
        <w:rPr>
          <w:color w:val="000000"/>
          <w:sz w:val="22"/>
          <w:szCs w:val="22"/>
        </w:rPr>
        <w:t xml:space="preserve"> gene; however, a mutation in the </w:t>
      </w:r>
      <w:proofErr w:type="spellStart"/>
      <w:r>
        <w:rPr>
          <w:color w:val="000000"/>
          <w:sz w:val="22"/>
          <w:szCs w:val="22"/>
        </w:rPr>
        <w:t>BRCA2</w:t>
      </w:r>
      <w:proofErr w:type="spellEnd"/>
      <w:r>
        <w:rPr>
          <w:color w:val="000000"/>
          <w:sz w:val="22"/>
          <w:szCs w:val="22"/>
        </w:rPr>
        <w:t xml:space="preserve"> gene is the most important genetic risk factor for the development of this disease. In men, </w:t>
      </w:r>
      <w:proofErr w:type="spellStart"/>
      <w:r>
        <w:rPr>
          <w:color w:val="000000"/>
          <w:sz w:val="22"/>
          <w:szCs w:val="22"/>
        </w:rPr>
        <w:t>BRCA2</w:t>
      </w:r>
      <w:proofErr w:type="spellEnd"/>
      <w:r>
        <w:rPr>
          <w:color w:val="000000"/>
          <w:sz w:val="22"/>
          <w:szCs w:val="22"/>
        </w:rPr>
        <w:t xml:space="preserve"> mutations are more prevalent (4-40%) than </w:t>
      </w:r>
      <w:proofErr w:type="spellStart"/>
      <w:r>
        <w:rPr>
          <w:color w:val="000000"/>
          <w:sz w:val="22"/>
          <w:szCs w:val="22"/>
        </w:rPr>
        <w:t>BRCA1</w:t>
      </w:r>
      <w:proofErr w:type="spellEnd"/>
      <w:r>
        <w:rPr>
          <w:color w:val="000000"/>
          <w:sz w:val="22"/>
          <w:szCs w:val="22"/>
        </w:rPr>
        <w:t xml:space="preserve"> mutations (0-4%). Men who inherit a </w:t>
      </w:r>
      <w:proofErr w:type="spellStart"/>
      <w:r>
        <w:rPr>
          <w:color w:val="000000"/>
          <w:sz w:val="22"/>
          <w:szCs w:val="22"/>
        </w:rPr>
        <w:t>BRCA2</w:t>
      </w:r>
      <w:proofErr w:type="spellEnd"/>
      <w:r>
        <w:rPr>
          <w:color w:val="000000"/>
          <w:sz w:val="22"/>
          <w:szCs w:val="22"/>
        </w:rPr>
        <w:t xml:space="preserve"> mutation have a 6.8% cumulative risk of developing MBC by the age of 70, whereas for men with a </w:t>
      </w:r>
      <w:proofErr w:type="spellStart"/>
      <w:r>
        <w:rPr>
          <w:color w:val="000000"/>
          <w:sz w:val="22"/>
          <w:szCs w:val="22"/>
        </w:rPr>
        <w:t>BRCA1</w:t>
      </w:r>
      <w:proofErr w:type="spellEnd"/>
      <w:r>
        <w:rPr>
          <w:color w:val="000000"/>
          <w:sz w:val="22"/>
          <w:szCs w:val="22"/>
        </w:rPr>
        <w:t xml:space="preserve"> mutation the risk is less than 1.2%. This risk is 80 to 100 times higher than in the general population </w:t>
      </w:r>
      <w:r w:rsidR="00623BC9">
        <w:rPr>
          <w:color w:val="000000"/>
          <w:sz w:val="22"/>
          <w:szCs w:val="22"/>
        </w:rPr>
        <w:t>[</w:t>
      </w:r>
      <w:r>
        <w:rPr>
          <w:color w:val="000000"/>
          <w:sz w:val="22"/>
          <w:szCs w:val="22"/>
        </w:rPr>
        <w:t>7-9</w:t>
      </w:r>
      <w:r w:rsidR="00623BC9">
        <w:rPr>
          <w:color w:val="000000"/>
          <w:sz w:val="22"/>
          <w:szCs w:val="22"/>
        </w:rPr>
        <w:t>]</w:t>
      </w:r>
      <w:r>
        <w:rPr>
          <w:color w:val="000000"/>
          <w:sz w:val="22"/>
          <w:szCs w:val="22"/>
        </w:rPr>
        <w:t xml:space="preserve">. </w:t>
      </w:r>
    </w:p>
    <w:p w14:paraId="005F3D80" w14:textId="1FC2E3ED" w:rsidR="00911508" w:rsidRPr="00A4081B" w:rsidRDefault="00911508" w:rsidP="00A4081B">
      <w:pPr>
        <w:widowControl w:val="0"/>
        <w:autoSpaceDE w:val="0"/>
        <w:autoSpaceDN w:val="0"/>
        <w:adjustRightInd w:val="0"/>
        <w:spacing w:after="240"/>
        <w:jc w:val="both"/>
        <w:rPr>
          <w:color w:val="000000"/>
          <w:sz w:val="22"/>
          <w:szCs w:val="22"/>
        </w:rPr>
      </w:pPr>
      <w:r>
        <w:rPr>
          <w:color w:val="000000"/>
          <w:sz w:val="22"/>
          <w:szCs w:val="22"/>
        </w:rPr>
        <w:t xml:space="preserve">Exposure to radiation is associated with an increased risk of developing MBC. Between January 1958 and December 1998, the Hiroshima and Nagasaki </w:t>
      </w:r>
      <w:r w:rsidR="00494365">
        <w:rPr>
          <w:color w:val="000000"/>
          <w:sz w:val="22"/>
          <w:szCs w:val="22"/>
        </w:rPr>
        <w:t>tumour</w:t>
      </w:r>
      <w:r>
        <w:rPr>
          <w:color w:val="000000"/>
          <w:sz w:val="22"/>
          <w:szCs w:val="22"/>
        </w:rPr>
        <w:t xml:space="preserve"> registries recorded 9 cases of MBC (a rate of 1.8 per 100,000 population), while only 3 were recorded among unexposed persons (a rate of 0.5 per 100,000 population), which is a statistically significant difference (p = 0.01) </w:t>
      </w:r>
      <w:r w:rsidR="00623BC9">
        <w:rPr>
          <w:color w:val="000000"/>
          <w:sz w:val="22"/>
          <w:szCs w:val="22"/>
        </w:rPr>
        <w:t>[</w:t>
      </w:r>
      <w:r>
        <w:rPr>
          <w:color w:val="000000"/>
          <w:sz w:val="22"/>
          <w:szCs w:val="22"/>
        </w:rPr>
        <w:t>10</w:t>
      </w:r>
      <w:r w:rsidR="00623BC9">
        <w:rPr>
          <w:color w:val="000000"/>
          <w:sz w:val="22"/>
          <w:szCs w:val="22"/>
        </w:rPr>
        <w:t>]</w:t>
      </w:r>
      <w:r>
        <w:rPr>
          <w:color w:val="000000"/>
          <w:sz w:val="22"/>
          <w:szCs w:val="22"/>
        </w:rPr>
        <w:t>.</w:t>
      </w:r>
    </w:p>
    <w:p w14:paraId="60C71517" w14:textId="1286BD5C" w:rsidR="00653CE1" w:rsidRPr="00A4081B" w:rsidRDefault="00653CE1" w:rsidP="00A4081B">
      <w:pPr>
        <w:widowControl w:val="0"/>
        <w:autoSpaceDE w:val="0"/>
        <w:autoSpaceDN w:val="0"/>
        <w:adjustRightInd w:val="0"/>
        <w:spacing w:after="240"/>
        <w:jc w:val="both"/>
        <w:rPr>
          <w:color w:val="000000"/>
          <w:sz w:val="22"/>
          <w:szCs w:val="22"/>
        </w:rPr>
      </w:pPr>
      <w:r>
        <w:rPr>
          <w:color w:val="000000"/>
          <w:sz w:val="22"/>
          <w:szCs w:val="22"/>
        </w:rPr>
        <w:t xml:space="preserve">The evidence regarding other risk factors is less conclusive. Gynecomastia associated with excess </w:t>
      </w:r>
      <w:r w:rsidR="00494365">
        <w:rPr>
          <w:color w:val="000000"/>
          <w:sz w:val="22"/>
          <w:szCs w:val="22"/>
        </w:rPr>
        <w:t>oestrogen</w:t>
      </w:r>
      <w:r>
        <w:rPr>
          <w:color w:val="000000"/>
          <w:sz w:val="22"/>
          <w:szCs w:val="22"/>
        </w:rPr>
        <w:t xml:space="preserve"> may increase the risk of developing MBC; however, it is unclear whether gynecomastia is an independent risk factor for developing the disease or whether both conditions (MBC and gynecomastia) have similar risk factors </w:t>
      </w:r>
      <w:r w:rsidR="00623BC9">
        <w:rPr>
          <w:color w:val="000000"/>
          <w:sz w:val="22"/>
          <w:szCs w:val="22"/>
        </w:rPr>
        <w:t>[</w:t>
      </w:r>
      <w:r>
        <w:rPr>
          <w:color w:val="000000"/>
          <w:sz w:val="22"/>
          <w:szCs w:val="22"/>
        </w:rPr>
        <w:t>11</w:t>
      </w:r>
      <w:r w:rsidR="00623BC9">
        <w:rPr>
          <w:color w:val="000000"/>
          <w:sz w:val="22"/>
          <w:szCs w:val="22"/>
        </w:rPr>
        <w:t>]</w:t>
      </w:r>
      <w:r>
        <w:rPr>
          <w:color w:val="000000"/>
          <w:sz w:val="22"/>
          <w:szCs w:val="22"/>
        </w:rPr>
        <w:t>.</w:t>
      </w:r>
    </w:p>
    <w:p w14:paraId="3821934D" w14:textId="036FB60E" w:rsidR="00DF2528" w:rsidRPr="00A4081B" w:rsidRDefault="00481356" w:rsidP="00A4081B">
      <w:pPr>
        <w:widowControl w:val="0"/>
        <w:autoSpaceDE w:val="0"/>
        <w:autoSpaceDN w:val="0"/>
        <w:adjustRightInd w:val="0"/>
        <w:spacing w:after="240"/>
        <w:jc w:val="both"/>
        <w:rPr>
          <w:color w:val="000000"/>
          <w:sz w:val="22"/>
          <w:szCs w:val="22"/>
        </w:rPr>
      </w:pPr>
      <w:r>
        <w:rPr>
          <w:color w:val="000000"/>
          <w:sz w:val="22"/>
          <w:szCs w:val="22"/>
        </w:rPr>
        <w:t xml:space="preserve">Diagnosis is clinical, and can be confirmed by imaging and anatomopathological examination. Like in the case of BC in women, mammography is an essential diagnostic method for assessing a suspicious breast lesion, and </w:t>
      </w:r>
      <w:r w:rsidR="00B349A5">
        <w:rPr>
          <w:color w:val="000000"/>
          <w:sz w:val="22"/>
          <w:szCs w:val="22"/>
        </w:rPr>
        <w:t xml:space="preserve">it </w:t>
      </w:r>
      <w:r>
        <w:rPr>
          <w:color w:val="000000"/>
          <w:sz w:val="22"/>
          <w:szCs w:val="22"/>
        </w:rPr>
        <w:t xml:space="preserve">has a high degree of sensitivity and specificity (92% and 90% respectively) in the diagnosis of MBC. Mammography helps to differentiate common conditions, such as gynecomastia, and to identify suspicious lesions. Mammography examinations should be bilateral and should include the standard projections (craniocaudal and mediolateral oblique) </w:t>
      </w:r>
      <w:r w:rsidR="00623BC9">
        <w:rPr>
          <w:color w:val="000000"/>
          <w:sz w:val="22"/>
          <w:szCs w:val="22"/>
        </w:rPr>
        <w:t>[</w:t>
      </w:r>
      <w:r>
        <w:rPr>
          <w:color w:val="000000"/>
          <w:sz w:val="22"/>
          <w:szCs w:val="22"/>
        </w:rPr>
        <w:t>12-14</w:t>
      </w:r>
      <w:r w:rsidR="00623BC9">
        <w:rPr>
          <w:color w:val="000000"/>
          <w:sz w:val="22"/>
          <w:szCs w:val="22"/>
        </w:rPr>
        <w:t>]</w:t>
      </w:r>
      <w:r>
        <w:rPr>
          <w:color w:val="000000"/>
          <w:sz w:val="22"/>
          <w:szCs w:val="22"/>
        </w:rPr>
        <w:t>.</w:t>
      </w:r>
    </w:p>
    <w:p w14:paraId="5080F909" w14:textId="339BA747" w:rsidR="00F67E45" w:rsidRPr="00A4081B" w:rsidRDefault="00357168" w:rsidP="00A4081B">
      <w:pPr>
        <w:widowControl w:val="0"/>
        <w:autoSpaceDE w:val="0"/>
        <w:autoSpaceDN w:val="0"/>
        <w:adjustRightInd w:val="0"/>
        <w:spacing w:after="240"/>
        <w:jc w:val="both"/>
        <w:rPr>
          <w:color w:val="000000"/>
          <w:sz w:val="22"/>
          <w:szCs w:val="22"/>
        </w:rPr>
      </w:pPr>
      <w:r>
        <w:rPr>
          <w:color w:val="000000"/>
          <w:sz w:val="22"/>
          <w:szCs w:val="22"/>
        </w:rPr>
        <w:t xml:space="preserve">Forty percent of MBC </w:t>
      </w:r>
      <w:r w:rsidR="00494365">
        <w:rPr>
          <w:color w:val="000000"/>
          <w:sz w:val="22"/>
          <w:szCs w:val="22"/>
        </w:rPr>
        <w:t>tumour</w:t>
      </w:r>
      <w:r>
        <w:rPr>
          <w:color w:val="000000"/>
          <w:sz w:val="22"/>
          <w:szCs w:val="22"/>
        </w:rPr>
        <w:t xml:space="preserve">s are locoregionally advanced and more than half present nodal involvement at the time of diagnosis. The most frequent form of clinical presentation is a painless retroareolar lump, with permanent and progressive growth. Nipple involvement appears early and can manifest itself as umbilication, ulceration or discharge. Involvement of other areas of the skin and of the pectoral muscles is also common. This form of presentation could be explained by breast tissue in men being located at a retroareolar level, where this tissue is scarce. A second explanatory factor is late diagnosis, which is generally linked to a lower clinical suspicion of the disease. Bilateral BC is very rare in men </w:t>
      </w:r>
      <w:r w:rsidR="00623BC9">
        <w:rPr>
          <w:color w:val="000000"/>
          <w:sz w:val="22"/>
          <w:szCs w:val="22"/>
        </w:rPr>
        <w:t>[</w:t>
      </w:r>
      <w:r>
        <w:rPr>
          <w:color w:val="000000"/>
          <w:sz w:val="22"/>
          <w:szCs w:val="22"/>
        </w:rPr>
        <w:t>12,13</w:t>
      </w:r>
      <w:r w:rsidR="00623BC9">
        <w:rPr>
          <w:color w:val="000000"/>
          <w:sz w:val="22"/>
          <w:szCs w:val="22"/>
        </w:rPr>
        <w:t>]</w:t>
      </w:r>
      <w:r>
        <w:rPr>
          <w:color w:val="000000"/>
          <w:sz w:val="22"/>
          <w:szCs w:val="22"/>
        </w:rPr>
        <w:t xml:space="preserve">. </w:t>
      </w:r>
    </w:p>
    <w:p w14:paraId="7EDEA2C9" w14:textId="3FC44407" w:rsidR="00F67E45" w:rsidRPr="00A4081B" w:rsidRDefault="00AE45D6" w:rsidP="00A4081B">
      <w:pPr>
        <w:widowControl w:val="0"/>
        <w:autoSpaceDE w:val="0"/>
        <w:autoSpaceDN w:val="0"/>
        <w:adjustRightInd w:val="0"/>
        <w:spacing w:after="240"/>
        <w:jc w:val="both"/>
        <w:rPr>
          <w:color w:val="000000"/>
          <w:sz w:val="22"/>
          <w:szCs w:val="22"/>
        </w:rPr>
      </w:pPr>
      <w:r>
        <w:rPr>
          <w:color w:val="000000"/>
          <w:sz w:val="22"/>
          <w:szCs w:val="22"/>
        </w:rPr>
        <w:t xml:space="preserve">Infiltrating ductal carcinoma (IDC) is the most frequent subtype, representing more than 90% of invasive </w:t>
      </w:r>
      <w:r w:rsidR="00494365">
        <w:rPr>
          <w:color w:val="000000"/>
          <w:sz w:val="22"/>
          <w:szCs w:val="22"/>
        </w:rPr>
        <w:t>tumour</w:t>
      </w:r>
      <w:r>
        <w:rPr>
          <w:color w:val="000000"/>
          <w:sz w:val="22"/>
          <w:szCs w:val="22"/>
        </w:rPr>
        <w:t xml:space="preserve">s. In men, lobular carcinomas represent </w:t>
      </w:r>
      <w:r w:rsidR="00D465C2">
        <w:rPr>
          <w:color w:val="000000"/>
          <w:sz w:val="22"/>
          <w:szCs w:val="22"/>
        </w:rPr>
        <w:t>around</w:t>
      </w:r>
      <w:r>
        <w:rPr>
          <w:color w:val="000000"/>
          <w:sz w:val="22"/>
          <w:szCs w:val="22"/>
        </w:rPr>
        <w:t xml:space="preserve"> 1% of breast carcinomas, while in women they represent </w:t>
      </w:r>
      <w:r w:rsidR="00D465C2">
        <w:rPr>
          <w:color w:val="000000"/>
          <w:sz w:val="22"/>
          <w:szCs w:val="22"/>
        </w:rPr>
        <w:t>around</w:t>
      </w:r>
      <w:r>
        <w:rPr>
          <w:color w:val="000000"/>
          <w:sz w:val="22"/>
          <w:szCs w:val="22"/>
        </w:rPr>
        <w:t xml:space="preserve"> 10% </w:t>
      </w:r>
      <w:r w:rsidR="00806953">
        <w:rPr>
          <w:color w:val="000000"/>
          <w:sz w:val="22"/>
          <w:szCs w:val="22"/>
        </w:rPr>
        <w:t>[</w:t>
      </w:r>
      <w:r>
        <w:rPr>
          <w:color w:val="000000"/>
          <w:sz w:val="22"/>
          <w:szCs w:val="22"/>
        </w:rPr>
        <w:t>15</w:t>
      </w:r>
      <w:r w:rsidR="00806953">
        <w:rPr>
          <w:color w:val="000000"/>
          <w:sz w:val="22"/>
          <w:szCs w:val="22"/>
        </w:rPr>
        <w:t>]</w:t>
      </w:r>
      <w:r>
        <w:rPr>
          <w:color w:val="000000"/>
          <w:sz w:val="22"/>
          <w:szCs w:val="22"/>
        </w:rPr>
        <w:t xml:space="preserve">. The vast majority of MBC cases (68-78%) are low grade (grade 1-2) </w:t>
      </w:r>
      <w:r w:rsidR="00623BC9">
        <w:rPr>
          <w:color w:val="000000"/>
          <w:sz w:val="22"/>
          <w:szCs w:val="22"/>
        </w:rPr>
        <w:t>[</w:t>
      </w:r>
      <w:r>
        <w:rPr>
          <w:color w:val="000000"/>
          <w:sz w:val="22"/>
          <w:szCs w:val="22"/>
        </w:rPr>
        <w:t>12,13</w:t>
      </w:r>
      <w:r w:rsidR="00623BC9">
        <w:rPr>
          <w:color w:val="000000"/>
          <w:sz w:val="22"/>
          <w:szCs w:val="22"/>
        </w:rPr>
        <w:t>]</w:t>
      </w:r>
      <w:r>
        <w:rPr>
          <w:color w:val="000000"/>
          <w:sz w:val="22"/>
          <w:szCs w:val="22"/>
        </w:rPr>
        <w:t xml:space="preserve">. MBC is hormone receptor (HR) positive (either </w:t>
      </w:r>
      <w:r w:rsidR="00494365">
        <w:rPr>
          <w:color w:val="000000"/>
          <w:sz w:val="22"/>
          <w:szCs w:val="22"/>
        </w:rPr>
        <w:t>oestrogen</w:t>
      </w:r>
      <w:r>
        <w:rPr>
          <w:color w:val="000000"/>
          <w:sz w:val="22"/>
          <w:szCs w:val="22"/>
        </w:rPr>
        <w:t xml:space="preserve"> receptor [ER] or progesterone receptor [PR] positive) more often than BC in women, with up to 90% of </w:t>
      </w:r>
      <w:r w:rsidR="00494365">
        <w:rPr>
          <w:color w:val="000000"/>
          <w:sz w:val="22"/>
          <w:szCs w:val="22"/>
        </w:rPr>
        <w:t>tumour</w:t>
      </w:r>
      <w:r>
        <w:rPr>
          <w:color w:val="000000"/>
          <w:sz w:val="22"/>
          <w:szCs w:val="22"/>
        </w:rPr>
        <w:t xml:space="preserve">s being ER-positive and up to 80% being PR-positive. Data on the overexpression of </w:t>
      </w:r>
      <w:r>
        <w:rPr>
          <w:color w:val="000000"/>
          <w:sz w:val="22"/>
          <w:szCs w:val="22"/>
        </w:rPr>
        <w:lastRenderedPageBreak/>
        <w:t>human epidermal growth factor receptor-2 (</w:t>
      </w:r>
      <w:proofErr w:type="spellStart"/>
      <w:r>
        <w:rPr>
          <w:color w:val="000000"/>
          <w:sz w:val="22"/>
          <w:szCs w:val="22"/>
        </w:rPr>
        <w:t>HER2</w:t>
      </w:r>
      <w:proofErr w:type="spellEnd"/>
      <w:r>
        <w:rPr>
          <w:color w:val="000000"/>
          <w:sz w:val="22"/>
          <w:szCs w:val="22"/>
        </w:rPr>
        <w:t xml:space="preserve">) in MBC are contradictory, with estimates ranging from 2% to 42% depending on the study </w:t>
      </w:r>
      <w:r w:rsidR="00623BC9">
        <w:rPr>
          <w:color w:val="000000"/>
          <w:sz w:val="22"/>
          <w:szCs w:val="22"/>
        </w:rPr>
        <w:t>[</w:t>
      </w:r>
      <w:r>
        <w:rPr>
          <w:color w:val="000000"/>
          <w:sz w:val="22"/>
          <w:szCs w:val="22"/>
        </w:rPr>
        <w:t>13,16</w:t>
      </w:r>
      <w:r w:rsidR="00623BC9">
        <w:rPr>
          <w:color w:val="000000"/>
          <w:sz w:val="22"/>
          <w:szCs w:val="22"/>
        </w:rPr>
        <w:t>]</w:t>
      </w:r>
      <w:r>
        <w:rPr>
          <w:color w:val="000000"/>
          <w:sz w:val="22"/>
          <w:szCs w:val="22"/>
        </w:rPr>
        <w:t xml:space="preserve">. </w:t>
      </w:r>
    </w:p>
    <w:p w14:paraId="381FD8B2" w14:textId="75F38116" w:rsidR="002E20C5" w:rsidRPr="00A4081B" w:rsidRDefault="00403620" w:rsidP="00A4081B">
      <w:pPr>
        <w:widowControl w:val="0"/>
        <w:autoSpaceDE w:val="0"/>
        <w:autoSpaceDN w:val="0"/>
        <w:adjustRightInd w:val="0"/>
        <w:spacing w:after="240"/>
        <w:jc w:val="both"/>
        <w:rPr>
          <w:color w:val="000000"/>
          <w:sz w:val="22"/>
          <w:szCs w:val="22"/>
        </w:rPr>
      </w:pPr>
      <w:r>
        <w:rPr>
          <w:color w:val="000000"/>
          <w:sz w:val="22"/>
          <w:szCs w:val="22"/>
        </w:rPr>
        <w:t xml:space="preserve">Recommendations regarding adjuvant therapy </w:t>
      </w:r>
      <w:r w:rsidR="00F5080D">
        <w:rPr>
          <w:color w:val="000000"/>
          <w:sz w:val="22"/>
          <w:szCs w:val="22"/>
        </w:rPr>
        <w:t>based on</w:t>
      </w:r>
      <w:r>
        <w:rPr>
          <w:color w:val="000000"/>
          <w:sz w:val="22"/>
          <w:szCs w:val="22"/>
        </w:rPr>
        <w:t xml:space="preserve"> chemotherapy (</w:t>
      </w:r>
      <w:proofErr w:type="spellStart"/>
      <w:r>
        <w:rPr>
          <w:color w:val="000000"/>
          <w:sz w:val="22"/>
          <w:szCs w:val="22"/>
        </w:rPr>
        <w:t>CTx</w:t>
      </w:r>
      <w:proofErr w:type="spellEnd"/>
      <w:r>
        <w:rPr>
          <w:color w:val="000000"/>
          <w:sz w:val="22"/>
          <w:szCs w:val="22"/>
        </w:rPr>
        <w:t xml:space="preserve">) ± trastuzumab ± hormone therapy (HT) </w:t>
      </w:r>
      <w:r w:rsidR="00F5080D">
        <w:rPr>
          <w:color w:val="000000"/>
          <w:sz w:val="22"/>
          <w:szCs w:val="22"/>
        </w:rPr>
        <w:t>are founded</w:t>
      </w:r>
      <w:r>
        <w:rPr>
          <w:color w:val="000000"/>
          <w:sz w:val="22"/>
          <w:szCs w:val="22"/>
        </w:rPr>
        <w:t xml:space="preserve"> on the benefits demonstrated in prospective randomi</w:t>
      </w:r>
      <w:r w:rsidR="00AD21A9">
        <w:rPr>
          <w:color w:val="000000"/>
          <w:sz w:val="22"/>
          <w:szCs w:val="22"/>
        </w:rPr>
        <w:t>s</w:t>
      </w:r>
      <w:r>
        <w:rPr>
          <w:color w:val="000000"/>
          <w:sz w:val="22"/>
          <w:szCs w:val="22"/>
        </w:rPr>
        <w:t xml:space="preserve">ed studies involving women operated on for BC. Adjuvant </w:t>
      </w:r>
      <w:proofErr w:type="spellStart"/>
      <w:r>
        <w:rPr>
          <w:color w:val="000000"/>
          <w:sz w:val="22"/>
          <w:szCs w:val="22"/>
        </w:rPr>
        <w:t>CTx</w:t>
      </w:r>
      <w:proofErr w:type="spellEnd"/>
      <w:r>
        <w:rPr>
          <w:color w:val="000000"/>
          <w:sz w:val="22"/>
          <w:szCs w:val="22"/>
        </w:rPr>
        <w:t xml:space="preserve"> should be considered in patients operated on for BC where there is a high risk of recurrence, that is: when the patient is under 35 years old; when the </w:t>
      </w:r>
      <w:r w:rsidR="00494365">
        <w:rPr>
          <w:color w:val="000000"/>
          <w:sz w:val="22"/>
          <w:szCs w:val="22"/>
        </w:rPr>
        <w:t>tumour</w:t>
      </w:r>
      <w:r>
        <w:rPr>
          <w:color w:val="000000"/>
          <w:sz w:val="22"/>
          <w:szCs w:val="22"/>
        </w:rPr>
        <w:t xml:space="preserve"> is classified as final histologic</w:t>
      </w:r>
      <w:r w:rsidR="004C6A77">
        <w:rPr>
          <w:color w:val="000000"/>
          <w:sz w:val="22"/>
          <w:szCs w:val="22"/>
        </w:rPr>
        <w:t>al</w:t>
      </w:r>
      <w:r>
        <w:rPr>
          <w:color w:val="000000"/>
          <w:sz w:val="22"/>
          <w:szCs w:val="22"/>
        </w:rPr>
        <w:t xml:space="preserve"> grade (</w:t>
      </w:r>
      <w:proofErr w:type="spellStart"/>
      <w:r>
        <w:rPr>
          <w:color w:val="000000"/>
          <w:sz w:val="22"/>
          <w:szCs w:val="22"/>
        </w:rPr>
        <w:t>FHG</w:t>
      </w:r>
      <w:proofErr w:type="spellEnd"/>
      <w:r>
        <w:rPr>
          <w:color w:val="000000"/>
          <w:sz w:val="22"/>
          <w:szCs w:val="22"/>
        </w:rPr>
        <w:t xml:space="preserve">) 2-3; when the </w:t>
      </w:r>
      <w:r w:rsidR="00494365">
        <w:rPr>
          <w:color w:val="000000"/>
          <w:sz w:val="22"/>
          <w:szCs w:val="22"/>
        </w:rPr>
        <w:t>tumour</w:t>
      </w:r>
      <w:r>
        <w:rPr>
          <w:color w:val="000000"/>
          <w:sz w:val="22"/>
          <w:szCs w:val="22"/>
        </w:rPr>
        <w:t xml:space="preserve"> is HR-negative; when the </w:t>
      </w:r>
      <w:r w:rsidR="00494365">
        <w:rPr>
          <w:color w:val="000000"/>
          <w:sz w:val="22"/>
          <w:szCs w:val="22"/>
        </w:rPr>
        <w:t>tumour</w:t>
      </w:r>
      <w:r>
        <w:rPr>
          <w:color w:val="000000"/>
          <w:sz w:val="22"/>
          <w:szCs w:val="22"/>
        </w:rPr>
        <w:t xml:space="preserve"> is </w:t>
      </w:r>
      <w:proofErr w:type="spellStart"/>
      <w:r>
        <w:rPr>
          <w:color w:val="000000"/>
          <w:sz w:val="22"/>
          <w:szCs w:val="22"/>
        </w:rPr>
        <w:t>HER2</w:t>
      </w:r>
      <w:proofErr w:type="spellEnd"/>
      <w:r>
        <w:rPr>
          <w:color w:val="000000"/>
          <w:sz w:val="22"/>
          <w:szCs w:val="22"/>
        </w:rPr>
        <w:t xml:space="preserve">-positive and larger than </w:t>
      </w:r>
      <w:r w:rsidR="00AD21A9">
        <w:rPr>
          <w:color w:val="000000"/>
          <w:sz w:val="22"/>
          <w:szCs w:val="22"/>
        </w:rPr>
        <w:t>1 cm</w:t>
      </w:r>
      <w:r>
        <w:rPr>
          <w:color w:val="000000"/>
          <w:sz w:val="22"/>
          <w:szCs w:val="22"/>
        </w:rPr>
        <w:t xml:space="preserve"> and/or has axillary node involvement; or when there is regional lymph node involvement. The updated Early Breast Cancer Trialists’ Collaborative Group (</w:t>
      </w:r>
      <w:proofErr w:type="spellStart"/>
      <w:r>
        <w:rPr>
          <w:color w:val="000000"/>
          <w:sz w:val="22"/>
          <w:szCs w:val="22"/>
        </w:rPr>
        <w:t>EBCTCG</w:t>
      </w:r>
      <w:proofErr w:type="spellEnd"/>
      <w:r>
        <w:rPr>
          <w:color w:val="000000"/>
          <w:sz w:val="22"/>
          <w:szCs w:val="22"/>
        </w:rPr>
        <w:t>) meta-analysis, which assesses results of polychemotherapy (</w:t>
      </w:r>
      <w:proofErr w:type="spellStart"/>
      <w:r>
        <w:rPr>
          <w:color w:val="000000"/>
          <w:sz w:val="22"/>
          <w:szCs w:val="22"/>
        </w:rPr>
        <w:t>PCTx</w:t>
      </w:r>
      <w:proofErr w:type="spellEnd"/>
      <w:r>
        <w:rPr>
          <w:color w:val="000000"/>
          <w:sz w:val="22"/>
          <w:szCs w:val="22"/>
        </w:rPr>
        <w:t xml:space="preserve">) in 100,000 patients with operable BC, including more than 100 clinical trials of adjuvant treatments, found that </w:t>
      </w:r>
      <w:r w:rsidR="0034401A">
        <w:rPr>
          <w:color w:val="000000"/>
          <w:sz w:val="22"/>
          <w:szCs w:val="22"/>
        </w:rPr>
        <w:t xml:space="preserve">both </w:t>
      </w:r>
      <w:r>
        <w:rPr>
          <w:color w:val="000000"/>
          <w:sz w:val="22"/>
          <w:szCs w:val="22"/>
        </w:rPr>
        <w:t xml:space="preserve">anthracycline-based regimens and non-anthracycline-based regimens of chemotherapy reduced the risk of death due to BC by 20-25% when compared to no chemotherapy, with an absolute reduction of mortality of 6.2% to 6.5% at 10 years. For patients with a positive axillary node, </w:t>
      </w:r>
      <w:proofErr w:type="spellStart"/>
      <w:r>
        <w:rPr>
          <w:color w:val="000000"/>
          <w:sz w:val="22"/>
          <w:szCs w:val="22"/>
        </w:rPr>
        <w:t>PCTx</w:t>
      </w:r>
      <w:proofErr w:type="spellEnd"/>
      <w:r>
        <w:rPr>
          <w:color w:val="000000"/>
          <w:sz w:val="22"/>
          <w:szCs w:val="22"/>
        </w:rPr>
        <w:t xml:space="preserve"> with both anthracyclines and taxanes achieved better results, with sequential regimes being better tolerated </w:t>
      </w:r>
      <w:r w:rsidR="00623BC9">
        <w:rPr>
          <w:color w:val="000000"/>
          <w:sz w:val="22"/>
          <w:szCs w:val="22"/>
        </w:rPr>
        <w:t>[</w:t>
      </w:r>
      <w:r>
        <w:rPr>
          <w:color w:val="000000"/>
          <w:sz w:val="22"/>
          <w:szCs w:val="22"/>
        </w:rPr>
        <w:t>17</w:t>
      </w:r>
      <w:r w:rsidR="00623BC9">
        <w:rPr>
          <w:color w:val="000000"/>
          <w:sz w:val="22"/>
          <w:szCs w:val="22"/>
        </w:rPr>
        <w:t>]</w:t>
      </w:r>
      <w:r>
        <w:rPr>
          <w:color w:val="000000"/>
          <w:sz w:val="22"/>
          <w:szCs w:val="22"/>
        </w:rPr>
        <w:t xml:space="preserve">. In patients with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the use of adjuvant trastuzumab should be considered for a period of one year when there is a positive axillary node or when the </w:t>
      </w:r>
      <w:r w:rsidR="00494365">
        <w:rPr>
          <w:color w:val="000000"/>
          <w:sz w:val="22"/>
          <w:szCs w:val="22"/>
        </w:rPr>
        <w:t>tumour</w:t>
      </w:r>
      <w:r>
        <w:rPr>
          <w:color w:val="000000"/>
          <w:sz w:val="22"/>
          <w:szCs w:val="22"/>
        </w:rPr>
        <w:t xml:space="preserve"> is</w:t>
      </w:r>
      <w:r w:rsidR="00AD21A9">
        <w:rPr>
          <w:color w:val="000000"/>
          <w:sz w:val="22"/>
          <w:szCs w:val="22"/>
        </w:rPr>
        <w:t xml:space="preserve"> larger than </w:t>
      </w:r>
      <w:r>
        <w:rPr>
          <w:color w:val="000000"/>
          <w:sz w:val="22"/>
          <w:szCs w:val="22"/>
        </w:rPr>
        <w:t>1 cm, even if the axillary nodes are negative. Adjuvant HT is indicated in all cases of ER</w:t>
      </w:r>
      <w:r w:rsidR="00CF3974">
        <w:rPr>
          <w:color w:val="000000"/>
          <w:sz w:val="22"/>
          <w:szCs w:val="22"/>
        </w:rPr>
        <w:t>-positive</w:t>
      </w:r>
      <w:r>
        <w:rPr>
          <w:color w:val="000000"/>
          <w:sz w:val="22"/>
          <w:szCs w:val="22"/>
        </w:rPr>
        <w:t xml:space="preserve"> and/or </w:t>
      </w:r>
      <w:commentRangeStart w:id="1"/>
      <w:r>
        <w:rPr>
          <w:color w:val="000000"/>
          <w:sz w:val="22"/>
          <w:szCs w:val="22"/>
        </w:rPr>
        <w:t xml:space="preserve">PR-positive </w:t>
      </w:r>
      <w:commentRangeEnd w:id="1"/>
      <w:r w:rsidR="00AF7813">
        <w:rPr>
          <w:rStyle w:val="CommentReference"/>
        </w:rPr>
        <w:commentReference w:id="1"/>
      </w:r>
      <w:r>
        <w:rPr>
          <w:color w:val="000000"/>
          <w:sz w:val="22"/>
          <w:szCs w:val="22"/>
        </w:rPr>
        <w:t xml:space="preserve">BC, regardless of whether or not other complementary treatments such as chemotherapy, radiotherapy or immunotherapy have been administered </w:t>
      </w:r>
      <w:r w:rsidR="00623BC9">
        <w:rPr>
          <w:color w:val="000000"/>
          <w:sz w:val="22"/>
          <w:szCs w:val="22"/>
        </w:rPr>
        <w:t>[</w:t>
      </w:r>
      <w:r>
        <w:rPr>
          <w:color w:val="000000"/>
          <w:sz w:val="22"/>
          <w:szCs w:val="22"/>
        </w:rPr>
        <w:t>18</w:t>
      </w:r>
      <w:r w:rsidR="00623BC9">
        <w:rPr>
          <w:color w:val="000000"/>
          <w:sz w:val="22"/>
          <w:szCs w:val="22"/>
        </w:rPr>
        <w:t>]</w:t>
      </w:r>
      <w:r>
        <w:rPr>
          <w:color w:val="000000"/>
          <w:sz w:val="22"/>
          <w:szCs w:val="22"/>
        </w:rPr>
        <w:t xml:space="preserve">. Therefore, we can say that for patients with MBC presenting any of the above-mentioned risk factors with triple negative </w:t>
      </w:r>
      <w:r w:rsidR="00494365">
        <w:rPr>
          <w:color w:val="000000"/>
          <w:sz w:val="22"/>
          <w:szCs w:val="22"/>
        </w:rPr>
        <w:t>tumour</w:t>
      </w:r>
      <w:r>
        <w:rPr>
          <w:color w:val="000000"/>
          <w:sz w:val="22"/>
          <w:szCs w:val="22"/>
        </w:rPr>
        <w:t xml:space="preserve">s (HR-negative and </w:t>
      </w:r>
      <w:proofErr w:type="spellStart"/>
      <w:r>
        <w:rPr>
          <w:color w:val="000000"/>
          <w:sz w:val="22"/>
          <w:szCs w:val="22"/>
        </w:rPr>
        <w:t>HER2</w:t>
      </w:r>
      <w:proofErr w:type="spellEnd"/>
      <w:r>
        <w:rPr>
          <w:color w:val="000000"/>
          <w:sz w:val="22"/>
          <w:szCs w:val="22"/>
        </w:rPr>
        <w:t xml:space="preserve">-negative), </w:t>
      </w:r>
      <w:proofErr w:type="spellStart"/>
      <w:r>
        <w:rPr>
          <w:color w:val="000000"/>
          <w:sz w:val="22"/>
          <w:szCs w:val="22"/>
        </w:rPr>
        <w:t>CTx</w:t>
      </w:r>
      <w:proofErr w:type="spellEnd"/>
      <w:r>
        <w:rPr>
          <w:color w:val="000000"/>
          <w:sz w:val="22"/>
          <w:szCs w:val="22"/>
        </w:rPr>
        <w:t xml:space="preserve"> is the only option for systemic treatment, while for patients with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larger than 1 cm or with positive axillary nodes, </w:t>
      </w:r>
      <w:proofErr w:type="spellStart"/>
      <w:r>
        <w:rPr>
          <w:color w:val="000000"/>
          <w:sz w:val="22"/>
          <w:szCs w:val="22"/>
        </w:rPr>
        <w:t>CTx</w:t>
      </w:r>
      <w:proofErr w:type="spellEnd"/>
      <w:r>
        <w:rPr>
          <w:color w:val="000000"/>
          <w:sz w:val="22"/>
          <w:szCs w:val="22"/>
        </w:rPr>
        <w:t xml:space="preserve"> with concurrent trastuzumab is a good option. Patients with HR-positive </w:t>
      </w:r>
      <w:r w:rsidR="00494365">
        <w:rPr>
          <w:color w:val="000000"/>
          <w:sz w:val="22"/>
          <w:szCs w:val="22"/>
        </w:rPr>
        <w:t>tumour</w:t>
      </w:r>
      <w:r>
        <w:rPr>
          <w:color w:val="000000"/>
          <w:sz w:val="22"/>
          <w:szCs w:val="22"/>
        </w:rPr>
        <w:t>s should also receive additional adjuvant HT.</w:t>
      </w:r>
    </w:p>
    <w:p w14:paraId="0E65CEA2" w14:textId="7CC82408" w:rsidR="00FB7858" w:rsidRPr="0042398B" w:rsidRDefault="00FB7858" w:rsidP="0042398B">
      <w:pPr>
        <w:widowControl w:val="0"/>
        <w:autoSpaceDE w:val="0"/>
        <w:autoSpaceDN w:val="0"/>
        <w:adjustRightInd w:val="0"/>
        <w:spacing w:after="240"/>
        <w:jc w:val="both"/>
        <w:rPr>
          <w:color w:val="000000"/>
          <w:sz w:val="22"/>
          <w:szCs w:val="22"/>
        </w:rPr>
      </w:pPr>
      <w:r>
        <w:rPr>
          <w:color w:val="000000"/>
          <w:sz w:val="22"/>
          <w:szCs w:val="22"/>
        </w:rPr>
        <w:t xml:space="preserve">An understanding of this disease, and of the management of diagnostic criteria and prognostic and predictive factors for treatment, as well as a knowledge of different therapeutic options, will allow </w:t>
      </w:r>
      <w:r w:rsidR="00A01C1A">
        <w:rPr>
          <w:color w:val="000000"/>
          <w:sz w:val="22"/>
          <w:szCs w:val="22"/>
        </w:rPr>
        <w:t>clinicians to provide the</w:t>
      </w:r>
      <w:r>
        <w:rPr>
          <w:color w:val="000000"/>
          <w:sz w:val="22"/>
          <w:szCs w:val="22"/>
        </w:rPr>
        <w:t xml:space="preserve"> best possible care and treatment</w:t>
      </w:r>
      <w:r w:rsidR="00A01C1A">
        <w:rPr>
          <w:color w:val="000000"/>
          <w:sz w:val="22"/>
          <w:szCs w:val="22"/>
        </w:rPr>
        <w:t xml:space="preserve"> to patients</w:t>
      </w:r>
      <w:r>
        <w:rPr>
          <w:color w:val="000000"/>
          <w:sz w:val="22"/>
          <w:szCs w:val="22"/>
        </w:rPr>
        <w:t xml:space="preserve">. In this study, we analyse 22 clinical cases of MBC from three </w:t>
      </w:r>
      <w:r w:rsidR="00494365">
        <w:rPr>
          <w:color w:val="000000"/>
          <w:sz w:val="22"/>
          <w:szCs w:val="22"/>
        </w:rPr>
        <w:t>centre</w:t>
      </w:r>
      <w:r>
        <w:rPr>
          <w:color w:val="000000"/>
          <w:sz w:val="22"/>
          <w:szCs w:val="22"/>
        </w:rPr>
        <w:t>s in Uruguay, and we discuss the results.</w:t>
      </w:r>
    </w:p>
    <w:p w14:paraId="22E9E8C6" w14:textId="3B956160" w:rsidR="00EF3FBA" w:rsidRPr="00A4081B" w:rsidRDefault="00EF3FBA" w:rsidP="00A4081B">
      <w:pPr>
        <w:widowControl w:val="0"/>
        <w:autoSpaceDE w:val="0"/>
        <w:autoSpaceDN w:val="0"/>
        <w:adjustRightInd w:val="0"/>
        <w:spacing w:after="200"/>
        <w:jc w:val="both"/>
        <w:rPr>
          <w:rFonts w:eastAsiaTheme="minorHAnsi"/>
          <w:color w:val="000000"/>
          <w:sz w:val="22"/>
          <w:szCs w:val="22"/>
        </w:rPr>
      </w:pPr>
      <w:r>
        <w:rPr>
          <w:b/>
          <w:bCs/>
          <w:color w:val="000000"/>
          <w:sz w:val="22"/>
          <w:szCs w:val="22"/>
        </w:rPr>
        <w:t>Objective</w:t>
      </w:r>
    </w:p>
    <w:p w14:paraId="0293BF63" w14:textId="1E35E5AD" w:rsidR="00EF3FBA" w:rsidRPr="00A4081B" w:rsidRDefault="00655BA9" w:rsidP="00A4081B">
      <w:pPr>
        <w:widowControl w:val="0"/>
        <w:autoSpaceDE w:val="0"/>
        <w:autoSpaceDN w:val="0"/>
        <w:adjustRightInd w:val="0"/>
        <w:spacing w:after="200"/>
        <w:jc w:val="both"/>
        <w:rPr>
          <w:rFonts w:eastAsiaTheme="minorHAnsi"/>
          <w:color w:val="000000"/>
          <w:sz w:val="22"/>
          <w:szCs w:val="22"/>
        </w:rPr>
      </w:pPr>
      <w:r>
        <w:rPr>
          <w:color w:val="000000"/>
          <w:sz w:val="22"/>
          <w:szCs w:val="22"/>
        </w:rPr>
        <w:t xml:space="preserve">To understand the characteristics of MBC, its </w:t>
      </w:r>
      <w:r w:rsidR="00835561">
        <w:rPr>
          <w:color w:val="000000"/>
          <w:sz w:val="22"/>
          <w:szCs w:val="22"/>
        </w:rPr>
        <w:t>standard</w:t>
      </w:r>
      <w:r>
        <w:rPr>
          <w:color w:val="000000"/>
          <w:sz w:val="22"/>
          <w:szCs w:val="22"/>
        </w:rPr>
        <w:t xml:space="preserve"> management in clinical practice, and the process of disease progression in our area.</w:t>
      </w:r>
    </w:p>
    <w:p w14:paraId="7921E911" w14:textId="0CDCA442" w:rsidR="00EF3FBA" w:rsidRPr="00A4081B" w:rsidRDefault="00655BA9" w:rsidP="00A4081B">
      <w:pPr>
        <w:widowControl w:val="0"/>
        <w:autoSpaceDE w:val="0"/>
        <w:autoSpaceDN w:val="0"/>
        <w:adjustRightInd w:val="0"/>
        <w:spacing w:after="200"/>
        <w:jc w:val="both"/>
        <w:rPr>
          <w:rFonts w:eastAsiaTheme="minorHAnsi"/>
          <w:color w:val="000000"/>
          <w:sz w:val="22"/>
          <w:szCs w:val="22"/>
        </w:rPr>
      </w:pPr>
      <w:r>
        <w:rPr>
          <w:b/>
          <w:color w:val="000000"/>
          <w:sz w:val="22"/>
          <w:szCs w:val="22"/>
        </w:rPr>
        <w:t xml:space="preserve">Patients and </w:t>
      </w:r>
      <w:r w:rsidR="006F461D">
        <w:rPr>
          <w:b/>
          <w:color w:val="000000"/>
          <w:sz w:val="22"/>
          <w:szCs w:val="22"/>
        </w:rPr>
        <w:t>M</w:t>
      </w:r>
      <w:r>
        <w:rPr>
          <w:b/>
          <w:color w:val="000000"/>
          <w:sz w:val="22"/>
          <w:szCs w:val="22"/>
        </w:rPr>
        <w:t>ethods</w:t>
      </w:r>
    </w:p>
    <w:p w14:paraId="24F7228C" w14:textId="0FB99091" w:rsidR="00EF3FBA" w:rsidRPr="00A4081B" w:rsidRDefault="00EF3FBA" w:rsidP="00A4081B">
      <w:pPr>
        <w:widowControl w:val="0"/>
        <w:autoSpaceDE w:val="0"/>
        <w:autoSpaceDN w:val="0"/>
        <w:adjustRightInd w:val="0"/>
        <w:spacing w:after="200"/>
        <w:jc w:val="both"/>
        <w:rPr>
          <w:rFonts w:eastAsiaTheme="minorHAnsi"/>
          <w:color w:val="000000"/>
          <w:sz w:val="22"/>
          <w:szCs w:val="22"/>
        </w:rPr>
      </w:pPr>
      <w:r>
        <w:rPr>
          <w:color w:val="000000"/>
          <w:sz w:val="22"/>
          <w:szCs w:val="22"/>
        </w:rPr>
        <w:t xml:space="preserve">We selected all patients diagnosed with MBC </w:t>
      </w:r>
      <w:r w:rsidR="002F4575">
        <w:rPr>
          <w:color w:val="000000"/>
          <w:sz w:val="22"/>
          <w:szCs w:val="22"/>
        </w:rPr>
        <w:t>during</w:t>
      </w:r>
      <w:r>
        <w:rPr>
          <w:color w:val="000000"/>
          <w:sz w:val="22"/>
          <w:szCs w:val="22"/>
        </w:rPr>
        <w:t xml:space="preserve"> the period between 1/06/2006 and 1/06/2020 </w:t>
      </w:r>
      <w:r w:rsidR="002E5E15">
        <w:rPr>
          <w:color w:val="000000"/>
          <w:sz w:val="22"/>
          <w:szCs w:val="22"/>
        </w:rPr>
        <w:t>in</w:t>
      </w:r>
      <w:r>
        <w:rPr>
          <w:color w:val="000000"/>
          <w:sz w:val="22"/>
          <w:szCs w:val="22"/>
        </w:rPr>
        <w:t xml:space="preserve"> three Oncology Departments in Uruguay: Hospital de </w:t>
      </w:r>
      <w:proofErr w:type="spellStart"/>
      <w:r>
        <w:rPr>
          <w:color w:val="000000"/>
          <w:sz w:val="22"/>
          <w:szCs w:val="22"/>
        </w:rPr>
        <w:t>Clínicas</w:t>
      </w:r>
      <w:proofErr w:type="spellEnd"/>
      <w:r>
        <w:rPr>
          <w:color w:val="000000"/>
          <w:sz w:val="22"/>
          <w:szCs w:val="22"/>
        </w:rPr>
        <w:t xml:space="preserve">, </w:t>
      </w:r>
      <w:proofErr w:type="spellStart"/>
      <w:r>
        <w:rPr>
          <w:color w:val="000000"/>
          <w:sz w:val="22"/>
          <w:szCs w:val="22"/>
        </w:rPr>
        <w:t>Servicio</w:t>
      </w:r>
      <w:proofErr w:type="spellEnd"/>
      <w:r>
        <w:rPr>
          <w:color w:val="000000"/>
          <w:sz w:val="22"/>
          <w:szCs w:val="22"/>
        </w:rPr>
        <w:t xml:space="preserve"> </w:t>
      </w:r>
      <w:proofErr w:type="spellStart"/>
      <w:r>
        <w:rPr>
          <w:color w:val="000000"/>
          <w:sz w:val="22"/>
          <w:szCs w:val="22"/>
        </w:rPr>
        <w:t>Médico</w:t>
      </w:r>
      <w:proofErr w:type="spellEnd"/>
      <w:r>
        <w:rPr>
          <w:color w:val="000000"/>
          <w:sz w:val="22"/>
          <w:szCs w:val="22"/>
        </w:rPr>
        <w:t xml:space="preserve"> Integral and </w:t>
      </w:r>
      <w:proofErr w:type="spellStart"/>
      <w:r>
        <w:rPr>
          <w:color w:val="000000"/>
          <w:sz w:val="22"/>
          <w:szCs w:val="22"/>
        </w:rPr>
        <w:t>CASMER</w:t>
      </w:r>
      <w:proofErr w:type="spellEnd"/>
      <w:r>
        <w:rPr>
          <w:color w:val="000000"/>
          <w:sz w:val="22"/>
          <w:szCs w:val="22"/>
        </w:rPr>
        <w:t xml:space="preserve">. The data were collected through detailed study of medical histories. A registration number was used </w:t>
      </w:r>
      <w:r w:rsidR="009271D1">
        <w:rPr>
          <w:color w:val="000000"/>
          <w:sz w:val="22"/>
          <w:szCs w:val="22"/>
        </w:rPr>
        <w:t>during</w:t>
      </w:r>
      <w:r>
        <w:rPr>
          <w:color w:val="000000"/>
          <w:sz w:val="22"/>
          <w:szCs w:val="22"/>
        </w:rPr>
        <w:t xml:space="preserve"> the research to identify each patient, in order to protect their personal data. The variables considered in this study were: patient’s age at diagnosis; personal history (PH) of malignant breast disease; significant family history (FH) (counting the patient, 3 or more cases of BC or ovarian cancer, with at least </w:t>
      </w:r>
      <w:r w:rsidR="009271D1">
        <w:rPr>
          <w:color w:val="000000"/>
          <w:sz w:val="22"/>
          <w:szCs w:val="22"/>
        </w:rPr>
        <w:t xml:space="preserve">one </w:t>
      </w:r>
      <w:r>
        <w:rPr>
          <w:color w:val="000000"/>
          <w:sz w:val="22"/>
          <w:szCs w:val="22"/>
        </w:rPr>
        <w:t xml:space="preserve">presenting before the age of 50); histological type; histological grade; pathologic </w:t>
      </w:r>
      <w:r w:rsidR="00494365">
        <w:rPr>
          <w:color w:val="000000"/>
          <w:sz w:val="22"/>
          <w:szCs w:val="22"/>
        </w:rPr>
        <w:t>tumour</w:t>
      </w:r>
      <w:r>
        <w:rPr>
          <w:color w:val="000000"/>
          <w:sz w:val="22"/>
          <w:szCs w:val="22"/>
        </w:rPr>
        <w:t xml:space="preserve"> size; axillary lymph node status; stage according to the </w:t>
      </w:r>
      <w:proofErr w:type="spellStart"/>
      <w:r>
        <w:rPr>
          <w:color w:val="000000"/>
          <w:sz w:val="22"/>
          <w:szCs w:val="22"/>
        </w:rPr>
        <w:t>TNM</w:t>
      </w:r>
      <w:proofErr w:type="spellEnd"/>
      <w:r>
        <w:rPr>
          <w:color w:val="000000"/>
          <w:sz w:val="22"/>
          <w:szCs w:val="22"/>
        </w:rPr>
        <w:t xml:space="preserve"> classification</w:t>
      </w:r>
      <w:r w:rsidR="00482898">
        <w:rPr>
          <w:color w:val="000000"/>
          <w:sz w:val="22"/>
          <w:szCs w:val="22"/>
        </w:rPr>
        <w:t xml:space="preserve"> system</w:t>
      </w:r>
      <w:r>
        <w:rPr>
          <w:color w:val="000000"/>
          <w:sz w:val="22"/>
          <w:szCs w:val="22"/>
        </w:rPr>
        <w:t xml:space="preserve">; </w:t>
      </w:r>
      <w:proofErr w:type="spellStart"/>
      <w:r>
        <w:rPr>
          <w:color w:val="000000"/>
          <w:sz w:val="22"/>
          <w:szCs w:val="22"/>
        </w:rPr>
        <w:t>HER2</w:t>
      </w:r>
      <w:proofErr w:type="spellEnd"/>
      <w:r>
        <w:rPr>
          <w:color w:val="000000"/>
          <w:sz w:val="22"/>
          <w:szCs w:val="22"/>
        </w:rPr>
        <w:t>, ER, and PR status determined by immunohistochemical (</w:t>
      </w:r>
      <w:proofErr w:type="spellStart"/>
      <w:r>
        <w:rPr>
          <w:color w:val="000000"/>
          <w:sz w:val="22"/>
          <w:szCs w:val="22"/>
        </w:rPr>
        <w:t>IHC</w:t>
      </w:r>
      <w:proofErr w:type="spellEnd"/>
      <w:r>
        <w:rPr>
          <w:color w:val="000000"/>
          <w:sz w:val="22"/>
          <w:szCs w:val="22"/>
        </w:rPr>
        <w:t xml:space="preserve">) analysis; treatments performed (surgery, radiation and/or systemic treatment); and </w:t>
      </w:r>
      <w:r w:rsidR="00494365">
        <w:rPr>
          <w:color w:val="000000"/>
          <w:sz w:val="22"/>
          <w:szCs w:val="22"/>
        </w:rPr>
        <w:t>tumour</w:t>
      </w:r>
      <w:r>
        <w:rPr>
          <w:color w:val="000000"/>
          <w:sz w:val="22"/>
          <w:szCs w:val="22"/>
        </w:rPr>
        <w:t xml:space="preserve"> recurrence (local and/or systemic). Three subtypes were defined based on positive or negative </w:t>
      </w:r>
      <w:r w:rsidR="00494365">
        <w:rPr>
          <w:color w:val="000000"/>
          <w:sz w:val="22"/>
          <w:szCs w:val="22"/>
        </w:rPr>
        <w:t>tumour</w:t>
      </w:r>
      <w:r>
        <w:rPr>
          <w:color w:val="000000"/>
          <w:sz w:val="22"/>
          <w:szCs w:val="22"/>
        </w:rPr>
        <w:t xml:space="preserve"> expression of </w:t>
      </w:r>
      <w:proofErr w:type="spellStart"/>
      <w:r>
        <w:rPr>
          <w:color w:val="000000"/>
          <w:sz w:val="22"/>
          <w:szCs w:val="22"/>
        </w:rPr>
        <w:t>HER2</w:t>
      </w:r>
      <w:proofErr w:type="spellEnd"/>
      <w:r>
        <w:rPr>
          <w:color w:val="000000"/>
          <w:sz w:val="22"/>
          <w:szCs w:val="22"/>
        </w:rPr>
        <w:t xml:space="preserve">, ER and PR, determined by </w:t>
      </w:r>
      <w:proofErr w:type="spellStart"/>
      <w:r>
        <w:rPr>
          <w:color w:val="000000"/>
          <w:sz w:val="22"/>
          <w:szCs w:val="22"/>
        </w:rPr>
        <w:t>IHC</w:t>
      </w:r>
      <w:proofErr w:type="spellEnd"/>
      <w:r>
        <w:rPr>
          <w:color w:val="000000"/>
          <w:sz w:val="22"/>
          <w:szCs w:val="22"/>
        </w:rPr>
        <w:t xml:space="preserve"> analysis and fluorescence in situ hybridi</w:t>
      </w:r>
      <w:r w:rsidR="00784DF5">
        <w:rPr>
          <w:color w:val="000000"/>
          <w:sz w:val="22"/>
          <w:szCs w:val="22"/>
        </w:rPr>
        <w:t>s</w:t>
      </w:r>
      <w:r>
        <w:rPr>
          <w:color w:val="000000"/>
          <w:sz w:val="22"/>
          <w:szCs w:val="22"/>
        </w:rPr>
        <w:t>ation (FISH) where necessary:</w:t>
      </w:r>
    </w:p>
    <w:p w14:paraId="37F51885" w14:textId="692C8A67" w:rsidR="00EF3FBA" w:rsidRPr="00A4081B" w:rsidRDefault="00EF3FBA" w:rsidP="00A4081B">
      <w:pPr>
        <w:widowControl w:val="0"/>
        <w:numPr>
          <w:ilvl w:val="0"/>
          <w:numId w:val="1"/>
        </w:numPr>
        <w:autoSpaceDE w:val="0"/>
        <w:autoSpaceDN w:val="0"/>
        <w:adjustRightInd w:val="0"/>
        <w:spacing w:after="200"/>
        <w:jc w:val="both"/>
        <w:rPr>
          <w:rFonts w:eastAsiaTheme="minorHAnsi"/>
          <w:color w:val="000000"/>
          <w:sz w:val="22"/>
          <w:szCs w:val="22"/>
        </w:rPr>
      </w:pPr>
      <w:proofErr w:type="spellStart"/>
      <w:r>
        <w:rPr>
          <w:color w:val="000000"/>
          <w:sz w:val="22"/>
          <w:szCs w:val="22"/>
        </w:rPr>
        <w:t>HER2</w:t>
      </w:r>
      <w:proofErr w:type="spellEnd"/>
      <w:r>
        <w:rPr>
          <w:color w:val="000000"/>
          <w:sz w:val="22"/>
          <w:szCs w:val="22"/>
        </w:rPr>
        <w:t xml:space="preserve">-, ER/PR+ = ER+ and/or PR+, </w:t>
      </w:r>
      <w:proofErr w:type="spellStart"/>
      <w:r>
        <w:rPr>
          <w:color w:val="000000"/>
          <w:sz w:val="22"/>
          <w:szCs w:val="22"/>
        </w:rPr>
        <w:t>HER2</w:t>
      </w:r>
      <w:proofErr w:type="spellEnd"/>
      <w:r>
        <w:rPr>
          <w:color w:val="000000"/>
          <w:sz w:val="22"/>
          <w:szCs w:val="22"/>
        </w:rPr>
        <w:t>-.</w:t>
      </w:r>
    </w:p>
    <w:p w14:paraId="50BA80FB" w14:textId="1A0FBF59" w:rsidR="00EF3FBA" w:rsidRPr="00A4081B" w:rsidRDefault="00EF3FBA" w:rsidP="00A4081B">
      <w:pPr>
        <w:widowControl w:val="0"/>
        <w:numPr>
          <w:ilvl w:val="0"/>
          <w:numId w:val="1"/>
        </w:numPr>
        <w:autoSpaceDE w:val="0"/>
        <w:autoSpaceDN w:val="0"/>
        <w:adjustRightInd w:val="0"/>
        <w:spacing w:after="200"/>
        <w:jc w:val="both"/>
        <w:rPr>
          <w:rFonts w:eastAsiaTheme="minorHAnsi"/>
          <w:color w:val="000000"/>
          <w:sz w:val="22"/>
          <w:szCs w:val="22"/>
        </w:rPr>
      </w:pPr>
      <w:proofErr w:type="spellStart"/>
      <w:r>
        <w:rPr>
          <w:color w:val="000000"/>
          <w:sz w:val="22"/>
          <w:szCs w:val="22"/>
        </w:rPr>
        <w:lastRenderedPageBreak/>
        <w:t>HER2</w:t>
      </w:r>
      <w:proofErr w:type="spellEnd"/>
      <w:r>
        <w:rPr>
          <w:color w:val="000000"/>
          <w:sz w:val="22"/>
          <w:szCs w:val="22"/>
        </w:rPr>
        <w:t xml:space="preserve">+ = ER+ and/or PR+, </w:t>
      </w:r>
      <w:proofErr w:type="spellStart"/>
      <w:r>
        <w:rPr>
          <w:color w:val="000000"/>
          <w:sz w:val="22"/>
          <w:szCs w:val="22"/>
        </w:rPr>
        <w:t>HER2</w:t>
      </w:r>
      <w:proofErr w:type="spellEnd"/>
      <w:r>
        <w:rPr>
          <w:color w:val="000000"/>
          <w:sz w:val="22"/>
          <w:szCs w:val="22"/>
        </w:rPr>
        <w:t>+.</w:t>
      </w:r>
    </w:p>
    <w:p w14:paraId="1DF2EEC8" w14:textId="77777777" w:rsidR="00EF3FBA" w:rsidRPr="00A4081B" w:rsidRDefault="00EF3FBA" w:rsidP="00A4081B">
      <w:pPr>
        <w:widowControl w:val="0"/>
        <w:numPr>
          <w:ilvl w:val="0"/>
          <w:numId w:val="1"/>
        </w:numPr>
        <w:autoSpaceDE w:val="0"/>
        <w:autoSpaceDN w:val="0"/>
        <w:adjustRightInd w:val="0"/>
        <w:spacing w:after="200"/>
        <w:jc w:val="both"/>
        <w:rPr>
          <w:rFonts w:eastAsiaTheme="minorHAnsi"/>
          <w:b/>
          <w:bCs/>
          <w:color w:val="000000"/>
          <w:sz w:val="22"/>
          <w:szCs w:val="22"/>
        </w:rPr>
      </w:pPr>
      <w:r>
        <w:rPr>
          <w:color w:val="000000"/>
          <w:sz w:val="22"/>
          <w:szCs w:val="22"/>
        </w:rPr>
        <w:t xml:space="preserve">ER-, PR-, </w:t>
      </w:r>
      <w:proofErr w:type="spellStart"/>
      <w:r>
        <w:rPr>
          <w:color w:val="000000"/>
          <w:sz w:val="22"/>
          <w:szCs w:val="22"/>
        </w:rPr>
        <w:t>HER2</w:t>
      </w:r>
      <w:proofErr w:type="spellEnd"/>
      <w:r>
        <w:rPr>
          <w:color w:val="000000"/>
          <w:sz w:val="22"/>
          <w:szCs w:val="22"/>
        </w:rPr>
        <w:t xml:space="preserve">- (triple negative). </w:t>
      </w:r>
    </w:p>
    <w:p w14:paraId="3B91A70F" w14:textId="77777777" w:rsidR="006B1AE8" w:rsidRPr="00A4081B" w:rsidRDefault="006B1AE8" w:rsidP="00A4081B">
      <w:pPr>
        <w:widowControl w:val="0"/>
        <w:autoSpaceDE w:val="0"/>
        <w:autoSpaceDN w:val="0"/>
        <w:adjustRightInd w:val="0"/>
        <w:spacing w:after="240"/>
        <w:jc w:val="both"/>
        <w:rPr>
          <w:b/>
          <w:color w:val="000000"/>
          <w:sz w:val="22"/>
          <w:szCs w:val="22"/>
          <w:lang w:val="en-US" w:eastAsia="es-ES_tradnl"/>
        </w:rPr>
      </w:pPr>
    </w:p>
    <w:p w14:paraId="0BBF4115" w14:textId="073A5132" w:rsidR="00CB44C2" w:rsidRPr="00A4081B" w:rsidRDefault="00CB44C2" w:rsidP="00A4081B">
      <w:pPr>
        <w:widowControl w:val="0"/>
        <w:autoSpaceDE w:val="0"/>
        <w:autoSpaceDN w:val="0"/>
        <w:adjustRightInd w:val="0"/>
        <w:spacing w:after="240"/>
        <w:jc w:val="both"/>
        <w:rPr>
          <w:b/>
          <w:color w:val="000000"/>
          <w:sz w:val="22"/>
          <w:szCs w:val="22"/>
        </w:rPr>
      </w:pPr>
      <w:r>
        <w:rPr>
          <w:b/>
          <w:color w:val="000000"/>
          <w:sz w:val="22"/>
          <w:szCs w:val="22"/>
        </w:rPr>
        <w:t>Results</w:t>
      </w:r>
    </w:p>
    <w:p w14:paraId="79AA86DE" w14:textId="37529282" w:rsidR="00C109F8" w:rsidRPr="00A4081B" w:rsidRDefault="00EF3FBA" w:rsidP="00A4081B">
      <w:pPr>
        <w:widowControl w:val="0"/>
        <w:autoSpaceDE w:val="0"/>
        <w:autoSpaceDN w:val="0"/>
        <w:adjustRightInd w:val="0"/>
        <w:spacing w:after="240"/>
        <w:jc w:val="both"/>
        <w:rPr>
          <w:color w:val="000000"/>
          <w:sz w:val="22"/>
          <w:szCs w:val="22"/>
        </w:rPr>
      </w:pPr>
      <w:r>
        <w:rPr>
          <w:color w:val="000000"/>
          <w:sz w:val="22"/>
          <w:szCs w:val="22"/>
        </w:rPr>
        <w:t>The median age at diagnosis was 62.5 years (range: 32-78 years). Twenty-seven percent (6</w:t>
      </w:r>
      <w:r w:rsidR="00F76B8A">
        <w:rPr>
          <w:color w:val="000000"/>
          <w:sz w:val="22"/>
          <w:szCs w:val="22"/>
        </w:rPr>
        <w:t xml:space="preserve"> patients</w:t>
      </w:r>
      <w:r>
        <w:rPr>
          <w:color w:val="000000"/>
          <w:sz w:val="22"/>
          <w:szCs w:val="22"/>
        </w:rPr>
        <w:t xml:space="preserve">) had a FH of BC, but only two patients had significant FH and none had a personal history of BC. All patients reported a palpable breast lump; 17 of the 22 patients presented with a breast </w:t>
      </w:r>
      <w:r w:rsidR="00494365">
        <w:rPr>
          <w:color w:val="000000"/>
          <w:sz w:val="22"/>
          <w:szCs w:val="22"/>
        </w:rPr>
        <w:t>tumour</w:t>
      </w:r>
      <w:r>
        <w:rPr>
          <w:color w:val="000000"/>
          <w:sz w:val="22"/>
          <w:szCs w:val="22"/>
        </w:rPr>
        <w:t xml:space="preserve"> with no involvement of the skin or chest wall structures, and 5 patients were classified as </w:t>
      </w:r>
      <w:proofErr w:type="spellStart"/>
      <w:r>
        <w:rPr>
          <w:color w:val="000000"/>
          <w:sz w:val="22"/>
          <w:szCs w:val="22"/>
        </w:rPr>
        <w:t>pT4</w:t>
      </w:r>
      <w:proofErr w:type="spellEnd"/>
      <w:r>
        <w:rPr>
          <w:color w:val="000000"/>
          <w:sz w:val="22"/>
          <w:szCs w:val="22"/>
        </w:rPr>
        <w:t xml:space="preserve"> (</w:t>
      </w:r>
      <w:r w:rsidR="00494365">
        <w:rPr>
          <w:color w:val="000000"/>
          <w:sz w:val="22"/>
          <w:szCs w:val="22"/>
        </w:rPr>
        <w:t>tumour</w:t>
      </w:r>
      <w:r>
        <w:rPr>
          <w:color w:val="000000"/>
          <w:sz w:val="22"/>
          <w:szCs w:val="22"/>
        </w:rPr>
        <w:t>s with skin or chest wall involvement). Of the 22 patients, 68.1% (15</w:t>
      </w:r>
      <w:r w:rsidR="00AC7441">
        <w:rPr>
          <w:color w:val="000000"/>
          <w:sz w:val="22"/>
          <w:szCs w:val="22"/>
        </w:rPr>
        <w:t xml:space="preserve"> patients</w:t>
      </w:r>
      <w:r>
        <w:rPr>
          <w:color w:val="000000"/>
          <w:sz w:val="22"/>
          <w:szCs w:val="22"/>
        </w:rPr>
        <w:t xml:space="preserve">) had clinical nodal involvement at diagnosis. The time delay between the appearance of the breast lump and the patient’s first visit ranged from 1 to 8 months, and was longer in patients with </w:t>
      </w:r>
      <w:proofErr w:type="spellStart"/>
      <w:r>
        <w:rPr>
          <w:color w:val="000000"/>
          <w:sz w:val="22"/>
          <w:szCs w:val="22"/>
        </w:rPr>
        <w:t>pT4</w:t>
      </w:r>
      <w:proofErr w:type="spellEnd"/>
      <w:r>
        <w:rPr>
          <w:color w:val="000000"/>
          <w:sz w:val="22"/>
          <w:szCs w:val="22"/>
        </w:rPr>
        <w:t xml:space="preserve"> </w:t>
      </w:r>
      <w:r w:rsidR="00494365">
        <w:rPr>
          <w:color w:val="000000"/>
          <w:sz w:val="22"/>
          <w:szCs w:val="22"/>
        </w:rPr>
        <w:t>tumour</w:t>
      </w:r>
      <w:r>
        <w:rPr>
          <w:color w:val="000000"/>
          <w:sz w:val="22"/>
          <w:szCs w:val="22"/>
        </w:rPr>
        <w:t xml:space="preserve">s. All 22 patients underwent bilateral mammography, which in most cases revealed a dense mass at the retroareolar level, with infiltrating margins. In patients with skin involvement, this mass showed dense tracts that connected with the </w:t>
      </w:r>
      <w:commentRangeStart w:id="2"/>
      <w:r>
        <w:rPr>
          <w:color w:val="000000"/>
          <w:sz w:val="22"/>
          <w:szCs w:val="22"/>
        </w:rPr>
        <w:t>nipple</w:t>
      </w:r>
      <w:commentRangeEnd w:id="2"/>
      <w:r w:rsidR="007B0D26">
        <w:rPr>
          <w:rStyle w:val="CommentReference"/>
        </w:rPr>
        <w:commentReference w:id="2"/>
      </w:r>
      <w:r>
        <w:rPr>
          <w:color w:val="000000"/>
          <w:sz w:val="22"/>
          <w:szCs w:val="22"/>
        </w:rPr>
        <w:t>, resulting in its ulceration. These findings were categori</w:t>
      </w:r>
      <w:r w:rsidR="005B2172">
        <w:rPr>
          <w:color w:val="000000"/>
          <w:sz w:val="22"/>
          <w:szCs w:val="22"/>
        </w:rPr>
        <w:t>s</w:t>
      </w:r>
      <w:r>
        <w:rPr>
          <w:color w:val="000000"/>
          <w:sz w:val="22"/>
          <w:szCs w:val="22"/>
        </w:rPr>
        <w:t xml:space="preserve">ed as BI-RADS 5. It should be noted that microcalcifications were present in two of the patients. The distribution by stages (S) was as follows: 13.6% (3 patients) were S I, 54.5% (12 patients) were S II, 27.3% (6 patients) were S III, and one patient was S IV. All </w:t>
      </w:r>
      <w:r w:rsidR="00494365">
        <w:rPr>
          <w:color w:val="000000"/>
          <w:sz w:val="22"/>
          <w:szCs w:val="22"/>
        </w:rPr>
        <w:t>tumour</w:t>
      </w:r>
      <w:r>
        <w:rPr>
          <w:color w:val="000000"/>
          <w:sz w:val="22"/>
          <w:szCs w:val="22"/>
        </w:rPr>
        <w:t>s were IDC and most (20 cases, 90.9%) were poorly differentiated (</w:t>
      </w:r>
      <w:proofErr w:type="spellStart"/>
      <w:r>
        <w:rPr>
          <w:color w:val="000000"/>
          <w:sz w:val="22"/>
          <w:szCs w:val="22"/>
        </w:rPr>
        <w:t>FHG</w:t>
      </w:r>
      <w:proofErr w:type="spellEnd"/>
      <w:r>
        <w:rPr>
          <w:color w:val="000000"/>
          <w:sz w:val="22"/>
          <w:szCs w:val="22"/>
        </w:rPr>
        <w:t xml:space="preserve"> 2-3). Two cases were </w:t>
      </w:r>
      <w:proofErr w:type="spellStart"/>
      <w:r>
        <w:rPr>
          <w:color w:val="000000"/>
          <w:sz w:val="22"/>
          <w:szCs w:val="22"/>
        </w:rPr>
        <w:t>FHG</w:t>
      </w:r>
      <w:proofErr w:type="spellEnd"/>
      <w:r>
        <w:rPr>
          <w:color w:val="000000"/>
          <w:sz w:val="22"/>
          <w:szCs w:val="22"/>
        </w:rPr>
        <w:t xml:space="preserve"> 1. The remaining clinical-pathological characteristics are shown in Table 1. With regard to biological profile: 73% (16 patients) had ER</w:t>
      </w:r>
      <w:r w:rsidR="007B15BE">
        <w:rPr>
          <w:color w:val="000000"/>
          <w:sz w:val="22"/>
          <w:szCs w:val="22"/>
        </w:rPr>
        <w:t>-positive</w:t>
      </w:r>
      <w:r>
        <w:rPr>
          <w:color w:val="000000"/>
          <w:sz w:val="22"/>
          <w:szCs w:val="22"/>
        </w:rPr>
        <w:t xml:space="preserve"> and/or PR-positive and </w:t>
      </w:r>
      <w:proofErr w:type="spellStart"/>
      <w:r>
        <w:rPr>
          <w:color w:val="000000"/>
          <w:sz w:val="22"/>
          <w:szCs w:val="22"/>
        </w:rPr>
        <w:t>HER2</w:t>
      </w:r>
      <w:proofErr w:type="spellEnd"/>
      <w:r>
        <w:rPr>
          <w:color w:val="000000"/>
          <w:sz w:val="22"/>
          <w:szCs w:val="22"/>
        </w:rPr>
        <w:t xml:space="preserve">-negative </w:t>
      </w:r>
      <w:r w:rsidR="00494365">
        <w:rPr>
          <w:color w:val="000000"/>
          <w:sz w:val="22"/>
          <w:szCs w:val="22"/>
        </w:rPr>
        <w:t>tumour</w:t>
      </w:r>
      <w:r>
        <w:rPr>
          <w:color w:val="000000"/>
          <w:sz w:val="22"/>
          <w:szCs w:val="22"/>
        </w:rPr>
        <w:t xml:space="preserve">s; 23% (5 patients) had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and 1 patient was triple negative (TN), as shown in </w:t>
      </w:r>
      <w:commentRangeStart w:id="3"/>
      <w:r>
        <w:rPr>
          <w:color w:val="000000"/>
          <w:sz w:val="22"/>
          <w:szCs w:val="22"/>
        </w:rPr>
        <w:t xml:space="preserve">Figure </w:t>
      </w:r>
      <w:r w:rsidR="00AF7813">
        <w:rPr>
          <w:color w:val="000000"/>
          <w:sz w:val="22"/>
          <w:szCs w:val="22"/>
        </w:rPr>
        <w:t>1</w:t>
      </w:r>
      <w:commentRangeEnd w:id="3"/>
      <w:r w:rsidR="00AF7813">
        <w:rPr>
          <w:rStyle w:val="CommentReference"/>
        </w:rPr>
        <w:commentReference w:id="3"/>
      </w:r>
      <w:r>
        <w:rPr>
          <w:color w:val="000000"/>
          <w:sz w:val="22"/>
          <w:szCs w:val="22"/>
        </w:rPr>
        <w:t>.</w:t>
      </w:r>
    </w:p>
    <w:p w14:paraId="3410486A" w14:textId="74D84612" w:rsidR="005B43F6" w:rsidRPr="00A4081B" w:rsidRDefault="007739EB" w:rsidP="00A4081B">
      <w:pPr>
        <w:widowControl w:val="0"/>
        <w:autoSpaceDE w:val="0"/>
        <w:autoSpaceDN w:val="0"/>
        <w:adjustRightInd w:val="0"/>
        <w:spacing w:after="240"/>
        <w:jc w:val="both"/>
        <w:rPr>
          <w:color w:val="000000"/>
          <w:sz w:val="22"/>
          <w:szCs w:val="22"/>
        </w:rPr>
      </w:pPr>
      <w:r>
        <w:rPr>
          <w:color w:val="000000"/>
          <w:sz w:val="22"/>
          <w:szCs w:val="22"/>
        </w:rPr>
        <w:t xml:space="preserve">Initial treatment for patients without metastatic disease (21 patients) was surgical in most cases (19 patients), while the remaining 2 patients were initially treated with neoadjuvant </w:t>
      </w:r>
      <w:proofErr w:type="spellStart"/>
      <w:r>
        <w:rPr>
          <w:color w:val="000000"/>
          <w:sz w:val="22"/>
          <w:szCs w:val="22"/>
        </w:rPr>
        <w:t>CTx</w:t>
      </w:r>
      <w:proofErr w:type="spellEnd"/>
      <w:r>
        <w:rPr>
          <w:color w:val="000000"/>
          <w:sz w:val="22"/>
          <w:szCs w:val="22"/>
        </w:rPr>
        <w:t>. Almost all patients underwent mastectomy, with 16 patients undergoing modified radical mastectomy (MRM) and 4 patients undergoing mastectomy plus sentinel node biopsy (</w:t>
      </w:r>
      <w:proofErr w:type="spellStart"/>
      <w:r>
        <w:rPr>
          <w:color w:val="000000"/>
          <w:sz w:val="22"/>
          <w:szCs w:val="22"/>
        </w:rPr>
        <w:t>SNB</w:t>
      </w:r>
      <w:proofErr w:type="spellEnd"/>
      <w:r>
        <w:rPr>
          <w:color w:val="000000"/>
          <w:sz w:val="22"/>
          <w:szCs w:val="22"/>
        </w:rPr>
        <w:t xml:space="preserve">); one patient was treated with conservative surgery plus </w:t>
      </w:r>
      <w:proofErr w:type="spellStart"/>
      <w:r>
        <w:rPr>
          <w:color w:val="000000"/>
          <w:sz w:val="22"/>
          <w:szCs w:val="22"/>
        </w:rPr>
        <w:t>SNB</w:t>
      </w:r>
      <w:proofErr w:type="spellEnd"/>
      <w:r>
        <w:rPr>
          <w:color w:val="000000"/>
          <w:sz w:val="22"/>
          <w:szCs w:val="22"/>
        </w:rPr>
        <w:t xml:space="preserve">. In total, 77.3% (17 patients) received systemic treatment with </w:t>
      </w:r>
      <w:proofErr w:type="spellStart"/>
      <w:r>
        <w:rPr>
          <w:color w:val="000000"/>
          <w:sz w:val="22"/>
          <w:szCs w:val="22"/>
        </w:rPr>
        <w:t>CTx</w:t>
      </w:r>
      <w:proofErr w:type="spellEnd"/>
      <w:r>
        <w:rPr>
          <w:color w:val="000000"/>
          <w:sz w:val="22"/>
          <w:szCs w:val="22"/>
        </w:rPr>
        <w:t xml:space="preserve">; of these, 16 patients received </w:t>
      </w:r>
      <w:proofErr w:type="spellStart"/>
      <w:r>
        <w:rPr>
          <w:color w:val="000000"/>
          <w:sz w:val="22"/>
          <w:szCs w:val="22"/>
        </w:rPr>
        <w:t>CTx</w:t>
      </w:r>
      <w:proofErr w:type="spellEnd"/>
      <w:r>
        <w:rPr>
          <w:color w:val="000000"/>
          <w:sz w:val="22"/>
          <w:szCs w:val="22"/>
        </w:rPr>
        <w:t xml:space="preserve"> with curative intent and the remaining patient received it as palliative therapy. Out of the total number of patients treated with </w:t>
      </w:r>
      <w:proofErr w:type="spellStart"/>
      <w:r>
        <w:rPr>
          <w:color w:val="000000"/>
          <w:sz w:val="22"/>
          <w:szCs w:val="22"/>
        </w:rPr>
        <w:t>CTx</w:t>
      </w:r>
      <w:proofErr w:type="spellEnd"/>
      <w:r>
        <w:rPr>
          <w:color w:val="000000"/>
          <w:sz w:val="22"/>
          <w:szCs w:val="22"/>
        </w:rPr>
        <w:t xml:space="preserve"> with curative intent, 14 patients received it as adjuvant therapy and two patients received it as neoadjuvant therapy, with good clinical and imaging response, undergoing surgical treatment after the end of the </w:t>
      </w:r>
      <w:proofErr w:type="spellStart"/>
      <w:r>
        <w:rPr>
          <w:color w:val="000000"/>
          <w:sz w:val="22"/>
          <w:szCs w:val="22"/>
        </w:rPr>
        <w:t>CTx</w:t>
      </w:r>
      <w:proofErr w:type="spellEnd"/>
      <w:r>
        <w:rPr>
          <w:color w:val="000000"/>
          <w:sz w:val="22"/>
          <w:szCs w:val="22"/>
        </w:rPr>
        <w:t xml:space="preserve">. The most frequently employed regimen was TC (docetaxel plus cyclophosphamide) (9 patients, 52.9%), followed by regimens involving anthracyclines (7 patients, 41.1%), mostly involving sequential use of anthracyclines and taxanes. The 5 patients with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received systemic treatment with </w:t>
      </w:r>
      <w:proofErr w:type="spellStart"/>
      <w:r>
        <w:rPr>
          <w:color w:val="000000"/>
          <w:sz w:val="22"/>
          <w:szCs w:val="22"/>
        </w:rPr>
        <w:t>HER2</w:t>
      </w:r>
      <w:proofErr w:type="spellEnd"/>
      <w:r>
        <w:rPr>
          <w:color w:val="000000"/>
          <w:sz w:val="22"/>
          <w:szCs w:val="22"/>
        </w:rPr>
        <w:t xml:space="preserve"> blockade. Four of these patients received treatment with adjuvant trastuzumab; the remaining patient received palliative treatment, with taxanes plus trastuzumab as first-line therapy and with lapatinib plus capecitabine following disease progression. Twelve of the twenty-one patients (57.1%) who received treatment with curative intent were treated with adjuvant radiotherapy (</w:t>
      </w:r>
      <w:proofErr w:type="spellStart"/>
      <w:r>
        <w:rPr>
          <w:color w:val="000000"/>
          <w:sz w:val="22"/>
          <w:szCs w:val="22"/>
        </w:rPr>
        <w:t>RTx</w:t>
      </w:r>
      <w:proofErr w:type="spellEnd"/>
      <w:r>
        <w:rPr>
          <w:color w:val="000000"/>
          <w:sz w:val="22"/>
          <w:szCs w:val="22"/>
        </w:rPr>
        <w:t xml:space="preserve">) in the breast area, using tangential fields, and receiving a dose of 5000 </w:t>
      </w:r>
      <w:proofErr w:type="spellStart"/>
      <w:r>
        <w:rPr>
          <w:color w:val="000000"/>
          <w:sz w:val="22"/>
          <w:szCs w:val="22"/>
        </w:rPr>
        <w:t>cGy</w:t>
      </w:r>
      <w:proofErr w:type="spellEnd"/>
      <w:r>
        <w:rPr>
          <w:color w:val="000000"/>
          <w:sz w:val="22"/>
          <w:szCs w:val="22"/>
        </w:rPr>
        <w:t xml:space="preserve"> with standard fractionation. These patients were at greater risk of relapse, since they had four or more involved lymph nodes, </w:t>
      </w:r>
      <w:r w:rsidR="00494365">
        <w:rPr>
          <w:color w:val="000000"/>
          <w:sz w:val="22"/>
          <w:szCs w:val="22"/>
        </w:rPr>
        <w:t>tumour</w:t>
      </w:r>
      <w:r>
        <w:rPr>
          <w:color w:val="000000"/>
          <w:sz w:val="22"/>
          <w:szCs w:val="22"/>
        </w:rPr>
        <w:t xml:space="preserve">s that were larger than 5 cm, or involvement of locoregional structures and/or skin. All patients with non-metastatic disease and HR-positive </w:t>
      </w:r>
      <w:r w:rsidR="00494365">
        <w:rPr>
          <w:color w:val="000000"/>
          <w:sz w:val="22"/>
          <w:szCs w:val="22"/>
        </w:rPr>
        <w:t>tumour</w:t>
      </w:r>
      <w:r>
        <w:rPr>
          <w:color w:val="000000"/>
          <w:sz w:val="22"/>
          <w:szCs w:val="22"/>
        </w:rPr>
        <w:t xml:space="preserve">s (20 patients) received treatment with adjuvant HT based on adjuvant tamoxifen for 5 years; two of these patients continued with aromatase inhibitors until completing 10 years of treatment. Most patients exhibited good adherence and tolerability </w:t>
      </w:r>
      <w:r w:rsidR="00FA2004">
        <w:rPr>
          <w:color w:val="000000"/>
          <w:sz w:val="22"/>
          <w:szCs w:val="22"/>
        </w:rPr>
        <w:t>to</w:t>
      </w:r>
      <w:r>
        <w:rPr>
          <w:color w:val="000000"/>
          <w:sz w:val="22"/>
          <w:szCs w:val="22"/>
        </w:rPr>
        <w:t xml:space="preserve"> the treatment. Only one patient </w:t>
      </w:r>
      <w:r w:rsidR="00A3581A">
        <w:rPr>
          <w:color w:val="000000"/>
          <w:sz w:val="22"/>
          <w:szCs w:val="22"/>
        </w:rPr>
        <w:t>discontinued</w:t>
      </w:r>
      <w:r>
        <w:rPr>
          <w:color w:val="000000"/>
          <w:sz w:val="22"/>
          <w:szCs w:val="22"/>
        </w:rPr>
        <w:t xml:space="preserve"> the treatment due to poor tolerability. Four of the twenty-one patients (19%) treated with </w:t>
      </w:r>
      <w:commentRangeStart w:id="4"/>
      <w:r>
        <w:rPr>
          <w:color w:val="000000"/>
          <w:sz w:val="22"/>
          <w:szCs w:val="22"/>
        </w:rPr>
        <w:t xml:space="preserve">curative intent </w:t>
      </w:r>
      <w:commentRangeEnd w:id="4"/>
      <w:r w:rsidR="0041206C">
        <w:rPr>
          <w:rStyle w:val="CommentReference"/>
        </w:rPr>
        <w:commentReference w:id="4"/>
      </w:r>
      <w:r>
        <w:rPr>
          <w:color w:val="000000"/>
          <w:sz w:val="22"/>
          <w:szCs w:val="22"/>
        </w:rPr>
        <w:t xml:space="preserve">relapsed, while the remaining patients are still undergoing monitoring or treatment with no evidence of relapse. Patients who only relapsed locally promptly received local and systemic treatment. In patients who presented systemic relapse, systemic treatment was initiated; all are </w:t>
      </w:r>
      <w:r w:rsidR="00397A26">
        <w:rPr>
          <w:color w:val="000000"/>
          <w:sz w:val="22"/>
          <w:szCs w:val="22"/>
        </w:rPr>
        <w:t>undergoing</w:t>
      </w:r>
      <w:r>
        <w:rPr>
          <w:color w:val="000000"/>
          <w:sz w:val="22"/>
          <w:szCs w:val="22"/>
        </w:rPr>
        <w:t xml:space="preserve"> treatment to date. The </w:t>
      </w:r>
      <w:r>
        <w:rPr>
          <w:color w:val="000000"/>
          <w:sz w:val="22"/>
          <w:szCs w:val="22"/>
        </w:rPr>
        <w:lastRenderedPageBreak/>
        <w:t>remaining patients remain disease-free to date. The patient who initially presented with metastatic disease died due to disease progression.</w:t>
      </w:r>
    </w:p>
    <w:p w14:paraId="6FB6DA01" w14:textId="1C57743C" w:rsidR="005B43F6" w:rsidRPr="00A4081B" w:rsidRDefault="004D4EA4" w:rsidP="00A4081B">
      <w:pPr>
        <w:widowControl w:val="0"/>
        <w:autoSpaceDE w:val="0"/>
        <w:autoSpaceDN w:val="0"/>
        <w:adjustRightInd w:val="0"/>
        <w:spacing w:after="240"/>
        <w:jc w:val="both"/>
        <w:rPr>
          <w:b/>
          <w:bCs/>
          <w:color w:val="000000"/>
          <w:sz w:val="22"/>
          <w:szCs w:val="22"/>
        </w:rPr>
      </w:pPr>
      <w:r>
        <w:rPr>
          <w:b/>
          <w:bCs/>
          <w:color w:val="000000"/>
          <w:sz w:val="22"/>
          <w:szCs w:val="22"/>
        </w:rPr>
        <w:t>Discussion</w:t>
      </w:r>
    </w:p>
    <w:p w14:paraId="54D64DDA" w14:textId="004C6F6D" w:rsidR="00D75120" w:rsidRPr="00A4081B" w:rsidRDefault="008F2315" w:rsidP="00A4081B">
      <w:pPr>
        <w:widowControl w:val="0"/>
        <w:autoSpaceDE w:val="0"/>
        <w:autoSpaceDN w:val="0"/>
        <w:adjustRightInd w:val="0"/>
        <w:spacing w:after="240"/>
        <w:jc w:val="both"/>
        <w:rPr>
          <w:color w:val="000000"/>
          <w:sz w:val="22"/>
          <w:szCs w:val="22"/>
        </w:rPr>
      </w:pPr>
      <w:r>
        <w:rPr>
          <w:color w:val="000000"/>
          <w:sz w:val="22"/>
          <w:szCs w:val="22"/>
        </w:rPr>
        <w:t xml:space="preserve">On a national and international level, the median age at diagnosis for MBC is higher than for female BC, which was also reflected in this study </w:t>
      </w:r>
      <w:r w:rsidR="00623BC9">
        <w:rPr>
          <w:color w:val="000000"/>
          <w:sz w:val="22"/>
          <w:szCs w:val="22"/>
        </w:rPr>
        <w:t>[</w:t>
      </w:r>
      <w:r>
        <w:rPr>
          <w:color w:val="000000"/>
          <w:sz w:val="22"/>
          <w:szCs w:val="22"/>
        </w:rPr>
        <w:t>3</w:t>
      </w:r>
      <w:r w:rsidR="00623BC9">
        <w:rPr>
          <w:color w:val="000000"/>
          <w:sz w:val="22"/>
          <w:szCs w:val="22"/>
        </w:rPr>
        <w:t>]</w:t>
      </w:r>
      <w:r>
        <w:rPr>
          <w:color w:val="000000"/>
          <w:sz w:val="22"/>
          <w:szCs w:val="22"/>
        </w:rPr>
        <w:t xml:space="preserve">. As previously mentioned, the </w:t>
      </w:r>
      <w:r w:rsidR="00F34946">
        <w:rPr>
          <w:color w:val="000000"/>
          <w:sz w:val="22"/>
          <w:szCs w:val="22"/>
        </w:rPr>
        <w:t>a</w:t>
      </w:r>
      <w:r>
        <w:rPr>
          <w:color w:val="000000"/>
          <w:sz w:val="22"/>
          <w:szCs w:val="22"/>
        </w:rPr>
        <w:t xml:space="preserve">etiology of MBC is unclear. Most of those affected have no associated risk factors; however, genetic, environmental and hormonal factors have been implicated in its pathogenesis. None of the patients included </w:t>
      </w:r>
      <w:r w:rsidR="00817226">
        <w:rPr>
          <w:color w:val="000000"/>
          <w:sz w:val="22"/>
          <w:szCs w:val="22"/>
        </w:rPr>
        <w:t xml:space="preserve">in this study </w:t>
      </w:r>
      <w:r>
        <w:rPr>
          <w:color w:val="000000"/>
          <w:sz w:val="22"/>
          <w:szCs w:val="22"/>
        </w:rPr>
        <w:t xml:space="preserve">had been exposed to radiation prior to disease development, and none had Klinefelter syndrome, the risk factor that is most strongly associated with the development of MBC </w:t>
      </w:r>
      <w:r w:rsidR="00623BC9">
        <w:rPr>
          <w:color w:val="000000"/>
          <w:sz w:val="22"/>
          <w:szCs w:val="22"/>
        </w:rPr>
        <w:t>[</w:t>
      </w:r>
      <w:r>
        <w:rPr>
          <w:color w:val="000000"/>
          <w:sz w:val="22"/>
          <w:szCs w:val="22"/>
        </w:rPr>
        <w:t>4,19</w:t>
      </w:r>
      <w:r w:rsidR="00623BC9">
        <w:rPr>
          <w:color w:val="000000"/>
          <w:sz w:val="22"/>
          <w:szCs w:val="22"/>
        </w:rPr>
        <w:t>]</w:t>
      </w:r>
      <w:r>
        <w:rPr>
          <w:color w:val="000000"/>
          <w:sz w:val="22"/>
          <w:szCs w:val="22"/>
        </w:rPr>
        <w:t xml:space="preserve">. Most of the patients included seemed to correspond to isolated cases with no familial links; 27% had a FH of BC, and two of these had significant FH, a figure that is somewhat higher than what is usually reported, as only 5-10% of all BC cases are attributable to a mutation in the </w:t>
      </w:r>
      <w:proofErr w:type="spellStart"/>
      <w:r>
        <w:rPr>
          <w:color w:val="000000"/>
          <w:sz w:val="22"/>
          <w:szCs w:val="22"/>
        </w:rPr>
        <w:t>BRCA1</w:t>
      </w:r>
      <w:proofErr w:type="spellEnd"/>
      <w:r>
        <w:rPr>
          <w:color w:val="000000"/>
          <w:sz w:val="22"/>
          <w:szCs w:val="22"/>
        </w:rPr>
        <w:t xml:space="preserve"> and </w:t>
      </w:r>
      <w:proofErr w:type="spellStart"/>
      <w:r w:rsidR="00647B92">
        <w:rPr>
          <w:color w:val="000000"/>
          <w:sz w:val="22"/>
          <w:szCs w:val="22"/>
        </w:rPr>
        <w:t>BRCA</w:t>
      </w:r>
      <w:r>
        <w:rPr>
          <w:color w:val="000000"/>
          <w:sz w:val="22"/>
          <w:szCs w:val="22"/>
        </w:rPr>
        <w:t>2</w:t>
      </w:r>
      <w:proofErr w:type="spellEnd"/>
      <w:r>
        <w:rPr>
          <w:color w:val="000000"/>
          <w:sz w:val="22"/>
          <w:szCs w:val="22"/>
        </w:rPr>
        <w:t xml:space="preserve"> genes. Although the presence of MBC naturally leads one to suspect the presence of a mutation in the BRCA genes, it is not known if any of the patients included in this study were carriers of this mutation, since this test was not carried out, despite being requested.</w:t>
      </w:r>
    </w:p>
    <w:p w14:paraId="3C7576D7" w14:textId="677288B2" w:rsidR="00C51540" w:rsidRPr="00A4081B" w:rsidRDefault="009A059C" w:rsidP="00A4081B">
      <w:pPr>
        <w:widowControl w:val="0"/>
        <w:autoSpaceDE w:val="0"/>
        <w:autoSpaceDN w:val="0"/>
        <w:adjustRightInd w:val="0"/>
        <w:spacing w:after="240"/>
        <w:jc w:val="both"/>
        <w:rPr>
          <w:color w:val="000000"/>
          <w:sz w:val="22"/>
          <w:szCs w:val="22"/>
        </w:rPr>
      </w:pPr>
      <w:r>
        <w:rPr>
          <w:color w:val="000000"/>
          <w:sz w:val="22"/>
          <w:szCs w:val="22"/>
        </w:rPr>
        <w:t xml:space="preserve">Similar to what has been found on a national </w:t>
      </w:r>
      <w:r w:rsidR="00623BC9">
        <w:rPr>
          <w:color w:val="000000"/>
          <w:sz w:val="22"/>
          <w:szCs w:val="22"/>
        </w:rPr>
        <w:t>[</w:t>
      </w:r>
      <w:r>
        <w:rPr>
          <w:color w:val="000000"/>
          <w:sz w:val="22"/>
          <w:szCs w:val="22"/>
        </w:rPr>
        <w:t>20,21</w:t>
      </w:r>
      <w:r w:rsidR="00623BC9">
        <w:rPr>
          <w:color w:val="000000"/>
          <w:sz w:val="22"/>
          <w:szCs w:val="22"/>
        </w:rPr>
        <w:t>]</w:t>
      </w:r>
      <w:r>
        <w:rPr>
          <w:color w:val="000000"/>
          <w:sz w:val="22"/>
          <w:szCs w:val="22"/>
        </w:rPr>
        <w:t xml:space="preserve"> and international level </w:t>
      </w:r>
      <w:r w:rsidR="00623BC9">
        <w:rPr>
          <w:color w:val="000000"/>
          <w:sz w:val="22"/>
          <w:szCs w:val="22"/>
        </w:rPr>
        <w:t>[</w:t>
      </w:r>
      <w:r>
        <w:rPr>
          <w:color w:val="000000"/>
          <w:sz w:val="22"/>
          <w:szCs w:val="22"/>
        </w:rPr>
        <w:t>22</w:t>
      </w:r>
      <w:r w:rsidR="00623BC9">
        <w:rPr>
          <w:color w:val="000000"/>
          <w:sz w:val="22"/>
          <w:szCs w:val="22"/>
        </w:rPr>
        <w:t>]</w:t>
      </w:r>
      <w:r>
        <w:rPr>
          <w:color w:val="000000"/>
          <w:sz w:val="22"/>
          <w:szCs w:val="22"/>
        </w:rPr>
        <w:t>, the predominant histological type was IDC</w:t>
      </w:r>
      <w:r w:rsidR="00B63A62">
        <w:rPr>
          <w:color w:val="000000"/>
          <w:sz w:val="22"/>
          <w:szCs w:val="22"/>
        </w:rPr>
        <w:t>. L</w:t>
      </w:r>
      <w:r>
        <w:rPr>
          <w:color w:val="000000"/>
          <w:sz w:val="22"/>
          <w:szCs w:val="22"/>
        </w:rPr>
        <w:t xml:space="preserve">obular carcinomas are extremely unusual in men </w:t>
      </w:r>
      <w:r w:rsidR="00623BC9">
        <w:rPr>
          <w:color w:val="000000"/>
          <w:sz w:val="22"/>
          <w:szCs w:val="22"/>
        </w:rPr>
        <w:t>[</w:t>
      </w:r>
      <w:r>
        <w:rPr>
          <w:color w:val="000000"/>
          <w:sz w:val="22"/>
          <w:szCs w:val="22"/>
        </w:rPr>
        <w:t>23</w:t>
      </w:r>
      <w:r w:rsidR="00623BC9">
        <w:rPr>
          <w:color w:val="000000"/>
          <w:sz w:val="22"/>
          <w:szCs w:val="22"/>
        </w:rPr>
        <w:t>]</w:t>
      </w:r>
      <w:r>
        <w:rPr>
          <w:color w:val="000000"/>
          <w:sz w:val="22"/>
          <w:szCs w:val="22"/>
        </w:rPr>
        <w:t xml:space="preserve">. On the other hand, most of the </w:t>
      </w:r>
      <w:r w:rsidR="00494365">
        <w:rPr>
          <w:color w:val="000000"/>
          <w:sz w:val="22"/>
          <w:szCs w:val="22"/>
        </w:rPr>
        <w:t>tumour</w:t>
      </w:r>
      <w:r>
        <w:rPr>
          <w:color w:val="000000"/>
          <w:sz w:val="22"/>
          <w:szCs w:val="22"/>
        </w:rPr>
        <w:t>s in our series (20 cases, 90.9%) differed from what has previously been reported in that they were poorly differentiated</w:t>
      </w:r>
      <w:r w:rsidR="00533185">
        <w:rPr>
          <w:color w:val="000000"/>
          <w:sz w:val="22"/>
          <w:szCs w:val="22"/>
        </w:rPr>
        <w:t xml:space="preserve"> (</w:t>
      </w:r>
      <w:proofErr w:type="spellStart"/>
      <w:r>
        <w:rPr>
          <w:color w:val="000000"/>
          <w:sz w:val="22"/>
          <w:szCs w:val="22"/>
        </w:rPr>
        <w:t>FHG</w:t>
      </w:r>
      <w:proofErr w:type="spellEnd"/>
      <w:r>
        <w:rPr>
          <w:color w:val="000000"/>
          <w:sz w:val="22"/>
          <w:szCs w:val="22"/>
        </w:rPr>
        <w:t xml:space="preserve"> 2-3</w:t>
      </w:r>
      <w:r w:rsidR="00533185">
        <w:rPr>
          <w:color w:val="000000"/>
          <w:sz w:val="22"/>
          <w:szCs w:val="22"/>
        </w:rPr>
        <w:t>)</w:t>
      </w:r>
      <w:r>
        <w:rPr>
          <w:color w:val="000000"/>
          <w:sz w:val="22"/>
          <w:szCs w:val="22"/>
        </w:rPr>
        <w:t xml:space="preserve">, and only two cases were </w:t>
      </w:r>
      <w:proofErr w:type="spellStart"/>
      <w:r>
        <w:rPr>
          <w:color w:val="000000"/>
          <w:sz w:val="22"/>
          <w:szCs w:val="22"/>
        </w:rPr>
        <w:t>FHG</w:t>
      </w:r>
      <w:proofErr w:type="spellEnd"/>
      <w:r>
        <w:rPr>
          <w:color w:val="000000"/>
          <w:sz w:val="22"/>
          <w:szCs w:val="22"/>
        </w:rPr>
        <w:t xml:space="preserve"> 1. In the literature, approximately 80% of MBC cases are </w:t>
      </w:r>
      <w:proofErr w:type="spellStart"/>
      <w:r>
        <w:rPr>
          <w:color w:val="000000"/>
          <w:sz w:val="22"/>
          <w:szCs w:val="22"/>
        </w:rPr>
        <w:t>FHG</w:t>
      </w:r>
      <w:proofErr w:type="spellEnd"/>
      <w:r>
        <w:rPr>
          <w:color w:val="000000"/>
          <w:sz w:val="22"/>
          <w:szCs w:val="22"/>
        </w:rPr>
        <w:t xml:space="preserve"> 1 and 2, both internationally </w:t>
      </w:r>
      <w:r w:rsidR="00623BC9">
        <w:rPr>
          <w:color w:val="000000"/>
          <w:sz w:val="22"/>
          <w:szCs w:val="22"/>
        </w:rPr>
        <w:t>[</w:t>
      </w:r>
      <w:r>
        <w:rPr>
          <w:color w:val="000000"/>
          <w:sz w:val="22"/>
          <w:szCs w:val="22"/>
        </w:rPr>
        <w:t>12,13</w:t>
      </w:r>
      <w:r w:rsidR="00623BC9">
        <w:rPr>
          <w:color w:val="000000"/>
          <w:sz w:val="22"/>
          <w:szCs w:val="22"/>
        </w:rPr>
        <w:t>]</w:t>
      </w:r>
      <w:r>
        <w:rPr>
          <w:color w:val="000000"/>
          <w:sz w:val="22"/>
          <w:szCs w:val="22"/>
        </w:rPr>
        <w:t xml:space="preserve"> and nationally </w:t>
      </w:r>
      <w:r w:rsidR="00623BC9">
        <w:rPr>
          <w:color w:val="000000"/>
          <w:sz w:val="22"/>
          <w:szCs w:val="22"/>
        </w:rPr>
        <w:t>[</w:t>
      </w:r>
      <w:r>
        <w:rPr>
          <w:color w:val="000000"/>
          <w:sz w:val="22"/>
          <w:szCs w:val="22"/>
        </w:rPr>
        <w:t>21</w:t>
      </w:r>
      <w:r w:rsidR="00623BC9">
        <w:rPr>
          <w:color w:val="000000"/>
          <w:sz w:val="22"/>
          <w:szCs w:val="22"/>
        </w:rPr>
        <w:t>]</w:t>
      </w:r>
      <w:r>
        <w:rPr>
          <w:color w:val="000000"/>
          <w:sz w:val="22"/>
          <w:szCs w:val="22"/>
        </w:rPr>
        <w:t xml:space="preserve">. Although determining Ki-67 is routine in the pathological anatomy departments of the </w:t>
      </w:r>
      <w:r w:rsidR="00494365">
        <w:rPr>
          <w:color w:val="000000"/>
          <w:sz w:val="22"/>
          <w:szCs w:val="22"/>
        </w:rPr>
        <w:t>centre</w:t>
      </w:r>
      <w:r>
        <w:rPr>
          <w:color w:val="000000"/>
          <w:sz w:val="22"/>
          <w:szCs w:val="22"/>
        </w:rPr>
        <w:t>s where the patients were attended, the retrospective nature of th</w:t>
      </w:r>
      <w:r w:rsidR="001D2EBF">
        <w:rPr>
          <w:color w:val="000000"/>
          <w:sz w:val="22"/>
          <w:szCs w:val="22"/>
        </w:rPr>
        <w:t>is</w:t>
      </w:r>
      <w:r>
        <w:rPr>
          <w:color w:val="000000"/>
          <w:sz w:val="22"/>
          <w:szCs w:val="22"/>
        </w:rPr>
        <w:t xml:space="preserve"> study limits any recording of this variable.</w:t>
      </w:r>
    </w:p>
    <w:p w14:paraId="2A3A8345" w14:textId="09B2C570" w:rsidR="002500F9" w:rsidRPr="00A4081B" w:rsidRDefault="00825436" w:rsidP="00A4081B">
      <w:pPr>
        <w:widowControl w:val="0"/>
        <w:autoSpaceDE w:val="0"/>
        <w:autoSpaceDN w:val="0"/>
        <w:adjustRightInd w:val="0"/>
        <w:spacing w:after="240"/>
        <w:jc w:val="both"/>
        <w:rPr>
          <w:color w:val="000000"/>
          <w:sz w:val="22"/>
          <w:szCs w:val="22"/>
        </w:rPr>
      </w:pPr>
      <w:r>
        <w:rPr>
          <w:color w:val="000000"/>
          <w:sz w:val="22"/>
          <w:szCs w:val="22"/>
        </w:rPr>
        <w:t xml:space="preserve">In accordance with previous studies, most of the </w:t>
      </w:r>
      <w:r w:rsidR="00494365">
        <w:rPr>
          <w:color w:val="000000"/>
          <w:sz w:val="22"/>
          <w:szCs w:val="22"/>
        </w:rPr>
        <w:t>tumour</w:t>
      </w:r>
      <w:r>
        <w:rPr>
          <w:color w:val="000000"/>
          <w:sz w:val="22"/>
          <w:szCs w:val="22"/>
        </w:rPr>
        <w:t xml:space="preserve">s (20 </w:t>
      </w:r>
      <w:r w:rsidR="00494365">
        <w:rPr>
          <w:color w:val="000000"/>
          <w:sz w:val="22"/>
          <w:szCs w:val="22"/>
        </w:rPr>
        <w:t>tumour</w:t>
      </w:r>
      <w:r>
        <w:rPr>
          <w:color w:val="000000"/>
          <w:sz w:val="22"/>
          <w:szCs w:val="22"/>
        </w:rPr>
        <w:t xml:space="preserve">s, 90.9%) were HR-positive. This percentage is slightly higher than that found in women </w:t>
      </w:r>
      <w:r w:rsidR="00623BC9">
        <w:rPr>
          <w:color w:val="000000"/>
          <w:sz w:val="22"/>
          <w:szCs w:val="22"/>
        </w:rPr>
        <w:t>[</w:t>
      </w:r>
      <w:r>
        <w:rPr>
          <w:color w:val="000000"/>
          <w:sz w:val="22"/>
          <w:szCs w:val="22"/>
        </w:rPr>
        <w:t>13,16</w:t>
      </w:r>
      <w:r w:rsidR="00623BC9">
        <w:rPr>
          <w:color w:val="000000"/>
          <w:sz w:val="22"/>
          <w:szCs w:val="22"/>
        </w:rPr>
        <w:t>]</w:t>
      </w:r>
      <w:r>
        <w:rPr>
          <w:color w:val="000000"/>
          <w:sz w:val="22"/>
          <w:szCs w:val="22"/>
        </w:rPr>
        <w:t xml:space="preserve">. </w:t>
      </w:r>
    </w:p>
    <w:p w14:paraId="47C6F113" w14:textId="4BD502EE" w:rsidR="002500F9" w:rsidRPr="00A4081B" w:rsidRDefault="002500F9" w:rsidP="00A4081B">
      <w:pPr>
        <w:widowControl w:val="0"/>
        <w:autoSpaceDE w:val="0"/>
        <w:autoSpaceDN w:val="0"/>
        <w:adjustRightInd w:val="0"/>
        <w:spacing w:after="240"/>
        <w:jc w:val="both"/>
        <w:rPr>
          <w:color w:val="000000"/>
          <w:sz w:val="22"/>
          <w:szCs w:val="22"/>
        </w:rPr>
      </w:pPr>
      <w:r>
        <w:rPr>
          <w:color w:val="000000"/>
          <w:sz w:val="22"/>
          <w:szCs w:val="22"/>
        </w:rPr>
        <w:t xml:space="preserve">Twenty-three percent of our patients were </w:t>
      </w:r>
      <w:proofErr w:type="spellStart"/>
      <w:r>
        <w:rPr>
          <w:color w:val="000000"/>
          <w:sz w:val="22"/>
          <w:szCs w:val="22"/>
        </w:rPr>
        <w:t>HER2</w:t>
      </w:r>
      <w:proofErr w:type="spellEnd"/>
      <w:r>
        <w:rPr>
          <w:color w:val="000000"/>
          <w:sz w:val="22"/>
          <w:szCs w:val="22"/>
        </w:rPr>
        <w:t xml:space="preserve">+, which is similar to the figure reported for women internationally (20%) </w:t>
      </w:r>
      <w:r w:rsidR="00623BC9">
        <w:rPr>
          <w:color w:val="000000"/>
          <w:sz w:val="22"/>
          <w:szCs w:val="22"/>
        </w:rPr>
        <w:t>[</w:t>
      </w:r>
      <w:r>
        <w:rPr>
          <w:color w:val="000000"/>
          <w:sz w:val="22"/>
          <w:szCs w:val="22"/>
        </w:rPr>
        <w:t>24</w:t>
      </w:r>
      <w:r w:rsidR="00623BC9">
        <w:rPr>
          <w:color w:val="000000"/>
          <w:sz w:val="22"/>
          <w:szCs w:val="22"/>
        </w:rPr>
        <w:t>]</w:t>
      </w:r>
      <w:r>
        <w:rPr>
          <w:color w:val="000000"/>
          <w:sz w:val="22"/>
          <w:szCs w:val="22"/>
        </w:rPr>
        <w:t xml:space="preserve"> and somewhat lower than the figure reported nationally (27%) </w:t>
      </w:r>
      <w:r w:rsidR="00623BC9">
        <w:rPr>
          <w:color w:val="000000"/>
          <w:sz w:val="22"/>
          <w:szCs w:val="22"/>
        </w:rPr>
        <w:t>[</w:t>
      </w:r>
      <w:r>
        <w:rPr>
          <w:color w:val="000000"/>
          <w:sz w:val="22"/>
          <w:szCs w:val="22"/>
        </w:rPr>
        <w:t>25</w:t>
      </w:r>
      <w:r w:rsidR="00623BC9">
        <w:rPr>
          <w:color w:val="000000"/>
          <w:sz w:val="22"/>
          <w:szCs w:val="22"/>
        </w:rPr>
        <w:t>]</w:t>
      </w:r>
      <w:r>
        <w:rPr>
          <w:color w:val="000000"/>
          <w:sz w:val="22"/>
          <w:szCs w:val="22"/>
        </w:rPr>
        <w:t>.</w:t>
      </w:r>
    </w:p>
    <w:p w14:paraId="015CFD5C" w14:textId="2BD5F18A" w:rsidR="003C0F4D" w:rsidRPr="00A4081B" w:rsidRDefault="005B43F6" w:rsidP="00A4081B">
      <w:pPr>
        <w:widowControl w:val="0"/>
        <w:autoSpaceDE w:val="0"/>
        <w:autoSpaceDN w:val="0"/>
        <w:adjustRightInd w:val="0"/>
        <w:spacing w:after="240"/>
        <w:jc w:val="both"/>
        <w:rPr>
          <w:color w:val="000000"/>
          <w:sz w:val="22"/>
          <w:szCs w:val="22"/>
        </w:rPr>
      </w:pPr>
      <w:r>
        <w:rPr>
          <w:color w:val="000000"/>
          <w:sz w:val="22"/>
          <w:szCs w:val="22"/>
        </w:rPr>
        <w:t xml:space="preserve">Although half of all MBC patients initially present with S III and IV, most of those included in this study (15 patients, 68.1%) were diagnosed while the </w:t>
      </w:r>
      <w:r w:rsidR="00494365">
        <w:rPr>
          <w:color w:val="000000"/>
          <w:sz w:val="22"/>
          <w:szCs w:val="22"/>
        </w:rPr>
        <w:t>tumour</w:t>
      </w:r>
      <w:r>
        <w:rPr>
          <w:color w:val="000000"/>
          <w:sz w:val="22"/>
          <w:szCs w:val="22"/>
        </w:rPr>
        <w:t xml:space="preserve"> was still localised (S I and II). Similar to what has previously been </w:t>
      </w:r>
      <w:r w:rsidR="001F5A24">
        <w:rPr>
          <w:color w:val="000000"/>
          <w:sz w:val="22"/>
          <w:szCs w:val="22"/>
        </w:rPr>
        <w:t>described</w:t>
      </w:r>
      <w:r>
        <w:rPr>
          <w:color w:val="000000"/>
          <w:sz w:val="22"/>
          <w:szCs w:val="22"/>
        </w:rPr>
        <w:t xml:space="preserve"> in the literature, all patients reported a palpable breast lump, and over half had clinical lymph node involvement at the time of diagnosis </w:t>
      </w:r>
      <w:r w:rsidR="00623BC9">
        <w:rPr>
          <w:color w:val="000000"/>
          <w:sz w:val="22"/>
          <w:szCs w:val="22"/>
        </w:rPr>
        <w:t>[</w:t>
      </w:r>
      <w:r>
        <w:rPr>
          <w:color w:val="000000"/>
          <w:sz w:val="22"/>
          <w:szCs w:val="22"/>
        </w:rPr>
        <w:t>12,13</w:t>
      </w:r>
      <w:r w:rsidR="00623BC9">
        <w:rPr>
          <w:color w:val="000000"/>
          <w:sz w:val="22"/>
          <w:szCs w:val="22"/>
        </w:rPr>
        <w:t>]</w:t>
      </w:r>
      <w:r>
        <w:rPr>
          <w:color w:val="000000"/>
          <w:sz w:val="22"/>
          <w:szCs w:val="22"/>
        </w:rPr>
        <w:t xml:space="preserve">. Although skin and pectoral muscle involvement is common, most of the patients in our series (17 patients, 77.2%) presented with a breast </w:t>
      </w:r>
      <w:r w:rsidR="00494365">
        <w:rPr>
          <w:color w:val="000000"/>
          <w:sz w:val="22"/>
          <w:szCs w:val="22"/>
        </w:rPr>
        <w:t>tumour</w:t>
      </w:r>
      <w:r>
        <w:rPr>
          <w:color w:val="000000"/>
          <w:sz w:val="22"/>
          <w:szCs w:val="22"/>
        </w:rPr>
        <w:t xml:space="preserve"> with no involvement of these tissues. None of the patients had bilateral BC, </w:t>
      </w:r>
      <w:r w:rsidR="00B301E5">
        <w:rPr>
          <w:color w:val="000000"/>
          <w:sz w:val="22"/>
          <w:szCs w:val="22"/>
        </w:rPr>
        <w:t>which is extremely</w:t>
      </w:r>
      <w:r>
        <w:rPr>
          <w:color w:val="000000"/>
          <w:sz w:val="22"/>
          <w:szCs w:val="22"/>
        </w:rPr>
        <w:t xml:space="preserve"> rare in men. Coinciding with previous studies, in most cases mammography revealed a dense mass located at a retroareolar level, and the presence of microcalcifications was less frequent than in women </w:t>
      </w:r>
      <w:r w:rsidR="00623BC9">
        <w:rPr>
          <w:color w:val="000000"/>
          <w:sz w:val="22"/>
          <w:szCs w:val="22"/>
        </w:rPr>
        <w:t>[</w:t>
      </w:r>
      <w:r>
        <w:rPr>
          <w:color w:val="000000"/>
          <w:sz w:val="22"/>
          <w:szCs w:val="22"/>
        </w:rPr>
        <w:t>12-14</w:t>
      </w:r>
      <w:r w:rsidR="00623BC9">
        <w:rPr>
          <w:color w:val="000000"/>
          <w:sz w:val="22"/>
          <w:szCs w:val="22"/>
        </w:rPr>
        <w:t>]</w:t>
      </w:r>
      <w:r>
        <w:rPr>
          <w:color w:val="000000"/>
          <w:sz w:val="22"/>
          <w:szCs w:val="22"/>
        </w:rPr>
        <w:t>.</w:t>
      </w:r>
    </w:p>
    <w:p w14:paraId="6770716F" w14:textId="7A1A6ABD" w:rsidR="003D4E3D" w:rsidRPr="00A4081B" w:rsidRDefault="006A01E7" w:rsidP="00A4081B">
      <w:pPr>
        <w:widowControl w:val="0"/>
        <w:autoSpaceDE w:val="0"/>
        <w:autoSpaceDN w:val="0"/>
        <w:adjustRightInd w:val="0"/>
        <w:spacing w:after="240"/>
        <w:jc w:val="both"/>
        <w:rPr>
          <w:color w:val="000000"/>
          <w:sz w:val="22"/>
          <w:szCs w:val="22"/>
        </w:rPr>
      </w:pPr>
      <w:r>
        <w:rPr>
          <w:color w:val="000000"/>
          <w:sz w:val="22"/>
          <w:szCs w:val="22"/>
        </w:rPr>
        <w:t>With regard to therapeutic guidelines, although there are no prospective and randomi</w:t>
      </w:r>
      <w:r w:rsidR="0096502A">
        <w:rPr>
          <w:color w:val="000000"/>
          <w:sz w:val="22"/>
          <w:szCs w:val="22"/>
        </w:rPr>
        <w:t>s</w:t>
      </w:r>
      <w:r>
        <w:rPr>
          <w:color w:val="000000"/>
          <w:sz w:val="22"/>
          <w:szCs w:val="22"/>
        </w:rPr>
        <w:t xml:space="preserve">ed studies that include </w:t>
      </w:r>
      <w:r w:rsidR="00313996">
        <w:rPr>
          <w:color w:val="000000"/>
          <w:sz w:val="22"/>
          <w:szCs w:val="22"/>
        </w:rPr>
        <w:t>male</w:t>
      </w:r>
      <w:r>
        <w:rPr>
          <w:color w:val="000000"/>
          <w:sz w:val="22"/>
          <w:szCs w:val="22"/>
        </w:rPr>
        <w:t xml:space="preserve"> patients, </w:t>
      </w:r>
      <w:r w:rsidR="00313996">
        <w:rPr>
          <w:color w:val="000000"/>
          <w:sz w:val="22"/>
          <w:szCs w:val="22"/>
        </w:rPr>
        <w:t>like</w:t>
      </w:r>
      <w:r>
        <w:rPr>
          <w:color w:val="000000"/>
          <w:sz w:val="22"/>
          <w:szCs w:val="22"/>
        </w:rPr>
        <w:t xml:space="preserve"> in the case of women, locoregional and systemic treatment will depend on the extent of the disease at the time of diagnosis and the general condition and comorbidities of the patient. Regarding surgical treatment, almost all the patients were subjected to mastectomy, which is in keeping with what has been seen in other </w:t>
      </w:r>
      <w:r w:rsidR="00494365">
        <w:rPr>
          <w:color w:val="000000"/>
          <w:sz w:val="22"/>
          <w:szCs w:val="22"/>
        </w:rPr>
        <w:t>centre</w:t>
      </w:r>
      <w:r>
        <w:rPr>
          <w:color w:val="000000"/>
          <w:sz w:val="22"/>
          <w:szCs w:val="22"/>
        </w:rPr>
        <w:t xml:space="preserve">s, since, although the general principles of surgery do not vary in relation to sex, conservative surgery is less frequently used in male patients </w:t>
      </w:r>
      <w:r w:rsidR="00623BC9">
        <w:rPr>
          <w:color w:val="000000"/>
          <w:sz w:val="22"/>
          <w:szCs w:val="22"/>
        </w:rPr>
        <w:t>[</w:t>
      </w:r>
      <w:r>
        <w:rPr>
          <w:color w:val="000000"/>
          <w:sz w:val="22"/>
          <w:szCs w:val="22"/>
        </w:rPr>
        <w:t>3,26</w:t>
      </w:r>
      <w:r w:rsidR="00623BC9">
        <w:rPr>
          <w:color w:val="000000"/>
          <w:sz w:val="22"/>
          <w:szCs w:val="22"/>
        </w:rPr>
        <w:t>]</w:t>
      </w:r>
      <w:r>
        <w:rPr>
          <w:color w:val="000000"/>
          <w:sz w:val="22"/>
          <w:szCs w:val="22"/>
        </w:rPr>
        <w:t xml:space="preserve">. </w:t>
      </w:r>
    </w:p>
    <w:p w14:paraId="5FBCA64F" w14:textId="270CE62F" w:rsidR="003D4E3D" w:rsidRPr="00A4081B" w:rsidRDefault="005545F0" w:rsidP="00A4081B">
      <w:pPr>
        <w:widowControl w:val="0"/>
        <w:autoSpaceDE w:val="0"/>
        <w:autoSpaceDN w:val="0"/>
        <w:adjustRightInd w:val="0"/>
        <w:spacing w:after="240"/>
        <w:jc w:val="both"/>
        <w:rPr>
          <w:color w:val="000000"/>
          <w:sz w:val="22"/>
          <w:szCs w:val="22"/>
        </w:rPr>
      </w:pPr>
      <w:r>
        <w:rPr>
          <w:color w:val="000000"/>
          <w:sz w:val="22"/>
          <w:szCs w:val="22"/>
        </w:rPr>
        <w:t>Experts recommend managing the axilla in a similar way for both men and women, which is why sentinel node biopsy (</w:t>
      </w:r>
      <w:proofErr w:type="spellStart"/>
      <w:r>
        <w:rPr>
          <w:color w:val="000000"/>
          <w:sz w:val="22"/>
          <w:szCs w:val="22"/>
        </w:rPr>
        <w:t>SNB</w:t>
      </w:r>
      <w:proofErr w:type="spellEnd"/>
      <w:r>
        <w:rPr>
          <w:color w:val="000000"/>
          <w:sz w:val="22"/>
          <w:szCs w:val="22"/>
        </w:rPr>
        <w:t xml:space="preserve">) is currently an alternative to axillary node clearance (ANC) for </w:t>
      </w:r>
      <w:r>
        <w:rPr>
          <w:color w:val="000000"/>
          <w:sz w:val="22"/>
          <w:szCs w:val="22"/>
        </w:rPr>
        <w:lastRenderedPageBreak/>
        <w:t xml:space="preserve">patients diagnosed with BC with no clinical evidence of node involvement, thereby reducing morbidity. Thus, axillary management is similar for both sexes, with a general consensus that it is best not </w:t>
      </w:r>
      <w:r w:rsidR="00FC6904">
        <w:rPr>
          <w:color w:val="000000"/>
          <w:sz w:val="22"/>
          <w:szCs w:val="22"/>
        </w:rPr>
        <w:t xml:space="preserve">to </w:t>
      </w:r>
      <w:r>
        <w:rPr>
          <w:color w:val="000000"/>
          <w:sz w:val="22"/>
          <w:szCs w:val="22"/>
        </w:rPr>
        <w:t xml:space="preserve">perform ANC in patients with a negative </w:t>
      </w:r>
      <w:proofErr w:type="spellStart"/>
      <w:r>
        <w:rPr>
          <w:color w:val="000000"/>
          <w:sz w:val="22"/>
          <w:szCs w:val="22"/>
        </w:rPr>
        <w:t>SNB</w:t>
      </w:r>
      <w:proofErr w:type="spellEnd"/>
      <w:r>
        <w:rPr>
          <w:color w:val="000000"/>
          <w:sz w:val="22"/>
          <w:szCs w:val="22"/>
        </w:rPr>
        <w:t xml:space="preserve"> </w:t>
      </w:r>
      <w:r w:rsidR="004B781B">
        <w:rPr>
          <w:color w:val="000000"/>
          <w:sz w:val="22"/>
          <w:szCs w:val="22"/>
        </w:rPr>
        <w:t>[</w:t>
      </w:r>
      <w:r>
        <w:rPr>
          <w:color w:val="000000"/>
          <w:sz w:val="22"/>
          <w:szCs w:val="22"/>
        </w:rPr>
        <w:t>16,27-30</w:t>
      </w:r>
      <w:r w:rsidR="004B781B">
        <w:rPr>
          <w:color w:val="000000"/>
          <w:sz w:val="22"/>
          <w:szCs w:val="22"/>
        </w:rPr>
        <w:t>]</w:t>
      </w:r>
      <w:r>
        <w:rPr>
          <w:color w:val="000000"/>
          <w:sz w:val="22"/>
          <w:szCs w:val="22"/>
        </w:rPr>
        <w:t>.</w:t>
      </w:r>
      <w:r w:rsidR="005F198E">
        <w:rPr>
          <w:color w:val="000000"/>
          <w:sz w:val="22"/>
          <w:szCs w:val="22"/>
        </w:rPr>
        <w:t xml:space="preserve"> O</w:t>
      </w:r>
      <w:r>
        <w:rPr>
          <w:color w:val="000000"/>
          <w:sz w:val="22"/>
          <w:szCs w:val="22"/>
        </w:rPr>
        <w:t xml:space="preserve">nly five of the patients were treated with mastectomy and ANC, </w:t>
      </w:r>
      <w:r w:rsidR="005F198E">
        <w:rPr>
          <w:color w:val="000000"/>
          <w:sz w:val="22"/>
          <w:szCs w:val="22"/>
        </w:rPr>
        <w:t>but</w:t>
      </w:r>
      <w:r>
        <w:rPr>
          <w:color w:val="000000"/>
          <w:sz w:val="22"/>
          <w:szCs w:val="22"/>
        </w:rPr>
        <w:t xml:space="preserve"> the retrospective nature of th</w:t>
      </w:r>
      <w:r w:rsidR="005F198E">
        <w:rPr>
          <w:color w:val="000000"/>
          <w:sz w:val="22"/>
          <w:szCs w:val="22"/>
        </w:rPr>
        <w:t>is</w:t>
      </w:r>
      <w:r>
        <w:rPr>
          <w:color w:val="000000"/>
          <w:sz w:val="22"/>
          <w:szCs w:val="22"/>
        </w:rPr>
        <w:t xml:space="preserve"> study</w:t>
      </w:r>
      <w:r w:rsidR="005F198E">
        <w:rPr>
          <w:color w:val="000000"/>
          <w:sz w:val="22"/>
          <w:szCs w:val="22"/>
        </w:rPr>
        <w:t xml:space="preserve"> prevents us from knowing</w:t>
      </w:r>
      <w:r>
        <w:rPr>
          <w:color w:val="000000"/>
          <w:sz w:val="22"/>
          <w:szCs w:val="22"/>
        </w:rPr>
        <w:t xml:space="preserve"> the reasons behind this decision (clinical axillary involvement or ultrasound confirmed by fine needle aspiration [</w:t>
      </w:r>
      <w:proofErr w:type="spellStart"/>
      <w:r>
        <w:rPr>
          <w:color w:val="000000"/>
          <w:sz w:val="22"/>
          <w:szCs w:val="22"/>
        </w:rPr>
        <w:t>FNA</w:t>
      </w:r>
      <w:proofErr w:type="spellEnd"/>
      <w:r>
        <w:rPr>
          <w:color w:val="000000"/>
          <w:sz w:val="22"/>
          <w:szCs w:val="22"/>
        </w:rPr>
        <w:t>] biopsy), or whether this recommendation was in force at the time of selecting the treatment.</w:t>
      </w:r>
    </w:p>
    <w:p w14:paraId="63451B16" w14:textId="69385389" w:rsidR="005302A8" w:rsidRPr="00A4081B" w:rsidRDefault="006A01E7" w:rsidP="00A4081B">
      <w:pPr>
        <w:widowControl w:val="0"/>
        <w:autoSpaceDE w:val="0"/>
        <w:autoSpaceDN w:val="0"/>
        <w:adjustRightInd w:val="0"/>
        <w:spacing w:after="240"/>
        <w:jc w:val="both"/>
        <w:rPr>
          <w:color w:val="000000"/>
          <w:sz w:val="22"/>
          <w:szCs w:val="22"/>
        </w:rPr>
      </w:pPr>
      <w:r>
        <w:rPr>
          <w:color w:val="000000"/>
          <w:sz w:val="22"/>
          <w:szCs w:val="22"/>
        </w:rPr>
        <w:t xml:space="preserve">Recommendations regarding adjuvant therapy based on </w:t>
      </w:r>
      <w:proofErr w:type="spellStart"/>
      <w:r>
        <w:rPr>
          <w:color w:val="000000"/>
          <w:sz w:val="22"/>
          <w:szCs w:val="22"/>
        </w:rPr>
        <w:t>CTx</w:t>
      </w:r>
      <w:proofErr w:type="spellEnd"/>
      <w:r>
        <w:rPr>
          <w:color w:val="000000"/>
          <w:sz w:val="22"/>
          <w:szCs w:val="22"/>
        </w:rPr>
        <w:t xml:space="preserve"> ± trastuzumab ± HT are based on the benefits demonstrated in prospective randomi</w:t>
      </w:r>
      <w:r w:rsidR="000F4C83">
        <w:rPr>
          <w:color w:val="000000"/>
          <w:sz w:val="22"/>
          <w:szCs w:val="22"/>
        </w:rPr>
        <w:t>s</w:t>
      </w:r>
      <w:r>
        <w:rPr>
          <w:color w:val="000000"/>
          <w:sz w:val="22"/>
          <w:szCs w:val="22"/>
        </w:rPr>
        <w:t xml:space="preserve">ed studies involving women operated on for BC. The low incidence of MBC limits the implementation and timely completion of clinical studies that assess the role of adjuvant or palliative systemic treatment. In total, 77.2% of patients (17 patients) received systemic treatment with </w:t>
      </w:r>
      <w:proofErr w:type="spellStart"/>
      <w:r>
        <w:rPr>
          <w:color w:val="000000"/>
          <w:sz w:val="22"/>
          <w:szCs w:val="22"/>
        </w:rPr>
        <w:t>CTx</w:t>
      </w:r>
      <w:proofErr w:type="spellEnd"/>
      <w:r>
        <w:rPr>
          <w:color w:val="000000"/>
          <w:sz w:val="22"/>
          <w:szCs w:val="22"/>
        </w:rPr>
        <w:t xml:space="preserve">; of these, 16 patients received </w:t>
      </w:r>
      <w:proofErr w:type="spellStart"/>
      <w:r>
        <w:rPr>
          <w:color w:val="000000"/>
          <w:sz w:val="22"/>
          <w:szCs w:val="22"/>
        </w:rPr>
        <w:t>CTx</w:t>
      </w:r>
      <w:proofErr w:type="spellEnd"/>
      <w:r>
        <w:rPr>
          <w:color w:val="000000"/>
          <w:sz w:val="22"/>
          <w:szCs w:val="22"/>
        </w:rPr>
        <w:t xml:space="preserve"> with curative intent and one patient received it as palliative therapy. Of the 16 patients treated with curative intent, 14 initially presented with operable disease and received adjuvant treatment; the remaining 2 received neoadjuvant treatment, since they presented with </w:t>
      </w:r>
      <w:r w:rsidR="00494365">
        <w:rPr>
          <w:color w:val="000000"/>
          <w:sz w:val="22"/>
          <w:szCs w:val="22"/>
        </w:rPr>
        <w:t>tumour</w:t>
      </w:r>
      <w:r>
        <w:rPr>
          <w:color w:val="000000"/>
          <w:sz w:val="22"/>
          <w:szCs w:val="22"/>
        </w:rPr>
        <w:t>s that had skin involvement (</w:t>
      </w:r>
      <w:proofErr w:type="spellStart"/>
      <w:r>
        <w:rPr>
          <w:color w:val="000000"/>
          <w:sz w:val="22"/>
          <w:szCs w:val="22"/>
        </w:rPr>
        <w:t>pT4</w:t>
      </w:r>
      <w:proofErr w:type="spellEnd"/>
      <w:r>
        <w:rPr>
          <w:color w:val="000000"/>
          <w:sz w:val="22"/>
          <w:szCs w:val="22"/>
        </w:rPr>
        <w:t xml:space="preserve">). The regimens used were similar to those used in the treatment of female BC, with most patients undergoing regimens that included docetaxel and cyclophosphamide (9 patients, 52.9%) or anthracyclines and taxanes (7 patients, 41.1%). The 5 patients with </w:t>
      </w:r>
      <w:proofErr w:type="spellStart"/>
      <w:r>
        <w:rPr>
          <w:color w:val="000000"/>
          <w:sz w:val="22"/>
          <w:szCs w:val="22"/>
        </w:rPr>
        <w:t>HER2</w:t>
      </w:r>
      <w:proofErr w:type="spellEnd"/>
      <w:r>
        <w:rPr>
          <w:color w:val="000000"/>
          <w:sz w:val="22"/>
          <w:szCs w:val="22"/>
        </w:rPr>
        <w:t xml:space="preserve">-positive </w:t>
      </w:r>
      <w:r w:rsidR="00494365">
        <w:rPr>
          <w:color w:val="000000"/>
          <w:sz w:val="22"/>
          <w:szCs w:val="22"/>
        </w:rPr>
        <w:t>tumour</w:t>
      </w:r>
      <w:r>
        <w:rPr>
          <w:color w:val="000000"/>
          <w:sz w:val="22"/>
          <w:szCs w:val="22"/>
        </w:rPr>
        <w:t xml:space="preserve">s received systemic treatment with </w:t>
      </w:r>
      <w:proofErr w:type="spellStart"/>
      <w:r>
        <w:rPr>
          <w:color w:val="000000"/>
          <w:sz w:val="22"/>
          <w:szCs w:val="22"/>
        </w:rPr>
        <w:t>HER2</w:t>
      </w:r>
      <w:proofErr w:type="spellEnd"/>
      <w:r>
        <w:rPr>
          <w:color w:val="000000"/>
          <w:sz w:val="22"/>
          <w:szCs w:val="22"/>
        </w:rPr>
        <w:t xml:space="preserve"> blockade. Four of these patients received adjuvant trastuzumab; the remaining patient received palliative treatment, with trastuzumab plus taxanes as first-line therapy and with lapatinib plus capecitabine as second-line therapy. </w:t>
      </w:r>
    </w:p>
    <w:p w14:paraId="6D2CF487" w14:textId="7FB23449" w:rsidR="005302A8" w:rsidRPr="00A4081B" w:rsidRDefault="009E69A0" w:rsidP="00A4081B">
      <w:pPr>
        <w:widowControl w:val="0"/>
        <w:autoSpaceDE w:val="0"/>
        <w:autoSpaceDN w:val="0"/>
        <w:adjustRightInd w:val="0"/>
        <w:spacing w:after="240"/>
        <w:jc w:val="both"/>
        <w:rPr>
          <w:color w:val="000000"/>
          <w:sz w:val="22"/>
          <w:szCs w:val="22"/>
        </w:rPr>
      </w:pPr>
      <w:r>
        <w:rPr>
          <w:color w:val="000000"/>
          <w:sz w:val="22"/>
          <w:szCs w:val="22"/>
        </w:rPr>
        <w:t xml:space="preserve">Twelve of the twenty-one patients (57.1%) treated with curative intent received treatment with adjuvant </w:t>
      </w:r>
      <w:proofErr w:type="spellStart"/>
      <w:r>
        <w:rPr>
          <w:color w:val="000000"/>
          <w:sz w:val="22"/>
          <w:szCs w:val="22"/>
        </w:rPr>
        <w:t>RTx</w:t>
      </w:r>
      <w:proofErr w:type="spellEnd"/>
      <w:r>
        <w:rPr>
          <w:color w:val="000000"/>
          <w:sz w:val="22"/>
          <w:szCs w:val="22"/>
        </w:rPr>
        <w:t xml:space="preserve"> in the chest wall and lymph node areas. The indication criteria were similar to those in women: </w:t>
      </w:r>
      <w:proofErr w:type="spellStart"/>
      <w:r>
        <w:rPr>
          <w:color w:val="000000"/>
          <w:sz w:val="22"/>
          <w:szCs w:val="22"/>
        </w:rPr>
        <w:t>pT4</w:t>
      </w:r>
      <w:proofErr w:type="spellEnd"/>
      <w:r>
        <w:rPr>
          <w:color w:val="000000"/>
          <w:sz w:val="22"/>
          <w:szCs w:val="22"/>
        </w:rPr>
        <w:t xml:space="preserve"> </w:t>
      </w:r>
      <w:r w:rsidR="00494365">
        <w:rPr>
          <w:color w:val="000000"/>
          <w:sz w:val="22"/>
          <w:szCs w:val="22"/>
        </w:rPr>
        <w:t>tumour</w:t>
      </w:r>
      <w:r>
        <w:rPr>
          <w:color w:val="000000"/>
          <w:sz w:val="22"/>
          <w:szCs w:val="22"/>
        </w:rPr>
        <w:t xml:space="preserve">s and/or positive margins and/or axillary involvement </w:t>
      </w:r>
      <w:r w:rsidR="004B781B">
        <w:rPr>
          <w:color w:val="000000"/>
          <w:sz w:val="22"/>
          <w:szCs w:val="22"/>
        </w:rPr>
        <w:t>[</w:t>
      </w:r>
      <w:r>
        <w:rPr>
          <w:color w:val="000000"/>
          <w:sz w:val="22"/>
          <w:szCs w:val="22"/>
        </w:rPr>
        <w:t>16</w:t>
      </w:r>
      <w:r w:rsidR="004B781B">
        <w:rPr>
          <w:color w:val="000000"/>
          <w:sz w:val="22"/>
          <w:szCs w:val="22"/>
        </w:rPr>
        <w:t>]</w:t>
      </w:r>
      <w:r>
        <w:rPr>
          <w:color w:val="000000"/>
          <w:sz w:val="22"/>
          <w:szCs w:val="22"/>
        </w:rPr>
        <w:t xml:space="preserve">. </w:t>
      </w:r>
    </w:p>
    <w:p w14:paraId="70ADE191" w14:textId="78427BBF" w:rsidR="003F621C" w:rsidRPr="00A4081B" w:rsidRDefault="005B43F6" w:rsidP="00A4081B">
      <w:pPr>
        <w:widowControl w:val="0"/>
        <w:autoSpaceDE w:val="0"/>
        <w:autoSpaceDN w:val="0"/>
        <w:adjustRightInd w:val="0"/>
        <w:spacing w:after="240"/>
        <w:jc w:val="both"/>
        <w:rPr>
          <w:color w:val="000000"/>
          <w:sz w:val="22"/>
          <w:szCs w:val="22"/>
        </w:rPr>
      </w:pPr>
      <w:r>
        <w:rPr>
          <w:color w:val="000000"/>
          <w:sz w:val="22"/>
          <w:szCs w:val="22"/>
        </w:rPr>
        <w:t xml:space="preserve">All patients with non-metastatic disease with HR-positive </w:t>
      </w:r>
      <w:r w:rsidR="00494365">
        <w:rPr>
          <w:color w:val="000000"/>
          <w:sz w:val="22"/>
          <w:szCs w:val="22"/>
        </w:rPr>
        <w:t>tumour</w:t>
      </w:r>
      <w:r>
        <w:rPr>
          <w:color w:val="000000"/>
          <w:sz w:val="22"/>
          <w:szCs w:val="22"/>
        </w:rPr>
        <w:t xml:space="preserve">s (19 patients) received treatment with adjuvant HT based on tamoxifen for 5 years. Two of these patients continued with aromatase inhibitors until completing 10 years of treatment. In accordance with what has been reported in previous studies, adherence to HT was lower than in women due to the occurrence of adverse side effects </w:t>
      </w:r>
      <w:r w:rsidR="004B781B">
        <w:rPr>
          <w:color w:val="000000"/>
          <w:sz w:val="22"/>
          <w:szCs w:val="22"/>
        </w:rPr>
        <w:t>[</w:t>
      </w:r>
      <w:r>
        <w:rPr>
          <w:color w:val="000000"/>
          <w:sz w:val="22"/>
          <w:szCs w:val="22"/>
        </w:rPr>
        <w:t>1,3</w:t>
      </w:r>
      <w:r w:rsidR="004B781B">
        <w:rPr>
          <w:color w:val="000000"/>
          <w:sz w:val="22"/>
          <w:szCs w:val="22"/>
        </w:rPr>
        <w:t>]</w:t>
      </w:r>
      <w:r>
        <w:rPr>
          <w:color w:val="000000"/>
          <w:sz w:val="22"/>
          <w:szCs w:val="22"/>
        </w:rPr>
        <w:t>.</w:t>
      </w:r>
    </w:p>
    <w:p w14:paraId="59B361B3" w14:textId="03DC4013" w:rsidR="005B43F6" w:rsidRPr="00A4081B" w:rsidRDefault="003F621C" w:rsidP="00A4081B">
      <w:pPr>
        <w:widowControl w:val="0"/>
        <w:tabs>
          <w:tab w:val="left" w:pos="1407"/>
        </w:tabs>
        <w:autoSpaceDE w:val="0"/>
        <w:autoSpaceDN w:val="0"/>
        <w:adjustRightInd w:val="0"/>
        <w:spacing w:after="240"/>
        <w:jc w:val="both"/>
        <w:rPr>
          <w:color w:val="000000"/>
          <w:sz w:val="22"/>
          <w:szCs w:val="22"/>
        </w:rPr>
      </w:pPr>
      <w:r>
        <w:rPr>
          <w:color w:val="000000"/>
          <w:sz w:val="22"/>
          <w:szCs w:val="22"/>
        </w:rPr>
        <w:t xml:space="preserve">As a limitation of this research, it is worth reiterating that this work was conducted in three </w:t>
      </w:r>
      <w:r w:rsidR="00494365">
        <w:rPr>
          <w:color w:val="000000"/>
          <w:sz w:val="22"/>
          <w:szCs w:val="22"/>
        </w:rPr>
        <w:t>centre</w:t>
      </w:r>
      <w:r>
        <w:rPr>
          <w:color w:val="000000"/>
          <w:sz w:val="22"/>
          <w:szCs w:val="22"/>
        </w:rPr>
        <w:t xml:space="preserve">s in the country. This may generate a bias in the results if interpreted as representative of the national population. Thus, an assessment of the characteristics of the disease in other </w:t>
      </w:r>
      <w:r w:rsidR="00494365">
        <w:rPr>
          <w:color w:val="000000"/>
          <w:sz w:val="22"/>
          <w:szCs w:val="22"/>
        </w:rPr>
        <w:t>centre</w:t>
      </w:r>
      <w:r>
        <w:rPr>
          <w:color w:val="000000"/>
          <w:sz w:val="22"/>
          <w:szCs w:val="22"/>
        </w:rPr>
        <w:t xml:space="preserve">s in </w:t>
      </w:r>
      <w:r w:rsidR="001B44A3">
        <w:rPr>
          <w:color w:val="000000"/>
          <w:sz w:val="22"/>
          <w:szCs w:val="22"/>
        </w:rPr>
        <w:t xml:space="preserve">Uruguay </w:t>
      </w:r>
      <w:r>
        <w:rPr>
          <w:color w:val="000000"/>
          <w:sz w:val="22"/>
          <w:szCs w:val="22"/>
        </w:rPr>
        <w:t>remains pending for future studies.</w:t>
      </w:r>
    </w:p>
    <w:p w14:paraId="4456F7BE" w14:textId="70988E44" w:rsidR="005D1239" w:rsidRPr="00A4081B" w:rsidRDefault="00DA299F" w:rsidP="00A4081B">
      <w:pPr>
        <w:widowControl w:val="0"/>
        <w:autoSpaceDE w:val="0"/>
        <w:autoSpaceDN w:val="0"/>
        <w:adjustRightInd w:val="0"/>
        <w:spacing w:after="240"/>
        <w:jc w:val="both"/>
        <w:rPr>
          <w:b/>
          <w:color w:val="000000"/>
          <w:sz w:val="22"/>
          <w:szCs w:val="22"/>
        </w:rPr>
      </w:pPr>
      <w:r>
        <w:rPr>
          <w:b/>
          <w:color w:val="000000"/>
          <w:sz w:val="22"/>
          <w:szCs w:val="22"/>
        </w:rPr>
        <w:t>Conclusion</w:t>
      </w:r>
      <w:r w:rsidR="008115CB">
        <w:rPr>
          <w:b/>
          <w:color w:val="000000"/>
          <w:sz w:val="22"/>
          <w:szCs w:val="22"/>
        </w:rPr>
        <w:t>s</w:t>
      </w:r>
    </w:p>
    <w:p w14:paraId="74EBC985" w14:textId="0565DD54" w:rsidR="00383002" w:rsidRDefault="005D1239" w:rsidP="00A4081B">
      <w:pPr>
        <w:widowControl w:val="0"/>
        <w:autoSpaceDE w:val="0"/>
        <w:autoSpaceDN w:val="0"/>
        <w:adjustRightInd w:val="0"/>
        <w:spacing w:after="240"/>
        <w:jc w:val="both"/>
        <w:rPr>
          <w:color w:val="000000"/>
          <w:sz w:val="22"/>
          <w:szCs w:val="22"/>
        </w:rPr>
      </w:pPr>
      <w:r>
        <w:rPr>
          <w:color w:val="000000"/>
          <w:sz w:val="22"/>
          <w:szCs w:val="22"/>
        </w:rPr>
        <w:t xml:space="preserve">We present a series of 22 patients with MBC, a rare condition that, while sharing some similarities with BC in women, has a unique disease profile of its own. In accordance with what has previously been reported, most cases were ER/PR+ and </w:t>
      </w:r>
      <w:proofErr w:type="spellStart"/>
      <w:r>
        <w:rPr>
          <w:color w:val="000000"/>
          <w:sz w:val="22"/>
          <w:szCs w:val="22"/>
        </w:rPr>
        <w:t>HER2</w:t>
      </w:r>
      <w:proofErr w:type="spellEnd"/>
      <w:r>
        <w:rPr>
          <w:color w:val="000000"/>
          <w:sz w:val="22"/>
          <w:szCs w:val="22"/>
        </w:rPr>
        <w:t xml:space="preserve">-. However, in this series, the median age at diagnosis was similar to that of </w:t>
      </w:r>
      <w:r w:rsidR="006B3546">
        <w:rPr>
          <w:color w:val="000000"/>
          <w:sz w:val="22"/>
          <w:szCs w:val="22"/>
        </w:rPr>
        <w:t xml:space="preserve">BC in </w:t>
      </w:r>
      <w:r>
        <w:rPr>
          <w:color w:val="000000"/>
          <w:sz w:val="22"/>
          <w:szCs w:val="22"/>
        </w:rPr>
        <w:t>women, and a higher proportion of the patients initially presented with locali</w:t>
      </w:r>
      <w:r w:rsidR="00A90E02">
        <w:rPr>
          <w:color w:val="000000"/>
          <w:sz w:val="22"/>
          <w:szCs w:val="22"/>
        </w:rPr>
        <w:t>s</w:t>
      </w:r>
      <w:r>
        <w:rPr>
          <w:color w:val="000000"/>
          <w:sz w:val="22"/>
          <w:szCs w:val="22"/>
        </w:rPr>
        <w:t xml:space="preserve">ed stages and high-grade </w:t>
      </w:r>
      <w:r w:rsidR="00494365">
        <w:rPr>
          <w:color w:val="000000"/>
          <w:sz w:val="22"/>
          <w:szCs w:val="22"/>
        </w:rPr>
        <w:t>tumour</w:t>
      </w:r>
      <w:r>
        <w:rPr>
          <w:color w:val="000000"/>
          <w:sz w:val="22"/>
          <w:szCs w:val="22"/>
        </w:rPr>
        <w:t>s when compared to what has previously been described in the literature.</w:t>
      </w:r>
    </w:p>
    <w:p w14:paraId="08562C35" w14:textId="77777777" w:rsidR="00DF7866" w:rsidRPr="00A4081B" w:rsidRDefault="00DF7866" w:rsidP="00DF7866">
      <w:pPr>
        <w:widowControl w:val="0"/>
        <w:autoSpaceDE w:val="0"/>
        <w:autoSpaceDN w:val="0"/>
        <w:adjustRightInd w:val="0"/>
        <w:spacing w:after="240"/>
        <w:jc w:val="both"/>
        <w:rPr>
          <w:b/>
          <w:color w:val="000000"/>
          <w:sz w:val="22"/>
          <w:szCs w:val="22"/>
        </w:rPr>
      </w:pPr>
      <w:r>
        <w:rPr>
          <w:b/>
          <w:bCs/>
          <w:color w:val="000000"/>
          <w:sz w:val="22"/>
          <w:szCs w:val="22"/>
        </w:rPr>
        <w:t>Ethical conduct of research statement</w:t>
      </w:r>
    </w:p>
    <w:p w14:paraId="2FE892D8" w14:textId="014FEA29" w:rsidR="00DF7866" w:rsidRPr="00DF7866" w:rsidRDefault="00DF7866" w:rsidP="00A4081B">
      <w:pPr>
        <w:widowControl w:val="0"/>
        <w:autoSpaceDE w:val="0"/>
        <w:autoSpaceDN w:val="0"/>
        <w:adjustRightInd w:val="0"/>
        <w:spacing w:after="240"/>
        <w:jc w:val="both"/>
        <w:rPr>
          <w:color w:val="000000"/>
          <w:sz w:val="22"/>
          <w:szCs w:val="22"/>
        </w:rPr>
      </w:pPr>
      <w:r>
        <w:rPr>
          <w:color w:val="000000"/>
          <w:sz w:val="22"/>
          <w:szCs w:val="22"/>
        </w:rPr>
        <w:t xml:space="preserve">The study was conducted in accordance with international ethical standards for biomedical research: MERCOSUR guidelines on the regulation of clinical trials, the Declaration of Helsinki, </w:t>
      </w:r>
      <w:r w:rsidRPr="00383002">
        <w:rPr>
          <w:color w:val="000000"/>
          <w:sz w:val="22"/>
          <w:szCs w:val="22"/>
        </w:rPr>
        <w:t xml:space="preserve">and the research regulations approved by the National Ethics Commission in 2019. Patient anonymity was maintained in the statistical analyses, and approval for this study was obtained from the Ethics Committee of Hospital de </w:t>
      </w:r>
      <w:proofErr w:type="spellStart"/>
      <w:r w:rsidRPr="00383002">
        <w:rPr>
          <w:color w:val="000000"/>
          <w:sz w:val="22"/>
          <w:szCs w:val="22"/>
        </w:rPr>
        <w:t>Clínicas</w:t>
      </w:r>
      <w:proofErr w:type="spellEnd"/>
      <w:r w:rsidRPr="00383002">
        <w:rPr>
          <w:color w:val="000000"/>
          <w:sz w:val="22"/>
          <w:szCs w:val="22"/>
        </w:rPr>
        <w:t>.</w:t>
      </w:r>
    </w:p>
    <w:p w14:paraId="6DA43FB5" w14:textId="77777777" w:rsidR="00383002" w:rsidRDefault="00383002" w:rsidP="00383002">
      <w:pPr>
        <w:rPr>
          <w:b/>
          <w:bCs/>
          <w:sz w:val="22"/>
          <w:szCs w:val="22"/>
        </w:rPr>
      </w:pPr>
      <w:r>
        <w:rPr>
          <w:color w:val="000000"/>
          <w:sz w:val="22"/>
          <w:szCs w:val="22"/>
          <w:lang w:val="es-ES_tradnl" w:eastAsia="es-ES_tradnl"/>
        </w:rPr>
        <w:br w:type="page"/>
      </w:r>
      <w:r w:rsidRPr="00926D29">
        <w:rPr>
          <w:b/>
          <w:bCs/>
          <w:sz w:val="22"/>
          <w:szCs w:val="22"/>
        </w:rPr>
        <w:lastRenderedPageBreak/>
        <w:t>References</w:t>
      </w:r>
    </w:p>
    <w:p w14:paraId="512CF372" w14:textId="77777777" w:rsidR="00383002" w:rsidRPr="00A4081B" w:rsidRDefault="00383002" w:rsidP="00383002">
      <w:pPr>
        <w:rPr>
          <w:sz w:val="22"/>
          <w:szCs w:val="22"/>
          <w:lang w:val="es-ES_tradnl"/>
        </w:rPr>
      </w:pPr>
    </w:p>
    <w:p w14:paraId="44843D72" w14:textId="77777777" w:rsidR="00383002" w:rsidRPr="001B2EC7" w:rsidRDefault="00383002" w:rsidP="00383002">
      <w:pPr>
        <w:numPr>
          <w:ilvl w:val="0"/>
          <w:numId w:val="4"/>
        </w:numPr>
        <w:rPr>
          <w:sz w:val="22"/>
          <w:szCs w:val="22"/>
        </w:rPr>
      </w:pPr>
      <w:r>
        <w:rPr>
          <w:sz w:val="22"/>
          <w:szCs w:val="22"/>
        </w:rPr>
        <w:t xml:space="preserve">Giordano SH, </w:t>
      </w:r>
      <w:proofErr w:type="spellStart"/>
      <w:r>
        <w:rPr>
          <w:sz w:val="22"/>
          <w:szCs w:val="22"/>
        </w:rPr>
        <w:t>Buzdar</w:t>
      </w:r>
      <w:proofErr w:type="spellEnd"/>
      <w:r>
        <w:rPr>
          <w:sz w:val="22"/>
          <w:szCs w:val="22"/>
        </w:rPr>
        <w:t xml:space="preserve"> AU, </w:t>
      </w:r>
      <w:proofErr w:type="spellStart"/>
      <w:r>
        <w:rPr>
          <w:sz w:val="22"/>
          <w:szCs w:val="22"/>
        </w:rPr>
        <w:t>Hortobagyi</w:t>
      </w:r>
      <w:proofErr w:type="spellEnd"/>
      <w:r>
        <w:rPr>
          <w:sz w:val="22"/>
          <w:szCs w:val="22"/>
        </w:rPr>
        <w:t xml:space="preserve"> GN. Breast cancer in men. </w:t>
      </w:r>
      <w:r w:rsidRPr="000B20C9">
        <w:rPr>
          <w:i/>
          <w:iCs/>
          <w:sz w:val="22"/>
          <w:szCs w:val="22"/>
        </w:rPr>
        <w:t>Ann</w:t>
      </w:r>
      <w:r>
        <w:rPr>
          <w:i/>
          <w:iCs/>
          <w:sz w:val="22"/>
          <w:szCs w:val="22"/>
        </w:rPr>
        <w:t>.</w:t>
      </w:r>
      <w:r w:rsidRPr="000B20C9">
        <w:rPr>
          <w:i/>
          <w:iCs/>
          <w:sz w:val="22"/>
          <w:szCs w:val="22"/>
        </w:rPr>
        <w:t xml:space="preserve"> Intern</w:t>
      </w:r>
      <w:r>
        <w:rPr>
          <w:i/>
          <w:iCs/>
          <w:sz w:val="22"/>
          <w:szCs w:val="22"/>
        </w:rPr>
        <w:t>.</w:t>
      </w:r>
      <w:r w:rsidRPr="000B20C9">
        <w:rPr>
          <w:i/>
          <w:iCs/>
          <w:sz w:val="22"/>
          <w:szCs w:val="22"/>
        </w:rPr>
        <w:t xml:space="preserve"> Med</w:t>
      </w:r>
      <w:r>
        <w:rPr>
          <w:sz w:val="22"/>
          <w:szCs w:val="22"/>
        </w:rPr>
        <w:t xml:space="preserve">. </w:t>
      </w:r>
      <w:r w:rsidRPr="001B2EC7">
        <w:rPr>
          <w:sz w:val="22"/>
          <w:szCs w:val="22"/>
        </w:rPr>
        <w:t>137(8), 678-687 (2002).</w:t>
      </w:r>
    </w:p>
    <w:p w14:paraId="203620DF" w14:textId="77777777" w:rsidR="00383002" w:rsidRPr="001B2EC7" w:rsidRDefault="00383002" w:rsidP="00383002">
      <w:pPr>
        <w:numPr>
          <w:ilvl w:val="0"/>
          <w:numId w:val="4"/>
        </w:numPr>
        <w:rPr>
          <w:sz w:val="22"/>
          <w:szCs w:val="22"/>
        </w:rPr>
      </w:pPr>
      <w:r w:rsidRPr="001B2EC7">
        <w:rPr>
          <w:sz w:val="22"/>
          <w:szCs w:val="22"/>
        </w:rPr>
        <w:t xml:space="preserve">Barrios E, </w:t>
      </w:r>
      <w:proofErr w:type="spellStart"/>
      <w:r w:rsidRPr="001B2EC7">
        <w:rPr>
          <w:sz w:val="22"/>
          <w:szCs w:val="22"/>
        </w:rPr>
        <w:t>Garau</w:t>
      </w:r>
      <w:proofErr w:type="spellEnd"/>
      <w:r w:rsidRPr="001B2EC7">
        <w:rPr>
          <w:sz w:val="22"/>
          <w:szCs w:val="22"/>
        </w:rPr>
        <w:t xml:space="preserve"> M, Alonso R, </w:t>
      </w:r>
      <w:proofErr w:type="spellStart"/>
      <w:r w:rsidRPr="001B2EC7">
        <w:rPr>
          <w:sz w:val="22"/>
          <w:szCs w:val="22"/>
        </w:rPr>
        <w:t>Musetti</w:t>
      </w:r>
      <w:proofErr w:type="spellEnd"/>
      <w:r w:rsidRPr="001B2EC7">
        <w:rPr>
          <w:sz w:val="22"/>
          <w:szCs w:val="22"/>
        </w:rPr>
        <w:t xml:space="preserve"> C. Atlas de </w:t>
      </w:r>
      <w:proofErr w:type="spellStart"/>
      <w:r w:rsidRPr="001B2EC7">
        <w:rPr>
          <w:sz w:val="22"/>
          <w:szCs w:val="22"/>
        </w:rPr>
        <w:t>incidencia</w:t>
      </w:r>
      <w:proofErr w:type="spellEnd"/>
      <w:r w:rsidRPr="001B2EC7">
        <w:rPr>
          <w:sz w:val="22"/>
          <w:szCs w:val="22"/>
        </w:rPr>
        <w:t xml:space="preserve"> del </w:t>
      </w:r>
      <w:proofErr w:type="spellStart"/>
      <w:r w:rsidRPr="001B2EC7">
        <w:rPr>
          <w:sz w:val="22"/>
          <w:szCs w:val="22"/>
        </w:rPr>
        <w:t>cáncer</w:t>
      </w:r>
      <w:proofErr w:type="spellEnd"/>
      <w:r w:rsidRPr="001B2EC7">
        <w:rPr>
          <w:sz w:val="22"/>
          <w:szCs w:val="22"/>
        </w:rPr>
        <w:t xml:space="preserve"> </w:t>
      </w:r>
      <w:proofErr w:type="spellStart"/>
      <w:r w:rsidRPr="001B2EC7">
        <w:rPr>
          <w:sz w:val="22"/>
          <w:szCs w:val="22"/>
        </w:rPr>
        <w:t>en</w:t>
      </w:r>
      <w:proofErr w:type="spellEnd"/>
      <w:r w:rsidRPr="001B2EC7">
        <w:rPr>
          <w:sz w:val="22"/>
          <w:szCs w:val="22"/>
        </w:rPr>
        <w:t xml:space="preserve"> Uruguay. </w:t>
      </w:r>
      <w:proofErr w:type="spellStart"/>
      <w:r w:rsidRPr="001B2EC7">
        <w:rPr>
          <w:sz w:val="22"/>
          <w:szCs w:val="22"/>
        </w:rPr>
        <w:t>Periodo</w:t>
      </w:r>
      <w:proofErr w:type="spellEnd"/>
      <w:r w:rsidRPr="001B2EC7">
        <w:rPr>
          <w:sz w:val="22"/>
          <w:szCs w:val="22"/>
        </w:rPr>
        <w:t xml:space="preserve"> 2012-2016. Montevideo: </w:t>
      </w:r>
      <w:proofErr w:type="spellStart"/>
      <w:r w:rsidRPr="001B2EC7">
        <w:rPr>
          <w:sz w:val="22"/>
          <w:szCs w:val="22"/>
        </w:rPr>
        <w:t>Comisión</w:t>
      </w:r>
      <w:proofErr w:type="spellEnd"/>
      <w:r w:rsidRPr="001B2EC7">
        <w:rPr>
          <w:sz w:val="22"/>
          <w:szCs w:val="22"/>
        </w:rPr>
        <w:t xml:space="preserve"> Honoraria de </w:t>
      </w:r>
      <w:proofErr w:type="spellStart"/>
      <w:r w:rsidRPr="001B2EC7">
        <w:rPr>
          <w:sz w:val="22"/>
          <w:szCs w:val="22"/>
        </w:rPr>
        <w:t>Lucha</w:t>
      </w:r>
      <w:proofErr w:type="spellEnd"/>
      <w:r w:rsidRPr="001B2EC7">
        <w:rPr>
          <w:sz w:val="22"/>
          <w:szCs w:val="22"/>
        </w:rPr>
        <w:t xml:space="preserve"> Contra el </w:t>
      </w:r>
      <w:proofErr w:type="spellStart"/>
      <w:r w:rsidRPr="001B2EC7">
        <w:rPr>
          <w:sz w:val="22"/>
          <w:szCs w:val="22"/>
        </w:rPr>
        <w:t>Cáncer</w:t>
      </w:r>
      <w:proofErr w:type="spellEnd"/>
      <w:r w:rsidRPr="001B2EC7">
        <w:rPr>
          <w:sz w:val="22"/>
          <w:szCs w:val="22"/>
        </w:rPr>
        <w:t>, 20</w:t>
      </w:r>
      <w:r>
        <w:rPr>
          <w:sz w:val="22"/>
          <w:szCs w:val="22"/>
        </w:rPr>
        <w:t>20</w:t>
      </w:r>
      <w:r w:rsidRPr="001B2EC7">
        <w:rPr>
          <w:sz w:val="22"/>
          <w:szCs w:val="22"/>
        </w:rPr>
        <w:t xml:space="preserve">. Available at: </w:t>
      </w:r>
      <w:hyperlink r:id="rId12" w:history="1">
        <w:r w:rsidRPr="001B2EC7">
          <w:rPr>
            <w:rStyle w:val="Hyperlink"/>
            <w:sz w:val="22"/>
            <w:szCs w:val="22"/>
          </w:rPr>
          <w:t>https://www.comisioncancer.org.uy/Ocultas/V-Atlas-de-Incidencia-del-Cancer-en-el-Uruguay-</w:t>
        </w:r>
        <w:r w:rsidRPr="001B2EC7">
          <w:rPr>
            <w:rStyle w:val="Hyperlink"/>
            <w:sz w:val="22"/>
            <w:szCs w:val="22"/>
          </w:rPr>
          <w:t>P</w:t>
        </w:r>
        <w:r w:rsidRPr="001B2EC7">
          <w:rPr>
            <w:rStyle w:val="Hyperlink"/>
            <w:sz w:val="22"/>
            <w:szCs w:val="22"/>
          </w:rPr>
          <w:t>eriodo-2012-2016-uc250</w:t>
        </w:r>
      </w:hyperlink>
      <w:r>
        <w:rPr>
          <w:sz w:val="22"/>
          <w:szCs w:val="22"/>
        </w:rPr>
        <w:t>.</w:t>
      </w:r>
      <w:r w:rsidRPr="001B2EC7">
        <w:rPr>
          <w:sz w:val="22"/>
          <w:szCs w:val="22"/>
        </w:rPr>
        <w:t xml:space="preserve"> Accessed 30 September 2020</w:t>
      </w:r>
      <w:r>
        <w:rPr>
          <w:sz w:val="22"/>
          <w:szCs w:val="22"/>
        </w:rPr>
        <w:t>.</w:t>
      </w:r>
    </w:p>
    <w:p w14:paraId="5797D869" w14:textId="77777777" w:rsidR="00383002" w:rsidRPr="00A4081B" w:rsidRDefault="00383002" w:rsidP="00383002">
      <w:pPr>
        <w:numPr>
          <w:ilvl w:val="0"/>
          <w:numId w:val="4"/>
        </w:numPr>
        <w:rPr>
          <w:sz w:val="22"/>
          <w:szCs w:val="22"/>
        </w:rPr>
      </w:pPr>
      <w:r>
        <w:rPr>
          <w:sz w:val="22"/>
          <w:szCs w:val="22"/>
        </w:rPr>
        <w:t xml:space="preserve">Giordano SH. A review of the diagnosis and management of male breast cancer. </w:t>
      </w:r>
      <w:r w:rsidRPr="000B20C9">
        <w:rPr>
          <w:i/>
          <w:iCs/>
          <w:sz w:val="22"/>
          <w:szCs w:val="22"/>
        </w:rPr>
        <w:t>Oncologist</w:t>
      </w:r>
      <w:r>
        <w:rPr>
          <w:i/>
          <w:iCs/>
          <w:sz w:val="22"/>
          <w:szCs w:val="22"/>
        </w:rPr>
        <w:t>.</w:t>
      </w:r>
      <w:r>
        <w:rPr>
          <w:sz w:val="22"/>
          <w:szCs w:val="22"/>
        </w:rPr>
        <w:t xml:space="preserve"> 10(7), 471-479 (2005).</w:t>
      </w:r>
    </w:p>
    <w:p w14:paraId="77562655" w14:textId="77777777" w:rsidR="00383002" w:rsidRPr="00A4081B" w:rsidRDefault="00383002" w:rsidP="00383002">
      <w:pPr>
        <w:numPr>
          <w:ilvl w:val="0"/>
          <w:numId w:val="4"/>
        </w:numPr>
        <w:rPr>
          <w:sz w:val="22"/>
          <w:szCs w:val="22"/>
        </w:rPr>
      </w:pPr>
      <w:proofErr w:type="spellStart"/>
      <w:r>
        <w:rPr>
          <w:sz w:val="22"/>
          <w:szCs w:val="22"/>
        </w:rPr>
        <w:t>Hultborn</w:t>
      </w:r>
      <w:proofErr w:type="spellEnd"/>
      <w:r>
        <w:rPr>
          <w:sz w:val="22"/>
          <w:szCs w:val="22"/>
        </w:rPr>
        <w:t xml:space="preserve"> R, Hanson C, </w:t>
      </w:r>
      <w:proofErr w:type="spellStart"/>
      <w:r>
        <w:rPr>
          <w:sz w:val="22"/>
          <w:szCs w:val="22"/>
        </w:rPr>
        <w:t>Köpf</w:t>
      </w:r>
      <w:proofErr w:type="spellEnd"/>
      <w:r>
        <w:rPr>
          <w:sz w:val="22"/>
          <w:szCs w:val="22"/>
        </w:rPr>
        <w:t xml:space="preserve"> I, </w:t>
      </w:r>
      <w:proofErr w:type="spellStart"/>
      <w:r>
        <w:rPr>
          <w:sz w:val="22"/>
          <w:szCs w:val="22"/>
        </w:rPr>
        <w:t>Verbiené</w:t>
      </w:r>
      <w:proofErr w:type="spellEnd"/>
      <w:r>
        <w:rPr>
          <w:sz w:val="22"/>
          <w:szCs w:val="22"/>
        </w:rPr>
        <w:t xml:space="preserve"> I, </w:t>
      </w:r>
      <w:proofErr w:type="spellStart"/>
      <w:r>
        <w:rPr>
          <w:sz w:val="22"/>
          <w:szCs w:val="22"/>
        </w:rPr>
        <w:t>Warnhammar</w:t>
      </w:r>
      <w:proofErr w:type="spellEnd"/>
      <w:r>
        <w:rPr>
          <w:sz w:val="22"/>
          <w:szCs w:val="22"/>
        </w:rPr>
        <w:t xml:space="preserve"> E, </w:t>
      </w:r>
      <w:proofErr w:type="spellStart"/>
      <w:r>
        <w:rPr>
          <w:sz w:val="22"/>
          <w:szCs w:val="22"/>
        </w:rPr>
        <w:t>Weimarck</w:t>
      </w:r>
      <w:proofErr w:type="spellEnd"/>
      <w:r>
        <w:rPr>
          <w:sz w:val="22"/>
          <w:szCs w:val="22"/>
        </w:rPr>
        <w:t xml:space="preserve"> A. Prevalence of Klinefelter’s syndrome in male breast cancer patients. </w:t>
      </w:r>
      <w:r w:rsidRPr="000B20C9">
        <w:rPr>
          <w:i/>
          <w:iCs/>
          <w:sz w:val="22"/>
          <w:szCs w:val="22"/>
        </w:rPr>
        <w:t>Anticancer Res</w:t>
      </w:r>
      <w:r>
        <w:rPr>
          <w:sz w:val="22"/>
          <w:szCs w:val="22"/>
        </w:rPr>
        <w:t>. 17(</w:t>
      </w:r>
      <w:proofErr w:type="spellStart"/>
      <w:r>
        <w:rPr>
          <w:sz w:val="22"/>
          <w:szCs w:val="22"/>
        </w:rPr>
        <w:t>6D</w:t>
      </w:r>
      <w:proofErr w:type="spellEnd"/>
      <w:r>
        <w:rPr>
          <w:sz w:val="22"/>
          <w:szCs w:val="22"/>
        </w:rPr>
        <w:t>), 4293-4297 (1997).</w:t>
      </w:r>
    </w:p>
    <w:p w14:paraId="3F098430" w14:textId="77777777" w:rsidR="00383002" w:rsidRPr="00A4081B" w:rsidRDefault="00383002" w:rsidP="00383002">
      <w:pPr>
        <w:numPr>
          <w:ilvl w:val="0"/>
          <w:numId w:val="4"/>
        </w:numPr>
        <w:rPr>
          <w:bCs/>
          <w:sz w:val="22"/>
          <w:szCs w:val="22"/>
        </w:rPr>
      </w:pPr>
      <w:proofErr w:type="spellStart"/>
      <w:r>
        <w:rPr>
          <w:bCs/>
          <w:sz w:val="22"/>
          <w:szCs w:val="22"/>
        </w:rPr>
        <w:t>Ewertz</w:t>
      </w:r>
      <w:proofErr w:type="spellEnd"/>
      <w:r>
        <w:rPr>
          <w:bCs/>
          <w:sz w:val="22"/>
          <w:szCs w:val="22"/>
        </w:rPr>
        <w:t xml:space="preserve"> M, Holmberg L, </w:t>
      </w:r>
      <w:proofErr w:type="spellStart"/>
      <w:r>
        <w:rPr>
          <w:bCs/>
          <w:sz w:val="22"/>
          <w:szCs w:val="22"/>
        </w:rPr>
        <w:t>Tretli</w:t>
      </w:r>
      <w:proofErr w:type="spellEnd"/>
      <w:r>
        <w:rPr>
          <w:bCs/>
          <w:sz w:val="22"/>
          <w:szCs w:val="22"/>
        </w:rPr>
        <w:t xml:space="preserve"> S, Pedersen BV, Kristensen A. Risk factors for male breast cancer – a case-control study from Scandinavia. </w:t>
      </w:r>
      <w:r w:rsidRPr="00E006A7">
        <w:rPr>
          <w:bCs/>
          <w:i/>
          <w:iCs/>
          <w:sz w:val="22"/>
          <w:szCs w:val="22"/>
        </w:rPr>
        <w:t>Acta Oncol</w:t>
      </w:r>
      <w:r>
        <w:rPr>
          <w:bCs/>
          <w:i/>
          <w:iCs/>
          <w:sz w:val="22"/>
          <w:szCs w:val="22"/>
        </w:rPr>
        <w:t>.</w:t>
      </w:r>
      <w:r>
        <w:rPr>
          <w:bCs/>
          <w:sz w:val="22"/>
          <w:szCs w:val="22"/>
        </w:rPr>
        <w:t xml:space="preserve"> 40(4), 467-471 (2001).</w:t>
      </w:r>
    </w:p>
    <w:p w14:paraId="6B210245" w14:textId="77777777" w:rsidR="00383002" w:rsidRPr="00A4081B" w:rsidRDefault="00383002" w:rsidP="00383002">
      <w:pPr>
        <w:numPr>
          <w:ilvl w:val="0"/>
          <w:numId w:val="4"/>
        </w:numPr>
        <w:rPr>
          <w:bCs/>
          <w:sz w:val="22"/>
          <w:szCs w:val="22"/>
        </w:rPr>
      </w:pPr>
      <w:r>
        <w:rPr>
          <w:bCs/>
          <w:sz w:val="22"/>
          <w:szCs w:val="22"/>
        </w:rPr>
        <w:t xml:space="preserve">Johnson KC, Pan S, Mao Y. Risk factors for male breast cancer in Canada, 1994-1998. </w:t>
      </w:r>
      <w:r w:rsidRPr="00B1612C">
        <w:rPr>
          <w:bCs/>
          <w:i/>
          <w:iCs/>
          <w:sz w:val="22"/>
          <w:szCs w:val="22"/>
        </w:rPr>
        <w:t>Eur</w:t>
      </w:r>
      <w:r>
        <w:rPr>
          <w:bCs/>
          <w:i/>
          <w:iCs/>
          <w:sz w:val="22"/>
          <w:szCs w:val="22"/>
        </w:rPr>
        <w:t>.</w:t>
      </w:r>
      <w:r w:rsidRPr="00B1612C">
        <w:rPr>
          <w:bCs/>
          <w:i/>
          <w:iCs/>
          <w:sz w:val="22"/>
          <w:szCs w:val="22"/>
        </w:rPr>
        <w:t xml:space="preserve"> J</w:t>
      </w:r>
      <w:r>
        <w:rPr>
          <w:bCs/>
          <w:i/>
          <w:iCs/>
          <w:sz w:val="22"/>
          <w:szCs w:val="22"/>
        </w:rPr>
        <w:t>.</w:t>
      </w:r>
      <w:r w:rsidRPr="00B1612C">
        <w:rPr>
          <w:bCs/>
          <w:i/>
          <w:iCs/>
          <w:sz w:val="22"/>
          <w:szCs w:val="22"/>
        </w:rPr>
        <w:t xml:space="preserve"> Cancer Prev</w:t>
      </w:r>
      <w:r>
        <w:rPr>
          <w:bCs/>
          <w:sz w:val="22"/>
          <w:szCs w:val="22"/>
        </w:rPr>
        <w:t>. 11(3), 253-263 (2002).</w:t>
      </w:r>
    </w:p>
    <w:p w14:paraId="6C61134A" w14:textId="77777777" w:rsidR="00383002" w:rsidRPr="00A4081B" w:rsidRDefault="00383002" w:rsidP="00383002">
      <w:pPr>
        <w:numPr>
          <w:ilvl w:val="0"/>
          <w:numId w:val="4"/>
        </w:numPr>
        <w:rPr>
          <w:bCs/>
          <w:sz w:val="22"/>
          <w:szCs w:val="22"/>
        </w:rPr>
      </w:pPr>
      <w:r>
        <w:rPr>
          <w:sz w:val="22"/>
          <w:szCs w:val="22"/>
        </w:rPr>
        <w:t xml:space="preserve">Basham </w:t>
      </w:r>
      <w:proofErr w:type="spellStart"/>
      <w:r>
        <w:rPr>
          <w:sz w:val="22"/>
          <w:szCs w:val="22"/>
        </w:rPr>
        <w:t>VM</w:t>
      </w:r>
      <w:proofErr w:type="spellEnd"/>
      <w:r>
        <w:rPr>
          <w:sz w:val="22"/>
          <w:szCs w:val="22"/>
        </w:rPr>
        <w:t xml:space="preserve">, Lipscombe JM, Ward JM </w:t>
      </w:r>
      <w:r w:rsidRPr="003E67F0">
        <w:rPr>
          <w:i/>
          <w:iCs/>
          <w:sz w:val="22"/>
          <w:szCs w:val="22"/>
        </w:rPr>
        <w:t>et al</w:t>
      </w:r>
      <w:r>
        <w:rPr>
          <w:sz w:val="22"/>
          <w:szCs w:val="22"/>
        </w:rPr>
        <w:t xml:space="preserve">. </w:t>
      </w:r>
      <w:proofErr w:type="spellStart"/>
      <w:r>
        <w:rPr>
          <w:sz w:val="22"/>
          <w:szCs w:val="22"/>
        </w:rPr>
        <w:t>BRCA1</w:t>
      </w:r>
      <w:proofErr w:type="spellEnd"/>
      <w:r>
        <w:rPr>
          <w:sz w:val="22"/>
          <w:szCs w:val="22"/>
        </w:rPr>
        <w:t xml:space="preserve"> and </w:t>
      </w:r>
      <w:proofErr w:type="spellStart"/>
      <w:r>
        <w:rPr>
          <w:sz w:val="22"/>
          <w:szCs w:val="22"/>
        </w:rPr>
        <w:t>BRCA2</w:t>
      </w:r>
      <w:proofErr w:type="spellEnd"/>
      <w:r>
        <w:rPr>
          <w:sz w:val="22"/>
          <w:szCs w:val="22"/>
        </w:rPr>
        <w:t xml:space="preserve"> mutations in a population-based study of male breast cancer. </w:t>
      </w:r>
      <w:r w:rsidRPr="003E67F0">
        <w:rPr>
          <w:i/>
          <w:iCs/>
          <w:sz w:val="22"/>
          <w:szCs w:val="22"/>
        </w:rPr>
        <w:t>Breast Cancer Res</w:t>
      </w:r>
      <w:r>
        <w:rPr>
          <w:i/>
          <w:iCs/>
          <w:sz w:val="22"/>
          <w:szCs w:val="22"/>
        </w:rPr>
        <w:t>.</w:t>
      </w:r>
      <w:r>
        <w:rPr>
          <w:sz w:val="22"/>
          <w:szCs w:val="22"/>
        </w:rPr>
        <w:t xml:space="preserve"> 4(1), </w:t>
      </w:r>
      <w:proofErr w:type="spellStart"/>
      <w:r>
        <w:rPr>
          <w:sz w:val="22"/>
          <w:szCs w:val="22"/>
        </w:rPr>
        <w:t>R2</w:t>
      </w:r>
      <w:proofErr w:type="spellEnd"/>
      <w:r>
        <w:rPr>
          <w:sz w:val="22"/>
          <w:szCs w:val="22"/>
        </w:rPr>
        <w:t xml:space="preserve"> (2002). </w:t>
      </w:r>
    </w:p>
    <w:p w14:paraId="632DF265" w14:textId="77777777" w:rsidR="00383002" w:rsidRPr="00A4081B" w:rsidRDefault="00383002" w:rsidP="00383002">
      <w:pPr>
        <w:numPr>
          <w:ilvl w:val="0"/>
          <w:numId w:val="4"/>
        </w:numPr>
        <w:rPr>
          <w:bCs/>
          <w:sz w:val="22"/>
          <w:szCs w:val="22"/>
        </w:rPr>
      </w:pPr>
      <w:r>
        <w:rPr>
          <w:sz w:val="22"/>
          <w:szCs w:val="22"/>
        </w:rPr>
        <w:t xml:space="preserve">Friedman LS, </w:t>
      </w:r>
      <w:proofErr w:type="spellStart"/>
      <w:r>
        <w:rPr>
          <w:sz w:val="22"/>
          <w:szCs w:val="22"/>
        </w:rPr>
        <w:t>Gayther</w:t>
      </w:r>
      <w:proofErr w:type="spellEnd"/>
      <w:r>
        <w:rPr>
          <w:sz w:val="22"/>
          <w:szCs w:val="22"/>
        </w:rPr>
        <w:t xml:space="preserve"> SA, Kurosaki T </w:t>
      </w:r>
      <w:r w:rsidRPr="003E67F0">
        <w:rPr>
          <w:i/>
          <w:iCs/>
          <w:sz w:val="22"/>
          <w:szCs w:val="22"/>
        </w:rPr>
        <w:t>et al</w:t>
      </w:r>
      <w:r>
        <w:rPr>
          <w:sz w:val="22"/>
          <w:szCs w:val="22"/>
        </w:rPr>
        <w:t xml:space="preserve">. Mutation analysis of </w:t>
      </w:r>
      <w:proofErr w:type="spellStart"/>
      <w:r>
        <w:rPr>
          <w:sz w:val="22"/>
          <w:szCs w:val="22"/>
        </w:rPr>
        <w:t>BRCA1</w:t>
      </w:r>
      <w:proofErr w:type="spellEnd"/>
      <w:r>
        <w:rPr>
          <w:sz w:val="22"/>
          <w:szCs w:val="22"/>
        </w:rPr>
        <w:t xml:space="preserve"> and </w:t>
      </w:r>
      <w:proofErr w:type="spellStart"/>
      <w:r>
        <w:rPr>
          <w:sz w:val="22"/>
          <w:szCs w:val="22"/>
        </w:rPr>
        <w:t>BRCA2</w:t>
      </w:r>
      <w:proofErr w:type="spellEnd"/>
      <w:r>
        <w:rPr>
          <w:sz w:val="22"/>
          <w:szCs w:val="22"/>
        </w:rPr>
        <w:t xml:space="preserve"> in a male breast cancer population. </w:t>
      </w:r>
      <w:r w:rsidRPr="003E67F0">
        <w:rPr>
          <w:i/>
          <w:iCs/>
          <w:sz w:val="22"/>
          <w:szCs w:val="22"/>
        </w:rPr>
        <w:t>Am</w:t>
      </w:r>
      <w:r>
        <w:rPr>
          <w:i/>
          <w:iCs/>
          <w:sz w:val="22"/>
          <w:szCs w:val="22"/>
        </w:rPr>
        <w:t>.</w:t>
      </w:r>
      <w:r w:rsidRPr="003E67F0">
        <w:rPr>
          <w:i/>
          <w:iCs/>
          <w:sz w:val="22"/>
          <w:szCs w:val="22"/>
        </w:rPr>
        <w:t xml:space="preserve"> J</w:t>
      </w:r>
      <w:r>
        <w:rPr>
          <w:i/>
          <w:iCs/>
          <w:sz w:val="22"/>
          <w:szCs w:val="22"/>
        </w:rPr>
        <w:t>.</w:t>
      </w:r>
      <w:r w:rsidRPr="003E67F0">
        <w:rPr>
          <w:i/>
          <w:iCs/>
          <w:sz w:val="22"/>
          <w:szCs w:val="22"/>
        </w:rPr>
        <w:t xml:space="preserve"> Hum</w:t>
      </w:r>
      <w:r>
        <w:rPr>
          <w:i/>
          <w:iCs/>
          <w:sz w:val="22"/>
          <w:szCs w:val="22"/>
        </w:rPr>
        <w:t>.</w:t>
      </w:r>
      <w:r w:rsidRPr="003E67F0">
        <w:rPr>
          <w:i/>
          <w:iCs/>
          <w:sz w:val="22"/>
          <w:szCs w:val="22"/>
        </w:rPr>
        <w:t xml:space="preserve"> Genet</w:t>
      </w:r>
      <w:r>
        <w:rPr>
          <w:i/>
          <w:iCs/>
          <w:sz w:val="22"/>
          <w:szCs w:val="22"/>
        </w:rPr>
        <w:t xml:space="preserve">. </w:t>
      </w:r>
      <w:r>
        <w:rPr>
          <w:sz w:val="22"/>
          <w:szCs w:val="22"/>
        </w:rPr>
        <w:t xml:space="preserve">60(2), 313-319 (1997). </w:t>
      </w:r>
    </w:p>
    <w:p w14:paraId="74B8F7E9" w14:textId="77777777" w:rsidR="00383002" w:rsidRPr="00A4081B" w:rsidRDefault="00383002" w:rsidP="00383002">
      <w:pPr>
        <w:numPr>
          <w:ilvl w:val="0"/>
          <w:numId w:val="4"/>
        </w:numPr>
        <w:rPr>
          <w:bCs/>
          <w:sz w:val="22"/>
          <w:szCs w:val="22"/>
        </w:rPr>
      </w:pPr>
      <w:proofErr w:type="spellStart"/>
      <w:r>
        <w:rPr>
          <w:sz w:val="22"/>
          <w:szCs w:val="22"/>
        </w:rPr>
        <w:t>Ottini</w:t>
      </w:r>
      <w:proofErr w:type="spellEnd"/>
      <w:r>
        <w:rPr>
          <w:sz w:val="22"/>
          <w:szCs w:val="22"/>
        </w:rPr>
        <w:t xml:space="preserve"> L, Masala G, D’Amico C </w:t>
      </w:r>
      <w:r w:rsidRPr="003E67F0">
        <w:rPr>
          <w:i/>
          <w:iCs/>
          <w:sz w:val="22"/>
          <w:szCs w:val="22"/>
        </w:rPr>
        <w:t>et al</w:t>
      </w:r>
      <w:r>
        <w:rPr>
          <w:sz w:val="22"/>
          <w:szCs w:val="22"/>
        </w:rPr>
        <w:t xml:space="preserve">. </w:t>
      </w:r>
      <w:proofErr w:type="spellStart"/>
      <w:r>
        <w:rPr>
          <w:sz w:val="22"/>
          <w:szCs w:val="22"/>
        </w:rPr>
        <w:t>BRCA1</w:t>
      </w:r>
      <w:proofErr w:type="spellEnd"/>
      <w:r>
        <w:rPr>
          <w:sz w:val="22"/>
          <w:szCs w:val="22"/>
        </w:rPr>
        <w:t xml:space="preserve"> and </w:t>
      </w:r>
      <w:proofErr w:type="spellStart"/>
      <w:r>
        <w:rPr>
          <w:sz w:val="22"/>
          <w:szCs w:val="22"/>
        </w:rPr>
        <w:t>BRCA2</w:t>
      </w:r>
      <w:proofErr w:type="spellEnd"/>
      <w:r>
        <w:rPr>
          <w:sz w:val="22"/>
          <w:szCs w:val="22"/>
        </w:rPr>
        <w:t xml:space="preserve"> mutation status and </w:t>
      </w:r>
      <w:proofErr w:type="spellStart"/>
      <w:r>
        <w:rPr>
          <w:sz w:val="22"/>
          <w:szCs w:val="22"/>
        </w:rPr>
        <w:t>tumor</w:t>
      </w:r>
      <w:proofErr w:type="spellEnd"/>
      <w:r>
        <w:rPr>
          <w:sz w:val="22"/>
          <w:szCs w:val="22"/>
        </w:rPr>
        <w:t xml:space="preserve"> characteristics in male breast cancer: a population-based study in Italy. </w:t>
      </w:r>
      <w:r w:rsidRPr="003E67F0">
        <w:rPr>
          <w:i/>
          <w:iCs/>
          <w:sz w:val="22"/>
          <w:szCs w:val="22"/>
        </w:rPr>
        <w:t>Cancer Res</w:t>
      </w:r>
      <w:r>
        <w:rPr>
          <w:i/>
          <w:iCs/>
          <w:sz w:val="22"/>
          <w:szCs w:val="22"/>
        </w:rPr>
        <w:t xml:space="preserve">. </w:t>
      </w:r>
      <w:r>
        <w:rPr>
          <w:sz w:val="22"/>
          <w:szCs w:val="22"/>
        </w:rPr>
        <w:t>63(2), 342-347 (2003).</w:t>
      </w:r>
    </w:p>
    <w:p w14:paraId="770BA312" w14:textId="77777777" w:rsidR="00383002" w:rsidRPr="00A4081B" w:rsidRDefault="00383002" w:rsidP="00383002">
      <w:pPr>
        <w:numPr>
          <w:ilvl w:val="0"/>
          <w:numId w:val="4"/>
        </w:numPr>
        <w:rPr>
          <w:sz w:val="22"/>
          <w:szCs w:val="22"/>
        </w:rPr>
      </w:pPr>
      <w:r>
        <w:rPr>
          <w:sz w:val="22"/>
          <w:szCs w:val="22"/>
        </w:rPr>
        <w:t xml:space="preserve">Ron E, Ikeda T, Preston DL, </w:t>
      </w:r>
      <w:proofErr w:type="spellStart"/>
      <w:r>
        <w:rPr>
          <w:sz w:val="22"/>
          <w:szCs w:val="22"/>
        </w:rPr>
        <w:t>Tokuoka</w:t>
      </w:r>
      <w:proofErr w:type="spellEnd"/>
      <w:r>
        <w:rPr>
          <w:sz w:val="22"/>
          <w:szCs w:val="22"/>
        </w:rPr>
        <w:t xml:space="preserve"> S. Male breast cancer incidence among atomic bomb survivors. </w:t>
      </w:r>
      <w:r w:rsidRPr="00561388">
        <w:rPr>
          <w:i/>
          <w:iCs/>
          <w:sz w:val="22"/>
          <w:szCs w:val="22"/>
        </w:rPr>
        <w:t>J. Natl. Cancer Inst</w:t>
      </w:r>
      <w:r>
        <w:rPr>
          <w:sz w:val="22"/>
          <w:szCs w:val="22"/>
        </w:rPr>
        <w:t>. 97(8), 603-605 (2005).</w:t>
      </w:r>
    </w:p>
    <w:p w14:paraId="147BEC71" w14:textId="77777777" w:rsidR="00383002" w:rsidRPr="00A4081B" w:rsidRDefault="00383002" w:rsidP="00383002">
      <w:pPr>
        <w:numPr>
          <w:ilvl w:val="0"/>
          <w:numId w:val="4"/>
        </w:numPr>
        <w:rPr>
          <w:bCs/>
          <w:sz w:val="22"/>
          <w:szCs w:val="22"/>
        </w:rPr>
      </w:pPr>
      <w:proofErr w:type="spellStart"/>
      <w:r>
        <w:rPr>
          <w:bCs/>
          <w:sz w:val="22"/>
          <w:szCs w:val="22"/>
        </w:rPr>
        <w:t>Sasco</w:t>
      </w:r>
      <w:proofErr w:type="spellEnd"/>
      <w:r>
        <w:rPr>
          <w:bCs/>
          <w:sz w:val="22"/>
          <w:szCs w:val="22"/>
        </w:rPr>
        <w:t xml:space="preserve"> AJ, </w:t>
      </w:r>
      <w:proofErr w:type="spellStart"/>
      <w:r>
        <w:rPr>
          <w:bCs/>
          <w:sz w:val="22"/>
          <w:szCs w:val="22"/>
        </w:rPr>
        <w:t>Lowenfels</w:t>
      </w:r>
      <w:proofErr w:type="spellEnd"/>
      <w:r>
        <w:rPr>
          <w:bCs/>
          <w:sz w:val="22"/>
          <w:szCs w:val="22"/>
        </w:rPr>
        <w:t xml:space="preserve"> AB, </w:t>
      </w:r>
      <w:proofErr w:type="spellStart"/>
      <w:r>
        <w:rPr>
          <w:bCs/>
          <w:sz w:val="22"/>
          <w:szCs w:val="22"/>
        </w:rPr>
        <w:t>Pasker</w:t>
      </w:r>
      <w:proofErr w:type="spellEnd"/>
      <w:r>
        <w:rPr>
          <w:bCs/>
          <w:sz w:val="22"/>
          <w:szCs w:val="22"/>
        </w:rPr>
        <w:t xml:space="preserve">-de Jong P. Review article: epidemiology of male breast cancer. A meta-analysis of published case-control studies and discussion of selected aetiological factors. </w:t>
      </w:r>
      <w:r w:rsidRPr="00561388">
        <w:rPr>
          <w:bCs/>
          <w:i/>
          <w:iCs/>
          <w:sz w:val="22"/>
          <w:szCs w:val="22"/>
        </w:rPr>
        <w:t>Int</w:t>
      </w:r>
      <w:r>
        <w:rPr>
          <w:bCs/>
          <w:i/>
          <w:iCs/>
          <w:sz w:val="22"/>
          <w:szCs w:val="22"/>
        </w:rPr>
        <w:t>.</w:t>
      </w:r>
      <w:r w:rsidRPr="00561388">
        <w:rPr>
          <w:bCs/>
          <w:i/>
          <w:iCs/>
          <w:sz w:val="22"/>
          <w:szCs w:val="22"/>
        </w:rPr>
        <w:t xml:space="preserve"> J</w:t>
      </w:r>
      <w:r>
        <w:rPr>
          <w:bCs/>
          <w:i/>
          <w:iCs/>
          <w:sz w:val="22"/>
          <w:szCs w:val="22"/>
        </w:rPr>
        <w:t>.</w:t>
      </w:r>
      <w:r w:rsidRPr="00561388">
        <w:rPr>
          <w:bCs/>
          <w:i/>
          <w:iCs/>
          <w:sz w:val="22"/>
          <w:szCs w:val="22"/>
        </w:rPr>
        <w:t xml:space="preserve"> Cancer</w:t>
      </w:r>
      <w:r>
        <w:rPr>
          <w:bCs/>
          <w:i/>
          <w:iCs/>
          <w:sz w:val="22"/>
          <w:szCs w:val="22"/>
        </w:rPr>
        <w:t xml:space="preserve">. </w:t>
      </w:r>
      <w:r>
        <w:rPr>
          <w:bCs/>
          <w:sz w:val="22"/>
          <w:szCs w:val="22"/>
        </w:rPr>
        <w:t>53(4), 538-549 (1993).</w:t>
      </w:r>
    </w:p>
    <w:p w14:paraId="712A6B1D" w14:textId="77777777" w:rsidR="00383002" w:rsidRPr="00A4081B" w:rsidRDefault="00383002" w:rsidP="00383002">
      <w:pPr>
        <w:numPr>
          <w:ilvl w:val="0"/>
          <w:numId w:val="4"/>
        </w:numPr>
        <w:rPr>
          <w:bCs/>
          <w:sz w:val="22"/>
          <w:szCs w:val="22"/>
        </w:rPr>
      </w:pPr>
      <w:proofErr w:type="spellStart"/>
      <w:r>
        <w:rPr>
          <w:sz w:val="22"/>
          <w:szCs w:val="22"/>
        </w:rPr>
        <w:t>Fentiman</w:t>
      </w:r>
      <w:proofErr w:type="spellEnd"/>
      <w:r>
        <w:rPr>
          <w:sz w:val="22"/>
          <w:szCs w:val="22"/>
        </w:rPr>
        <w:t xml:space="preserve"> IS, </w:t>
      </w:r>
      <w:proofErr w:type="spellStart"/>
      <w:r>
        <w:rPr>
          <w:sz w:val="22"/>
          <w:szCs w:val="22"/>
        </w:rPr>
        <w:t>Fourquet</w:t>
      </w:r>
      <w:proofErr w:type="spellEnd"/>
      <w:r>
        <w:rPr>
          <w:sz w:val="22"/>
          <w:szCs w:val="22"/>
        </w:rPr>
        <w:t xml:space="preserve"> A, </w:t>
      </w:r>
      <w:proofErr w:type="spellStart"/>
      <w:r>
        <w:rPr>
          <w:sz w:val="22"/>
          <w:szCs w:val="22"/>
        </w:rPr>
        <w:t>Hortobagyi</w:t>
      </w:r>
      <w:proofErr w:type="spellEnd"/>
      <w:r>
        <w:rPr>
          <w:sz w:val="22"/>
          <w:szCs w:val="22"/>
        </w:rPr>
        <w:t xml:space="preserve"> GN. Male breast cancer. </w:t>
      </w:r>
      <w:r w:rsidRPr="008212D9">
        <w:rPr>
          <w:i/>
          <w:iCs/>
          <w:sz w:val="22"/>
          <w:szCs w:val="22"/>
        </w:rPr>
        <w:t>Lancet</w:t>
      </w:r>
      <w:r>
        <w:rPr>
          <w:sz w:val="22"/>
          <w:szCs w:val="22"/>
        </w:rPr>
        <w:t>. 367(9510), 595-604 (2006).</w:t>
      </w:r>
    </w:p>
    <w:p w14:paraId="035C1CFE" w14:textId="77777777" w:rsidR="00383002" w:rsidRPr="00A4081B" w:rsidRDefault="00383002" w:rsidP="00383002">
      <w:pPr>
        <w:numPr>
          <w:ilvl w:val="0"/>
          <w:numId w:val="4"/>
        </w:numPr>
        <w:rPr>
          <w:bCs/>
          <w:sz w:val="22"/>
          <w:szCs w:val="22"/>
        </w:rPr>
      </w:pPr>
      <w:proofErr w:type="spellStart"/>
      <w:r>
        <w:rPr>
          <w:sz w:val="22"/>
          <w:szCs w:val="22"/>
        </w:rPr>
        <w:t>Ottini</w:t>
      </w:r>
      <w:proofErr w:type="spellEnd"/>
      <w:r>
        <w:rPr>
          <w:sz w:val="22"/>
          <w:szCs w:val="22"/>
        </w:rPr>
        <w:t xml:space="preserve"> L, </w:t>
      </w:r>
      <w:proofErr w:type="spellStart"/>
      <w:r>
        <w:rPr>
          <w:sz w:val="22"/>
          <w:szCs w:val="22"/>
        </w:rPr>
        <w:t>Palli</w:t>
      </w:r>
      <w:proofErr w:type="spellEnd"/>
      <w:r>
        <w:rPr>
          <w:sz w:val="22"/>
          <w:szCs w:val="22"/>
        </w:rPr>
        <w:t xml:space="preserve"> D, Rizzo S, Federico M, Bazan V, Russo A. Male breast cancer. </w:t>
      </w:r>
      <w:r w:rsidRPr="008212D9">
        <w:rPr>
          <w:i/>
          <w:iCs/>
          <w:sz w:val="22"/>
          <w:szCs w:val="22"/>
        </w:rPr>
        <w:t>Crit</w:t>
      </w:r>
      <w:r>
        <w:rPr>
          <w:i/>
          <w:iCs/>
          <w:sz w:val="22"/>
          <w:szCs w:val="22"/>
        </w:rPr>
        <w:t>.</w:t>
      </w:r>
      <w:r w:rsidRPr="008212D9">
        <w:rPr>
          <w:i/>
          <w:iCs/>
          <w:sz w:val="22"/>
          <w:szCs w:val="22"/>
        </w:rPr>
        <w:t xml:space="preserve"> Rev</w:t>
      </w:r>
      <w:r>
        <w:rPr>
          <w:i/>
          <w:iCs/>
          <w:sz w:val="22"/>
          <w:szCs w:val="22"/>
        </w:rPr>
        <w:t>.</w:t>
      </w:r>
      <w:r w:rsidRPr="008212D9">
        <w:rPr>
          <w:i/>
          <w:iCs/>
          <w:sz w:val="22"/>
          <w:szCs w:val="22"/>
        </w:rPr>
        <w:t xml:space="preserve"> Oncol</w:t>
      </w:r>
      <w:r>
        <w:rPr>
          <w:i/>
          <w:iCs/>
          <w:sz w:val="22"/>
          <w:szCs w:val="22"/>
        </w:rPr>
        <w:t>.</w:t>
      </w:r>
      <w:r w:rsidRPr="008212D9">
        <w:rPr>
          <w:i/>
          <w:iCs/>
          <w:sz w:val="22"/>
          <w:szCs w:val="22"/>
        </w:rPr>
        <w:t xml:space="preserve"> </w:t>
      </w:r>
      <w:proofErr w:type="spellStart"/>
      <w:r w:rsidRPr="008212D9">
        <w:rPr>
          <w:i/>
          <w:iCs/>
          <w:sz w:val="22"/>
          <w:szCs w:val="22"/>
        </w:rPr>
        <w:t>Hematol</w:t>
      </w:r>
      <w:proofErr w:type="spellEnd"/>
      <w:r>
        <w:rPr>
          <w:sz w:val="22"/>
          <w:szCs w:val="22"/>
        </w:rPr>
        <w:t>. 73(2), 141-155 (2010).</w:t>
      </w:r>
    </w:p>
    <w:p w14:paraId="7FD0EDA6" w14:textId="77777777" w:rsidR="00383002" w:rsidRPr="00A4081B" w:rsidRDefault="00383002" w:rsidP="00383002">
      <w:pPr>
        <w:numPr>
          <w:ilvl w:val="0"/>
          <w:numId w:val="4"/>
        </w:numPr>
        <w:rPr>
          <w:bCs/>
          <w:sz w:val="22"/>
          <w:szCs w:val="22"/>
        </w:rPr>
      </w:pPr>
      <w:r>
        <w:rPr>
          <w:bCs/>
          <w:sz w:val="22"/>
          <w:szCs w:val="22"/>
        </w:rPr>
        <w:t xml:space="preserve">Chen L, </w:t>
      </w:r>
      <w:proofErr w:type="spellStart"/>
      <w:r>
        <w:rPr>
          <w:bCs/>
          <w:sz w:val="22"/>
          <w:szCs w:val="22"/>
        </w:rPr>
        <w:t>Chantra</w:t>
      </w:r>
      <w:proofErr w:type="spellEnd"/>
      <w:r>
        <w:rPr>
          <w:bCs/>
          <w:sz w:val="22"/>
          <w:szCs w:val="22"/>
        </w:rPr>
        <w:t xml:space="preserve"> PK, Larsen LH </w:t>
      </w:r>
      <w:r w:rsidRPr="00926D29">
        <w:rPr>
          <w:bCs/>
          <w:i/>
          <w:sz w:val="22"/>
          <w:szCs w:val="22"/>
        </w:rPr>
        <w:t>et al</w:t>
      </w:r>
      <w:r>
        <w:rPr>
          <w:bCs/>
          <w:sz w:val="22"/>
          <w:szCs w:val="22"/>
        </w:rPr>
        <w:t xml:space="preserve">. Imaging characteristics of malignant lesions of the male breast. </w:t>
      </w:r>
      <w:proofErr w:type="spellStart"/>
      <w:r w:rsidRPr="008212D9">
        <w:rPr>
          <w:bCs/>
          <w:i/>
          <w:iCs/>
          <w:sz w:val="22"/>
          <w:szCs w:val="22"/>
        </w:rPr>
        <w:t>Radiographics</w:t>
      </w:r>
      <w:proofErr w:type="spellEnd"/>
      <w:r>
        <w:rPr>
          <w:bCs/>
          <w:sz w:val="22"/>
          <w:szCs w:val="22"/>
        </w:rPr>
        <w:t>. 26(4), 993-1006 (2006).</w:t>
      </w:r>
    </w:p>
    <w:p w14:paraId="0D39EE0C" w14:textId="77777777" w:rsidR="00383002" w:rsidRPr="00A4081B" w:rsidRDefault="00383002" w:rsidP="00383002">
      <w:pPr>
        <w:numPr>
          <w:ilvl w:val="0"/>
          <w:numId w:val="4"/>
        </w:numPr>
        <w:rPr>
          <w:bCs/>
          <w:sz w:val="22"/>
          <w:szCs w:val="22"/>
        </w:rPr>
      </w:pPr>
      <w:proofErr w:type="spellStart"/>
      <w:r>
        <w:rPr>
          <w:sz w:val="22"/>
          <w:szCs w:val="22"/>
        </w:rPr>
        <w:t>Burga</w:t>
      </w:r>
      <w:proofErr w:type="spellEnd"/>
      <w:r>
        <w:rPr>
          <w:sz w:val="22"/>
          <w:szCs w:val="22"/>
        </w:rPr>
        <w:t xml:space="preserve"> AM, </w:t>
      </w:r>
      <w:proofErr w:type="spellStart"/>
      <w:r>
        <w:rPr>
          <w:sz w:val="22"/>
          <w:szCs w:val="22"/>
        </w:rPr>
        <w:t>Fadare</w:t>
      </w:r>
      <w:proofErr w:type="spellEnd"/>
      <w:r>
        <w:rPr>
          <w:sz w:val="22"/>
          <w:szCs w:val="22"/>
        </w:rPr>
        <w:t xml:space="preserve"> O, Lininger RA, </w:t>
      </w:r>
      <w:proofErr w:type="spellStart"/>
      <w:r>
        <w:rPr>
          <w:sz w:val="22"/>
          <w:szCs w:val="22"/>
        </w:rPr>
        <w:t>Tavassoli</w:t>
      </w:r>
      <w:proofErr w:type="spellEnd"/>
      <w:r>
        <w:rPr>
          <w:sz w:val="22"/>
          <w:szCs w:val="22"/>
        </w:rPr>
        <w:t xml:space="preserve"> FA. Invasive carcinomas of the male breast: a morphologic study of the distribution of histologic subtypes and metastatic patterns in 778 cases. </w:t>
      </w:r>
      <w:proofErr w:type="spellStart"/>
      <w:r w:rsidRPr="001D544A">
        <w:rPr>
          <w:i/>
          <w:iCs/>
          <w:sz w:val="22"/>
          <w:szCs w:val="22"/>
        </w:rPr>
        <w:t>Virchows</w:t>
      </w:r>
      <w:proofErr w:type="spellEnd"/>
      <w:r w:rsidRPr="001D544A">
        <w:rPr>
          <w:i/>
          <w:iCs/>
          <w:sz w:val="22"/>
          <w:szCs w:val="22"/>
        </w:rPr>
        <w:t xml:space="preserve"> </w:t>
      </w:r>
      <w:proofErr w:type="spellStart"/>
      <w:r w:rsidRPr="001D544A">
        <w:rPr>
          <w:i/>
          <w:iCs/>
          <w:sz w:val="22"/>
          <w:szCs w:val="22"/>
        </w:rPr>
        <w:t>Archiv</w:t>
      </w:r>
      <w:proofErr w:type="spellEnd"/>
      <w:r>
        <w:rPr>
          <w:i/>
          <w:iCs/>
          <w:sz w:val="22"/>
          <w:szCs w:val="22"/>
        </w:rPr>
        <w:t xml:space="preserve">. </w:t>
      </w:r>
      <w:r>
        <w:rPr>
          <w:sz w:val="22"/>
          <w:szCs w:val="22"/>
        </w:rPr>
        <w:t>449(5), 507-512 (2006).</w:t>
      </w:r>
    </w:p>
    <w:p w14:paraId="026DF5D7" w14:textId="77777777" w:rsidR="00383002" w:rsidRPr="00A4081B" w:rsidRDefault="00383002" w:rsidP="00383002">
      <w:pPr>
        <w:numPr>
          <w:ilvl w:val="0"/>
          <w:numId w:val="4"/>
        </w:numPr>
        <w:rPr>
          <w:bCs/>
          <w:sz w:val="22"/>
          <w:szCs w:val="22"/>
        </w:rPr>
      </w:pPr>
      <w:proofErr w:type="spellStart"/>
      <w:r>
        <w:rPr>
          <w:sz w:val="22"/>
          <w:szCs w:val="22"/>
        </w:rPr>
        <w:t>Korde</w:t>
      </w:r>
      <w:proofErr w:type="spellEnd"/>
      <w:r>
        <w:rPr>
          <w:sz w:val="22"/>
          <w:szCs w:val="22"/>
        </w:rPr>
        <w:t xml:space="preserve"> LA, </w:t>
      </w:r>
      <w:proofErr w:type="spellStart"/>
      <w:r>
        <w:rPr>
          <w:sz w:val="22"/>
          <w:szCs w:val="22"/>
        </w:rPr>
        <w:t>Zujewski</w:t>
      </w:r>
      <w:proofErr w:type="spellEnd"/>
      <w:r>
        <w:rPr>
          <w:sz w:val="22"/>
          <w:szCs w:val="22"/>
        </w:rPr>
        <w:t xml:space="preserve"> JA, </w:t>
      </w:r>
      <w:proofErr w:type="spellStart"/>
      <w:r>
        <w:rPr>
          <w:sz w:val="22"/>
          <w:szCs w:val="22"/>
        </w:rPr>
        <w:t>Kamin</w:t>
      </w:r>
      <w:proofErr w:type="spellEnd"/>
      <w:r>
        <w:rPr>
          <w:sz w:val="22"/>
          <w:szCs w:val="22"/>
        </w:rPr>
        <w:t xml:space="preserve"> L </w:t>
      </w:r>
      <w:r w:rsidRPr="00C71848">
        <w:rPr>
          <w:i/>
          <w:sz w:val="22"/>
          <w:szCs w:val="22"/>
        </w:rPr>
        <w:t>et al</w:t>
      </w:r>
      <w:r>
        <w:rPr>
          <w:sz w:val="22"/>
          <w:szCs w:val="22"/>
        </w:rPr>
        <w:t xml:space="preserve">. Multidisciplinary meeting on male breast cancer: summary and research recommendations. </w:t>
      </w:r>
      <w:r w:rsidRPr="001D544A">
        <w:rPr>
          <w:i/>
          <w:iCs/>
          <w:sz w:val="22"/>
          <w:szCs w:val="22"/>
        </w:rPr>
        <w:t>J</w:t>
      </w:r>
      <w:r>
        <w:rPr>
          <w:i/>
          <w:iCs/>
          <w:sz w:val="22"/>
          <w:szCs w:val="22"/>
        </w:rPr>
        <w:t>.</w:t>
      </w:r>
      <w:r w:rsidRPr="001D544A">
        <w:rPr>
          <w:i/>
          <w:iCs/>
          <w:sz w:val="22"/>
          <w:szCs w:val="22"/>
        </w:rPr>
        <w:t xml:space="preserve"> Clin</w:t>
      </w:r>
      <w:r>
        <w:rPr>
          <w:i/>
          <w:iCs/>
          <w:sz w:val="22"/>
          <w:szCs w:val="22"/>
        </w:rPr>
        <w:t>.</w:t>
      </w:r>
      <w:r w:rsidRPr="001D544A">
        <w:rPr>
          <w:i/>
          <w:iCs/>
          <w:sz w:val="22"/>
          <w:szCs w:val="22"/>
        </w:rPr>
        <w:t xml:space="preserve"> Oncol</w:t>
      </w:r>
      <w:r>
        <w:rPr>
          <w:i/>
          <w:iCs/>
          <w:sz w:val="22"/>
          <w:szCs w:val="22"/>
        </w:rPr>
        <w:t>.</w:t>
      </w:r>
      <w:r>
        <w:rPr>
          <w:sz w:val="22"/>
          <w:szCs w:val="22"/>
        </w:rPr>
        <w:t xml:space="preserve"> 28(12), 2114-2122 (2010).</w:t>
      </w:r>
    </w:p>
    <w:p w14:paraId="4F7CE46A" w14:textId="77777777" w:rsidR="00383002" w:rsidRPr="00A4081B" w:rsidRDefault="00383002" w:rsidP="00383002">
      <w:pPr>
        <w:numPr>
          <w:ilvl w:val="0"/>
          <w:numId w:val="4"/>
        </w:numPr>
        <w:rPr>
          <w:sz w:val="22"/>
          <w:szCs w:val="22"/>
        </w:rPr>
      </w:pPr>
      <w:r>
        <w:rPr>
          <w:bCs/>
          <w:sz w:val="22"/>
          <w:szCs w:val="22"/>
        </w:rPr>
        <w:t>Early Breast Cancer Trialists’ Collaborative Group (</w:t>
      </w:r>
      <w:proofErr w:type="spellStart"/>
      <w:r>
        <w:rPr>
          <w:bCs/>
          <w:sz w:val="22"/>
          <w:szCs w:val="22"/>
        </w:rPr>
        <w:t>EBCTCG</w:t>
      </w:r>
      <w:proofErr w:type="spellEnd"/>
      <w:r>
        <w:rPr>
          <w:bCs/>
          <w:sz w:val="22"/>
          <w:szCs w:val="22"/>
        </w:rPr>
        <w:t xml:space="preserve">). Comparisons between different polychemotherapy regimens for early breast cancer: meta-analyses of long-term outcome among 100,000 women in 123 randomised trials. </w:t>
      </w:r>
      <w:r>
        <w:rPr>
          <w:bCs/>
          <w:i/>
          <w:iCs/>
          <w:sz w:val="22"/>
          <w:szCs w:val="22"/>
        </w:rPr>
        <w:t>Lancet.</w:t>
      </w:r>
      <w:r>
        <w:rPr>
          <w:bCs/>
          <w:sz w:val="22"/>
          <w:szCs w:val="22"/>
        </w:rPr>
        <w:t xml:space="preserve"> 379(9814), 432-444 (2012).</w:t>
      </w:r>
    </w:p>
    <w:p w14:paraId="05538FE7" w14:textId="77777777" w:rsidR="00383002" w:rsidRPr="00A4081B" w:rsidRDefault="00383002" w:rsidP="00383002">
      <w:pPr>
        <w:numPr>
          <w:ilvl w:val="0"/>
          <w:numId w:val="4"/>
        </w:numPr>
        <w:rPr>
          <w:bCs/>
          <w:sz w:val="22"/>
          <w:szCs w:val="22"/>
        </w:rPr>
      </w:pPr>
      <w:proofErr w:type="spellStart"/>
      <w:r>
        <w:rPr>
          <w:bCs/>
          <w:sz w:val="22"/>
          <w:szCs w:val="22"/>
        </w:rPr>
        <w:t>Bardou</w:t>
      </w:r>
      <w:proofErr w:type="spellEnd"/>
      <w:r>
        <w:rPr>
          <w:bCs/>
          <w:sz w:val="22"/>
          <w:szCs w:val="22"/>
        </w:rPr>
        <w:t xml:space="preserve"> </w:t>
      </w:r>
      <w:proofErr w:type="spellStart"/>
      <w:r>
        <w:rPr>
          <w:bCs/>
          <w:sz w:val="22"/>
          <w:szCs w:val="22"/>
        </w:rPr>
        <w:t>VJ</w:t>
      </w:r>
      <w:proofErr w:type="spellEnd"/>
      <w:r>
        <w:rPr>
          <w:bCs/>
          <w:sz w:val="22"/>
          <w:szCs w:val="22"/>
        </w:rPr>
        <w:t xml:space="preserve">, </w:t>
      </w:r>
      <w:proofErr w:type="spellStart"/>
      <w:r>
        <w:rPr>
          <w:bCs/>
          <w:sz w:val="22"/>
          <w:szCs w:val="22"/>
        </w:rPr>
        <w:t>Arpino</w:t>
      </w:r>
      <w:proofErr w:type="spellEnd"/>
      <w:r>
        <w:rPr>
          <w:bCs/>
          <w:sz w:val="22"/>
          <w:szCs w:val="22"/>
        </w:rPr>
        <w:t xml:space="preserve"> G, </w:t>
      </w:r>
      <w:proofErr w:type="spellStart"/>
      <w:r>
        <w:rPr>
          <w:bCs/>
          <w:sz w:val="22"/>
          <w:szCs w:val="22"/>
        </w:rPr>
        <w:t>Elledge</w:t>
      </w:r>
      <w:proofErr w:type="spellEnd"/>
      <w:r>
        <w:rPr>
          <w:bCs/>
          <w:sz w:val="22"/>
          <w:szCs w:val="22"/>
        </w:rPr>
        <w:t xml:space="preserve"> RM, Osborne CK, Clark GM. Progesterone receptor status significantly improves outcome prediction over </w:t>
      </w:r>
      <w:proofErr w:type="spellStart"/>
      <w:r>
        <w:rPr>
          <w:bCs/>
          <w:sz w:val="22"/>
          <w:szCs w:val="22"/>
        </w:rPr>
        <w:t>estrogen</w:t>
      </w:r>
      <w:proofErr w:type="spellEnd"/>
      <w:r>
        <w:rPr>
          <w:bCs/>
          <w:sz w:val="22"/>
          <w:szCs w:val="22"/>
        </w:rPr>
        <w:t xml:space="preserve"> receptor status alone for adjuvant endocrine therapy in two large breast cancer databases. </w:t>
      </w:r>
      <w:r w:rsidRPr="00690D4A">
        <w:rPr>
          <w:bCs/>
          <w:i/>
          <w:iCs/>
          <w:sz w:val="22"/>
          <w:szCs w:val="22"/>
        </w:rPr>
        <w:t>J</w:t>
      </w:r>
      <w:r>
        <w:rPr>
          <w:bCs/>
          <w:i/>
          <w:iCs/>
          <w:sz w:val="22"/>
          <w:szCs w:val="22"/>
        </w:rPr>
        <w:t>.</w:t>
      </w:r>
      <w:r w:rsidRPr="00690D4A">
        <w:rPr>
          <w:bCs/>
          <w:i/>
          <w:iCs/>
          <w:sz w:val="22"/>
          <w:szCs w:val="22"/>
        </w:rPr>
        <w:t xml:space="preserve"> Clin</w:t>
      </w:r>
      <w:r>
        <w:rPr>
          <w:bCs/>
          <w:i/>
          <w:iCs/>
          <w:sz w:val="22"/>
          <w:szCs w:val="22"/>
        </w:rPr>
        <w:t>.</w:t>
      </w:r>
      <w:r w:rsidRPr="00690D4A">
        <w:rPr>
          <w:bCs/>
          <w:i/>
          <w:iCs/>
          <w:sz w:val="22"/>
          <w:szCs w:val="22"/>
        </w:rPr>
        <w:t xml:space="preserve"> Oncol</w:t>
      </w:r>
      <w:r>
        <w:rPr>
          <w:bCs/>
          <w:i/>
          <w:iCs/>
          <w:sz w:val="22"/>
          <w:szCs w:val="22"/>
        </w:rPr>
        <w:t xml:space="preserve">. </w:t>
      </w:r>
      <w:r>
        <w:rPr>
          <w:bCs/>
          <w:sz w:val="22"/>
          <w:szCs w:val="22"/>
        </w:rPr>
        <w:t>21(10), 1973-1979 (2003).</w:t>
      </w:r>
    </w:p>
    <w:p w14:paraId="71C44FC8" w14:textId="77777777" w:rsidR="00383002" w:rsidRPr="00A4081B" w:rsidRDefault="00383002" w:rsidP="00383002">
      <w:pPr>
        <w:numPr>
          <w:ilvl w:val="0"/>
          <w:numId w:val="4"/>
        </w:numPr>
        <w:rPr>
          <w:bCs/>
          <w:sz w:val="22"/>
          <w:szCs w:val="22"/>
        </w:rPr>
      </w:pPr>
      <w:r>
        <w:rPr>
          <w:sz w:val="22"/>
          <w:szCs w:val="22"/>
        </w:rPr>
        <w:t xml:space="preserve">Thomas DB, Jimenez </w:t>
      </w:r>
      <w:proofErr w:type="spellStart"/>
      <w:r>
        <w:rPr>
          <w:sz w:val="22"/>
          <w:szCs w:val="22"/>
        </w:rPr>
        <w:t>LM</w:t>
      </w:r>
      <w:proofErr w:type="spellEnd"/>
      <w:r>
        <w:rPr>
          <w:sz w:val="22"/>
          <w:szCs w:val="22"/>
        </w:rPr>
        <w:t xml:space="preserve">, </w:t>
      </w:r>
      <w:proofErr w:type="spellStart"/>
      <w:r>
        <w:rPr>
          <w:sz w:val="22"/>
          <w:szCs w:val="22"/>
        </w:rPr>
        <w:t>McTiernan</w:t>
      </w:r>
      <w:proofErr w:type="spellEnd"/>
      <w:r>
        <w:rPr>
          <w:sz w:val="22"/>
          <w:szCs w:val="22"/>
        </w:rPr>
        <w:t xml:space="preserve"> A </w:t>
      </w:r>
      <w:r w:rsidRPr="00EB4DF6">
        <w:rPr>
          <w:i/>
          <w:iCs/>
          <w:sz w:val="22"/>
          <w:szCs w:val="22"/>
        </w:rPr>
        <w:t>et al</w:t>
      </w:r>
      <w:r>
        <w:rPr>
          <w:sz w:val="22"/>
          <w:szCs w:val="22"/>
        </w:rPr>
        <w:t xml:space="preserve">. Breast cancer in men: risk factors with hormonal implications. </w:t>
      </w:r>
      <w:r w:rsidRPr="00690D4A">
        <w:rPr>
          <w:i/>
          <w:iCs/>
          <w:sz w:val="22"/>
          <w:szCs w:val="22"/>
        </w:rPr>
        <w:t>Am</w:t>
      </w:r>
      <w:r>
        <w:rPr>
          <w:i/>
          <w:iCs/>
          <w:sz w:val="22"/>
          <w:szCs w:val="22"/>
        </w:rPr>
        <w:t>.</w:t>
      </w:r>
      <w:r w:rsidRPr="00690D4A">
        <w:rPr>
          <w:i/>
          <w:iCs/>
          <w:sz w:val="22"/>
          <w:szCs w:val="22"/>
        </w:rPr>
        <w:t xml:space="preserve"> J</w:t>
      </w:r>
      <w:r>
        <w:rPr>
          <w:i/>
          <w:iCs/>
          <w:sz w:val="22"/>
          <w:szCs w:val="22"/>
        </w:rPr>
        <w:t>.</w:t>
      </w:r>
      <w:r w:rsidRPr="00690D4A">
        <w:rPr>
          <w:i/>
          <w:iCs/>
          <w:sz w:val="22"/>
          <w:szCs w:val="22"/>
        </w:rPr>
        <w:t xml:space="preserve"> </w:t>
      </w:r>
      <w:proofErr w:type="spellStart"/>
      <w:r w:rsidRPr="00690D4A">
        <w:rPr>
          <w:i/>
          <w:iCs/>
          <w:sz w:val="22"/>
          <w:szCs w:val="22"/>
        </w:rPr>
        <w:t>Epidemiol</w:t>
      </w:r>
      <w:proofErr w:type="spellEnd"/>
      <w:r>
        <w:rPr>
          <w:i/>
          <w:iCs/>
          <w:sz w:val="22"/>
          <w:szCs w:val="22"/>
        </w:rPr>
        <w:t xml:space="preserve">. </w:t>
      </w:r>
      <w:r>
        <w:rPr>
          <w:sz w:val="22"/>
          <w:szCs w:val="22"/>
        </w:rPr>
        <w:t>135(7), 734-748 (1992).</w:t>
      </w:r>
    </w:p>
    <w:p w14:paraId="133594B5" w14:textId="77777777" w:rsidR="00383002" w:rsidRPr="00A4081B" w:rsidRDefault="00383002" w:rsidP="00383002">
      <w:pPr>
        <w:numPr>
          <w:ilvl w:val="0"/>
          <w:numId w:val="4"/>
        </w:numPr>
        <w:rPr>
          <w:bCs/>
          <w:sz w:val="22"/>
          <w:szCs w:val="22"/>
        </w:rPr>
      </w:pPr>
      <w:r>
        <w:rPr>
          <w:sz w:val="22"/>
          <w:szCs w:val="22"/>
        </w:rPr>
        <w:t>Viola AJ, </w:t>
      </w:r>
      <w:proofErr w:type="spellStart"/>
      <w:r>
        <w:rPr>
          <w:sz w:val="22"/>
          <w:szCs w:val="22"/>
        </w:rPr>
        <w:t>Notejane</w:t>
      </w:r>
      <w:proofErr w:type="spellEnd"/>
      <w:r>
        <w:rPr>
          <w:sz w:val="22"/>
          <w:szCs w:val="22"/>
        </w:rPr>
        <w:t xml:space="preserve"> MR, Signorelli S, Muse I. </w:t>
      </w:r>
      <w:proofErr w:type="spellStart"/>
      <w:r>
        <w:rPr>
          <w:sz w:val="22"/>
          <w:szCs w:val="22"/>
        </w:rPr>
        <w:t>Cáncer</w:t>
      </w:r>
      <w:proofErr w:type="spellEnd"/>
      <w:r>
        <w:rPr>
          <w:sz w:val="22"/>
          <w:szCs w:val="22"/>
        </w:rPr>
        <w:t xml:space="preserve"> de mama </w:t>
      </w:r>
      <w:proofErr w:type="spellStart"/>
      <w:r>
        <w:rPr>
          <w:sz w:val="22"/>
          <w:szCs w:val="22"/>
        </w:rPr>
        <w:t>en</w:t>
      </w:r>
      <w:proofErr w:type="spellEnd"/>
      <w:r>
        <w:rPr>
          <w:sz w:val="22"/>
          <w:szCs w:val="22"/>
        </w:rPr>
        <w:t xml:space="preserve"> el hombre: </w:t>
      </w:r>
      <w:proofErr w:type="spellStart"/>
      <w:r>
        <w:rPr>
          <w:sz w:val="22"/>
          <w:szCs w:val="22"/>
        </w:rPr>
        <w:t>análisis</w:t>
      </w:r>
      <w:proofErr w:type="spellEnd"/>
      <w:r>
        <w:rPr>
          <w:sz w:val="22"/>
          <w:szCs w:val="22"/>
        </w:rPr>
        <w:t xml:space="preserve"> de 22 </w:t>
      </w:r>
      <w:proofErr w:type="spellStart"/>
      <w:r>
        <w:rPr>
          <w:sz w:val="22"/>
          <w:szCs w:val="22"/>
        </w:rPr>
        <w:t>casos</w:t>
      </w:r>
      <w:proofErr w:type="spellEnd"/>
      <w:r>
        <w:rPr>
          <w:sz w:val="22"/>
          <w:szCs w:val="22"/>
        </w:rPr>
        <w:t xml:space="preserve">: </w:t>
      </w:r>
      <w:proofErr w:type="spellStart"/>
      <w:r>
        <w:rPr>
          <w:sz w:val="22"/>
          <w:szCs w:val="22"/>
        </w:rPr>
        <w:t>pautas</w:t>
      </w:r>
      <w:proofErr w:type="spellEnd"/>
      <w:r>
        <w:rPr>
          <w:sz w:val="22"/>
          <w:szCs w:val="22"/>
        </w:rPr>
        <w:t xml:space="preserve"> de </w:t>
      </w:r>
      <w:proofErr w:type="spellStart"/>
      <w:r>
        <w:rPr>
          <w:sz w:val="22"/>
          <w:szCs w:val="22"/>
        </w:rPr>
        <w:t>diagnostico</w:t>
      </w:r>
      <w:proofErr w:type="spellEnd"/>
      <w:r>
        <w:rPr>
          <w:sz w:val="22"/>
          <w:szCs w:val="22"/>
        </w:rPr>
        <w:t xml:space="preserve"> y </w:t>
      </w:r>
      <w:proofErr w:type="spellStart"/>
      <w:r>
        <w:rPr>
          <w:sz w:val="22"/>
          <w:szCs w:val="22"/>
        </w:rPr>
        <w:t>tratamiento</w:t>
      </w:r>
      <w:proofErr w:type="spellEnd"/>
      <w:r>
        <w:rPr>
          <w:sz w:val="22"/>
          <w:szCs w:val="22"/>
        </w:rPr>
        <w:t xml:space="preserve">. </w:t>
      </w:r>
      <w:r w:rsidRPr="003F3AE7">
        <w:rPr>
          <w:i/>
          <w:iCs/>
          <w:sz w:val="22"/>
          <w:szCs w:val="22"/>
        </w:rPr>
        <w:t>Arch</w:t>
      </w:r>
      <w:r>
        <w:rPr>
          <w:i/>
          <w:iCs/>
          <w:sz w:val="22"/>
          <w:szCs w:val="22"/>
        </w:rPr>
        <w:t>.</w:t>
      </w:r>
      <w:r w:rsidRPr="003F3AE7">
        <w:rPr>
          <w:i/>
          <w:iCs/>
          <w:sz w:val="22"/>
          <w:szCs w:val="22"/>
        </w:rPr>
        <w:t xml:space="preserve"> Med</w:t>
      </w:r>
      <w:r>
        <w:rPr>
          <w:i/>
          <w:iCs/>
          <w:sz w:val="22"/>
          <w:szCs w:val="22"/>
        </w:rPr>
        <w:t>.</w:t>
      </w:r>
      <w:r w:rsidRPr="003F3AE7">
        <w:rPr>
          <w:i/>
          <w:iCs/>
          <w:sz w:val="22"/>
          <w:szCs w:val="22"/>
        </w:rPr>
        <w:t xml:space="preserve"> Int</w:t>
      </w:r>
      <w:r>
        <w:rPr>
          <w:i/>
          <w:iCs/>
          <w:sz w:val="22"/>
          <w:szCs w:val="22"/>
        </w:rPr>
        <w:t>.</w:t>
      </w:r>
      <w:r>
        <w:rPr>
          <w:sz w:val="22"/>
          <w:szCs w:val="22"/>
        </w:rPr>
        <w:t xml:space="preserve"> 19(2), 39-43 (1997).  </w:t>
      </w:r>
    </w:p>
    <w:p w14:paraId="0996B0B5" w14:textId="77777777" w:rsidR="00383002" w:rsidRPr="00A4081B" w:rsidRDefault="00383002" w:rsidP="00383002">
      <w:pPr>
        <w:numPr>
          <w:ilvl w:val="0"/>
          <w:numId w:val="4"/>
        </w:numPr>
        <w:rPr>
          <w:bCs/>
          <w:sz w:val="22"/>
          <w:szCs w:val="22"/>
        </w:rPr>
      </w:pPr>
      <w:proofErr w:type="spellStart"/>
      <w:r>
        <w:rPr>
          <w:sz w:val="22"/>
          <w:szCs w:val="22"/>
        </w:rPr>
        <w:lastRenderedPageBreak/>
        <w:t>Rosasco</w:t>
      </w:r>
      <w:proofErr w:type="spellEnd"/>
      <w:r>
        <w:rPr>
          <w:sz w:val="22"/>
          <w:szCs w:val="22"/>
        </w:rPr>
        <w:t xml:space="preserve"> M, </w:t>
      </w:r>
      <w:proofErr w:type="spellStart"/>
      <w:r>
        <w:rPr>
          <w:sz w:val="22"/>
          <w:szCs w:val="22"/>
        </w:rPr>
        <w:t>Centurión</w:t>
      </w:r>
      <w:proofErr w:type="spellEnd"/>
      <w:r>
        <w:rPr>
          <w:sz w:val="22"/>
          <w:szCs w:val="22"/>
        </w:rPr>
        <w:t xml:space="preserve"> D, </w:t>
      </w:r>
      <w:proofErr w:type="spellStart"/>
      <w:r>
        <w:rPr>
          <w:sz w:val="22"/>
          <w:szCs w:val="22"/>
        </w:rPr>
        <w:t>Carzoglio</w:t>
      </w:r>
      <w:proofErr w:type="spellEnd"/>
      <w:r>
        <w:rPr>
          <w:sz w:val="22"/>
          <w:szCs w:val="22"/>
        </w:rPr>
        <w:t xml:space="preserve"> J. </w:t>
      </w:r>
      <w:proofErr w:type="spellStart"/>
      <w:r>
        <w:rPr>
          <w:sz w:val="22"/>
          <w:szCs w:val="22"/>
        </w:rPr>
        <w:t>Cáncer</w:t>
      </w:r>
      <w:proofErr w:type="spellEnd"/>
      <w:r>
        <w:rPr>
          <w:sz w:val="22"/>
          <w:szCs w:val="22"/>
        </w:rPr>
        <w:t xml:space="preserve"> de mama </w:t>
      </w:r>
      <w:proofErr w:type="spellStart"/>
      <w:r>
        <w:rPr>
          <w:sz w:val="22"/>
          <w:szCs w:val="22"/>
        </w:rPr>
        <w:t>masculina</w:t>
      </w:r>
      <w:proofErr w:type="spellEnd"/>
      <w:r>
        <w:rPr>
          <w:sz w:val="22"/>
          <w:szCs w:val="22"/>
        </w:rPr>
        <w:t xml:space="preserve"> </w:t>
      </w:r>
      <w:proofErr w:type="spellStart"/>
      <w:r>
        <w:rPr>
          <w:sz w:val="22"/>
          <w:szCs w:val="22"/>
        </w:rPr>
        <w:t>en</w:t>
      </w:r>
      <w:proofErr w:type="spellEnd"/>
      <w:r>
        <w:rPr>
          <w:sz w:val="22"/>
          <w:szCs w:val="22"/>
        </w:rPr>
        <w:t xml:space="preserve"> Uruguay. </w:t>
      </w:r>
      <w:proofErr w:type="spellStart"/>
      <w:r>
        <w:rPr>
          <w:sz w:val="22"/>
          <w:szCs w:val="22"/>
        </w:rPr>
        <w:t>Comunicación</w:t>
      </w:r>
      <w:proofErr w:type="spellEnd"/>
      <w:r>
        <w:rPr>
          <w:sz w:val="22"/>
          <w:szCs w:val="22"/>
        </w:rPr>
        <w:t xml:space="preserve"> de 16 </w:t>
      </w:r>
      <w:proofErr w:type="spellStart"/>
      <w:r>
        <w:rPr>
          <w:sz w:val="22"/>
          <w:szCs w:val="22"/>
        </w:rPr>
        <w:t>casos</w:t>
      </w:r>
      <w:proofErr w:type="spellEnd"/>
      <w:r>
        <w:rPr>
          <w:sz w:val="22"/>
          <w:szCs w:val="22"/>
        </w:rPr>
        <w:t xml:space="preserve"> y </w:t>
      </w:r>
      <w:proofErr w:type="spellStart"/>
      <w:r>
        <w:rPr>
          <w:sz w:val="22"/>
          <w:szCs w:val="22"/>
        </w:rPr>
        <w:t>revisión</w:t>
      </w:r>
      <w:proofErr w:type="spellEnd"/>
      <w:r>
        <w:rPr>
          <w:sz w:val="22"/>
          <w:szCs w:val="22"/>
        </w:rPr>
        <w:t xml:space="preserve"> de la </w:t>
      </w:r>
      <w:proofErr w:type="spellStart"/>
      <w:r>
        <w:rPr>
          <w:sz w:val="22"/>
          <w:szCs w:val="22"/>
        </w:rPr>
        <w:t>literatura</w:t>
      </w:r>
      <w:proofErr w:type="spellEnd"/>
      <w:r>
        <w:rPr>
          <w:sz w:val="22"/>
          <w:szCs w:val="22"/>
        </w:rPr>
        <w:t xml:space="preserve">. </w:t>
      </w:r>
      <w:r w:rsidRPr="00421004">
        <w:rPr>
          <w:i/>
          <w:iCs/>
          <w:sz w:val="22"/>
          <w:szCs w:val="22"/>
        </w:rPr>
        <w:t>Rev</w:t>
      </w:r>
      <w:r>
        <w:rPr>
          <w:i/>
          <w:iCs/>
          <w:sz w:val="22"/>
          <w:szCs w:val="22"/>
        </w:rPr>
        <w:t>.</w:t>
      </w:r>
      <w:r w:rsidRPr="00421004">
        <w:rPr>
          <w:i/>
          <w:iCs/>
          <w:sz w:val="22"/>
          <w:szCs w:val="22"/>
        </w:rPr>
        <w:t xml:space="preserve"> Esp</w:t>
      </w:r>
      <w:r>
        <w:rPr>
          <w:i/>
          <w:iCs/>
          <w:sz w:val="22"/>
          <w:szCs w:val="22"/>
        </w:rPr>
        <w:t>.</w:t>
      </w:r>
      <w:r w:rsidRPr="00421004">
        <w:rPr>
          <w:i/>
          <w:iCs/>
          <w:sz w:val="22"/>
          <w:szCs w:val="22"/>
        </w:rPr>
        <w:t xml:space="preserve"> </w:t>
      </w:r>
      <w:proofErr w:type="spellStart"/>
      <w:r w:rsidRPr="00421004">
        <w:rPr>
          <w:i/>
          <w:iCs/>
          <w:sz w:val="22"/>
          <w:szCs w:val="22"/>
        </w:rPr>
        <w:t>Patol</w:t>
      </w:r>
      <w:proofErr w:type="spellEnd"/>
      <w:r>
        <w:rPr>
          <w:i/>
          <w:iCs/>
          <w:sz w:val="22"/>
          <w:szCs w:val="22"/>
        </w:rPr>
        <w:t>.</w:t>
      </w:r>
      <w:r>
        <w:rPr>
          <w:sz w:val="22"/>
          <w:szCs w:val="22"/>
        </w:rPr>
        <w:t xml:space="preserve"> 37(3), 253-261 (2004). </w:t>
      </w:r>
    </w:p>
    <w:p w14:paraId="7505D822" w14:textId="77777777" w:rsidR="00383002" w:rsidRPr="00A4081B" w:rsidRDefault="00383002" w:rsidP="00383002">
      <w:pPr>
        <w:numPr>
          <w:ilvl w:val="0"/>
          <w:numId w:val="4"/>
        </w:numPr>
        <w:rPr>
          <w:bCs/>
          <w:sz w:val="22"/>
          <w:szCs w:val="22"/>
        </w:rPr>
      </w:pPr>
      <w:proofErr w:type="spellStart"/>
      <w:r>
        <w:rPr>
          <w:sz w:val="22"/>
          <w:szCs w:val="22"/>
        </w:rPr>
        <w:t>Burga</w:t>
      </w:r>
      <w:proofErr w:type="spellEnd"/>
      <w:r>
        <w:rPr>
          <w:sz w:val="22"/>
          <w:szCs w:val="22"/>
        </w:rPr>
        <w:t xml:space="preserve"> AM, </w:t>
      </w:r>
      <w:proofErr w:type="spellStart"/>
      <w:r>
        <w:rPr>
          <w:sz w:val="22"/>
          <w:szCs w:val="22"/>
        </w:rPr>
        <w:t>Fadare</w:t>
      </w:r>
      <w:proofErr w:type="spellEnd"/>
      <w:r>
        <w:rPr>
          <w:sz w:val="22"/>
          <w:szCs w:val="22"/>
        </w:rPr>
        <w:t xml:space="preserve"> O, Lininger RA, </w:t>
      </w:r>
      <w:proofErr w:type="spellStart"/>
      <w:r>
        <w:rPr>
          <w:sz w:val="22"/>
          <w:szCs w:val="22"/>
        </w:rPr>
        <w:t>Tavassoli</w:t>
      </w:r>
      <w:proofErr w:type="spellEnd"/>
      <w:r>
        <w:rPr>
          <w:sz w:val="22"/>
          <w:szCs w:val="22"/>
        </w:rPr>
        <w:t xml:space="preserve"> FA. Invasive carcinomas of the male breast: a morphologic study of the distribution of histologic subtypes and metastatic patterns in 778 cases. </w:t>
      </w:r>
      <w:proofErr w:type="spellStart"/>
      <w:r w:rsidRPr="00421004">
        <w:rPr>
          <w:i/>
          <w:iCs/>
          <w:sz w:val="22"/>
          <w:szCs w:val="22"/>
        </w:rPr>
        <w:t>Virchows</w:t>
      </w:r>
      <w:proofErr w:type="spellEnd"/>
      <w:r w:rsidRPr="00421004">
        <w:rPr>
          <w:i/>
          <w:iCs/>
          <w:sz w:val="22"/>
          <w:szCs w:val="22"/>
        </w:rPr>
        <w:t xml:space="preserve"> </w:t>
      </w:r>
      <w:proofErr w:type="spellStart"/>
      <w:r w:rsidRPr="00421004">
        <w:rPr>
          <w:i/>
          <w:iCs/>
          <w:sz w:val="22"/>
          <w:szCs w:val="22"/>
        </w:rPr>
        <w:t>Archiv</w:t>
      </w:r>
      <w:proofErr w:type="spellEnd"/>
      <w:r>
        <w:rPr>
          <w:i/>
          <w:iCs/>
          <w:sz w:val="22"/>
          <w:szCs w:val="22"/>
        </w:rPr>
        <w:t>.</w:t>
      </w:r>
      <w:r>
        <w:rPr>
          <w:sz w:val="22"/>
          <w:szCs w:val="22"/>
        </w:rPr>
        <w:t xml:space="preserve"> 449(5), 507-212 (2006)</w:t>
      </w:r>
      <w:r>
        <w:rPr>
          <w:bCs/>
          <w:sz w:val="22"/>
          <w:szCs w:val="22"/>
        </w:rPr>
        <w:t>.</w:t>
      </w:r>
    </w:p>
    <w:p w14:paraId="7C417C05" w14:textId="77777777" w:rsidR="00383002" w:rsidRPr="00A4081B" w:rsidRDefault="00383002" w:rsidP="00383002">
      <w:pPr>
        <w:numPr>
          <w:ilvl w:val="0"/>
          <w:numId w:val="4"/>
        </w:numPr>
        <w:rPr>
          <w:bCs/>
          <w:sz w:val="22"/>
          <w:szCs w:val="22"/>
        </w:rPr>
      </w:pPr>
      <w:r>
        <w:rPr>
          <w:sz w:val="22"/>
          <w:szCs w:val="22"/>
        </w:rPr>
        <w:t xml:space="preserve">Kao L, </w:t>
      </w:r>
      <w:proofErr w:type="spellStart"/>
      <w:r>
        <w:rPr>
          <w:sz w:val="22"/>
          <w:szCs w:val="22"/>
        </w:rPr>
        <w:t>Bulkin</w:t>
      </w:r>
      <w:proofErr w:type="spellEnd"/>
      <w:r>
        <w:rPr>
          <w:sz w:val="22"/>
          <w:szCs w:val="22"/>
        </w:rPr>
        <w:t xml:space="preserve"> Y, </w:t>
      </w:r>
      <w:proofErr w:type="spellStart"/>
      <w:r>
        <w:rPr>
          <w:sz w:val="22"/>
          <w:szCs w:val="22"/>
        </w:rPr>
        <w:t>Fineberg</w:t>
      </w:r>
      <w:proofErr w:type="spellEnd"/>
      <w:r>
        <w:rPr>
          <w:sz w:val="22"/>
          <w:szCs w:val="22"/>
        </w:rPr>
        <w:t xml:space="preserve"> S, Montgomery L, </w:t>
      </w:r>
      <w:proofErr w:type="spellStart"/>
      <w:r>
        <w:rPr>
          <w:sz w:val="22"/>
          <w:szCs w:val="22"/>
        </w:rPr>
        <w:t>Koenigsberg</w:t>
      </w:r>
      <w:proofErr w:type="spellEnd"/>
      <w:r>
        <w:rPr>
          <w:sz w:val="22"/>
          <w:szCs w:val="22"/>
        </w:rPr>
        <w:t xml:space="preserve"> T. A case report: lobular carcinoma in situ in a male patient with subsequent invasive ductal carcinoma identified on screening breast MRI. </w:t>
      </w:r>
      <w:r w:rsidRPr="00171A92">
        <w:rPr>
          <w:i/>
          <w:iCs/>
          <w:sz w:val="22"/>
          <w:szCs w:val="22"/>
        </w:rPr>
        <w:t>J</w:t>
      </w:r>
      <w:r>
        <w:rPr>
          <w:i/>
          <w:iCs/>
          <w:sz w:val="22"/>
          <w:szCs w:val="22"/>
        </w:rPr>
        <w:t>.</w:t>
      </w:r>
      <w:r w:rsidRPr="00171A92">
        <w:rPr>
          <w:i/>
          <w:iCs/>
          <w:sz w:val="22"/>
          <w:szCs w:val="22"/>
        </w:rPr>
        <w:t xml:space="preserve"> Cancer</w:t>
      </w:r>
      <w:r>
        <w:rPr>
          <w:sz w:val="22"/>
          <w:szCs w:val="22"/>
        </w:rPr>
        <w:t>. 3, 226-230 (2012).</w:t>
      </w:r>
    </w:p>
    <w:p w14:paraId="773FCCC4" w14:textId="77777777" w:rsidR="00383002" w:rsidRPr="00A4081B" w:rsidRDefault="00383002" w:rsidP="00383002">
      <w:pPr>
        <w:numPr>
          <w:ilvl w:val="0"/>
          <w:numId w:val="4"/>
        </w:numPr>
        <w:rPr>
          <w:bCs/>
          <w:sz w:val="22"/>
          <w:szCs w:val="22"/>
        </w:rPr>
      </w:pPr>
      <w:proofErr w:type="spellStart"/>
      <w:r>
        <w:rPr>
          <w:sz w:val="22"/>
          <w:szCs w:val="22"/>
        </w:rPr>
        <w:t>Onitilo</w:t>
      </w:r>
      <w:proofErr w:type="spellEnd"/>
      <w:r>
        <w:rPr>
          <w:sz w:val="22"/>
          <w:szCs w:val="22"/>
        </w:rPr>
        <w:t xml:space="preserve"> AA, Engel JM, Greenlee RT, Mukesh BN. Breast cancer subtypes based on ER/PR and </w:t>
      </w:r>
      <w:proofErr w:type="spellStart"/>
      <w:r>
        <w:rPr>
          <w:sz w:val="22"/>
          <w:szCs w:val="22"/>
        </w:rPr>
        <w:t>Her2</w:t>
      </w:r>
      <w:proofErr w:type="spellEnd"/>
      <w:r>
        <w:rPr>
          <w:sz w:val="22"/>
          <w:szCs w:val="22"/>
        </w:rPr>
        <w:t xml:space="preserve"> expression: comparison of clinicopathologic features and survival. </w:t>
      </w:r>
      <w:r w:rsidRPr="00DA5132">
        <w:rPr>
          <w:i/>
          <w:iCs/>
          <w:sz w:val="22"/>
          <w:szCs w:val="22"/>
        </w:rPr>
        <w:t>Clin</w:t>
      </w:r>
      <w:r>
        <w:rPr>
          <w:i/>
          <w:iCs/>
          <w:sz w:val="22"/>
          <w:szCs w:val="22"/>
        </w:rPr>
        <w:t>.</w:t>
      </w:r>
      <w:r w:rsidRPr="00DA5132">
        <w:rPr>
          <w:i/>
          <w:iCs/>
          <w:sz w:val="22"/>
          <w:szCs w:val="22"/>
        </w:rPr>
        <w:t xml:space="preserve"> Med</w:t>
      </w:r>
      <w:r>
        <w:rPr>
          <w:i/>
          <w:iCs/>
          <w:sz w:val="22"/>
          <w:szCs w:val="22"/>
        </w:rPr>
        <w:t>.</w:t>
      </w:r>
      <w:r w:rsidRPr="00DA5132">
        <w:rPr>
          <w:i/>
          <w:iCs/>
          <w:sz w:val="22"/>
          <w:szCs w:val="22"/>
        </w:rPr>
        <w:t xml:space="preserve"> Res</w:t>
      </w:r>
      <w:r>
        <w:rPr>
          <w:i/>
          <w:iCs/>
          <w:sz w:val="22"/>
          <w:szCs w:val="22"/>
        </w:rPr>
        <w:t xml:space="preserve">. </w:t>
      </w:r>
      <w:r>
        <w:rPr>
          <w:sz w:val="22"/>
          <w:szCs w:val="22"/>
        </w:rPr>
        <w:t xml:space="preserve">7(1-2), 4-13 (2009). </w:t>
      </w:r>
    </w:p>
    <w:p w14:paraId="659F6C45" w14:textId="77777777" w:rsidR="00383002" w:rsidRPr="00A4081B" w:rsidRDefault="00383002" w:rsidP="00383002">
      <w:pPr>
        <w:numPr>
          <w:ilvl w:val="0"/>
          <w:numId w:val="4"/>
        </w:numPr>
        <w:rPr>
          <w:bCs/>
          <w:sz w:val="22"/>
          <w:szCs w:val="22"/>
        </w:rPr>
      </w:pPr>
      <w:r>
        <w:rPr>
          <w:bCs/>
          <w:sz w:val="22"/>
          <w:szCs w:val="22"/>
        </w:rPr>
        <w:t xml:space="preserve">Barrios E, </w:t>
      </w:r>
      <w:proofErr w:type="spellStart"/>
      <w:r>
        <w:rPr>
          <w:bCs/>
          <w:sz w:val="22"/>
          <w:szCs w:val="22"/>
        </w:rPr>
        <w:t>Garau</w:t>
      </w:r>
      <w:proofErr w:type="spellEnd"/>
      <w:r>
        <w:rPr>
          <w:bCs/>
          <w:sz w:val="22"/>
          <w:szCs w:val="22"/>
        </w:rPr>
        <w:t xml:space="preserve"> M. </w:t>
      </w:r>
      <w:proofErr w:type="spellStart"/>
      <w:r>
        <w:rPr>
          <w:bCs/>
          <w:sz w:val="22"/>
          <w:szCs w:val="22"/>
        </w:rPr>
        <w:t>Cáncer</w:t>
      </w:r>
      <w:proofErr w:type="spellEnd"/>
      <w:r>
        <w:rPr>
          <w:bCs/>
          <w:sz w:val="22"/>
          <w:szCs w:val="22"/>
        </w:rPr>
        <w:t xml:space="preserve">: </w:t>
      </w:r>
      <w:proofErr w:type="spellStart"/>
      <w:r>
        <w:rPr>
          <w:bCs/>
          <w:sz w:val="22"/>
          <w:szCs w:val="22"/>
        </w:rPr>
        <w:t>magnitud</w:t>
      </w:r>
      <w:proofErr w:type="spellEnd"/>
      <w:r>
        <w:rPr>
          <w:bCs/>
          <w:sz w:val="22"/>
          <w:szCs w:val="22"/>
        </w:rPr>
        <w:t xml:space="preserve"> del </w:t>
      </w:r>
      <w:proofErr w:type="spellStart"/>
      <w:r>
        <w:rPr>
          <w:bCs/>
          <w:sz w:val="22"/>
          <w:szCs w:val="22"/>
        </w:rPr>
        <w:t>problema</w:t>
      </w:r>
      <w:proofErr w:type="spellEnd"/>
      <w:r>
        <w:rPr>
          <w:bCs/>
          <w:sz w:val="22"/>
          <w:szCs w:val="22"/>
        </w:rPr>
        <w:t xml:space="preserve"> </w:t>
      </w:r>
      <w:proofErr w:type="spellStart"/>
      <w:r>
        <w:rPr>
          <w:bCs/>
          <w:sz w:val="22"/>
          <w:szCs w:val="22"/>
        </w:rPr>
        <w:t>en</w:t>
      </w:r>
      <w:proofErr w:type="spellEnd"/>
      <w:r>
        <w:rPr>
          <w:bCs/>
          <w:sz w:val="22"/>
          <w:szCs w:val="22"/>
        </w:rPr>
        <w:t xml:space="preserve"> el </w:t>
      </w:r>
      <w:proofErr w:type="spellStart"/>
      <w:r>
        <w:rPr>
          <w:bCs/>
          <w:sz w:val="22"/>
          <w:szCs w:val="22"/>
        </w:rPr>
        <w:t>mundo</w:t>
      </w:r>
      <w:proofErr w:type="spellEnd"/>
      <w:r>
        <w:rPr>
          <w:bCs/>
          <w:sz w:val="22"/>
          <w:szCs w:val="22"/>
        </w:rPr>
        <w:t xml:space="preserve"> </w:t>
      </w:r>
      <w:proofErr w:type="spellStart"/>
      <w:r>
        <w:rPr>
          <w:bCs/>
          <w:sz w:val="22"/>
          <w:szCs w:val="22"/>
        </w:rPr>
        <w:t>y en</w:t>
      </w:r>
      <w:proofErr w:type="spellEnd"/>
      <w:r>
        <w:rPr>
          <w:bCs/>
          <w:sz w:val="22"/>
          <w:szCs w:val="22"/>
        </w:rPr>
        <w:t xml:space="preserve"> Uruguay, </w:t>
      </w:r>
      <w:proofErr w:type="spellStart"/>
      <w:r>
        <w:rPr>
          <w:bCs/>
          <w:sz w:val="22"/>
          <w:szCs w:val="22"/>
        </w:rPr>
        <w:t>aspectos</w:t>
      </w:r>
      <w:proofErr w:type="spellEnd"/>
      <w:r>
        <w:rPr>
          <w:bCs/>
          <w:sz w:val="22"/>
          <w:szCs w:val="22"/>
        </w:rPr>
        <w:t xml:space="preserve"> </w:t>
      </w:r>
      <w:proofErr w:type="spellStart"/>
      <w:r>
        <w:rPr>
          <w:bCs/>
          <w:sz w:val="22"/>
          <w:szCs w:val="22"/>
        </w:rPr>
        <w:t>epidemiológicos</w:t>
      </w:r>
      <w:proofErr w:type="spellEnd"/>
      <w:r>
        <w:rPr>
          <w:bCs/>
          <w:sz w:val="22"/>
          <w:szCs w:val="22"/>
        </w:rPr>
        <w:t xml:space="preserve">. </w:t>
      </w:r>
      <w:r w:rsidRPr="003B34DB">
        <w:rPr>
          <w:bCs/>
          <w:i/>
          <w:iCs/>
          <w:sz w:val="22"/>
          <w:szCs w:val="22"/>
        </w:rPr>
        <w:t>An. Fac. Med.</w:t>
      </w:r>
      <w:r>
        <w:rPr>
          <w:bCs/>
          <w:i/>
          <w:iCs/>
          <w:sz w:val="22"/>
          <w:szCs w:val="22"/>
        </w:rPr>
        <w:t xml:space="preserve"> </w:t>
      </w:r>
      <w:r>
        <w:rPr>
          <w:bCs/>
          <w:sz w:val="22"/>
          <w:szCs w:val="22"/>
        </w:rPr>
        <w:t>4(1), 9-46 (2017).</w:t>
      </w:r>
    </w:p>
    <w:p w14:paraId="300970A7" w14:textId="77777777" w:rsidR="00383002" w:rsidRPr="00A4081B" w:rsidRDefault="00383002" w:rsidP="00383002">
      <w:pPr>
        <w:numPr>
          <w:ilvl w:val="0"/>
          <w:numId w:val="4"/>
        </w:numPr>
        <w:rPr>
          <w:bCs/>
          <w:sz w:val="22"/>
          <w:szCs w:val="22"/>
        </w:rPr>
      </w:pPr>
      <w:r>
        <w:rPr>
          <w:sz w:val="22"/>
          <w:szCs w:val="22"/>
        </w:rPr>
        <w:t xml:space="preserve">Golshan M, </w:t>
      </w:r>
      <w:proofErr w:type="spellStart"/>
      <w:r>
        <w:rPr>
          <w:sz w:val="22"/>
          <w:szCs w:val="22"/>
        </w:rPr>
        <w:t>Rusby</w:t>
      </w:r>
      <w:proofErr w:type="spellEnd"/>
      <w:r>
        <w:rPr>
          <w:sz w:val="22"/>
          <w:szCs w:val="22"/>
        </w:rPr>
        <w:t xml:space="preserve"> J, Dominguez F, Smith BL. Breast conservation for male breast carcinoma. </w:t>
      </w:r>
      <w:r w:rsidRPr="00731B4F">
        <w:rPr>
          <w:i/>
          <w:iCs/>
          <w:sz w:val="22"/>
          <w:szCs w:val="22"/>
        </w:rPr>
        <w:t>Breast</w:t>
      </w:r>
      <w:r>
        <w:rPr>
          <w:i/>
          <w:iCs/>
          <w:sz w:val="22"/>
          <w:szCs w:val="22"/>
        </w:rPr>
        <w:t>.</w:t>
      </w:r>
      <w:r>
        <w:rPr>
          <w:sz w:val="22"/>
          <w:szCs w:val="22"/>
        </w:rPr>
        <w:t xml:space="preserve"> 16(6), 653-656 (2007).</w:t>
      </w:r>
    </w:p>
    <w:p w14:paraId="75338B7C" w14:textId="77777777" w:rsidR="00383002" w:rsidRPr="00A4081B" w:rsidRDefault="00383002" w:rsidP="00383002">
      <w:pPr>
        <w:numPr>
          <w:ilvl w:val="0"/>
          <w:numId w:val="4"/>
        </w:numPr>
        <w:rPr>
          <w:bCs/>
          <w:sz w:val="22"/>
          <w:szCs w:val="22"/>
        </w:rPr>
      </w:pPr>
      <w:proofErr w:type="spellStart"/>
      <w:r>
        <w:rPr>
          <w:sz w:val="22"/>
          <w:szCs w:val="22"/>
        </w:rPr>
        <w:t>Gentilini</w:t>
      </w:r>
      <w:proofErr w:type="spellEnd"/>
      <w:r>
        <w:rPr>
          <w:sz w:val="22"/>
          <w:szCs w:val="22"/>
        </w:rPr>
        <w:t xml:space="preserve"> O, Chagas E, </w:t>
      </w:r>
      <w:proofErr w:type="spellStart"/>
      <w:r>
        <w:rPr>
          <w:sz w:val="22"/>
          <w:szCs w:val="22"/>
        </w:rPr>
        <w:t>Zurrida</w:t>
      </w:r>
      <w:proofErr w:type="spellEnd"/>
      <w:r>
        <w:rPr>
          <w:sz w:val="22"/>
          <w:szCs w:val="22"/>
        </w:rPr>
        <w:t xml:space="preserve"> S </w:t>
      </w:r>
      <w:r w:rsidRPr="00EB4DF6">
        <w:rPr>
          <w:i/>
          <w:iCs/>
          <w:sz w:val="22"/>
          <w:szCs w:val="22"/>
        </w:rPr>
        <w:t>et al</w:t>
      </w:r>
      <w:r>
        <w:rPr>
          <w:sz w:val="22"/>
          <w:szCs w:val="22"/>
        </w:rPr>
        <w:t xml:space="preserve">. Sentinel lymph node biopsy in male patients with early breast cancer. </w:t>
      </w:r>
      <w:r w:rsidRPr="00EB4DF6">
        <w:rPr>
          <w:i/>
          <w:iCs/>
          <w:sz w:val="22"/>
          <w:szCs w:val="22"/>
        </w:rPr>
        <w:t>Oncologist</w:t>
      </w:r>
      <w:r>
        <w:rPr>
          <w:i/>
          <w:iCs/>
          <w:sz w:val="22"/>
          <w:szCs w:val="22"/>
        </w:rPr>
        <w:t xml:space="preserve">. </w:t>
      </w:r>
      <w:r>
        <w:rPr>
          <w:sz w:val="22"/>
          <w:szCs w:val="22"/>
        </w:rPr>
        <w:t xml:space="preserve">12(5), 512-515 (2007). </w:t>
      </w:r>
    </w:p>
    <w:p w14:paraId="557B0590" w14:textId="77777777" w:rsidR="00383002" w:rsidRPr="00A4081B" w:rsidRDefault="00383002" w:rsidP="00383002">
      <w:pPr>
        <w:numPr>
          <w:ilvl w:val="0"/>
          <w:numId w:val="4"/>
        </w:numPr>
        <w:rPr>
          <w:bCs/>
          <w:sz w:val="22"/>
          <w:szCs w:val="22"/>
        </w:rPr>
      </w:pPr>
      <w:r>
        <w:rPr>
          <w:sz w:val="22"/>
          <w:szCs w:val="22"/>
        </w:rPr>
        <w:t xml:space="preserve">Flynn </w:t>
      </w:r>
      <w:proofErr w:type="spellStart"/>
      <w:r>
        <w:rPr>
          <w:sz w:val="22"/>
          <w:szCs w:val="22"/>
        </w:rPr>
        <w:t>LW</w:t>
      </w:r>
      <w:proofErr w:type="spellEnd"/>
      <w:r>
        <w:rPr>
          <w:sz w:val="22"/>
          <w:szCs w:val="22"/>
        </w:rPr>
        <w:t xml:space="preserve">, Park J, Patil SM, Cody HS, Rush E. Sentinel lymph node biopsy is successful and accurate in male breast carcinoma. </w:t>
      </w:r>
      <w:r w:rsidRPr="00124640">
        <w:rPr>
          <w:i/>
          <w:iCs/>
          <w:sz w:val="22"/>
          <w:szCs w:val="22"/>
        </w:rPr>
        <w:t>J</w:t>
      </w:r>
      <w:r>
        <w:rPr>
          <w:i/>
          <w:iCs/>
          <w:sz w:val="22"/>
          <w:szCs w:val="22"/>
        </w:rPr>
        <w:t>.</w:t>
      </w:r>
      <w:r w:rsidRPr="00124640">
        <w:rPr>
          <w:i/>
          <w:iCs/>
          <w:sz w:val="22"/>
          <w:szCs w:val="22"/>
        </w:rPr>
        <w:t xml:space="preserve"> Am</w:t>
      </w:r>
      <w:r>
        <w:rPr>
          <w:i/>
          <w:iCs/>
          <w:sz w:val="22"/>
          <w:szCs w:val="22"/>
        </w:rPr>
        <w:t>.</w:t>
      </w:r>
      <w:r w:rsidRPr="00124640">
        <w:rPr>
          <w:i/>
          <w:iCs/>
          <w:sz w:val="22"/>
          <w:szCs w:val="22"/>
        </w:rPr>
        <w:t xml:space="preserve"> Coll</w:t>
      </w:r>
      <w:r>
        <w:rPr>
          <w:i/>
          <w:iCs/>
          <w:sz w:val="22"/>
          <w:szCs w:val="22"/>
        </w:rPr>
        <w:t>.</w:t>
      </w:r>
      <w:r w:rsidRPr="00124640">
        <w:rPr>
          <w:i/>
          <w:iCs/>
          <w:sz w:val="22"/>
          <w:szCs w:val="22"/>
        </w:rPr>
        <w:t xml:space="preserve"> Surg</w:t>
      </w:r>
      <w:r>
        <w:rPr>
          <w:i/>
          <w:iCs/>
          <w:sz w:val="22"/>
          <w:szCs w:val="22"/>
        </w:rPr>
        <w:t>.</w:t>
      </w:r>
      <w:r>
        <w:rPr>
          <w:sz w:val="22"/>
          <w:szCs w:val="22"/>
        </w:rPr>
        <w:t xml:space="preserve"> 206(4), 616-621 (2008).</w:t>
      </w:r>
    </w:p>
    <w:p w14:paraId="6B914658" w14:textId="77777777" w:rsidR="00383002" w:rsidRPr="00C41F09" w:rsidRDefault="00383002" w:rsidP="00383002">
      <w:pPr>
        <w:numPr>
          <w:ilvl w:val="0"/>
          <w:numId w:val="4"/>
        </w:numPr>
        <w:rPr>
          <w:bCs/>
          <w:sz w:val="22"/>
          <w:szCs w:val="22"/>
        </w:rPr>
      </w:pPr>
      <w:r>
        <w:rPr>
          <w:sz w:val="22"/>
          <w:szCs w:val="22"/>
        </w:rPr>
        <w:t xml:space="preserve">Lyman GH, Giuliano AE, Somerfield MR </w:t>
      </w:r>
      <w:r w:rsidRPr="00124640">
        <w:rPr>
          <w:i/>
          <w:iCs/>
          <w:sz w:val="22"/>
          <w:szCs w:val="22"/>
        </w:rPr>
        <w:t>et al</w:t>
      </w:r>
      <w:r>
        <w:rPr>
          <w:sz w:val="22"/>
          <w:szCs w:val="22"/>
        </w:rPr>
        <w:t xml:space="preserve">. American Society of Clinical Oncology guideline recommendations for sentinel lymph node biopsy in early-stage breast cancer. </w:t>
      </w:r>
      <w:r w:rsidRPr="00124640">
        <w:rPr>
          <w:i/>
          <w:iCs/>
          <w:sz w:val="22"/>
          <w:szCs w:val="22"/>
        </w:rPr>
        <w:t>J</w:t>
      </w:r>
      <w:r>
        <w:rPr>
          <w:i/>
          <w:iCs/>
          <w:sz w:val="22"/>
          <w:szCs w:val="22"/>
        </w:rPr>
        <w:t>.</w:t>
      </w:r>
      <w:r w:rsidRPr="00124640">
        <w:rPr>
          <w:i/>
          <w:iCs/>
          <w:sz w:val="22"/>
          <w:szCs w:val="22"/>
        </w:rPr>
        <w:t xml:space="preserve"> Clin</w:t>
      </w:r>
      <w:r>
        <w:rPr>
          <w:i/>
          <w:iCs/>
          <w:sz w:val="22"/>
          <w:szCs w:val="22"/>
        </w:rPr>
        <w:t>.</w:t>
      </w:r>
      <w:r w:rsidRPr="00124640">
        <w:rPr>
          <w:i/>
          <w:iCs/>
          <w:sz w:val="22"/>
          <w:szCs w:val="22"/>
        </w:rPr>
        <w:t xml:space="preserve"> Oncol</w:t>
      </w:r>
      <w:r>
        <w:rPr>
          <w:i/>
          <w:iCs/>
          <w:sz w:val="22"/>
          <w:szCs w:val="22"/>
        </w:rPr>
        <w:t xml:space="preserve">. </w:t>
      </w:r>
      <w:r>
        <w:rPr>
          <w:sz w:val="22"/>
          <w:szCs w:val="22"/>
        </w:rPr>
        <w:t>23(30), 7703-7720 (2005).</w:t>
      </w:r>
    </w:p>
    <w:p w14:paraId="3F44806D" w14:textId="77777777" w:rsidR="00383002" w:rsidRPr="00A4081B" w:rsidRDefault="00383002" w:rsidP="00383002">
      <w:pPr>
        <w:ind w:left="360"/>
        <w:rPr>
          <w:sz w:val="22"/>
          <w:szCs w:val="22"/>
          <w:lang w:val="en-US"/>
        </w:rPr>
      </w:pPr>
    </w:p>
    <w:p w14:paraId="2BE3499F" w14:textId="77777777" w:rsidR="003F237B" w:rsidRDefault="003F237B" w:rsidP="00A4081B">
      <w:pPr>
        <w:widowControl w:val="0"/>
        <w:autoSpaceDE w:val="0"/>
        <w:autoSpaceDN w:val="0"/>
        <w:adjustRightInd w:val="0"/>
        <w:spacing w:after="240"/>
        <w:jc w:val="both"/>
        <w:rPr>
          <w:color w:val="000000"/>
          <w:sz w:val="22"/>
          <w:szCs w:val="22"/>
          <w:lang w:val="es-ES_tradnl" w:eastAsia="es-ES_tradnl"/>
        </w:rPr>
      </w:pPr>
    </w:p>
    <w:p w14:paraId="3310C98D" w14:textId="1E4B6305" w:rsidR="00383002" w:rsidRPr="00383002" w:rsidRDefault="00383002">
      <w:pPr>
        <w:rPr>
          <w:color w:val="000000"/>
          <w:sz w:val="22"/>
          <w:szCs w:val="22"/>
          <w:lang w:eastAsia="es-ES_tradnl"/>
        </w:rPr>
      </w:pPr>
    </w:p>
    <w:p w14:paraId="489EA09F" w14:textId="002C0FDB" w:rsidR="00383002" w:rsidRDefault="00383002">
      <w:pPr>
        <w:rPr>
          <w:color w:val="000000"/>
          <w:sz w:val="22"/>
          <w:szCs w:val="22"/>
          <w:lang w:eastAsia="es-ES_tradnl"/>
        </w:rPr>
      </w:pPr>
      <w:r>
        <w:rPr>
          <w:color w:val="000000"/>
          <w:sz w:val="22"/>
          <w:szCs w:val="22"/>
          <w:lang w:eastAsia="es-ES_tradnl"/>
        </w:rPr>
        <w:br w:type="page"/>
      </w:r>
    </w:p>
    <w:p w14:paraId="3568F7BC" w14:textId="77777777" w:rsidR="00383002" w:rsidRPr="00383002" w:rsidRDefault="00383002" w:rsidP="00A4081B">
      <w:pPr>
        <w:widowControl w:val="0"/>
        <w:autoSpaceDE w:val="0"/>
        <w:autoSpaceDN w:val="0"/>
        <w:adjustRightInd w:val="0"/>
        <w:spacing w:after="240"/>
        <w:jc w:val="both"/>
        <w:rPr>
          <w:color w:val="000000"/>
          <w:sz w:val="22"/>
          <w:szCs w:val="22"/>
          <w:lang w:eastAsia="es-ES_tradnl"/>
        </w:rPr>
      </w:pPr>
    </w:p>
    <w:p w14:paraId="7513F94B" w14:textId="732C28F4" w:rsidR="00383002" w:rsidRPr="00383002" w:rsidRDefault="00383002" w:rsidP="00A4081B">
      <w:pPr>
        <w:widowControl w:val="0"/>
        <w:autoSpaceDE w:val="0"/>
        <w:autoSpaceDN w:val="0"/>
        <w:adjustRightInd w:val="0"/>
        <w:spacing w:after="240"/>
        <w:jc w:val="both"/>
        <w:rPr>
          <w:b/>
          <w:bCs/>
          <w:color w:val="000000"/>
          <w:sz w:val="22"/>
          <w:szCs w:val="22"/>
          <w:lang w:eastAsia="es-ES_tradnl"/>
        </w:rPr>
      </w:pPr>
      <w:r w:rsidRPr="00383002">
        <w:rPr>
          <w:b/>
          <w:bCs/>
          <w:color w:val="000000"/>
          <w:sz w:val="22"/>
          <w:szCs w:val="22"/>
          <w:lang w:eastAsia="es-ES_tradnl"/>
        </w:rPr>
        <w:t xml:space="preserve">Figures / </w:t>
      </w:r>
      <w:r>
        <w:rPr>
          <w:b/>
          <w:bCs/>
          <w:color w:val="000000"/>
          <w:sz w:val="22"/>
          <w:szCs w:val="22"/>
          <w:lang w:eastAsia="es-ES_tradnl"/>
        </w:rPr>
        <w:t>T</w:t>
      </w:r>
      <w:r w:rsidRPr="00383002">
        <w:rPr>
          <w:b/>
          <w:bCs/>
          <w:color w:val="000000"/>
          <w:sz w:val="22"/>
          <w:szCs w:val="22"/>
          <w:lang w:eastAsia="es-ES_tradnl"/>
        </w:rPr>
        <w:t>ables</w:t>
      </w:r>
    </w:p>
    <w:p w14:paraId="5673EBA5" w14:textId="0C9CEBB4" w:rsidR="00181E29" w:rsidRPr="00A4081B" w:rsidRDefault="00181E29" w:rsidP="00A4081B">
      <w:pPr>
        <w:jc w:val="both"/>
        <w:rPr>
          <w:sz w:val="22"/>
          <w:szCs w:val="22"/>
        </w:rPr>
      </w:pPr>
      <w:r>
        <w:rPr>
          <w:b/>
          <w:bCs/>
          <w:sz w:val="22"/>
          <w:szCs w:val="22"/>
        </w:rPr>
        <w:t>Table 1:</w:t>
      </w:r>
      <w:r>
        <w:rPr>
          <w:sz w:val="22"/>
          <w:szCs w:val="22"/>
        </w:rPr>
        <w:t xml:space="preserve"> Clinical-pathological characteristics, stage, </w:t>
      </w:r>
      <w:r w:rsidR="00152122">
        <w:rPr>
          <w:sz w:val="22"/>
          <w:szCs w:val="22"/>
        </w:rPr>
        <w:t xml:space="preserve">and </w:t>
      </w:r>
      <w:r>
        <w:rPr>
          <w:sz w:val="22"/>
          <w:szCs w:val="22"/>
        </w:rPr>
        <w:t xml:space="preserve">HR and </w:t>
      </w:r>
      <w:proofErr w:type="spellStart"/>
      <w:r>
        <w:rPr>
          <w:sz w:val="22"/>
          <w:szCs w:val="22"/>
        </w:rPr>
        <w:t>HER2</w:t>
      </w:r>
      <w:proofErr w:type="spellEnd"/>
      <w:r>
        <w:rPr>
          <w:sz w:val="22"/>
          <w:szCs w:val="22"/>
        </w:rPr>
        <w:t xml:space="preserve"> status of the patients included in the study (n</w:t>
      </w:r>
      <w:r w:rsidR="00545E9D">
        <w:rPr>
          <w:sz w:val="22"/>
          <w:szCs w:val="22"/>
        </w:rPr>
        <w:t xml:space="preserve"> </w:t>
      </w:r>
      <w:r>
        <w:rPr>
          <w:sz w:val="22"/>
          <w:szCs w:val="22"/>
        </w:rPr>
        <w:t>=</w:t>
      </w:r>
      <w:r w:rsidR="00545E9D">
        <w:rPr>
          <w:sz w:val="22"/>
          <w:szCs w:val="22"/>
        </w:rPr>
        <w:t xml:space="preserve"> </w:t>
      </w:r>
      <w:r>
        <w:rPr>
          <w:sz w:val="22"/>
          <w:szCs w:val="22"/>
        </w:rPr>
        <w:t>22).</w:t>
      </w:r>
    </w:p>
    <w:p w14:paraId="3823F388" w14:textId="77777777" w:rsidR="00181E29" w:rsidRPr="00A4081B" w:rsidRDefault="00181E29" w:rsidP="00A4081B">
      <w:pPr>
        <w:jc w:val="both"/>
        <w:rPr>
          <w:sz w:val="22"/>
          <w:szCs w:val="22"/>
          <w:lang w:val="es-ES_tradnl"/>
        </w:rPr>
      </w:pPr>
    </w:p>
    <w:tbl>
      <w:tblPr>
        <w:tblW w:w="0" w:type="auto"/>
        <w:tblInd w:w="-1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802"/>
        <w:gridCol w:w="992"/>
      </w:tblGrid>
      <w:tr w:rsidR="00181E29" w:rsidRPr="00A4081B" w14:paraId="20605B89" w14:textId="77777777" w:rsidTr="00181E29">
        <w:tc>
          <w:tcPr>
            <w:tcW w:w="2802" w:type="dxa"/>
            <w:tcBorders>
              <w:top w:val="single" w:sz="12" w:space="0" w:color="auto"/>
              <w:left w:val="single" w:sz="12" w:space="0" w:color="auto"/>
              <w:bottom w:val="single" w:sz="12" w:space="0" w:color="auto"/>
              <w:right w:val="single" w:sz="12" w:space="0" w:color="auto"/>
            </w:tcBorders>
            <w:shd w:val="clear" w:color="auto" w:fill="F38337"/>
            <w:hideMark/>
          </w:tcPr>
          <w:p w14:paraId="56427309" w14:textId="77777777" w:rsidR="00181E29" w:rsidRPr="00A4081B" w:rsidRDefault="00181E29" w:rsidP="00A4081B">
            <w:pPr>
              <w:jc w:val="both"/>
              <w:rPr>
                <w:sz w:val="22"/>
                <w:szCs w:val="22"/>
              </w:rPr>
            </w:pPr>
            <w:bookmarkStart w:id="5" w:name="_Hlk50206742"/>
            <w:r>
              <w:rPr>
                <w:b/>
                <w:bCs/>
                <w:sz w:val="22"/>
                <w:szCs w:val="22"/>
              </w:rPr>
              <w:t>Variables</w:t>
            </w:r>
          </w:p>
        </w:tc>
        <w:tc>
          <w:tcPr>
            <w:tcW w:w="992" w:type="dxa"/>
            <w:tcBorders>
              <w:top w:val="single" w:sz="12" w:space="0" w:color="auto"/>
              <w:left w:val="single" w:sz="12" w:space="0" w:color="auto"/>
              <w:bottom w:val="single" w:sz="12" w:space="0" w:color="auto"/>
              <w:right w:val="single" w:sz="12" w:space="0" w:color="auto"/>
            </w:tcBorders>
            <w:shd w:val="clear" w:color="auto" w:fill="F38337"/>
            <w:hideMark/>
          </w:tcPr>
          <w:p w14:paraId="4E43F6D0" w14:textId="77777777" w:rsidR="00181E29" w:rsidRPr="00A4081B" w:rsidRDefault="00181E29" w:rsidP="00A4081B">
            <w:pPr>
              <w:jc w:val="both"/>
              <w:rPr>
                <w:sz w:val="22"/>
                <w:szCs w:val="22"/>
              </w:rPr>
            </w:pPr>
            <w:r>
              <w:rPr>
                <w:b/>
                <w:bCs/>
                <w:sz w:val="22"/>
                <w:szCs w:val="22"/>
              </w:rPr>
              <w:t xml:space="preserve">N </w:t>
            </w:r>
          </w:p>
        </w:tc>
      </w:tr>
      <w:tr w:rsidR="00181E29" w:rsidRPr="00A4081B" w14:paraId="2D4FBF53"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2BA465AC" w14:textId="77777777" w:rsidR="00181E29" w:rsidRPr="00A4081B" w:rsidRDefault="00181E29" w:rsidP="00A4081B">
            <w:pPr>
              <w:jc w:val="both"/>
              <w:rPr>
                <w:sz w:val="22"/>
                <w:szCs w:val="22"/>
              </w:rPr>
            </w:pPr>
            <w:r>
              <w:rPr>
                <w:b/>
                <w:bCs/>
                <w:sz w:val="22"/>
                <w:szCs w:val="22"/>
              </w:rPr>
              <w:t>Histological type</w:t>
            </w:r>
          </w:p>
        </w:tc>
        <w:tc>
          <w:tcPr>
            <w:tcW w:w="992" w:type="dxa"/>
            <w:tcBorders>
              <w:top w:val="single" w:sz="12" w:space="0" w:color="auto"/>
              <w:left w:val="single" w:sz="12" w:space="0" w:color="auto"/>
              <w:bottom w:val="single" w:sz="12" w:space="0" w:color="auto"/>
              <w:right w:val="single" w:sz="12" w:space="0" w:color="auto"/>
            </w:tcBorders>
          </w:tcPr>
          <w:p w14:paraId="5CDD3539" w14:textId="77777777" w:rsidR="00181E29" w:rsidRPr="00A4081B" w:rsidRDefault="00181E29" w:rsidP="00A4081B">
            <w:pPr>
              <w:jc w:val="both"/>
              <w:rPr>
                <w:sz w:val="22"/>
                <w:szCs w:val="22"/>
                <w:lang w:val="es-ES_tradnl"/>
              </w:rPr>
            </w:pPr>
          </w:p>
        </w:tc>
      </w:tr>
      <w:tr w:rsidR="00181E29" w:rsidRPr="00A4081B" w14:paraId="63009D16"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676B910B" w14:textId="77777777" w:rsidR="00181E29" w:rsidRPr="00A4081B" w:rsidRDefault="00181E29" w:rsidP="00A4081B">
            <w:pPr>
              <w:jc w:val="both"/>
              <w:rPr>
                <w:sz w:val="22"/>
                <w:szCs w:val="22"/>
              </w:rPr>
            </w:pPr>
            <w:r>
              <w:rPr>
                <w:b/>
                <w:bCs/>
                <w:sz w:val="22"/>
                <w:szCs w:val="22"/>
              </w:rPr>
              <w:t>IDC</w:t>
            </w:r>
          </w:p>
        </w:tc>
        <w:tc>
          <w:tcPr>
            <w:tcW w:w="992" w:type="dxa"/>
            <w:tcBorders>
              <w:top w:val="single" w:sz="12" w:space="0" w:color="auto"/>
              <w:left w:val="single" w:sz="12" w:space="0" w:color="auto"/>
              <w:bottom w:val="single" w:sz="12" w:space="0" w:color="auto"/>
              <w:right w:val="single" w:sz="12" w:space="0" w:color="auto"/>
            </w:tcBorders>
            <w:hideMark/>
          </w:tcPr>
          <w:p w14:paraId="24A82E30" w14:textId="77777777" w:rsidR="00181E29" w:rsidRPr="00A4081B" w:rsidRDefault="00181E29" w:rsidP="00A4081B">
            <w:pPr>
              <w:jc w:val="both"/>
              <w:rPr>
                <w:sz w:val="22"/>
                <w:szCs w:val="22"/>
              </w:rPr>
            </w:pPr>
            <w:r>
              <w:rPr>
                <w:b/>
                <w:bCs/>
                <w:sz w:val="22"/>
                <w:szCs w:val="22"/>
              </w:rPr>
              <w:t>22</w:t>
            </w:r>
          </w:p>
        </w:tc>
      </w:tr>
      <w:tr w:rsidR="00181E29" w:rsidRPr="00A4081B" w14:paraId="44BA280D"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299730EE" w14:textId="77777777" w:rsidR="00181E29" w:rsidRPr="00A4081B" w:rsidRDefault="00181E29" w:rsidP="00A4081B">
            <w:pPr>
              <w:jc w:val="both"/>
              <w:rPr>
                <w:sz w:val="22"/>
                <w:szCs w:val="22"/>
              </w:rPr>
            </w:pPr>
            <w:r>
              <w:rPr>
                <w:b/>
                <w:bCs/>
                <w:sz w:val="22"/>
                <w:szCs w:val="22"/>
              </w:rPr>
              <w:t>Final histological grade</w:t>
            </w:r>
          </w:p>
        </w:tc>
        <w:tc>
          <w:tcPr>
            <w:tcW w:w="992" w:type="dxa"/>
            <w:tcBorders>
              <w:top w:val="single" w:sz="12" w:space="0" w:color="auto"/>
              <w:left w:val="single" w:sz="12" w:space="0" w:color="auto"/>
              <w:bottom w:val="single" w:sz="12" w:space="0" w:color="auto"/>
              <w:right w:val="single" w:sz="12" w:space="0" w:color="auto"/>
            </w:tcBorders>
          </w:tcPr>
          <w:p w14:paraId="283CEF6E" w14:textId="77777777" w:rsidR="00181E29" w:rsidRPr="00A4081B" w:rsidRDefault="00181E29" w:rsidP="00A4081B">
            <w:pPr>
              <w:jc w:val="both"/>
              <w:rPr>
                <w:sz w:val="22"/>
                <w:szCs w:val="22"/>
                <w:lang w:val="es-ES_tradnl"/>
              </w:rPr>
            </w:pPr>
          </w:p>
        </w:tc>
      </w:tr>
      <w:tr w:rsidR="00181E29" w:rsidRPr="00A4081B" w14:paraId="39AC0D94"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349F5370" w14:textId="77777777" w:rsidR="00181E29" w:rsidRPr="00A4081B" w:rsidRDefault="00181E29" w:rsidP="00A4081B">
            <w:pPr>
              <w:jc w:val="both"/>
              <w:rPr>
                <w:b/>
                <w:bCs/>
                <w:sz w:val="22"/>
                <w:szCs w:val="22"/>
              </w:rPr>
            </w:pPr>
            <w:proofErr w:type="spellStart"/>
            <w:r>
              <w:rPr>
                <w:b/>
                <w:bCs/>
                <w:sz w:val="22"/>
                <w:szCs w:val="22"/>
              </w:rPr>
              <w:t>FHG</w:t>
            </w:r>
            <w:proofErr w:type="spellEnd"/>
            <w:r>
              <w:rPr>
                <w:b/>
                <w:bCs/>
                <w:sz w:val="22"/>
                <w:szCs w:val="22"/>
              </w:rPr>
              <w:t xml:space="preserve"> 1</w:t>
            </w:r>
          </w:p>
        </w:tc>
        <w:tc>
          <w:tcPr>
            <w:tcW w:w="992" w:type="dxa"/>
            <w:tcBorders>
              <w:top w:val="single" w:sz="12" w:space="0" w:color="auto"/>
              <w:left w:val="single" w:sz="12" w:space="0" w:color="auto"/>
              <w:bottom w:val="single" w:sz="12" w:space="0" w:color="auto"/>
              <w:right w:val="single" w:sz="12" w:space="0" w:color="auto"/>
            </w:tcBorders>
            <w:hideMark/>
          </w:tcPr>
          <w:p w14:paraId="5F50CBEC" w14:textId="77777777" w:rsidR="00181E29" w:rsidRPr="00A4081B" w:rsidRDefault="00181E29" w:rsidP="00A4081B">
            <w:pPr>
              <w:jc w:val="both"/>
              <w:rPr>
                <w:b/>
                <w:bCs/>
                <w:sz w:val="22"/>
                <w:szCs w:val="22"/>
              </w:rPr>
            </w:pPr>
            <w:r>
              <w:rPr>
                <w:b/>
                <w:bCs/>
                <w:sz w:val="22"/>
                <w:szCs w:val="22"/>
              </w:rPr>
              <w:t>2</w:t>
            </w:r>
          </w:p>
        </w:tc>
      </w:tr>
      <w:tr w:rsidR="00181E29" w:rsidRPr="00A4081B" w14:paraId="62D912B8"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1891AF60" w14:textId="77777777" w:rsidR="00181E29" w:rsidRPr="00A4081B" w:rsidRDefault="00181E29" w:rsidP="00A4081B">
            <w:pPr>
              <w:jc w:val="both"/>
              <w:rPr>
                <w:sz w:val="22"/>
                <w:szCs w:val="22"/>
              </w:rPr>
            </w:pPr>
            <w:proofErr w:type="spellStart"/>
            <w:r>
              <w:rPr>
                <w:b/>
                <w:bCs/>
                <w:sz w:val="22"/>
                <w:szCs w:val="22"/>
              </w:rPr>
              <w:t>FHG</w:t>
            </w:r>
            <w:proofErr w:type="spellEnd"/>
            <w:r>
              <w:rPr>
                <w:b/>
                <w:bCs/>
                <w:sz w:val="22"/>
                <w:szCs w:val="22"/>
              </w:rPr>
              <w:t xml:space="preserve"> 2</w:t>
            </w:r>
          </w:p>
        </w:tc>
        <w:tc>
          <w:tcPr>
            <w:tcW w:w="992" w:type="dxa"/>
            <w:tcBorders>
              <w:top w:val="single" w:sz="12" w:space="0" w:color="auto"/>
              <w:left w:val="single" w:sz="12" w:space="0" w:color="auto"/>
              <w:bottom w:val="single" w:sz="12" w:space="0" w:color="auto"/>
              <w:right w:val="single" w:sz="12" w:space="0" w:color="auto"/>
            </w:tcBorders>
            <w:hideMark/>
          </w:tcPr>
          <w:p w14:paraId="2801A9BA" w14:textId="77777777" w:rsidR="00181E29" w:rsidRPr="00A4081B" w:rsidRDefault="00181E29" w:rsidP="00A4081B">
            <w:pPr>
              <w:jc w:val="both"/>
              <w:rPr>
                <w:sz w:val="22"/>
                <w:szCs w:val="22"/>
              </w:rPr>
            </w:pPr>
            <w:r>
              <w:rPr>
                <w:b/>
                <w:bCs/>
                <w:sz w:val="22"/>
                <w:szCs w:val="22"/>
              </w:rPr>
              <w:t>8</w:t>
            </w:r>
          </w:p>
        </w:tc>
      </w:tr>
      <w:tr w:rsidR="00181E29" w:rsidRPr="00A4081B" w14:paraId="5E36FC05"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3CB007FE" w14:textId="77777777" w:rsidR="00181E29" w:rsidRPr="00A4081B" w:rsidRDefault="00181E29" w:rsidP="00A4081B">
            <w:pPr>
              <w:jc w:val="both"/>
              <w:rPr>
                <w:sz w:val="22"/>
                <w:szCs w:val="22"/>
              </w:rPr>
            </w:pPr>
            <w:proofErr w:type="spellStart"/>
            <w:r>
              <w:rPr>
                <w:b/>
                <w:bCs/>
                <w:sz w:val="22"/>
                <w:szCs w:val="22"/>
              </w:rPr>
              <w:t>FHG</w:t>
            </w:r>
            <w:proofErr w:type="spellEnd"/>
            <w:r>
              <w:rPr>
                <w:b/>
                <w:bCs/>
                <w:sz w:val="22"/>
                <w:szCs w:val="22"/>
              </w:rPr>
              <w:t xml:space="preserve"> 3</w:t>
            </w:r>
          </w:p>
        </w:tc>
        <w:tc>
          <w:tcPr>
            <w:tcW w:w="992" w:type="dxa"/>
            <w:tcBorders>
              <w:top w:val="single" w:sz="12" w:space="0" w:color="auto"/>
              <w:left w:val="single" w:sz="12" w:space="0" w:color="auto"/>
              <w:bottom w:val="single" w:sz="12" w:space="0" w:color="auto"/>
              <w:right w:val="single" w:sz="12" w:space="0" w:color="auto"/>
            </w:tcBorders>
            <w:hideMark/>
          </w:tcPr>
          <w:p w14:paraId="482F6B5F" w14:textId="32ECCC07" w:rsidR="00181E29" w:rsidRPr="00A4081B" w:rsidRDefault="0042398B" w:rsidP="00A4081B">
            <w:pPr>
              <w:jc w:val="both"/>
              <w:rPr>
                <w:sz w:val="22"/>
                <w:szCs w:val="22"/>
              </w:rPr>
            </w:pPr>
            <w:r>
              <w:rPr>
                <w:b/>
                <w:bCs/>
                <w:sz w:val="22"/>
                <w:szCs w:val="22"/>
              </w:rPr>
              <w:t>12</w:t>
            </w:r>
          </w:p>
        </w:tc>
      </w:tr>
      <w:tr w:rsidR="00181E29" w:rsidRPr="00A4081B" w14:paraId="071B8C31"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3E1A72C2" w14:textId="7C611231" w:rsidR="00181E29" w:rsidRPr="00A4081B" w:rsidRDefault="00181E29" w:rsidP="00A4081B">
            <w:pPr>
              <w:jc w:val="both"/>
              <w:rPr>
                <w:sz w:val="22"/>
                <w:szCs w:val="22"/>
              </w:rPr>
            </w:pPr>
            <w:r>
              <w:rPr>
                <w:b/>
                <w:bCs/>
                <w:sz w:val="22"/>
                <w:szCs w:val="22"/>
              </w:rPr>
              <w:t xml:space="preserve">Size of </w:t>
            </w:r>
            <w:r w:rsidR="00494365">
              <w:rPr>
                <w:b/>
                <w:bCs/>
                <w:sz w:val="22"/>
                <w:szCs w:val="22"/>
              </w:rPr>
              <w:t>tumour</w:t>
            </w:r>
          </w:p>
        </w:tc>
        <w:tc>
          <w:tcPr>
            <w:tcW w:w="992" w:type="dxa"/>
            <w:tcBorders>
              <w:top w:val="single" w:sz="12" w:space="0" w:color="auto"/>
              <w:left w:val="single" w:sz="12" w:space="0" w:color="auto"/>
              <w:bottom w:val="single" w:sz="12" w:space="0" w:color="auto"/>
              <w:right w:val="single" w:sz="12" w:space="0" w:color="auto"/>
            </w:tcBorders>
          </w:tcPr>
          <w:p w14:paraId="17B147C8" w14:textId="77777777" w:rsidR="00181E29" w:rsidRPr="00A4081B" w:rsidRDefault="00181E29" w:rsidP="00A4081B">
            <w:pPr>
              <w:jc w:val="both"/>
              <w:rPr>
                <w:sz w:val="22"/>
                <w:szCs w:val="22"/>
                <w:lang w:val="es-ES_tradnl"/>
              </w:rPr>
            </w:pPr>
          </w:p>
        </w:tc>
      </w:tr>
      <w:tr w:rsidR="00181E29" w:rsidRPr="00A4081B" w14:paraId="5693283E"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46DDE0AF" w14:textId="7CA2B4BE" w:rsidR="00181E29" w:rsidRPr="00A4081B" w:rsidRDefault="00A4081B" w:rsidP="00A4081B">
            <w:pPr>
              <w:jc w:val="both"/>
              <w:rPr>
                <w:sz w:val="22"/>
                <w:szCs w:val="22"/>
              </w:rPr>
            </w:pPr>
            <w:proofErr w:type="spellStart"/>
            <w:r>
              <w:rPr>
                <w:b/>
                <w:bCs/>
                <w:sz w:val="22"/>
                <w:szCs w:val="22"/>
              </w:rPr>
              <w:t>pT1</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49016BD8" w14:textId="77777777" w:rsidR="00181E29" w:rsidRPr="00A4081B" w:rsidRDefault="00181E29" w:rsidP="00A4081B">
            <w:pPr>
              <w:jc w:val="both"/>
              <w:rPr>
                <w:sz w:val="22"/>
                <w:szCs w:val="22"/>
              </w:rPr>
            </w:pPr>
            <w:r>
              <w:rPr>
                <w:sz w:val="22"/>
                <w:szCs w:val="22"/>
              </w:rPr>
              <w:t>9</w:t>
            </w:r>
          </w:p>
        </w:tc>
      </w:tr>
      <w:tr w:rsidR="00181E29" w:rsidRPr="00A4081B" w14:paraId="44BE35F8"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667BA624" w14:textId="08FCC866" w:rsidR="00181E29" w:rsidRPr="00A4081B" w:rsidRDefault="00A4081B" w:rsidP="00A4081B">
            <w:pPr>
              <w:jc w:val="both"/>
              <w:rPr>
                <w:sz w:val="22"/>
                <w:szCs w:val="22"/>
              </w:rPr>
            </w:pPr>
            <w:proofErr w:type="spellStart"/>
            <w:r>
              <w:rPr>
                <w:b/>
                <w:bCs/>
                <w:sz w:val="22"/>
                <w:szCs w:val="22"/>
              </w:rPr>
              <w:t>pT2</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30A1A831" w14:textId="7D5F0E9D" w:rsidR="00181E29" w:rsidRPr="00A4081B" w:rsidRDefault="0042398B" w:rsidP="00A4081B">
            <w:pPr>
              <w:jc w:val="both"/>
              <w:rPr>
                <w:sz w:val="22"/>
                <w:szCs w:val="22"/>
              </w:rPr>
            </w:pPr>
            <w:r>
              <w:rPr>
                <w:b/>
                <w:bCs/>
                <w:sz w:val="22"/>
                <w:szCs w:val="22"/>
              </w:rPr>
              <w:t>8</w:t>
            </w:r>
          </w:p>
        </w:tc>
      </w:tr>
      <w:tr w:rsidR="00181E29" w:rsidRPr="00A4081B" w14:paraId="5B7D21DE"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0294096" w14:textId="64A0AFC5" w:rsidR="00181E29" w:rsidRPr="00A4081B" w:rsidRDefault="00A4081B" w:rsidP="00A4081B">
            <w:pPr>
              <w:jc w:val="both"/>
              <w:rPr>
                <w:sz w:val="22"/>
                <w:szCs w:val="22"/>
              </w:rPr>
            </w:pPr>
            <w:proofErr w:type="spellStart"/>
            <w:r>
              <w:rPr>
                <w:b/>
                <w:bCs/>
                <w:sz w:val="22"/>
                <w:szCs w:val="22"/>
              </w:rPr>
              <w:t>pT4</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599F9DFF" w14:textId="77777777" w:rsidR="00181E29" w:rsidRPr="00A4081B" w:rsidRDefault="00181E29" w:rsidP="00A4081B">
            <w:pPr>
              <w:jc w:val="both"/>
              <w:rPr>
                <w:sz w:val="22"/>
                <w:szCs w:val="22"/>
              </w:rPr>
            </w:pPr>
            <w:r>
              <w:rPr>
                <w:b/>
                <w:bCs/>
                <w:sz w:val="22"/>
                <w:szCs w:val="22"/>
              </w:rPr>
              <w:t>5</w:t>
            </w:r>
          </w:p>
        </w:tc>
      </w:tr>
      <w:tr w:rsidR="00181E29" w:rsidRPr="00A4081B" w14:paraId="0D33B676"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69546AA0" w14:textId="77777777" w:rsidR="00181E29" w:rsidRPr="00A4081B" w:rsidRDefault="00181E29" w:rsidP="00A4081B">
            <w:pPr>
              <w:jc w:val="both"/>
              <w:rPr>
                <w:sz w:val="22"/>
                <w:szCs w:val="22"/>
              </w:rPr>
            </w:pPr>
            <w:r>
              <w:rPr>
                <w:b/>
                <w:bCs/>
                <w:sz w:val="22"/>
                <w:szCs w:val="22"/>
              </w:rPr>
              <w:t>Axillary lymph node status</w:t>
            </w:r>
          </w:p>
        </w:tc>
        <w:tc>
          <w:tcPr>
            <w:tcW w:w="992" w:type="dxa"/>
            <w:tcBorders>
              <w:top w:val="single" w:sz="12" w:space="0" w:color="auto"/>
              <w:left w:val="single" w:sz="12" w:space="0" w:color="auto"/>
              <w:bottom w:val="single" w:sz="12" w:space="0" w:color="auto"/>
              <w:right w:val="single" w:sz="12" w:space="0" w:color="auto"/>
            </w:tcBorders>
          </w:tcPr>
          <w:p w14:paraId="668B6878" w14:textId="77777777" w:rsidR="00181E29" w:rsidRPr="00A4081B" w:rsidRDefault="00181E29" w:rsidP="00A4081B">
            <w:pPr>
              <w:jc w:val="both"/>
              <w:rPr>
                <w:sz w:val="22"/>
                <w:szCs w:val="22"/>
                <w:lang w:val="es-ES_tradnl"/>
              </w:rPr>
            </w:pPr>
          </w:p>
        </w:tc>
      </w:tr>
      <w:tr w:rsidR="00181E29" w:rsidRPr="00A4081B" w14:paraId="2F3BAA7E"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13EB91CE" w14:textId="0383F3AF" w:rsidR="00181E29" w:rsidRPr="00A4081B" w:rsidRDefault="00A4081B" w:rsidP="00A4081B">
            <w:pPr>
              <w:jc w:val="both"/>
              <w:rPr>
                <w:b/>
                <w:bCs/>
                <w:sz w:val="22"/>
                <w:szCs w:val="22"/>
              </w:rPr>
            </w:pPr>
            <w:proofErr w:type="spellStart"/>
            <w:r>
              <w:rPr>
                <w:b/>
                <w:bCs/>
                <w:sz w:val="22"/>
                <w:szCs w:val="22"/>
              </w:rPr>
              <w:t>pN0</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4F454382" w14:textId="77777777" w:rsidR="00181E29" w:rsidRPr="00A4081B" w:rsidRDefault="00181E29" w:rsidP="00A4081B">
            <w:pPr>
              <w:jc w:val="both"/>
              <w:rPr>
                <w:sz w:val="22"/>
                <w:szCs w:val="22"/>
              </w:rPr>
            </w:pPr>
            <w:r>
              <w:rPr>
                <w:sz w:val="22"/>
                <w:szCs w:val="22"/>
              </w:rPr>
              <w:t>7</w:t>
            </w:r>
          </w:p>
        </w:tc>
      </w:tr>
      <w:tr w:rsidR="00181E29" w:rsidRPr="00A4081B" w14:paraId="39854BAD"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1F087C91" w14:textId="78282F40" w:rsidR="00181E29" w:rsidRPr="00A4081B" w:rsidRDefault="00A4081B" w:rsidP="00A4081B">
            <w:pPr>
              <w:jc w:val="both"/>
              <w:rPr>
                <w:sz w:val="22"/>
                <w:szCs w:val="22"/>
              </w:rPr>
            </w:pPr>
            <w:proofErr w:type="spellStart"/>
            <w:r>
              <w:rPr>
                <w:b/>
                <w:bCs/>
                <w:sz w:val="22"/>
                <w:szCs w:val="22"/>
              </w:rPr>
              <w:t>pN1</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239F8385" w14:textId="70437703" w:rsidR="00181E29" w:rsidRPr="00A4081B" w:rsidRDefault="00181E29" w:rsidP="00A4081B">
            <w:pPr>
              <w:jc w:val="both"/>
              <w:rPr>
                <w:sz w:val="22"/>
                <w:szCs w:val="22"/>
              </w:rPr>
            </w:pPr>
            <w:r>
              <w:rPr>
                <w:sz w:val="22"/>
                <w:szCs w:val="22"/>
              </w:rPr>
              <w:t>12</w:t>
            </w:r>
          </w:p>
        </w:tc>
      </w:tr>
      <w:tr w:rsidR="00181E29" w:rsidRPr="00A4081B" w14:paraId="1C95E2AA"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49B4F4D4" w14:textId="38A9B0AC" w:rsidR="00181E29" w:rsidRPr="00A4081B" w:rsidRDefault="00A4081B" w:rsidP="00A4081B">
            <w:pPr>
              <w:jc w:val="both"/>
              <w:rPr>
                <w:b/>
                <w:bCs/>
                <w:sz w:val="22"/>
                <w:szCs w:val="22"/>
              </w:rPr>
            </w:pPr>
            <w:proofErr w:type="spellStart"/>
            <w:r>
              <w:rPr>
                <w:b/>
                <w:bCs/>
                <w:sz w:val="22"/>
                <w:szCs w:val="22"/>
              </w:rPr>
              <w:t>pN2</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3E213FB5" w14:textId="77777777" w:rsidR="00181E29" w:rsidRPr="00A4081B" w:rsidRDefault="00181E29" w:rsidP="00A4081B">
            <w:pPr>
              <w:jc w:val="both"/>
              <w:rPr>
                <w:sz w:val="22"/>
                <w:szCs w:val="22"/>
              </w:rPr>
            </w:pPr>
            <w:r>
              <w:rPr>
                <w:sz w:val="22"/>
                <w:szCs w:val="22"/>
              </w:rPr>
              <w:t>2</w:t>
            </w:r>
          </w:p>
        </w:tc>
      </w:tr>
      <w:tr w:rsidR="00181E29" w:rsidRPr="00A4081B" w14:paraId="75DEAAFD"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3D255A6A" w14:textId="60EB8B3A" w:rsidR="00181E29" w:rsidRPr="00A4081B" w:rsidRDefault="00A4081B" w:rsidP="00A4081B">
            <w:pPr>
              <w:jc w:val="both"/>
              <w:rPr>
                <w:sz w:val="22"/>
                <w:szCs w:val="22"/>
              </w:rPr>
            </w:pPr>
            <w:proofErr w:type="spellStart"/>
            <w:r>
              <w:rPr>
                <w:b/>
                <w:bCs/>
                <w:sz w:val="22"/>
                <w:szCs w:val="22"/>
              </w:rPr>
              <w:t>pN3</w:t>
            </w:r>
            <w:proofErr w:type="spellEnd"/>
          </w:p>
        </w:tc>
        <w:tc>
          <w:tcPr>
            <w:tcW w:w="992" w:type="dxa"/>
            <w:tcBorders>
              <w:top w:val="single" w:sz="12" w:space="0" w:color="auto"/>
              <w:left w:val="single" w:sz="12" w:space="0" w:color="auto"/>
              <w:bottom w:val="single" w:sz="12" w:space="0" w:color="auto"/>
              <w:right w:val="single" w:sz="12" w:space="0" w:color="auto"/>
            </w:tcBorders>
            <w:hideMark/>
          </w:tcPr>
          <w:p w14:paraId="5D0A795C" w14:textId="77777777" w:rsidR="00181E29" w:rsidRPr="00A4081B" w:rsidRDefault="00181E29" w:rsidP="00A4081B">
            <w:pPr>
              <w:jc w:val="both"/>
              <w:rPr>
                <w:sz w:val="22"/>
                <w:szCs w:val="22"/>
              </w:rPr>
            </w:pPr>
            <w:r>
              <w:rPr>
                <w:sz w:val="22"/>
                <w:szCs w:val="22"/>
              </w:rPr>
              <w:t>1</w:t>
            </w:r>
          </w:p>
        </w:tc>
      </w:tr>
      <w:tr w:rsidR="00181E29" w:rsidRPr="00A4081B" w14:paraId="3EA54D9B"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546C484" w14:textId="77777777" w:rsidR="00181E29" w:rsidRPr="00A4081B" w:rsidRDefault="00181E29" w:rsidP="00A4081B">
            <w:pPr>
              <w:jc w:val="both"/>
              <w:rPr>
                <w:sz w:val="22"/>
                <w:szCs w:val="22"/>
              </w:rPr>
            </w:pPr>
            <w:r>
              <w:rPr>
                <w:b/>
                <w:bCs/>
                <w:sz w:val="22"/>
                <w:szCs w:val="22"/>
              </w:rPr>
              <w:t>Stage</w:t>
            </w:r>
          </w:p>
        </w:tc>
        <w:tc>
          <w:tcPr>
            <w:tcW w:w="992" w:type="dxa"/>
            <w:tcBorders>
              <w:top w:val="single" w:sz="12" w:space="0" w:color="auto"/>
              <w:left w:val="single" w:sz="12" w:space="0" w:color="auto"/>
              <w:bottom w:val="single" w:sz="12" w:space="0" w:color="auto"/>
              <w:right w:val="single" w:sz="12" w:space="0" w:color="auto"/>
            </w:tcBorders>
          </w:tcPr>
          <w:p w14:paraId="16EDDF89" w14:textId="77777777" w:rsidR="00181E29" w:rsidRPr="00A4081B" w:rsidRDefault="00181E29" w:rsidP="00A4081B">
            <w:pPr>
              <w:jc w:val="both"/>
              <w:rPr>
                <w:sz w:val="22"/>
                <w:szCs w:val="22"/>
                <w:lang w:val="es-ES_tradnl"/>
              </w:rPr>
            </w:pPr>
          </w:p>
        </w:tc>
      </w:tr>
      <w:tr w:rsidR="00181E29" w:rsidRPr="00A4081B" w14:paraId="0E11E467"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669F0E0B" w14:textId="77777777" w:rsidR="00181E29" w:rsidRPr="00A4081B" w:rsidRDefault="00181E29" w:rsidP="00A4081B">
            <w:pPr>
              <w:jc w:val="both"/>
              <w:rPr>
                <w:sz w:val="22"/>
                <w:szCs w:val="22"/>
              </w:rPr>
            </w:pPr>
            <w:r>
              <w:rPr>
                <w:b/>
                <w:bCs/>
                <w:sz w:val="22"/>
                <w:szCs w:val="22"/>
              </w:rPr>
              <w:t>I</w:t>
            </w:r>
          </w:p>
        </w:tc>
        <w:tc>
          <w:tcPr>
            <w:tcW w:w="992" w:type="dxa"/>
            <w:tcBorders>
              <w:top w:val="single" w:sz="12" w:space="0" w:color="auto"/>
              <w:left w:val="single" w:sz="12" w:space="0" w:color="auto"/>
              <w:bottom w:val="single" w:sz="12" w:space="0" w:color="auto"/>
              <w:right w:val="single" w:sz="12" w:space="0" w:color="auto"/>
            </w:tcBorders>
            <w:hideMark/>
          </w:tcPr>
          <w:p w14:paraId="7EEABAEC" w14:textId="77777777" w:rsidR="00181E29" w:rsidRPr="00A4081B" w:rsidRDefault="00181E29" w:rsidP="00A4081B">
            <w:pPr>
              <w:jc w:val="both"/>
              <w:rPr>
                <w:sz w:val="22"/>
                <w:szCs w:val="22"/>
              </w:rPr>
            </w:pPr>
            <w:r>
              <w:rPr>
                <w:sz w:val="22"/>
                <w:szCs w:val="22"/>
              </w:rPr>
              <w:t>3</w:t>
            </w:r>
          </w:p>
        </w:tc>
      </w:tr>
      <w:tr w:rsidR="00181E29" w:rsidRPr="00A4081B" w14:paraId="152895F5"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F73EFD9" w14:textId="77777777" w:rsidR="00181E29" w:rsidRPr="00A4081B" w:rsidRDefault="00181E29" w:rsidP="00A4081B">
            <w:pPr>
              <w:jc w:val="both"/>
              <w:rPr>
                <w:sz w:val="22"/>
                <w:szCs w:val="22"/>
              </w:rPr>
            </w:pPr>
            <w:r>
              <w:rPr>
                <w:b/>
                <w:bCs/>
                <w:sz w:val="22"/>
                <w:szCs w:val="22"/>
              </w:rPr>
              <w:t>II</w:t>
            </w:r>
          </w:p>
        </w:tc>
        <w:tc>
          <w:tcPr>
            <w:tcW w:w="992" w:type="dxa"/>
            <w:tcBorders>
              <w:top w:val="single" w:sz="12" w:space="0" w:color="auto"/>
              <w:left w:val="single" w:sz="12" w:space="0" w:color="auto"/>
              <w:bottom w:val="single" w:sz="12" w:space="0" w:color="auto"/>
              <w:right w:val="single" w:sz="12" w:space="0" w:color="auto"/>
            </w:tcBorders>
            <w:hideMark/>
          </w:tcPr>
          <w:p w14:paraId="7DC54D04" w14:textId="2B506007" w:rsidR="00181E29" w:rsidRPr="00A4081B" w:rsidRDefault="00181E29" w:rsidP="00A4081B">
            <w:pPr>
              <w:jc w:val="both"/>
              <w:rPr>
                <w:sz w:val="22"/>
                <w:szCs w:val="22"/>
              </w:rPr>
            </w:pPr>
            <w:r>
              <w:rPr>
                <w:sz w:val="22"/>
                <w:szCs w:val="22"/>
              </w:rPr>
              <w:t>12</w:t>
            </w:r>
          </w:p>
        </w:tc>
      </w:tr>
      <w:tr w:rsidR="00181E29" w:rsidRPr="00A4081B" w14:paraId="32678BB2"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10D8316" w14:textId="77777777" w:rsidR="00181E29" w:rsidRPr="00A4081B" w:rsidRDefault="00181E29" w:rsidP="00A4081B">
            <w:pPr>
              <w:jc w:val="both"/>
              <w:rPr>
                <w:sz w:val="22"/>
                <w:szCs w:val="22"/>
              </w:rPr>
            </w:pPr>
            <w:r>
              <w:rPr>
                <w:b/>
                <w:bCs/>
                <w:sz w:val="22"/>
                <w:szCs w:val="22"/>
              </w:rPr>
              <w:t>III</w:t>
            </w:r>
          </w:p>
        </w:tc>
        <w:tc>
          <w:tcPr>
            <w:tcW w:w="992" w:type="dxa"/>
            <w:tcBorders>
              <w:top w:val="single" w:sz="12" w:space="0" w:color="auto"/>
              <w:left w:val="single" w:sz="12" w:space="0" w:color="auto"/>
              <w:bottom w:val="single" w:sz="12" w:space="0" w:color="auto"/>
              <w:right w:val="single" w:sz="12" w:space="0" w:color="auto"/>
            </w:tcBorders>
            <w:hideMark/>
          </w:tcPr>
          <w:p w14:paraId="0E6ACDD8" w14:textId="77777777" w:rsidR="00181E29" w:rsidRPr="00A4081B" w:rsidRDefault="00181E29" w:rsidP="00A4081B">
            <w:pPr>
              <w:jc w:val="both"/>
              <w:rPr>
                <w:sz w:val="22"/>
                <w:szCs w:val="22"/>
              </w:rPr>
            </w:pPr>
            <w:r>
              <w:rPr>
                <w:sz w:val="22"/>
                <w:szCs w:val="22"/>
              </w:rPr>
              <w:t>6</w:t>
            </w:r>
          </w:p>
        </w:tc>
      </w:tr>
      <w:tr w:rsidR="00181E29" w:rsidRPr="00A4081B" w14:paraId="3531245B"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4966F64B" w14:textId="77777777" w:rsidR="00181E29" w:rsidRPr="00A4081B" w:rsidRDefault="00181E29" w:rsidP="00A4081B">
            <w:pPr>
              <w:jc w:val="both"/>
              <w:rPr>
                <w:sz w:val="22"/>
                <w:szCs w:val="22"/>
              </w:rPr>
            </w:pPr>
            <w:r>
              <w:rPr>
                <w:b/>
                <w:bCs/>
                <w:sz w:val="22"/>
                <w:szCs w:val="22"/>
              </w:rPr>
              <w:t>IV</w:t>
            </w:r>
          </w:p>
        </w:tc>
        <w:tc>
          <w:tcPr>
            <w:tcW w:w="992" w:type="dxa"/>
            <w:tcBorders>
              <w:top w:val="single" w:sz="12" w:space="0" w:color="auto"/>
              <w:left w:val="single" w:sz="12" w:space="0" w:color="auto"/>
              <w:bottom w:val="single" w:sz="12" w:space="0" w:color="auto"/>
              <w:right w:val="single" w:sz="12" w:space="0" w:color="auto"/>
            </w:tcBorders>
            <w:hideMark/>
          </w:tcPr>
          <w:p w14:paraId="0E0371CB" w14:textId="77777777" w:rsidR="00181E29" w:rsidRPr="00A4081B" w:rsidRDefault="00181E29" w:rsidP="00A4081B">
            <w:pPr>
              <w:jc w:val="both"/>
              <w:rPr>
                <w:sz w:val="22"/>
                <w:szCs w:val="22"/>
              </w:rPr>
            </w:pPr>
            <w:r>
              <w:rPr>
                <w:sz w:val="22"/>
                <w:szCs w:val="22"/>
              </w:rPr>
              <w:t>1</w:t>
            </w:r>
          </w:p>
        </w:tc>
      </w:tr>
      <w:tr w:rsidR="00181E29" w:rsidRPr="00A4081B" w14:paraId="3BA8D998"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19EC027E" w14:textId="77777777" w:rsidR="00181E29" w:rsidRPr="00A4081B" w:rsidRDefault="00181E29" w:rsidP="00A4081B">
            <w:pPr>
              <w:jc w:val="both"/>
              <w:rPr>
                <w:sz w:val="22"/>
                <w:szCs w:val="22"/>
              </w:rPr>
            </w:pPr>
            <w:r>
              <w:rPr>
                <w:b/>
                <w:bCs/>
                <w:sz w:val="22"/>
                <w:szCs w:val="22"/>
              </w:rPr>
              <w:t>HR status</w:t>
            </w:r>
          </w:p>
        </w:tc>
        <w:tc>
          <w:tcPr>
            <w:tcW w:w="992" w:type="dxa"/>
            <w:tcBorders>
              <w:top w:val="single" w:sz="12" w:space="0" w:color="auto"/>
              <w:left w:val="single" w:sz="12" w:space="0" w:color="auto"/>
              <w:bottom w:val="single" w:sz="12" w:space="0" w:color="auto"/>
              <w:right w:val="single" w:sz="12" w:space="0" w:color="auto"/>
            </w:tcBorders>
          </w:tcPr>
          <w:p w14:paraId="0E28509A" w14:textId="77777777" w:rsidR="00181E29" w:rsidRPr="00A4081B" w:rsidRDefault="00181E29" w:rsidP="00A4081B">
            <w:pPr>
              <w:jc w:val="both"/>
              <w:rPr>
                <w:sz w:val="22"/>
                <w:szCs w:val="22"/>
                <w:lang w:val="es-ES_tradnl"/>
              </w:rPr>
            </w:pPr>
          </w:p>
        </w:tc>
      </w:tr>
      <w:tr w:rsidR="00181E29" w:rsidRPr="00A4081B" w14:paraId="666EE696"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7B07828" w14:textId="77777777" w:rsidR="00181E29" w:rsidRPr="00A4081B" w:rsidRDefault="00181E29" w:rsidP="00A4081B">
            <w:pPr>
              <w:jc w:val="both"/>
              <w:rPr>
                <w:sz w:val="22"/>
                <w:szCs w:val="22"/>
              </w:rPr>
            </w:pPr>
            <w:r>
              <w:rPr>
                <w:b/>
                <w:bCs/>
                <w:sz w:val="22"/>
                <w:szCs w:val="22"/>
              </w:rPr>
              <w:t>ER+ and/or PR+</w:t>
            </w:r>
          </w:p>
        </w:tc>
        <w:tc>
          <w:tcPr>
            <w:tcW w:w="992" w:type="dxa"/>
            <w:tcBorders>
              <w:top w:val="single" w:sz="12" w:space="0" w:color="auto"/>
              <w:left w:val="single" w:sz="12" w:space="0" w:color="auto"/>
              <w:bottom w:val="single" w:sz="12" w:space="0" w:color="auto"/>
              <w:right w:val="single" w:sz="12" w:space="0" w:color="auto"/>
            </w:tcBorders>
            <w:hideMark/>
          </w:tcPr>
          <w:p w14:paraId="27FE6B80" w14:textId="77777777" w:rsidR="00181E29" w:rsidRPr="00A4081B" w:rsidRDefault="00181E29" w:rsidP="00A4081B">
            <w:pPr>
              <w:jc w:val="both"/>
              <w:rPr>
                <w:sz w:val="22"/>
                <w:szCs w:val="22"/>
              </w:rPr>
            </w:pPr>
            <w:r>
              <w:rPr>
                <w:sz w:val="22"/>
                <w:szCs w:val="22"/>
              </w:rPr>
              <w:t>20</w:t>
            </w:r>
          </w:p>
        </w:tc>
      </w:tr>
      <w:tr w:rsidR="00181E29" w:rsidRPr="00A4081B" w14:paraId="1ACD9646"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47910792" w14:textId="77777777" w:rsidR="00181E29" w:rsidRPr="00A4081B" w:rsidRDefault="00181E29" w:rsidP="00A4081B">
            <w:pPr>
              <w:jc w:val="both"/>
              <w:rPr>
                <w:sz w:val="22"/>
                <w:szCs w:val="22"/>
              </w:rPr>
            </w:pPr>
            <w:r>
              <w:rPr>
                <w:b/>
                <w:bCs/>
                <w:sz w:val="22"/>
                <w:szCs w:val="22"/>
              </w:rPr>
              <w:t>ER- and PR-</w:t>
            </w:r>
          </w:p>
        </w:tc>
        <w:tc>
          <w:tcPr>
            <w:tcW w:w="992" w:type="dxa"/>
            <w:tcBorders>
              <w:top w:val="single" w:sz="12" w:space="0" w:color="auto"/>
              <w:left w:val="single" w:sz="12" w:space="0" w:color="auto"/>
              <w:bottom w:val="single" w:sz="12" w:space="0" w:color="auto"/>
              <w:right w:val="single" w:sz="12" w:space="0" w:color="auto"/>
            </w:tcBorders>
            <w:hideMark/>
          </w:tcPr>
          <w:p w14:paraId="21DC4847" w14:textId="77777777" w:rsidR="00181E29" w:rsidRPr="00A4081B" w:rsidRDefault="00181E29" w:rsidP="00A4081B">
            <w:pPr>
              <w:jc w:val="both"/>
              <w:rPr>
                <w:sz w:val="22"/>
                <w:szCs w:val="22"/>
              </w:rPr>
            </w:pPr>
            <w:r>
              <w:rPr>
                <w:sz w:val="22"/>
                <w:szCs w:val="22"/>
              </w:rPr>
              <w:t>2</w:t>
            </w:r>
          </w:p>
        </w:tc>
      </w:tr>
      <w:tr w:rsidR="00181E29" w:rsidRPr="00A4081B" w14:paraId="7E01CE32"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5C0AC409" w14:textId="77777777" w:rsidR="00181E29" w:rsidRPr="00A4081B" w:rsidRDefault="00181E29" w:rsidP="00A4081B">
            <w:pPr>
              <w:jc w:val="both"/>
              <w:rPr>
                <w:sz w:val="22"/>
                <w:szCs w:val="22"/>
              </w:rPr>
            </w:pPr>
            <w:proofErr w:type="spellStart"/>
            <w:r>
              <w:rPr>
                <w:b/>
                <w:bCs/>
                <w:sz w:val="22"/>
                <w:szCs w:val="22"/>
              </w:rPr>
              <w:t>HER2</w:t>
            </w:r>
            <w:proofErr w:type="spellEnd"/>
            <w:r>
              <w:rPr>
                <w:b/>
                <w:bCs/>
                <w:sz w:val="22"/>
                <w:szCs w:val="22"/>
              </w:rPr>
              <w:t xml:space="preserve"> status</w:t>
            </w:r>
          </w:p>
        </w:tc>
        <w:tc>
          <w:tcPr>
            <w:tcW w:w="992" w:type="dxa"/>
            <w:tcBorders>
              <w:top w:val="single" w:sz="12" w:space="0" w:color="auto"/>
              <w:left w:val="single" w:sz="12" w:space="0" w:color="auto"/>
              <w:bottom w:val="single" w:sz="12" w:space="0" w:color="auto"/>
              <w:right w:val="single" w:sz="12" w:space="0" w:color="auto"/>
            </w:tcBorders>
          </w:tcPr>
          <w:p w14:paraId="240F677C" w14:textId="77777777" w:rsidR="00181E29" w:rsidRPr="00A4081B" w:rsidRDefault="00181E29" w:rsidP="00A4081B">
            <w:pPr>
              <w:jc w:val="both"/>
              <w:rPr>
                <w:sz w:val="22"/>
                <w:szCs w:val="22"/>
                <w:lang w:val="es-ES_tradnl"/>
              </w:rPr>
            </w:pPr>
          </w:p>
        </w:tc>
      </w:tr>
      <w:tr w:rsidR="00181E29" w:rsidRPr="00A4081B" w14:paraId="760DB524"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26503F50" w14:textId="77777777" w:rsidR="00181E29" w:rsidRPr="00A4081B" w:rsidRDefault="00181E29" w:rsidP="00A4081B">
            <w:pPr>
              <w:jc w:val="both"/>
              <w:rPr>
                <w:sz w:val="22"/>
                <w:szCs w:val="22"/>
              </w:rPr>
            </w:pPr>
            <w:proofErr w:type="spellStart"/>
            <w:r>
              <w:rPr>
                <w:b/>
                <w:bCs/>
                <w:sz w:val="22"/>
                <w:szCs w:val="22"/>
              </w:rPr>
              <w:t>HER2</w:t>
            </w:r>
            <w:proofErr w:type="spellEnd"/>
            <w:r>
              <w:rPr>
                <w:b/>
                <w:bCs/>
                <w:sz w:val="22"/>
                <w:szCs w:val="22"/>
              </w:rPr>
              <w:t xml:space="preserve">+ (3+/2+ FISH+) </w:t>
            </w:r>
          </w:p>
        </w:tc>
        <w:tc>
          <w:tcPr>
            <w:tcW w:w="992" w:type="dxa"/>
            <w:tcBorders>
              <w:top w:val="single" w:sz="12" w:space="0" w:color="auto"/>
              <w:left w:val="single" w:sz="12" w:space="0" w:color="auto"/>
              <w:bottom w:val="single" w:sz="12" w:space="0" w:color="auto"/>
              <w:right w:val="single" w:sz="12" w:space="0" w:color="auto"/>
            </w:tcBorders>
            <w:hideMark/>
          </w:tcPr>
          <w:p w14:paraId="6F99B04F" w14:textId="77777777" w:rsidR="00181E29" w:rsidRPr="00A4081B" w:rsidRDefault="00181E29" w:rsidP="00A4081B">
            <w:pPr>
              <w:jc w:val="both"/>
              <w:rPr>
                <w:sz w:val="22"/>
                <w:szCs w:val="22"/>
              </w:rPr>
            </w:pPr>
            <w:r>
              <w:rPr>
                <w:sz w:val="22"/>
                <w:szCs w:val="22"/>
              </w:rPr>
              <w:t>5</w:t>
            </w:r>
          </w:p>
        </w:tc>
      </w:tr>
      <w:tr w:rsidR="00181E29" w:rsidRPr="00A4081B" w14:paraId="7B2509B4" w14:textId="77777777" w:rsidTr="00181E29">
        <w:tc>
          <w:tcPr>
            <w:tcW w:w="2802" w:type="dxa"/>
            <w:tcBorders>
              <w:top w:val="single" w:sz="12" w:space="0" w:color="auto"/>
              <w:left w:val="single" w:sz="12" w:space="0" w:color="auto"/>
              <w:bottom w:val="single" w:sz="12" w:space="0" w:color="auto"/>
              <w:right w:val="single" w:sz="12" w:space="0" w:color="auto"/>
            </w:tcBorders>
            <w:hideMark/>
          </w:tcPr>
          <w:p w14:paraId="06EB1C65" w14:textId="77777777" w:rsidR="00181E29" w:rsidRPr="00A4081B" w:rsidRDefault="00181E29" w:rsidP="00A4081B">
            <w:pPr>
              <w:jc w:val="both"/>
              <w:rPr>
                <w:sz w:val="22"/>
                <w:szCs w:val="22"/>
              </w:rPr>
            </w:pPr>
            <w:proofErr w:type="spellStart"/>
            <w:r>
              <w:rPr>
                <w:b/>
                <w:bCs/>
                <w:sz w:val="22"/>
                <w:szCs w:val="22"/>
              </w:rPr>
              <w:t>HER2</w:t>
            </w:r>
            <w:proofErr w:type="spellEnd"/>
            <w:r>
              <w:rPr>
                <w:b/>
                <w:bCs/>
                <w:sz w:val="22"/>
                <w:szCs w:val="22"/>
              </w:rPr>
              <w:t>- (1+/2+ FISH-)</w:t>
            </w:r>
          </w:p>
        </w:tc>
        <w:tc>
          <w:tcPr>
            <w:tcW w:w="992" w:type="dxa"/>
            <w:tcBorders>
              <w:top w:val="single" w:sz="12" w:space="0" w:color="auto"/>
              <w:left w:val="single" w:sz="12" w:space="0" w:color="auto"/>
              <w:bottom w:val="single" w:sz="12" w:space="0" w:color="auto"/>
              <w:right w:val="single" w:sz="12" w:space="0" w:color="auto"/>
            </w:tcBorders>
            <w:hideMark/>
          </w:tcPr>
          <w:p w14:paraId="04ACFAFA" w14:textId="737646C0" w:rsidR="00181E29" w:rsidRPr="00A4081B" w:rsidRDefault="00181E29" w:rsidP="00A4081B">
            <w:pPr>
              <w:jc w:val="both"/>
              <w:rPr>
                <w:sz w:val="22"/>
                <w:szCs w:val="22"/>
              </w:rPr>
            </w:pPr>
            <w:r>
              <w:rPr>
                <w:sz w:val="22"/>
                <w:szCs w:val="22"/>
              </w:rPr>
              <w:t>17</w:t>
            </w:r>
          </w:p>
        </w:tc>
      </w:tr>
      <w:bookmarkEnd w:id="5"/>
    </w:tbl>
    <w:p w14:paraId="6B45DDAF" w14:textId="77777777" w:rsidR="00181E29" w:rsidRPr="00A4081B" w:rsidRDefault="00181E29" w:rsidP="00A4081B">
      <w:pPr>
        <w:jc w:val="both"/>
        <w:rPr>
          <w:sz w:val="22"/>
          <w:szCs w:val="22"/>
          <w:lang w:val="es-ES_tradnl" w:eastAsia="ar-SA"/>
        </w:rPr>
      </w:pPr>
    </w:p>
    <w:p w14:paraId="72566FE4" w14:textId="77777777" w:rsidR="00181E29" w:rsidRPr="00A4081B" w:rsidRDefault="00181E29" w:rsidP="00A4081B">
      <w:pPr>
        <w:jc w:val="both"/>
        <w:rPr>
          <w:sz w:val="22"/>
          <w:szCs w:val="22"/>
          <w:lang w:val="es-ES_tradnl"/>
        </w:rPr>
      </w:pPr>
    </w:p>
    <w:p w14:paraId="790F7EA0" w14:textId="77777777" w:rsidR="00181E29" w:rsidRPr="00A4081B" w:rsidRDefault="00181E29" w:rsidP="00A4081B">
      <w:pPr>
        <w:jc w:val="both"/>
        <w:rPr>
          <w:sz w:val="22"/>
          <w:szCs w:val="22"/>
          <w:lang w:val="es-ES_tradnl"/>
        </w:rPr>
      </w:pPr>
    </w:p>
    <w:p w14:paraId="6279C99E" w14:textId="77777777" w:rsidR="00181E29" w:rsidRPr="00A4081B" w:rsidRDefault="00181E29" w:rsidP="00A4081B">
      <w:pPr>
        <w:jc w:val="both"/>
        <w:rPr>
          <w:noProof/>
          <w:sz w:val="22"/>
          <w:szCs w:val="22"/>
          <w:lang w:val="es-ES_tradnl"/>
        </w:rPr>
      </w:pPr>
    </w:p>
    <w:p w14:paraId="75389839" w14:textId="77777777" w:rsidR="00181E29" w:rsidRPr="00A4081B" w:rsidRDefault="00181E29" w:rsidP="00A4081B">
      <w:pPr>
        <w:jc w:val="both"/>
        <w:rPr>
          <w:noProof/>
          <w:sz w:val="22"/>
          <w:szCs w:val="22"/>
          <w:lang w:val="es-ES_tradnl"/>
        </w:rPr>
      </w:pPr>
    </w:p>
    <w:p w14:paraId="1734BD25" w14:textId="77777777" w:rsidR="00181E29" w:rsidRPr="00A4081B" w:rsidRDefault="00181E29" w:rsidP="00A4081B">
      <w:pPr>
        <w:jc w:val="both"/>
        <w:rPr>
          <w:noProof/>
          <w:sz w:val="22"/>
          <w:szCs w:val="22"/>
          <w:lang w:val="es-ES_tradnl"/>
        </w:rPr>
      </w:pPr>
    </w:p>
    <w:p w14:paraId="5D48E06C" w14:textId="77777777" w:rsidR="00181E29" w:rsidRPr="00A4081B" w:rsidRDefault="00181E29" w:rsidP="00A4081B">
      <w:pPr>
        <w:jc w:val="both"/>
        <w:rPr>
          <w:noProof/>
          <w:sz w:val="22"/>
          <w:szCs w:val="22"/>
          <w:lang w:val="es-ES_tradnl"/>
        </w:rPr>
      </w:pPr>
    </w:p>
    <w:p w14:paraId="301C6BFD" w14:textId="77777777" w:rsidR="00383002" w:rsidRDefault="00383002" w:rsidP="00A4081B">
      <w:pPr>
        <w:jc w:val="both"/>
        <w:rPr>
          <w:noProof/>
          <w:sz w:val="22"/>
          <w:szCs w:val="22"/>
        </w:rPr>
      </w:pPr>
    </w:p>
    <w:p w14:paraId="1C14EED6" w14:textId="77777777" w:rsidR="00383002" w:rsidRDefault="00383002">
      <w:pPr>
        <w:rPr>
          <w:noProof/>
          <w:sz w:val="22"/>
          <w:szCs w:val="22"/>
        </w:rPr>
      </w:pPr>
      <w:r>
        <w:rPr>
          <w:noProof/>
          <w:sz w:val="22"/>
          <w:szCs w:val="22"/>
        </w:rPr>
        <w:br w:type="page"/>
      </w:r>
    </w:p>
    <w:p w14:paraId="368FAD68" w14:textId="77777777" w:rsidR="00383002" w:rsidRDefault="00383002" w:rsidP="00A4081B">
      <w:pPr>
        <w:jc w:val="both"/>
        <w:rPr>
          <w:noProof/>
          <w:sz w:val="22"/>
          <w:szCs w:val="22"/>
        </w:rPr>
      </w:pPr>
    </w:p>
    <w:p w14:paraId="284FDAE3" w14:textId="0884C30A" w:rsidR="00383002" w:rsidRDefault="00383002">
      <w:pPr>
        <w:rPr>
          <w:noProof/>
          <w:sz w:val="22"/>
          <w:szCs w:val="22"/>
        </w:rPr>
      </w:pPr>
    </w:p>
    <w:p w14:paraId="4FD680FA" w14:textId="40FC40D4" w:rsidR="00181E29" w:rsidRPr="00A4081B" w:rsidRDefault="0042398B" w:rsidP="00A4081B">
      <w:pPr>
        <w:jc w:val="both"/>
        <w:rPr>
          <w:noProof/>
          <w:sz w:val="22"/>
          <w:szCs w:val="22"/>
        </w:rPr>
      </w:pPr>
      <w:r>
        <w:rPr>
          <w:noProof/>
        </w:rPr>
        <w:drawing>
          <wp:inline distT="0" distB="0" distL="0" distR="0" wp14:anchorId="7EA0974E" wp14:editId="71D975BB">
            <wp:extent cx="4572000" cy="2743200"/>
            <wp:effectExtent l="0" t="0" r="0" b="0"/>
            <wp:docPr id="1" name="Gráfico 1">
              <a:extLst xmlns:a="http://schemas.openxmlformats.org/drawingml/2006/main">
                <a:ext uri="{FF2B5EF4-FFF2-40B4-BE49-F238E27FC236}">
                  <a16:creationId xmlns:a16="http://schemas.microsoft.com/office/drawing/2014/main" id="{418C4FFB-2BB5-A541-865F-D8CB6166F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1EC651" w14:textId="480E99D7" w:rsidR="00181E29" w:rsidRPr="00ED6975" w:rsidRDefault="00ED6975" w:rsidP="00A4081B">
      <w:pPr>
        <w:jc w:val="both"/>
        <w:rPr>
          <w:noProof/>
          <w:sz w:val="20"/>
          <w:szCs w:val="20"/>
          <w:lang w:val="es-ES_tradnl"/>
        </w:rPr>
      </w:pPr>
      <w:r>
        <w:rPr>
          <w:noProof/>
          <w:sz w:val="22"/>
          <w:szCs w:val="22"/>
          <w:lang w:val="es-ES_tradnl"/>
        </w:rPr>
        <w:tab/>
      </w:r>
      <w:r>
        <w:rPr>
          <w:noProof/>
          <w:sz w:val="22"/>
          <w:szCs w:val="22"/>
          <w:lang w:val="es-ES_tradnl"/>
        </w:rPr>
        <w:tab/>
      </w:r>
      <w:r>
        <w:rPr>
          <w:noProof/>
          <w:sz w:val="22"/>
          <w:szCs w:val="22"/>
          <w:lang w:val="es-ES_tradnl"/>
        </w:rPr>
        <w:tab/>
      </w:r>
      <w:commentRangeStart w:id="6"/>
      <w:r w:rsidRPr="00ED6975">
        <w:rPr>
          <w:noProof/>
          <w:sz w:val="20"/>
          <w:szCs w:val="20"/>
          <w:lang w:val="es-ES_tradnl"/>
        </w:rPr>
        <w:t>HER2- ER/PR+  HER2+  Triple negative</w:t>
      </w:r>
      <w:commentRangeEnd w:id="6"/>
      <w:r w:rsidR="00AF7813">
        <w:rPr>
          <w:rStyle w:val="CommentReference"/>
        </w:rPr>
        <w:commentReference w:id="6"/>
      </w:r>
    </w:p>
    <w:p w14:paraId="7EAB06E9" w14:textId="77777777" w:rsidR="00181E29" w:rsidRPr="00A4081B" w:rsidRDefault="00181E29" w:rsidP="00A4081B">
      <w:pPr>
        <w:jc w:val="both"/>
        <w:rPr>
          <w:sz w:val="22"/>
          <w:szCs w:val="22"/>
          <w:lang w:val="es-ES_tradnl"/>
        </w:rPr>
      </w:pPr>
    </w:p>
    <w:p w14:paraId="023511A8" w14:textId="37745DD0" w:rsidR="00181E29" w:rsidRPr="00A4081B" w:rsidRDefault="00181E29" w:rsidP="00A4081B">
      <w:pPr>
        <w:jc w:val="both"/>
        <w:rPr>
          <w:sz w:val="22"/>
          <w:szCs w:val="22"/>
        </w:rPr>
      </w:pPr>
      <w:r w:rsidRPr="00383002">
        <w:rPr>
          <w:b/>
          <w:bCs/>
          <w:sz w:val="22"/>
          <w:szCs w:val="22"/>
        </w:rPr>
        <w:t>Figure 1</w:t>
      </w:r>
      <w:r>
        <w:rPr>
          <w:sz w:val="22"/>
          <w:szCs w:val="22"/>
        </w:rPr>
        <w:t>: Biological subtypes.</w:t>
      </w:r>
    </w:p>
    <w:p w14:paraId="15197125" w14:textId="77777777" w:rsidR="009A179E" w:rsidRPr="00A4081B" w:rsidRDefault="009A179E"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kern w:val="1"/>
          <w:sz w:val="22"/>
          <w:szCs w:val="22"/>
          <w:lang w:val="es-ES_tradnl" w:eastAsia="en-US"/>
        </w:rPr>
      </w:pPr>
    </w:p>
    <w:p w14:paraId="0C166240" w14:textId="77777777" w:rsidR="00333E39" w:rsidRPr="00A4081B" w:rsidRDefault="00333E39"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lang w:val="es-ES_tradnl" w:eastAsia="en-US"/>
        </w:rPr>
      </w:pPr>
    </w:p>
    <w:p w14:paraId="51C3E181" w14:textId="77777777" w:rsidR="00501577" w:rsidRPr="00A4081B" w:rsidRDefault="00501577"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lang w:val="es-ES_tradnl" w:eastAsia="en-US"/>
        </w:rPr>
      </w:pPr>
    </w:p>
    <w:p w14:paraId="62AEEACD" w14:textId="77777777" w:rsidR="00501577" w:rsidRPr="00A4081B" w:rsidRDefault="00501577"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kern w:val="1"/>
          <w:sz w:val="22"/>
          <w:szCs w:val="22"/>
          <w:lang w:val="es-ES_tradnl" w:eastAsia="en-US"/>
        </w:rPr>
      </w:pPr>
    </w:p>
    <w:p w14:paraId="6B72AB9D" w14:textId="77777777" w:rsidR="00361F20" w:rsidRPr="00A4081B" w:rsidRDefault="00361F20" w:rsidP="00A40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kern w:val="1"/>
          <w:sz w:val="22"/>
          <w:szCs w:val="22"/>
          <w:lang w:val="es-ES_tradnl" w:eastAsia="en-US"/>
        </w:rPr>
      </w:pPr>
    </w:p>
    <w:p w14:paraId="292E8A84" w14:textId="77777777" w:rsidR="00361F20" w:rsidRPr="00A4081B" w:rsidRDefault="00361F20" w:rsidP="00A4081B">
      <w:pPr>
        <w:rPr>
          <w:sz w:val="22"/>
          <w:szCs w:val="22"/>
          <w:lang w:val="es-ES_tradnl"/>
        </w:rPr>
      </w:pPr>
    </w:p>
    <w:sectPr w:rsidR="00361F20" w:rsidRPr="00A4081B" w:rsidSect="00F3647D">
      <w:headerReference w:type="default" r:id="rId14"/>
      <w:footerReference w:type="even" r:id="rId15"/>
      <w:footerReference w:type="default" r:id="rId16"/>
      <w:pgSz w:w="11900" w:h="16840"/>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isy Crowson" w:date="2020-09-25T14:49:00Z" w:initials="DC">
    <w:p w14:paraId="674DBDB8" w14:textId="339B01CB" w:rsidR="0041206C" w:rsidRDefault="0041206C">
      <w:pPr>
        <w:pStyle w:val="CommentText"/>
      </w:pPr>
      <w:r>
        <w:rPr>
          <w:rStyle w:val="CommentReference"/>
        </w:rPr>
        <w:annotationRef/>
      </w:r>
      <w:r w:rsidRPr="0041206C">
        <w:rPr>
          <w:rStyle w:val="CommentReference"/>
          <w:lang w:val="es-ES"/>
        </w:rPr>
        <w:annotationRef/>
      </w:r>
      <w:r>
        <w:rPr>
          <w:lang w:val="es-ES"/>
        </w:rPr>
        <w:t>Creo entender que “c</w:t>
      </w:r>
      <w:r w:rsidRPr="0041206C">
        <w:rPr>
          <w:lang w:val="es-ES"/>
        </w:rPr>
        <w:t>riterio radical” significa</w:t>
      </w:r>
      <w:r w:rsidR="00E57F2E">
        <w:rPr>
          <w:lang w:val="es-ES"/>
        </w:rPr>
        <w:t xml:space="preserve"> lo mismo que</w:t>
      </w:r>
      <w:r>
        <w:rPr>
          <w:lang w:val="es-ES"/>
        </w:rPr>
        <w:t xml:space="preserve"> “criterio curativo”. Si no es así, </w:t>
      </w:r>
      <w:r w:rsidR="00E57F2E">
        <w:rPr>
          <w:lang w:val="es-ES"/>
        </w:rPr>
        <w:t>¿qué significa “criterio radical”?</w:t>
      </w:r>
    </w:p>
  </w:comment>
  <w:comment w:id="1" w:author="Daisy Crowson" w:date="2020-09-25T14:41:00Z" w:initials="DC">
    <w:p w14:paraId="56189336" w14:textId="2FA55ACE" w:rsidR="00AF7813" w:rsidRPr="00AF7813" w:rsidRDefault="00AF7813">
      <w:pPr>
        <w:pStyle w:val="CommentText"/>
        <w:rPr>
          <w:lang w:val="es-ES"/>
        </w:rPr>
      </w:pPr>
      <w:r w:rsidRPr="00AF7813">
        <w:rPr>
          <w:rStyle w:val="CommentReference"/>
          <w:lang w:val="es-ES"/>
        </w:rPr>
        <w:annotationRef/>
      </w:r>
      <w:r>
        <w:rPr>
          <w:lang w:val="es-ES"/>
        </w:rPr>
        <w:t>El</w:t>
      </w:r>
      <w:r w:rsidRPr="00AF7813">
        <w:rPr>
          <w:lang w:val="es-ES"/>
        </w:rPr>
        <w:t xml:space="preserve"> original </w:t>
      </w:r>
      <w:r>
        <w:rPr>
          <w:lang w:val="es-ES"/>
        </w:rPr>
        <w:t>dice</w:t>
      </w:r>
      <w:r w:rsidRPr="00AF7813">
        <w:rPr>
          <w:lang w:val="es-ES"/>
        </w:rPr>
        <w:t xml:space="preserve"> “RO positivos”</w:t>
      </w:r>
      <w:r>
        <w:rPr>
          <w:lang w:val="es-ES"/>
        </w:rPr>
        <w:t>, pero he supuesto que es un error y debería ser “</w:t>
      </w:r>
      <w:proofErr w:type="spellStart"/>
      <w:r>
        <w:rPr>
          <w:lang w:val="es-ES"/>
        </w:rPr>
        <w:t>RP</w:t>
      </w:r>
      <w:proofErr w:type="spellEnd"/>
      <w:r>
        <w:rPr>
          <w:lang w:val="es-ES"/>
        </w:rPr>
        <w:t xml:space="preserve"> positivos” (r</w:t>
      </w:r>
      <w:r w:rsidRPr="00AF7813">
        <w:rPr>
          <w:lang w:val="es-ES"/>
        </w:rPr>
        <w:t>eceptor de progesterona positivo</w:t>
      </w:r>
      <w:r w:rsidR="0041206C">
        <w:rPr>
          <w:lang w:val="es-ES"/>
        </w:rPr>
        <w:t>) (“PR-positive” en inglés)</w:t>
      </w:r>
    </w:p>
  </w:comment>
  <w:comment w:id="2" w:author="Daisy Crowson" w:date="2020-09-25T14:31:00Z" w:initials="DC">
    <w:p w14:paraId="7B7C494E" w14:textId="06D1DD8F" w:rsidR="007B0D26" w:rsidRPr="007B0D26" w:rsidRDefault="007B0D26">
      <w:pPr>
        <w:pStyle w:val="CommentText"/>
        <w:rPr>
          <w:lang w:val="es-ES"/>
        </w:rPr>
      </w:pPr>
      <w:r w:rsidRPr="007B0D26">
        <w:rPr>
          <w:rStyle w:val="CommentReference"/>
          <w:lang w:val="es-ES"/>
        </w:rPr>
        <w:annotationRef/>
      </w:r>
      <w:r w:rsidRPr="007B0D26">
        <w:rPr>
          <w:lang w:val="es-ES"/>
        </w:rPr>
        <w:t>No conozco la palabra “mamel</w:t>
      </w:r>
      <w:r>
        <w:rPr>
          <w:lang w:val="es-ES"/>
        </w:rPr>
        <w:t>ó</w:t>
      </w:r>
      <w:r w:rsidRPr="007B0D26">
        <w:rPr>
          <w:lang w:val="es-ES"/>
        </w:rPr>
        <w:t xml:space="preserve">n” en </w:t>
      </w:r>
      <w:r>
        <w:rPr>
          <w:lang w:val="es-ES"/>
        </w:rPr>
        <w:t xml:space="preserve">este contexto. </w:t>
      </w:r>
      <w:r w:rsidR="005B2172">
        <w:rPr>
          <w:lang w:val="es-ES"/>
        </w:rPr>
        <w:t>¿Se refiere al pezón?</w:t>
      </w:r>
    </w:p>
  </w:comment>
  <w:comment w:id="3" w:author="Daisy Crowson" w:date="2020-09-25T14:36:00Z" w:initials="DC">
    <w:p w14:paraId="0672B12A" w14:textId="4553CD22" w:rsidR="00AF7813" w:rsidRPr="00AF7813" w:rsidRDefault="00AF7813">
      <w:pPr>
        <w:pStyle w:val="CommentText"/>
        <w:rPr>
          <w:lang w:val="es-ES"/>
        </w:rPr>
      </w:pPr>
      <w:r w:rsidRPr="00AF7813">
        <w:rPr>
          <w:rStyle w:val="CommentReference"/>
          <w:lang w:val="es-ES"/>
        </w:rPr>
        <w:annotationRef/>
      </w:r>
      <w:r w:rsidRPr="00AF7813">
        <w:rPr>
          <w:lang w:val="es-ES"/>
        </w:rPr>
        <w:t xml:space="preserve">Solo hay una figura, </w:t>
      </w:r>
      <w:r>
        <w:rPr>
          <w:lang w:val="es-ES"/>
        </w:rPr>
        <w:t>por lo que he cambiado “figura 2” y he puesto “figura 1”</w:t>
      </w:r>
    </w:p>
  </w:comment>
  <w:comment w:id="4" w:author="Daisy Crowson" w:date="2020-09-25T14:46:00Z" w:initials="DC">
    <w:p w14:paraId="75996CC5" w14:textId="3E03D1F9" w:rsidR="0041206C" w:rsidRPr="0041206C" w:rsidRDefault="0041206C">
      <w:pPr>
        <w:pStyle w:val="CommentText"/>
        <w:rPr>
          <w:lang w:val="es-ES"/>
        </w:rPr>
      </w:pPr>
      <w:r w:rsidRPr="0041206C">
        <w:rPr>
          <w:rStyle w:val="CommentReference"/>
          <w:lang w:val="es-ES"/>
        </w:rPr>
        <w:annotationRef/>
      </w:r>
      <w:r w:rsidR="00BC1DA2">
        <w:rPr>
          <w:rStyle w:val="CommentReference"/>
        </w:rPr>
        <w:annotationRef/>
      </w:r>
      <w:r w:rsidR="00BC1DA2" w:rsidRPr="0041206C">
        <w:rPr>
          <w:rStyle w:val="CommentReference"/>
          <w:lang w:val="es-ES"/>
        </w:rPr>
        <w:annotationRef/>
      </w:r>
      <w:r w:rsidR="00BC1DA2">
        <w:rPr>
          <w:lang w:val="es-ES"/>
        </w:rPr>
        <w:t>Creo entender que “c</w:t>
      </w:r>
      <w:r w:rsidR="00BC1DA2" w:rsidRPr="0041206C">
        <w:rPr>
          <w:lang w:val="es-ES"/>
        </w:rPr>
        <w:t>riterio radical” significa</w:t>
      </w:r>
      <w:r w:rsidR="00BC1DA2">
        <w:rPr>
          <w:lang w:val="es-ES"/>
        </w:rPr>
        <w:t xml:space="preserve"> lo mismo que “criterio curativo”. Si no es así, ¿qué significa “criterio radical”?</w:t>
      </w:r>
    </w:p>
  </w:comment>
  <w:comment w:id="6" w:author="Daisy Crowson" w:date="2020-09-25T14:37:00Z" w:initials="DC">
    <w:p w14:paraId="3AF15EC1" w14:textId="04F7873D" w:rsidR="00AF7813" w:rsidRPr="00AF7813" w:rsidRDefault="00AF7813">
      <w:pPr>
        <w:pStyle w:val="CommentText"/>
        <w:rPr>
          <w:lang w:val="es-ES"/>
        </w:rPr>
      </w:pPr>
      <w:r w:rsidRPr="00AF7813">
        <w:rPr>
          <w:rStyle w:val="CommentReference"/>
          <w:lang w:val="es-ES"/>
        </w:rPr>
        <w:annotationRef/>
      </w:r>
      <w:r w:rsidRPr="00AF7813">
        <w:rPr>
          <w:lang w:val="es-ES"/>
        </w:rPr>
        <w:t xml:space="preserve">No puedo </w:t>
      </w:r>
      <w:r>
        <w:rPr>
          <w:lang w:val="es-ES"/>
        </w:rPr>
        <w:t>cambiar la leyenda de la figura, por lo que la he traducido aquí.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4DBDB8" w15:done="0"/>
  <w15:commentEx w15:paraId="56189336" w15:done="0"/>
  <w15:commentEx w15:paraId="7B7C494E" w15:done="0"/>
  <w15:commentEx w15:paraId="0672B12A" w15:done="0"/>
  <w15:commentEx w15:paraId="75996CC5" w15:done="0"/>
  <w15:commentEx w15:paraId="3AF15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820B" w16cex:dateUtc="2020-09-25T13:49:00Z"/>
  <w16cex:commentExtensible w16cex:durableId="23188019" w16cex:dateUtc="2020-09-25T13:41:00Z"/>
  <w16cex:commentExtensible w16cex:durableId="23187DCA" w16cex:dateUtc="2020-09-25T13:31:00Z"/>
  <w16cex:commentExtensible w16cex:durableId="23187EE2" w16cex:dateUtc="2020-09-25T13:36:00Z"/>
  <w16cex:commentExtensible w16cex:durableId="2318813E" w16cex:dateUtc="2020-09-25T13:46:00Z"/>
  <w16cex:commentExtensible w16cex:durableId="23187F3B" w16cex:dateUtc="2020-09-25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4DBDB8" w16cid:durableId="2318820B"/>
  <w16cid:commentId w16cid:paraId="56189336" w16cid:durableId="23188019"/>
  <w16cid:commentId w16cid:paraId="7B7C494E" w16cid:durableId="23187DCA"/>
  <w16cid:commentId w16cid:paraId="0672B12A" w16cid:durableId="23187EE2"/>
  <w16cid:commentId w16cid:paraId="75996CC5" w16cid:durableId="2318813E"/>
  <w16cid:commentId w16cid:paraId="3AF15EC1" w16cid:durableId="23187F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136E6" w14:textId="77777777" w:rsidR="00DA1FCA" w:rsidRDefault="00DA1FCA" w:rsidP="0079699F">
      <w:r>
        <w:separator/>
      </w:r>
    </w:p>
  </w:endnote>
  <w:endnote w:type="continuationSeparator" w:id="0">
    <w:p w14:paraId="2B645EDA" w14:textId="77777777" w:rsidR="00DA1FCA" w:rsidRDefault="00DA1FCA" w:rsidP="0079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666ED" w14:textId="77777777" w:rsidR="006B31D3" w:rsidRDefault="006B31D3" w:rsidP="006B31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784F7" w14:textId="77777777" w:rsidR="006B31D3" w:rsidRDefault="006B31D3" w:rsidP="007969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A3CB" w14:textId="77777777" w:rsidR="006B31D3" w:rsidRDefault="006B31D3" w:rsidP="006B31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6302">
      <w:rPr>
        <w:rStyle w:val="PageNumber"/>
      </w:rPr>
      <w:t>1</w:t>
    </w:r>
    <w:r>
      <w:rPr>
        <w:rStyle w:val="PageNumber"/>
      </w:rPr>
      <w:fldChar w:fldCharType="end"/>
    </w:r>
  </w:p>
  <w:p w14:paraId="1A567B17" w14:textId="77777777" w:rsidR="006B31D3" w:rsidRDefault="006B31D3" w:rsidP="007969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936B9" w14:textId="77777777" w:rsidR="00DA1FCA" w:rsidRDefault="00DA1FCA" w:rsidP="0079699F">
      <w:r>
        <w:separator/>
      </w:r>
    </w:p>
  </w:footnote>
  <w:footnote w:type="continuationSeparator" w:id="0">
    <w:p w14:paraId="724A915E" w14:textId="77777777" w:rsidR="00DA1FCA" w:rsidRDefault="00DA1FCA" w:rsidP="0079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372D3" w14:textId="23B44F06" w:rsidR="00F3647D" w:rsidRPr="00F3647D" w:rsidRDefault="00F3647D" w:rsidP="00F3647D">
    <w:pPr>
      <w:pStyle w:val="Header"/>
      <w:jc w:val="right"/>
      <w:rPr>
        <w:sz w:val="16"/>
        <w:szCs w:val="16"/>
        <w:lang w:val="en-US"/>
      </w:rPr>
    </w:pPr>
    <w:r>
      <w:rPr>
        <w:sz w:val="16"/>
        <w:szCs w:val="16"/>
        <w:lang w:val="en-US"/>
      </w:rPr>
      <w:t>MANAGEMENT</w:t>
    </w:r>
    <w:r w:rsidRPr="00F3647D">
      <w:rPr>
        <w:sz w:val="16"/>
        <w:szCs w:val="16"/>
        <w:lang w:val="en-US"/>
      </w:rPr>
      <w:t xml:space="preserve"> OF MALE BREAST CANCER IN URUGUAY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D6828A6"/>
    <w:lvl w:ilvl="0" w:tplc="AE9E6920">
      <w:start w:val="1"/>
      <w:numFmt w:val="decimal"/>
      <w:lvlText w:val="%1)"/>
      <w:lvlJc w:val="left"/>
      <w:pPr>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A2D3B"/>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82E18BD"/>
    <w:multiLevelType w:val="hybridMultilevel"/>
    <w:tmpl w:val="1BEA662A"/>
    <w:lvl w:ilvl="0" w:tplc="0C0A000F">
      <w:start w:val="1"/>
      <w:numFmt w:val="decimal"/>
      <w:lvlText w:val="%1."/>
      <w:lvlJc w:val="left"/>
      <w:pPr>
        <w:ind w:left="9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365EB7"/>
    <w:multiLevelType w:val="hybridMultilevel"/>
    <w:tmpl w:val="E3E8F8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isy Crowson">
    <w15:presenceInfo w15:providerId="Windows Live" w15:userId="0ad1f16efb0d9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CC"/>
    <w:rsid w:val="00015CDF"/>
    <w:rsid w:val="00020CD6"/>
    <w:rsid w:val="000360DE"/>
    <w:rsid w:val="00041395"/>
    <w:rsid w:val="00051FE9"/>
    <w:rsid w:val="00056649"/>
    <w:rsid w:val="00057F0B"/>
    <w:rsid w:val="00085C8C"/>
    <w:rsid w:val="0008714D"/>
    <w:rsid w:val="00093F91"/>
    <w:rsid w:val="000B20C9"/>
    <w:rsid w:val="000C203A"/>
    <w:rsid w:val="000D1413"/>
    <w:rsid w:val="000D6462"/>
    <w:rsid w:val="000D68B6"/>
    <w:rsid w:val="000E1161"/>
    <w:rsid w:val="000F1D02"/>
    <w:rsid w:val="000F282B"/>
    <w:rsid w:val="000F4842"/>
    <w:rsid w:val="000F4C83"/>
    <w:rsid w:val="001013C5"/>
    <w:rsid w:val="00102762"/>
    <w:rsid w:val="0012229A"/>
    <w:rsid w:val="00124640"/>
    <w:rsid w:val="00127D02"/>
    <w:rsid w:val="00135604"/>
    <w:rsid w:val="00141EC4"/>
    <w:rsid w:val="00144768"/>
    <w:rsid w:val="00152122"/>
    <w:rsid w:val="00152D0E"/>
    <w:rsid w:val="00155252"/>
    <w:rsid w:val="00164DA2"/>
    <w:rsid w:val="00170811"/>
    <w:rsid w:val="00171A92"/>
    <w:rsid w:val="00175F91"/>
    <w:rsid w:val="00181E29"/>
    <w:rsid w:val="0018248F"/>
    <w:rsid w:val="00193FA5"/>
    <w:rsid w:val="0019770C"/>
    <w:rsid w:val="001A4963"/>
    <w:rsid w:val="001A7B60"/>
    <w:rsid w:val="001B2B7B"/>
    <w:rsid w:val="001B2EC7"/>
    <w:rsid w:val="001B44A3"/>
    <w:rsid w:val="001D2EBF"/>
    <w:rsid w:val="001D544A"/>
    <w:rsid w:val="001D6BF1"/>
    <w:rsid w:val="001F0C83"/>
    <w:rsid w:val="001F5A24"/>
    <w:rsid w:val="00201B38"/>
    <w:rsid w:val="002100AC"/>
    <w:rsid w:val="0024346A"/>
    <w:rsid w:val="002500F9"/>
    <w:rsid w:val="002563B3"/>
    <w:rsid w:val="00277D3F"/>
    <w:rsid w:val="002A43F4"/>
    <w:rsid w:val="002B28B7"/>
    <w:rsid w:val="002B62C9"/>
    <w:rsid w:val="002D235A"/>
    <w:rsid w:val="002D2DE1"/>
    <w:rsid w:val="002D4F44"/>
    <w:rsid w:val="002E20C5"/>
    <w:rsid w:val="002E24F6"/>
    <w:rsid w:val="002E55BD"/>
    <w:rsid w:val="002E59C0"/>
    <w:rsid w:val="002E5E15"/>
    <w:rsid w:val="002F4575"/>
    <w:rsid w:val="0030613D"/>
    <w:rsid w:val="00313996"/>
    <w:rsid w:val="0032063A"/>
    <w:rsid w:val="003223E3"/>
    <w:rsid w:val="00325F3A"/>
    <w:rsid w:val="00333E39"/>
    <w:rsid w:val="0034401A"/>
    <w:rsid w:val="003444E7"/>
    <w:rsid w:val="003502D4"/>
    <w:rsid w:val="0035086A"/>
    <w:rsid w:val="00353B45"/>
    <w:rsid w:val="00357168"/>
    <w:rsid w:val="00361F20"/>
    <w:rsid w:val="00370FAC"/>
    <w:rsid w:val="00375A75"/>
    <w:rsid w:val="003776E2"/>
    <w:rsid w:val="00383002"/>
    <w:rsid w:val="00387884"/>
    <w:rsid w:val="00393CD2"/>
    <w:rsid w:val="00397A26"/>
    <w:rsid w:val="003A33D4"/>
    <w:rsid w:val="003B34DB"/>
    <w:rsid w:val="003C0AE1"/>
    <w:rsid w:val="003C0F4D"/>
    <w:rsid w:val="003C3E2A"/>
    <w:rsid w:val="003C4A02"/>
    <w:rsid w:val="003D4E3D"/>
    <w:rsid w:val="003E2164"/>
    <w:rsid w:val="003E5382"/>
    <w:rsid w:val="003E67F0"/>
    <w:rsid w:val="003F237B"/>
    <w:rsid w:val="003F3AE7"/>
    <w:rsid w:val="003F621C"/>
    <w:rsid w:val="00403620"/>
    <w:rsid w:val="00404BAA"/>
    <w:rsid w:val="00406491"/>
    <w:rsid w:val="0041206C"/>
    <w:rsid w:val="00414529"/>
    <w:rsid w:val="00421004"/>
    <w:rsid w:val="0042398B"/>
    <w:rsid w:val="00431ED5"/>
    <w:rsid w:val="00442668"/>
    <w:rsid w:val="0044795C"/>
    <w:rsid w:val="004501F2"/>
    <w:rsid w:val="004504E9"/>
    <w:rsid w:val="00464726"/>
    <w:rsid w:val="004757CB"/>
    <w:rsid w:val="00481356"/>
    <w:rsid w:val="0048271B"/>
    <w:rsid w:val="00482898"/>
    <w:rsid w:val="00482BFA"/>
    <w:rsid w:val="00482ED5"/>
    <w:rsid w:val="004867B3"/>
    <w:rsid w:val="00490987"/>
    <w:rsid w:val="004929A9"/>
    <w:rsid w:val="00494365"/>
    <w:rsid w:val="004A1884"/>
    <w:rsid w:val="004A19EC"/>
    <w:rsid w:val="004A5051"/>
    <w:rsid w:val="004B09A5"/>
    <w:rsid w:val="004B781B"/>
    <w:rsid w:val="004C1F13"/>
    <w:rsid w:val="004C1FD8"/>
    <w:rsid w:val="004C392E"/>
    <w:rsid w:val="004C5BCB"/>
    <w:rsid w:val="004C6A77"/>
    <w:rsid w:val="004D4EA4"/>
    <w:rsid w:val="00501577"/>
    <w:rsid w:val="0050725C"/>
    <w:rsid w:val="005131CE"/>
    <w:rsid w:val="0052037D"/>
    <w:rsid w:val="00527229"/>
    <w:rsid w:val="005302A8"/>
    <w:rsid w:val="00533185"/>
    <w:rsid w:val="00541860"/>
    <w:rsid w:val="00545E9D"/>
    <w:rsid w:val="005545F0"/>
    <w:rsid w:val="00561388"/>
    <w:rsid w:val="00570831"/>
    <w:rsid w:val="0057142A"/>
    <w:rsid w:val="00581023"/>
    <w:rsid w:val="005976B2"/>
    <w:rsid w:val="005A794F"/>
    <w:rsid w:val="005B2172"/>
    <w:rsid w:val="005B43F6"/>
    <w:rsid w:val="005D1239"/>
    <w:rsid w:val="005D6842"/>
    <w:rsid w:val="005D6F48"/>
    <w:rsid w:val="005E3F98"/>
    <w:rsid w:val="005E74F1"/>
    <w:rsid w:val="005F198E"/>
    <w:rsid w:val="00602A91"/>
    <w:rsid w:val="00617EEC"/>
    <w:rsid w:val="00623BC9"/>
    <w:rsid w:val="0063766F"/>
    <w:rsid w:val="00640307"/>
    <w:rsid w:val="00647211"/>
    <w:rsid w:val="006477BA"/>
    <w:rsid w:val="00647B92"/>
    <w:rsid w:val="00650739"/>
    <w:rsid w:val="00651DDB"/>
    <w:rsid w:val="00653CE1"/>
    <w:rsid w:val="00655BA9"/>
    <w:rsid w:val="0066015E"/>
    <w:rsid w:val="006644F8"/>
    <w:rsid w:val="00666294"/>
    <w:rsid w:val="00667EFF"/>
    <w:rsid w:val="0067117C"/>
    <w:rsid w:val="00674C56"/>
    <w:rsid w:val="00680D53"/>
    <w:rsid w:val="00690D4A"/>
    <w:rsid w:val="0069609C"/>
    <w:rsid w:val="00696FCB"/>
    <w:rsid w:val="006A01E7"/>
    <w:rsid w:val="006B0788"/>
    <w:rsid w:val="006B1AE8"/>
    <w:rsid w:val="006B1C02"/>
    <w:rsid w:val="006B31D3"/>
    <w:rsid w:val="006B3546"/>
    <w:rsid w:val="006C46EA"/>
    <w:rsid w:val="006C7D38"/>
    <w:rsid w:val="006E3A32"/>
    <w:rsid w:val="006F062B"/>
    <w:rsid w:val="006F3E37"/>
    <w:rsid w:val="006F461D"/>
    <w:rsid w:val="00710742"/>
    <w:rsid w:val="00711980"/>
    <w:rsid w:val="00712F0F"/>
    <w:rsid w:val="007158C2"/>
    <w:rsid w:val="007231F0"/>
    <w:rsid w:val="00731B4F"/>
    <w:rsid w:val="007348E5"/>
    <w:rsid w:val="00744E78"/>
    <w:rsid w:val="007452D2"/>
    <w:rsid w:val="00750356"/>
    <w:rsid w:val="00753EEC"/>
    <w:rsid w:val="00755280"/>
    <w:rsid w:val="007703BC"/>
    <w:rsid w:val="007739EB"/>
    <w:rsid w:val="00784DF5"/>
    <w:rsid w:val="0079699F"/>
    <w:rsid w:val="007A566B"/>
    <w:rsid w:val="007B087D"/>
    <w:rsid w:val="007B0D26"/>
    <w:rsid w:val="007B15BE"/>
    <w:rsid w:val="007C585B"/>
    <w:rsid w:val="007C6CC5"/>
    <w:rsid w:val="007D3B3B"/>
    <w:rsid w:val="007D7650"/>
    <w:rsid w:val="007E3E64"/>
    <w:rsid w:val="007F68EB"/>
    <w:rsid w:val="00803C75"/>
    <w:rsid w:val="00804223"/>
    <w:rsid w:val="00806953"/>
    <w:rsid w:val="00810BB6"/>
    <w:rsid w:val="008115CB"/>
    <w:rsid w:val="00817226"/>
    <w:rsid w:val="008212D9"/>
    <w:rsid w:val="00821E03"/>
    <w:rsid w:val="00825421"/>
    <w:rsid w:val="00825436"/>
    <w:rsid w:val="00834A39"/>
    <w:rsid w:val="00835561"/>
    <w:rsid w:val="0084366A"/>
    <w:rsid w:val="008541B4"/>
    <w:rsid w:val="00860DE9"/>
    <w:rsid w:val="008623E8"/>
    <w:rsid w:val="00872737"/>
    <w:rsid w:val="00873B8A"/>
    <w:rsid w:val="0088293E"/>
    <w:rsid w:val="00892639"/>
    <w:rsid w:val="00894AB3"/>
    <w:rsid w:val="00895F92"/>
    <w:rsid w:val="008A0CC4"/>
    <w:rsid w:val="008C3827"/>
    <w:rsid w:val="008D06CC"/>
    <w:rsid w:val="008D589B"/>
    <w:rsid w:val="008D6D9D"/>
    <w:rsid w:val="008E6872"/>
    <w:rsid w:val="008F0ABD"/>
    <w:rsid w:val="008F193B"/>
    <w:rsid w:val="008F2315"/>
    <w:rsid w:val="008F599F"/>
    <w:rsid w:val="00911508"/>
    <w:rsid w:val="00922324"/>
    <w:rsid w:val="00922650"/>
    <w:rsid w:val="0092597E"/>
    <w:rsid w:val="009264BF"/>
    <w:rsid w:val="00926D29"/>
    <w:rsid w:val="009271D1"/>
    <w:rsid w:val="009351D8"/>
    <w:rsid w:val="00942B96"/>
    <w:rsid w:val="0094466E"/>
    <w:rsid w:val="00946197"/>
    <w:rsid w:val="009461D4"/>
    <w:rsid w:val="00955A3C"/>
    <w:rsid w:val="0096502A"/>
    <w:rsid w:val="00966966"/>
    <w:rsid w:val="00984DF9"/>
    <w:rsid w:val="009A059C"/>
    <w:rsid w:val="009A179E"/>
    <w:rsid w:val="009A3043"/>
    <w:rsid w:val="009D64C8"/>
    <w:rsid w:val="009E3519"/>
    <w:rsid w:val="009E69A0"/>
    <w:rsid w:val="009E76F0"/>
    <w:rsid w:val="009F2681"/>
    <w:rsid w:val="00A01C1A"/>
    <w:rsid w:val="00A27247"/>
    <w:rsid w:val="00A3447A"/>
    <w:rsid w:val="00A3581A"/>
    <w:rsid w:val="00A362A1"/>
    <w:rsid w:val="00A4081B"/>
    <w:rsid w:val="00A41968"/>
    <w:rsid w:val="00A43F5B"/>
    <w:rsid w:val="00A47770"/>
    <w:rsid w:val="00A532E8"/>
    <w:rsid w:val="00A70FA5"/>
    <w:rsid w:val="00A71AD8"/>
    <w:rsid w:val="00A7327E"/>
    <w:rsid w:val="00A73462"/>
    <w:rsid w:val="00A873D4"/>
    <w:rsid w:val="00A90E02"/>
    <w:rsid w:val="00A961BA"/>
    <w:rsid w:val="00AA01A7"/>
    <w:rsid w:val="00AA6FAF"/>
    <w:rsid w:val="00AB05EF"/>
    <w:rsid w:val="00AB19B1"/>
    <w:rsid w:val="00AB246F"/>
    <w:rsid w:val="00AB3E11"/>
    <w:rsid w:val="00AB507C"/>
    <w:rsid w:val="00AC4429"/>
    <w:rsid w:val="00AC7441"/>
    <w:rsid w:val="00AD1691"/>
    <w:rsid w:val="00AD21A9"/>
    <w:rsid w:val="00AD2895"/>
    <w:rsid w:val="00AD5B5C"/>
    <w:rsid w:val="00AE45D6"/>
    <w:rsid w:val="00AE4956"/>
    <w:rsid w:val="00AE6C2D"/>
    <w:rsid w:val="00AF6E02"/>
    <w:rsid w:val="00AF7813"/>
    <w:rsid w:val="00B0661F"/>
    <w:rsid w:val="00B1163A"/>
    <w:rsid w:val="00B11CCB"/>
    <w:rsid w:val="00B1612C"/>
    <w:rsid w:val="00B301E5"/>
    <w:rsid w:val="00B31FE4"/>
    <w:rsid w:val="00B349A5"/>
    <w:rsid w:val="00B36C3B"/>
    <w:rsid w:val="00B37680"/>
    <w:rsid w:val="00B5567B"/>
    <w:rsid w:val="00B57F49"/>
    <w:rsid w:val="00B61783"/>
    <w:rsid w:val="00B63A62"/>
    <w:rsid w:val="00B7743B"/>
    <w:rsid w:val="00B808E4"/>
    <w:rsid w:val="00B843D8"/>
    <w:rsid w:val="00B96589"/>
    <w:rsid w:val="00B968A4"/>
    <w:rsid w:val="00BA2B63"/>
    <w:rsid w:val="00BB1D4E"/>
    <w:rsid w:val="00BB2ED1"/>
    <w:rsid w:val="00BB6163"/>
    <w:rsid w:val="00BC1DA2"/>
    <w:rsid w:val="00BD2C38"/>
    <w:rsid w:val="00BE323C"/>
    <w:rsid w:val="00BE74C3"/>
    <w:rsid w:val="00BF43FB"/>
    <w:rsid w:val="00C01D6C"/>
    <w:rsid w:val="00C03464"/>
    <w:rsid w:val="00C0371D"/>
    <w:rsid w:val="00C109F8"/>
    <w:rsid w:val="00C231CC"/>
    <w:rsid w:val="00C2712D"/>
    <w:rsid w:val="00C32106"/>
    <w:rsid w:val="00C41F09"/>
    <w:rsid w:val="00C4706C"/>
    <w:rsid w:val="00C51540"/>
    <w:rsid w:val="00C609E1"/>
    <w:rsid w:val="00C71848"/>
    <w:rsid w:val="00C84894"/>
    <w:rsid w:val="00CB041A"/>
    <w:rsid w:val="00CB44C2"/>
    <w:rsid w:val="00CC1A69"/>
    <w:rsid w:val="00CC3A9E"/>
    <w:rsid w:val="00CC3FFD"/>
    <w:rsid w:val="00CD314C"/>
    <w:rsid w:val="00CD79CD"/>
    <w:rsid w:val="00CE3016"/>
    <w:rsid w:val="00CF1632"/>
    <w:rsid w:val="00CF3974"/>
    <w:rsid w:val="00D02765"/>
    <w:rsid w:val="00D038F1"/>
    <w:rsid w:val="00D15837"/>
    <w:rsid w:val="00D16B91"/>
    <w:rsid w:val="00D215CE"/>
    <w:rsid w:val="00D35EA6"/>
    <w:rsid w:val="00D37716"/>
    <w:rsid w:val="00D42C38"/>
    <w:rsid w:val="00D465C2"/>
    <w:rsid w:val="00D56A28"/>
    <w:rsid w:val="00D6419E"/>
    <w:rsid w:val="00D6789A"/>
    <w:rsid w:val="00D705C7"/>
    <w:rsid w:val="00D75120"/>
    <w:rsid w:val="00D802F7"/>
    <w:rsid w:val="00D818A3"/>
    <w:rsid w:val="00D8285B"/>
    <w:rsid w:val="00D87E2F"/>
    <w:rsid w:val="00D917E0"/>
    <w:rsid w:val="00D93B66"/>
    <w:rsid w:val="00D96740"/>
    <w:rsid w:val="00D96E20"/>
    <w:rsid w:val="00D97C91"/>
    <w:rsid w:val="00DA1FCA"/>
    <w:rsid w:val="00DA299F"/>
    <w:rsid w:val="00DA5132"/>
    <w:rsid w:val="00DB1CAE"/>
    <w:rsid w:val="00DC41DF"/>
    <w:rsid w:val="00DC4246"/>
    <w:rsid w:val="00DD46D7"/>
    <w:rsid w:val="00DE1E3C"/>
    <w:rsid w:val="00DE6BAE"/>
    <w:rsid w:val="00DF2528"/>
    <w:rsid w:val="00DF7866"/>
    <w:rsid w:val="00E006A7"/>
    <w:rsid w:val="00E01408"/>
    <w:rsid w:val="00E06AD5"/>
    <w:rsid w:val="00E313F3"/>
    <w:rsid w:val="00E37F03"/>
    <w:rsid w:val="00E44CA6"/>
    <w:rsid w:val="00E477A3"/>
    <w:rsid w:val="00E57F2E"/>
    <w:rsid w:val="00E66CCB"/>
    <w:rsid w:val="00E773EC"/>
    <w:rsid w:val="00E8576B"/>
    <w:rsid w:val="00EA633F"/>
    <w:rsid w:val="00EB4DF6"/>
    <w:rsid w:val="00EB5AC1"/>
    <w:rsid w:val="00EC54A7"/>
    <w:rsid w:val="00ED1C19"/>
    <w:rsid w:val="00ED37F0"/>
    <w:rsid w:val="00ED504F"/>
    <w:rsid w:val="00ED6975"/>
    <w:rsid w:val="00EF3FBA"/>
    <w:rsid w:val="00EF5DC4"/>
    <w:rsid w:val="00F0088B"/>
    <w:rsid w:val="00F0553B"/>
    <w:rsid w:val="00F14389"/>
    <w:rsid w:val="00F16179"/>
    <w:rsid w:val="00F24A0D"/>
    <w:rsid w:val="00F33A66"/>
    <w:rsid w:val="00F34946"/>
    <w:rsid w:val="00F3647D"/>
    <w:rsid w:val="00F42B93"/>
    <w:rsid w:val="00F5080D"/>
    <w:rsid w:val="00F5277C"/>
    <w:rsid w:val="00F61E03"/>
    <w:rsid w:val="00F63391"/>
    <w:rsid w:val="00F67E45"/>
    <w:rsid w:val="00F72317"/>
    <w:rsid w:val="00F72357"/>
    <w:rsid w:val="00F75678"/>
    <w:rsid w:val="00F76B8A"/>
    <w:rsid w:val="00F7795B"/>
    <w:rsid w:val="00F804DA"/>
    <w:rsid w:val="00F8262E"/>
    <w:rsid w:val="00F83A69"/>
    <w:rsid w:val="00F90384"/>
    <w:rsid w:val="00F93D84"/>
    <w:rsid w:val="00F93E7F"/>
    <w:rsid w:val="00F94034"/>
    <w:rsid w:val="00F9545A"/>
    <w:rsid w:val="00FA2004"/>
    <w:rsid w:val="00FA7C0F"/>
    <w:rsid w:val="00FB7858"/>
    <w:rsid w:val="00FC6904"/>
    <w:rsid w:val="00FD6302"/>
    <w:rsid w:val="00FF0D2E"/>
    <w:rsid w:val="00FF2C0F"/>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A2C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1508"/>
    <w:rPr>
      <w:rFonts w:ascii="Times New Roman" w:eastAsia="Times New Roman" w:hAnsi="Times New Roman" w:cs="Times New Roman"/>
      <w:lang w:eastAsia="es-ES"/>
    </w:rPr>
  </w:style>
  <w:style w:type="paragraph" w:styleId="Heading1">
    <w:name w:val="heading 1"/>
    <w:basedOn w:val="Normal"/>
    <w:next w:val="Normal"/>
    <w:link w:val="Heading1Char"/>
    <w:uiPriority w:val="9"/>
    <w:qFormat/>
    <w:rsid w:val="00DE1E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7F4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895"/>
    <w:pPr>
      <w:ind w:left="720"/>
      <w:contextualSpacing/>
    </w:pPr>
  </w:style>
  <w:style w:type="character" w:styleId="Hyperlink">
    <w:name w:val="Hyperlink"/>
    <w:basedOn w:val="DefaultParagraphFont"/>
    <w:uiPriority w:val="99"/>
    <w:unhideWhenUsed/>
    <w:rsid w:val="00F93D84"/>
    <w:rPr>
      <w:color w:val="0563C1" w:themeColor="hyperlink"/>
      <w:u w:val="single"/>
    </w:rPr>
  </w:style>
  <w:style w:type="character" w:styleId="FollowedHyperlink">
    <w:name w:val="FollowedHyperlink"/>
    <w:basedOn w:val="DefaultParagraphFont"/>
    <w:uiPriority w:val="99"/>
    <w:semiHidden/>
    <w:unhideWhenUsed/>
    <w:rsid w:val="00F93D84"/>
    <w:rPr>
      <w:color w:val="954F72" w:themeColor="followedHyperlink"/>
      <w:u w:val="single"/>
    </w:rPr>
  </w:style>
  <w:style w:type="character" w:customStyle="1" w:styleId="Heading2Char">
    <w:name w:val="Heading 2 Char"/>
    <w:basedOn w:val="DefaultParagraphFont"/>
    <w:link w:val="Heading2"/>
    <w:uiPriority w:val="9"/>
    <w:semiHidden/>
    <w:rsid w:val="00B57F49"/>
    <w:rPr>
      <w:rFonts w:asciiTheme="majorHAnsi" w:eastAsiaTheme="majorEastAsia" w:hAnsiTheme="majorHAnsi" w:cstheme="majorBidi"/>
      <w:color w:val="2F5496" w:themeColor="accent1" w:themeShade="BF"/>
      <w:sz w:val="26"/>
      <w:szCs w:val="26"/>
      <w:lang w:val="en-GB" w:eastAsia="es-ES"/>
    </w:rPr>
  </w:style>
  <w:style w:type="paragraph" w:styleId="NormalWeb">
    <w:name w:val="Normal (Web)"/>
    <w:basedOn w:val="Normal"/>
    <w:uiPriority w:val="99"/>
    <w:semiHidden/>
    <w:unhideWhenUsed/>
    <w:rsid w:val="00AD1691"/>
  </w:style>
  <w:style w:type="paragraph" w:styleId="Footer">
    <w:name w:val="footer"/>
    <w:basedOn w:val="Normal"/>
    <w:link w:val="FooterChar"/>
    <w:uiPriority w:val="99"/>
    <w:unhideWhenUsed/>
    <w:rsid w:val="0079699F"/>
    <w:pPr>
      <w:tabs>
        <w:tab w:val="center" w:pos="4252"/>
        <w:tab w:val="right" w:pos="8504"/>
      </w:tabs>
    </w:pPr>
  </w:style>
  <w:style w:type="character" w:customStyle="1" w:styleId="FooterChar">
    <w:name w:val="Footer Char"/>
    <w:basedOn w:val="DefaultParagraphFont"/>
    <w:link w:val="Footer"/>
    <w:uiPriority w:val="99"/>
    <w:rsid w:val="0079699F"/>
    <w:rPr>
      <w:rFonts w:ascii="Times New Roman" w:eastAsia="Times New Roman" w:hAnsi="Times New Roman" w:cs="Times New Roman"/>
      <w:lang w:val="en-GB" w:eastAsia="es-ES"/>
    </w:rPr>
  </w:style>
  <w:style w:type="character" w:styleId="PageNumber">
    <w:name w:val="page number"/>
    <w:basedOn w:val="DefaultParagraphFont"/>
    <w:uiPriority w:val="99"/>
    <w:semiHidden/>
    <w:unhideWhenUsed/>
    <w:rsid w:val="0079699F"/>
  </w:style>
  <w:style w:type="character" w:customStyle="1" w:styleId="Heading1Char">
    <w:name w:val="Heading 1 Char"/>
    <w:basedOn w:val="DefaultParagraphFont"/>
    <w:link w:val="Heading1"/>
    <w:uiPriority w:val="9"/>
    <w:rsid w:val="00DE1E3C"/>
    <w:rPr>
      <w:rFonts w:asciiTheme="majorHAnsi" w:eastAsiaTheme="majorEastAsia" w:hAnsiTheme="majorHAnsi" w:cstheme="majorBidi"/>
      <w:color w:val="2F5496" w:themeColor="accent1" w:themeShade="BF"/>
      <w:sz w:val="32"/>
      <w:szCs w:val="32"/>
      <w:lang w:val="en-GB" w:eastAsia="es-ES"/>
    </w:rPr>
  </w:style>
  <w:style w:type="character" w:styleId="CommentReference">
    <w:name w:val="annotation reference"/>
    <w:basedOn w:val="DefaultParagraphFont"/>
    <w:uiPriority w:val="99"/>
    <w:semiHidden/>
    <w:unhideWhenUsed/>
    <w:rsid w:val="007B0D26"/>
    <w:rPr>
      <w:sz w:val="16"/>
      <w:szCs w:val="16"/>
    </w:rPr>
  </w:style>
  <w:style w:type="paragraph" w:styleId="CommentText">
    <w:name w:val="annotation text"/>
    <w:basedOn w:val="Normal"/>
    <w:link w:val="CommentTextChar"/>
    <w:uiPriority w:val="99"/>
    <w:semiHidden/>
    <w:unhideWhenUsed/>
    <w:rsid w:val="007B0D26"/>
    <w:rPr>
      <w:sz w:val="20"/>
      <w:szCs w:val="20"/>
    </w:rPr>
  </w:style>
  <w:style w:type="character" w:customStyle="1" w:styleId="CommentTextChar">
    <w:name w:val="Comment Text Char"/>
    <w:basedOn w:val="DefaultParagraphFont"/>
    <w:link w:val="CommentText"/>
    <w:uiPriority w:val="99"/>
    <w:semiHidden/>
    <w:rsid w:val="007B0D26"/>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7B0D26"/>
    <w:rPr>
      <w:b/>
      <w:bCs/>
    </w:rPr>
  </w:style>
  <w:style w:type="character" w:customStyle="1" w:styleId="CommentSubjectChar">
    <w:name w:val="Comment Subject Char"/>
    <w:basedOn w:val="CommentTextChar"/>
    <w:link w:val="CommentSubject"/>
    <w:uiPriority w:val="99"/>
    <w:semiHidden/>
    <w:rsid w:val="007B0D26"/>
    <w:rPr>
      <w:rFonts w:ascii="Times New Roman" w:eastAsia="Times New Roman" w:hAnsi="Times New Roman" w:cs="Times New Roman"/>
      <w:b/>
      <w:bCs/>
      <w:sz w:val="20"/>
      <w:szCs w:val="20"/>
      <w:lang w:eastAsia="es-ES"/>
    </w:rPr>
  </w:style>
  <w:style w:type="paragraph" w:styleId="BalloonText">
    <w:name w:val="Balloon Text"/>
    <w:basedOn w:val="Normal"/>
    <w:link w:val="BalloonTextChar"/>
    <w:uiPriority w:val="99"/>
    <w:semiHidden/>
    <w:unhideWhenUsed/>
    <w:rsid w:val="007B0D26"/>
    <w:rPr>
      <w:sz w:val="18"/>
      <w:szCs w:val="18"/>
    </w:rPr>
  </w:style>
  <w:style w:type="character" w:customStyle="1" w:styleId="BalloonTextChar">
    <w:name w:val="Balloon Text Char"/>
    <w:basedOn w:val="DefaultParagraphFont"/>
    <w:link w:val="BalloonText"/>
    <w:uiPriority w:val="99"/>
    <w:semiHidden/>
    <w:rsid w:val="007B0D26"/>
    <w:rPr>
      <w:rFonts w:ascii="Times New Roman" w:eastAsia="Times New Roman" w:hAnsi="Times New Roman" w:cs="Times New Roman"/>
      <w:sz w:val="18"/>
      <w:szCs w:val="18"/>
      <w:lang w:eastAsia="es-ES"/>
    </w:rPr>
  </w:style>
  <w:style w:type="character" w:styleId="UnresolvedMention">
    <w:name w:val="Unresolved Mention"/>
    <w:basedOn w:val="DefaultParagraphFont"/>
    <w:uiPriority w:val="99"/>
    <w:rsid w:val="001B2EC7"/>
    <w:rPr>
      <w:color w:val="605E5C"/>
      <w:shd w:val="clear" w:color="auto" w:fill="E1DFDD"/>
    </w:rPr>
  </w:style>
  <w:style w:type="paragraph" w:styleId="Header">
    <w:name w:val="header"/>
    <w:basedOn w:val="Normal"/>
    <w:link w:val="HeaderChar"/>
    <w:uiPriority w:val="99"/>
    <w:unhideWhenUsed/>
    <w:rsid w:val="00F3647D"/>
    <w:pPr>
      <w:tabs>
        <w:tab w:val="center" w:pos="4680"/>
        <w:tab w:val="right" w:pos="9360"/>
      </w:tabs>
    </w:pPr>
  </w:style>
  <w:style w:type="character" w:customStyle="1" w:styleId="HeaderChar">
    <w:name w:val="Header Char"/>
    <w:basedOn w:val="DefaultParagraphFont"/>
    <w:link w:val="Header"/>
    <w:uiPriority w:val="99"/>
    <w:rsid w:val="00F3647D"/>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8887">
      <w:bodyDiv w:val="1"/>
      <w:marLeft w:val="0"/>
      <w:marRight w:val="0"/>
      <w:marTop w:val="0"/>
      <w:marBottom w:val="0"/>
      <w:divBdr>
        <w:top w:val="none" w:sz="0" w:space="0" w:color="auto"/>
        <w:left w:val="none" w:sz="0" w:space="0" w:color="auto"/>
        <w:bottom w:val="none" w:sz="0" w:space="0" w:color="auto"/>
        <w:right w:val="none" w:sz="0" w:space="0" w:color="auto"/>
      </w:divBdr>
    </w:div>
    <w:div w:id="181674268">
      <w:bodyDiv w:val="1"/>
      <w:marLeft w:val="0"/>
      <w:marRight w:val="0"/>
      <w:marTop w:val="0"/>
      <w:marBottom w:val="0"/>
      <w:divBdr>
        <w:top w:val="none" w:sz="0" w:space="0" w:color="auto"/>
        <w:left w:val="none" w:sz="0" w:space="0" w:color="auto"/>
        <w:bottom w:val="none" w:sz="0" w:space="0" w:color="auto"/>
        <w:right w:val="none" w:sz="0" w:space="0" w:color="auto"/>
      </w:divBdr>
    </w:div>
    <w:div w:id="439956265">
      <w:bodyDiv w:val="1"/>
      <w:marLeft w:val="0"/>
      <w:marRight w:val="0"/>
      <w:marTop w:val="0"/>
      <w:marBottom w:val="0"/>
      <w:divBdr>
        <w:top w:val="none" w:sz="0" w:space="0" w:color="auto"/>
        <w:left w:val="none" w:sz="0" w:space="0" w:color="auto"/>
        <w:bottom w:val="none" w:sz="0" w:space="0" w:color="auto"/>
        <w:right w:val="none" w:sz="0" w:space="0" w:color="auto"/>
      </w:divBdr>
    </w:div>
    <w:div w:id="460196477">
      <w:bodyDiv w:val="1"/>
      <w:marLeft w:val="0"/>
      <w:marRight w:val="0"/>
      <w:marTop w:val="0"/>
      <w:marBottom w:val="0"/>
      <w:divBdr>
        <w:top w:val="none" w:sz="0" w:space="0" w:color="auto"/>
        <w:left w:val="none" w:sz="0" w:space="0" w:color="auto"/>
        <w:bottom w:val="none" w:sz="0" w:space="0" w:color="auto"/>
        <w:right w:val="none" w:sz="0" w:space="0" w:color="auto"/>
      </w:divBdr>
    </w:div>
    <w:div w:id="525605641">
      <w:bodyDiv w:val="1"/>
      <w:marLeft w:val="0"/>
      <w:marRight w:val="0"/>
      <w:marTop w:val="0"/>
      <w:marBottom w:val="0"/>
      <w:divBdr>
        <w:top w:val="none" w:sz="0" w:space="0" w:color="auto"/>
        <w:left w:val="none" w:sz="0" w:space="0" w:color="auto"/>
        <w:bottom w:val="none" w:sz="0" w:space="0" w:color="auto"/>
        <w:right w:val="none" w:sz="0" w:space="0" w:color="auto"/>
      </w:divBdr>
    </w:div>
    <w:div w:id="575210528">
      <w:bodyDiv w:val="1"/>
      <w:marLeft w:val="0"/>
      <w:marRight w:val="0"/>
      <w:marTop w:val="0"/>
      <w:marBottom w:val="0"/>
      <w:divBdr>
        <w:top w:val="none" w:sz="0" w:space="0" w:color="auto"/>
        <w:left w:val="none" w:sz="0" w:space="0" w:color="auto"/>
        <w:bottom w:val="none" w:sz="0" w:space="0" w:color="auto"/>
        <w:right w:val="none" w:sz="0" w:space="0" w:color="auto"/>
      </w:divBdr>
      <w:divsChild>
        <w:div w:id="1337882143">
          <w:marLeft w:val="0"/>
          <w:marRight w:val="0"/>
          <w:marTop w:val="0"/>
          <w:marBottom w:val="0"/>
          <w:divBdr>
            <w:top w:val="none" w:sz="0" w:space="0" w:color="auto"/>
            <w:left w:val="none" w:sz="0" w:space="0" w:color="auto"/>
            <w:bottom w:val="none" w:sz="0" w:space="0" w:color="auto"/>
            <w:right w:val="none" w:sz="0" w:space="0" w:color="auto"/>
          </w:divBdr>
          <w:divsChild>
            <w:div w:id="303969336">
              <w:marLeft w:val="0"/>
              <w:marRight w:val="0"/>
              <w:marTop w:val="0"/>
              <w:marBottom w:val="0"/>
              <w:divBdr>
                <w:top w:val="none" w:sz="0" w:space="0" w:color="auto"/>
                <w:left w:val="none" w:sz="0" w:space="0" w:color="auto"/>
                <w:bottom w:val="none" w:sz="0" w:space="0" w:color="auto"/>
                <w:right w:val="none" w:sz="0" w:space="0" w:color="auto"/>
              </w:divBdr>
              <w:divsChild>
                <w:div w:id="1516572924">
                  <w:marLeft w:val="0"/>
                  <w:marRight w:val="0"/>
                  <w:marTop w:val="0"/>
                  <w:marBottom w:val="0"/>
                  <w:divBdr>
                    <w:top w:val="none" w:sz="0" w:space="0" w:color="auto"/>
                    <w:left w:val="none" w:sz="0" w:space="0" w:color="auto"/>
                    <w:bottom w:val="none" w:sz="0" w:space="0" w:color="auto"/>
                    <w:right w:val="none" w:sz="0" w:space="0" w:color="auto"/>
                  </w:divBdr>
                  <w:divsChild>
                    <w:div w:id="15333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1145">
      <w:bodyDiv w:val="1"/>
      <w:marLeft w:val="0"/>
      <w:marRight w:val="0"/>
      <w:marTop w:val="0"/>
      <w:marBottom w:val="0"/>
      <w:divBdr>
        <w:top w:val="none" w:sz="0" w:space="0" w:color="auto"/>
        <w:left w:val="none" w:sz="0" w:space="0" w:color="auto"/>
        <w:bottom w:val="none" w:sz="0" w:space="0" w:color="auto"/>
        <w:right w:val="none" w:sz="0" w:space="0" w:color="auto"/>
      </w:divBdr>
    </w:div>
    <w:div w:id="837309229">
      <w:bodyDiv w:val="1"/>
      <w:marLeft w:val="0"/>
      <w:marRight w:val="0"/>
      <w:marTop w:val="0"/>
      <w:marBottom w:val="0"/>
      <w:divBdr>
        <w:top w:val="none" w:sz="0" w:space="0" w:color="auto"/>
        <w:left w:val="none" w:sz="0" w:space="0" w:color="auto"/>
        <w:bottom w:val="none" w:sz="0" w:space="0" w:color="auto"/>
        <w:right w:val="none" w:sz="0" w:space="0" w:color="auto"/>
      </w:divBdr>
    </w:div>
    <w:div w:id="849758313">
      <w:bodyDiv w:val="1"/>
      <w:marLeft w:val="0"/>
      <w:marRight w:val="0"/>
      <w:marTop w:val="0"/>
      <w:marBottom w:val="0"/>
      <w:divBdr>
        <w:top w:val="none" w:sz="0" w:space="0" w:color="auto"/>
        <w:left w:val="none" w:sz="0" w:space="0" w:color="auto"/>
        <w:bottom w:val="none" w:sz="0" w:space="0" w:color="auto"/>
        <w:right w:val="none" w:sz="0" w:space="0" w:color="auto"/>
      </w:divBdr>
      <w:divsChild>
        <w:div w:id="1833835897">
          <w:marLeft w:val="0"/>
          <w:marRight w:val="0"/>
          <w:marTop w:val="0"/>
          <w:marBottom w:val="0"/>
          <w:divBdr>
            <w:top w:val="none" w:sz="0" w:space="0" w:color="auto"/>
            <w:left w:val="none" w:sz="0" w:space="0" w:color="auto"/>
            <w:bottom w:val="none" w:sz="0" w:space="0" w:color="auto"/>
            <w:right w:val="none" w:sz="0" w:space="0" w:color="auto"/>
          </w:divBdr>
          <w:divsChild>
            <w:div w:id="1132332152">
              <w:marLeft w:val="0"/>
              <w:marRight w:val="0"/>
              <w:marTop w:val="0"/>
              <w:marBottom w:val="0"/>
              <w:divBdr>
                <w:top w:val="none" w:sz="0" w:space="0" w:color="auto"/>
                <w:left w:val="none" w:sz="0" w:space="0" w:color="auto"/>
                <w:bottom w:val="none" w:sz="0" w:space="0" w:color="auto"/>
                <w:right w:val="none" w:sz="0" w:space="0" w:color="auto"/>
              </w:divBdr>
              <w:divsChild>
                <w:div w:id="5922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60085">
      <w:bodyDiv w:val="1"/>
      <w:marLeft w:val="0"/>
      <w:marRight w:val="0"/>
      <w:marTop w:val="0"/>
      <w:marBottom w:val="0"/>
      <w:divBdr>
        <w:top w:val="none" w:sz="0" w:space="0" w:color="auto"/>
        <w:left w:val="none" w:sz="0" w:space="0" w:color="auto"/>
        <w:bottom w:val="none" w:sz="0" w:space="0" w:color="auto"/>
        <w:right w:val="none" w:sz="0" w:space="0" w:color="auto"/>
      </w:divBdr>
    </w:div>
    <w:div w:id="1244879269">
      <w:bodyDiv w:val="1"/>
      <w:marLeft w:val="0"/>
      <w:marRight w:val="0"/>
      <w:marTop w:val="0"/>
      <w:marBottom w:val="0"/>
      <w:divBdr>
        <w:top w:val="none" w:sz="0" w:space="0" w:color="auto"/>
        <w:left w:val="none" w:sz="0" w:space="0" w:color="auto"/>
        <w:bottom w:val="none" w:sz="0" w:space="0" w:color="auto"/>
        <w:right w:val="none" w:sz="0" w:space="0" w:color="auto"/>
      </w:divBdr>
    </w:div>
    <w:div w:id="1449280528">
      <w:bodyDiv w:val="1"/>
      <w:marLeft w:val="0"/>
      <w:marRight w:val="0"/>
      <w:marTop w:val="0"/>
      <w:marBottom w:val="0"/>
      <w:divBdr>
        <w:top w:val="none" w:sz="0" w:space="0" w:color="auto"/>
        <w:left w:val="none" w:sz="0" w:space="0" w:color="auto"/>
        <w:bottom w:val="none" w:sz="0" w:space="0" w:color="auto"/>
        <w:right w:val="none" w:sz="0" w:space="0" w:color="auto"/>
      </w:divBdr>
    </w:div>
    <w:div w:id="1531527668">
      <w:bodyDiv w:val="1"/>
      <w:marLeft w:val="0"/>
      <w:marRight w:val="0"/>
      <w:marTop w:val="0"/>
      <w:marBottom w:val="0"/>
      <w:divBdr>
        <w:top w:val="none" w:sz="0" w:space="0" w:color="auto"/>
        <w:left w:val="none" w:sz="0" w:space="0" w:color="auto"/>
        <w:bottom w:val="none" w:sz="0" w:space="0" w:color="auto"/>
        <w:right w:val="none" w:sz="0" w:space="0" w:color="auto"/>
      </w:divBdr>
    </w:div>
    <w:div w:id="1609846867">
      <w:bodyDiv w:val="1"/>
      <w:marLeft w:val="0"/>
      <w:marRight w:val="0"/>
      <w:marTop w:val="0"/>
      <w:marBottom w:val="0"/>
      <w:divBdr>
        <w:top w:val="none" w:sz="0" w:space="0" w:color="auto"/>
        <w:left w:val="none" w:sz="0" w:space="0" w:color="auto"/>
        <w:bottom w:val="none" w:sz="0" w:space="0" w:color="auto"/>
        <w:right w:val="none" w:sz="0" w:space="0" w:color="auto"/>
      </w:divBdr>
    </w:div>
    <w:div w:id="1666738560">
      <w:bodyDiv w:val="1"/>
      <w:marLeft w:val="0"/>
      <w:marRight w:val="0"/>
      <w:marTop w:val="0"/>
      <w:marBottom w:val="0"/>
      <w:divBdr>
        <w:top w:val="none" w:sz="0" w:space="0" w:color="auto"/>
        <w:left w:val="none" w:sz="0" w:space="0" w:color="auto"/>
        <w:bottom w:val="none" w:sz="0" w:space="0" w:color="auto"/>
        <w:right w:val="none" w:sz="0" w:space="0" w:color="auto"/>
      </w:divBdr>
      <w:divsChild>
        <w:div w:id="1124156800">
          <w:marLeft w:val="0"/>
          <w:marRight w:val="0"/>
          <w:marTop w:val="0"/>
          <w:marBottom w:val="0"/>
          <w:divBdr>
            <w:top w:val="none" w:sz="0" w:space="0" w:color="auto"/>
            <w:left w:val="none" w:sz="0" w:space="0" w:color="auto"/>
            <w:bottom w:val="none" w:sz="0" w:space="0" w:color="auto"/>
            <w:right w:val="none" w:sz="0" w:space="0" w:color="auto"/>
          </w:divBdr>
          <w:divsChild>
            <w:div w:id="391663083">
              <w:marLeft w:val="0"/>
              <w:marRight w:val="0"/>
              <w:marTop w:val="0"/>
              <w:marBottom w:val="0"/>
              <w:divBdr>
                <w:top w:val="none" w:sz="0" w:space="0" w:color="auto"/>
                <w:left w:val="none" w:sz="0" w:space="0" w:color="auto"/>
                <w:bottom w:val="none" w:sz="0" w:space="0" w:color="auto"/>
                <w:right w:val="none" w:sz="0" w:space="0" w:color="auto"/>
              </w:divBdr>
              <w:divsChild>
                <w:div w:id="217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17078">
      <w:bodyDiv w:val="1"/>
      <w:marLeft w:val="0"/>
      <w:marRight w:val="0"/>
      <w:marTop w:val="0"/>
      <w:marBottom w:val="0"/>
      <w:divBdr>
        <w:top w:val="none" w:sz="0" w:space="0" w:color="auto"/>
        <w:left w:val="none" w:sz="0" w:space="0" w:color="auto"/>
        <w:bottom w:val="none" w:sz="0" w:space="0" w:color="auto"/>
        <w:right w:val="none" w:sz="0" w:space="0" w:color="auto"/>
      </w:divBdr>
    </w:div>
    <w:div w:id="2077894843">
      <w:bodyDiv w:val="1"/>
      <w:marLeft w:val="0"/>
      <w:marRight w:val="0"/>
      <w:marTop w:val="0"/>
      <w:marBottom w:val="0"/>
      <w:divBdr>
        <w:top w:val="none" w:sz="0" w:space="0" w:color="auto"/>
        <w:left w:val="none" w:sz="0" w:space="0" w:color="auto"/>
        <w:bottom w:val="none" w:sz="0" w:space="0" w:color="auto"/>
        <w:right w:val="none" w:sz="0" w:space="0" w:color="auto"/>
      </w:divBdr>
      <w:divsChild>
        <w:div w:id="170295165">
          <w:marLeft w:val="0"/>
          <w:marRight w:val="0"/>
          <w:marTop w:val="0"/>
          <w:marBottom w:val="0"/>
          <w:divBdr>
            <w:top w:val="none" w:sz="0" w:space="0" w:color="auto"/>
            <w:left w:val="none" w:sz="0" w:space="0" w:color="auto"/>
            <w:bottom w:val="none" w:sz="0" w:space="0" w:color="auto"/>
            <w:right w:val="none" w:sz="0" w:space="0" w:color="auto"/>
          </w:divBdr>
          <w:divsChild>
            <w:div w:id="620192785">
              <w:marLeft w:val="0"/>
              <w:marRight w:val="0"/>
              <w:marTop w:val="0"/>
              <w:marBottom w:val="0"/>
              <w:divBdr>
                <w:top w:val="none" w:sz="0" w:space="0" w:color="auto"/>
                <w:left w:val="none" w:sz="0" w:space="0" w:color="auto"/>
                <w:bottom w:val="none" w:sz="0" w:space="0" w:color="auto"/>
                <w:right w:val="none" w:sz="0" w:space="0" w:color="auto"/>
              </w:divBdr>
              <w:divsChild>
                <w:div w:id="6533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isioncancer.org.uy/Ocultas/V-Atlas-de-Incidencia-del-Cancer-en-el-Uruguay-Periodo-2012-2016-uc2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nataliacamejo/Desktop/semana%20academica%202020/cancer%20de%20mama%20masculino/CMM%201%20DE%20SETIEMBRE%20TOOD%20JUNTO.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Biological subtypes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BE-414E-9768-22F855767C2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BE-414E-9768-22F855767C2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BE-414E-9768-22F855767C2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BE-414E-9768-22F855767C2C}"/>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BE-414E-9768-22F855767C2C}"/>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BE-414E-9768-22F855767C2C}"/>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BE-414E-9768-22F855767C2C}"/>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BE-414E-9768-22F855767C2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Hoja3!$A$2:$A$4</c:f>
              <c:strCache>
                <c:ptCount val="3"/>
                <c:pt idx="0">
                  <c:v>HER2- RE/RP+,</c:v>
                </c:pt>
                <c:pt idx="1">
                  <c:v>HER2+</c:v>
                </c:pt>
                <c:pt idx="2">
                  <c:v>Triple negativo</c:v>
                </c:pt>
              </c:strCache>
            </c:strRef>
          </c:cat>
          <c:val>
            <c:numRef>
              <c:f>Hoja3!$B$2:$B$4</c:f>
              <c:numCache>
                <c:formatCode>0%</c:formatCode>
                <c:ptCount val="3"/>
                <c:pt idx="0">
                  <c:v>0.72699999999999998</c:v>
                </c:pt>
                <c:pt idx="1">
                  <c:v>0.22700000000000001</c:v>
                </c:pt>
                <c:pt idx="2">
                  <c:v>0.04</c:v>
                </c:pt>
              </c:numCache>
            </c:numRef>
          </c:val>
          <c:extLst>
            <c:ext xmlns:c16="http://schemas.microsoft.com/office/drawing/2014/chart" uri="{C3380CC4-5D6E-409C-BE32-E72D297353CC}">
              <c16:uniqueId val="{00000008-90BE-414E-9768-22F855767C2C}"/>
            </c:ext>
          </c:extLst>
        </c:ser>
        <c:dLbls>
          <c:showLegendKey val="0"/>
          <c:showVal val="0"/>
          <c:showCatName val="0"/>
          <c:showSerName val="0"/>
          <c:showPercent val="0"/>
          <c:showBubbleSize val="0"/>
          <c:showLeaderLines val="1"/>
        </c:dLbls>
        <c:firstSliceAng val="0"/>
      </c:pieChart>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5F7772-1327-6A4B-A958-ABB50E89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4553</Words>
  <Characters>25957</Characters>
  <Application>Microsoft Office Word</Application>
  <DocSecurity>0</DocSecurity>
  <Lines>216</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Daisy Crowson</cp:lastModifiedBy>
  <cp:revision>33</cp:revision>
  <cp:lastPrinted>2017-12-24T23:45:00Z</cp:lastPrinted>
  <dcterms:created xsi:type="dcterms:W3CDTF">2020-09-30T11:14:00Z</dcterms:created>
  <dcterms:modified xsi:type="dcterms:W3CDTF">2020-09-30T16:31:00Z</dcterms:modified>
</cp:coreProperties>
</file>