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F88A1" w14:textId="603E1E59" w:rsidR="00F00C72" w:rsidRPr="0014645F" w:rsidRDefault="0014645F" w:rsidP="00734746">
      <w:pPr>
        <w:rPr>
          <w:rtl/>
        </w:rPr>
      </w:pPr>
      <w:r>
        <w:rPr>
          <w:i/>
          <w:iCs/>
        </w:rPr>
        <w:t>Bi-</w:t>
      </w:r>
      <w:proofErr w:type="spellStart"/>
      <w:r w:rsidRPr="0014645F">
        <w:rPr>
          <w:i/>
          <w:iCs/>
        </w:rPr>
        <w:t>N</w:t>
      </w:r>
      <w:r w:rsidR="004501C0">
        <w:rPr>
          <w:i/>
          <w:iCs/>
        </w:rPr>
        <w:t>’</w:t>
      </w:r>
      <w:r w:rsidRPr="0014645F">
        <w:rPr>
          <w:i/>
          <w:iCs/>
        </w:rPr>
        <w:t>ot</w:t>
      </w:r>
      <w:proofErr w:type="spellEnd"/>
      <w:r w:rsidRPr="0014645F">
        <w:rPr>
          <w:i/>
          <w:iCs/>
        </w:rPr>
        <w:t xml:space="preserve"> De</w:t>
      </w:r>
      <w:proofErr w:type="spellStart"/>
      <w:r w:rsidRPr="0014645F">
        <w:rPr>
          <w:i/>
          <w:iCs/>
        </w:rPr>
        <w:t>she</w:t>
      </w:r>
      <w:proofErr w:type="spellEnd"/>
      <w:r w:rsidRPr="0014645F">
        <w:rPr>
          <w:i/>
          <w:iCs/>
        </w:rPr>
        <w:t xml:space="preserve"> </w:t>
      </w:r>
      <w:r w:rsidRPr="0014645F">
        <w:t>by Rabbi Shlomo Adahan:</w:t>
      </w:r>
      <w:r>
        <w:t xml:space="preserve"> </w:t>
      </w:r>
      <w:commentRangeStart w:id="0"/>
      <w:r w:rsidR="001350FD">
        <w:t>Ethical-Practical</w:t>
      </w:r>
      <w:r w:rsidR="0040756E">
        <w:t xml:space="preserve"> </w:t>
      </w:r>
      <w:r w:rsidR="00BF70BE" w:rsidRPr="0014645F">
        <w:t>Literature</w:t>
      </w:r>
      <w:r w:rsidR="00BF70BE">
        <w:t xml:space="preserve"> </w:t>
      </w:r>
      <w:r>
        <w:t xml:space="preserve">in </w:t>
      </w:r>
      <w:r w:rsidR="004501C0">
        <w:t>18</w:t>
      </w:r>
      <w:r w:rsidR="004501C0" w:rsidRPr="0014645F">
        <w:rPr>
          <w:vertAlign w:val="superscript"/>
        </w:rPr>
        <w:t>th</w:t>
      </w:r>
      <w:r w:rsidR="004501C0">
        <w:t xml:space="preserve">-century </w:t>
      </w:r>
      <w:r>
        <w:t>North Africa</w:t>
      </w:r>
      <w:commentRangeEnd w:id="0"/>
      <w:r>
        <w:rPr>
          <w:rStyle w:val="CommentReference"/>
        </w:rPr>
        <w:commentReference w:id="0"/>
      </w:r>
    </w:p>
    <w:p w14:paraId="0FC9F7A4" w14:textId="053B94C5" w:rsidR="00520B3B" w:rsidRPr="0014645F" w:rsidRDefault="002562F5" w:rsidP="00734746">
      <w:pPr>
        <w:rPr>
          <w:rtl/>
        </w:rPr>
      </w:pPr>
      <w:r w:rsidRPr="0014645F">
        <w:t>A.</w:t>
      </w:r>
    </w:p>
    <w:p w14:paraId="28A57C52" w14:textId="4E69FEFB" w:rsidR="00F00C72" w:rsidRPr="0014645F" w:rsidRDefault="002562F5" w:rsidP="00734746">
      <w:pPr>
        <w:rPr>
          <w:rtl/>
        </w:rPr>
      </w:pPr>
      <w:r w:rsidRPr="0014645F">
        <w:t xml:space="preserve">Rabbi Shlomo </w:t>
      </w:r>
      <w:r w:rsidR="0014645F" w:rsidRPr="0014645F">
        <w:t>Adahan</w:t>
      </w:r>
      <w:r w:rsidR="0014645F">
        <w:rPr>
          <w:lang w:val="en-US"/>
        </w:rPr>
        <w:t>, who</w:t>
      </w:r>
      <w:r w:rsidRPr="0014645F">
        <w:t xml:space="preserve"> lived in the first half of the eighteenth century</w:t>
      </w:r>
      <w:r w:rsidR="0014645F">
        <w:t xml:space="preserve">, </w:t>
      </w:r>
      <w:r w:rsidRPr="0014645F">
        <w:t xml:space="preserve">was born in </w:t>
      </w:r>
      <w:proofErr w:type="spellStart"/>
      <w:r w:rsidR="0014645F" w:rsidRPr="0014645F">
        <w:t>Tafilalt</w:t>
      </w:r>
      <w:proofErr w:type="spellEnd"/>
      <w:r w:rsidR="0014645F" w:rsidRPr="0014645F">
        <w:t xml:space="preserve"> </w:t>
      </w:r>
      <w:r w:rsidRPr="0014645F">
        <w:t xml:space="preserve">in </w:t>
      </w:r>
      <w:proofErr w:type="spellStart"/>
      <w:r w:rsidRPr="0014645F">
        <w:t>southeas</w:t>
      </w:r>
      <w:proofErr w:type="spellEnd"/>
      <w:r w:rsidR="00C5279C">
        <w:rPr>
          <w:lang w:val="en-US"/>
        </w:rPr>
        <w:t>t</w:t>
      </w:r>
      <w:r w:rsidR="0014645F">
        <w:t>ern</w:t>
      </w:r>
      <w:r w:rsidRPr="0014645F">
        <w:t xml:space="preserve"> Morocco, and at some point</w:t>
      </w:r>
      <w:r w:rsidR="00C5279C">
        <w:t>,</w:t>
      </w:r>
      <w:r w:rsidRPr="0014645F">
        <w:t xml:space="preserve"> he settled in </w:t>
      </w:r>
      <w:proofErr w:type="spellStart"/>
      <w:r w:rsidRPr="0014645F">
        <w:t>T</w:t>
      </w:r>
      <w:r w:rsidR="0014645F">
        <w:t>e</w:t>
      </w:r>
      <w:r w:rsidRPr="0014645F">
        <w:t>touan</w:t>
      </w:r>
      <w:proofErr w:type="spellEnd"/>
      <w:r w:rsidRPr="0014645F">
        <w:t xml:space="preserve"> in the north of the country. He also spent some time in Amsterdam.</w:t>
      </w:r>
    </w:p>
    <w:p w14:paraId="6F9F20CA" w14:textId="1B53BE0D" w:rsidR="00F00C72" w:rsidRPr="0014645F" w:rsidRDefault="0014645F" w:rsidP="00734746">
      <w:pPr>
        <w:rPr>
          <w:rtl/>
        </w:rPr>
      </w:pPr>
      <w:r w:rsidRPr="0014645F">
        <w:t xml:space="preserve">Adahan </w:t>
      </w:r>
      <w:r>
        <w:t>was the author</w:t>
      </w:r>
      <w:r w:rsidRPr="0014645F">
        <w:t xml:space="preserve"> of</w:t>
      </w:r>
      <w:r>
        <w:rPr>
          <w:i/>
          <w:iCs/>
        </w:rPr>
        <w:t xml:space="preserve"> Bi-</w:t>
      </w:r>
      <w:proofErr w:type="spellStart"/>
      <w:r w:rsidRPr="0014645F">
        <w:rPr>
          <w:i/>
          <w:iCs/>
        </w:rPr>
        <w:t>N</w:t>
      </w:r>
      <w:r w:rsidR="003600BA">
        <w:rPr>
          <w:i/>
          <w:iCs/>
        </w:rPr>
        <w:t>’</w:t>
      </w:r>
      <w:r w:rsidRPr="0014645F">
        <w:rPr>
          <w:i/>
          <w:iCs/>
        </w:rPr>
        <w:t>ot</w:t>
      </w:r>
      <w:proofErr w:type="spellEnd"/>
      <w:r w:rsidRPr="0014645F">
        <w:rPr>
          <w:i/>
          <w:iCs/>
        </w:rPr>
        <w:t xml:space="preserve"> </w:t>
      </w:r>
      <w:proofErr w:type="spellStart"/>
      <w:r w:rsidRPr="0014645F">
        <w:rPr>
          <w:i/>
          <w:iCs/>
        </w:rPr>
        <w:t>Deshe</w:t>
      </w:r>
      <w:proofErr w:type="spellEnd"/>
      <w:r w:rsidRPr="0014645F">
        <w:t xml:space="preserve"> (Amsterdam 1735), </w:t>
      </w:r>
      <w:r>
        <w:t>which can</w:t>
      </w:r>
      <w:r w:rsidR="00182005">
        <w:t xml:space="preserve"> </w:t>
      </w:r>
      <w:r>
        <w:t xml:space="preserve">be </w:t>
      </w:r>
      <w:commentRangeStart w:id="1"/>
      <w:r>
        <w:t>characterized as</w:t>
      </w:r>
      <w:r w:rsidR="006E01F9">
        <w:t xml:space="preserve"> belonging to the genre of </w:t>
      </w:r>
      <w:r w:rsidR="00AE2CE3">
        <w:rPr>
          <w:rFonts w:hint="cs"/>
          <w:rtl/>
        </w:rPr>
        <w:t>ספרי הנהגות</w:t>
      </w:r>
      <w:r w:rsidR="00AE2CE3">
        <w:rPr>
          <w:lang w:val="en-US"/>
        </w:rPr>
        <w:t xml:space="preserve">, </w:t>
      </w:r>
      <w:r w:rsidR="00490C4F">
        <w:rPr>
          <w:lang w:val="en-US"/>
        </w:rPr>
        <w:t xml:space="preserve">ethical-practical </w:t>
      </w:r>
      <w:r w:rsidR="00F65CDA">
        <w:t>treatise</w:t>
      </w:r>
      <w:r w:rsidR="00AE2CE3">
        <w:t>s</w:t>
      </w:r>
      <w:r w:rsidR="00F65CDA">
        <w:t xml:space="preserve"> </w:t>
      </w:r>
      <w:commentRangeEnd w:id="1"/>
      <w:r w:rsidR="005966AE">
        <w:rPr>
          <w:rStyle w:val="CommentReference"/>
        </w:rPr>
        <w:commentReference w:id="1"/>
      </w:r>
      <w:r w:rsidR="00F65CDA">
        <w:t xml:space="preserve">delineating </w:t>
      </w:r>
      <w:r w:rsidR="00D5697B">
        <w:t xml:space="preserve">recommended practices and </w:t>
      </w:r>
      <w:r>
        <w:t xml:space="preserve">ethical </w:t>
      </w:r>
      <w:r w:rsidR="00527EBA">
        <w:t>behavior</w:t>
      </w:r>
      <w:r>
        <w:t xml:space="preserve">. </w:t>
      </w:r>
      <w:r w:rsidR="008B2995">
        <w:t>I</w:t>
      </w:r>
      <w:r w:rsidR="008B2995" w:rsidRPr="0014645F">
        <w:t xml:space="preserve">n contrast to </w:t>
      </w:r>
      <w:r w:rsidR="008B2995">
        <w:t xml:space="preserve">other contemporary </w:t>
      </w:r>
      <w:r w:rsidR="008B2995" w:rsidRPr="0014645F">
        <w:t>Jewish communities</w:t>
      </w:r>
      <w:r w:rsidR="00527EBA">
        <w:t>, t</w:t>
      </w:r>
      <w:r>
        <w:t>his type of</w:t>
      </w:r>
      <w:r w:rsidRPr="0014645F">
        <w:t xml:space="preserve"> </w:t>
      </w:r>
      <w:r w:rsidR="00AE2CE3">
        <w:t xml:space="preserve">ethical-practical </w:t>
      </w:r>
      <w:r w:rsidRPr="0014645F">
        <w:t>literature was not widespread in the Jewish communities in the Maghreb in the eighteenth century</w:t>
      </w:r>
      <w:r>
        <w:t>.</w:t>
      </w:r>
      <w:r w:rsidRPr="0014645F">
        <w:t xml:space="preserve"> </w:t>
      </w:r>
      <w:r>
        <w:t>The</w:t>
      </w:r>
      <w:r w:rsidRPr="0014645F">
        <w:t xml:space="preserve"> importance of Adahan</w:t>
      </w:r>
      <w:r w:rsidR="003600BA">
        <w:t>’</w:t>
      </w:r>
      <w:r w:rsidRPr="0014645F">
        <w:t xml:space="preserve">s work </w:t>
      </w:r>
      <w:r>
        <w:t xml:space="preserve">derives from </w:t>
      </w:r>
      <w:r w:rsidR="008B2995">
        <w:t>its</w:t>
      </w:r>
      <w:r>
        <w:t xml:space="preserve"> role </w:t>
      </w:r>
      <w:r w:rsidRPr="0014645F">
        <w:t xml:space="preserve">as </w:t>
      </w:r>
      <w:r w:rsidR="00E03299">
        <w:t>a</w:t>
      </w:r>
      <w:r w:rsidRPr="0014645F">
        <w:t xml:space="preserve"> </w:t>
      </w:r>
      <w:r w:rsidR="008B2995">
        <w:t>conduit between</w:t>
      </w:r>
      <w:r w:rsidRPr="0014645F">
        <w:t xml:space="preserve"> the North African and Western European </w:t>
      </w:r>
      <w:r w:rsidR="008B2995" w:rsidRPr="0014645F">
        <w:t>space</w:t>
      </w:r>
      <w:r w:rsidR="008B2995">
        <w:t>s</w:t>
      </w:r>
      <w:r w:rsidR="008B2995" w:rsidRPr="0014645F">
        <w:t xml:space="preserve"> </w:t>
      </w:r>
      <w:bookmarkStart w:id="2" w:name="_Hlk161841162"/>
      <w:r w:rsidRPr="0014645F">
        <w:t xml:space="preserve">and </w:t>
      </w:r>
      <w:r w:rsidR="008B2995">
        <w:t xml:space="preserve">its contribution </w:t>
      </w:r>
      <w:r w:rsidRPr="0014645F">
        <w:t>to the transfer of knowledge between cultures.</w:t>
      </w:r>
    </w:p>
    <w:bookmarkEnd w:id="2"/>
    <w:p w14:paraId="5350641A" w14:textId="5367D4B3" w:rsidR="00520B3B" w:rsidRPr="0014645F" w:rsidRDefault="002562F5" w:rsidP="00734746">
      <w:pPr>
        <w:rPr>
          <w:rtl/>
        </w:rPr>
      </w:pPr>
      <w:r w:rsidRPr="0014645F">
        <w:t>B.</w:t>
      </w:r>
    </w:p>
    <w:p w14:paraId="4AB710D0" w14:textId="09EE4934" w:rsidR="00A47B57" w:rsidRPr="008B2995" w:rsidRDefault="002562F5" w:rsidP="00734746">
      <w:pPr>
        <w:rPr>
          <w:lang w:val="en-US"/>
        </w:rPr>
      </w:pPr>
      <w:r w:rsidRPr="0014645F">
        <w:t xml:space="preserve">Jewish </w:t>
      </w:r>
      <w:r w:rsidR="003A19DC">
        <w:t>ethical</w:t>
      </w:r>
      <w:r w:rsidRPr="0014645F">
        <w:t xml:space="preserve"> literature </w:t>
      </w:r>
      <w:r w:rsidR="008B2995">
        <w:t>flowered</w:t>
      </w:r>
      <w:r w:rsidRPr="0014645F">
        <w:t xml:space="preserve"> </w:t>
      </w:r>
      <w:r w:rsidR="00D64867">
        <w:t xml:space="preserve">during </w:t>
      </w:r>
      <w:r w:rsidRPr="0014645F">
        <w:t>the Middle Ages</w:t>
      </w:r>
      <w:r w:rsidR="008B2995">
        <w:t xml:space="preserve">, </w:t>
      </w:r>
      <w:commentRangeStart w:id="3"/>
      <w:r w:rsidR="008B2995">
        <w:t xml:space="preserve">including </w:t>
      </w:r>
      <w:commentRangeEnd w:id="3"/>
      <w:r w:rsidR="003A19DC">
        <w:rPr>
          <w:rStyle w:val="CommentReference"/>
        </w:rPr>
        <w:commentReference w:id="3"/>
      </w:r>
      <w:r w:rsidR="008B2995">
        <w:t>th</w:t>
      </w:r>
      <w:r w:rsidR="0040756E">
        <w:t>e</w:t>
      </w:r>
      <w:r w:rsidR="008B2995">
        <w:t xml:space="preserve"> later part of that period</w:t>
      </w:r>
      <w:r w:rsidRPr="0014645F">
        <w:t xml:space="preserve">. </w:t>
      </w:r>
      <w:r w:rsidR="008B2995">
        <w:t>The</w:t>
      </w:r>
      <w:r w:rsidRPr="0014645F">
        <w:t xml:space="preserve"> last third of the sixteenth century</w:t>
      </w:r>
      <w:r w:rsidR="008B2995">
        <w:t xml:space="preserve"> was</w:t>
      </w:r>
      <w:r w:rsidRPr="0014645F">
        <w:t xml:space="preserve"> a turning point </w:t>
      </w:r>
      <w:r w:rsidR="00DB2F5B">
        <w:t>that</w:t>
      </w:r>
      <w:r w:rsidR="008B2995">
        <w:t xml:space="preserve"> saw </w:t>
      </w:r>
      <w:r w:rsidRPr="0014645F">
        <w:t>the flourishing of Kabbalistic</w:t>
      </w:r>
      <w:r w:rsidR="008B2995">
        <w:t xml:space="preserve"> </w:t>
      </w:r>
      <w:r w:rsidR="00D64867">
        <w:t>literature</w:t>
      </w:r>
      <w:r w:rsidR="00D64867" w:rsidRPr="0014645F">
        <w:t xml:space="preserve"> </w:t>
      </w:r>
      <w:r w:rsidR="00D64867">
        <w:t>of practical and ethical instruction</w:t>
      </w:r>
      <w:r w:rsidR="008B2995">
        <w:t xml:space="preserve"> </w:t>
      </w:r>
      <w:r w:rsidRPr="0014645F">
        <w:t>in Safed.</w:t>
      </w:r>
    </w:p>
    <w:p w14:paraId="0908EC11" w14:textId="3584B6C7" w:rsidR="00520B3B" w:rsidRPr="0014645F" w:rsidRDefault="002562F5" w:rsidP="00734746">
      <w:pPr>
        <w:rPr>
          <w:rtl/>
        </w:rPr>
      </w:pPr>
      <w:commentRangeStart w:id="4"/>
      <w:r w:rsidRPr="0014645F">
        <w:t>According to Weinstein</w:t>
      </w:r>
      <w:commentRangeEnd w:id="4"/>
      <w:r w:rsidR="004671AE">
        <w:rPr>
          <w:rStyle w:val="CommentReference"/>
        </w:rPr>
        <w:commentReference w:id="4"/>
      </w:r>
      <w:r w:rsidRPr="0014645F">
        <w:t>, th</w:t>
      </w:r>
      <w:r w:rsidR="008B2995">
        <w:t>is ethical</w:t>
      </w:r>
      <w:r w:rsidR="00C8224B">
        <w:rPr>
          <w:lang w:val="en-US"/>
        </w:rPr>
        <w:t>-practical</w:t>
      </w:r>
      <w:r w:rsidR="008B2995">
        <w:t xml:space="preserve"> </w:t>
      </w:r>
      <w:r w:rsidRPr="0014645F">
        <w:t xml:space="preserve">literature focuses on daily activities, </w:t>
      </w:r>
      <w:r w:rsidR="00956CFD">
        <w:t>personal and social morality, and</w:t>
      </w:r>
      <w:r w:rsidR="008B2995">
        <w:t xml:space="preserve"> the ritual</w:t>
      </w:r>
      <w:r w:rsidRPr="0014645F">
        <w:t xml:space="preserve"> innovations </w:t>
      </w:r>
      <w:r w:rsidR="008B2995">
        <w:t>of</w:t>
      </w:r>
      <w:r w:rsidRPr="0014645F">
        <w:t xml:space="preserve"> the Safed Kabbalists. The</w:t>
      </w:r>
      <w:r w:rsidR="008B2995">
        <w:t>se ethical</w:t>
      </w:r>
      <w:r w:rsidR="00956CFD">
        <w:t>-spiritual</w:t>
      </w:r>
      <w:r w:rsidR="008B2995">
        <w:t xml:space="preserve"> guide</w:t>
      </w:r>
      <w:r w:rsidRPr="0014645F">
        <w:t xml:space="preserve">books covered </w:t>
      </w:r>
      <w:r w:rsidR="008B2995">
        <w:t>many</w:t>
      </w:r>
      <w:r w:rsidRPr="0014645F">
        <w:t xml:space="preserve"> aspects of the individual</w:t>
      </w:r>
      <w:r w:rsidR="003600BA">
        <w:t>’</w:t>
      </w:r>
      <w:r w:rsidRPr="0014645F">
        <w:t xml:space="preserve">s life and </w:t>
      </w:r>
      <w:r w:rsidR="008B2995">
        <w:t>set out</w:t>
      </w:r>
      <w:r w:rsidRPr="0014645F">
        <w:t xml:space="preserve"> </w:t>
      </w:r>
      <w:r w:rsidR="008B2995">
        <w:t>what they considered to be correct behavior</w:t>
      </w:r>
      <w:r w:rsidRPr="0014645F">
        <w:t xml:space="preserve"> for weekdays, </w:t>
      </w:r>
      <w:r w:rsidR="008B2995">
        <w:t>Sabbaths,</w:t>
      </w:r>
      <w:r w:rsidRPr="0014645F">
        <w:t xml:space="preserve"> and special occasions.</w:t>
      </w:r>
    </w:p>
    <w:p w14:paraId="3E4BC30D" w14:textId="2D3A1A09" w:rsidR="00B73320" w:rsidRPr="0014645F" w:rsidRDefault="002562F5" w:rsidP="00734746">
      <w:pPr>
        <w:rPr>
          <w:rtl/>
        </w:rPr>
      </w:pPr>
      <w:r w:rsidRPr="0014645F">
        <w:lastRenderedPageBreak/>
        <w:t xml:space="preserve">The </w:t>
      </w:r>
      <w:r w:rsidR="00EA4F1D">
        <w:t>ethical-practical literature</w:t>
      </w:r>
      <w:r w:rsidRPr="0014645F">
        <w:t xml:space="preserve"> that took shape in Safed at the end of the sixteenth century </w:t>
      </w:r>
      <w:r w:rsidR="0069063D">
        <w:t>spread to</w:t>
      </w:r>
      <w:r w:rsidRPr="0014645F">
        <w:t xml:space="preserve"> other Jewish communities in the following centuries. </w:t>
      </w:r>
      <w:r w:rsidR="0069063D">
        <w:t>Abbreviated editions of longer</w:t>
      </w:r>
      <w:r w:rsidRPr="0014645F">
        <w:t xml:space="preserve"> books expanded the circle of readers beyond the narrow circle of the scholarly elite to wider and less</w:t>
      </w:r>
      <w:r w:rsidR="0069063D">
        <w:t>-</w:t>
      </w:r>
      <w:r w:rsidRPr="0014645F">
        <w:t>educated audiences.</w:t>
      </w:r>
    </w:p>
    <w:p w14:paraId="002FCE76" w14:textId="07C05AA6" w:rsidR="00804BA1" w:rsidRPr="0014645F" w:rsidRDefault="002562F5" w:rsidP="00734746">
      <w:pPr>
        <w:rPr>
          <w:rtl/>
        </w:rPr>
      </w:pPr>
      <w:r w:rsidRPr="0014645F">
        <w:t xml:space="preserve">In the seventeenth and eighteenth centuries, </w:t>
      </w:r>
      <w:r w:rsidR="00FA75B3">
        <w:t>this type of</w:t>
      </w:r>
      <w:r w:rsidRPr="0014645F">
        <w:t xml:space="preserve"> literature was written in Italy, the Ottoman Empire, </w:t>
      </w:r>
      <w:r w:rsidR="00AF3442">
        <w:rPr>
          <w:lang w:val="en-US"/>
        </w:rPr>
        <w:t xml:space="preserve">and </w:t>
      </w:r>
      <w:r w:rsidR="0069063D">
        <w:t>Germany</w:t>
      </w:r>
      <w:r w:rsidR="00AF3442">
        <w:t xml:space="preserve">. </w:t>
      </w:r>
      <w:commentRangeStart w:id="5"/>
      <w:r w:rsidR="00AF3442">
        <w:t>Most of these books were written in Hebrew</w:t>
      </w:r>
      <w:r w:rsidR="0017133E">
        <w:t>,</w:t>
      </w:r>
      <w:r w:rsidR="00AF3442">
        <w:t xml:space="preserve"> but they were also composed in other Jewish languages, especially </w:t>
      </w:r>
      <w:commentRangeStart w:id="6"/>
      <w:r w:rsidRPr="0014645F">
        <w:t>Yiddish</w:t>
      </w:r>
      <w:commentRangeEnd w:id="6"/>
      <w:r w:rsidR="0069063D">
        <w:rPr>
          <w:rStyle w:val="CommentReference"/>
        </w:rPr>
        <w:commentReference w:id="6"/>
      </w:r>
      <w:commentRangeEnd w:id="5"/>
      <w:r w:rsidR="00AF3442">
        <w:rPr>
          <w:rStyle w:val="CommentReference"/>
        </w:rPr>
        <w:commentReference w:id="5"/>
      </w:r>
      <w:r w:rsidRPr="0014645F">
        <w:t>.</w:t>
      </w:r>
    </w:p>
    <w:p w14:paraId="39894809" w14:textId="628A6032" w:rsidR="00520B3B" w:rsidRPr="0014645F" w:rsidRDefault="002562F5" w:rsidP="00734746">
      <w:pPr>
        <w:rPr>
          <w:rtl/>
        </w:rPr>
      </w:pPr>
      <w:commentRangeStart w:id="7"/>
      <w:r w:rsidRPr="0014645F">
        <w:t>According to Bar-</w:t>
      </w:r>
      <w:proofErr w:type="spellStart"/>
      <w:r w:rsidRPr="0014645F">
        <w:t>Levav</w:t>
      </w:r>
      <w:proofErr w:type="spellEnd"/>
      <w:r w:rsidRPr="0014645F">
        <w:t>, th</w:t>
      </w:r>
      <w:r w:rsidR="00AF3442">
        <w:t>is</w:t>
      </w:r>
      <w:r w:rsidRPr="0014645F">
        <w:t xml:space="preserve"> </w:t>
      </w:r>
      <w:r w:rsidR="00AF3442">
        <w:t>ethical</w:t>
      </w:r>
      <w:r w:rsidR="00F95687">
        <w:t>-practical</w:t>
      </w:r>
      <w:r w:rsidR="00AF3442" w:rsidRPr="0014645F">
        <w:t xml:space="preserve"> </w:t>
      </w:r>
      <w:r w:rsidRPr="0014645F">
        <w:t xml:space="preserve">literature reflects the trend </w:t>
      </w:r>
      <w:r w:rsidR="00AF3442">
        <w:t>towards the</w:t>
      </w:r>
      <w:r w:rsidRPr="0014645F">
        <w:t xml:space="preserve"> ritualization of Jewish life in the early modern period.</w:t>
      </w:r>
      <w:commentRangeEnd w:id="7"/>
      <w:r w:rsidR="00F95687">
        <w:rPr>
          <w:rStyle w:val="CommentReference"/>
        </w:rPr>
        <w:commentReference w:id="7"/>
      </w:r>
    </w:p>
    <w:p w14:paraId="1FC12F6F" w14:textId="285F7383" w:rsidR="003C726D" w:rsidRPr="0014645F" w:rsidRDefault="002B5A81" w:rsidP="00734746">
      <w:pPr>
        <w:rPr>
          <w:rtl/>
        </w:rPr>
      </w:pPr>
      <w:r>
        <w:t>E</w:t>
      </w:r>
      <w:r w:rsidR="00F054EE">
        <w:t>thical</w:t>
      </w:r>
      <w:r w:rsidR="008C45BC">
        <w:t>-practical</w:t>
      </w:r>
      <w:r w:rsidR="002562F5" w:rsidRPr="0014645F">
        <w:t xml:space="preserve"> literature </w:t>
      </w:r>
      <w:r w:rsidR="00F054EE">
        <w:t>was also widely circulated</w:t>
      </w:r>
      <w:r w:rsidR="002562F5" w:rsidRPr="0014645F">
        <w:t xml:space="preserve"> in the Jewish communities </w:t>
      </w:r>
      <w:r w:rsidR="00F054EE">
        <w:t>of</w:t>
      </w:r>
      <w:r w:rsidR="002562F5" w:rsidRPr="0014645F">
        <w:t xml:space="preserve"> North Africa and was cited and discussed by </w:t>
      </w:r>
      <w:r w:rsidR="00F054EE">
        <w:t>its</w:t>
      </w:r>
      <w:r w:rsidR="002562F5" w:rsidRPr="0014645F">
        <w:t xml:space="preserve"> rabbis</w:t>
      </w:r>
      <w:r w:rsidR="00F054EE">
        <w:t>. S</w:t>
      </w:r>
      <w:r w:rsidR="002562F5" w:rsidRPr="0014645F">
        <w:t xml:space="preserve">ome encouraged </w:t>
      </w:r>
      <w:r w:rsidR="00F054EE">
        <w:t>their students to study it</w:t>
      </w:r>
      <w:r w:rsidR="002562F5" w:rsidRPr="0014645F">
        <w:t xml:space="preserve"> regularly and compiled recommended reading list</w:t>
      </w:r>
      <w:r w:rsidR="00F054EE">
        <w:t>s</w:t>
      </w:r>
      <w:r w:rsidR="002562F5" w:rsidRPr="0014645F">
        <w:t>. However, unlike the other diasporas mentioned, the rabbis</w:t>
      </w:r>
      <w:r w:rsidR="005861C4">
        <w:t xml:space="preserve"> of the </w:t>
      </w:r>
      <w:r w:rsidR="005861C4" w:rsidRPr="0014645F">
        <w:t>Maghreb</w:t>
      </w:r>
      <w:r w:rsidR="002562F5" w:rsidRPr="0014645F">
        <w:t xml:space="preserve"> almost never wrote original </w:t>
      </w:r>
      <w:r w:rsidR="008B2995">
        <w:t>ethical</w:t>
      </w:r>
      <w:r w:rsidR="002562F5" w:rsidRPr="0014645F">
        <w:t xml:space="preserve"> literature or </w:t>
      </w:r>
      <w:r w:rsidR="00F054EE">
        <w:t xml:space="preserve">even </w:t>
      </w:r>
      <w:commentRangeStart w:id="8"/>
      <w:r w:rsidR="00F054EE">
        <w:t>abridged versions of existing works</w:t>
      </w:r>
      <w:commentRangeEnd w:id="8"/>
      <w:r w:rsidR="00F054EE">
        <w:rPr>
          <w:rStyle w:val="CommentReference"/>
        </w:rPr>
        <w:commentReference w:id="8"/>
      </w:r>
      <w:r w:rsidR="002562F5" w:rsidRPr="0014645F">
        <w:t>.</w:t>
      </w:r>
    </w:p>
    <w:p w14:paraId="179716C7" w14:textId="32B2129D" w:rsidR="00520B3B" w:rsidRPr="0014645F" w:rsidRDefault="002562F5" w:rsidP="00734746">
      <w:pPr>
        <w:rPr>
          <w:rtl/>
        </w:rPr>
      </w:pPr>
      <w:r w:rsidRPr="0014645F">
        <w:t xml:space="preserve"> </w:t>
      </w:r>
      <w:r w:rsidR="0014645F" w:rsidRPr="0014645F">
        <w:t>Adahan</w:t>
      </w:r>
      <w:r w:rsidR="003600BA">
        <w:t>’</w:t>
      </w:r>
      <w:r w:rsidRPr="0014645F">
        <w:t xml:space="preserve">s </w:t>
      </w:r>
      <w:r w:rsidR="00F054EE">
        <w:t>decision to compose an ethical</w:t>
      </w:r>
      <w:r w:rsidR="004671AE">
        <w:t>-practical</w:t>
      </w:r>
      <w:r w:rsidR="00F054EE">
        <w:t xml:space="preserve"> treatise thus</w:t>
      </w:r>
      <w:r w:rsidRPr="0014645F">
        <w:t xml:space="preserve"> fits well with the extensive writing</w:t>
      </w:r>
      <w:r w:rsidR="00F054EE">
        <w:t xml:space="preserve"> in the genre</w:t>
      </w:r>
      <w:r w:rsidRPr="0014645F">
        <w:t xml:space="preserve"> of the Jewish communities in the various diasporas and with the lively printing activity that took place in Amsterdam</w:t>
      </w:r>
      <w:r w:rsidR="004C7BCE">
        <w:t>,</w:t>
      </w:r>
      <w:r w:rsidRPr="0014645F">
        <w:t xml:space="preserve"> where he lived for some time</w:t>
      </w:r>
      <w:r w:rsidR="00F054EE">
        <w:t>.</w:t>
      </w:r>
      <w:r w:rsidRPr="0014645F">
        <w:t xml:space="preserve"> However, </w:t>
      </w:r>
      <w:r w:rsidR="00F054EE">
        <w:t xml:space="preserve">at least </w:t>
      </w:r>
      <w:r w:rsidRPr="0014645F">
        <w:t xml:space="preserve">according to our knowledge at the moment, </w:t>
      </w:r>
      <w:r w:rsidR="0014645F" w:rsidRPr="0014645F">
        <w:t>Adahan</w:t>
      </w:r>
      <w:r w:rsidR="003600BA">
        <w:t>’</w:t>
      </w:r>
      <w:r w:rsidRPr="0014645F">
        <w:t xml:space="preserve">s </w:t>
      </w:r>
      <w:r w:rsidR="00F054EE">
        <w:t>decision to contribute to this genre</w:t>
      </w:r>
      <w:r w:rsidRPr="0014645F">
        <w:t xml:space="preserve"> </w:t>
      </w:r>
      <w:r w:rsidR="00F054EE">
        <w:t>was</w:t>
      </w:r>
      <w:r w:rsidRPr="0014645F">
        <w:t xml:space="preserve"> unusual in relation to</w:t>
      </w:r>
      <w:r w:rsidR="00F054EE">
        <w:t xml:space="preserve"> the</w:t>
      </w:r>
      <w:r w:rsidRPr="0014645F">
        <w:t xml:space="preserve"> geographical </w:t>
      </w:r>
      <w:r w:rsidR="00F054EE">
        <w:t>context</w:t>
      </w:r>
      <w:r w:rsidRPr="0014645F">
        <w:t xml:space="preserve"> he came from. </w:t>
      </w:r>
    </w:p>
    <w:p w14:paraId="069A9C6C" w14:textId="6B25FDBC" w:rsidR="003C726D" w:rsidRPr="0014645F" w:rsidRDefault="00F054EE" w:rsidP="00734746">
      <w:pPr>
        <w:rPr>
          <w:rtl/>
        </w:rPr>
      </w:pPr>
      <w:r>
        <w:t>C.</w:t>
      </w:r>
    </w:p>
    <w:p w14:paraId="01EA13C0" w14:textId="2EFE8634" w:rsidR="00DD2DBA" w:rsidRPr="0014645F" w:rsidRDefault="002562F5" w:rsidP="005B3E46">
      <w:pPr>
        <w:rPr>
          <w:rtl/>
        </w:rPr>
      </w:pPr>
      <w:r w:rsidRPr="0014645F">
        <w:t xml:space="preserve">The </w:t>
      </w:r>
      <w:r w:rsidR="00166D28">
        <w:t>North African Adahan</w:t>
      </w:r>
      <w:r w:rsidR="003600BA">
        <w:t>’</w:t>
      </w:r>
      <w:r w:rsidR="00166D28">
        <w:t>s spending time</w:t>
      </w:r>
      <w:r w:rsidRPr="0014645F">
        <w:t xml:space="preserve"> in eighteenth-century Amsterdam </w:t>
      </w:r>
      <w:r w:rsidR="00166D28">
        <w:t>was</w:t>
      </w:r>
      <w:r w:rsidRPr="0014645F">
        <w:t xml:space="preserve"> not unusual. Close trade and diplomatic relations existed between Morocco and the Netherlands in the early modern period, the most famous representative of these </w:t>
      </w:r>
      <w:r w:rsidRPr="0014645F">
        <w:lastRenderedPageBreak/>
        <w:t>relations being Shmuel Palache.</w:t>
      </w:r>
      <w:r w:rsidR="005B3E46">
        <w:t xml:space="preserve"> These c</w:t>
      </w:r>
      <w:r w:rsidRPr="0014645F">
        <w:t xml:space="preserve">lose ties </w:t>
      </w:r>
      <w:r w:rsidR="005B3E46">
        <w:t>extended also to the relationship</w:t>
      </w:r>
      <w:r w:rsidRPr="0014645F">
        <w:t xml:space="preserve"> between the Jewish communit</w:t>
      </w:r>
      <w:r w:rsidR="005B3E46">
        <w:t xml:space="preserve">ies of </w:t>
      </w:r>
      <w:r w:rsidRPr="0014645F">
        <w:t>Morocco and Amsterdam</w:t>
      </w:r>
      <w:r w:rsidR="00166D28">
        <w:t>. F</w:t>
      </w:r>
      <w:r w:rsidRPr="0014645F">
        <w:t>or example</w:t>
      </w:r>
      <w:r w:rsidR="00166D28">
        <w:t>,</w:t>
      </w:r>
      <w:r w:rsidRPr="0014645F">
        <w:t xml:space="preserve"> Yitzhak Uziel and Yaakov S</w:t>
      </w:r>
      <w:r w:rsidR="00F054EE">
        <w:t>asportas</w:t>
      </w:r>
      <w:r w:rsidRPr="0014645F">
        <w:t xml:space="preserve"> served </w:t>
      </w:r>
      <w:r w:rsidR="00166D28">
        <w:t>as rabbis</w:t>
      </w:r>
      <w:r w:rsidRPr="0014645F">
        <w:t xml:space="preserve"> </w:t>
      </w:r>
      <w:r w:rsidR="00166D28">
        <w:t>in</w:t>
      </w:r>
      <w:r w:rsidRPr="0014645F">
        <w:t xml:space="preserve"> the Sephardic community in Amsterdam. Also, in the absence of a printing press in North Africa, the writings of Moroccan rabbis were printed in Amsterdam, which was then the world center of printing Jewish books.</w:t>
      </w:r>
    </w:p>
    <w:p w14:paraId="0C046A45" w14:textId="7B1947CC" w:rsidR="00DD2DBA" w:rsidRPr="0014645F" w:rsidRDefault="002562F5" w:rsidP="00734746">
      <w:pPr>
        <w:rPr>
          <w:rtl/>
        </w:rPr>
      </w:pPr>
      <w:r w:rsidRPr="0014645F">
        <w:t xml:space="preserve">During his stay in the city, </w:t>
      </w:r>
      <w:r w:rsidR="0014645F" w:rsidRPr="0014645F">
        <w:t>Adahan</w:t>
      </w:r>
      <w:r w:rsidRPr="0014645F">
        <w:t xml:space="preserve"> became involved in printing activities related to his </w:t>
      </w:r>
      <w:r w:rsidR="000B7767">
        <w:t>North African</w:t>
      </w:r>
      <w:r w:rsidRPr="0014645F">
        <w:t xml:space="preserve"> origin.</w:t>
      </w:r>
      <w:r w:rsidR="0038568D">
        <w:t xml:space="preserve"> </w:t>
      </w:r>
      <w:r w:rsidRPr="0014645F">
        <w:t xml:space="preserve">He </w:t>
      </w:r>
      <w:r w:rsidR="000829BC">
        <w:t xml:space="preserve">participated in </w:t>
      </w:r>
      <w:r w:rsidR="00AA270A">
        <w:t>the printing of</w:t>
      </w:r>
      <w:r w:rsidR="00F0004A">
        <w:t xml:space="preserve"> the writings of</w:t>
      </w:r>
      <w:r w:rsidR="004E390B">
        <w:t xml:space="preserve"> </w:t>
      </w:r>
      <w:r w:rsidR="00F0004A">
        <w:t>R</w:t>
      </w:r>
      <w:r w:rsidR="00066F6D">
        <w:t>abbi</w:t>
      </w:r>
      <w:r w:rsidR="000451DA">
        <w:t>s</w:t>
      </w:r>
      <w:r w:rsidR="00066F6D">
        <w:t xml:space="preserve"> Shimon ben Tzemach Duran (</w:t>
      </w:r>
      <w:proofErr w:type="spellStart"/>
      <w:r w:rsidR="00066F6D">
        <w:t>Rashbatz</w:t>
      </w:r>
      <w:proofErr w:type="spellEnd"/>
      <w:r w:rsidR="00066F6D">
        <w:t>),</w:t>
      </w:r>
      <w:r w:rsidRPr="0014645F">
        <w:t xml:space="preserve"> Moshe ben Yehuda Moeti</w:t>
      </w:r>
      <w:r w:rsidR="000451DA">
        <w:t>,</w:t>
      </w:r>
      <w:r w:rsidRPr="0014645F">
        <w:t xml:space="preserve"> and Vid</w:t>
      </w:r>
      <w:r w:rsidR="00236309">
        <w:t>a</w:t>
      </w:r>
      <w:r w:rsidRPr="0014645F">
        <w:t xml:space="preserve">l </w:t>
      </w:r>
      <w:r w:rsidR="000451DA">
        <w:t>Tza</w:t>
      </w:r>
      <w:r w:rsidRPr="0014645F">
        <w:t>rfati.</w:t>
      </w:r>
      <w:r w:rsidR="00236309">
        <w:t xml:space="preserve"> </w:t>
      </w:r>
      <w:commentRangeStart w:id="9"/>
      <w:r w:rsidRPr="0014645F">
        <w:t xml:space="preserve">During his stay in Amsterdam, </w:t>
      </w:r>
      <w:r w:rsidR="0014645F" w:rsidRPr="0014645F">
        <w:t>Adahan</w:t>
      </w:r>
      <w:r w:rsidRPr="0014645F">
        <w:t xml:space="preserve"> </w:t>
      </w:r>
      <w:r w:rsidR="00FB7B9E">
        <w:t xml:space="preserve">used print technology </w:t>
      </w:r>
      <w:r w:rsidRPr="0014645F">
        <w:t>to preserve the North African tradition.</w:t>
      </w:r>
      <w:commentRangeEnd w:id="9"/>
      <w:r w:rsidR="000B4405">
        <w:rPr>
          <w:rStyle w:val="CommentReference"/>
        </w:rPr>
        <w:commentReference w:id="9"/>
      </w:r>
    </w:p>
    <w:p w14:paraId="267070C2" w14:textId="117853A7" w:rsidR="00DD2DBA" w:rsidRPr="0014645F" w:rsidRDefault="0014645F" w:rsidP="00734746">
      <w:pPr>
        <w:rPr>
          <w:rtl/>
        </w:rPr>
      </w:pPr>
      <w:r w:rsidRPr="0014645F">
        <w:t>Adahan</w:t>
      </w:r>
      <w:r w:rsidR="003600BA">
        <w:t>’</w:t>
      </w:r>
      <w:r w:rsidRPr="0014645F">
        <w:t xml:space="preserve">s </w:t>
      </w:r>
      <w:r w:rsidR="000B7767">
        <w:t>Nor</w:t>
      </w:r>
      <w:r w:rsidR="005B379E">
        <w:t>th</w:t>
      </w:r>
      <w:r w:rsidR="000B7767">
        <w:t xml:space="preserve"> African</w:t>
      </w:r>
      <w:r w:rsidRPr="0014645F">
        <w:t xml:space="preserve"> identity and his self-perception as an expatriate </w:t>
      </w:r>
      <w:r w:rsidR="00EC421B" w:rsidRPr="0014645F">
        <w:t xml:space="preserve">temporarily </w:t>
      </w:r>
      <w:r w:rsidRPr="0014645F">
        <w:t xml:space="preserve">staying in Amsterdam emerge from his self-description </w:t>
      </w:r>
      <w:r w:rsidR="007E13EB">
        <w:t>o</w:t>
      </w:r>
      <w:r w:rsidRPr="0014645F">
        <w:t xml:space="preserve">n the </w:t>
      </w:r>
      <w:r w:rsidR="004057A5">
        <w:t>book title pages mentioned above, which also indicate</w:t>
      </w:r>
      <w:r w:rsidRPr="0014645F">
        <w:t xml:space="preserve"> that he intended to return to Morocco.</w:t>
      </w:r>
    </w:p>
    <w:p w14:paraId="6FB77AAC" w14:textId="6D875D4F" w:rsidR="00DD2DBA" w:rsidRPr="0014645F" w:rsidRDefault="00166D28" w:rsidP="00734746">
      <w:pPr>
        <w:rPr>
          <w:rtl/>
        </w:rPr>
      </w:pPr>
      <w:r>
        <w:t>D</w:t>
      </w:r>
      <w:r w:rsidRPr="0014645F">
        <w:t>.</w:t>
      </w:r>
    </w:p>
    <w:p w14:paraId="6CEA19A9" w14:textId="502FC87C" w:rsidR="00DD2DBA" w:rsidRPr="0014645F" w:rsidRDefault="002562F5" w:rsidP="00734746">
      <w:pPr>
        <w:rPr>
          <w:rtl/>
        </w:rPr>
      </w:pPr>
      <w:r w:rsidRPr="0014645F">
        <w:t xml:space="preserve">In his introduction to </w:t>
      </w:r>
      <w:r w:rsidR="00166D28">
        <w:rPr>
          <w:i/>
          <w:iCs/>
        </w:rPr>
        <w:t>Bi-</w:t>
      </w:r>
      <w:proofErr w:type="spellStart"/>
      <w:r w:rsidR="00166D28" w:rsidRPr="0014645F">
        <w:rPr>
          <w:i/>
          <w:iCs/>
        </w:rPr>
        <w:t>N</w:t>
      </w:r>
      <w:r w:rsidR="003600BA">
        <w:rPr>
          <w:i/>
          <w:iCs/>
        </w:rPr>
        <w:t>’</w:t>
      </w:r>
      <w:r w:rsidR="00166D28" w:rsidRPr="0014645F">
        <w:rPr>
          <w:i/>
          <w:iCs/>
        </w:rPr>
        <w:t>ot</w:t>
      </w:r>
      <w:proofErr w:type="spellEnd"/>
      <w:r w:rsidR="00166D28" w:rsidRPr="0014645F">
        <w:rPr>
          <w:i/>
          <w:iCs/>
        </w:rPr>
        <w:t xml:space="preserve"> </w:t>
      </w:r>
      <w:proofErr w:type="spellStart"/>
      <w:r w:rsidR="00166D28" w:rsidRPr="0014645F">
        <w:rPr>
          <w:i/>
          <w:iCs/>
        </w:rPr>
        <w:t>Deshe</w:t>
      </w:r>
      <w:proofErr w:type="spellEnd"/>
      <w:r w:rsidRPr="0014645F">
        <w:rPr>
          <w:i/>
          <w:iCs/>
        </w:rPr>
        <w:t>,</w:t>
      </w:r>
      <w:r w:rsidRPr="0014645F">
        <w:t xml:space="preserve"> </w:t>
      </w:r>
      <w:r w:rsidR="0014645F" w:rsidRPr="0014645F">
        <w:t>Adahan</w:t>
      </w:r>
      <w:r w:rsidRPr="0014645F">
        <w:t xml:space="preserve"> detailed the </w:t>
      </w:r>
      <w:r w:rsidR="00681B2A">
        <w:t>book</w:t>
      </w:r>
      <w:r w:rsidR="00DD637B">
        <w:t>’</w:t>
      </w:r>
      <w:r w:rsidR="00681B2A">
        <w:t>s purpose, structure, and importance</w:t>
      </w:r>
      <w:r w:rsidRPr="0014645F">
        <w:t xml:space="preserve">, </w:t>
      </w:r>
      <w:r w:rsidR="00681B2A">
        <w:t>along with</w:t>
      </w:r>
      <w:r w:rsidRPr="0014645F">
        <w:t xml:space="preserve"> its target audience</w:t>
      </w:r>
      <w:r w:rsidR="00681B2A">
        <w:t>:</w:t>
      </w:r>
      <w:r w:rsidRPr="0014645F">
        <w:t xml:space="preserve"> </w:t>
      </w:r>
      <w:r w:rsidR="00DD637B">
        <w:t>“</w:t>
      </w:r>
      <w:r w:rsidR="0078056D">
        <w:t>matters</w:t>
      </w:r>
      <w:r w:rsidRPr="0014645F">
        <w:t xml:space="preserve"> of morality and the </w:t>
      </w:r>
      <w:r w:rsidR="0078056D">
        <w:t>proper behavior</w:t>
      </w:r>
      <w:r w:rsidRPr="0014645F">
        <w:t xml:space="preserve"> [...] </w:t>
      </w:r>
      <w:r w:rsidR="007C6454">
        <w:t>in a pleasant</w:t>
      </w:r>
      <w:r w:rsidRPr="0014645F">
        <w:t xml:space="preserve"> order suitable for the whole year</w:t>
      </w:r>
      <w:r w:rsidR="007C6454">
        <w:t>.”</w:t>
      </w:r>
    </w:p>
    <w:p w14:paraId="21E3DA36" w14:textId="2790C319" w:rsidR="00DD2DBA" w:rsidRPr="0014645F" w:rsidRDefault="0008654A" w:rsidP="00242738">
      <w:pPr>
        <w:rPr>
          <w:rtl/>
        </w:rPr>
      </w:pPr>
      <w:commentRangeStart w:id="10"/>
      <w:r>
        <w:t>Looking</w:t>
      </w:r>
      <w:r w:rsidR="007E0EDC">
        <w:t xml:space="preserve"> at the</w:t>
      </w:r>
      <w:r w:rsidR="002562F5" w:rsidRPr="0014645F">
        <w:t xml:space="preserve"> first part of the book, chapters 1-19, </w:t>
      </w:r>
      <w:r w:rsidR="00932525">
        <w:t xml:space="preserve">it </w:t>
      </w:r>
      <w:r>
        <w:t>is</w:t>
      </w:r>
      <w:r w:rsidR="00932525">
        <w:t xml:space="preserve"> evident that it can be characterized as</w:t>
      </w:r>
      <w:r w:rsidR="002562F5" w:rsidRPr="0014645F">
        <w:t xml:space="preserve"> </w:t>
      </w:r>
      <w:r w:rsidR="006B407C">
        <w:t xml:space="preserve">part of the genre of </w:t>
      </w:r>
      <w:r w:rsidR="008B2995">
        <w:t>ethical</w:t>
      </w:r>
      <w:r w:rsidR="006B407C">
        <w:t>-practical</w:t>
      </w:r>
      <w:r w:rsidR="002562F5" w:rsidRPr="0014645F">
        <w:t xml:space="preserve"> literature. </w:t>
      </w:r>
      <w:commentRangeEnd w:id="10"/>
      <w:r w:rsidR="00161D69">
        <w:rPr>
          <w:rStyle w:val="CommentReference"/>
          <w:rtl/>
        </w:rPr>
        <w:commentReference w:id="10"/>
      </w:r>
      <w:r w:rsidR="002562F5" w:rsidRPr="0014645F">
        <w:t>Chapters 1</w:t>
      </w:r>
      <w:r w:rsidR="00BE76E5">
        <w:t xml:space="preserve">-14 </w:t>
      </w:r>
      <w:r w:rsidR="002562F5" w:rsidRPr="0014645F">
        <w:t xml:space="preserve">focus on </w:t>
      </w:r>
      <w:r w:rsidR="00BE76E5">
        <w:t>a person’s</w:t>
      </w:r>
      <w:r w:rsidR="002562F5" w:rsidRPr="0014645F">
        <w:t xml:space="preserve"> daily routines</w:t>
      </w:r>
      <w:r w:rsidR="006B407C">
        <w:t>,</w:t>
      </w:r>
      <w:r w:rsidR="002562F5" w:rsidRPr="0014645F">
        <w:t xml:space="preserve"> such as: </w:t>
      </w:r>
      <w:r w:rsidR="008A6C4E">
        <w:t>“</w:t>
      </w:r>
      <w:r w:rsidR="002562F5" w:rsidRPr="0014645F">
        <w:t>waking up</w:t>
      </w:r>
      <w:r w:rsidR="008A6C4E">
        <w:t>”</w:t>
      </w:r>
      <w:r w:rsidR="002562F5" w:rsidRPr="0014645F">
        <w:t xml:space="preserve"> and </w:t>
      </w:r>
      <w:r w:rsidR="008A6C4E">
        <w:t>“</w:t>
      </w:r>
      <w:r w:rsidR="002562F5" w:rsidRPr="0014645F">
        <w:t>meals of the day</w:t>
      </w:r>
      <w:r w:rsidR="006B407C">
        <w:t>.</w:t>
      </w:r>
      <w:r w:rsidR="006F1C22">
        <w:t>”</w:t>
      </w:r>
      <w:r w:rsidR="002562F5" w:rsidRPr="0014645F">
        <w:t xml:space="preserve"> Some chapters deal with the virtues expressed in everyday life</w:t>
      </w:r>
      <w:r w:rsidR="00CB6557">
        <w:t xml:space="preserve">, </w:t>
      </w:r>
      <w:r w:rsidR="002562F5" w:rsidRPr="0014645F">
        <w:t xml:space="preserve">especially </w:t>
      </w:r>
      <w:r w:rsidR="00CB6557">
        <w:t>regarding interpersonal matters</w:t>
      </w:r>
      <w:r w:rsidR="00242738">
        <w:t xml:space="preserve"> such as “business dealings”</w:t>
      </w:r>
      <w:r w:rsidR="002562F5" w:rsidRPr="0014645F">
        <w:t xml:space="preserve"> and </w:t>
      </w:r>
      <w:r w:rsidR="00242738">
        <w:t>“visiting the sick</w:t>
      </w:r>
      <w:r w:rsidR="008A6C4E">
        <w:t>.”</w:t>
      </w:r>
    </w:p>
    <w:p w14:paraId="5E0ED3A0" w14:textId="08D13D4C" w:rsidR="00DD2DBA" w:rsidRPr="0014645F" w:rsidRDefault="002562F5" w:rsidP="00734746">
      <w:pPr>
        <w:rPr>
          <w:rtl/>
        </w:rPr>
      </w:pPr>
      <w:r w:rsidRPr="0014645F">
        <w:lastRenderedPageBreak/>
        <w:t xml:space="preserve">The following five chapters focus on </w:t>
      </w:r>
      <w:r w:rsidR="0070387A">
        <w:rPr>
          <w:lang w:val="en-US"/>
        </w:rPr>
        <w:t>practices</w:t>
      </w:r>
      <w:r w:rsidRPr="0014645F">
        <w:t xml:space="preserve"> relevant to the Jewish cycle of the year, such as </w:t>
      </w:r>
      <w:commentRangeStart w:id="11"/>
      <w:r w:rsidRPr="0014645F">
        <w:t>Rosh Chodesh, the Days</w:t>
      </w:r>
      <w:r w:rsidR="00DA1807">
        <w:t xml:space="preserve"> of Awe</w:t>
      </w:r>
      <w:r w:rsidRPr="0014645F">
        <w:t>,</w:t>
      </w:r>
      <w:r w:rsidR="00EF5BB2">
        <w:t xml:space="preserve"> and</w:t>
      </w:r>
      <w:r w:rsidRPr="0014645F">
        <w:t xml:space="preserve"> the three pilgrimage</w:t>
      </w:r>
      <w:r w:rsidR="00563798">
        <w:t xml:space="preserve"> festivals</w:t>
      </w:r>
      <w:r w:rsidRPr="0014645F">
        <w:t xml:space="preserve">. </w:t>
      </w:r>
      <w:commentRangeEnd w:id="11"/>
      <w:r w:rsidR="00563798">
        <w:rPr>
          <w:rStyle w:val="CommentReference"/>
        </w:rPr>
        <w:commentReference w:id="11"/>
      </w:r>
    </w:p>
    <w:p w14:paraId="6805775D" w14:textId="7D1396D5" w:rsidR="00DD2DBA" w:rsidRPr="0014645F" w:rsidRDefault="00F61CF8" w:rsidP="00734746">
      <w:pPr>
        <w:rPr>
          <w:rtl/>
        </w:rPr>
      </w:pPr>
      <w:r>
        <w:t>In</w:t>
      </w:r>
      <w:r w:rsidR="002562F5" w:rsidRPr="0014645F">
        <w:t xml:space="preserve"> presenting </w:t>
      </w:r>
      <w:r w:rsidR="00E50561">
        <w:t>practices</w:t>
      </w:r>
      <w:r w:rsidR="002562F5" w:rsidRPr="0014645F">
        <w:t xml:space="preserve"> for weekdays, Shabbat</w:t>
      </w:r>
      <w:r w:rsidR="002E03F9">
        <w:t>,</w:t>
      </w:r>
      <w:r w:rsidR="002562F5" w:rsidRPr="0014645F">
        <w:t xml:space="preserve"> and holidays, </w:t>
      </w:r>
      <w:r w:rsidR="0014645F" w:rsidRPr="0014645F">
        <w:t>Adahan</w:t>
      </w:r>
      <w:r w:rsidR="002562F5" w:rsidRPr="0014645F">
        <w:t xml:space="preserve"> took part in the </w:t>
      </w:r>
      <w:r w:rsidRPr="0014645F">
        <w:t xml:space="preserve">early modern </w:t>
      </w:r>
      <w:r w:rsidR="002562F5" w:rsidRPr="0014645F">
        <w:t xml:space="preserve">trend </w:t>
      </w:r>
      <w:r>
        <w:t>toward the</w:t>
      </w:r>
      <w:r w:rsidR="002562F5" w:rsidRPr="0014645F">
        <w:t xml:space="preserve"> ritualization of Jewish life mentioned above. </w:t>
      </w:r>
    </w:p>
    <w:p w14:paraId="6D00729A" w14:textId="1287663F" w:rsidR="00DD2DBA" w:rsidRPr="0014645F" w:rsidRDefault="002562F5" w:rsidP="00734746">
      <w:pPr>
        <w:rPr>
          <w:rtl/>
        </w:rPr>
      </w:pPr>
      <w:r w:rsidRPr="0014645F">
        <w:t xml:space="preserve">The second half of the book is </w:t>
      </w:r>
      <w:r w:rsidR="006D5E0E">
        <w:t>ethical</w:t>
      </w:r>
      <w:r w:rsidRPr="0014645F">
        <w:t xml:space="preserve"> literature</w:t>
      </w:r>
      <w:r w:rsidR="006D5E0E">
        <w:t xml:space="preserve">, </w:t>
      </w:r>
      <w:commentRangeStart w:id="12"/>
      <w:r w:rsidR="009F6E4B">
        <w:t xml:space="preserve">called </w:t>
      </w:r>
      <w:proofErr w:type="spellStart"/>
      <w:r w:rsidR="009F6E4B">
        <w:t>Mussar</w:t>
      </w:r>
      <w:proofErr w:type="spellEnd"/>
      <w:r w:rsidR="009F6E4B">
        <w:t xml:space="preserve"> literature</w:t>
      </w:r>
      <w:r w:rsidR="008324E6" w:rsidRPr="008324E6">
        <w:t xml:space="preserve"> </w:t>
      </w:r>
      <w:r w:rsidR="008324E6">
        <w:t>in the Jewish tradition</w:t>
      </w:r>
      <w:r w:rsidRPr="0014645F">
        <w:t>.</w:t>
      </w:r>
      <w:commentRangeEnd w:id="12"/>
      <w:r w:rsidR="009F6E4B">
        <w:rPr>
          <w:rStyle w:val="CommentReference"/>
        </w:rPr>
        <w:commentReference w:id="12"/>
      </w:r>
      <w:r w:rsidRPr="0014645F">
        <w:t xml:space="preserve"> </w:t>
      </w:r>
      <w:r w:rsidR="00027AE9">
        <w:rPr>
          <w:lang w:val="en-US"/>
        </w:rPr>
        <w:t>The book’s</w:t>
      </w:r>
      <w:r w:rsidRPr="0014645F">
        <w:t xml:space="preserve"> chapters </w:t>
      </w:r>
      <w:r w:rsidR="00027AE9">
        <w:t>address</w:t>
      </w:r>
      <w:r w:rsidRPr="0014645F">
        <w:t xml:space="preserve"> topics such as the Torah and </w:t>
      </w:r>
      <w:r w:rsidR="00E75727">
        <w:t>mystical wisdom, performing acts of lovingkindness,</w:t>
      </w:r>
      <w:r w:rsidRPr="0014645F">
        <w:t xml:space="preserve"> repentance</w:t>
      </w:r>
      <w:r w:rsidR="00E75727">
        <w:t>,</w:t>
      </w:r>
      <w:r w:rsidRPr="0014645F">
        <w:t xml:space="preserve"> and the like. </w:t>
      </w:r>
      <w:r w:rsidR="001773FD">
        <w:t>For lack of</w:t>
      </w:r>
      <w:r w:rsidRPr="0014645F">
        <w:t xml:space="preserve"> time</w:t>
      </w:r>
      <w:r w:rsidR="001773FD">
        <w:t>,</w:t>
      </w:r>
      <w:r w:rsidRPr="0014645F">
        <w:t xml:space="preserve"> I will not </w:t>
      </w:r>
      <w:r w:rsidR="001773FD">
        <w:t>discuss</w:t>
      </w:r>
      <w:r w:rsidRPr="0014645F">
        <w:t xml:space="preserve"> this part and focus on the </w:t>
      </w:r>
      <w:r w:rsidR="007C39D2">
        <w:t>book</w:t>
      </w:r>
      <w:r w:rsidR="00DD637B">
        <w:t>’</w:t>
      </w:r>
      <w:r w:rsidR="007C39D2">
        <w:t>s first part</w:t>
      </w:r>
      <w:r w:rsidRPr="0014645F">
        <w:t>.</w:t>
      </w:r>
    </w:p>
    <w:p w14:paraId="329A2FD2" w14:textId="5C825B4C" w:rsidR="00DD2DBA" w:rsidRPr="0014645F" w:rsidRDefault="0014645F" w:rsidP="00734746">
      <w:pPr>
        <w:rPr>
          <w:rtl/>
        </w:rPr>
      </w:pPr>
      <w:r w:rsidRPr="0014645F">
        <w:t>Adahan</w:t>
      </w:r>
      <w:r w:rsidR="002562F5" w:rsidRPr="0014645F">
        <w:t xml:space="preserve"> explain</w:t>
      </w:r>
      <w:r w:rsidR="0002768F">
        <w:t xml:space="preserve">s that </w:t>
      </w:r>
      <w:r w:rsidR="00905572">
        <w:t>his book</w:t>
      </w:r>
      <w:r w:rsidR="00DD637B">
        <w:t>’</w:t>
      </w:r>
      <w:r w:rsidR="00905572">
        <w:t>s virtue lies in its</w:t>
      </w:r>
      <w:r w:rsidR="00E546C1">
        <w:t xml:space="preserve"> concise</w:t>
      </w:r>
      <w:r w:rsidR="002562F5" w:rsidRPr="0014645F">
        <w:t xml:space="preserve"> concentration </w:t>
      </w:r>
      <w:r w:rsidR="00606621">
        <w:t>of</w:t>
      </w:r>
      <w:r w:rsidR="002562F5" w:rsidRPr="0014645F">
        <w:t xml:space="preserve"> accessibl</w:t>
      </w:r>
      <w:r w:rsidR="00606621">
        <w:t>e</w:t>
      </w:r>
      <w:r w:rsidR="002562F5" w:rsidRPr="0014645F">
        <w:t xml:space="preserve"> </w:t>
      </w:r>
      <w:r w:rsidR="008B2995">
        <w:t>ethical</w:t>
      </w:r>
      <w:r w:rsidR="00704820">
        <w:t xml:space="preserve"> and practical</w:t>
      </w:r>
      <w:r w:rsidR="00606621">
        <w:t xml:space="preserve"> guidance</w:t>
      </w:r>
      <w:r w:rsidR="00704820">
        <w:t xml:space="preserve"> </w:t>
      </w:r>
      <w:r w:rsidR="002562F5" w:rsidRPr="0014645F">
        <w:t xml:space="preserve">in one place. </w:t>
      </w:r>
      <w:r w:rsidR="00A90912">
        <w:t>He therefore</w:t>
      </w:r>
      <w:r w:rsidR="002562F5" w:rsidRPr="0014645F">
        <w:t xml:space="preserve"> </w:t>
      </w:r>
      <w:r w:rsidR="0087180A">
        <w:t xml:space="preserve">includes only brief </w:t>
      </w:r>
      <w:r w:rsidR="00EE1522">
        <w:t>quot</w:t>
      </w:r>
      <w:r w:rsidR="0087180A">
        <w:t>ations</w:t>
      </w:r>
      <w:r w:rsidR="002562F5" w:rsidRPr="0014645F">
        <w:t xml:space="preserve"> </w:t>
      </w:r>
      <w:r w:rsidR="00EE1522">
        <w:t xml:space="preserve">while referring the reader to </w:t>
      </w:r>
      <w:r w:rsidR="0087180A">
        <w:t>his</w:t>
      </w:r>
      <w:r w:rsidR="002562F5" w:rsidRPr="0014645F">
        <w:t xml:space="preserve"> source</w:t>
      </w:r>
      <w:r w:rsidR="0087180A">
        <w:t>s</w:t>
      </w:r>
      <w:r w:rsidR="002562F5" w:rsidRPr="0014645F">
        <w:t xml:space="preserve">. </w:t>
      </w:r>
      <w:r w:rsidR="00F45CE5">
        <w:t xml:space="preserve">This policy of </w:t>
      </w:r>
      <w:r w:rsidR="002562F5" w:rsidRPr="0014645F">
        <w:t>abbreviated quot</w:t>
      </w:r>
      <w:r w:rsidR="00F45CE5">
        <w:t xml:space="preserve">ations combined with </w:t>
      </w:r>
      <w:r w:rsidR="005F3140">
        <w:t xml:space="preserve">reference to the literature </w:t>
      </w:r>
      <w:r w:rsidR="00EF539A">
        <w:t>from</w:t>
      </w:r>
      <w:r w:rsidR="005F3140">
        <w:t xml:space="preserve"> which he is drawing </w:t>
      </w:r>
      <w:r w:rsidR="00AE5EDF">
        <w:t>gives us a sense of the book’s</w:t>
      </w:r>
      <w:r w:rsidR="002562F5" w:rsidRPr="0014645F">
        <w:t xml:space="preserve"> target audience</w:t>
      </w:r>
      <w:r w:rsidR="00AE5EDF">
        <w:t xml:space="preserve">, </w:t>
      </w:r>
      <w:r w:rsidR="00905572">
        <w:t>which</w:t>
      </w:r>
      <w:r w:rsidR="00AE5EDF">
        <w:t xml:space="preserve"> ranges </w:t>
      </w:r>
      <w:r w:rsidR="002562F5" w:rsidRPr="0014645F">
        <w:t>from complete laymen to those with some literacy and education.</w:t>
      </w:r>
    </w:p>
    <w:p w14:paraId="60295B16" w14:textId="738E6263" w:rsidR="00DD2DBA" w:rsidRPr="0014645F" w:rsidRDefault="002562F5" w:rsidP="00734746">
      <w:pPr>
        <w:rPr>
          <w:rtl/>
        </w:rPr>
      </w:pPr>
      <w:commentRangeStart w:id="13"/>
      <w:r w:rsidRPr="0014645F">
        <w:t>In his preface</w:t>
      </w:r>
      <w:r w:rsidR="00905572">
        <w:t>,</w:t>
      </w:r>
      <w:r w:rsidRPr="0014645F">
        <w:t xml:space="preserve"> </w:t>
      </w:r>
      <w:r w:rsidR="0014645F" w:rsidRPr="0014645F">
        <w:t>Adahan</w:t>
      </w:r>
      <w:r w:rsidRPr="0014645F">
        <w:t xml:space="preserve"> </w:t>
      </w:r>
      <w:r w:rsidR="00905572">
        <w:t xml:space="preserve">writes that </w:t>
      </w:r>
      <w:r w:rsidRPr="0014645F">
        <w:t>the book</w:t>
      </w:r>
      <w:r w:rsidR="008447C1">
        <w:t xml:space="preserve"> is intended to guide</w:t>
      </w:r>
      <w:r w:rsidRPr="0014645F">
        <w:t xml:space="preserve"> </w:t>
      </w:r>
      <w:r w:rsidR="006F1C22">
        <w:t>“</w:t>
      </w:r>
      <w:r w:rsidRPr="0014645F">
        <w:t>everyone from Israel</w:t>
      </w:r>
      <w:r w:rsidR="008447C1">
        <w:t>,</w:t>
      </w:r>
      <w:r w:rsidR="006F1C22">
        <w:t>”</w:t>
      </w:r>
      <w:r w:rsidRPr="0014645F">
        <w:t xml:space="preserve"> </w:t>
      </w:r>
      <w:r w:rsidR="006F1C22">
        <w:t>“</w:t>
      </w:r>
      <w:r w:rsidRPr="0014645F">
        <w:t>man and woman, young and small</w:t>
      </w:r>
      <w:r w:rsidR="008447C1">
        <w:t>.</w:t>
      </w:r>
      <w:r w:rsidR="006F1C22">
        <w:t>”</w:t>
      </w:r>
      <w:r w:rsidR="00AC7B78">
        <w:t xml:space="preserve"> </w:t>
      </w:r>
      <w:r w:rsidR="00494414">
        <w:t>Like many</w:t>
      </w:r>
      <w:r w:rsidRPr="0014645F">
        <w:t xml:space="preserve"> other </w:t>
      </w:r>
      <w:r w:rsidR="00AC7B78">
        <w:t>ethica</w:t>
      </w:r>
      <w:r w:rsidRPr="0014645F">
        <w:t>l</w:t>
      </w:r>
      <w:r w:rsidR="00AC7B78">
        <w:t>-practical</w:t>
      </w:r>
      <w:r w:rsidRPr="0014645F">
        <w:t xml:space="preserve"> books, the book</w:t>
      </w:r>
      <w:r w:rsidR="003600BA">
        <w:t>’</w:t>
      </w:r>
      <w:r w:rsidRPr="0014645F">
        <w:t xml:space="preserve">s target audience is the general public. This </w:t>
      </w:r>
      <w:r w:rsidR="004F408F">
        <w:t xml:space="preserve">policy </w:t>
      </w:r>
      <w:r w:rsidR="00122DC3">
        <w:t>reflects</w:t>
      </w:r>
      <w:r w:rsidRPr="0014645F">
        <w:t xml:space="preserve"> </w:t>
      </w:r>
      <w:r w:rsidR="00122DC3" w:rsidRPr="0014645F">
        <w:t>the expansion of the circle of readers</w:t>
      </w:r>
      <w:r w:rsidR="00A47E11">
        <w:t>,</w:t>
      </w:r>
      <w:r w:rsidR="00122DC3" w:rsidRPr="0014645F">
        <w:t xml:space="preserve"> </w:t>
      </w:r>
      <w:r w:rsidRPr="0014645F">
        <w:t xml:space="preserve">one of the </w:t>
      </w:r>
      <w:r w:rsidR="00122DC3">
        <w:t>significant</w:t>
      </w:r>
      <w:r w:rsidRPr="0014645F">
        <w:t xml:space="preserve"> effects of printing technology. </w:t>
      </w:r>
      <w:r w:rsidR="00984DF1">
        <w:t>Accordingly, s</w:t>
      </w:r>
      <w:r w:rsidR="000D358C">
        <w:t xml:space="preserve">everal practices </w:t>
      </w:r>
      <w:r w:rsidR="00984DF1">
        <w:t xml:space="preserve">recommended in the work are </w:t>
      </w:r>
      <w:r w:rsidR="00BA2F67">
        <w:t>clearly directed at</w:t>
      </w:r>
      <w:r w:rsidRPr="0014645F">
        <w:t xml:space="preserve"> the mass of people with limited education. </w:t>
      </w:r>
      <w:r w:rsidR="00810996">
        <w:t xml:space="preserve">Likewise, the standards </w:t>
      </w:r>
      <w:r w:rsidRPr="0014645F">
        <w:t>he set</w:t>
      </w:r>
      <w:r w:rsidR="00810996">
        <w:t>s</w:t>
      </w:r>
      <w:r w:rsidRPr="0014645F">
        <w:t xml:space="preserve"> take into account the limited education and literacy of </w:t>
      </w:r>
      <w:r w:rsidR="00DF59EF">
        <w:t>a mass readership</w:t>
      </w:r>
      <w:r w:rsidRPr="0014645F">
        <w:t xml:space="preserve">. The appeal to the general public is also embodied in a few guidelines intended for </w:t>
      </w:r>
      <w:commentRangeStart w:id="14"/>
      <w:r w:rsidRPr="0014645F">
        <w:t>women</w:t>
      </w:r>
      <w:commentRangeEnd w:id="14"/>
      <w:r w:rsidR="00BB5727">
        <w:rPr>
          <w:rStyle w:val="CommentReference"/>
        </w:rPr>
        <w:commentReference w:id="14"/>
      </w:r>
      <w:r w:rsidRPr="0014645F">
        <w:t xml:space="preserve">. </w:t>
      </w:r>
      <w:r w:rsidR="0014645F" w:rsidRPr="0014645F">
        <w:t>Adahan</w:t>
      </w:r>
      <w:r w:rsidRPr="0014645F">
        <w:t xml:space="preserve"> did not expect women to read </w:t>
      </w:r>
      <w:r w:rsidR="007630D9">
        <w:t>the</w:t>
      </w:r>
      <w:r w:rsidRPr="0014645F">
        <w:t xml:space="preserve"> book and learn</w:t>
      </w:r>
      <w:r w:rsidR="007630D9">
        <w:t xml:space="preserve"> these practices directly</w:t>
      </w:r>
      <w:r w:rsidRPr="0014645F">
        <w:t xml:space="preserve">, but rather </w:t>
      </w:r>
      <w:r w:rsidR="00DF59EF">
        <w:t>that a</w:t>
      </w:r>
      <w:r w:rsidRPr="0014645F">
        <w:t xml:space="preserve"> man should </w:t>
      </w:r>
      <w:r w:rsidR="00123912">
        <w:t>transmit</w:t>
      </w:r>
      <w:r w:rsidRPr="0014645F">
        <w:t xml:space="preserve"> the relevant </w:t>
      </w:r>
      <w:r w:rsidR="00A47E11">
        <w:t>pra</w:t>
      </w:r>
      <w:r w:rsidR="00123912">
        <w:t>c</w:t>
      </w:r>
      <w:r w:rsidR="00A47E11">
        <w:t>tices</w:t>
      </w:r>
      <w:r w:rsidRPr="0014645F">
        <w:t xml:space="preserve"> </w:t>
      </w:r>
      <w:r w:rsidR="00123912">
        <w:t>to</w:t>
      </w:r>
      <w:r w:rsidRPr="0014645F">
        <w:t xml:space="preserve"> them.</w:t>
      </w:r>
      <w:commentRangeEnd w:id="13"/>
      <w:r w:rsidR="0038403E">
        <w:rPr>
          <w:rStyle w:val="CommentReference"/>
        </w:rPr>
        <w:commentReference w:id="13"/>
      </w:r>
    </w:p>
    <w:p w14:paraId="2D9845FE" w14:textId="7E6ABF0A" w:rsidR="00DD2DBA" w:rsidRPr="0014645F" w:rsidRDefault="000A5C8E" w:rsidP="00734746">
      <w:pPr>
        <w:rPr>
          <w:rtl/>
        </w:rPr>
      </w:pPr>
      <w:r>
        <w:lastRenderedPageBreak/>
        <w:t>Further examination of the work reveals</w:t>
      </w:r>
      <w:r w:rsidR="002562F5" w:rsidRPr="0014645F">
        <w:t xml:space="preserve"> that Ada</w:t>
      </w:r>
      <w:r w:rsidR="005649AA">
        <w:t>h</w:t>
      </w:r>
      <w:r w:rsidR="002562F5" w:rsidRPr="0014645F">
        <w:t>an also appealed to a more educated stratum. Thus, for example, he distinguished between instructions</w:t>
      </w:r>
      <w:r w:rsidR="00BB5727">
        <w:rPr>
          <w:lang w:val="en-US"/>
        </w:rPr>
        <w:t xml:space="preserve"> for repent</w:t>
      </w:r>
      <w:r w:rsidR="00617673">
        <w:rPr>
          <w:lang w:val="en-US"/>
        </w:rPr>
        <w:t>a</w:t>
      </w:r>
      <w:r w:rsidR="00BB5727">
        <w:rPr>
          <w:lang w:val="en-US"/>
        </w:rPr>
        <w:t>nce</w:t>
      </w:r>
      <w:r w:rsidR="002562F5" w:rsidRPr="0014645F">
        <w:t xml:space="preserve"> intended for </w:t>
      </w:r>
      <w:r w:rsidR="00617673">
        <w:t>simple people and</w:t>
      </w:r>
      <w:r w:rsidR="002562F5" w:rsidRPr="0014645F">
        <w:t xml:space="preserve"> instructions </w:t>
      </w:r>
      <w:r w:rsidR="00D76203">
        <w:t>directed at</w:t>
      </w:r>
      <w:r w:rsidR="002562F5" w:rsidRPr="0014645F">
        <w:t xml:space="preserve"> </w:t>
      </w:r>
      <w:r w:rsidR="00617673">
        <w:t xml:space="preserve">a </w:t>
      </w:r>
      <w:r w:rsidR="006F1C22">
        <w:t>“</w:t>
      </w:r>
      <w:r w:rsidR="002562F5" w:rsidRPr="0014645F">
        <w:t>Baal Torah</w:t>
      </w:r>
      <w:r w:rsidR="00617673">
        <w:t>,</w:t>
      </w:r>
      <w:r w:rsidR="006F1C22">
        <w:t>”</w:t>
      </w:r>
      <w:r w:rsidR="00617673">
        <w:t xml:space="preserve"> literally, a possessor of Torah</w:t>
      </w:r>
      <w:r w:rsidR="005649AA">
        <w:t xml:space="preserve">, or </w:t>
      </w:r>
      <w:r w:rsidR="00BC7DA4">
        <w:t>a Torah scholar</w:t>
      </w:r>
      <w:r w:rsidR="00617673">
        <w:t>.</w:t>
      </w:r>
    </w:p>
    <w:p w14:paraId="3A3F0213" w14:textId="6D0E1BEC" w:rsidR="00DD2DBA" w:rsidRPr="0014645F" w:rsidRDefault="000C7AD3" w:rsidP="00734746">
      <w:pPr>
        <w:rPr>
          <w:rtl/>
        </w:rPr>
      </w:pPr>
      <w:r>
        <w:t xml:space="preserve">Another indication that </w:t>
      </w:r>
      <w:r w:rsidR="0014645F" w:rsidRPr="0014645F">
        <w:t>Adahan</w:t>
      </w:r>
      <w:r>
        <w:t xml:space="preserve"> expected at least some of his readers</w:t>
      </w:r>
      <w:r w:rsidR="00A11FFB">
        <w:t>hip to be Torah scholars i</w:t>
      </w:r>
      <w:r w:rsidR="009519A9">
        <w:t>s</w:t>
      </w:r>
      <w:r w:rsidR="00A11FFB">
        <w:t xml:space="preserve"> the inclusion in the</w:t>
      </w:r>
      <w:r w:rsidR="00617673">
        <w:t xml:space="preserve"> book</w:t>
      </w:r>
      <w:r w:rsidR="002562F5" w:rsidRPr="0014645F">
        <w:t xml:space="preserve"> </w:t>
      </w:r>
      <w:r w:rsidR="00A11FFB">
        <w:t>of</w:t>
      </w:r>
      <w:r w:rsidR="002562F5" w:rsidRPr="0014645F">
        <w:t xml:space="preserve"> guidance on how to store the holy books at home. </w:t>
      </w:r>
      <w:r w:rsidR="009519A9">
        <w:t>While it</w:t>
      </w:r>
      <w:r w:rsidR="002562F5" w:rsidRPr="0014645F">
        <w:t xml:space="preserve"> is true that</w:t>
      </w:r>
      <w:r w:rsidR="009519A9">
        <w:t>,</w:t>
      </w:r>
      <w:r w:rsidR="002562F5" w:rsidRPr="0014645F">
        <w:t xml:space="preserve"> thanks to printing technology</w:t>
      </w:r>
      <w:r w:rsidR="00A11FFB">
        <w:t>,</w:t>
      </w:r>
      <w:r w:rsidR="002562F5" w:rsidRPr="0014645F">
        <w:t xml:space="preserve"> </w:t>
      </w:r>
      <w:r w:rsidR="009519A9" w:rsidRPr="0014645F">
        <w:t xml:space="preserve">the early modern period </w:t>
      </w:r>
      <w:r w:rsidR="009519A9">
        <w:t xml:space="preserve">saw </w:t>
      </w:r>
      <w:r w:rsidR="002562F5" w:rsidRPr="0014645F">
        <w:t>an increase in the number and size of private libraries</w:t>
      </w:r>
      <w:r w:rsidR="009519A9">
        <w:t xml:space="preserve">, </w:t>
      </w:r>
      <w:r w:rsidR="002562F5" w:rsidRPr="0014645F">
        <w:t xml:space="preserve">the general public who were not among the scholarly elite or the </w:t>
      </w:r>
      <w:r w:rsidR="009519A9" w:rsidRPr="0014645F">
        <w:t>community</w:t>
      </w:r>
      <w:r w:rsidR="009519A9">
        <w:t>’s</w:t>
      </w:r>
      <w:r w:rsidR="009519A9" w:rsidRPr="0014645F">
        <w:t xml:space="preserve"> </w:t>
      </w:r>
      <w:r w:rsidR="002562F5" w:rsidRPr="0014645F">
        <w:t xml:space="preserve">lower intelligentsia did not </w:t>
      </w:r>
      <w:r w:rsidR="009519A9">
        <w:t>own</w:t>
      </w:r>
      <w:r w:rsidR="002562F5" w:rsidRPr="0014645F">
        <w:t xml:space="preserve"> </w:t>
      </w:r>
      <w:r w:rsidR="00D01BF1" w:rsidRPr="0014645F">
        <w:t xml:space="preserve">even non-canonical </w:t>
      </w:r>
      <w:r w:rsidR="002562F5" w:rsidRPr="0014645F">
        <w:t>hala</w:t>
      </w:r>
      <w:r w:rsidR="009519A9">
        <w:t>k</w:t>
      </w:r>
      <w:r w:rsidR="002562F5" w:rsidRPr="0014645F">
        <w:t xml:space="preserve">hic literature, so this guidance </w:t>
      </w:r>
      <w:r w:rsidR="00D01BF1">
        <w:t>was</w:t>
      </w:r>
      <w:r w:rsidR="002562F5" w:rsidRPr="0014645F">
        <w:t xml:space="preserve"> not relevant to the vast majority of the public</w:t>
      </w:r>
      <w:r w:rsidR="008B74F5">
        <w:t>, but only for the small minority of scholars.</w:t>
      </w:r>
      <w:r w:rsidR="002562F5" w:rsidRPr="0014645F">
        <w:t xml:space="preserve"> </w:t>
      </w:r>
      <w:r w:rsidR="004C3B03">
        <w:t>These guidelines seem to</w:t>
      </w:r>
      <w:r w:rsidR="002562F5" w:rsidRPr="0014645F">
        <w:t xml:space="preserve"> reflect a situation where small private libraries have begun to develop, but a clear concept of how books should be stored ha</w:t>
      </w:r>
      <w:r w:rsidR="00B53EE6">
        <w:t>s</w:t>
      </w:r>
      <w:r w:rsidR="002562F5" w:rsidRPr="0014645F">
        <w:t xml:space="preserve"> not yet been formed.</w:t>
      </w:r>
    </w:p>
    <w:p w14:paraId="4A0800C8" w14:textId="3861574B" w:rsidR="00900A81" w:rsidRPr="0014645F" w:rsidRDefault="00B53EE6" w:rsidP="00734746">
      <w:pPr>
        <w:rPr>
          <w:rtl/>
        </w:rPr>
      </w:pPr>
      <w:r>
        <w:t>E.</w:t>
      </w:r>
    </w:p>
    <w:p w14:paraId="3012E2FB" w14:textId="5B8B8169" w:rsidR="00900A81" w:rsidRPr="0014645F" w:rsidRDefault="002562F5" w:rsidP="00734746">
      <w:pPr>
        <w:rPr>
          <w:rtl/>
        </w:rPr>
      </w:pPr>
      <w:r w:rsidRPr="0014645F">
        <w:t xml:space="preserve">The subject of the first part of the book is, as mentioned, guidance for the days of the week and the </w:t>
      </w:r>
      <w:r w:rsidR="00EB44F9">
        <w:t>festivals</w:t>
      </w:r>
      <w:r w:rsidRPr="0014645F">
        <w:t xml:space="preserve">. These practices include </w:t>
      </w:r>
      <w:r w:rsidR="00A74E33">
        <w:t xml:space="preserve">the ritual </w:t>
      </w:r>
      <w:r w:rsidRPr="0014645F">
        <w:t xml:space="preserve">laws from the </w:t>
      </w:r>
      <w:proofErr w:type="spellStart"/>
      <w:r w:rsidR="003F15A8" w:rsidRPr="0024511D">
        <w:rPr>
          <w:i/>
          <w:iCs/>
        </w:rPr>
        <w:t>Oraḥ</w:t>
      </w:r>
      <w:proofErr w:type="spellEnd"/>
      <w:r w:rsidR="003F15A8" w:rsidRPr="0024511D">
        <w:rPr>
          <w:i/>
          <w:iCs/>
        </w:rPr>
        <w:t xml:space="preserve"> </w:t>
      </w:r>
      <w:proofErr w:type="spellStart"/>
      <w:r w:rsidR="003F15A8" w:rsidRPr="0024511D">
        <w:rPr>
          <w:i/>
          <w:iCs/>
        </w:rPr>
        <w:t>Ḥayyim</w:t>
      </w:r>
      <w:proofErr w:type="spellEnd"/>
      <w:r w:rsidRPr="0014645F">
        <w:t xml:space="preserve"> section</w:t>
      </w:r>
      <w:r w:rsidR="005C7D4E">
        <w:t xml:space="preserve"> of the </w:t>
      </w:r>
      <w:proofErr w:type="spellStart"/>
      <w:r w:rsidR="005C7D4E" w:rsidRPr="0024511D">
        <w:rPr>
          <w:i/>
          <w:iCs/>
        </w:rPr>
        <w:t>Shulḥan</w:t>
      </w:r>
      <w:proofErr w:type="spellEnd"/>
      <w:r w:rsidR="005C7D4E" w:rsidRPr="0024511D">
        <w:rPr>
          <w:i/>
          <w:iCs/>
        </w:rPr>
        <w:t xml:space="preserve"> </w:t>
      </w:r>
      <w:proofErr w:type="spellStart"/>
      <w:r w:rsidR="005C7D4E" w:rsidRPr="0024511D">
        <w:rPr>
          <w:i/>
          <w:iCs/>
        </w:rPr>
        <w:t>Arukh</w:t>
      </w:r>
      <w:proofErr w:type="spellEnd"/>
      <w:r w:rsidR="005C7D4E">
        <w:t xml:space="preserve">, </w:t>
      </w:r>
      <w:r w:rsidR="00A74E33">
        <w:t>as was</w:t>
      </w:r>
      <w:r w:rsidRPr="0014645F">
        <w:t xml:space="preserve"> customary in </w:t>
      </w:r>
      <w:r w:rsidR="00A74E33">
        <w:t>practical-ethical</w:t>
      </w:r>
      <w:r w:rsidRPr="0014645F">
        <w:t xml:space="preserve"> literature</w:t>
      </w:r>
      <w:r w:rsidR="00FE700E">
        <w:t>.</w:t>
      </w:r>
      <w:r w:rsidR="00997F56">
        <w:t xml:space="preserve"> </w:t>
      </w:r>
      <w:r w:rsidR="00FE700E">
        <w:t>A</w:t>
      </w:r>
      <w:r w:rsidR="00997F56">
        <w:t>mong other</w:t>
      </w:r>
      <w:r w:rsidR="0024511D">
        <w:t xml:space="preserve"> rituals, Adahan details</w:t>
      </w:r>
      <w:r w:rsidR="00997F56">
        <w:t xml:space="preserve">, </w:t>
      </w:r>
      <w:r w:rsidR="00A74E33">
        <w:t>how to wash one’s</w:t>
      </w:r>
      <w:r w:rsidRPr="0014645F">
        <w:t xml:space="preserve"> hands in the morning, </w:t>
      </w:r>
      <w:r w:rsidR="00305E91">
        <w:t xml:space="preserve">wearing a four-cornered garment with </w:t>
      </w:r>
      <w:r w:rsidR="00305E91" w:rsidRPr="00305E91">
        <w:rPr>
          <w:i/>
          <w:iCs/>
        </w:rPr>
        <w:t>tzitzit</w:t>
      </w:r>
      <w:r w:rsidR="00305E91">
        <w:t xml:space="preserve"> (ritual fringes)</w:t>
      </w:r>
      <w:r w:rsidRPr="0014645F">
        <w:t xml:space="preserve">, </w:t>
      </w:r>
      <w:r w:rsidR="00C03319">
        <w:t>l</w:t>
      </w:r>
      <w:r w:rsidRPr="0014645F">
        <w:t xml:space="preserve">ighting Hanukkah candles, </w:t>
      </w:r>
      <w:r w:rsidR="0024511D">
        <w:t xml:space="preserve">and </w:t>
      </w:r>
      <w:r w:rsidR="00C03319">
        <w:t xml:space="preserve">checking for </w:t>
      </w:r>
      <w:proofErr w:type="spellStart"/>
      <w:r w:rsidR="00C03319" w:rsidRPr="0024511D">
        <w:rPr>
          <w:i/>
          <w:iCs/>
        </w:rPr>
        <w:t>ḥ</w:t>
      </w:r>
      <w:r w:rsidRPr="0024511D">
        <w:rPr>
          <w:i/>
          <w:iCs/>
        </w:rPr>
        <w:t>ametz</w:t>
      </w:r>
      <w:proofErr w:type="spellEnd"/>
      <w:r w:rsidR="00C03319">
        <w:t xml:space="preserve"> on the evening before Passover</w:t>
      </w:r>
      <w:r w:rsidRPr="0014645F">
        <w:t>.</w:t>
      </w:r>
    </w:p>
    <w:p w14:paraId="1577872E" w14:textId="51066C3D" w:rsidR="0069010D" w:rsidRPr="0014645F" w:rsidRDefault="002562F5" w:rsidP="00FB219A">
      <w:pPr>
        <w:rPr>
          <w:rtl/>
        </w:rPr>
      </w:pPr>
      <w:r w:rsidRPr="0014645F">
        <w:t>Along with hala</w:t>
      </w:r>
      <w:r w:rsidR="000A7884">
        <w:t>k</w:t>
      </w:r>
      <w:r w:rsidRPr="0014645F">
        <w:t>hic-normative guidelines, the first part of the book also includes recommendations for adopting non-halachic guidelines.</w:t>
      </w:r>
      <w:r w:rsidR="00FB219A">
        <w:t xml:space="preserve"> </w:t>
      </w:r>
      <w:r w:rsidRPr="0014645F">
        <w:t xml:space="preserve">For example, </w:t>
      </w:r>
      <w:r w:rsidR="0014645F" w:rsidRPr="0014645F">
        <w:t>Adahan</w:t>
      </w:r>
      <w:r w:rsidRPr="0014645F">
        <w:t xml:space="preserve"> recommend</w:t>
      </w:r>
      <w:r w:rsidR="00505E5B">
        <w:t>s</w:t>
      </w:r>
      <w:r w:rsidRPr="0014645F">
        <w:t xml:space="preserve"> adopting the custom of Moroccan Jews to </w:t>
      </w:r>
      <w:r w:rsidR="00EA79C3">
        <w:t xml:space="preserve">use </w:t>
      </w:r>
      <w:r w:rsidR="00B231C2">
        <w:t xml:space="preserve">willow wood that had been set aside on Hoshana Rabba (the seventh day of Sukkot) for matzah baking before </w:t>
      </w:r>
      <w:r w:rsidR="00B231C2">
        <w:lastRenderedPageBreak/>
        <w:t xml:space="preserve">Passover. </w:t>
      </w:r>
      <w:r w:rsidRPr="0014645F">
        <w:t>In recommend</w:t>
      </w:r>
      <w:r w:rsidR="004A387B">
        <w:t xml:space="preserve">ing </w:t>
      </w:r>
      <w:r w:rsidRPr="0014645F">
        <w:t>t</w:t>
      </w:r>
      <w:r w:rsidR="00780F87">
        <w:t>he</w:t>
      </w:r>
      <w:r w:rsidRPr="0014645F">
        <w:t xml:space="preserve"> adopt</w:t>
      </w:r>
      <w:r w:rsidR="00780F87">
        <w:t>ion of a</w:t>
      </w:r>
      <w:r w:rsidRPr="0014645F">
        <w:t xml:space="preserve"> custom of Moroccan Jews, </w:t>
      </w:r>
      <w:r w:rsidR="0014645F" w:rsidRPr="0014645F">
        <w:t>Adahan</w:t>
      </w:r>
      <w:r w:rsidRPr="0014645F">
        <w:t xml:space="preserve"> realized the opportunity </w:t>
      </w:r>
      <w:r w:rsidR="0086180F">
        <w:t>of</w:t>
      </w:r>
      <w:r w:rsidRPr="0014645F">
        <w:t xml:space="preserve"> immigrants to mediate between the culture of their homeland and the culture of the host country</w:t>
      </w:r>
      <w:r w:rsidR="00E122ED">
        <w:t xml:space="preserve">. </w:t>
      </w:r>
      <w:commentRangeStart w:id="15"/>
      <w:r w:rsidR="00E122ED">
        <w:t>In this case, he soug</w:t>
      </w:r>
      <w:r w:rsidR="00F53220">
        <w:t>ht to</w:t>
      </w:r>
      <w:r w:rsidR="00416604">
        <w:t xml:space="preserve"> expand a local custom into the practice of the entire Jewish community</w:t>
      </w:r>
      <w:r w:rsidR="00E62CD8">
        <w:t>,</w:t>
      </w:r>
      <w:r w:rsidR="00F53220">
        <w:t xml:space="preserve"> </w:t>
      </w:r>
      <w:r w:rsidRPr="0014645F">
        <w:t>as will become clear later.</w:t>
      </w:r>
      <w:commentRangeEnd w:id="15"/>
      <w:r w:rsidR="00E62CD8">
        <w:rPr>
          <w:rStyle w:val="CommentReference"/>
        </w:rPr>
        <w:commentReference w:id="15"/>
      </w:r>
    </w:p>
    <w:p w14:paraId="1B032AC6" w14:textId="798E94AF" w:rsidR="00B24E02" w:rsidRPr="001616AE" w:rsidRDefault="00425C94" w:rsidP="001616AE">
      <w:pPr>
        <w:rPr>
          <w:lang w:val="en-US"/>
        </w:rPr>
      </w:pPr>
      <w:r>
        <w:rPr>
          <w:lang w:val="en-US"/>
        </w:rPr>
        <w:t>Another of Adaha</w:t>
      </w:r>
      <w:r w:rsidR="009B0CBA">
        <w:rPr>
          <w:lang w:val="en-US"/>
        </w:rPr>
        <w:t>n’s recommendations was to adopt</w:t>
      </w:r>
      <w:r w:rsidR="002562F5" w:rsidRPr="0014645F">
        <w:t xml:space="preserve"> </w:t>
      </w:r>
      <w:r w:rsidR="005C756F">
        <w:t xml:space="preserve">the </w:t>
      </w:r>
      <w:r w:rsidR="00F52F1A">
        <w:t xml:space="preserve">practice </w:t>
      </w:r>
      <w:r w:rsidR="00F52F1A">
        <w:t xml:space="preserve">of the </w:t>
      </w:r>
      <w:r w:rsidR="002562F5" w:rsidRPr="0014645F">
        <w:t xml:space="preserve">Sephardic community </w:t>
      </w:r>
      <w:r w:rsidR="00F52F1A">
        <w:t xml:space="preserve">of </w:t>
      </w:r>
      <w:r w:rsidR="002562F5" w:rsidRPr="0014645F">
        <w:t>Amsterdam</w:t>
      </w:r>
      <w:r w:rsidR="00BE3839">
        <w:t xml:space="preserve"> of</w:t>
      </w:r>
      <w:r w:rsidR="002562F5" w:rsidRPr="0014645F">
        <w:t xml:space="preserve"> </w:t>
      </w:r>
      <w:commentRangeStart w:id="16"/>
      <w:r w:rsidR="00BE3839">
        <w:t>chanting every word of the prayers aloud</w:t>
      </w:r>
      <w:commentRangeEnd w:id="16"/>
      <w:r w:rsidR="00B2319E">
        <w:rPr>
          <w:rStyle w:val="CommentReference"/>
          <w:rtl/>
        </w:rPr>
        <w:commentReference w:id="16"/>
      </w:r>
      <w:r w:rsidR="00BE3839">
        <w:t xml:space="preserve">. </w:t>
      </w:r>
      <w:commentRangeStart w:id="17"/>
      <w:r w:rsidR="002562F5" w:rsidRPr="0014645F">
        <w:t>For similar reasons,</w:t>
      </w:r>
      <w:commentRangeEnd w:id="17"/>
      <w:r w:rsidR="00FB6F4F">
        <w:rPr>
          <w:rStyle w:val="CommentReference"/>
        </w:rPr>
        <w:commentReference w:id="17"/>
      </w:r>
      <w:r w:rsidR="002562F5" w:rsidRPr="0014645F">
        <w:t xml:space="preserve"> he </w:t>
      </w:r>
      <w:r w:rsidR="00E669D9" w:rsidRPr="0014645F">
        <w:t xml:space="preserve">also </w:t>
      </w:r>
      <w:r w:rsidR="002562F5" w:rsidRPr="0014645F">
        <w:t>recommended adopting the</w:t>
      </w:r>
      <w:r w:rsidR="00E669D9">
        <w:t>ir</w:t>
      </w:r>
      <w:r w:rsidR="002562F5" w:rsidRPr="0014645F">
        <w:t xml:space="preserve"> clear and precise way of reading the Torah. He also sought to assimilate some Sephardic customs, such as </w:t>
      </w:r>
      <w:proofErr w:type="spellStart"/>
      <w:r w:rsidR="00E11385">
        <w:t>kashering</w:t>
      </w:r>
      <w:proofErr w:type="spellEnd"/>
      <w:r w:rsidR="00F26D3F">
        <w:t xml:space="preserve"> (ritually cleansing)</w:t>
      </w:r>
      <w:r w:rsidR="002562F5" w:rsidRPr="0014645F">
        <w:t xml:space="preserve"> glassware for Passover </w:t>
      </w:r>
      <w:r w:rsidR="00B8183E">
        <w:t>just by washing them, t</w:t>
      </w:r>
      <w:r w:rsidR="002562F5" w:rsidRPr="0014645F">
        <w:t xml:space="preserve">he </w:t>
      </w:r>
      <w:r w:rsidR="001242F6">
        <w:t>recitation</w:t>
      </w:r>
      <w:r w:rsidR="002562F5" w:rsidRPr="0014645F">
        <w:t xml:space="preserve"> of </w:t>
      </w:r>
      <w:proofErr w:type="spellStart"/>
      <w:r w:rsidR="00B8183E" w:rsidRPr="00FE1EE7">
        <w:rPr>
          <w:i/>
          <w:iCs/>
        </w:rPr>
        <w:t>seli</w:t>
      </w:r>
      <w:r w:rsidR="00FE1EE7" w:rsidRPr="00FE1EE7">
        <w:rPr>
          <w:i/>
          <w:iCs/>
        </w:rPr>
        <w:t>ḥ</w:t>
      </w:r>
      <w:r w:rsidR="00B8183E" w:rsidRPr="00FE1EE7">
        <w:rPr>
          <w:i/>
          <w:iCs/>
        </w:rPr>
        <w:t>ot</w:t>
      </w:r>
      <w:proofErr w:type="spellEnd"/>
      <w:r w:rsidR="00FE1EE7">
        <w:t xml:space="preserve"> (prayers in preparation for the </w:t>
      </w:r>
      <w:r w:rsidR="00DE45A0">
        <w:t>D</w:t>
      </w:r>
      <w:r w:rsidR="00063F28">
        <w:t>ays of Awe)</w:t>
      </w:r>
      <w:r w:rsidR="002562F5" w:rsidRPr="0014645F">
        <w:t xml:space="preserve"> </w:t>
      </w:r>
      <w:r w:rsidR="00063F28">
        <w:t>beginning</w:t>
      </w:r>
      <w:r w:rsidR="002562F5" w:rsidRPr="0014645F">
        <w:t xml:space="preserve"> on the first day of Elul</w:t>
      </w:r>
      <w:r w:rsidR="00063F28">
        <w:t>,</w:t>
      </w:r>
      <w:r w:rsidR="005C756F">
        <w:t xml:space="preserve"> and</w:t>
      </w:r>
      <w:r w:rsidR="00063F28">
        <w:t xml:space="preserve"> the r</w:t>
      </w:r>
      <w:r w:rsidR="002562F5" w:rsidRPr="0014645F">
        <w:t xml:space="preserve">ecitation of 13 </w:t>
      </w:r>
      <w:proofErr w:type="spellStart"/>
      <w:r w:rsidR="000707CC" w:rsidRPr="000707CC">
        <w:rPr>
          <w:i/>
          <w:iCs/>
        </w:rPr>
        <w:t>m</w:t>
      </w:r>
      <w:r w:rsidR="00063F28" w:rsidRPr="000707CC">
        <w:rPr>
          <w:i/>
          <w:iCs/>
        </w:rPr>
        <w:t>idot</w:t>
      </w:r>
      <w:proofErr w:type="spellEnd"/>
      <w:r w:rsidR="00063F28">
        <w:t xml:space="preserve"> (attributes of God)</w:t>
      </w:r>
      <w:r w:rsidR="002562F5" w:rsidRPr="0014645F">
        <w:t xml:space="preserve"> in </w:t>
      </w:r>
      <w:proofErr w:type="spellStart"/>
      <w:r w:rsidR="00C3117F" w:rsidRPr="00EC142F">
        <w:rPr>
          <w:i/>
          <w:iCs/>
        </w:rPr>
        <w:t>sha</w:t>
      </w:r>
      <w:r w:rsidR="00EC142F" w:rsidRPr="00EC142F">
        <w:rPr>
          <w:i/>
          <w:iCs/>
        </w:rPr>
        <w:t>ḥarit</w:t>
      </w:r>
      <w:proofErr w:type="spellEnd"/>
      <w:r w:rsidR="00EC142F">
        <w:t xml:space="preserve"> (</w:t>
      </w:r>
      <w:r w:rsidR="002562F5" w:rsidRPr="0014645F">
        <w:t>the morning prayer</w:t>
      </w:r>
      <w:r w:rsidR="00EC142F">
        <w:t>)</w:t>
      </w:r>
      <w:r w:rsidR="00C3117F">
        <w:t xml:space="preserve">, </w:t>
      </w:r>
      <w:r w:rsidR="00C3117F" w:rsidRPr="00EC142F">
        <w:rPr>
          <w:i/>
          <w:iCs/>
        </w:rPr>
        <w:t>musaf</w:t>
      </w:r>
      <w:r w:rsidR="00C3117F">
        <w:t xml:space="preserve"> </w:t>
      </w:r>
      <w:r w:rsidR="00EC142F">
        <w:t xml:space="preserve">(the </w:t>
      </w:r>
      <w:r w:rsidR="00C3117F">
        <w:t>prayer</w:t>
      </w:r>
      <w:r w:rsidR="00EC142F">
        <w:t xml:space="preserve"> that follows </w:t>
      </w:r>
      <w:proofErr w:type="spellStart"/>
      <w:r w:rsidR="00EC142F" w:rsidRPr="005C756F">
        <w:rPr>
          <w:i/>
          <w:iCs/>
        </w:rPr>
        <w:t>sha</w:t>
      </w:r>
      <w:r w:rsidR="005C756F" w:rsidRPr="005C756F">
        <w:rPr>
          <w:i/>
          <w:iCs/>
        </w:rPr>
        <w:t>ḥarit</w:t>
      </w:r>
      <w:proofErr w:type="spellEnd"/>
      <w:r w:rsidR="005C756F">
        <w:t>)</w:t>
      </w:r>
      <w:r w:rsidR="00C3117F">
        <w:t xml:space="preserve"> and </w:t>
      </w:r>
      <w:proofErr w:type="spellStart"/>
      <w:r w:rsidR="00C3117F" w:rsidRPr="005C756F">
        <w:rPr>
          <w:i/>
          <w:iCs/>
        </w:rPr>
        <w:t>minḥa</w:t>
      </w:r>
      <w:proofErr w:type="spellEnd"/>
      <w:r w:rsidR="00C3117F">
        <w:t xml:space="preserve"> </w:t>
      </w:r>
      <w:r w:rsidR="005C756F">
        <w:t xml:space="preserve">(the afternoon </w:t>
      </w:r>
      <w:r w:rsidR="00C3117F">
        <w:t>prayer</w:t>
      </w:r>
      <w:r w:rsidR="005C756F">
        <w:t>)</w:t>
      </w:r>
      <w:r w:rsidR="002562F5" w:rsidRPr="0014645F">
        <w:t xml:space="preserve"> </w:t>
      </w:r>
      <w:r w:rsidR="005C756F">
        <w:t>on</w:t>
      </w:r>
      <w:r w:rsidR="002562F5" w:rsidRPr="0014645F">
        <w:t xml:space="preserve"> Yom Kippur.</w:t>
      </w:r>
    </w:p>
    <w:p w14:paraId="0DB73B83" w14:textId="43C52088" w:rsidR="00F809DA" w:rsidRPr="0014645F" w:rsidRDefault="0014645F" w:rsidP="00AC3A83">
      <w:pPr>
        <w:rPr>
          <w:rtl/>
        </w:rPr>
      </w:pPr>
      <w:commentRangeStart w:id="18"/>
      <w:r w:rsidRPr="0014645F">
        <w:t>Adahan</w:t>
      </w:r>
      <w:r w:rsidR="003600BA">
        <w:t>’</w:t>
      </w:r>
      <w:r w:rsidRPr="0014645F">
        <w:t>s</w:t>
      </w:r>
      <w:commentRangeEnd w:id="18"/>
      <w:r w:rsidR="005F6633">
        <w:rPr>
          <w:rStyle w:val="CommentReference"/>
        </w:rPr>
        <w:commentReference w:id="18"/>
      </w:r>
      <w:r w:rsidRPr="0014645F">
        <w:t xml:space="preserve"> recommendation to adopt the customs of the </w:t>
      </w:r>
      <w:r w:rsidR="001616AE">
        <w:t>Sephardic</w:t>
      </w:r>
      <w:r w:rsidRPr="0014645F">
        <w:t xml:space="preserve"> community in Amsterdam </w:t>
      </w:r>
      <w:r w:rsidR="00DD637B">
        <w:t xml:space="preserve">is a case of </w:t>
      </w:r>
      <w:r w:rsidR="00AC3A83">
        <w:t xml:space="preserve">what Peter Burke calls </w:t>
      </w:r>
      <w:r w:rsidR="006F1C22">
        <w:t>“</w:t>
      </w:r>
      <w:r w:rsidRPr="0014645F">
        <w:t>liberation from provincialism</w:t>
      </w:r>
      <w:r w:rsidR="006F1C22">
        <w:t>”</w:t>
      </w:r>
      <w:r w:rsidRPr="0014645F">
        <w:t xml:space="preserve"> </w:t>
      </w:r>
      <w:r w:rsidR="00DD637B">
        <w:t xml:space="preserve">– </w:t>
      </w:r>
      <w:r w:rsidRPr="0014645F">
        <w:t>the broadening of horizons that expatriates and immigrants experience in the transition from one culture to another, from the</w:t>
      </w:r>
      <w:r w:rsidR="00AC3A83">
        <w:t>ir</w:t>
      </w:r>
      <w:r w:rsidRPr="0014645F">
        <w:t xml:space="preserve"> original</w:t>
      </w:r>
      <w:r w:rsidR="00AC3A83">
        <w:t xml:space="preserve"> culture</w:t>
      </w:r>
      <w:r w:rsidRPr="0014645F">
        <w:t xml:space="preserve"> to </w:t>
      </w:r>
      <w:r w:rsidR="00AC3A83">
        <w:t>a</w:t>
      </w:r>
      <w:r w:rsidRPr="0014645F">
        <w:t xml:space="preserve"> host one</w:t>
      </w:r>
      <w:r w:rsidR="00AC3A83">
        <w:t>.</w:t>
      </w:r>
    </w:p>
    <w:p w14:paraId="1BFC5690" w14:textId="093B0DAB" w:rsidR="00900A81" w:rsidRPr="0014645F" w:rsidRDefault="0014645F" w:rsidP="00734746">
      <w:pPr>
        <w:rPr>
          <w:rtl/>
        </w:rPr>
      </w:pPr>
      <w:r w:rsidRPr="0014645F">
        <w:t>Adahan</w:t>
      </w:r>
      <w:r w:rsidR="002562F5" w:rsidRPr="0014645F">
        <w:t xml:space="preserve"> recommended adopting some Ashkenazi customs as well, such as wearing a </w:t>
      </w:r>
      <w:proofErr w:type="spellStart"/>
      <w:r w:rsidR="00190372" w:rsidRPr="00190372">
        <w:rPr>
          <w:i/>
          <w:iCs/>
        </w:rPr>
        <w:t>k</w:t>
      </w:r>
      <w:r w:rsidR="002562F5" w:rsidRPr="00190372">
        <w:rPr>
          <w:i/>
          <w:iCs/>
        </w:rPr>
        <w:t>itel</w:t>
      </w:r>
      <w:proofErr w:type="spellEnd"/>
      <w:r w:rsidR="00190372">
        <w:t xml:space="preserve"> (white gown)</w:t>
      </w:r>
      <w:r w:rsidR="002562F5" w:rsidRPr="0014645F">
        <w:t xml:space="preserve"> on Yom Kippur; </w:t>
      </w:r>
      <w:r w:rsidR="00190372">
        <w:t>standing</w:t>
      </w:r>
      <w:r w:rsidR="002562F5" w:rsidRPr="0014645F">
        <w:t xml:space="preserve"> during the recitation of </w:t>
      </w:r>
      <w:r w:rsidR="00190372">
        <w:t xml:space="preserve">the </w:t>
      </w:r>
      <w:r w:rsidR="00094311">
        <w:t>K</w:t>
      </w:r>
      <w:r w:rsidR="002562F5" w:rsidRPr="0014645F">
        <w:t xml:space="preserve">addish; </w:t>
      </w:r>
      <w:r w:rsidR="00AB0C44">
        <w:t xml:space="preserve">and </w:t>
      </w:r>
      <w:r w:rsidR="00094311">
        <w:t>not performing weddings during the three weeks between the 17</w:t>
      </w:r>
      <w:r w:rsidR="00094311" w:rsidRPr="00094311">
        <w:rPr>
          <w:vertAlign w:val="superscript"/>
        </w:rPr>
        <w:t>th</w:t>
      </w:r>
      <w:r w:rsidR="00094311">
        <w:t xml:space="preserve"> of Tammuz and the 9</w:t>
      </w:r>
      <w:r w:rsidR="00094311" w:rsidRPr="00094311">
        <w:rPr>
          <w:vertAlign w:val="superscript"/>
        </w:rPr>
        <w:t>th</w:t>
      </w:r>
      <w:r w:rsidR="00094311">
        <w:t xml:space="preserve"> of Av.</w:t>
      </w:r>
      <w:r w:rsidR="00AB0C44">
        <w:t xml:space="preserve"> </w:t>
      </w:r>
      <w:r w:rsidR="002F59CB">
        <w:t>We do not know if</w:t>
      </w:r>
      <w:r w:rsidR="002562F5" w:rsidRPr="0014645F">
        <w:t xml:space="preserve"> </w:t>
      </w:r>
      <w:r w:rsidRPr="0014645F">
        <w:t>Adahan</w:t>
      </w:r>
      <w:r w:rsidR="002562F5" w:rsidRPr="0014645F">
        <w:t xml:space="preserve"> visited Ashkenazi communities</w:t>
      </w:r>
      <w:r w:rsidR="002F59CB">
        <w:t>.</w:t>
      </w:r>
      <w:r w:rsidR="002562F5" w:rsidRPr="0014645F">
        <w:t xml:space="preserve"> </w:t>
      </w:r>
      <w:r w:rsidR="00714EEC">
        <w:t>M</w:t>
      </w:r>
      <w:r w:rsidR="002562F5" w:rsidRPr="0014645F">
        <w:t>ost likely</w:t>
      </w:r>
      <w:r w:rsidR="00714EEC">
        <w:t>,</w:t>
      </w:r>
      <w:r w:rsidR="002562F5" w:rsidRPr="0014645F">
        <w:t xml:space="preserve"> he was exposed to </w:t>
      </w:r>
      <w:r w:rsidR="00714EEC">
        <w:t>Ashkenazi</w:t>
      </w:r>
      <w:r w:rsidR="002562F5" w:rsidRPr="0014645F">
        <w:t xml:space="preserve"> customs through </w:t>
      </w:r>
      <w:r w:rsidR="00714EEC">
        <w:t>ethical-practical literature or</w:t>
      </w:r>
      <w:r w:rsidR="005C7E38">
        <w:t>,</w:t>
      </w:r>
      <w:r w:rsidR="002562F5" w:rsidRPr="0014645F">
        <w:t xml:space="preserve"> more directly</w:t>
      </w:r>
      <w:r w:rsidR="005C7E38">
        <w:t>,</w:t>
      </w:r>
      <w:r w:rsidR="002562F5" w:rsidRPr="0014645F">
        <w:t xml:space="preserve"> through the Ashkenazi community in Amsterdam. According to </w:t>
      </w:r>
      <w:r w:rsidR="005C7E38">
        <w:t>Burke</w:t>
      </w:r>
      <w:r w:rsidR="002562F5" w:rsidRPr="0014645F">
        <w:t xml:space="preserve">, </w:t>
      </w:r>
      <w:r w:rsidR="00523C11">
        <w:t>knowledge is distributed more effectively through direct</w:t>
      </w:r>
      <w:r w:rsidR="002562F5" w:rsidRPr="0014645F">
        <w:t xml:space="preserve"> encounters</w:t>
      </w:r>
      <w:r w:rsidR="00184679">
        <w:t>:</w:t>
      </w:r>
      <w:r w:rsidR="002562F5" w:rsidRPr="0014645F">
        <w:t xml:space="preserve"> </w:t>
      </w:r>
      <w:commentRangeStart w:id="19"/>
      <w:r w:rsidR="00DD637B">
        <w:t>“</w:t>
      </w:r>
      <w:r w:rsidR="00CA655A">
        <w:t>T</w:t>
      </w:r>
      <w:r w:rsidR="002562F5" w:rsidRPr="0014645F">
        <w:t xml:space="preserve">he </w:t>
      </w:r>
      <w:r w:rsidR="002562F5" w:rsidRPr="0014645F">
        <w:lastRenderedPageBreak/>
        <w:t>movement of people was and still is a more effective factor in imparting knowledge than the movement of books.</w:t>
      </w:r>
      <w:r w:rsidR="00DD637B">
        <w:t>”</w:t>
      </w:r>
      <w:commentRangeEnd w:id="19"/>
      <w:r w:rsidR="00523C11">
        <w:rPr>
          <w:rStyle w:val="CommentReference"/>
        </w:rPr>
        <w:commentReference w:id="19"/>
      </w:r>
    </w:p>
    <w:p w14:paraId="1669AB1D" w14:textId="4F721918" w:rsidR="00E262B3" w:rsidRPr="0014645F" w:rsidRDefault="0014645F" w:rsidP="00734746">
      <w:pPr>
        <w:rPr>
          <w:rtl/>
        </w:rPr>
      </w:pPr>
      <w:r w:rsidRPr="0014645F">
        <w:t>Adahan</w:t>
      </w:r>
      <w:r w:rsidR="002562F5" w:rsidRPr="0014645F">
        <w:t xml:space="preserve"> also </w:t>
      </w:r>
      <w:r w:rsidR="00774121">
        <w:t>instructed his readers</w:t>
      </w:r>
      <w:r w:rsidR="002562F5" w:rsidRPr="0014645F">
        <w:t xml:space="preserve"> to avoid </w:t>
      </w:r>
      <w:r w:rsidR="00774121">
        <w:t>certain</w:t>
      </w:r>
      <w:r w:rsidR="002562F5" w:rsidRPr="0014645F">
        <w:t xml:space="preserve"> customs that prevailed in the various Jewish communities. For example, he </w:t>
      </w:r>
      <w:r w:rsidR="004E7F8A">
        <w:t>banned the practice of</w:t>
      </w:r>
      <w:r w:rsidR="002562F5" w:rsidRPr="0014645F">
        <w:t xml:space="preserve"> women </w:t>
      </w:r>
      <w:r w:rsidR="004E7F8A">
        <w:t>scratching themselves</w:t>
      </w:r>
      <w:r w:rsidR="002562F5" w:rsidRPr="0014645F">
        <w:t xml:space="preserve"> </w:t>
      </w:r>
      <w:r w:rsidR="0081534B">
        <w:t>as an expression of</w:t>
      </w:r>
      <w:r w:rsidR="002562F5" w:rsidRPr="0014645F">
        <w:t xml:space="preserve"> mourning, </w:t>
      </w:r>
      <w:commentRangeStart w:id="20"/>
      <w:r w:rsidR="002562F5" w:rsidRPr="0014645F">
        <w:t xml:space="preserve">a practice that was accepted in the Jewish communities in North Africa. </w:t>
      </w:r>
      <w:commentRangeEnd w:id="20"/>
      <w:r w:rsidR="004D3C6A">
        <w:rPr>
          <w:rStyle w:val="CommentReference"/>
        </w:rPr>
        <w:commentReference w:id="20"/>
      </w:r>
      <w:r w:rsidR="00AB279F">
        <w:t>He forbade slaughteri</w:t>
      </w:r>
      <w:r w:rsidR="007511EB">
        <w:t>ng animals</w:t>
      </w:r>
      <w:r w:rsidR="002562F5" w:rsidRPr="0014645F">
        <w:t xml:space="preserve"> on </w:t>
      </w:r>
      <w:r w:rsidR="007511EB">
        <w:t>Tisha Be-Av</w:t>
      </w:r>
      <w:r w:rsidR="002562F5" w:rsidRPr="0014645F">
        <w:t xml:space="preserve">, as some do according to the </w:t>
      </w:r>
      <w:r w:rsidR="00541337">
        <w:t>Sephardic</w:t>
      </w:r>
      <w:r w:rsidR="002562F5" w:rsidRPr="0014645F">
        <w:t xml:space="preserve"> custom. </w:t>
      </w:r>
      <w:r w:rsidR="00127CAF">
        <w:t>At the same time</w:t>
      </w:r>
      <w:r w:rsidR="00702F28">
        <w:t>,</w:t>
      </w:r>
      <w:r w:rsidR="002562F5" w:rsidRPr="0014645F">
        <w:t xml:space="preserve"> he </w:t>
      </w:r>
      <w:r w:rsidR="00127CAF">
        <w:t>instructed his readers</w:t>
      </w:r>
      <w:r w:rsidR="002562F5" w:rsidRPr="0014645F">
        <w:t xml:space="preserve"> to avoid the many fasts and </w:t>
      </w:r>
      <w:r w:rsidR="00702F28">
        <w:t>other ascetic practices</w:t>
      </w:r>
      <w:r w:rsidR="002562F5" w:rsidRPr="0014645F">
        <w:t xml:space="preserve"> that were prevalent in the Ashkenazi community at that time.</w:t>
      </w:r>
    </w:p>
    <w:p w14:paraId="099BD4A9" w14:textId="4350F41B" w:rsidR="008F51A2" w:rsidRPr="0014645F" w:rsidRDefault="0014645F" w:rsidP="00734746">
      <w:pPr>
        <w:rPr>
          <w:rtl/>
        </w:rPr>
      </w:pPr>
      <w:r w:rsidRPr="0014645F">
        <w:t>Adahan</w:t>
      </w:r>
      <w:r w:rsidR="003600BA">
        <w:t>’</w:t>
      </w:r>
      <w:r w:rsidR="002562F5" w:rsidRPr="0014645F">
        <w:t>s movement between different geographical areas</w:t>
      </w:r>
      <w:r w:rsidR="00366171">
        <w:t xml:space="preserve"> allowed him to become</w:t>
      </w:r>
      <w:r w:rsidR="002562F5" w:rsidRPr="0014645F">
        <w:t xml:space="preserve"> familiar with </w:t>
      </w:r>
      <w:r w:rsidR="00366171">
        <w:t>North African</w:t>
      </w:r>
      <w:r w:rsidR="002562F5" w:rsidRPr="0014645F">
        <w:t>, Sephardic</w:t>
      </w:r>
      <w:r w:rsidR="00366171">
        <w:t>,</w:t>
      </w:r>
      <w:r w:rsidR="002562F5" w:rsidRPr="0014645F">
        <w:t xml:space="preserve"> and Ashkenazi customs</w:t>
      </w:r>
      <w:r w:rsidR="00810265">
        <w:t>.</w:t>
      </w:r>
      <w:r w:rsidR="002562F5" w:rsidRPr="0014645F">
        <w:t xml:space="preserve"> </w:t>
      </w:r>
      <w:r w:rsidR="00055315">
        <w:t>In his book, he collected the laws and practices that he approved of, i.e.,</w:t>
      </w:r>
      <w:r w:rsidR="002562F5" w:rsidRPr="0014645F">
        <w:t xml:space="preserve"> those that </w:t>
      </w:r>
      <w:r w:rsidR="004D5638">
        <w:t>passed</w:t>
      </w:r>
      <w:r w:rsidR="002562F5" w:rsidRPr="0014645F">
        <w:t xml:space="preserve"> the self-selection mechanism he </w:t>
      </w:r>
      <w:r w:rsidR="004D5638">
        <w:t>used</w:t>
      </w:r>
      <w:r w:rsidR="002562F5" w:rsidRPr="0014645F">
        <w:t>, and sought to</w:t>
      </w:r>
      <w:r w:rsidR="00055315">
        <w:t xml:space="preserve"> have other communities</w:t>
      </w:r>
      <w:r w:rsidR="002562F5" w:rsidRPr="0014645F">
        <w:t xml:space="preserve"> assimilate them</w:t>
      </w:r>
      <w:r w:rsidR="00055315">
        <w:t xml:space="preserve">. </w:t>
      </w:r>
      <w:r w:rsidR="00C537E4">
        <w:t>H</w:t>
      </w:r>
      <w:r w:rsidR="002562F5" w:rsidRPr="0014645F">
        <w:t xml:space="preserve">e </w:t>
      </w:r>
      <w:r w:rsidR="00C537E4">
        <w:t xml:space="preserve">also </w:t>
      </w:r>
      <w:r w:rsidR="002562F5" w:rsidRPr="0014645F">
        <w:t xml:space="preserve">warned against customs that prevailed in these communities </w:t>
      </w:r>
      <w:r w:rsidR="00AA0E9D">
        <w:t>that he considered inappropriate</w:t>
      </w:r>
      <w:r w:rsidR="002562F5" w:rsidRPr="0014645F">
        <w:t xml:space="preserve">. In this way, </w:t>
      </w:r>
      <w:r w:rsidRPr="0014645F">
        <w:t>Adahan</w:t>
      </w:r>
      <w:r w:rsidR="002562F5" w:rsidRPr="0014645F">
        <w:t xml:space="preserve"> took part in the transition of knowledge between cultures in Jewish society in the early modern period. According to Neuman, immigrants and expatriates use one of three strategies in their new home: assimilation into the culture of the host country; opposition to it; or a synthesis of the elements of the two cultures. </w:t>
      </w:r>
      <w:r w:rsidR="00EA4C27">
        <w:t>According to Park</w:t>
      </w:r>
      <w:r w:rsidR="002562F5" w:rsidRPr="0014645F">
        <w:t xml:space="preserve">, immigration enables the growth of a </w:t>
      </w:r>
      <w:r w:rsidR="006F1C22">
        <w:t>“</w:t>
      </w:r>
      <w:r w:rsidR="002562F5" w:rsidRPr="0014645F">
        <w:t>cultural hybrid</w:t>
      </w:r>
      <w:r w:rsidR="006F1C22">
        <w:t>”</w:t>
      </w:r>
      <w:r w:rsidR="002562F5" w:rsidRPr="0014645F">
        <w:t xml:space="preserve"> </w:t>
      </w:r>
      <w:r w:rsidR="00760703">
        <w:t>that participates</w:t>
      </w:r>
      <w:r w:rsidR="002562F5" w:rsidRPr="0014645F">
        <w:t xml:space="preserve"> in the cultural life of two different peoples. </w:t>
      </w:r>
      <w:r w:rsidR="00760703">
        <w:t>Burke</w:t>
      </w:r>
      <w:r w:rsidR="002562F5" w:rsidRPr="0014645F">
        <w:t xml:space="preserve"> claims that this in-between strategy is the most </w:t>
      </w:r>
      <w:r w:rsidR="00A540CB">
        <w:t>productive</w:t>
      </w:r>
      <w:r w:rsidR="002562F5" w:rsidRPr="0014645F">
        <w:t xml:space="preserve"> and that the unique contributions of </w:t>
      </w:r>
      <w:r w:rsidR="00CF3823">
        <w:t>exiles</w:t>
      </w:r>
      <w:r w:rsidR="002562F5" w:rsidRPr="0014645F">
        <w:t xml:space="preserve"> and immigrants to </w:t>
      </w:r>
      <w:r w:rsidR="00CF3823">
        <w:t>the creation of</w:t>
      </w:r>
      <w:r w:rsidR="002562F5" w:rsidRPr="0014645F">
        <w:t xml:space="preserve"> knowledge and its dissemination are</w:t>
      </w:r>
      <w:r w:rsidR="00CF3823">
        <w:t xml:space="preserve"> </w:t>
      </w:r>
      <w:r w:rsidR="002562F5" w:rsidRPr="0014645F">
        <w:t xml:space="preserve">mainly credited to those scholars </w:t>
      </w:r>
      <w:commentRangeStart w:id="21"/>
      <w:r w:rsidR="002562F5" w:rsidRPr="0014645F">
        <w:t xml:space="preserve">who adopted it. </w:t>
      </w:r>
      <w:commentRangeEnd w:id="21"/>
      <w:r w:rsidR="00C20ED6">
        <w:rPr>
          <w:rStyle w:val="CommentReference"/>
        </w:rPr>
        <w:commentReference w:id="21"/>
      </w:r>
    </w:p>
    <w:p w14:paraId="3A3A1CB4" w14:textId="57CD92F1" w:rsidR="008F51A2" w:rsidRPr="0014645F" w:rsidRDefault="0014645F" w:rsidP="00734746">
      <w:pPr>
        <w:rPr>
          <w:rtl/>
        </w:rPr>
      </w:pPr>
      <w:r w:rsidRPr="0014645F">
        <w:lastRenderedPageBreak/>
        <w:t>Adahan</w:t>
      </w:r>
      <w:r w:rsidR="003600BA">
        <w:t>’</w:t>
      </w:r>
      <w:r w:rsidRPr="0014645F">
        <w:t>s recommendation</w:t>
      </w:r>
      <w:r w:rsidR="00E66737">
        <w:t>s</w:t>
      </w:r>
      <w:r w:rsidRPr="0014645F">
        <w:t xml:space="preserve"> to adopt </w:t>
      </w:r>
      <w:r w:rsidR="00E66737">
        <w:t>a mixture of North African</w:t>
      </w:r>
      <w:r w:rsidRPr="0014645F">
        <w:t>, Sephardic</w:t>
      </w:r>
      <w:r w:rsidR="0040027F">
        <w:t>,</w:t>
      </w:r>
      <w:r w:rsidRPr="0014645F">
        <w:t xml:space="preserve"> and Ashkenazi customs indicate that he did not </w:t>
      </w:r>
      <w:r w:rsidR="00C16815">
        <w:t>regard</w:t>
      </w:r>
      <w:r w:rsidRPr="0014645F">
        <w:t xml:space="preserve"> his book</w:t>
      </w:r>
      <w:r w:rsidR="003600BA">
        <w:t>’</w:t>
      </w:r>
      <w:r w:rsidRPr="0014645F">
        <w:t xml:space="preserve">s target audience </w:t>
      </w:r>
      <w:r w:rsidR="0040027F">
        <w:t>as</w:t>
      </w:r>
      <w:r w:rsidR="00C16815">
        <w:t xml:space="preserve"> </w:t>
      </w:r>
      <w:r w:rsidRPr="0014645F">
        <w:t>exclusively one of th</w:t>
      </w:r>
      <w:r w:rsidR="00C16815">
        <w:t xml:space="preserve">ose </w:t>
      </w:r>
      <w:r w:rsidRPr="0014645F">
        <w:t xml:space="preserve">communities, but all three. He did not </w:t>
      </w:r>
      <w:r w:rsidR="00A22F0D">
        <w:t>address</w:t>
      </w:r>
      <w:r w:rsidRPr="0014645F">
        <w:t xml:space="preserve"> his book </w:t>
      </w:r>
      <w:r w:rsidR="006A3B6D" w:rsidRPr="0014645F">
        <w:t>only</w:t>
      </w:r>
      <w:r w:rsidR="006A3B6D">
        <w:t xml:space="preserve"> </w:t>
      </w:r>
      <w:r w:rsidRPr="0014645F">
        <w:t xml:space="preserve">to his original community, </w:t>
      </w:r>
      <w:r w:rsidR="006A3B6D">
        <w:t>namely</w:t>
      </w:r>
      <w:r w:rsidRPr="0014645F">
        <w:t xml:space="preserve"> the North African one, </w:t>
      </w:r>
      <w:r w:rsidR="00A22F0D">
        <w:t>nor to his</w:t>
      </w:r>
      <w:r w:rsidRPr="0014645F">
        <w:t xml:space="preserve"> current community, i.e.</w:t>
      </w:r>
      <w:r w:rsidR="006A3B6D">
        <w:t>,</w:t>
      </w:r>
      <w:r w:rsidRPr="0014645F">
        <w:t xml:space="preserve"> Amsterdam </w:t>
      </w:r>
      <w:r w:rsidR="00EC349D">
        <w:t>with</w:t>
      </w:r>
      <w:r w:rsidRPr="0014645F">
        <w:t xml:space="preserve"> its Sephardi</w:t>
      </w:r>
      <w:r w:rsidR="00EC349D">
        <w:t>c</w:t>
      </w:r>
      <w:r w:rsidRPr="0014645F">
        <w:t xml:space="preserve"> and Ashkenazi communit</w:t>
      </w:r>
      <w:r w:rsidR="00EC349D">
        <w:t>ies.</w:t>
      </w:r>
      <w:r w:rsidRPr="0014645F">
        <w:t xml:space="preserve"> </w:t>
      </w:r>
      <w:r w:rsidRPr="0014645F">
        <w:rPr>
          <w:i/>
          <w:iCs/>
        </w:rPr>
        <w:t>B</w:t>
      </w:r>
      <w:r w:rsidR="00EC349D">
        <w:rPr>
          <w:i/>
          <w:iCs/>
        </w:rPr>
        <w:t>i-</w:t>
      </w:r>
      <w:proofErr w:type="spellStart"/>
      <w:r w:rsidR="00EC349D">
        <w:rPr>
          <w:i/>
          <w:iCs/>
        </w:rPr>
        <w:t>N</w:t>
      </w:r>
      <w:r w:rsidR="00E80EF9">
        <w:rPr>
          <w:i/>
          <w:iCs/>
        </w:rPr>
        <w:t>e’ot</w:t>
      </w:r>
      <w:proofErr w:type="spellEnd"/>
      <w:r w:rsidR="00E80EF9">
        <w:rPr>
          <w:i/>
          <w:iCs/>
        </w:rPr>
        <w:t xml:space="preserve"> </w:t>
      </w:r>
      <w:proofErr w:type="spellStart"/>
      <w:r w:rsidRPr="0014645F">
        <w:rPr>
          <w:i/>
          <w:iCs/>
        </w:rPr>
        <w:t>Desh</w:t>
      </w:r>
      <w:r w:rsidR="00E80EF9">
        <w:rPr>
          <w:i/>
          <w:iCs/>
        </w:rPr>
        <w:t>e</w:t>
      </w:r>
      <w:proofErr w:type="spellEnd"/>
      <w:r w:rsidRPr="0014645F">
        <w:t xml:space="preserve"> </w:t>
      </w:r>
      <w:r w:rsidR="00F61FB4">
        <w:t xml:space="preserve">is addressed to all </w:t>
      </w:r>
      <w:r w:rsidR="006A3B6D">
        <w:t xml:space="preserve">three </w:t>
      </w:r>
      <w:r w:rsidR="00F61FB4">
        <w:t>Jewish communities</w:t>
      </w:r>
      <w:r w:rsidR="006A3B6D">
        <w:t>:</w:t>
      </w:r>
      <w:r w:rsidR="00F61FB4">
        <w:t xml:space="preserve"> North African</w:t>
      </w:r>
      <w:r w:rsidRPr="0014645F">
        <w:t>, Sephardic</w:t>
      </w:r>
      <w:r w:rsidR="006A3B6D">
        <w:t>,</w:t>
      </w:r>
      <w:r w:rsidRPr="0014645F">
        <w:t xml:space="preserve"> and Ashkenazi. </w:t>
      </w:r>
      <w:r w:rsidR="0096020A">
        <w:t xml:space="preserve">The fact that </w:t>
      </w:r>
      <w:r w:rsidRPr="0014645F">
        <w:t>Adahan</w:t>
      </w:r>
      <w:r w:rsidR="0096020A">
        <w:t xml:space="preserve"> </w:t>
      </w:r>
      <w:r w:rsidR="00611DF5">
        <w:t>wro</w:t>
      </w:r>
      <w:r w:rsidRPr="0014645F">
        <w:t xml:space="preserve">te his book in Hebrew, the </w:t>
      </w:r>
      <w:r w:rsidRPr="00F61FB4">
        <w:rPr>
          <w:i/>
          <w:iCs/>
        </w:rPr>
        <w:t>lingua franca</w:t>
      </w:r>
      <w:r w:rsidRPr="0014645F">
        <w:t xml:space="preserve"> of </w:t>
      </w:r>
      <w:r w:rsidR="00F32FA3">
        <w:t xml:space="preserve">the </w:t>
      </w:r>
      <w:r w:rsidRPr="0014645F">
        <w:t xml:space="preserve">Jews in </w:t>
      </w:r>
      <w:r w:rsidR="00F32FA3">
        <w:t>all three</w:t>
      </w:r>
      <w:r w:rsidRPr="0014645F">
        <w:t xml:space="preserve"> communities, and not in </w:t>
      </w:r>
      <w:r w:rsidR="00F61FB4">
        <w:t>a</w:t>
      </w:r>
      <w:r w:rsidR="00F32FA3">
        <w:t xml:space="preserve"> </w:t>
      </w:r>
      <w:r w:rsidRPr="0014645F">
        <w:t>vernacular language</w:t>
      </w:r>
      <w:r w:rsidR="00F32FA3">
        <w:t xml:space="preserve"> is </w:t>
      </w:r>
      <w:r w:rsidR="00E47428">
        <w:t xml:space="preserve">further evidence </w:t>
      </w:r>
      <w:r w:rsidR="00580063">
        <w:t xml:space="preserve">that Adahan wrote for all of them and thus </w:t>
      </w:r>
      <w:r w:rsidRPr="0014645F">
        <w:t>served as a mediator between three cultures.</w:t>
      </w:r>
    </w:p>
    <w:p w14:paraId="0A78C9D2" w14:textId="0FAF1A18" w:rsidR="00900A81" w:rsidRPr="0014645F" w:rsidRDefault="00585F74" w:rsidP="002A726B">
      <w:pPr>
        <w:rPr>
          <w:rtl/>
        </w:rPr>
      </w:pPr>
      <w:r>
        <w:t>I</w:t>
      </w:r>
      <w:r w:rsidR="002562F5" w:rsidRPr="0014645F">
        <w:t>n one case</w:t>
      </w:r>
      <w:r w:rsidR="00DB168E">
        <w:t>,</w:t>
      </w:r>
      <w:r w:rsidR="002562F5" w:rsidRPr="0014645F">
        <w:t xml:space="preserve"> </w:t>
      </w:r>
      <w:r w:rsidR="00DB168E">
        <w:t>Adahan</w:t>
      </w:r>
      <w:r w:rsidR="002562F5" w:rsidRPr="0014645F">
        <w:t xml:space="preserve"> </w:t>
      </w:r>
      <w:r w:rsidR="000D3F23">
        <w:t>combined</w:t>
      </w:r>
      <w:r w:rsidR="002562F5" w:rsidRPr="0014645F">
        <w:t xml:space="preserve"> the Sephardi</w:t>
      </w:r>
      <w:r w:rsidR="00DB168E">
        <w:t>c</w:t>
      </w:r>
      <w:r w:rsidR="002562F5" w:rsidRPr="0014645F">
        <w:t xml:space="preserve"> and Ashkenazi customs:</w:t>
      </w:r>
      <w:r w:rsidR="002A726B">
        <w:rPr>
          <w:lang w:val="en-US"/>
        </w:rPr>
        <w:t xml:space="preserve"> </w:t>
      </w:r>
      <w:r w:rsidR="002562F5" w:rsidRPr="0014645F">
        <w:t xml:space="preserve">According to </w:t>
      </w:r>
      <w:r w:rsidR="002A726B" w:rsidRPr="0014645F">
        <w:t>Sephardi</w:t>
      </w:r>
      <w:r w:rsidR="002A726B">
        <w:t>c</w:t>
      </w:r>
      <w:r w:rsidR="002A726B" w:rsidRPr="0014645F">
        <w:t xml:space="preserve"> </w:t>
      </w:r>
      <w:r w:rsidR="002562F5" w:rsidRPr="0014645F">
        <w:t xml:space="preserve">custom, </w:t>
      </w:r>
      <w:proofErr w:type="spellStart"/>
      <w:r w:rsidR="00455C4B" w:rsidRPr="00455C4B">
        <w:rPr>
          <w:i/>
          <w:iCs/>
        </w:rPr>
        <w:t>birkot</w:t>
      </w:r>
      <w:proofErr w:type="spellEnd"/>
      <w:r w:rsidR="00455C4B" w:rsidRPr="00455C4B">
        <w:rPr>
          <w:i/>
          <w:iCs/>
        </w:rPr>
        <w:t xml:space="preserve"> ha-</w:t>
      </w:r>
      <w:proofErr w:type="spellStart"/>
      <w:r w:rsidR="00455C4B" w:rsidRPr="00455C4B">
        <w:rPr>
          <w:i/>
          <w:iCs/>
        </w:rPr>
        <w:t>shaḥar</w:t>
      </w:r>
      <w:proofErr w:type="spellEnd"/>
      <w:r w:rsidR="00455C4B">
        <w:t xml:space="preserve">, the blessing upon rising, are recited </w:t>
      </w:r>
      <w:r w:rsidR="002562F5" w:rsidRPr="0014645F">
        <w:t xml:space="preserve">at home, before </w:t>
      </w:r>
      <w:r w:rsidR="00455C4B">
        <w:t>going to</w:t>
      </w:r>
      <w:r w:rsidR="002562F5" w:rsidRPr="0014645F">
        <w:t xml:space="preserve"> the synagogue. According to Ashkenazi custom, </w:t>
      </w:r>
      <w:proofErr w:type="spellStart"/>
      <w:r w:rsidR="003A4170" w:rsidRPr="00455C4B">
        <w:rPr>
          <w:i/>
          <w:iCs/>
        </w:rPr>
        <w:t>birkot</w:t>
      </w:r>
      <w:proofErr w:type="spellEnd"/>
      <w:r w:rsidR="003A4170" w:rsidRPr="00455C4B">
        <w:rPr>
          <w:i/>
          <w:iCs/>
        </w:rPr>
        <w:t xml:space="preserve"> ha-</w:t>
      </w:r>
      <w:proofErr w:type="spellStart"/>
      <w:r w:rsidR="003A4170" w:rsidRPr="00455C4B">
        <w:rPr>
          <w:i/>
          <w:iCs/>
        </w:rPr>
        <w:t>shaḥar</w:t>
      </w:r>
      <w:proofErr w:type="spellEnd"/>
      <w:r w:rsidR="003A4170" w:rsidRPr="0014645F">
        <w:t xml:space="preserve"> </w:t>
      </w:r>
      <w:r w:rsidR="003A4170">
        <w:t xml:space="preserve">are recited </w:t>
      </w:r>
      <w:r w:rsidR="00E278CB">
        <w:t xml:space="preserve">aloud </w:t>
      </w:r>
      <w:r w:rsidR="002562F5" w:rsidRPr="0014645F">
        <w:t>in the synagogue</w:t>
      </w:r>
      <w:r w:rsidR="003A4170">
        <w:t xml:space="preserve"> </w:t>
      </w:r>
      <w:r w:rsidR="00E278CB">
        <w:t>by the prayer leader, enabling</w:t>
      </w:r>
      <w:r w:rsidR="002562F5" w:rsidRPr="0014645F">
        <w:t xml:space="preserve"> the other worshipers to answer </w:t>
      </w:r>
      <w:r w:rsidR="006F1C22">
        <w:t>“</w:t>
      </w:r>
      <w:r w:rsidR="002562F5" w:rsidRPr="0014645F">
        <w:t>Amen</w:t>
      </w:r>
      <w:r w:rsidR="00E278CB">
        <w:t>,</w:t>
      </w:r>
      <w:r w:rsidR="006F1C22">
        <w:t>”</w:t>
      </w:r>
      <w:r w:rsidR="002562F5" w:rsidRPr="0014645F">
        <w:t xml:space="preserve"> </w:t>
      </w:r>
      <w:commentRangeStart w:id="22"/>
      <w:r w:rsidR="0014645F" w:rsidRPr="0014645F">
        <w:t>Adahan</w:t>
      </w:r>
      <w:r w:rsidR="002562F5" w:rsidRPr="0014645F">
        <w:t xml:space="preserve"> recommended </w:t>
      </w:r>
      <w:r w:rsidR="00D15F84">
        <w:t>reciting</w:t>
      </w:r>
      <w:r w:rsidR="00D15F84" w:rsidRPr="0014645F">
        <w:t xml:space="preserve"> </w:t>
      </w:r>
      <w:proofErr w:type="spellStart"/>
      <w:r w:rsidR="00D15F84" w:rsidRPr="00455C4B">
        <w:rPr>
          <w:i/>
          <w:iCs/>
        </w:rPr>
        <w:t>birkot</w:t>
      </w:r>
      <w:proofErr w:type="spellEnd"/>
      <w:r w:rsidR="00D15F84" w:rsidRPr="00455C4B">
        <w:rPr>
          <w:i/>
          <w:iCs/>
        </w:rPr>
        <w:t xml:space="preserve"> ha-</w:t>
      </w:r>
      <w:proofErr w:type="spellStart"/>
      <w:r w:rsidR="00D15F84" w:rsidRPr="00455C4B">
        <w:rPr>
          <w:i/>
          <w:iCs/>
        </w:rPr>
        <w:t>shaḥar</w:t>
      </w:r>
      <w:proofErr w:type="spellEnd"/>
      <w:r w:rsidR="002562F5" w:rsidRPr="0014645F">
        <w:t xml:space="preserve"> a</w:t>
      </w:r>
      <w:r w:rsidR="00744792">
        <w:t>s</w:t>
      </w:r>
      <w:r w:rsidR="002562F5" w:rsidRPr="0014645F">
        <w:t xml:space="preserve"> </w:t>
      </w:r>
      <w:r w:rsidR="00D15F84">
        <w:t>per the Sephardic</w:t>
      </w:r>
      <w:r w:rsidR="002562F5" w:rsidRPr="0014645F">
        <w:t xml:space="preserve"> custom</w:t>
      </w:r>
      <w:r w:rsidR="002F353F">
        <w:t xml:space="preserve">, but if for some reason one did not, </w:t>
      </w:r>
      <w:r w:rsidR="002562F5" w:rsidRPr="0014645F">
        <w:t xml:space="preserve">then one must recite </w:t>
      </w:r>
      <w:r w:rsidR="002F353F">
        <w:t>them</w:t>
      </w:r>
      <w:r w:rsidR="002562F5" w:rsidRPr="0014645F">
        <w:t xml:space="preserve"> in the synagogue, according to the Ashkenazi custom.</w:t>
      </w:r>
      <w:r w:rsidR="00A71C94">
        <w:t xml:space="preserve"> When that occurs,</w:t>
      </w:r>
      <w:r w:rsidR="002562F5" w:rsidRPr="0014645F">
        <w:t xml:space="preserve"> the other worshipers must answer </w:t>
      </w:r>
      <w:r w:rsidR="006F1C22">
        <w:t>“</w:t>
      </w:r>
      <w:r w:rsidR="002562F5" w:rsidRPr="0014645F">
        <w:t>Amen</w:t>
      </w:r>
      <w:r w:rsidR="006F1C22">
        <w:t>”</w:t>
      </w:r>
      <w:r w:rsidR="002562F5" w:rsidRPr="0014645F">
        <w:t xml:space="preserve"> according to the Ashkenazi custom, </w:t>
      </w:r>
      <w:r w:rsidR="00744792">
        <w:t xml:space="preserve">as well as </w:t>
      </w:r>
      <w:r w:rsidR="006F1C22">
        <w:t>“</w:t>
      </w:r>
      <w:r w:rsidR="002562F5" w:rsidRPr="0014645F">
        <w:t>Blessed be he and blessed be his name</w:t>
      </w:r>
      <w:r w:rsidR="006F1C22">
        <w:t>”</w:t>
      </w:r>
      <w:r w:rsidR="002562F5" w:rsidRPr="0014645F">
        <w:t xml:space="preserve"> according to the Sephardic custom.</w:t>
      </w:r>
      <w:commentRangeEnd w:id="22"/>
      <w:r w:rsidR="00A71C94">
        <w:rPr>
          <w:rStyle w:val="CommentReference"/>
        </w:rPr>
        <w:commentReference w:id="22"/>
      </w:r>
    </w:p>
    <w:p w14:paraId="2D87A456" w14:textId="2E756B03" w:rsidR="00F07FE7" w:rsidRPr="0014645F" w:rsidRDefault="00A459DA" w:rsidP="00734746">
      <w:pPr>
        <w:rPr>
          <w:rtl/>
        </w:rPr>
      </w:pPr>
      <w:r>
        <w:rPr>
          <w:rFonts w:hint="cs"/>
          <w:rtl/>
        </w:rPr>
        <w:t xml:space="preserve"> </w:t>
      </w:r>
      <w:commentRangeStart w:id="23"/>
      <w:r w:rsidR="002562F5" w:rsidRPr="0014645F">
        <w:t>According to Bar-</w:t>
      </w:r>
      <w:proofErr w:type="spellStart"/>
      <w:r w:rsidR="002562F5" w:rsidRPr="0014645F">
        <w:t>Levav</w:t>
      </w:r>
      <w:proofErr w:type="spellEnd"/>
      <w:r w:rsidR="002562F5" w:rsidRPr="0014645F">
        <w:t xml:space="preserve">, </w:t>
      </w:r>
      <w:commentRangeEnd w:id="23"/>
      <w:r w:rsidR="00795760">
        <w:rPr>
          <w:rStyle w:val="CommentReference"/>
        </w:rPr>
        <w:commentReference w:id="23"/>
      </w:r>
      <w:r w:rsidR="002562F5" w:rsidRPr="0014645F">
        <w:t xml:space="preserve">the </w:t>
      </w:r>
      <w:r w:rsidR="00BB24CF">
        <w:rPr>
          <w:lang w:val="en-US"/>
        </w:rPr>
        <w:t>first stirrings</w:t>
      </w:r>
      <w:r w:rsidR="002562F5" w:rsidRPr="0014645F">
        <w:t xml:space="preserve"> of a Jewish literary republic can already be identified in the Jewish printing center of Amsterdam in the eighteenth century. He points out that despite the cultural difference</w:t>
      </w:r>
      <w:r w:rsidR="00BB24CF">
        <w:t>s</w:t>
      </w:r>
      <w:r w:rsidR="002562F5" w:rsidRPr="0014645F">
        <w:t xml:space="preserve"> between the Sephardic and Ashkenazi communities in the city, they were united </w:t>
      </w:r>
      <w:r w:rsidR="009C3405">
        <w:t>to an extent</w:t>
      </w:r>
      <w:r w:rsidR="002562F5" w:rsidRPr="0014645F">
        <w:t xml:space="preserve"> in a literary republic of traditional literature. </w:t>
      </w:r>
      <w:r w:rsidR="001A1083">
        <w:t>Alongside the</w:t>
      </w:r>
      <w:r w:rsidR="002562F5" w:rsidRPr="0014645F">
        <w:t xml:space="preserve"> literary republic</w:t>
      </w:r>
      <w:r w:rsidR="001A1083">
        <w:t>, he claims,</w:t>
      </w:r>
      <w:r w:rsidR="002562F5" w:rsidRPr="0014645F">
        <w:t xml:space="preserve"> there was also a republic of customs and </w:t>
      </w:r>
      <w:r w:rsidR="0023164C">
        <w:t>practices</w:t>
      </w:r>
      <w:r w:rsidR="00324679">
        <w:t xml:space="preserve"> made up of those who took upon themselves </w:t>
      </w:r>
      <w:r w:rsidR="002562F5" w:rsidRPr="0014645F">
        <w:t xml:space="preserve">the new </w:t>
      </w:r>
      <w:r w:rsidR="002562F5" w:rsidRPr="0014645F">
        <w:lastRenderedPageBreak/>
        <w:t>customs that appeared in the</w:t>
      </w:r>
      <w:r w:rsidR="00020CAC">
        <w:t xml:space="preserve"> ethical-practical</w:t>
      </w:r>
      <w:r w:rsidR="002562F5" w:rsidRPr="0014645F">
        <w:t xml:space="preserve"> literature of </w:t>
      </w:r>
      <w:r w:rsidR="00020CAC">
        <w:t>the</w:t>
      </w:r>
      <w:r w:rsidR="002562F5" w:rsidRPr="0014645F">
        <w:t xml:space="preserve"> seventeenth and eighteenth centuries. </w:t>
      </w:r>
    </w:p>
    <w:p w14:paraId="5D7D86FE" w14:textId="6997307F" w:rsidR="00F07FE7" w:rsidRPr="00F56850" w:rsidRDefault="002562F5" w:rsidP="00F56850">
      <w:pPr>
        <w:rPr>
          <w:lang w:val="en-US"/>
        </w:rPr>
      </w:pPr>
      <w:r w:rsidRPr="0014645F">
        <w:t>I w</w:t>
      </w:r>
      <w:r w:rsidR="00EA4B00">
        <w:t>ant</w:t>
      </w:r>
      <w:r w:rsidRPr="0014645F">
        <w:t xml:space="preserve"> to suggest that by writing a book that recommends the adoption of </w:t>
      </w:r>
      <w:r w:rsidR="00354D19">
        <w:t>a mixture of North African</w:t>
      </w:r>
      <w:r w:rsidRPr="0014645F">
        <w:t>, Sephardi</w:t>
      </w:r>
      <w:r w:rsidR="00EA4B00">
        <w:t>c</w:t>
      </w:r>
      <w:r w:rsidR="003B321F">
        <w:t>,</w:t>
      </w:r>
      <w:r w:rsidRPr="0014645F">
        <w:t xml:space="preserve"> and Ashkenazi customs</w:t>
      </w:r>
      <w:r w:rsidR="00C072FD">
        <w:t>, even combining them</w:t>
      </w:r>
      <w:r w:rsidRPr="0014645F">
        <w:t xml:space="preserve"> </w:t>
      </w:r>
      <w:r w:rsidR="003B321F">
        <w:t xml:space="preserve">in </w:t>
      </w:r>
      <w:r w:rsidRPr="0014645F">
        <w:t xml:space="preserve">one case, </w:t>
      </w:r>
      <w:r w:rsidR="0014645F" w:rsidRPr="0014645F">
        <w:t>Adahan</w:t>
      </w:r>
      <w:r w:rsidRPr="0014645F">
        <w:t xml:space="preserve"> made a unique contribution both to the formation of the literary republic of traditional literature and to the formation of </w:t>
      </w:r>
      <w:r w:rsidR="00C072FD">
        <w:t>the</w:t>
      </w:r>
      <w:r w:rsidRPr="0014645F">
        <w:t xml:space="preserve"> republic of customs and </w:t>
      </w:r>
      <w:r w:rsidR="00C072FD">
        <w:t>practices</w:t>
      </w:r>
      <w:r w:rsidRPr="0014645F">
        <w:t xml:space="preserve"> in the early modern era. </w:t>
      </w:r>
      <w:r w:rsidR="00EA4B00">
        <w:t>I suggest</w:t>
      </w:r>
      <w:r w:rsidRPr="0014645F">
        <w:t xml:space="preserve"> that one of the overarching goals of the book is the creation of an </w:t>
      </w:r>
      <w:r w:rsidR="006F1C22">
        <w:t>“</w:t>
      </w:r>
      <w:r w:rsidRPr="0014645F">
        <w:t>imagined community</w:t>
      </w:r>
      <w:r w:rsidR="006F1C22">
        <w:t>”</w:t>
      </w:r>
      <w:r w:rsidRPr="0014645F">
        <w:t xml:space="preserve"> that unites Sephardic, </w:t>
      </w:r>
      <w:r w:rsidR="00EA4B00">
        <w:t>North African,</w:t>
      </w:r>
      <w:r w:rsidRPr="0014645F">
        <w:t xml:space="preserve"> and Ashkenazi customs.</w:t>
      </w:r>
    </w:p>
    <w:p w14:paraId="5E81D792" w14:textId="682C733E" w:rsidR="00E86781" w:rsidRPr="0014645F" w:rsidRDefault="002562F5" w:rsidP="00734746">
      <w:pPr>
        <w:rPr>
          <w:rtl/>
        </w:rPr>
      </w:pPr>
      <w:r w:rsidRPr="0014645F">
        <w:t xml:space="preserve">However, </w:t>
      </w:r>
      <w:r w:rsidR="0076025B">
        <w:t>I must</w:t>
      </w:r>
      <w:r w:rsidRPr="0014645F">
        <w:t xml:space="preserve"> emphasize that we do not find in </w:t>
      </w:r>
      <w:r w:rsidR="0014645F" w:rsidRPr="0014645F">
        <w:t>Adahan</w:t>
      </w:r>
      <w:r w:rsidR="003600BA">
        <w:t>’</w:t>
      </w:r>
      <w:r w:rsidRPr="0014645F">
        <w:t xml:space="preserve">s </w:t>
      </w:r>
      <w:r w:rsidR="0076025B">
        <w:t>book</w:t>
      </w:r>
      <w:r w:rsidRPr="0014645F">
        <w:t xml:space="preserve"> an open and explicit statement regarding the need for the unification of the customs of the Jewish communities, </w:t>
      </w:r>
      <w:r w:rsidR="00D851CD">
        <w:t>nor do we</w:t>
      </w:r>
      <w:r w:rsidRPr="0014645F">
        <w:t xml:space="preserve"> find any trace </w:t>
      </w:r>
      <w:r w:rsidR="00D851CD">
        <w:t>of</w:t>
      </w:r>
      <w:r w:rsidRPr="0014645F">
        <w:t xml:space="preserve"> an overarching reason for </w:t>
      </w:r>
      <w:r w:rsidR="00942FE5">
        <w:t>doing so. This stands in contrast, for example</w:t>
      </w:r>
      <w:r w:rsidR="00624029">
        <w:t>,</w:t>
      </w:r>
      <w:r w:rsidR="00942FE5">
        <w:t xml:space="preserve"> to Rabbi Yosef Karo’s description of his </w:t>
      </w:r>
      <w:r w:rsidRPr="0014645F">
        <w:t xml:space="preserve">codification project. </w:t>
      </w:r>
      <w:r w:rsidR="004974E1">
        <w:t>T</w:t>
      </w:r>
      <w:r w:rsidRPr="0014645F">
        <w:t>he recommendation</w:t>
      </w:r>
      <w:r w:rsidR="001D1524">
        <w:t>s</w:t>
      </w:r>
      <w:r w:rsidRPr="0014645F">
        <w:t xml:space="preserve"> to adopt </w:t>
      </w:r>
      <w:r w:rsidR="001D1524">
        <w:t xml:space="preserve">the </w:t>
      </w:r>
      <w:r w:rsidR="00624029">
        <w:t>vari</w:t>
      </w:r>
      <w:r w:rsidR="001D1524">
        <w:t xml:space="preserve">ous customs proposed in the book </w:t>
      </w:r>
      <w:r w:rsidR="00443370">
        <w:t>are</w:t>
      </w:r>
      <w:r w:rsidR="001D1524">
        <w:t xml:space="preserve"> thus</w:t>
      </w:r>
      <w:r w:rsidRPr="0014645F">
        <w:t xml:space="preserve"> due to </w:t>
      </w:r>
      <w:r w:rsidR="00DD59DA">
        <w:t>each custom’s</w:t>
      </w:r>
      <w:r w:rsidRPr="0014645F">
        <w:t xml:space="preserve"> intrinsic </w:t>
      </w:r>
      <w:r w:rsidR="00DD59DA">
        <w:t xml:space="preserve">individual </w:t>
      </w:r>
      <w:r w:rsidRPr="0014645F">
        <w:t xml:space="preserve">value. In any case, </w:t>
      </w:r>
      <w:r w:rsidR="0014645F" w:rsidRPr="0014645F">
        <w:t>Adahan</w:t>
      </w:r>
      <w:r w:rsidR="003600BA">
        <w:t>’</w:t>
      </w:r>
      <w:r w:rsidRPr="0014645F">
        <w:t xml:space="preserve">s unique contribution remained only in potential since </w:t>
      </w:r>
      <w:r w:rsidRPr="0014645F">
        <w:rPr>
          <w:i/>
          <w:iCs/>
        </w:rPr>
        <w:t>B</w:t>
      </w:r>
      <w:r w:rsidR="00402840">
        <w:rPr>
          <w:i/>
          <w:iCs/>
        </w:rPr>
        <w:t>i-</w:t>
      </w:r>
      <w:proofErr w:type="spellStart"/>
      <w:r w:rsidR="00402840">
        <w:rPr>
          <w:i/>
          <w:iCs/>
        </w:rPr>
        <w:t>N’</w:t>
      </w:r>
      <w:r w:rsidRPr="0014645F">
        <w:rPr>
          <w:i/>
          <w:iCs/>
        </w:rPr>
        <w:t>ot</w:t>
      </w:r>
      <w:proofErr w:type="spellEnd"/>
      <w:r w:rsidRPr="0014645F">
        <w:rPr>
          <w:i/>
          <w:iCs/>
        </w:rPr>
        <w:t xml:space="preserve"> </w:t>
      </w:r>
      <w:proofErr w:type="spellStart"/>
      <w:r w:rsidRPr="0014645F">
        <w:rPr>
          <w:i/>
          <w:iCs/>
        </w:rPr>
        <w:t>Desh</w:t>
      </w:r>
      <w:r w:rsidR="00402840">
        <w:rPr>
          <w:i/>
          <w:iCs/>
        </w:rPr>
        <w:t>e</w:t>
      </w:r>
      <w:proofErr w:type="spellEnd"/>
      <w:r w:rsidRPr="0014645F">
        <w:t xml:space="preserve"> was not well received and was printed only once. </w:t>
      </w:r>
    </w:p>
    <w:p w14:paraId="6093A114" w14:textId="29FDEC20" w:rsidR="00EC7298" w:rsidRPr="0014645F" w:rsidRDefault="00102B24" w:rsidP="00734746">
      <w:pPr>
        <w:rPr>
          <w:rtl/>
        </w:rPr>
      </w:pPr>
      <w:r>
        <w:t>F.</w:t>
      </w:r>
    </w:p>
    <w:p w14:paraId="10D57A9A" w14:textId="0C4DFC13" w:rsidR="00EC7298" w:rsidRPr="0014645F" w:rsidRDefault="002562F5" w:rsidP="00734746">
      <w:pPr>
        <w:rPr>
          <w:rtl/>
        </w:rPr>
      </w:pPr>
      <w:r w:rsidRPr="00102B24">
        <w:t>In conclusion</w:t>
      </w:r>
      <w:r w:rsidRPr="0014645F">
        <w:rPr>
          <w:i/>
          <w:iCs/>
        </w:rPr>
        <w:t xml:space="preserve">, </w:t>
      </w:r>
      <w:r w:rsidR="00102B24" w:rsidRPr="0014645F">
        <w:rPr>
          <w:i/>
          <w:iCs/>
        </w:rPr>
        <w:t>B</w:t>
      </w:r>
      <w:r w:rsidR="00102B24">
        <w:rPr>
          <w:i/>
          <w:iCs/>
        </w:rPr>
        <w:t>i-</w:t>
      </w:r>
      <w:proofErr w:type="spellStart"/>
      <w:r w:rsidR="00102B24">
        <w:rPr>
          <w:i/>
          <w:iCs/>
        </w:rPr>
        <w:t>N’</w:t>
      </w:r>
      <w:r w:rsidR="00102B24" w:rsidRPr="0014645F">
        <w:rPr>
          <w:i/>
          <w:iCs/>
        </w:rPr>
        <w:t>ot</w:t>
      </w:r>
      <w:proofErr w:type="spellEnd"/>
      <w:r w:rsidR="00102B24" w:rsidRPr="0014645F">
        <w:rPr>
          <w:i/>
          <w:iCs/>
        </w:rPr>
        <w:t xml:space="preserve"> </w:t>
      </w:r>
      <w:proofErr w:type="spellStart"/>
      <w:r w:rsidR="00102B24" w:rsidRPr="0014645F">
        <w:rPr>
          <w:i/>
          <w:iCs/>
        </w:rPr>
        <w:t>Desh</w:t>
      </w:r>
      <w:r w:rsidR="00102B24">
        <w:rPr>
          <w:i/>
          <w:iCs/>
        </w:rPr>
        <w:t>e</w:t>
      </w:r>
      <w:proofErr w:type="spellEnd"/>
      <w:r w:rsidR="00102B24" w:rsidRPr="0014645F">
        <w:t xml:space="preserve"> </w:t>
      </w:r>
      <w:r w:rsidR="00102B24">
        <w:t>by</w:t>
      </w:r>
      <w:r w:rsidR="00A377A4">
        <w:t xml:space="preserve"> </w:t>
      </w:r>
      <w:r w:rsidRPr="0014645F">
        <w:t xml:space="preserve">Shlomo </w:t>
      </w:r>
      <w:r w:rsidR="0014645F" w:rsidRPr="0014645F">
        <w:t>Adahan</w:t>
      </w:r>
      <w:r w:rsidRPr="0014645F">
        <w:t xml:space="preserve"> </w:t>
      </w:r>
      <w:r w:rsidR="00C030A1">
        <w:t>belongs to the category of ethical-practical literature</w:t>
      </w:r>
      <w:r w:rsidR="005478C9">
        <w:t xml:space="preserve">, or </w:t>
      </w:r>
      <w:r w:rsidRPr="0014645F">
        <w:t>more precisely</w:t>
      </w:r>
      <w:r w:rsidR="005478C9">
        <w:t xml:space="preserve">, is an example of an abridged and </w:t>
      </w:r>
      <w:r w:rsidR="00B461B8">
        <w:t xml:space="preserve">popular form of </w:t>
      </w:r>
      <w:r w:rsidRPr="0014645F">
        <w:t xml:space="preserve">this literature as was customary in its time. The writing of this kind of literature was </w:t>
      </w:r>
      <w:r w:rsidR="00790270">
        <w:t>widespread</w:t>
      </w:r>
      <w:r w:rsidRPr="0014645F">
        <w:t xml:space="preserve"> in the </w:t>
      </w:r>
      <w:r w:rsidR="00B461B8">
        <w:t>Jewish</w:t>
      </w:r>
      <w:r w:rsidRPr="0014645F">
        <w:t xml:space="preserve"> communities </w:t>
      </w:r>
      <w:r w:rsidR="00C73314">
        <w:t>of</w:t>
      </w:r>
      <w:r w:rsidRPr="0014645F">
        <w:t xml:space="preserve"> the eighteenth century</w:t>
      </w:r>
      <w:r w:rsidR="005453B0">
        <w:t>. H</w:t>
      </w:r>
      <w:r w:rsidRPr="0014645F">
        <w:t xml:space="preserve">owever, </w:t>
      </w:r>
      <w:r w:rsidR="00091D9F">
        <w:t xml:space="preserve">no </w:t>
      </w:r>
      <w:r w:rsidR="000B05B4">
        <w:t xml:space="preserve">other </w:t>
      </w:r>
      <w:r w:rsidR="00091D9F">
        <w:t>known North African authors</w:t>
      </w:r>
      <w:r w:rsidRPr="0014645F">
        <w:t xml:space="preserve"> </w:t>
      </w:r>
      <w:r w:rsidR="00C73314">
        <w:t xml:space="preserve">participated in this </w:t>
      </w:r>
      <w:r w:rsidRPr="0014645F">
        <w:t xml:space="preserve">genre, even though </w:t>
      </w:r>
      <w:r w:rsidR="000B05B4">
        <w:t>they were familiar</w:t>
      </w:r>
      <w:r w:rsidRPr="0014645F">
        <w:t xml:space="preserve"> with it, and </w:t>
      </w:r>
      <w:r w:rsidR="00734132">
        <w:t xml:space="preserve">in </w:t>
      </w:r>
      <w:r w:rsidRPr="0014645F">
        <w:t xml:space="preserve">this uniqueness </w:t>
      </w:r>
      <w:r w:rsidR="00734132">
        <w:t>lies the</w:t>
      </w:r>
      <w:r w:rsidRPr="0014645F">
        <w:t xml:space="preserve"> importance of the book </w:t>
      </w:r>
      <w:r w:rsidR="00790270">
        <w:t>which</w:t>
      </w:r>
      <w:r w:rsidRPr="0014645F">
        <w:t xml:space="preserve"> is the focus of the </w:t>
      </w:r>
      <w:r w:rsidRPr="0014645F">
        <w:lastRenderedPageBreak/>
        <w:t xml:space="preserve">current research. It is likely that </w:t>
      </w:r>
      <w:r w:rsidR="0014645F" w:rsidRPr="0014645F">
        <w:t>Adahan</w:t>
      </w:r>
      <w:r w:rsidRPr="0014645F">
        <w:t xml:space="preserve"> was familiar with </w:t>
      </w:r>
      <w:r w:rsidR="00C75867">
        <w:t>ethical-practical</w:t>
      </w:r>
      <w:r w:rsidRPr="0014645F">
        <w:t xml:space="preserve"> literature </w:t>
      </w:r>
      <w:r w:rsidR="00C75867">
        <w:t>already</w:t>
      </w:r>
      <w:r w:rsidRPr="0014645F">
        <w:t xml:space="preserve"> in North Africa and that </w:t>
      </w:r>
      <w:r w:rsidR="00B51CE4">
        <w:t xml:space="preserve">he was inspired to try his hand at it in </w:t>
      </w:r>
      <w:r w:rsidRPr="0014645F">
        <w:t xml:space="preserve">his new place of residence, Amsterdam. A perusal of the book shows that it appeals to multiple target audiences, from the general public with minimal education </w:t>
      </w:r>
      <w:r w:rsidR="00B51CE4">
        <w:t>to</w:t>
      </w:r>
      <w:r w:rsidRPr="0014645F">
        <w:t xml:space="preserve"> </w:t>
      </w:r>
      <w:r w:rsidR="00492FA0">
        <w:t>the more literate</w:t>
      </w:r>
      <w:r w:rsidRPr="0014645F">
        <w:t xml:space="preserve"> who own a small library and </w:t>
      </w:r>
      <w:r w:rsidR="00492FA0">
        <w:t>could</w:t>
      </w:r>
      <w:r w:rsidRPr="0014645F">
        <w:t xml:space="preserve"> serve in various roles in the community.</w:t>
      </w:r>
    </w:p>
    <w:p w14:paraId="68CD2A0E" w14:textId="1EE51350" w:rsidR="00EC7298" w:rsidRPr="0014645F" w:rsidRDefault="0014645F" w:rsidP="00734746">
      <w:pPr>
        <w:rPr>
          <w:rtl/>
        </w:rPr>
      </w:pPr>
      <w:r w:rsidRPr="0014645F">
        <w:t>Adahan</w:t>
      </w:r>
      <w:r w:rsidR="002562F5" w:rsidRPr="0014645F">
        <w:t xml:space="preserve">, as </w:t>
      </w:r>
      <w:r w:rsidR="006A0208">
        <w:t>was</w:t>
      </w:r>
      <w:r w:rsidR="002562F5" w:rsidRPr="0014645F">
        <w:t xml:space="preserve"> customary in </w:t>
      </w:r>
      <w:r w:rsidR="008B2995">
        <w:t>ethical</w:t>
      </w:r>
      <w:r w:rsidR="006A0208">
        <w:t>-practical</w:t>
      </w:r>
      <w:r w:rsidR="002562F5" w:rsidRPr="0014645F">
        <w:t xml:space="preserve"> literature, sought to offer t</w:t>
      </w:r>
      <w:r w:rsidR="006A0208">
        <w:t>he public</w:t>
      </w:r>
      <w:r w:rsidR="002562F5" w:rsidRPr="0014645F">
        <w:t xml:space="preserve"> normative laws </w:t>
      </w:r>
      <w:r w:rsidR="004B69D7">
        <w:t>for</w:t>
      </w:r>
      <w:r w:rsidR="002562F5" w:rsidRPr="0014645F">
        <w:t xml:space="preserve"> various aspects of life</w:t>
      </w:r>
      <w:r w:rsidR="00443370">
        <w:t xml:space="preserve"> and</w:t>
      </w:r>
      <w:r w:rsidR="002562F5" w:rsidRPr="0014645F">
        <w:t xml:space="preserve"> </w:t>
      </w:r>
      <w:r w:rsidR="00400B48">
        <w:t>publicize and inculcate</w:t>
      </w:r>
      <w:r w:rsidR="002562F5" w:rsidRPr="0014645F">
        <w:t xml:space="preserve"> </w:t>
      </w:r>
      <w:r w:rsidR="0084342D">
        <w:t>multiple</w:t>
      </w:r>
      <w:r w:rsidR="002562F5" w:rsidRPr="0014645F">
        <w:t xml:space="preserve"> customs. </w:t>
      </w:r>
      <w:proofErr w:type="spellStart"/>
      <w:r w:rsidR="002562F5" w:rsidRPr="0014645F">
        <w:t>Adhaan</w:t>
      </w:r>
      <w:r w:rsidR="003600BA">
        <w:t>’</w:t>
      </w:r>
      <w:r w:rsidR="002562F5" w:rsidRPr="0014645F">
        <w:t>s</w:t>
      </w:r>
      <w:proofErr w:type="spellEnd"/>
      <w:r w:rsidR="002562F5" w:rsidRPr="0014645F">
        <w:t xml:space="preserve"> uniqueness is that his direct acquaintance with </w:t>
      </w:r>
      <w:r w:rsidR="00443370">
        <w:t>North African</w:t>
      </w:r>
      <w:r w:rsidR="002562F5" w:rsidRPr="0014645F">
        <w:t>, Sephardi</w:t>
      </w:r>
      <w:r w:rsidR="00443370">
        <w:t>c,</w:t>
      </w:r>
      <w:r w:rsidR="002562F5" w:rsidRPr="0014645F">
        <w:t xml:space="preserve"> and Ashkenazi communities exposed him to their diverse customs, and he did not hesitate to </w:t>
      </w:r>
      <w:r w:rsidR="003F3476">
        <w:t>select</w:t>
      </w:r>
      <w:r w:rsidR="002562F5" w:rsidRPr="0014645F">
        <w:t xml:space="preserve"> </w:t>
      </w:r>
      <w:r w:rsidR="003F3476">
        <w:t xml:space="preserve">the </w:t>
      </w:r>
      <w:r w:rsidR="002562F5" w:rsidRPr="0014645F">
        <w:t xml:space="preserve">customs of the various communities and </w:t>
      </w:r>
      <w:r w:rsidR="003F3476">
        <w:t>recommen</w:t>
      </w:r>
      <w:r w:rsidR="0084342D">
        <w:t>d</w:t>
      </w:r>
      <w:r w:rsidR="002562F5" w:rsidRPr="0014645F">
        <w:t xml:space="preserve"> them </w:t>
      </w:r>
      <w:r w:rsidR="0084342D">
        <w:t>to</w:t>
      </w:r>
      <w:r w:rsidR="002562F5" w:rsidRPr="0014645F">
        <w:t xml:space="preserve"> the other </w:t>
      </w:r>
      <w:r w:rsidR="0084342D">
        <w:t>communities</w:t>
      </w:r>
      <w:r w:rsidR="002562F5" w:rsidRPr="0014645F">
        <w:t xml:space="preserve"> through his book </w:t>
      </w:r>
      <w:r w:rsidR="0084342D">
        <w:t>while expressing his objection to</w:t>
      </w:r>
      <w:r w:rsidR="002562F5" w:rsidRPr="0014645F">
        <w:t xml:space="preserve"> customs that </w:t>
      </w:r>
      <w:r w:rsidR="0084342D">
        <w:t>he deemed</w:t>
      </w:r>
      <w:r w:rsidR="002562F5" w:rsidRPr="0014645F">
        <w:t xml:space="preserve"> inappropriate. </w:t>
      </w:r>
      <w:r w:rsidR="00A31973">
        <w:t>In</w:t>
      </w:r>
      <w:r w:rsidR="002562F5" w:rsidRPr="0014645F">
        <w:t xml:space="preserve"> doing so, </w:t>
      </w:r>
      <w:r w:rsidRPr="0014645F">
        <w:t>Adahan</w:t>
      </w:r>
      <w:r w:rsidR="002562F5" w:rsidRPr="0014645F">
        <w:t xml:space="preserve"> made a unique contribution to the formation of the </w:t>
      </w:r>
      <w:r w:rsidR="00A31973">
        <w:t>r</w:t>
      </w:r>
      <w:r w:rsidR="002562F5" w:rsidRPr="0014645F">
        <w:t xml:space="preserve">epublic of </w:t>
      </w:r>
      <w:r w:rsidR="00497BCF">
        <w:t>practices and c</w:t>
      </w:r>
      <w:r w:rsidR="002562F5" w:rsidRPr="0014645F">
        <w:t xml:space="preserve">ustoms. </w:t>
      </w:r>
      <w:r w:rsidR="00FA05E5">
        <w:t>It can be said</w:t>
      </w:r>
      <w:r w:rsidR="002562F5" w:rsidRPr="0014645F">
        <w:t xml:space="preserve"> that one of the </w:t>
      </w:r>
      <w:r w:rsidR="00BE68DA">
        <w:t>book’s goals</w:t>
      </w:r>
      <w:r w:rsidR="002562F5" w:rsidRPr="0014645F">
        <w:t xml:space="preserve"> is an attempt to create an </w:t>
      </w:r>
      <w:r w:rsidR="006F1C22">
        <w:t>“</w:t>
      </w:r>
      <w:commentRangeStart w:id="24"/>
      <w:r w:rsidR="002562F5" w:rsidRPr="0014645F">
        <w:t>imagined community</w:t>
      </w:r>
      <w:r w:rsidR="006F1C22">
        <w:t>”</w:t>
      </w:r>
      <w:r w:rsidR="002562F5" w:rsidRPr="0014645F">
        <w:t xml:space="preserve"> that unites Sephardic, </w:t>
      </w:r>
      <w:r w:rsidR="00FA05E5">
        <w:t>North African</w:t>
      </w:r>
      <w:r w:rsidR="002562F5" w:rsidRPr="0014645F">
        <w:t xml:space="preserve">, and Ashkenazi customs, but we do not find </w:t>
      </w:r>
      <w:r w:rsidR="0050083A">
        <w:t>an explicit statement of this goal in the book</w:t>
      </w:r>
      <w:r w:rsidR="002562F5" w:rsidRPr="0014645F">
        <w:t>.</w:t>
      </w:r>
      <w:commentRangeEnd w:id="24"/>
      <w:r w:rsidR="0050083A">
        <w:rPr>
          <w:rStyle w:val="CommentReference"/>
        </w:rPr>
        <w:commentReference w:id="24"/>
      </w:r>
    </w:p>
    <w:p w14:paraId="52A80220" w14:textId="77777777" w:rsidR="00EC7298" w:rsidRPr="0014645F" w:rsidRDefault="00EC7298" w:rsidP="00734746"/>
    <w:sectPr w:rsidR="00EC7298" w:rsidRPr="0014645F" w:rsidSect="000A375B">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 w:date="2024-08-08T11:27:00Z" w:initials="JA">
    <w:p w14:paraId="709357CD" w14:textId="732585FD" w:rsidR="0014645F" w:rsidRDefault="0014645F" w:rsidP="00734746">
      <w:pPr>
        <w:pStyle w:val="CommentText"/>
        <w:rPr>
          <w:rtl/>
        </w:rPr>
      </w:pPr>
      <w:r>
        <w:rPr>
          <w:rStyle w:val="CommentReference"/>
        </w:rPr>
        <w:annotationRef/>
      </w:r>
      <w:r>
        <w:rPr>
          <w:rFonts w:hint="cs"/>
          <w:rtl/>
        </w:rPr>
        <w:t xml:space="preserve">הוספתי מעט לכותרת </w:t>
      </w:r>
    </w:p>
  </w:comment>
  <w:comment w:id="1" w:author="JA" w:date="2024-08-08T17:10:00Z" w:initials="JA">
    <w:p w14:paraId="7ECE1C28" w14:textId="1DC21CA4" w:rsidR="005966AE" w:rsidRPr="00490C4F" w:rsidRDefault="005966AE" w:rsidP="005966AE">
      <w:pPr>
        <w:pStyle w:val="CommentText"/>
        <w:bidi/>
        <w:rPr>
          <w:rFonts w:hint="cs"/>
          <w:lang w:val="en-US"/>
        </w:rPr>
      </w:pPr>
      <w:r>
        <w:rPr>
          <w:rStyle w:val="CommentReference"/>
        </w:rPr>
        <w:annotationRef/>
      </w:r>
      <w:r>
        <w:rPr>
          <w:rFonts w:hint="cs"/>
          <w:rtl/>
        </w:rPr>
        <w:t>הוספתי ביאור</w:t>
      </w:r>
      <w:r w:rsidR="00490C4F">
        <w:t xml:space="preserve"> </w:t>
      </w:r>
      <w:r w:rsidR="00490C4F">
        <w:rPr>
          <w:rFonts w:hint="cs"/>
          <w:rtl/>
        </w:rPr>
        <w:t xml:space="preserve">וטבעתי מושג </w:t>
      </w:r>
      <w:r w:rsidR="00490C4F">
        <w:rPr>
          <w:lang w:val="en-US"/>
        </w:rPr>
        <w:t>ethical-practical</w:t>
      </w:r>
      <w:r w:rsidR="00B911FC">
        <w:rPr>
          <w:rFonts w:hint="cs"/>
          <w:rtl/>
          <w:lang w:val="en-US"/>
        </w:rPr>
        <w:t xml:space="preserve"> כי אין, כמה שאני מבין, מקבילה לספרי הנהגות </w:t>
      </w:r>
      <w:r w:rsidR="00215328">
        <w:rPr>
          <w:rFonts w:hint="cs"/>
          <w:rtl/>
          <w:lang w:val="en-US"/>
        </w:rPr>
        <w:t>באנגלית</w:t>
      </w:r>
      <w:r w:rsidR="00282381">
        <w:rPr>
          <w:rFonts w:hint="cs"/>
          <w:rtl/>
          <w:lang w:val="en-US"/>
        </w:rPr>
        <w:t>.</w:t>
      </w:r>
      <w:r w:rsidR="002B5A81">
        <w:rPr>
          <w:lang w:val="en-US"/>
        </w:rPr>
        <w:t xml:space="preserve"> </w:t>
      </w:r>
      <w:r w:rsidR="002B5A81">
        <w:rPr>
          <w:rFonts w:hint="cs"/>
          <w:rtl/>
          <w:lang w:val="en-US"/>
        </w:rPr>
        <w:t xml:space="preserve"> יתכן שעדיף פשוט לכתוב </w:t>
      </w:r>
      <w:r w:rsidR="002B5A81">
        <w:rPr>
          <w:lang w:val="en-US"/>
        </w:rPr>
        <w:t xml:space="preserve">Sefer </w:t>
      </w:r>
      <w:proofErr w:type="spellStart"/>
      <w:r w:rsidR="002B5A81">
        <w:rPr>
          <w:lang w:val="en-US"/>
        </w:rPr>
        <w:t>Hanhagot</w:t>
      </w:r>
      <w:proofErr w:type="spellEnd"/>
    </w:p>
  </w:comment>
  <w:comment w:id="3" w:author="JA" w:date="2024-08-12T17:54:00Z" w:initials="JA">
    <w:p w14:paraId="157AF655" w14:textId="7370E8D9" w:rsidR="003A19DC" w:rsidRPr="00E66445" w:rsidRDefault="003A19DC" w:rsidP="00E66445">
      <w:pPr>
        <w:pStyle w:val="CommentText"/>
        <w:bidi/>
        <w:rPr>
          <w:rFonts w:hint="cs"/>
          <w:lang w:val="en-US"/>
        </w:rPr>
      </w:pPr>
      <w:r>
        <w:rPr>
          <w:rStyle w:val="CommentReference"/>
        </w:rPr>
        <w:annotationRef/>
      </w:r>
      <w:r>
        <w:rPr>
          <w:rFonts w:hint="cs"/>
          <w:rtl/>
        </w:rPr>
        <w:t>אולי</w:t>
      </w:r>
      <w:r w:rsidR="00E66445">
        <w:rPr>
          <w:rFonts w:hint="cs"/>
          <w:rtl/>
        </w:rPr>
        <w:t xml:space="preserve">: </w:t>
      </w:r>
      <w:r w:rsidR="00E66445">
        <w:t xml:space="preserve"> especially</w:t>
      </w:r>
    </w:p>
  </w:comment>
  <w:comment w:id="4" w:author="JA" w:date="2024-08-12T17:59:00Z" w:initials="JA">
    <w:p w14:paraId="7480DAB0" w14:textId="7551D86E" w:rsidR="004671AE" w:rsidRDefault="004671AE" w:rsidP="0014115F">
      <w:pPr>
        <w:pStyle w:val="CommentText"/>
        <w:bidi/>
        <w:rPr>
          <w:rFonts w:hint="cs"/>
          <w:rtl/>
        </w:rPr>
      </w:pPr>
      <w:r>
        <w:rPr>
          <w:rStyle w:val="CommentReference"/>
        </w:rPr>
        <w:annotationRef/>
      </w:r>
      <w:r w:rsidR="00EF2896">
        <w:rPr>
          <w:rFonts w:hint="cs"/>
          <w:rtl/>
        </w:rPr>
        <w:t xml:space="preserve">קצת כבד לציין את </w:t>
      </w:r>
      <w:proofErr w:type="spellStart"/>
      <w:r w:rsidR="00EF2896">
        <w:rPr>
          <w:rFonts w:hint="cs"/>
          <w:rtl/>
        </w:rPr>
        <w:t>ויינשטין</w:t>
      </w:r>
      <w:proofErr w:type="spellEnd"/>
      <w:r w:rsidR="00EF2896">
        <w:rPr>
          <w:rFonts w:hint="cs"/>
          <w:rtl/>
        </w:rPr>
        <w:t xml:space="preserve"> ולא נראה לי שיש צורך</w:t>
      </w:r>
    </w:p>
  </w:comment>
  <w:comment w:id="6" w:author="JA" w:date="2024-08-08T12:18:00Z" w:initials="JA">
    <w:p w14:paraId="03D078D3" w14:textId="5E0E4202" w:rsidR="0069063D" w:rsidRPr="0069063D" w:rsidRDefault="0069063D" w:rsidP="00734746">
      <w:pPr>
        <w:pStyle w:val="CommentText"/>
        <w:bidi/>
        <w:rPr>
          <w:rtl/>
          <w:lang w:val="en-US"/>
        </w:rPr>
      </w:pPr>
      <w:r>
        <w:rPr>
          <w:rStyle w:val="CommentReference"/>
        </w:rPr>
        <w:annotationRef/>
      </w:r>
      <w:r>
        <w:rPr>
          <w:rFonts w:hint="cs"/>
          <w:rtl/>
        </w:rPr>
        <w:t xml:space="preserve">לא ברור לי פשר </w:t>
      </w:r>
      <w:r>
        <w:rPr>
          <w:lang w:val="en-US"/>
        </w:rPr>
        <w:t xml:space="preserve"> </w:t>
      </w:r>
      <w:r>
        <w:rPr>
          <w:rFonts w:hint="cs"/>
          <w:rtl/>
          <w:lang w:val="en-US"/>
        </w:rPr>
        <w:t>ה"אף</w:t>
      </w:r>
      <w:r w:rsidR="00F054EE">
        <w:rPr>
          <w:lang w:val="en-US"/>
        </w:rPr>
        <w:t xml:space="preserve"> </w:t>
      </w:r>
      <w:r w:rsidR="00F054EE">
        <w:rPr>
          <w:rFonts w:hint="cs"/>
          <w:rtl/>
          <w:lang w:val="en-US"/>
        </w:rPr>
        <w:t>ביידיש</w:t>
      </w:r>
      <w:r>
        <w:rPr>
          <w:rFonts w:hint="cs"/>
          <w:rtl/>
          <w:lang w:val="en-US"/>
        </w:rPr>
        <w:t xml:space="preserve">" כאן. </w:t>
      </w:r>
      <w:r w:rsidR="00AF3442">
        <w:rPr>
          <w:rFonts w:hint="cs"/>
          <w:rtl/>
          <w:lang w:val="en-US"/>
        </w:rPr>
        <w:t xml:space="preserve">הוספתי משהו כדי שיהיה יותר ברור. </w:t>
      </w:r>
    </w:p>
  </w:comment>
  <w:comment w:id="5" w:author="JA" w:date="2024-08-08T12:20:00Z" w:initials="JA">
    <w:p w14:paraId="427ABCEC" w14:textId="4053F9B3" w:rsidR="00AF3442" w:rsidRDefault="00AF3442" w:rsidP="00734746">
      <w:pPr>
        <w:pStyle w:val="CommentText"/>
        <w:rPr>
          <w:rtl/>
        </w:rPr>
      </w:pPr>
      <w:r>
        <w:rPr>
          <w:rStyle w:val="CommentReference"/>
        </w:rPr>
        <w:annotationRef/>
      </w:r>
      <w:r>
        <w:rPr>
          <w:rFonts w:hint="cs"/>
          <w:rtl/>
        </w:rPr>
        <w:t>תוספת שלי</w:t>
      </w:r>
    </w:p>
  </w:comment>
  <w:comment w:id="7" w:author="JA" w:date="2024-08-12T17:58:00Z" w:initials="JA">
    <w:p w14:paraId="71993D2C" w14:textId="359FDCAE" w:rsidR="00F95687" w:rsidRDefault="00F95687">
      <w:pPr>
        <w:pStyle w:val="CommentText"/>
        <w:rPr>
          <w:rFonts w:hint="cs"/>
          <w:rtl/>
        </w:rPr>
      </w:pPr>
      <w:r>
        <w:rPr>
          <w:rStyle w:val="CommentReference"/>
        </w:rPr>
        <w:annotationRef/>
      </w:r>
      <w:r w:rsidR="003C6724">
        <w:rPr>
          <w:rFonts w:hint="cs"/>
          <w:rtl/>
        </w:rPr>
        <w:t>זה קצת תלוש ונראה שאפשר להשמיט</w:t>
      </w:r>
    </w:p>
  </w:comment>
  <w:comment w:id="8" w:author="JA" w:date="2024-08-08T15:37:00Z" w:initials="JA">
    <w:p w14:paraId="50CA38A4" w14:textId="6D716BE7" w:rsidR="00F054EE" w:rsidRDefault="00F054EE" w:rsidP="00734746">
      <w:pPr>
        <w:pStyle w:val="CommentText"/>
        <w:rPr>
          <w:rtl/>
        </w:rPr>
      </w:pPr>
      <w:r>
        <w:rPr>
          <w:rStyle w:val="CommentReference"/>
        </w:rPr>
        <w:annotationRef/>
      </w:r>
      <w:r>
        <w:rPr>
          <w:rFonts w:hint="cs"/>
          <w:rtl/>
        </w:rPr>
        <w:t xml:space="preserve">על דרך "הקיצורים".  הבנתי נכון? </w:t>
      </w:r>
    </w:p>
  </w:comment>
  <w:comment w:id="9" w:author="JA" w:date="2024-08-12T18:02:00Z" w:initials="JA">
    <w:p w14:paraId="48B1A187" w14:textId="222E3EB3" w:rsidR="000B4405" w:rsidRDefault="000B4405">
      <w:pPr>
        <w:pStyle w:val="CommentText"/>
        <w:rPr>
          <w:rFonts w:hint="cs"/>
          <w:rtl/>
        </w:rPr>
      </w:pPr>
      <w:r>
        <w:rPr>
          <w:rStyle w:val="CommentReference"/>
        </w:rPr>
        <w:annotationRef/>
      </w:r>
      <w:r>
        <w:rPr>
          <w:rFonts w:hint="cs"/>
          <w:rtl/>
        </w:rPr>
        <w:t>מעט תלוש</w:t>
      </w:r>
    </w:p>
  </w:comment>
  <w:comment w:id="10" w:author="JA" w:date="2024-08-12T18:03:00Z" w:initials="JA">
    <w:p w14:paraId="72BE9D11" w14:textId="4C33B92F" w:rsidR="00161D69" w:rsidRDefault="00161D69" w:rsidP="00D72B53">
      <w:pPr>
        <w:pStyle w:val="CommentText"/>
        <w:bidi/>
        <w:rPr>
          <w:rFonts w:hint="cs"/>
          <w:rtl/>
        </w:rPr>
      </w:pPr>
      <w:r>
        <w:rPr>
          <w:rStyle w:val="CommentReference"/>
        </w:rPr>
        <w:annotationRef/>
      </w:r>
      <w:r>
        <w:rPr>
          <w:rFonts w:hint="cs"/>
          <w:rtl/>
        </w:rPr>
        <w:t>כ</w:t>
      </w:r>
      <w:r w:rsidR="004E6966">
        <w:rPr>
          <w:rFonts w:hint="cs"/>
          <w:rtl/>
        </w:rPr>
        <w:t>בר ציינת שהוא שייך לסוגה הזאת</w:t>
      </w:r>
      <w:r w:rsidR="00D72B53">
        <w:rPr>
          <w:rFonts w:hint="cs"/>
          <w:rtl/>
        </w:rPr>
        <w:t>. אולי תשמיטי?</w:t>
      </w:r>
    </w:p>
  </w:comment>
  <w:comment w:id="11" w:author="JA" w:date="2024-08-11T13:15:00Z" w:initials="JA">
    <w:p w14:paraId="25875D9A" w14:textId="77777777" w:rsidR="00563798" w:rsidRDefault="00563798" w:rsidP="00563798">
      <w:pPr>
        <w:pStyle w:val="CommentText"/>
        <w:bidi/>
      </w:pPr>
      <w:r>
        <w:rPr>
          <w:rStyle w:val="CommentReference"/>
        </w:rPr>
        <w:annotationRef/>
      </w:r>
      <w:r>
        <w:rPr>
          <w:rFonts w:hint="cs"/>
          <w:rtl/>
        </w:rPr>
        <w:t>אינני יודע מ</w:t>
      </w:r>
      <w:r w:rsidR="0066319B">
        <w:rPr>
          <w:rFonts w:hint="cs"/>
          <w:rtl/>
        </w:rPr>
        <w:t xml:space="preserve">י קהל היעד. אם לא מדובר בקהל יהודי </w:t>
      </w:r>
      <w:r w:rsidR="007F3038">
        <w:rPr>
          <w:rFonts w:hint="cs"/>
          <w:rtl/>
        </w:rPr>
        <w:t>המכיר את החגים, אולי עדיף משהו כזה</w:t>
      </w:r>
      <w:r w:rsidR="00EF5BB2">
        <w:t>:</w:t>
      </w:r>
    </w:p>
    <w:p w14:paraId="6EC8C225" w14:textId="49F7B1FF" w:rsidR="00EF5BB2" w:rsidRDefault="00EF5BB2" w:rsidP="00EF5BB2">
      <w:pPr>
        <w:pStyle w:val="CommentText"/>
        <w:rPr>
          <w:rtl/>
        </w:rPr>
      </w:pPr>
      <w:r w:rsidRPr="0014645F">
        <w:t xml:space="preserve">The following five chapters focus on </w:t>
      </w:r>
      <w:r>
        <w:rPr>
          <w:lang w:val="en-US"/>
        </w:rPr>
        <w:t>practices</w:t>
      </w:r>
      <w:r w:rsidRPr="0014645F">
        <w:t xml:space="preserve"> relevant to the Jewish </w:t>
      </w:r>
      <w:r w:rsidR="00A03188">
        <w:t>festivals, including Rosh Hashana, Yom Kippur, Passover and others.</w:t>
      </w:r>
    </w:p>
  </w:comment>
  <w:comment w:id="12" w:author="JA" w:date="2024-08-11T13:20:00Z" w:initials="JA">
    <w:p w14:paraId="6035C990" w14:textId="35DA74EC" w:rsidR="009F6E4B" w:rsidRDefault="009F6E4B">
      <w:pPr>
        <w:pStyle w:val="CommentText"/>
        <w:rPr>
          <w:rtl/>
        </w:rPr>
      </w:pPr>
      <w:r>
        <w:rPr>
          <w:rStyle w:val="CommentReference"/>
        </w:rPr>
        <w:annotationRef/>
      </w:r>
      <w:r>
        <w:rPr>
          <w:rFonts w:hint="cs"/>
          <w:rtl/>
        </w:rPr>
        <w:t>הוספתי</w:t>
      </w:r>
    </w:p>
  </w:comment>
  <w:comment w:id="14" w:author="JA" w:date="2024-08-11T16:30:00Z" w:initials="JA">
    <w:p w14:paraId="3A7C3984" w14:textId="5C4D9128" w:rsidR="00BB5727" w:rsidRDefault="00BB5727">
      <w:pPr>
        <w:pStyle w:val="CommentText"/>
        <w:rPr>
          <w:rtl/>
        </w:rPr>
      </w:pPr>
      <w:r>
        <w:rPr>
          <w:rStyle w:val="CommentReference"/>
        </w:rPr>
        <w:annotationRef/>
      </w:r>
      <w:r>
        <w:rPr>
          <w:rFonts w:hint="cs"/>
          <w:rtl/>
        </w:rPr>
        <w:t>אולי תצייני דוגמאות?</w:t>
      </w:r>
    </w:p>
  </w:comment>
  <w:comment w:id="13" w:author="JA" w:date="2024-08-12T18:05:00Z" w:initials="JA">
    <w:p w14:paraId="6F4821FF" w14:textId="77777777" w:rsidR="0038403E" w:rsidRDefault="0038403E" w:rsidP="00E76913">
      <w:pPr>
        <w:pStyle w:val="CommentText"/>
        <w:bidi/>
        <w:rPr>
          <w:rtl/>
          <w:lang w:val="en-US"/>
        </w:rPr>
      </w:pPr>
      <w:r>
        <w:rPr>
          <w:rStyle w:val="CommentReference"/>
        </w:rPr>
        <w:annotationRef/>
      </w:r>
      <w:r>
        <w:rPr>
          <w:rFonts w:hint="cs"/>
          <w:rtl/>
        </w:rPr>
        <w:t xml:space="preserve">אולי תקדימי את הפסקה הזאת לפני </w:t>
      </w:r>
      <w:r w:rsidR="004B76CB">
        <w:rPr>
          <w:rFonts w:hint="cs"/>
          <w:rtl/>
        </w:rPr>
        <w:t>זו שלפניו? אחרת המשפט על הציטוטים נראה לא במקום.  אני הייתי עושה כך:</w:t>
      </w:r>
      <w:r w:rsidR="004B76CB">
        <w:rPr>
          <w:lang w:val="en-US"/>
        </w:rPr>
        <w:t xml:space="preserve"> </w:t>
      </w:r>
      <w:r w:rsidR="00F52C49">
        <w:rPr>
          <w:rFonts w:hint="cs"/>
          <w:rtl/>
          <w:lang w:val="en-US"/>
        </w:rPr>
        <w:t xml:space="preserve"> </w:t>
      </w:r>
    </w:p>
    <w:p w14:paraId="0860EC45" w14:textId="79CC4F25" w:rsidR="00E76913" w:rsidRPr="0014645F" w:rsidRDefault="00E76913" w:rsidP="00E76913">
      <w:pPr>
        <w:rPr>
          <w:rtl/>
        </w:rPr>
      </w:pPr>
      <w:r w:rsidRPr="0014645F">
        <w:t>Adahan explain</w:t>
      </w:r>
      <w:r>
        <w:t>s that his book’s virtue lies in its concise</w:t>
      </w:r>
      <w:r w:rsidRPr="0014645F">
        <w:t xml:space="preserve"> concentration </w:t>
      </w:r>
      <w:r>
        <w:t>of</w:t>
      </w:r>
      <w:r w:rsidRPr="0014645F">
        <w:t xml:space="preserve"> accessibl</w:t>
      </w:r>
      <w:r>
        <w:t>e</w:t>
      </w:r>
      <w:r w:rsidRPr="0014645F">
        <w:t xml:space="preserve"> </w:t>
      </w:r>
      <w:r>
        <w:t xml:space="preserve">ethical and practical guidance </w:t>
      </w:r>
      <w:r w:rsidRPr="0014645F">
        <w:t xml:space="preserve">in one place. </w:t>
      </w:r>
    </w:p>
    <w:p w14:paraId="0954B7C9" w14:textId="1C465781" w:rsidR="00E76913" w:rsidRPr="0014645F" w:rsidRDefault="00E76913" w:rsidP="00E76913">
      <w:pPr>
        <w:rPr>
          <w:rtl/>
        </w:rPr>
      </w:pPr>
      <w:r w:rsidRPr="0014645F">
        <w:t>In his preface</w:t>
      </w:r>
      <w:r>
        <w:t>,</w:t>
      </w:r>
      <w:r w:rsidRPr="0014645F">
        <w:t xml:space="preserve"> Adahan </w:t>
      </w:r>
      <w:r>
        <w:t xml:space="preserve">writes that </w:t>
      </w:r>
      <w:r w:rsidRPr="0014645F">
        <w:t>the book</w:t>
      </w:r>
      <w:r>
        <w:t xml:space="preserve"> is intended to guide</w:t>
      </w:r>
      <w:r w:rsidRPr="0014645F">
        <w:t xml:space="preserve"> </w:t>
      </w:r>
      <w:r>
        <w:t>“</w:t>
      </w:r>
      <w:r w:rsidRPr="0014645F">
        <w:t>everyone from Israel</w:t>
      </w:r>
      <w:r>
        <w:t>,”</w:t>
      </w:r>
      <w:r w:rsidRPr="0014645F">
        <w:t xml:space="preserve"> </w:t>
      </w:r>
      <w:r>
        <w:t>“</w:t>
      </w:r>
      <w:r w:rsidRPr="0014645F">
        <w:t>man and woman, young and small</w:t>
      </w:r>
      <w:r>
        <w:t>.” Like many</w:t>
      </w:r>
      <w:r w:rsidRPr="0014645F">
        <w:t xml:space="preserve"> other </w:t>
      </w:r>
      <w:r>
        <w:t>ethica</w:t>
      </w:r>
      <w:r w:rsidRPr="0014645F">
        <w:t>l</w:t>
      </w:r>
      <w:r>
        <w:t>-practical</w:t>
      </w:r>
      <w:r w:rsidRPr="0014645F">
        <w:t xml:space="preserve"> books, the book</w:t>
      </w:r>
      <w:r>
        <w:t>’</w:t>
      </w:r>
      <w:r w:rsidRPr="0014645F">
        <w:t xml:space="preserve">s target audience is the general public. This </w:t>
      </w:r>
      <w:r>
        <w:t>policy reflects</w:t>
      </w:r>
      <w:r w:rsidRPr="0014645F">
        <w:t xml:space="preserve"> the expansion of the circle of readers</w:t>
      </w:r>
      <w:r>
        <w:t>,</w:t>
      </w:r>
      <w:r w:rsidRPr="0014645F">
        <w:t xml:space="preserve"> one of the </w:t>
      </w:r>
      <w:r>
        <w:t>significant</w:t>
      </w:r>
      <w:r w:rsidRPr="0014645F">
        <w:t xml:space="preserve"> effects of printing technology. </w:t>
      </w:r>
      <w:r>
        <w:t>Accordingly, several practices recommended in the work are clearly directed at</w:t>
      </w:r>
      <w:r w:rsidRPr="0014645F">
        <w:t xml:space="preserve"> the mass of people with limited education. </w:t>
      </w:r>
      <w:r>
        <w:t xml:space="preserve">Likewise, the standards </w:t>
      </w:r>
      <w:r w:rsidRPr="0014645F">
        <w:t>he set</w:t>
      </w:r>
      <w:r>
        <w:t>s</w:t>
      </w:r>
      <w:r w:rsidRPr="0014645F">
        <w:t xml:space="preserve"> take into account the limited education and literacy of </w:t>
      </w:r>
      <w:r>
        <w:t>a mass readership</w:t>
      </w:r>
      <w:r w:rsidRPr="0014645F">
        <w:t>. The appeal to the general public is also embodied in a few guidelines intended for women</w:t>
      </w:r>
      <w:r>
        <w:rPr>
          <w:rStyle w:val="CommentReference"/>
        </w:rPr>
        <w:annotationRef/>
      </w:r>
      <w:r w:rsidRPr="0014645F">
        <w:t xml:space="preserve">. Adahan did not expect women to read </w:t>
      </w:r>
      <w:r>
        <w:t>the</w:t>
      </w:r>
      <w:r w:rsidRPr="0014645F">
        <w:t xml:space="preserve"> book and learn</w:t>
      </w:r>
      <w:r>
        <w:t xml:space="preserve"> these practices directly</w:t>
      </w:r>
      <w:r w:rsidRPr="0014645F">
        <w:t xml:space="preserve">, but rather </w:t>
      </w:r>
      <w:r>
        <w:t>that a</w:t>
      </w:r>
      <w:r w:rsidRPr="0014645F">
        <w:t xml:space="preserve"> man should </w:t>
      </w:r>
      <w:r>
        <w:t>transmit</w:t>
      </w:r>
      <w:r w:rsidRPr="0014645F">
        <w:t xml:space="preserve"> the relevant </w:t>
      </w:r>
      <w:r>
        <w:t>practices</w:t>
      </w:r>
      <w:r w:rsidRPr="0014645F">
        <w:t xml:space="preserve"> </w:t>
      </w:r>
      <w:r>
        <w:t>to</w:t>
      </w:r>
      <w:r w:rsidRPr="0014645F">
        <w:t xml:space="preserve"> them.</w:t>
      </w:r>
      <w:r>
        <w:rPr>
          <w:rStyle w:val="CommentReference"/>
        </w:rPr>
        <w:annotationRef/>
      </w:r>
      <w:r w:rsidR="0004174A">
        <w:t xml:space="preserve"> </w:t>
      </w:r>
      <w:r w:rsidR="0004174A" w:rsidRPr="007117A2">
        <w:rPr>
          <w:highlight w:val="yellow"/>
        </w:rPr>
        <w:t xml:space="preserve">Another indication of his intended readership </w:t>
      </w:r>
      <w:r w:rsidR="007117A2" w:rsidRPr="007117A2">
        <w:rPr>
          <w:highlight w:val="yellow"/>
        </w:rPr>
        <w:t>can be understood from the fact that</w:t>
      </w:r>
      <w:r w:rsidR="007117A2">
        <w:t xml:space="preserve"> he </w:t>
      </w:r>
      <w:r w:rsidR="0004174A">
        <w:t>includes only brief quotations</w:t>
      </w:r>
      <w:r w:rsidR="0004174A" w:rsidRPr="0014645F">
        <w:t xml:space="preserve"> </w:t>
      </w:r>
      <w:r w:rsidR="0004174A">
        <w:t>while referring the reader to his</w:t>
      </w:r>
      <w:r w:rsidR="0004174A" w:rsidRPr="0014645F">
        <w:t xml:space="preserve"> source</w:t>
      </w:r>
      <w:r w:rsidR="0004174A">
        <w:t>s</w:t>
      </w:r>
      <w:r w:rsidR="0004174A" w:rsidRPr="0014645F">
        <w:t xml:space="preserve">. </w:t>
      </w:r>
      <w:r w:rsidR="0004174A">
        <w:t xml:space="preserve">This policy of </w:t>
      </w:r>
      <w:r w:rsidR="0004174A" w:rsidRPr="0014645F">
        <w:t>abbreviated quot</w:t>
      </w:r>
      <w:r w:rsidR="0004174A">
        <w:t>ations combined with reference to the literature from which he is drawing gives us a sense of the book’s</w:t>
      </w:r>
      <w:r w:rsidR="0004174A" w:rsidRPr="0014645F">
        <w:t xml:space="preserve"> target audience</w:t>
      </w:r>
      <w:r w:rsidR="0004174A">
        <w:t xml:space="preserve">, which ranges </w:t>
      </w:r>
      <w:r w:rsidR="0004174A" w:rsidRPr="0014645F">
        <w:t>from complete laymen to those with some literacy and education.</w:t>
      </w:r>
    </w:p>
    <w:p w14:paraId="430A7403" w14:textId="343B3545" w:rsidR="00E76913" w:rsidRPr="004B76CB" w:rsidRDefault="00E76913" w:rsidP="00E76913">
      <w:pPr>
        <w:pStyle w:val="CommentText"/>
        <w:rPr>
          <w:rFonts w:hint="cs"/>
          <w:rtl/>
          <w:lang w:val="en-US"/>
        </w:rPr>
      </w:pPr>
    </w:p>
  </w:comment>
  <w:comment w:id="15" w:author="JA" w:date="2024-08-11T16:51:00Z" w:initials="JA">
    <w:p w14:paraId="52B339C3" w14:textId="77777777" w:rsidR="00E62CD8" w:rsidRDefault="00E62CD8" w:rsidP="00425C94">
      <w:pPr>
        <w:pStyle w:val="CommentText"/>
        <w:bidi/>
        <w:rPr>
          <w:rFonts w:ascii="David" w:hAnsi="David" w:cs="David"/>
          <w:sz w:val="24"/>
          <w:szCs w:val="24"/>
          <w:rtl/>
        </w:rPr>
      </w:pPr>
      <w:r>
        <w:rPr>
          <w:rStyle w:val="CommentReference"/>
        </w:rPr>
        <w:annotationRef/>
      </w:r>
      <w:r w:rsidR="00425C94">
        <w:rPr>
          <w:rFonts w:hint="cs"/>
          <w:rtl/>
        </w:rPr>
        <w:t>במקור:</w:t>
      </w:r>
      <w:r w:rsidR="00425C94">
        <w:rPr>
          <w:lang w:val="en-US"/>
        </w:rPr>
        <w:t xml:space="preserve"> </w:t>
      </w:r>
      <w:r w:rsidR="00425C94" w:rsidRPr="003821FB">
        <w:rPr>
          <w:rFonts w:ascii="David" w:hAnsi="David" w:cs="David" w:hint="cs"/>
          <w:sz w:val="24"/>
          <w:szCs w:val="24"/>
          <w:rtl/>
        </w:rPr>
        <w:t>במקרה הנידון לכלל קהילות ישראל, כפי שיתברר בהמשך</w:t>
      </w:r>
    </w:p>
    <w:p w14:paraId="008EBCE0" w14:textId="77777777" w:rsidR="00425C94" w:rsidRDefault="00425C94" w:rsidP="00425C94">
      <w:pPr>
        <w:pStyle w:val="CommentText"/>
        <w:bidi/>
        <w:rPr>
          <w:rFonts w:ascii="David" w:hAnsi="David" w:cs="David"/>
          <w:sz w:val="24"/>
          <w:szCs w:val="24"/>
          <w:rtl/>
        </w:rPr>
      </w:pPr>
    </w:p>
    <w:p w14:paraId="53273629" w14:textId="03690175" w:rsidR="00425C94" w:rsidRPr="00425C94" w:rsidRDefault="00425C94" w:rsidP="00425C94">
      <w:pPr>
        <w:pStyle w:val="CommentText"/>
        <w:bidi/>
        <w:rPr>
          <w:rtl/>
          <w:lang w:val="en-US"/>
        </w:rPr>
      </w:pPr>
      <w:r>
        <w:rPr>
          <w:rFonts w:hint="cs"/>
          <w:rtl/>
          <w:lang w:val="en-US"/>
        </w:rPr>
        <w:t>הבנתי נכון?</w:t>
      </w:r>
    </w:p>
  </w:comment>
  <w:comment w:id="16" w:author="JA" w:date="2024-08-12T08:47:00Z" w:initials="JA">
    <w:p w14:paraId="0AF3FDC9" w14:textId="79656FDD" w:rsidR="00B2319E" w:rsidRDefault="00B2319E">
      <w:pPr>
        <w:pStyle w:val="CommentText"/>
      </w:pPr>
      <w:r>
        <w:rPr>
          <w:rStyle w:val="CommentReference"/>
        </w:rPr>
        <w:annotationRef/>
      </w:r>
      <w:r>
        <w:rPr>
          <w:rFonts w:hint="cs"/>
          <w:rtl/>
        </w:rPr>
        <w:t xml:space="preserve">נכון? </w:t>
      </w:r>
    </w:p>
  </w:comment>
  <w:comment w:id="17" w:author="JA" w:date="2024-08-12T08:46:00Z" w:initials="JA">
    <w:p w14:paraId="5CDA70A7" w14:textId="0063AD17" w:rsidR="00FB6F4F" w:rsidRDefault="00FB6F4F">
      <w:pPr>
        <w:pStyle w:val="CommentText"/>
        <w:rPr>
          <w:rFonts w:hint="cs"/>
          <w:rtl/>
        </w:rPr>
      </w:pPr>
      <w:r>
        <w:rPr>
          <w:rStyle w:val="CommentReference"/>
        </w:rPr>
        <w:annotationRef/>
      </w:r>
      <w:r>
        <w:rPr>
          <w:rFonts w:hint="cs"/>
          <w:rtl/>
        </w:rPr>
        <w:t>לא ציינת את הסיבות</w:t>
      </w:r>
      <w:r w:rsidR="00B2319E">
        <w:rPr>
          <w:rFonts w:hint="cs"/>
          <w:rtl/>
        </w:rPr>
        <w:t xml:space="preserve"> להטעמת כל מילה בתפילה</w:t>
      </w:r>
      <w:r>
        <w:rPr>
          <w:rFonts w:hint="cs"/>
          <w:rtl/>
        </w:rPr>
        <w:t xml:space="preserve"> </w:t>
      </w:r>
    </w:p>
  </w:comment>
  <w:comment w:id="18" w:author="JA" w:date="2024-08-13T17:13:00Z" w:initials="JA">
    <w:p w14:paraId="1DB0A1A5" w14:textId="2FD98B7F" w:rsidR="005F6633" w:rsidRDefault="005F6633" w:rsidP="001B7E9E">
      <w:pPr>
        <w:pStyle w:val="CommentText"/>
        <w:bidi/>
        <w:rPr>
          <w:rFonts w:hint="cs"/>
          <w:rtl/>
        </w:rPr>
      </w:pPr>
      <w:r>
        <w:rPr>
          <w:rStyle w:val="CommentReference"/>
        </w:rPr>
        <w:annotationRef/>
      </w:r>
      <w:r w:rsidR="001B7E9E">
        <w:rPr>
          <w:rFonts w:hint="cs"/>
          <w:rtl/>
        </w:rPr>
        <w:t xml:space="preserve">אם את רוצה לדון בספר של אדהן בהקשר של </w:t>
      </w:r>
      <w:r w:rsidR="00B74F51">
        <w:rPr>
          <w:rFonts w:hint="cs"/>
          <w:rtl/>
        </w:rPr>
        <w:t xml:space="preserve">התאוריה של ברק, אולי כדאי להקדים את ההצגת התאוריה ולהרחיב עליה.  </w:t>
      </w:r>
      <w:r w:rsidR="000D3F23">
        <w:rPr>
          <w:rFonts w:hint="cs"/>
          <w:rtl/>
        </w:rPr>
        <w:t>כאן, זו אמירה תלושה</w:t>
      </w:r>
    </w:p>
  </w:comment>
  <w:comment w:id="19" w:author="JA" w:date="2024-08-12T09:17:00Z" w:initials="JA">
    <w:p w14:paraId="61967EE9" w14:textId="48500942" w:rsidR="00523C11" w:rsidRDefault="00523C11">
      <w:pPr>
        <w:pStyle w:val="CommentText"/>
        <w:rPr>
          <w:rFonts w:hint="cs"/>
          <w:rtl/>
        </w:rPr>
      </w:pPr>
      <w:r>
        <w:rPr>
          <w:rStyle w:val="CommentReference"/>
        </w:rPr>
        <w:annotationRef/>
      </w:r>
      <w:r>
        <w:rPr>
          <w:rFonts w:hint="cs"/>
          <w:rtl/>
        </w:rPr>
        <w:t>צריך למצוא את המקור באנגלית לציטוט</w:t>
      </w:r>
    </w:p>
  </w:comment>
  <w:comment w:id="20" w:author="JA" w:date="2024-08-12T09:21:00Z" w:initials="JA">
    <w:p w14:paraId="7B466D40" w14:textId="7E65EAB9" w:rsidR="004D3C6A" w:rsidRPr="004D3C6A" w:rsidRDefault="004D3C6A" w:rsidP="004D3C6A">
      <w:pPr>
        <w:pStyle w:val="CommentText"/>
        <w:bidi/>
        <w:rPr>
          <w:rtl/>
        </w:rPr>
      </w:pPr>
      <w:r>
        <w:rPr>
          <w:rStyle w:val="CommentReference"/>
        </w:rPr>
        <w:annotationRef/>
      </w:r>
      <w:r>
        <w:rPr>
          <w:rFonts w:hint="cs"/>
          <w:rtl/>
        </w:rPr>
        <w:t xml:space="preserve">אולי כדאי לציין שזו איסור מפורש בתורה: </w:t>
      </w:r>
      <w:r w:rsidRPr="004D3C6A">
        <w:rPr>
          <w:color w:val="454545"/>
          <w:shd w:val="clear" w:color="auto" w:fill="FFFFFF"/>
          <w:rtl/>
        </w:rPr>
        <w:t>ויקרא י"ט,</w:t>
      </w:r>
      <w:r>
        <w:rPr>
          <w:color w:val="454545"/>
          <w:shd w:val="clear" w:color="auto" w:fill="FFFFFF"/>
        </w:rPr>
        <w:t xml:space="preserve"> </w:t>
      </w:r>
      <w:r>
        <w:rPr>
          <w:rFonts w:hint="cs"/>
          <w:color w:val="454545"/>
          <w:shd w:val="clear" w:color="auto" w:fill="FFFFFF"/>
          <w:rtl/>
        </w:rPr>
        <w:t xml:space="preserve">כח: </w:t>
      </w:r>
      <w:r w:rsidRPr="004D3C6A">
        <w:rPr>
          <w:rStyle w:val="Strong"/>
          <w:color w:val="454545"/>
          <w:shd w:val="clear" w:color="auto" w:fill="FFFFFF"/>
          <w:rtl/>
        </w:rPr>
        <w:t>ושרט לנפש לא תתנו בבשרכם</w:t>
      </w:r>
      <w:r>
        <w:rPr>
          <w:rStyle w:val="Strong"/>
          <w:rFonts w:hint="cs"/>
          <w:color w:val="454545"/>
          <w:shd w:val="clear" w:color="auto" w:fill="FFFFFF"/>
          <w:rtl/>
        </w:rPr>
        <w:t>...</w:t>
      </w:r>
    </w:p>
  </w:comment>
  <w:comment w:id="21" w:author="JA" w:date="2024-08-12T12:19:00Z" w:initials="JA">
    <w:p w14:paraId="5B1928C9" w14:textId="11F0B1A8" w:rsidR="00C20ED6" w:rsidRDefault="00C20ED6">
      <w:pPr>
        <w:pStyle w:val="CommentText"/>
        <w:rPr>
          <w:rFonts w:hint="cs"/>
          <w:rtl/>
        </w:rPr>
      </w:pPr>
      <w:r>
        <w:rPr>
          <w:rStyle w:val="CommentReference"/>
        </w:rPr>
        <w:annotationRef/>
      </w:r>
      <w:r>
        <w:rPr>
          <w:rFonts w:hint="cs"/>
          <w:rtl/>
        </w:rPr>
        <w:t xml:space="preserve">שאימצו את מה? </w:t>
      </w:r>
    </w:p>
  </w:comment>
  <w:comment w:id="22" w:author="JA" w:date="2024-08-12T12:31:00Z" w:initials="JA">
    <w:p w14:paraId="70349D62" w14:textId="532E560F" w:rsidR="00A71C94" w:rsidRDefault="00A71C94" w:rsidP="00A71C94">
      <w:pPr>
        <w:pStyle w:val="CommentText"/>
        <w:bidi/>
        <w:rPr>
          <w:rFonts w:hint="cs"/>
          <w:rtl/>
        </w:rPr>
      </w:pPr>
      <w:r>
        <w:rPr>
          <w:rStyle w:val="CommentReference"/>
        </w:rPr>
        <w:annotationRef/>
      </w:r>
      <w:r>
        <w:rPr>
          <w:rFonts w:hint="cs"/>
          <w:rtl/>
        </w:rPr>
        <w:t>לא ברור לי למה את רואה זאת כהלחמה. זו המנהג הספרדי בתוספת פתרון מה לעשות במקרה של תקלה.</w:t>
      </w:r>
    </w:p>
  </w:comment>
  <w:comment w:id="23" w:author="JA" w:date="2024-08-13T17:16:00Z" w:initials="JA">
    <w:p w14:paraId="523E3602" w14:textId="15ED50FF" w:rsidR="00795760" w:rsidRDefault="00795760" w:rsidP="00795760">
      <w:pPr>
        <w:pStyle w:val="CommentText"/>
        <w:bidi/>
        <w:rPr>
          <w:rFonts w:hint="cs"/>
          <w:rtl/>
        </w:rPr>
      </w:pPr>
      <w:r>
        <w:rPr>
          <w:rStyle w:val="CommentReference"/>
        </w:rPr>
        <w:annotationRef/>
      </w:r>
      <w:r w:rsidR="00B76837">
        <w:rPr>
          <w:rFonts w:hint="cs"/>
          <w:rtl/>
        </w:rPr>
        <w:t>לדעתי</w:t>
      </w:r>
      <w:r>
        <w:rPr>
          <w:rFonts w:hint="cs"/>
          <w:rtl/>
        </w:rPr>
        <w:t xml:space="preserve"> הדיון אודות רפובליקת </w:t>
      </w:r>
      <w:r w:rsidR="00B76837">
        <w:rPr>
          <w:rFonts w:hint="cs"/>
          <w:rtl/>
        </w:rPr>
        <w:t xml:space="preserve">המנהגים צריך לבוא מוקדם יותר ולהיות מעין </w:t>
      </w:r>
      <w:r w:rsidR="00327E23">
        <w:rPr>
          <w:rFonts w:hint="cs"/>
          <w:rtl/>
        </w:rPr>
        <w:t xml:space="preserve">מסגרת לסקירה של הספר של אדהן. </w:t>
      </w:r>
    </w:p>
  </w:comment>
  <w:comment w:id="24" w:author="JA" w:date="2024-08-12T17:14:00Z" w:initials="JA">
    <w:p w14:paraId="3A948D6A" w14:textId="4E56AA88" w:rsidR="0050083A" w:rsidRDefault="0050083A" w:rsidP="0050083A">
      <w:pPr>
        <w:pStyle w:val="CommentText"/>
        <w:bidi/>
        <w:rPr>
          <w:rFonts w:hint="cs"/>
          <w:rtl/>
        </w:rPr>
      </w:pPr>
      <w:r>
        <w:rPr>
          <w:rStyle w:val="CommentReference"/>
        </w:rPr>
        <w:annotationRef/>
      </w:r>
      <w:r>
        <w:rPr>
          <w:rFonts w:hint="cs"/>
          <w:rtl/>
        </w:rPr>
        <w:t>כמעט אותו משפט מופיע בעמ'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9357CD" w15:done="0"/>
  <w15:commentEx w15:paraId="7ECE1C28" w15:done="0"/>
  <w15:commentEx w15:paraId="157AF655" w15:done="0"/>
  <w15:commentEx w15:paraId="7480DAB0" w15:done="0"/>
  <w15:commentEx w15:paraId="03D078D3" w15:done="0"/>
  <w15:commentEx w15:paraId="427ABCEC" w15:done="0"/>
  <w15:commentEx w15:paraId="71993D2C" w15:done="0"/>
  <w15:commentEx w15:paraId="50CA38A4" w15:done="0"/>
  <w15:commentEx w15:paraId="48B1A187" w15:done="0"/>
  <w15:commentEx w15:paraId="72BE9D11" w15:done="0"/>
  <w15:commentEx w15:paraId="6EC8C225" w15:done="0"/>
  <w15:commentEx w15:paraId="6035C990" w15:done="0"/>
  <w15:commentEx w15:paraId="3A7C3984" w15:done="0"/>
  <w15:commentEx w15:paraId="430A7403" w15:done="0"/>
  <w15:commentEx w15:paraId="53273629" w15:done="0"/>
  <w15:commentEx w15:paraId="0AF3FDC9" w15:done="0"/>
  <w15:commentEx w15:paraId="5CDA70A7" w15:done="0"/>
  <w15:commentEx w15:paraId="1DB0A1A5" w15:done="0"/>
  <w15:commentEx w15:paraId="61967EE9" w15:done="0"/>
  <w15:commentEx w15:paraId="7B466D40" w15:done="0"/>
  <w15:commentEx w15:paraId="5B1928C9" w15:done="0"/>
  <w15:commentEx w15:paraId="70349D62" w15:done="0"/>
  <w15:commentEx w15:paraId="523E3602" w15:done="0"/>
  <w15:commentEx w15:paraId="3A948D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46FDCB" w16cex:dateUtc="2024-08-08T08:27:00Z"/>
  <w16cex:commentExtensible w16cex:durableId="271BDDAF" w16cex:dateUtc="2024-08-08T14:10:00Z"/>
  <w16cex:commentExtensible w16cex:durableId="693BFD17" w16cex:dateUtc="2024-08-12T14:54:00Z"/>
  <w16cex:commentExtensible w16cex:durableId="0B75EE60" w16cex:dateUtc="2024-08-12T14:59:00Z"/>
  <w16cex:commentExtensible w16cex:durableId="5ACC059A" w16cex:dateUtc="2024-08-08T09:18:00Z"/>
  <w16cex:commentExtensible w16cex:durableId="2BC92D32" w16cex:dateUtc="2024-08-08T09:20:00Z"/>
  <w16cex:commentExtensible w16cex:durableId="631DDFA9" w16cex:dateUtc="2024-08-12T14:58:00Z"/>
  <w16cex:commentExtensible w16cex:durableId="22EAC04B" w16cex:dateUtc="2024-08-08T12:37:00Z"/>
  <w16cex:commentExtensible w16cex:durableId="6B4215BB" w16cex:dateUtc="2024-08-12T15:02:00Z"/>
  <w16cex:commentExtensible w16cex:durableId="7509E685" w16cex:dateUtc="2024-08-12T15:03:00Z"/>
  <w16cex:commentExtensible w16cex:durableId="2120BB0C" w16cex:dateUtc="2024-08-11T10:15:00Z"/>
  <w16cex:commentExtensible w16cex:durableId="20056D67" w16cex:dateUtc="2024-08-11T10:20:00Z"/>
  <w16cex:commentExtensible w16cex:durableId="3D9A31F3" w16cex:dateUtc="2024-08-11T13:30:00Z"/>
  <w16cex:commentExtensible w16cex:durableId="3F459B88" w16cex:dateUtc="2024-08-12T15:05:00Z"/>
  <w16cex:commentExtensible w16cex:durableId="0ADAF50F" w16cex:dateUtc="2024-08-11T13:51:00Z"/>
  <w16cex:commentExtensible w16cex:durableId="7FF4C02A" w16cex:dateUtc="2024-08-12T05:47:00Z"/>
  <w16cex:commentExtensible w16cex:durableId="4E3AA76F" w16cex:dateUtc="2024-08-12T05:46:00Z"/>
  <w16cex:commentExtensible w16cex:durableId="1D1D567F" w16cex:dateUtc="2024-08-13T14:13:00Z"/>
  <w16cex:commentExtensible w16cex:durableId="649A4D8D" w16cex:dateUtc="2024-08-12T06:17:00Z"/>
  <w16cex:commentExtensible w16cex:durableId="7DC412EA" w16cex:dateUtc="2024-08-12T06:21:00Z"/>
  <w16cex:commentExtensible w16cex:durableId="51BF16EB" w16cex:dateUtc="2024-08-12T09:19:00Z"/>
  <w16cex:commentExtensible w16cex:durableId="7817AD9E" w16cex:dateUtc="2024-08-12T09:31:00Z"/>
  <w16cex:commentExtensible w16cex:durableId="2D619F4A" w16cex:dateUtc="2024-08-13T14:16:00Z"/>
  <w16cex:commentExtensible w16cex:durableId="29737686" w16cex:dateUtc="2024-08-12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9357CD" w16cid:durableId="2646FDCB"/>
  <w16cid:commentId w16cid:paraId="7ECE1C28" w16cid:durableId="271BDDAF"/>
  <w16cid:commentId w16cid:paraId="157AF655" w16cid:durableId="693BFD17"/>
  <w16cid:commentId w16cid:paraId="7480DAB0" w16cid:durableId="0B75EE60"/>
  <w16cid:commentId w16cid:paraId="03D078D3" w16cid:durableId="5ACC059A"/>
  <w16cid:commentId w16cid:paraId="427ABCEC" w16cid:durableId="2BC92D32"/>
  <w16cid:commentId w16cid:paraId="71993D2C" w16cid:durableId="631DDFA9"/>
  <w16cid:commentId w16cid:paraId="50CA38A4" w16cid:durableId="22EAC04B"/>
  <w16cid:commentId w16cid:paraId="48B1A187" w16cid:durableId="6B4215BB"/>
  <w16cid:commentId w16cid:paraId="72BE9D11" w16cid:durableId="7509E685"/>
  <w16cid:commentId w16cid:paraId="6EC8C225" w16cid:durableId="2120BB0C"/>
  <w16cid:commentId w16cid:paraId="6035C990" w16cid:durableId="20056D67"/>
  <w16cid:commentId w16cid:paraId="3A7C3984" w16cid:durableId="3D9A31F3"/>
  <w16cid:commentId w16cid:paraId="430A7403" w16cid:durableId="3F459B88"/>
  <w16cid:commentId w16cid:paraId="53273629" w16cid:durableId="0ADAF50F"/>
  <w16cid:commentId w16cid:paraId="0AF3FDC9" w16cid:durableId="7FF4C02A"/>
  <w16cid:commentId w16cid:paraId="5CDA70A7" w16cid:durableId="4E3AA76F"/>
  <w16cid:commentId w16cid:paraId="1DB0A1A5" w16cid:durableId="1D1D567F"/>
  <w16cid:commentId w16cid:paraId="61967EE9" w16cid:durableId="649A4D8D"/>
  <w16cid:commentId w16cid:paraId="7B466D40" w16cid:durableId="7DC412EA"/>
  <w16cid:commentId w16cid:paraId="5B1928C9" w16cid:durableId="51BF16EB"/>
  <w16cid:commentId w16cid:paraId="70349D62" w16cid:durableId="7817AD9E"/>
  <w16cid:commentId w16cid:paraId="523E3602" w16cid:durableId="2D619F4A"/>
  <w16cid:commentId w16cid:paraId="3A948D6A" w16cid:durableId="297376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6F392" w14:textId="77777777" w:rsidR="005F2D40" w:rsidRDefault="005F2D40" w:rsidP="00734746">
      <w:r>
        <w:separator/>
      </w:r>
    </w:p>
  </w:endnote>
  <w:endnote w:type="continuationSeparator" w:id="0">
    <w:p w14:paraId="2A86C208" w14:textId="77777777" w:rsidR="005F2D40" w:rsidRDefault="005F2D40" w:rsidP="0073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13268"/>
      <w:docPartObj>
        <w:docPartGallery w:val="Page Numbers (Bottom of Page)"/>
        <w:docPartUnique/>
      </w:docPartObj>
    </w:sdtPr>
    <w:sdtEndPr/>
    <w:sdtContent>
      <w:p w14:paraId="4E07D218" w14:textId="74D4632A" w:rsidR="00804BA1" w:rsidRDefault="002562F5" w:rsidP="00734746">
        <w:pPr>
          <w:pStyle w:val="Footer"/>
        </w:pPr>
        <w:r>
          <w:fldChar w:fldCharType="begin"/>
        </w:r>
        <w:r>
          <w:instrText>PAGE   \* MERGEFORMAT</w:instrText>
        </w:r>
        <w:r>
          <w:fldChar w:fldCharType="separate"/>
        </w:r>
        <w:r>
          <w:rPr>
            <w:lang w:val="he-IL"/>
          </w:rPr>
          <w:t>13</w:t>
        </w:r>
        <w:r>
          <w:fldChar w:fldCharType="end"/>
        </w:r>
      </w:p>
    </w:sdtContent>
  </w:sdt>
  <w:p w14:paraId="38869924" w14:textId="77777777" w:rsidR="00804BA1" w:rsidRDefault="00804BA1" w:rsidP="00734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D53EB" w14:textId="77777777" w:rsidR="005F2D40" w:rsidRDefault="005F2D40" w:rsidP="00734746">
      <w:r>
        <w:separator/>
      </w:r>
    </w:p>
  </w:footnote>
  <w:footnote w:type="continuationSeparator" w:id="0">
    <w:p w14:paraId="20038ACE" w14:textId="77777777" w:rsidR="005F2D40" w:rsidRDefault="005F2D40" w:rsidP="0073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6A23"/>
    <w:multiLevelType w:val="hybridMultilevel"/>
    <w:tmpl w:val="2208F4BA"/>
    <w:lvl w:ilvl="0" w:tplc="EDB844CA">
      <w:start w:val="1"/>
      <w:numFmt w:val="hebrew1"/>
      <w:lvlText w:val="%1."/>
      <w:lvlJc w:val="left"/>
      <w:pPr>
        <w:ind w:left="720" w:hanging="360"/>
      </w:pPr>
      <w:rPr>
        <w:rFonts w:hint="default"/>
      </w:rPr>
    </w:lvl>
    <w:lvl w:ilvl="1" w:tplc="72C8E9CC" w:tentative="1">
      <w:start w:val="1"/>
      <w:numFmt w:val="lowerLetter"/>
      <w:lvlText w:val="%2."/>
      <w:lvlJc w:val="left"/>
      <w:pPr>
        <w:ind w:left="1440" w:hanging="360"/>
      </w:pPr>
    </w:lvl>
    <w:lvl w:ilvl="2" w:tplc="F888043A" w:tentative="1">
      <w:start w:val="1"/>
      <w:numFmt w:val="lowerRoman"/>
      <w:lvlText w:val="%3."/>
      <w:lvlJc w:val="right"/>
      <w:pPr>
        <w:ind w:left="2160" w:hanging="180"/>
      </w:pPr>
    </w:lvl>
    <w:lvl w:ilvl="3" w:tplc="840C4334" w:tentative="1">
      <w:start w:val="1"/>
      <w:numFmt w:val="decimal"/>
      <w:lvlText w:val="%4."/>
      <w:lvlJc w:val="left"/>
      <w:pPr>
        <w:ind w:left="2880" w:hanging="360"/>
      </w:pPr>
    </w:lvl>
    <w:lvl w:ilvl="4" w:tplc="A3183A78" w:tentative="1">
      <w:start w:val="1"/>
      <w:numFmt w:val="lowerLetter"/>
      <w:lvlText w:val="%5."/>
      <w:lvlJc w:val="left"/>
      <w:pPr>
        <w:ind w:left="3600" w:hanging="360"/>
      </w:pPr>
    </w:lvl>
    <w:lvl w:ilvl="5" w:tplc="5B843AAA" w:tentative="1">
      <w:start w:val="1"/>
      <w:numFmt w:val="lowerRoman"/>
      <w:lvlText w:val="%6."/>
      <w:lvlJc w:val="right"/>
      <w:pPr>
        <w:ind w:left="4320" w:hanging="180"/>
      </w:pPr>
    </w:lvl>
    <w:lvl w:ilvl="6" w:tplc="F3E09E78" w:tentative="1">
      <w:start w:val="1"/>
      <w:numFmt w:val="decimal"/>
      <w:lvlText w:val="%7."/>
      <w:lvlJc w:val="left"/>
      <w:pPr>
        <w:ind w:left="5040" w:hanging="360"/>
      </w:pPr>
    </w:lvl>
    <w:lvl w:ilvl="7" w:tplc="DEC60A06" w:tentative="1">
      <w:start w:val="1"/>
      <w:numFmt w:val="lowerLetter"/>
      <w:lvlText w:val="%8."/>
      <w:lvlJc w:val="left"/>
      <w:pPr>
        <w:ind w:left="5760" w:hanging="360"/>
      </w:pPr>
    </w:lvl>
    <w:lvl w:ilvl="8" w:tplc="EB0499A6" w:tentative="1">
      <w:start w:val="1"/>
      <w:numFmt w:val="lowerRoman"/>
      <w:lvlText w:val="%9."/>
      <w:lvlJc w:val="right"/>
      <w:pPr>
        <w:ind w:left="6480" w:hanging="180"/>
      </w:pPr>
    </w:lvl>
  </w:abstractNum>
  <w:num w:numId="1" w16cid:durableId="20434825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1NDUwNDUztzQxMjNU0lEKTi0uzszPAykwqgUAB11oeSwAAAA="/>
  </w:docVars>
  <w:rsids>
    <w:rsidRoot w:val="00F00C72"/>
    <w:rsid w:val="00020CAC"/>
    <w:rsid w:val="0002768F"/>
    <w:rsid w:val="00027AE9"/>
    <w:rsid w:val="000314AC"/>
    <w:rsid w:val="0004174A"/>
    <w:rsid w:val="000451DA"/>
    <w:rsid w:val="00055315"/>
    <w:rsid w:val="00061044"/>
    <w:rsid w:val="00063F28"/>
    <w:rsid w:val="00066F6D"/>
    <w:rsid w:val="000707CC"/>
    <w:rsid w:val="00071095"/>
    <w:rsid w:val="0007745D"/>
    <w:rsid w:val="000829BC"/>
    <w:rsid w:val="0008654A"/>
    <w:rsid w:val="00091D9F"/>
    <w:rsid w:val="00092DAB"/>
    <w:rsid w:val="00094311"/>
    <w:rsid w:val="000A375B"/>
    <w:rsid w:val="000A5C8E"/>
    <w:rsid w:val="000A7884"/>
    <w:rsid w:val="000B05B4"/>
    <w:rsid w:val="000B4405"/>
    <w:rsid w:val="000B7767"/>
    <w:rsid w:val="000C7AD3"/>
    <w:rsid w:val="000D358C"/>
    <w:rsid w:val="000D3F23"/>
    <w:rsid w:val="000E1382"/>
    <w:rsid w:val="000E30BF"/>
    <w:rsid w:val="00102B24"/>
    <w:rsid w:val="00103746"/>
    <w:rsid w:val="00122DC3"/>
    <w:rsid w:val="00123912"/>
    <w:rsid w:val="001242F6"/>
    <w:rsid w:val="00127CAF"/>
    <w:rsid w:val="001350FD"/>
    <w:rsid w:val="0014115F"/>
    <w:rsid w:val="0014645F"/>
    <w:rsid w:val="001616AE"/>
    <w:rsid w:val="00161D69"/>
    <w:rsid w:val="001645DB"/>
    <w:rsid w:val="00166D28"/>
    <w:rsid w:val="0017133E"/>
    <w:rsid w:val="00172E16"/>
    <w:rsid w:val="00175841"/>
    <w:rsid w:val="001773FD"/>
    <w:rsid w:val="00182005"/>
    <w:rsid w:val="00184679"/>
    <w:rsid w:val="00190372"/>
    <w:rsid w:val="001A1083"/>
    <w:rsid w:val="001B105F"/>
    <w:rsid w:val="001B7E9E"/>
    <w:rsid w:val="001D1524"/>
    <w:rsid w:val="001D672C"/>
    <w:rsid w:val="00215328"/>
    <w:rsid w:val="00223D73"/>
    <w:rsid w:val="0023164C"/>
    <w:rsid w:val="00236309"/>
    <w:rsid w:val="00242738"/>
    <w:rsid w:val="0024511D"/>
    <w:rsid w:val="002562F5"/>
    <w:rsid w:val="00270809"/>
    <w:rsid w:val="00276F46"/>
    <w:rsid w:val="00282381"/>
    <w:rsid w:val="002A3125"/>
    <w:rsid w:val="002A726B"/>
    <w:rsid w:val="002B5A81"/>
    <w:rsid w:val="002C0CFF"/>
    <w:rsid w:val="002E03F9"/>
    <w:rsid w:val="002F353F"/>
    <w:rsid w:val="002F59CB"/>
    <w:rsid w:val="00305E91"/>
    <w:rsid w:val="00324679"/>
    <w:rsid w:val="00327E23"/>
    <w:rsid w:val="00354D19"/>
    <w:rsid w:val="003600BA"/>
    <w:rsid w:val="00366171"/>
    <w:rsid w:val="003821FB"/>
    <w:rsid w:val="0038403E"/>
    <w:rsid w:val="0038568D"/>
    <w:rsid w:val="003A19DC"/>
    <w:rsid w:val="003A4170"/>
    <w:rsid w:val="003B321F"/>
    <w:rsid w:val="003C6724"/>
    <w:rsid w:val="003C726D"/>
    <w:rsid w:val="003D63A2"/>
    <w:rsid w:val="003F15A8"/>
    <w:rsid w:val="003F3476"/>
    <w:rsid w:val="0040027F"/>
    <w:rsid w:val="00400B48"/>
    <w:rsid w:val="00402840"/>
    <w:rsid w:val="004057A5"/>
    <w:rsid w:val="0040756E"/>
    <w:rsid w:val="00413B62"/>
    <w:rsid w:val="00416604"/>
    <w:rsid w:val="00425C94"/>
    <w:rsid w:val="00443370"/>
    <w:rsid w:val="004501C0"/>
    <w:rsid w:val="00455C4B"/>
    <w:rsid w:val="004671AE"/>
    <w:rsid w:val="004814B7"/>
    <w:rsid w:val="00490C4F"/>
    <w:rsid w:val="00492FA0"/>
    <w:rsid w:val="00494414"/>
    <w:rsid w:val="004974E1"/>
    <w:rsid w:val="00497BCF"/>
    <w:rsid w:val="004A387B"/>
    <w:rsid w:val="004B69D7"/>
    <w:rsid w:val="004B76CB"/>
    <w:rsid w:val="004C3B03"/>
    <w:rsid w:val="004C7BCE"/>
    <w:rsid w:val="004D1914"/>
    <w:rsid w:val="004D3C6A"/>
    <w:rsid w:val="004D5638"/>
    <w:rsid w:val="004D5808"/>
    <w:rsid w:val="004E390B"/>
    <w:rsid w:val="004E6966"/>
    <w:rsid w:val="004E7F8A"/>
    <w:rsid w:val="004F408F"/>
    <w:rsid w:val="0050083A"/>
    <w:rsid w:val="00505E5B"/>
    <w:rsid w:val="00520B3B"/>
    <w:rsid w:val="00523C11"/>
    <w:rsid w:val="00524DDE"/>
    <w:rsid w:val="00527EBA"/>
    <w:rsid w:val="00536748"/>
    <w:rsid w:val="00541337"/>
    <w:rsid w:val="005453B0"/>
    <w:rsid w:val="005478C9"/>
    <w:rsid w:val="00555195"/>
    <w:rsid w:val="00563798"/>
    <w:rsid w:val="005649AA"/>
    <w:rsid w:val="00570640"/>
    <w:rsid w:val="00580063"/>
    <w:rsid w:val="00585F74"/>
    <w:rsid w:val="005861C4"/>
    <w:rsid w:val="00596316"/>
    <w:rsid w:val="005966AE"/>
    <w:rsid w:val="005B379E"/>
    <w:rsid w:val="005B3E46"/>
    <w:rsid w:val="005C756F"/>
    <w:rsid w:val="005C7D4E"/>
    <w:rsid w:val="005C7E38"/>
    <w:rsid w:val="005E5D82"/>
    <w:rsid w:val="005F2D40"/>
    <w:rsid w:val="005F3140"/>
    <w:rsid w:val="005F6633"/>
    <w:rsid w:val="00603DCF"/>
    <w:rsid w:val="00606621"/>
    <w:rsid w:val="00611DF5"/>
    <w:rsid w:val="006137AA"/>
    <w:rsid w:val="00617673"/>
    <w:rsid w:val="00624029"/>
    <w:rsid w:val="0063171A"/>
    <w:rsid w:val="00654CE9"/>
    <w:rsid w:val="00661DF2"/>
    <w:rsid w:val="0066319B"/>
    <w:rsid w:val="0067589E"/>
    <w:rsid w:val="00681B2A"/>
    <w:rsid w:val="0069010D"/>
    <w:rsid w:val="0069063D"/>
    <w:rsid w:val="00694A9F"/>
    <w:rsid w:val="00696218"/>
    <w:rsid w:val="006A0208"/>
    <w:rsid w:val="006A3B6D"/>
    <w:rsid w:val="006B19DF"/>
    <w:rsid w:val="006B407C"/>
    <w:rsid w:val="006D5E0E"/>
    <w:rsid w:val="006E01F9"/>
    <w:rsid w:val="006F1C22"/>
    <w:rsid w:val="00702F28"/>
    <w:rsid w:val="0070387A"/>
    <w:rsid w:val="00704820"/>
    <w:rsid w:val="007117A2"/>
    <w:rsid w:val="00714EEC"/>
    <w:rsid w:val="00734132"/>
    <w:rsid w:val="00734746"/>
    <w:rsid w:val="00734AF9"/>
    <w:rsid w:val="0073514A"/>
    <w:rsid w:val="00744792"/>
    <w:rsid w:val="00745265"/>
    <w:rsid w:val="007511EB"/>
    <w:rsid w:val="00751AD1"/>
    <w:rsid w:val="0076025B"/>
    <w:rsid w:val="00760703"/>
    <w:rsid w:val="007630D9"/>
    <w:rsid w:val="00774121"/>
    <w:rsid w:val="0078056D"/>
    <w:rsid w:val="00780F87"/>
    <w:rsid w:val="00790270"/>
    <w:rsid w:val="00795760"/>
    <w:rsid w:val="007C3746"/>
    <w:rsid w:val="007C39D2"/>
    <w:rsid w:val="007C6454"/>
    <w:rsid w:val="007E0EDC"/>
    <w:rsid w:val="007E13EB"/>
    <w:rsid w:val="007F3038"/>
    <w:rsid w:val="00804BA1"/>
    <w:rsid w:val="00810265"/>
    <w:rsid w:val="00810996"/>
    <w:rsid w:val="0081534B"/>
    <w:rsid w:val="008324E6"/>
    <w:rsid w:val="0084342D"/>
    <w:rsid w:val="008447C1"/>
    <w:rsid w:val="0086180F"/>
    <w:rsid w:val="0087180A"/>
    <w:rsid w:val="008A6C4E"/>
    <w:rsid w:val="008B2995"/>
    <w:rsid w:val="008B74F5"/>
    <w:rsid w:val="008C45BC"/>
    <w:rsid w:val="008F51A2"/>
    <w:rsid w:val="008F6E81"/>
    <w:rsid w:val="00900A81"/>
    <w:rsid w:val="00905572"/>
    <w:rsid w:val="009075DE"/>
    <w:rsid w:val="009216C6"/>
    <w:rsid w:val="00932525"/>
    <w:rsid w:val="00942FE5"/>
    <w:rsid w:val="009519A9"/>
    <w:rsid w:val="00956CFD"/>
    <w:rsid w:val="0096020A"/>
    <w:rsid w:val="00984DF1"/>
    <w:rsid w:val="00997F56"/>
    <w:rsid w:val="009A3198"/>
    <w:rsid w:val="009A5B21"/>
    <w:rsid w:val="009B0CBA"/>
    <w:rsid w:val="009C3405"/>
    <w:rsid w:val="009D7D46"/>
    <w:rsid w:val="009E3B9C"/>
    <w:rsid w:val="009F6E4B"/>
    <w:rsid w:val="00A03188"/>
    <w:rsid w:val="00A11FFB"/>
    <w:rsid w:val="00A22F0D"/>
    <w:rsid w:val="00A308F4"/>
    <w:rsid w:val="00A31973"/>
    <w:rsid w:val="00A377A4"/>
    <w:rsid w:val="00A459DA"/>
    <w:rsid w:val="00A47B57"/>
    <w:rsid w:val="00A47E11"/>
    <w:rsid w:val="00A52D2C"/>
    <w:rsid w:val="00A540CB"/>
    <w:rsid w:val="00A71A68"/>
    <w:rsid w:val="00A71C94"/>
    <w:rsid w:val="00A74E33"/>
    <w:rsid w:val="00A86AEF"/>
    <w:rsid w:val="00A90912"/>
    <w:rsid w:val="00AA0E9D"/>
    <w:rsid w:val="00AA270A"/>
    <w:rsid w:val="00AB0C44"/>
    <w:rsid w:val="00AB279F"/>
    <w:rsid w:val="00AC3A83"/>
    <w:rsid w:val="00AC7B78"/>
    <w:rsid w:val="00AD5ED4"/>
    <w:rsid w:val="00AD6467"/>
    <w:rsid w:val="00AE2CE3"/>
    <w:rsid w:val="00AE5EDF"/>
    <w:rsid w:val="00AF2CF2"/>
    <w:rsid w:val="00AF3442"/>
    <w:rsid w:val="00B2319E"/>
    <w:rsid w:val="00B231C2"/>
    <w:rsid w:val="00B24E02"/>
    <w:rsid w:val="00B3368A"/>
    <w:rsid w:val="00B434BC"/>
    <w:rsid w:val="00B461B8"/>
    <w:rsid w:val="00B503B1"/>
    <w:rsid w:val="00B51CE4"/>
    <w:rsid w:val="00B53EE6"/>
    <w:rsid w:val="00B73320"/>
    <w:rsid w:val="00B74F51"/>
    <w:rsid w:val="00B76837"/>
    <w:rsid w:val="00B8183E"/>
    <w:rsid w:val="00B911FC"/>
    <w:rsid w:val="00BA2F67"/>
    <w:rsid w:val="00BB24CF"/>
    <w:rsid w:val="00BB5727"/>
    <w:rsid w:val="00BC3EFD"/>
    <w:rsid w:val="00BC40B2"/>
    <w:rsid w:val="00BC7DA4"/>
    <w:rsid w:val="00BE3839"/>
    <w:rsid w:val="00BE68DA"/>
    <w:rsid w:val="00BE76E5"/>
    <w:rsid w:val="00BF70BE"/>
    <w:rsid w:val="00C022BC"/>
    <w:rsid w:val="00C030A1"/>
    <w:rsid w:val="00C03319"/>
    <w:rsid w:val="00C072FD"/>
    <w:rsid w:val="00C16815"/>
    <w:rsid w:val="00C20ED6"/>
    <w:rsid w:val="00C2724A"/>
    <w:rsid w:val="00C3117F"/>
    <w:rsid w:val="00C5279C"/>
    <w:rsid w:val="00C537E4"/>
    <w:rsid w:val="00C7168F"/>
    <w:rsid w:val="00C73314"/>
    <w:rsid w:val="00C75867"/>
    <w:rsid w:val="00C77D55"/>
    <w:rsid w:val="00C8224B"/>
    <w:rsid w:val="00C97582"/>
    <w:rsid w:val="00CA655A"/>
    <w:rsid w:val="00CB6557"/>
    <w:rsid w:val="00CF3823"/>
    <w:rsid w:val="00D01BF1"/>
    <w:rsid w:val="00D073BD"/>
    <w:rsid w:val="00D15F84"/>
    <w:rsid w:val="00D17F33"/>
    <w:rsid w:val="00D211B5"/>
    <w:rsid w:val="00D35A82"/>
    <w:rsid w:val="00D5697B"/>
    <w:rsid w:val="00D64867"/>
    <w:rsid w:val="00D72B53"/>
    <w:rsid w:val="00D76203"/>
    <w:rsid w:val="00D851CD"/>
    <w:rsid w:val="00DA1807"/>
    <w:rsid w:val="00DA5D90"/>
    <w:rsid w:val="00DB168E"/>
    <w:rsid w:val="00DB2F5B"/>
    <w:rsid w:val="00DD2DBA"/>
    <w:rsid w:val="00DD59DA"/>
    <w:rsid w:val="00DD637B"/>
    <w:rsid w:val="00DE45A0"/>
    <w:rsid w:val="00DF59EF"/>
    <w:rsid w:val="00E03299"/>
    <w:rsid w:val="00E11385"/>
    <w:rsid w:val="00E122ED"/>
    <w:rsid w:val="00E1782B"/>
    <w:rsid w:val="00E262B3"/>
    <w:rsid w:val="00E278CB"/>
    <w:rsid w:val="00E47428"/>
    <w:rsid w:val="00E50561"/>
    <w:rsid w:val="00E546C1"/>
    <w:rsid w:val="00E62CD8"/>
    <w:rsid w:val="00E66445"/>
    <w:rsid w:val="00E66737"/>
    <w:rsid w:val="00E669D9"/>
    <w:rsid w:val="00E75727"/>
    <w:rsid w:val="00E76913"/>
    <w:rsid w:val="00E80EF9"/>
    <w:rsid w:val="00E814FB"/>
    <w:rsid w:val="00E86781"/>
    <w:rsid w:val="00EA4048"/>
    <w:rsid w:val="00EA4B00"/>
    <w:rsid w:val="00EA4C27"/>
    <w:rsid w:val="00EA4F1D"/>
    <w:rsid w:val="00EA79C3"/>
    <w:rsid w:val="00EB44F9"/>
    <w:rsid w:val="00EC142F"/>
    <w:rsid w:val="00EC349D"/>
    <w:rsid w:val="00EC421B"/>
    <w:rsid w:val="00EC7298"/>
    <w:rsid w:val="00EE0A66"/>
    <w:rsid w:val="00EE1522"/>
    <w:rsid w:val="00EF2896"/>
    <w:rsid w:val="00EF4C65"/>
    <w:rsid w:val="00EF539A"/>
    <w:rsid w:val="00EF5BB2"/>
    <w:rsid w:val="00F0004A"/>
    <w:rsid w:val="00F00C72"/>
    <w:rsid w:val="00F054EE"/>
    <w:rsid w:val="00F07FE7"/>
    <w:rsid w:val="00F26D3F"/>
    <w:rsid w:val="00F32FA3"/>
    <w:rsid w:val="00F37C24"/>
    <w:rsid w:val="00F45CE5"/>
    <w:rsid w:val="00F45FC4"/>
    <w:rsid w:val="00F519A3"/>
    <w:rsid w:val="00F52C49"/>
    <w:rsid w:val="00F52F1A"/>
    <w:rsid w:val="00F53220"/>
    <w:rsid w:val="00F56850"/>
    <w:rsid w:val="00F61CF8"/>
    <w:rsid w:val="00F61FB4"/>
    <w:rsid w:val="00F645B9"/>
    <w:rsid w:val="00F65CDA"/>
    <w:rsid w:val="00F809DA"/>
    <w:rsid w:val="00F953F5"/>
    <w:rsid w:val="00F95687"/>
    <w:rsid w:val="00FA05E5"/>
    <w:rsid w:val="00FA75B3"/>
    <w:rsid w:val="00FB219A"/>
    <w:rsid w:val="00FB6F4F"/>
    <w:rsid w:val="00FB7B9E"/>
    <w:rsid w:val="00FE1C32"/>
    <w:rsid w:val="00FE1EE7"/>
    <w:rsid w:val="00FE4092"/>
    <w:rsid w:val="00FE4CE0"/>
    <w:rsid w:val="00FE70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6BA2E"/>
  <w15:chartTrackingRefBased/>
  <w15:docId w15:val="{4BCFCAA2-0B9A-4E56-9C57-C3972FD0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746"/>
    <w:pPr>
      <w:spacing w:line="480" w:lineRule="auto"/>
      <w:ind w:firstLine="720"/>
      <w:jc w:val="both"/>
    </w:pPr>
    <w:rPr>
      <w:rFonts w:asciiTheme="majorBidi" w:hAnsiTheme="majorBidi" w:cstheme="majorBidi"/>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B3B"/>
    <w:pPr>
      <w:ind w:left="720"/>
    </w:pPr>
  </w:style>
  <w:style w:type="paragraph" w:styleId="Header">
    <w:name w:val="header"/>
    <w:basedOn w:val="Normal"/>
    <w:link w:val="HeaderChar"/>
    <w:uiPriority w:val="99"/>
    <w:unhideWhenUsed/>
    <w:rsid w:val="00804B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4BA1"/>
  </w:style>
  <w:style w:type="paragraph" w:styleId="Footer">
    <w:name w:val="footer"/>
    <w:basedOn w:val="Normal"/>
    <w:link w:val="FooterChar"/>
    <w:uiPriority w:val="99"/>
    <w:unhideWhenUsed/>
    <w:rsid w:val="00804B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4BA1"/>
  </w:style>
  <w:style w:type="paragraph" w:styleId="FootnoteText">
    <w:name w:val="footnote text"/>
    <w:basedOn w:val="Normal"/>
    <w:link w:val="FootnoteTextChar"/>
    <w:uiPriority w:val="99"/>
    <w:unhideWhenUsed/>
    <w:rsid w:val="0069010D"/>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69010D"/>
    <w:rPr>
      <w:kern w:val="0"/>
      <w:sz w:val="20"/>
      <w:szCs w:val="20"/>
      <w14:ligatures w14:val="none"/>
    </w:rPr>
  </w:style>
  <w:style w:type="character" w:styleId="FootnoteReference">
    <w:name w:val="footnote reference"/>
    <w:basedOn w:val="DefaultParagraphFont"/>
    <w:semiHidden/>
    <w:rsid w:val="0069010D"/>
    <w:rPr>
      <w:vertAlign w:val="superscript"/>
    </w:rPr>
  </w:style>
  <w:style w:type="character" w:styleId="CommentReference">
    <w:name w:val="annotation reference"/>
    <w:basedOn w:val="DefaultParagraphFont"/>
    <w:uiPriority w:val="99"/>
    <w:semiHidden/>
    <w:unhideWhenUsed/>
    <w:rsid w:val="0014645F"/>
    <w:rPr>
      <w:sz w:val="16"/>
      <w:szCs w:val="16"/>
    </w:rPr>
  </w:style>
  <w:style w:type="paragraph" w:styleId="CommentText">
    <w:name w:val="annotation text"/>
    <w:basedOn w:val="Normal"/>
    <w:link w:val="CommentTextChar"/>
    <w:uiPriority w:val="99"/>
    <w:unhideWhenUsed/>
    <w:rsid w:val="0014645F"/>
    <w:pPr>
      <w:spacing w:line="240" w:lineRule="auto"/>
    </w:pPr>
    <w:rPr>
      <w:sz w:val="20"/>
      <w:szCs w:val="20"/>
    </w:rPr>
  </w:style>
  <w:style w:type="character" w:customStyle="1" w:styleId="CommentTextChar">
    <w:name w:val="Comment Text Char"/>
    <w:basedOn w:val="DefaultParagraphFont"/>
    <w:link w:val="CommentText"/>
    <w:uiPriority w:val="99"/>
    <w:rsid w:val="0014645F"/>
    <w:rPr>
      <w:rFonts w:asciiTheme="majorBidi" w:hAnsiTheme="majorBidi" w:cstheme="majorBidi"/>
      <w:sz w:val="20"/>
      <w:szCs w:val="20"/>
      <w:lang w:val="en"/>
    </w:rPr>
  </w:style>
  <w:style w:type="paragraph" w:styleId="CommentSubject">
    <w:name w:val="annotation subject"/>
    <w:basedOn w:val="CommentText"/>
    <w:next w:val="CommentText"/>
    <w:link w:val="CommentSubjectChar"/>
    <w:uiPriority w:val="99"/>
    <w:semiHidden/>
    <w:unhideWhenUsed/>
    <w:rsid w:val="0014645F"/>
    <w:rPr>
      <w:b/>
      <w:bCs/>
    </w:rPr>
  </w:style>
  <w:style w:type="character" w:customStyle="1" w:styleId="CommentSubjectChar">
    <w:name w:val="Comment Subject Char"/>
    <w:basedOn w:val="CommentTextChar"/>
    <w:link w:val="CommentSubject"/>
    <w:uiPriority w:val="99"/>
    <w:semiHidden/>
    <w:rsid w:val="0014645F"/>
    <w:rPr>
      <w:rFonts w:asciiTheme="majorBidi" w:hAnsiTheme="majorBidi" w:cstheme="majorBidi"/>
      <w:b/>
      <w:bCs/>
      <w:sz w:val="20"/>
      <w:szCs w:val="20"/>
      <w:lang w:val="en"/>
    </w:rPr>
  </w:style>
  <w:style w:type="character" w:styleId="Strong">
    <w:name w:val="Strong"/>
    <w:basedOn w:val="DefaultParagraphFont"/>
    <w:uiPriority w:val="22"/>
    <w:qFormat/>
    <w:rsid w:val="004D3C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31735-BFCF-4295-A0E9-DAB8975D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6448</TotalTime>
  <Pages>10</Pages>
  <Words>2737</Words>
  <Characters>14578</Characters>
  <Application>Microsoft Office Word</Application>
  <DocSecurity>0</DocSecurity>
  <Lines>229</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JA</cp:lastModifiedBy>
  <cp:revision>318</cp:revision>
  <dcterms:created xsi:type="dcterms:W3CDTF">2024-07-03T15:54:00Z</dcterms:created>
  <dcterms:modified xsi:type="dcterms:W3CDTF">2024-08-13T14:17:00Z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70ee009d99501a0e6cbcd95f6e0b7ceded128829055f54a3f361b08f4f38abf7</vt:lpwstr>
  </property>
</Properties>
</file>