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313D" w14:textId="7D82A5B9" w:rsidR="003C5A63" w:rsidRDefault="00551338" w:rsidP="00634989">
      <w:pPr>
        <w:spacing w:line="360" w:lineRule="auto"/>
        <w:jc w:val="center"/>
        <w:rPr>
          <w:lang w:val="en-US"/>
        </w:rPr>
      </w:pPr>
      <w:r w:rsidRPr="00551338">
        <w:rPr>
          <w:b/>
          <w:bCs/>
          <w:lang w:val="en-US"/>
        </w:rPr>
        <w:t xml:space="preserve">Completing Rashi’s Commentary </w:t>
      </w:r>
      <w:r w:rsidR="00662BDF">
        <w:rPr>
          <w:b/>
          <w:bCs/>
          <w:lang w:val="en-US"/>
        </w:rPr>
        <w:t>into</w:t>
      </w:r>
      <w:r w:rsidRPr="00551338">
        <w:rPr>
          <w:b/>
          <w:bCs/>
          <w:lang w:val="en-US"/>
        </w:rPr>
        <w:t xml:space="preserve"> Double Glosses, Using the Midrashic Hermeneutics of Rabbi Moshe Gabbai, Author of “</w:t>
      </w:r>
      <w:r w:rsidRPr="00551338">
        <w:rPr>
          <w:b/>
          <w:bCs/>
          <w:i/>
          <w:iCs/>
          <w:lang w:val="en-US"/>
        </w:rPr>
        <w:t>Eved Shlomo</w:t>
      </w:r>
      <w:r w:rsidRPr="00551338">
        <w:rPr>
          <w:b/>
          <w:bCs/>
          <w:lang w:val="en-US"/>
        </w:rPr>
        <w:t>,” a Supercommentary on Rashi</w:t>
      </w:r>
    </w:p>
    <w:p w14:paraId="48593E37" w14:textId="77777777" w:rsidR="00551338" w:rsidRDefault="00551338" w:rsidP="00634989">
      <w:pPr>
        <w:spacing w:line="360" w:lineRule="auto"/>
        <w:jc w:val="center"/>
        <w:rPr>
          <w:lang w:val="en-US"/>
        </w:rPr>
      </w:pPr>
    </w:p>
    <w:p w14:paraId="05AA17E1" w14:textId="43E56BB5" w:rsidR="00551338" w:rsidRDefault="00551338" w:rsidP="00634989">
      <w:pPr>
        <w:spacing w:line="360" w:lineRule="auto"/>
        <w:rPr>
          <w:lang w:val="en-US"/>
        </w:rPr>
      </w:pPr>
      <w:r>
        <w:rPr>
          <w:lang w:val="en-US"/>
        </w:rPr>
        <w:t xml:space="preserve">This paper presents the </w:t>
      </w:r>
      <w:r w:rsidR="00C134DD">
        <w:rPr>
          <w:lang w:val="en-US"/>
        </w:rPr>
        <w:t>work</w:t>
      </w:r>
      <w:r>
        <w:rPr>
          <w:lang w:val="en-US"/>
        </w:rPr>
        <w:t xml:space="preserve"> of a </w:t>
      </w:r>
      <w:r w:rsidR="00C134DD">
        <w:rPr>
          <w:lang w:val="en-US"/>
        </w:rPr>
        <w:t>relatively un</w:t>
      </w:r>
      <w:r>
        <w:rPr>
          <w:lang w:val="en-US"/>
        </w:rPr>
        <w:t>known supercommenter on Rashi, Rabbi Moshe Gabbai (RMG)</w:t>
      </w:r>
      <w:r w:rsidR="00C134DD">
        <w:rPr>
          <w:lang w:val="en-US"/>
        </w:rPr>
        <w:t xml:space="preserve">. Rabbi Moshe Gabbai, </w:t>
      </w:r>
      <w:r w:rsidR="00C134DD">
        <w:rPr>
          <w:lang w:val="en-US"/>
        </w:rPr>
        <w:t>a 15</w:t>
      </w:r>
      <w:r w:rsidR="00C134DD" w:rsidRPr="00551338">
        <w:rPr>
          <w:vertAlign w:val="superscript"/>
          <w:lang w:val="en-US"/>
        </w:rPr>
        <w:t>th</w:t>
      </w:r>
      <w:r w:rsidR="00C134DD">
        <w:rPr>
          <w:lang w:val="en-US"/>
        </w:rPr>
        <w:t>-century Sephardic scholar</w:t>
      </w:r>
      <w:r w:rsidR="00C134DD">
        <w:rPr>
          <w:lang w:val="en-US"/>
        </w:rPr>
        <w:t xml:space="preserve">, authored the </w:t>
      </w:r>
      <w:r w:rsidR="00C134DD">
        <w:rPr>
          <w:i/>
          <w:iCs/>
          <w:lang w:val="en-US"/>
        </w:rPr>
        <w:t>Eved Shlomo</w:t>
      </w:r>
      <w:r w:rsidR="00C134DD">
        <w:rPr>
          <w:lang w:val="en-US"/>
        </w:rPr>
        <w:t>, a</w:t>
      </w:r>
      <w:r>
        <w:rPr>
          <w:lang w:val="en-US"/>
        </w:rPr>
        <w:t xml:space="preserve"> supercommentary on Rashi</w:t>
      </w:r>
      <w:r w:rsidR="00C134DD">
        <w:rPr>
          <w:lang w:val="en-US"/>
        </w:rPr>
        <w:t xml:space="preserve">. This paper presents </w:t>
      </w:r>
      <w:r>
        <w:rPr>
          <w:lang w:val="en-US"/>
        </w:rPr>
        <w:t>his biography</w:t>
      </w:r>
      <w:r w:rsidR="002A4DD6">
        <w:rPr>
          <w:lang w:val="en-US"/>
        </w:rPr>
        <w:t>,</w:t>
      </w:r>
      <w:r>
        <w:rPr>
          <w:lang w:val="en-US"/>
        </w:rPr>
        <w:t xml:space="preserve"> interpretive approach</w:t>
      </w:r>
      <w:r w:rsidR="00C134DD">
        <w:rPr>
          <w:lang w:val="en-US"/>
        </w:rPr>
        <w:t>,</w:t>
      </w:r>
      <w:r>
        <w:rPr>
          <w:lang w:val="en-US"/>
        </w:rPr>
        <w:t xml:space="preserve"> </w:t>
      </w:r>
      <w:r w:rsidR="002A4DD6">
        <w:rPr>
          <w:lang w:val="en-US"/>
        </w:rPr>
        <w:t xml:space="preserve">and </w:t>
      </w:r>
      <w:r>
        <w:rPr>
          <w:lang w:val="en-US"/>
        </w:rPr>
        <w:t xml:space="preserve">the ‘midrashic hermeneutics’ </w:t>
      </w:r>
      <w:r w:rsidR="00C134DD">
        <w:rPr>
          <w:lang w:val="en-US"/>
        </w:rPr>
        <w:t>he</w:t>
      </w:r>
      <w:r>
        <w:rPr>
          <w:lang w:val="en-US"/>
        </w:rPr>
        <w:t xml:space="preserve"> employs</w:t>
      </w:r>
      <w:r w:rsidR="00C134DD">
        <w:rPr>
          <w:lang w:val="en-US"/>
        </w:rPr>
        <w:t xml:space="preserve"> in</w:t>
      </w:r>
      <w:r w:rsidR="00AE093C">
        <w:rPr>
          <w:lang w:val="en-US"/>
        </w:rPr>
        <w:t xml:space="preserve"> completing Rashi’s midrashic commentary </w:t>
      </w:r>
      <w:r w:rsidR="00C134DD">
        <w:rPr>
          <w:lang w:val="en-US"/>
        </w:rPr>
        <w:t>into</w:t>
      </w:r>
      <w:r w:rsidR="00AE093C">
        <w:rPr>
          <w:lang w:val="en-US"/>
        </w:rPr>
        <w:t xml:space="preserve"> double glosses.</w:t>
      </w:r>
    </w:p>
    <w:p w14:paraId="4AA964FA" w14:textId="1A3169AD" w:rsidR="00AE093C" w:rsidRDefault="00AE093C" w:rsidP="00634989">
      <w:pPr>
        <w:spacing w:line="360" w:lineRule="auto"/>
        <w:rPr>
          <w:lang w:val="en-US"/>
        </w:rPr>
      </w:pPr>
      <w:r>
        <w:rPr>
          <w:lang w:val="en-US"/>
        </w:rPr>
        <w:t>Kamin writes that “if we only had Rashi’s double glosses, we would not hesitate to say that Rashi distinguished between the hermeneutical categories of ‘</w:t>
      </w:r>
      <w:r>
        <w:rPr>
          <w:i/>
          <w:iCs/>
          <w:lang w:val="en-US"/>
        </w:rPr>
        <w:t>peshat</w:t>
      </w:r>
      <w:r>
        <w:rPr>
          <w:lang w:val="en-US"/>
        </w:rPr>
        <w:t xml:space="preserve">’ </w:t>
      </w:r>
      <w:r w:rsidR="00EC2633">
        <w:rPr>
          <w:lang w:val="en-US"/>
        </w:rPr>
        <w:t xml:space="preserve">[a basic, literal reading of the text] </w:t>
      </w:r>
      <w:r>
        <w:rPr>
          <w:lang w:val="en-US"/>
        </w:rPr>
        <w:t>and ‘</w:t>
      </w:r>
      <w:r>
        <w:rPr>
          <w:i/>
          <w:iCs/>
          <w:lang w:val="en-US"/>
        </w:rPr>
        <w:t>derash</w:t>
      </w:r>
      <w:r>
        <w:rPr>
          <w:lang w:val="en-US"/>
        </w:rPr>
        <w:t>’</w:t>
      </w:r>
      <w:r w:rsidR="00EC2633">
        <w:rPr>
          <w:lang w:val="en-US"/>
        </w:rPr>
        <w:t xml:space="preserve"> [a non-literal explanation that takes</w:t>
      </w:r>
      <w:r w:rsidR="00EC2633" w:rsidRPr="00EC2633">
        <w:t xml:space="preserve"> the text out of its context</w:t>
      </w:r>
      <w:r w:rsidR="00EC2633">
        <w:t>, usually for</w:t>
      </w:r>
      <w:r w:rsidR="00EC2633" w:rsidRPr="00EC2633">
        <w:t xml:space="preserve"> ritual or moral purposes</w:t>
      </w:r>
      <w:r w:rsidR="00EC2633">
        <w:t>]</w:t>
      </w:r>
      <w:r w:rsidR="00EC2633" w:rsidRPr="00EC2633">
        <w:t>.</w:t>
      </w:r>
      <w:r>
        <w:rPr>
          <w:lang w:val="en-US"/>
        </w:rPr>
        <w:t xml:space="preserve">…,” but since his double glosses are </w:t>
      </w:r>
      <w:r w:rsidR="002A4DD6">
        <w:rPr>
          <w:lang w:val="en-US"/>
        </w:rPr>
        <w:t>the</w:t>
      </w:r>
      <w:r>
        <w:rPr>
          <w:lang w:val="en-US"/>
        </w:rPr>
        <w:t xml:space="preserve"> minority, Rashi’s commentary exhibits a “methodological ambiguity” which blurs the distinction between </w:t>
      </w:r>
      <w:r>
        <w:rPr>
          <w:i/>
          <w:iCs/>
          <w:lang w:val="en-US"/>
        </w:rPr>
        <w:t>peshat</w:t>
      </w:r>
      <w:r>
        <w:rPr>
          <w:lang w:val="en-US"/>
        </w:rPr>
        <w:t xml:space="preserve"> and </w:t>
      </w:r>
      <w:r>
        <w:rPr>
          <w:i/>
          <w:iCs/>
          <w:lang w:val="en-US"/>
        </w:rPr>
        <w:t>derash</w:t>
      </w:r>
      <w:r>
        <w:rPr>
          <w:lang w:val="en-US"/>
        </w:rPr>
        <w:t>.</w:t>
      </w:r>
      <w:r>
        <w:rPr>
          <w:rStyle w:val="FootnoteReference"/>
          <w:lang w:val="en-US"/>
        </w:rPr>
        <w:footnoteReference w:id="1"/>
      </w:r>
      <w:r>
        <w:rPr>
          <w:lang w:val="en-US"/>
        </w:rPr>
        <w:t xml:space="preserve"> RMG approaches Rashi from the Sephardic hermeneutical tradition that emphasizes grammar, linguistic analyses, and </w:t>
      </w:r>
      <w:r w:rsidR="002A4DD6">
        <w:rPr>
          <w:lang w:val="en-US"/>
        </w:rPr>
        <w:t>clarifying</w:t>
      </w:r>
      <w:r>
        <w:rPr>
          <w:lang w:val="en-US"/>
        </w:rPr>
        <w:t xml:space="preserve"> the distinction between </w:t>
      </w:r>
      <w:r>
        <w:rPr>
          <w:i/>
          <w:iCs/>
          <w:lang w:val="en-US"/>
        </w:rPr>
        <w:t>peshat</w:t>
      </w:r>
      <w:r>
        <w:rPr>
          <w:lang w:val="en-US"/>
        </w:rPr>
        <w:t xml:space="preserve"> and </w:t>
      </w:r>
      <w:r>
        <w:rPr>
          <w:i/>
          <w:iCs/>
          <w:lang w:val="en-US"/>
        </w:rPr>
        <w:t>derash</w:t>
      </w:r>
      <w:r>
        <w:rPr>
          <w:lang w:val="en-US"/>
        </w:rPr>
        <w:t xml:space="preserve">. </w:t>
      </w:r>
      <w:r w:rsidR="002A4DD6">
        <w:rPr>
          <w:lang w:val="en-US"/>
        </w:rPr>
        <w:t>He</w:t>
      </w:r>
      <w:r>
        <w:rPr>
          <w:lang w:val="en-US"/>
        </w:rPr>
        <w:t xml:space="preserve"> attributed this distinction to Rashi himself</w:t>
      </w:r>
      <w:r w:rsidR="00662BDF">
        <w:rPr>
          <w:lang w:val="en-US"/>
        </w:rPr>
        <w:t xml:space="preserve">, noting that he added a </w:t>
      </w:r>
      <w:r w:rsidR="00662BDF">
        <w:rPr>
          <w:i/>
          <w:iCs/>
          <w:lang w:val="en-US"/>
        </w:rPr>
        <w:t>peshat</w:t>
      </w:r>
      <w:r w:rsidR="00662BDF">
        <w:rPr>
          <w:lang w:val="en-US"/>
        </w:rPr>
        <w:t xml:space="preserve"> commentary to many of his midrashic commentaries thus completing the double-gloss format. Sometimes the </w:t>
      </w:r>
      <w:r w:rsidR="00662BDF">
        <w:rPr>
          <w:i/>
          <w:iCs/>
          <w:lang w:val="en-US"/>
        </w:rPr>
        <w:t>peshat</w:t>
      </w:r>
      <w:r w:rsidR="00662BDF">
        <w:rPr>
          <w:lang w:val="en-US"/>
        </w:rPr>
        <w:t xml:space="preserve"> he added was </w:t>
      </w:r>
      <w:commentRangeStart w:id="0"/>
      <w:r w:rsidR="00662BDF">
        <w:rPr>
          <w:lang w:val="en-US"/>
        </w:rPr>
        <w:t>his own</w:t>
      </w:r>
      <w:commentRangeEnd w:id="0"/>
      <w:r w:rsidR="002A4DD6">
        <w:rPr>
          <w:rStyle w:val="CommentReference"/>
        </w:rPr>
        <w:commentReference w:id="0"/>
      </w:r>
      <w:r w:rsidR="00662BDF">
        <w:rPr>
          <w:lang w:val="en-US"/>
        </w:rPr>
        <w:t xml:space="preserve">, at other times he used Rashi’s </w:t>
      </w:r>
      <w:r w:rsidR="00662BDF">
        <w:rPr>
          <w:i/>
          <w:iCs/>
          <w:lang w:val="en-US"/>
        </w:rPr>
        <w:t>peshat</w:t>
      </w:r>
      <w:r w:rsidR="00662BDF">
        <w:rPr>
          <w:lang w:val="en-US"/>
        </w:rPr>
        <w:t xml:space="preserve"> from a </w:t>
      </w:r>
      <w:r w:rsidR="002A4DD6">
        <w:rPr>
          <w:lang w:val="en-US"/>
        </w:rPr>
        <w:t>different</w:t>
      </w:r>
      <w:r w:rsidR="00662BDF">
        <w:rPr>
          <w:lang w:val="en-US"/>
        </w:rPr>
        <w:t xml:space="preserve"> source.</w:t>
      </w:r>
      <w:r w:rsidR="00662BDF">
        <w:rPr>
          <w:rStyle w:val="FootnoteReference"/>
          <w:lang w:val="en-US"/>
        </w:rPr>
        <w:footnoteReference w:id="2"/>
      </w:r>
      <w:r w:rsidR="00662BDF">
        <w:rPr>
          <w:lang w:val="en-US"/>
        </w:rPr>
        <w:t xml:space="preserve"> In addition, RMG often expose</w:t>
      </w:r>
      <w:r w:rsidR="002A4DD6">
        <w:rPr>
          <w:lang w:val="en-US"/>
        </w:rPr>
        <w:t>d</w:t>
      </w:r>
      <w:r w:rsidR="00662BDF">
        <w:rPr>
          <w:lang w:val="en-US"/>
        </w:rPr>
        <w:t xml:space="preserve"> the rabbinic sources of many of Rashi’s </w:t>
      </w:r>
      <w:r w:rsidR="00662BDF">
        <w:rPr>
          <w:i/>
          <w:iCs/>
          <w:lang w:val="en-US"/>
        </w:rPr>
        <w:t>derash</w:t>
      </w:r>
      <w:r w:rsidR="00662BDF">
        <w:rPr>
          <w:lang w:val="en-US"/>
        </w:rPr>
        <w:t xml:space="preserve"> glosses, for example, </w:t>
      </w:r>
      <w:r w:rsidR="002A4DD6">
        <w:rPr>
          <w:lang w:val="en-US"/>
        </w:rPr>
        <w:t>with</w:t>
      </w:r>
      <w:r w:rsidR="00662BDF">
        <w:rPr>
          <w:lang w:val="en-US"/>
        </w:rPr>
        <w:t xml:space="preserve"> comments</w:t>
      </w:r>
      <w:r w:rsidR="002A4DD6">
        <w:rPr>
          <w:lang w:val="en-US"/>
        </w:rPr>
        <w:t xml:space="preserve"> like</w:t>
      </w:r>
      <w:r w:rsidR="00662BDF">
        <w:rPr>
          <w:lang w:val="en-US"/>
        </w:rPr>
        <w:t xml:space="preserve"> </w:t>
      </w:r>
      <w:bookmarkStart w:id="1" w:name="_Hlk171586963"/>
      <w:r w:rsidR="00662BDF">
        <w:rPr>
          <w:lang w:val="en-US"/>
        </w:rPr>
        <w:t>“</w:t>
      </w:r>
      <w:r w:rsidR="00EC2633">
        <w:rPr>
          <w:lang w:val="en-US"/>
        </w:rPr>
        <w:t>This</w:t>
      </w:r>
      <w:r w:rsidR="00662BDF">
        <w:rPr>
          <w:lang w:val="en-US"/>
        </w:rPr>
        <w:t xml:space="preserve"> is a rabbinic </w:t>
      </w:r>
      <w:r w:rsidR="00662BDF">
        <w:rPr>
          <w:i/>
          <w:iCs/>
          <w:lang w:val="en-US"/>
        </w:rPr>
        <w:t>midrash</w:t>
      </w:r>
      <w:r w:rsidR="00662BDF">
        <w:rPr>
          <w:lang w:val="en-US"/>
        </w:rPr>
        <w:t xml:space="preserve">”; </w:t>
      </w:r>
      <w:bookmarkEnd w:id="1"/>
      <w:r w:rsidR="00662BDF">
        <w:rPr>
          <w:lang w:val="en-US"/>
        </w:rPr>
        <w:t>“</w:t>
      </w:r>
      <w:r w:rsidR="00EC2633">
        <w:rPr>
          <w:lang w:val="en-US"/>
        </w:rPr>
        <w:t>This</w:t>
      </w:r>
      <w:r w:rsidR="00662BDF">
        <w:rPr>
          <w:lang w:val="en-US"/>
        </w:rPr>
        <w:t xml:space="preserve"> is a rabbinic </w:t>
      </w:r>
      <w:r w:rsidR="00EC2633">
        <w:rPr>
          <w:lang w:val="en-US"/>
        </w:rPr>
        <w:t xml:space="preserve">aphorism </w:t>
      </w:r>
      <w:r w:rsidR="002A4DD6">
        <w:rPr>
          <w:lang w:val="en-US"/>
        </w:rPr>
        <w:t>from</w:t>
      </w:r>
      <w:r w:rsidR="00EC2633">
        <w:rPr>
          <w:lang w:val="en-US"/>
        </w:rPr>
        <w:t xml:space="preserve"> </w:t>
      </w:r>
      <w:r w:rsidR="00EC2633">
        <w:rPr>
          <w:i/>
          <w:iCs/>
          <w:lang w:val="en-US"/>
        </w:rPr>
        <w:t>Bava Metzia</w:t>
      </w:r>
      <w:r w:rsidR="00EC2633">
        <w:rPr>
          <w:lang w:val="en-US"/>
        </w:rPr>
        <w:t xml:space="preserve">”; “This is from the rabbinic commentary </w:t>
      </w:r>
      <w:r w:rsidR="002A4DD6">
        <w:rPr>
          <w:lang w:val="en-US"/>
        </w:rPr>
        <w:t>on</w:t>
      </w:r>
      <w:r w:rsidR="00EC2633">
        <w:rPr>
          <w:lang w:val="en-US"/>
        </w:rPr>
        <w:t xml:space="preserve"> </w:t>
      </w:r>
      <w:r w:rsidR="00EC2633">
        <w:rPr>
          <w:i/>
          <w:iCs/>
          <w:lang w:val="en-US"/>
        </w:rPr>
        <w:t>Bereishit Rabbah</w:t>
      </w:r>
      <w:r w:rsidR="00EC2633">
        <w:rPr>
          <w:lang w:val="en-US"/>
        </w:rPr>
        <w:t>”;</w:t>
      </w:r>
      <w:r w:rsidR="00EC2633" w:rsidRPr="00EC2633">
        <w:rPr>
          <w:lang w:val="en-US"/>
        </w:rPr>
        <w:t xml:space="preserve"> </w:t>
      </w:r>
      <w:r w:rsidR="00EC2633" w:rsidRPr="00EC2633">
        <w:rPr>
          <w:lang w:val="en-US"/>
        </w:rPr>
        <w:t>“</w:t>
      </w:r>
      <w:r w:rsidR="00EC2633">
        <w:rPr>
          <w:lang w:val="en-US"/>
        </w:rPr>
        <w:t>T</w:t>
      </w:r>
      <w:r w:rsidR="00EC2633" w:rsidRPr="00EC2633">
        <w:rPr>
          <w:lang w:val="en-US"/>
        </w:rPr>
        <w:t xml:space="preserve">his is a rabbinic </w:t>
      </w:r>
      <w:r w:rsidR="00EC2633" w:rsidRPr="00EC2633">
        <w:rPr>
          <w:i/>
          <w:iCs/>
          <w:lang w:val="en-US"/>
        </w:rPr>
        <w:t>midrash</w:t>
      </w:r>
      <w:r w:rsidR="00EC2633" w:rsidRPr="00EC2633">
        <w:rPr>
          <w:lang w:val="en-US"/>
        </w:rPr>
        <w:t xml:space="preserve"> </w:t>
      </w:r>
      <w:r w:rsidR="002A4DD6">
        <w:rPr>
          <w:lang w:val="en-US"/>
        </w:rPr>
        <w:t>from the</w:t>
      </w:r>
      <w:r w:rsidR="00EC2633" w:rsidRPr="00EC2633">
        <w:rPr>
          <w:lang w:val="en-US"/>
        </w:rPr>
        <w:t xml:space="preserve"> </w:t>
      </w:r>
      <w:r w:rsidR="00EC2633" w:rsidRPr="00EC2633">
        <w:rPr>
          <w:i/>
          <w:iCs/>
          <w:lang w:val="en-US"/>
        </w:rPr>
        <w:t>Sifri</w:t>
      </w:r>
      <w:r w:rsidR="00EC2633" w:rsidRPr="00EC2633">
        <w:rPr>
          <w:lang w:val="en-US"/>
        </w:rPr>
        <w:t>”</w:t>
      </w:r>
      <w:r w:rsidR="00EC2633">
        <w:rPr>
          <w:lang w:val="en-US"/>
        </w:rPr>
        <w:t>. In this way, he makes the commentary more transparent</w:t>
      </w:r>
      <w:r w:rsidR="002A4DD6">
        <w:rPr>
          <w:lang w:val="en-US"/>
        </w:rPr>
        <w:t xml:space="preserve"> and</w:t>
      </w:r>
      <w:r w:rsidR="00EC2633">
        <w:rPr>
          <w:lang w:val="en-US"/>
        </w:rPr>
        <w:t xml:space="preserve"> </w:t>
      </w:r>
      <w:r w:rsidR="002A4DD6">
        <w:rPr>
          <w:lang w:val="en-US"/>
        </w:rPr>
        <w:t>clear</w:t>
      </w:r>
      <w:r w:rsidR="002A4DD6">
        <w:rPr>
          <w:lang w:val="en-US"/>
        </w:rPr>
        <w:t>er</w:t>
      </w:r>
      <w:r w:rsidR="002A4DD6">
        <w:rPr>
          <w:lang w:val="en-US"/>
        </w:rPr>
        <w:t xml:space="preserve"> </w:t>
      </w:r>
      <w:r w:rsidR="00EC2633">
        <w:rPr>
          <w:lang w:val="en-US"/>
        </w:rPr>
        <w:t>for the reader, even whe</w:t>
      </w:r>
      <w:r w:rsidR="002A4DD6">
        <w:rPr>
          <w:lang w:val="en-US"/>
        </w:rPr>
        <w:t>re</w:t>
      </w:r>
      <w:r w:rsidR="00EC2633">
        <w:rPr>
          <w:lang w:val="en-US"/>
        </w:rPr>
        <w:t xml:space="preserve"> Rashi does not bring the rabbinic source</w:t>
      </w:r>
      <w:r w:rsidR="002A4DD6" w:rsidRPr="002A4DD6">
        <w:rPr>
          <w:lang w:val="en-US"/>
        </w:rPr>
        <w:t xml:space="preserve"> </w:t>
      </w:r>
      <w:r w:rsidR="002A4DD6">
        <w:rPr>
          <w:lang w:val="en-US"/>
        </w:rPr>
        <w:t>himself</w:t>
      </w:r>
      <w:r w:rsidR="00EC2633">
        <w:rPr>
          <w:lang w:val="en-US"/>
        </w:rPr>
        <w:t>.</w:t>
      </w:r>
      <w:r w:rsidR="00EC2633">
        <w:rPr>
          <w:rStyle w:val="FootnoteReference"/>
          <w:lang w:val="en-US"/>
        </w:rPr>
        <w:footnoteReference w:id="3"/>
      </w:r>
    </w:p>
    <w:p w14:paraId="315AD520" w14:textId="7D635188" w:rsidR="00EC2633" w:rsidRDefault="00EC2633" w:rsidP="00634989">
      <w:pPr>
        <w:spacing w:line="360" w:lineRule="auto"/>
        <w:rPr>
          <w:lang w:val="en-US"/>
        </w:rPr>
      </w:pPr>
      <w:r>
        <w:rPr>
          <w:lang w:val="en-US"/>
        </w:rPr>
        <w:t xml:space="preserve">The main topic that RMG raises in his introduction is the distinction between glosses based on </w:t>
      </w:r>
      <w:r>
        <w:rPr>
          <w:i/>
          <w:iCs/>
          <w:lang w:val="en-US"/>
        </w:rPr>
        <w:t>peshat</w:t>
      </w:r>
      <w:r>
        <w:rPr>
          <w:lang w:val="en-US"/>
        </w:rPr>
        <w:t xml:space="preserve"> and those based on rabbinic </w:t>
      </w:r>
      <w:r>
        <w:rPr>
          <w:i/>
          <w:iCs/>
          <w:lang w:val="en-US"/>
        </w:rPr>
        <w:t>midrash</w:t>
      </w:r>
      <w:r>
        <w:rPr>
          <w:lang w:val="en-US"/>
        </w:rPr>
        <w:t xml:space="preserve">. This distinction is sometimes found in </w:t>
      </w:r>
      <w:r>
        <w:rPr>
          <w:lang w:val="en-US"/>
        </w:rPr>
        <w:lastRenderedPageBreak/>
        <w:t xml:space="preserve">Rashi’s commentary, but </w:t>
      </w:r>
      <w:r w:rsidR="002A4DD6">
        <w:rPr>
          <w:lang w:val="en-US"/>
        </w:rPr>
        <w:t>it is often</w:t>
      </w:r>
      <w:r>
        <w:rPr>
          <w:lang w:val="en-US"/>
        </w:rPr>
        <w:t xml:space="preserve"> missing. R</w:t>
      </w:r>
      <w:r w:rsidR="00647DC6">
        <w:rPr>
          <w:lang w:val="en-US"/>
        </w:rPr>
        <w:t>MG wrote that he will use the opening formula “the rabbi commented” when Rashi brings a “</w:t>
      </w:r>
      <w:r w:rsidR="00647DC6">
        <w:rPr>
          <w:i/>
          <w:iCs/>
          <w:lang w:val="en-US"/>
        </w:rPr>
        <w:t>peshat</w:t>
      </w:r>
      <w:r w:rsidR="00647DC6">
        <w:rPr>
          <w:lang w:val="en-US"/>
        </w:rPr>
        <w:t xml:space="preserve"> or the rabbi’s precise reading,” but in practice, he uses this formula also for glosses that include a </w:t>
      </w:r>
      <w:r w:rsidR="00647DC6">
        <w:rPr>
          <w:i/>
          <w:iCs/>
          <w:lang w:val="en-US"/>
        </w:rPr>
        <w:t>midrash</w:t>
      </w:r>
      <w:r w:rsidR="00647DC6">
        <w:rPr>
          <w:lang w:val="en-US"/>
        </w:rPr>
        <w:t xml:space="preserve">. In any case, his discussion in the introduction and his description of Rashi’s commentary show that he is primarily interested in questions such as, When does Rashi bring first a </w:t>
      </w:r>
      <w:r w:rsidR="00647DC6">
        <w:rPr>
          <w:i/>
          <w:iCs/>
          <w:lang w:val="en-US"/>
        </w:rPr>
        <w:t>derash</w:t>
      </w:r>
      <w:r w:rsidR="00647DC6">
        <w:rPr>
          <w:lang w:val="en-US"/>
        </w:rPr>
        <w:t xml:space="preserve"> and then a </w:t>
      </w:r>
      <w:r w:rsidR="00647DC6">
        <w:rPr>
          <w:i/>
          <w:iCs/>
          <w:lang w:val="en-US"/>
        </w:rPr>
        <w:t>peshat</w:t>
      </w:r>
      <w:r w:rsidR="00683138">
        <w:rPr>
          <w:lang w:val="en-US"/>
        </w:rPr>
        <w:t>?</w:t>
      </w:r>
      <w:r w:rsidR="00647DC6">
        <w:rPr>
          <w:lang w:val="en-US"/>
        </w:rPr>
        <w:t xml:space="preserve"> or vice versa</w:t>
      </w:r>
      <w:r w:rsidR="00683138">
        <w:rPr>
          <w:lang w:val="en-US"/>
        </w:rPr>
        <w:t>;</w:t>
      </w:r>
      <w:r w:rsidR="00647DC6">
        <w:rPr>
          <w:lang w:val="en-US"/>
        </w:rPr>
        <w:t xml:space="preserve"> and</w:t>
      </w:r>
      <w:r w:rsidR="00683138">
        <w:rPr>
          <w:lang w:val="en-US"/>
        </w:rPr>
        <w:t>,</w:t>
      </w:r>
      <w:r w:rsidR="00647DC6">
        <w:rPr>
          <w:lang w:val="en-US"/>
        </w:rPr>
        <w:t xml:space="preserve"> When does Rashi view the </w:t>
      </w:r>
      <w:r w:rsidR="00647DC6">
        <w:rPr>
          <w:i/>
          <w:iCs/>
          <w:lang w:val="en-US"/>
        </w:rPr>
        <w:t>derash</w:t>
      </w:r>
      <w:r w:rsidR="00647DC6">
        <w:rPr>
          <w:lang w:val="en-US"/>
        </w:rPr>
        <w:t xml:space="preserve"> as a reflection of the </w:t>
      </w:r>
      <w:r w:rsidR="00647DC6">
        <w:rPr>
          <w:i/>
          <w:iCs/>
          <w:lang w:val="en-US"/>
        </w:rPr>
        <w:t>peshat</w:t>
      </w:r>
      <w:r w:rsidR="00683138">
        <w:rPr>
          <w:lang w:val="en-US"/>
        </w:rPr>
        <w:t>?</w:t>
      </w:r>
      <w:r w:rsidR="00647DC6">
        <w:rPr>
          <w:lang w:val="en-US"/>
        </w:rPr>
        <w:t xml:space="preserve"> Indeed, in his explanation, RMG implements the strategy he sets out in the introduction. Furthermore, one of his main goals is to respond to exegetes who critiqued Rashi for using </w:t>
      </w:r>
      <w:r w:rsidR="00647DC6">
        <w:rPr>
          <w:i/>
          <w:iCs/>
          <w:lang w:val="en-US"/>
        </w:rPr>
        <w:t>midrash</w:t>
      </w:r>
      <w:r w:rsidR="00647DC6">
        <w:rPr>
          <w:lang w:val="en-US"/>
        </w:rPr>
        <w:t>:</w:t>
      </w:r>
    </w:p>
    <w:p w14:paraId="7E646FCB" w14:textId="0315C7EA" w:rsidR="00647DC6" w:rsidRDefault="00647DC6" w:rsidP="00634989">
      <w:pPr>
        <w:spacing w:line="360" w:lineRule="auto"/>
        <w:ind w:left="720"/>
        <w:rPr>
          <w:lang w:val="en-US"/>
        </w:rPr>
      </w:pPr>
      <w:r>
        <w:rPr>
          <w:lang w:val="en-US"/>
        </w:rPr>
        <w:t xml:space="preserve">And I saw people buried in their ignorance who came across the rabbi </w:t>
      </w:r>
      <w:r>
        <w:rPr>
          <w:i/>
          <w:iCs/>
          <w:lang w:val="en-US"/>
        </w:rPr>
        <w:t>z”</w:t>
      </w:r>
      <w:r w:rsidRPr="00647DC6">
        <w:rPr>
          <w:i/>
          <w:iCs/>
          <w:lang w:val="en-US"/>
        </w:rPr>
        <w:t>l</w:t>
      </w:r>
      <w:r w:rsidRPr="00647DC6">
        <w:rPr>
          <w:lang w:val="en-US"/>
        </w:rPr>
        <w:t>‘s</w:t>
      </w:r>
      <w:r>
        <w:rPr>
          <w:lang w:val="en-US"/>
        </w:rPr>
        <w:t xml:space="preserve"> commentary and read it, </w:t>
      </w:r>
      <w:r w:rsidR="00840C76">
        <w:rPr>
          <w:lang w:val="en-US"/>
        </w:rPr>
        <w:t>glorifying</w:t>
      </w:r>
      <w:r>
        <w:rPr>
          <w:lang w:val="en-US"/>
        </w:rPr>
        <w:t xml:space="preserve"> themselves in the town and saying that it is full of </w:t>
      </w:r>
      <w:r>
        <w:rPr>
          <w:i/>
          <w:iCs/>
          <w:lang w:val="en-US"/>
        </w:rPr>
        <w:t>derashot</w:t>
      </w:r>
      <w:r>
        <w:rPr>
          <w:lang w:val="en-US"/>
        </w:rPr>
        <w:t xml:space="preserve"> and fables, and they try to question it and doubt it and </w:t>
      </w:r>
      <w:r w:rsidR="00840C76">
        <w:rPr>
          <w:lang w:val="en-US"/>
        </w:rPr>
        <w:t xml:space="preserve">be </w:t>
      </w:r>
      <w:r w:rsidR="00683138">
        <w:rPr>
          <w:lang w:val="en-US"/>
        </w:rPr>
        <w:t xml:space="preserve">as </w:t>
      </w:r>
      <w:r w:rsidR="00840C76">
        <w:rPr>
          <w:lang w:val="en-US"/>
        </w:rPr>
        <w:t>vexing as they please. Their toil is foreign, for they say</w:t>
      </w:r>
      <w:r w:rsidR="00683138">
        <w:rPr>
          <w:lang w:val="en-US"/>
        </w:rPr>
        <w:t>,</w:t>
      </w:r>
      <w:r w:rsidR="00840C76">
        <w:rPr>
          <w:lang w:val="en-US"/>
        </w:rPr>
        <w:t xml:space="preserve"> We will raise our voices, </w:t>
      </w:r>
      <w:r w:rsidR="00683138">
        <w:rPr>
          <w:lang w:val="en-US"/>
        </w:rPr>
        <w:t xml:space="preserve">for </w:t>
      </w:r>
      <w:r w:rsidR="00840C76">
        <w:rPr>
          <w:lang w:val="en-US"/>
        </w:rPr>
        <w:t>who is our master</w:t>
      </w:r>
      <w:r w:rsidR="00683138">
        <w:rPr>
          <w:lang w:val="en-US"/>
        </w:rPr>
        <w:t>?</w:t>
      </w:r>
      <w:r w:rsidR="00840C76">
        <w:rPr>
          <w:lang w:val="en-US"/>
        </w:rPr>
        <w:t xml:space="preserve"> And after these come </w:t>
      </w:r>
      <w:r w:rsidR="00840C76" w:rsidRPr="00840C76">
        <w:t xml:space="preserve">little foxes that spoil the </w:t>
      </w:r>
      <w:r w:rsidR="00840C76">
        <w:t>vineyards</w:t>
      </w:r>
      <w:r w:rsidR="00683138">
        <w:t>,</w:t>
      </w:r>
      <w:r w:rsidR="00840C76">
        <w:t xml:space="preserve"> scoffing at an angel of God, saying that the </w:t>
      </w:r>
      <w:r w:rsidR="00840C76">
        <w:rPr>
          <w:i/>
          <w:iCs/>
        </w:rPr>
        <w:t>peshat</w:t>
      </w:r>
      <w:r w:rsidR="00840C76">
        <w:t xml:space="preserve"> </w:t>
      </w:r>
      <w:r w:rsidR="00683138">
        <w:t xml:space="preserve">of the </w:t>
      </w:r>
      <w:r w:rsidR="00683138">
        <w:t xml:space="preserve">text </w:t>
      </w:r>
      <w:r w:rsidR="00840C76">
        <w:t xml:space="preserve">is </w:t>
      </w:r>
      <w:r w:rsidR="00683138">
        <w:t>beyond</w:t>
      </w:r>
      <w:r w:rsidR="00840C76">
        <w:t xml:space="preserve"> him, they spoke ill of him. And they drank the evil waters, the spiteful waters that wash over those who learn secular studies, the </w:t>
      </w:r>
      <w:r w:rsidR="00683138">
        <w:t>earliest</w:t>
      </w:r>
      <w:r w:rsidR="00840C76">
        <w:t xml:space="preserve"> and the latest. And they did not remember what our Sages said: They had </w:t>
      </w:r>
      <w:r w:rsidR="00683138">
        <w:t xml:space="preserve">only </w:t>
      </w:r>
      <w:r w:rsidR="00840C76">
        <w:t xml:space="preserve">barely allowed Rabban Gamliel to learn Greek wisdom, since he was of royal lineage and would respond to </w:t>
      </w:r>
      <w:r w:rsidR="00840C76">
        <w:rPr>
          <w:lang w:val="en-US"/>
        </w:rPr>
        <w:t>heretics and skeptics […] Here is the rule: Greek wisdom is only allowed for this purpose. For we have no need or desire for that wisdom to reach the truth of the true Torah wisdom.</w:t>
      </w:r>
      <w:r w:rsidR="00840C76">
        <w:rPr>
          <w:rStyle w:val="FootnoteReference"/>
          <w:lang w:val="en-US"/>
        </w:rPr>
        <w:footnoteReference w:id="4"/>
      </w:r>
    </w:p>
    <w:p w14:paraId="03CF9A97" w14:textId="6397FF27" w:rsidR="00840C76" w:rsidRDefault="0022083F" w:rsidP="00634989">
      <w:pPr>
        <w:spacing w:line="360" w:lineRule="auto"/>
        <w:rPr>
          <w:lang w:val="en-US"/>
        </w:rPr>
      </w:pPr>
      <w:r>
        <w:rPr>
          <w:lang w:val="en-US"/>
        </w:rPr>
        <w:t xml:space="preserve">Rashi’s use of </w:t>
      </w:r>
      <w:r>
        <w:rPr>
          <w:i/>
          <w:iCs/>
          <w:lang w:val="en-US"/>
        </w:rPr>
        <w:t>midrash</w:t>
      </w:r>
      <w:r>
        <w:rPr>
          <w:lang w:val="en-US"/>
        </w:rPr>
        <w:t>,</w:t>
      </w:r>
      <w:r>
        <w:rPr>
          <w:lang w:val="en-US"/>
        </w:rPr>
        <w:t xml:space="preserve"> and his distancing himself from the </w:t>
      </w:r>
      <w:r>
        <w:rPr>
          <w:i/>
          <w:iCs/>
          <w:lang w:val="en-US"/>
        </w:rPr>
        <w:t>peshat</w:t>
      </w:r>
      <w:r>
        <w:rPr>
          <w:lang w:val="en-US"/>
        </w:rPr>
        <w:t xml:space="preserve"> of the text</w:t>
      </w:r>
      <w:r>
        <w:rPr>
          <w:lang w:val="en-US"/>
        </w:rPr>
        <w:t xml:space="preserve">, generated a critical atmosphere toward his commentary; RMG expresses his commitment to defend Rashi’s commentary from this critique. In his introduction, RMG does not respond directly to the critique but merely expresses his negative opinion of the critique and the critics. However, his approach to Rashi’s use of </w:t>
      </w:r>
      <w:r>
        <w:rPr>
          <w:i/>
          <w:iCs/>
          <w:lang w:val="en-US"/>
        </w:rPr>
        <w:t>midrash</w:t>
      </w:r>
      <w:r>
        <w:rPr>
          <w:lang w:val="en-US"/>
        </w:rPr>
        <w:t xml:space="preserve"> in his glosses can be viewed as a </w:t>
      </w:r>
      <w:r w:rsidR="00683138">
        <w:rPr>
          <w:lang w:val="en-US"/>
        </w:rPr>
        <w:t>kind</w:t>
      </w:r>
      <w:r>
        <w:rPr>
          <w:lang w:val="en-US"/>
        </w:rPr>
        <w:t xml:space="preserve"> of response to the critics, even if he does not address them directly. In his commentary </w:t>
      </w:r>
      <w:r>
        <w:rPr>
          <w:i/>
          <w:iCs/>
          <w:lang w:val="en-US"/>
        </w:rPr>
        <w:t>Even Shlomo</w:t>
      </w:r>
      <w:r>
        <w:rPr>
          <w:lang w:val="en-US"/>
        </w:rPr>
        <w:t xml:space="preserve"> RMG does not refute the critics’ claim, which he brings in his introduction, that “it is full of </w:t>
      </w:r>
      <w:r>
        <w:rPr>
          <w:i/>
          <w:iCs/>
          <w:lang w:val="en-US"/>
        </w:rPr>
        <w:t>derashot</w:t>
      </w:r>
      <w:r>
        <w:rPr>
          <w:lang w:val="en-US"/>
        </w:rPr>
        <w:t xml:space="preserve"> and fables.” On the contrary: He emphasizes Rashi’s use of </w:t>
      </w:r>
      <w:r>
        <w:rPr>
          <w:i/>
          <w:iCs/>
          <w:lang w:val="en-US"/>
        </w:rPr>
        <w:t>midrash</w:t>
      </w:r>
      <w:r>
        <w:rPr>
          <w:lang w:val="en-US"/>
        </w:rPr>
        <w:t xml:space="preserve"> and delves deep into them. His goal was to show that there is nothing wrong with using </w:t>
      </w:r>
      <w:r>
        <w:rPr>
          <w:i/>
          <w:iCs/>
          <w:lang w:val="en-US"/>
        </w:rPr>
        <w:t>midrash</w:t>
      </w:r>
      <w:r>
        <w:rPr>
          <w:lang w:val="en-US"/>
        </w:rPr>
        <w:t xml:space="preserve">. </w:t>
      </w:r>
      <w:r w:rsidR="00C715FD">
        <w:rPr>
          <w:lang w:val="en-US"/>
        </w:rPr>
        <w:t>Quite</w:t>
      </w:r>
      <w:r>
        <w:rPr>
          <w:lang w:val="en-US"/>
        </w:rPr>
        <w:t xml:space="preserve"> the opposite: Rashi thus enriched our understanding and connected the text to the rabbinic traditions. RMG demonstrates that the use of </w:t>
      </w:r>
      <w:r>
        <w:rPr>
          <w:i/>
          <w:iCs/>
          <w:lang w:val="en-US"/>
        </w:rPr>
        <w:t>midrash</w:t>
      </w:r>
      <w:r>
        <w:rPr>
          <w:lang w:val="en-US"/>
        </w:rPr>
        <w:t xml:space="preserve"> certainly does not justify the second claim,</w:t>
      </w:r>
      <w:r w:rsidR="0097789F">
        <w:rPr>
          <w:lang w:val="en-US"/>
        </w:rPr>
        <w:t xml:space="preserve"> that “the </w:t>
      </w:r>
      <w:r w:rsidR="0097789F">
        <w:rPr>
          <w:i/>
          <w:iCs/>
          <w:lang w:val="en-US"/>
        </w:rPr>
        <w:t>peshat</w:t>
      </w:r>
      <w:r w:rsidR="0097789F">
        <w:rPr>
          <w:lang w:val="en-US"/>
        </w:rPr>
        <w:t xml:space="preserve"> </w:t>
      </w:r>
      <w:r w:rsidR="00683138">
        <w:rPr>
          <w:lang w:val="en-US"/>
        </w:rPr>
        <w:t xml:space="preserve">of the text </w:t>
      </w:r>
      <w:r w:rsidR="0097789F">
        <w:rPr>
          <w:lang w:val="en-US"/>
        </w:rPr>
        <w:t xml:space="preserve">is </w:t>
      </w:r>
      <w:r w:rsidR="00683138">
        <w:rPr>
          <w:lang w:val="en-US"/>
        </w:rPr>
        <w:t>beyond</w:t>
      </w:r>
      <w:r w:rsidR="0097789F">
        <w:rPr>
          <w:lang w:val="en-US"/>
        </w:rPr>
        <w:t xml:space="preserve"> him.” This RMG explicitly refutes by distinguishing between </w:t>
      </w:r>
      <w:r w:rsidR="0097789F">
        <w:rPr>
          <w:i/>
          <w:iCs/>
          <w:lang w:val="en-US"/>
        </w:rPr>
        <w:t>peshat</w:t>
      </w:r>
      <w:r w:rsidR="0097789F">
        <w:rPr>
          <w:lang w:val="en-US"/>
        </w:rPr>
        <w:t xml:space="preserve"> and </w:t>
      </w:r>
      <w:r w:rsidR="0097789F">
        <w:rPr>
          <w:i/>
          <w:iCs/>
          <w:lang w:val="en-US"/>
        </w:rPr>
        <w:t>derash</w:t>
      </w:r>
      <w:r w:rsidR="0097789F">
        <w:rPr>
          <w:lang w:val="en-US"/>
        </w:rPr>
        <w:t>, and completing many glosses into double glosses.</w:t>
      </w:r>
    </w:p>
    <w:p w14:paraId="555997A4" w14:textId="4A53CFB3" w:rsidR="0097789F" w:rsidRDefault="00C715FD" w:rsidP="00634989">
      <w:pPr>
        <w:spacing w:line="360" w:lineRule="auto"/>
        <w:rPr>
          <w:lang w:val="en-US"/>
        </w:rPr>
      </w:pPr>
      <w:r>
        <w:rPr>
          <w:lang w:val="en-US"/>
        </w:rPr>
        <w:t xml:space="preserve">In this paper, we will see how the technique of completing Rashi’s glosses into double glosses allows RMG to deal with the critique of Rashi’s </w:t>
      </w:r>
      <w:r w:rsidR="00683138">
        <w:rPr>
          <w:lang w:val="en-US"/>
        </w:rPr>
        <w:t>ex</w:t>
      </w:r>
      <w:r>
        <w:rPr>
          <w:lang w:val="en-US"/>
        </w:rPr>
        <w:t xml:space="preserve">tensive use of rabbinic </w:t>
      </w:r>
      <w:r>
        <w:rPr>
          <w:i/>
          <w:iCs/>
          <w:lang w:val="en-US"/>
        </w:rPr>
        <w:t>midrash</w:t>
      </w:r>
      <w:r>
        <w:t xml:space="preserve"> in his commentary on the Torah, by </w:t>
      </w:r>
      <w:r>
        <w:rPr>
          <w:lang w:val="en-US"/>
        </w:rPr>
        <w:t>positioning the midrashic gloss as a layer that</w:t>
      </w:r>
      <w:r w:rsidR="00683138">
        <w:rPr>
          <w:lang w:val="en-US"/>
        </w:rPr>
        <w:t>,</w:t>
      </w:r>
      <w:r>
        <w:rPr>
          <w:lang w:val="en-US"/>
        </w:rPr>
        <w:t xml:space="preserve"> in most cases</w:t>
      </w:r>
      <w:r w:rsidR="00683138">
        <w:rPr>
          <w:lang w:val="en-US"/>
        </w:rPr>
        <w:t>,</w:t>
      </w:r>
      <w:r>
        <w:rPr>
          <w:lang w:val="en-US"/>
        </w:rPr>
        <w:t xml:space="preserve"> </w:t>
      </w:r>
      <w:r w:rsidR="00683138">
        <w:rPr>
          <w:lang w:val="en-US"/>
        </w:rPr>
        <w:t>parallels</w:t>
      </w:r>
      <w:r>
        <w:rPr>
          <w:lang w:val="en-US"/>
        </w:rPr>
        <w:t xml:space="preserve"> that of the </w:t>
      </w:r>
      <w:r>
        <w:rPr>
          <w:i/>
          <w:iCs/>
          <w:lang w:val="en-US"/>
        </w:rPr>
        <w:t>peshat</w:t>
      </w:r>
      <w:r>
        <w:rPr>
          <w:lang w:val="en-US"/>
        </w:rPr>
        <w:t xml:space="preserve"> and does not replace it.</w:t>
      </w:r>
    </w:p>
    <w:p w14:paraId="4B117253" w14:textId="77777777" w:rsidR="00C715FD" w:rsidRDefault="00C715FD" w:rsidP="00634989">
      <w:pPr>
        <w:spacing w:line="360" w:lineRule="auto"/>
        <w:rPr>
          <w:lang w:val="en-US"/>
        </w:rPr>
      </w:pPr>
    </w:p>
    <w:p w14:paraId="11CA8355" w14:textId="0A1F5945" w:rsidR="00C715FD" w:rsidRDefault="00C715FD" w:rsidP="00634989">
      <w:pPr>
        <w:spacing w:line="360" w:lineRule="auto"/>
        <w:rPr>
          <w:lang w:val="en-US"/>
        </w:rPr>
      </w:pPr>
      <w:r>
        <w:rPr>
          <w:b/>
          <w:bCs/>
          <w:lang w:val="en-US"/>
        </w:rPr>
        <w:t>Biography</w:t>
      </w:r>
    </w:p>
    <w:p w14:paraId="5BFDACCA" w14:textId="77777777" w:rsidR="00C715FD" w:rsidRPr="00C715FD" w:rsidRDefault="00C715FD" w:rsidP="00634989">
      <w:pPr>
        <w:spacing w:line="360" w:lineRule="auto"/>
        <w:rPr>
          <w:rFonts w:hint="cs"/>
          <w:rtl/>
          <w:lang w:val="en-US"/>
        </w:rPr>
      </w:pPr>
    </w:p>
    <w:sectPr w:rsidR="00C715FD" w:rsidRPr="00C715F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ulamit Finkelman Suna" w:date="2024-07-11T14:45:00Z" w:initials="Sש">
    <w:p w14:paraId="1B9F33BE" w14:textId="77777777" w:rsidR="002A4DD6" w:rsidRDefault="002A4DD6" w:rsidP="002A4DD6">
      <w:pPr>
        <w:pStyle w:val="CommentText"/>
      </w:pPr>
      <w:r>
        <w:rPr>
          <w:rStyle w:val="CommentReference"/>
        </w:rPr>
        <w:annotationRef/>
      </w:r>
      <w:r>
        <w:t>Not clear - RMG’s own? Rashi’s 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9F33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17E862" w16cex:dateUtc="2024-07-11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9F33BE" w16cid:durableId="6017E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C8CB0" w14:textId="77777777" w:rsidR="00FA6E28" w:rsidRDefault="00FA6E28" w:rsidP="00AE093C">
      <w:pPr>
        <w:spacing w:after="0" w:line="240" w:lineRule="auto"/>
      </w:pPr>
      <w:r>
        <w:separator/>
      </w:r>
    </w:p>
  </w:endnote>
  <w:endnote w:type="continuationSeparator" w:id="0">
    <w:p w14:paraId="68B5CCE9" w14:textId="77777777" w:rsidR="00FA6E28" w:rsidRDefault="00FA6E28" w:rsidP="00AE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16D16" w14:textId="77777777" w:rsidR="00FA6E28" w:rsidRDefault="00FA6E28" w:rsidP="00AE093C">
      <w:pPr>
        <w:spacing w:after="0" w:line="240" w:lineRule="auto"/>
      </w:pPr>
      <w:r>
        <w:separator/>
      </w:r>
    </w:p>
  </w:footnote>
  <w:footnote w:type="continuationSeparator" w:id="0">
    <w:p w14:paraId="68382258" w14:textId="77777777" w:rsidR="00FA6E28" w:rsidRDefault="00FA6E28" w:rsidP="00AE093C">
      <w:pPr>
        <w:spacing w:after="0" w:line="240" w:lineRule="auto"/>
      </w:pPr>
      <w:r>
        <w:continuationSeparator/>
      </w:r>
    </w:p>
  </w:footnote>
  <w:footnote w:id="1">
    <w:p w14:paraId="3C401049" w14:textId="3966F6ED" w:rsidR="00AE093C" w:rsidRPr="00AE093C" w:rsidRDefault="00AE093C">
      <w:pPr>
        <w:pStyle w:val="FootnoteText"/>
        <w:rPr>
          <w:lang w:val="en-US"/>
        </w:rPr>
      </w:pPr>
      <w:r>
        <w:rPr>
          <w:rStyle w:val="FootnoteReference"/>
        </w:rPr>
        <w:footnoteRef/>
      </w:r>
      <w:r>
        <w:t xml:space="preserve"> </w:t>
      </w:r>
      <w:r>
        <w:rPr>
          <w:lang w:val="en-US"/>
        </w:rPr>
        <w:t>Kamin (2007), 265; see also Viezel (2022), 223.</w:t>
      </w:r>
    </w:p>
  </w:footnote>
  <w:footnote w:id="2">
    <w:p w14:paraId="6B103F8F" w14:textId="040ABF18" w:rsidR="00662BDF" w:rsidRPr="00662BDF" w:rsidRDefault="00662BDF">
      <w:pPr>
        <w:pStyle w:val="FootnoteText"/>
        <w:rPr>
          <w:lang w:val="en-US"/>
        </w:rPr>
      </w:pPr>
      <w:r>
        <w:rPr>
          <w:rStyle w:val="FootnoteReference"/>
        </w:rPr>
        <w:footnoteRef/>
      </w:r>
      <w:r>
        <w:t xml:space="preserve"> For example: “From all that they chose: The Rabbi </w:t>
      </w:r>
      <w:r>
        <w:rPr>
          <w:i/>
          <w:iCs/>
        </w:rPr>
        <w:t>z”l</w:t>
      </w:r>
      <w:r>
        <w:t xml:space="preserve"> wrote that even a married woman, even a male, and beasts.. And according to the </w:t>
      </w:r>
      <w:r>
        <w:rPr>
          <w:i/>
          <w:iCs/>
        </w:rPr>
        <w:t>peshat</w:t>
      </w:r>
      <w:r>
        <w:t xml:space="preserve">, because they had the choice to forcefully take women as they pleased, with no one to tell them to return them” (Gabbai [2006], 69). See Appendix A for a list of 31 examples where RMG completes Rashi’s single glosses into double glosses which include both </w:t>
      </w:r>
      <w:r>
        <w:rPr>
          <w:i/>
          <w:iCs/>
        </w:rPr>
        <w:t>peshat</w:t>
      </w:r>
      <w:r>
        <w:t xml:space="preserve"> and </w:t>
      </w:r>
      <w:r>
        <w:rPr>
          <w:i/>
          <w:iCs/>
        </w:rPr>
        <w:t>derash</w:t>
      </w:r>
      <w:r>
        <w:t xml:space="preserve"> commentaries.</w:t>
      </w:r>
    </w:p>
  </w:footnote>
  <w:footnote w:id="3">
    <w:p w14:paraId="3CAF5623" w14:textId="65DA8C72" w:rsidR="00EC2633" w:rsidRPr="00EC2633" w:rsidRDefault="00EC2633">
      <w:pPr>
        <w:pStyle w:val="FootnoteText"/>
        <w:rPr>
          <w:lang w:val="en-US"/>
        </w:rPr>
      </w:pPr>
      <w:r>
        <w:rPr>
          <w:rStyle w:val="FootnoteReference"/>
        </w:rPr>
        <w:footnoteRef/>
      </w:r>
      <w:r>
        <w:t xml:space="preserve"> </w:t>
      </w:r>
      <w:r>
        <w:rPr>
          <w:lang w:val="en-US"/>
        </w:rPr>
        <w:t>Quotes are from Gabbai (2006), 60, 94, 143, 333. Also see Appendix A below, for a list of 31 examples of this sort.</w:t>
      </w:r>
    </w:p>
  </w:footnote>
  <w:footnote w:id="4">
    <w:p w14:paraId="50A9D24B" w14:textId="4FBA5468" w:rsidR="00840C76" w:rsidRPr="00840C76" w:rsidRDefault="00840C76">
      <w:pPr>
        <w:pStyle w:val="FootnoteText"/>
        <w:rPr>
          <w:lang w:val="en-US"/>
        </w:rPr>
      </w:pPr>
      <w:r>
        <w:rPr>
          <w:rStyle w:val="FootnoteReference"/>
        </w:rPr>
        <w:footnoteRef/>
      </w:r>
      <w:r>
        <w:t xml:space="preserve"> </w:t>
      </w:r>
      <w:r>
        <w:rPr>
          <w:lang w:val="en-US"/>
        </w:rPr>
        <w:t>Gabbai (2006), 43.</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DAF"/>
    <w:rsid w:val="00061950"/>
    <w:rsid w:val="001E7BEA"/>
    <w:rsid w:val="0022083F"/>
    <w:rsid w:val="002A4DD6"/>
    <w:rsid w:val="003C5A63"/>
    <w:rsid w:val="004A08CF"/>
    <w:rsid w:val="00551338"/>
    <w:rsid w:val="00634989"/>
    <w:rsid w:val="00647DC6"/>
    <w:rsid w:val="00662BDF"/>
    <w:rsid w:val="00683138"/>
    <w:rsid w:val="00840C76"/>
    <w:rsid w:val="0097789F"/>
    <w:rsid w:val="00AE093C"/>
    <w:rsid w:val="00B72DAF"/>
    <w:rsid w:val="00C134DD"/>
    <w:rsid w:val="00C715FD"/>
    <w:rsid w:val="00E81819"/>
    <w:rsid w:val="00EC2633"/>
    <w:rsid w:val="00FA6E2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3AC4C"/>
  <w15:chartTrackingRefBased/>
  <w15:docId w15:val="{AD55EBAF-2758-4F1E-892B-C174078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DA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D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2D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2D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2D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2D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2D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customStyle="1" w:styleId="Heading1Char">
    <w:name w:val="Heading 1 Char"/>
    <w:basedOn w:val="DefaultParagraphFont"/>
    <w:link w:val="Heading1"/>
    <w:uiPriority w:val="9"/>
    <w:rsid w:val="00B72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D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D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2D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2D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2D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2D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2D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2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D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D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2DAF"/>
    <w:pPr>
      <w:spacing w:before="160"/>
      <w:jc w:val="center"/>
    </w:pPr>
    <w:rPr>
      <w:i/>
      <w:iCs/>
      <w:color w:val="404040" w:themeColor="text1" w:themeTint="BF"/>
    </w:rPr>
  </w:style>
  <w:style w:type="character" w:customStyle="1" w:styleId="QuoteChar">
    <w:name w:val="Quote Char"/>
    <w:basedOn w:val="DefaultParagraphFont"/>
    <w:link w:val="Quote"/>
    <w:uiPriority w:val="29"/>
    <w:rsid w:val="00B72DAF"/>
    <w:rPr>
      <w:i/>
      <w:iCs/>
      <w:color w:val="404040" w:themeColor="text1" w:themeTint="BF"/>
    </w:rPr>
  </w:style>
  <w:style w:type="paragraph" w:styleId="ListParagraph">
    <w:name w:val="List Paragraph"/>
    <w:basedOn w:val="Normal"/>
    <w:uiPriority w:val="34"/>
    <w:qFormat/>
    <w:rsid w:val="00B72DAF"/>
    <w:pPr>
      <w:ind w:left="720"/>
      <w:contextualSpacing/>
    </w:pPr>
  </w:style>
  <w:style w:type="character" w:styleId="IntenseEmphasis">
    <w:name w:val="Intense Emphasis"/>
    <w:basedOn w:val="DefaultParagraphFont"/>
    <w:uiPriority w:val="21"/>
    <w:qFormat/>
    <w:rsid w:val="00B72DAF"/>
    <w:rPr>
      <w:i/>
      <w:iCs/>
      <w:color w:val="0F4761" w:themeColor="accent1" w:themeShade="BF"/>
    </w:rPr>
  </w:style>
  <w:style w:type="paragraph" w:styleId="IntenseQuote">
    <w:name w:val="Intense Quote"/>
    <w:basedOn w:val="Normal"/>
    <w:next w:val="Normal"/>
    <w:link w:val="IntenseQuoteChar"/>
    <w:uiPriority w:val="30"/>
    <w:qFormat/>
    <w:rsid w:val="00B72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DAF"/>
    <w:rPr>
      <w:i/>
      <w:iCs/>
      <w:color w:val="0F4761" w:themeColor="accent1" w:themeShade="BF"/>
    </w:rPr>
  </w:style>
  <w:style w:type="character" w:styleId="IntenseReference">
    <w:name w:val="Intense Reference"/>
    <w:basedOn w:val="DefaultParagraphFont"/>
    <w:uiPriority w:val="32"/>
    <w:qFormat/>
    <w:rsid w:val="00B72DAF"/>
    <w:rPr>
      <w:b/>
      <w:bCs/>
      <w:smallCaps/>
      <w:color w:val="0F4761" w:themeColor="accent1" w:themeShade="BF"/>
      <w:spacing w:val="5"/>
    </w:rPr>
  </w:style>
  <w:style w:type="paragraph" w:styleId="FootnoteText">
    <w:name w:val="footnote text"/>
    <w:basedOn w:val="Normal"/>
    <w:link w:val="FootnoteTextChar"/>
    <w:uiPriority w:val="99"/>
    <w:semiHidden/>
    <w:unhideWhenUsed/>
    <w:rsid w:val="00AE0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93C"/>
    <w:rPr>
      <w:sz w:val="20"/>
      <w:szCs w:val="20"/>
    </w:rPr>
  </w:style>
  <w:style w:type="character" w:styleId="CommentReference">
    <w:name w:val="annotation reference"/>
    <w:basedOn w:val="DefaultParagraphFont"/>
    <w:uiPriority w:val="99"/>
    <w:semiHidden/>
    <w:unhideWhenUsed/>
    <w:rsid w:val="002A4DD6"/>
    <w:rPr>
      <w:sz w:val="16"/>
      <w:szCs w:val="16"/>
    </w:rPr>
  </w:style>
  <w:style w:type="paragraph" w:styleId="CommentText">
    <w:name w:val="annotation text"/>
    <w:basedOn w:val="Normal"/>
    <w:link w:val="CommentTextChar"/>
    <w:uiPriority w:val="99"/>
    <w:unhideWhenUsed/>
    <w:rsid w:val="002A4DD6"/>
    <w:pPr>
      <w:spacing w:line="240" w:lineRule="auto"/>
    </w:pPr>
    <w:rPr>
      <w:sz w:val="20"/>
      <w:szCs w:val="20"/>
    </w:rPr>
  </w:style>
  <w:style w:type="character" w:customStyle="1" w:styleId="CommentTextChar">
    <w:name w:val="Comment Text Char"/>
    <w:basedOn w:val="DefaultParagraphFont"/>
    <w:link w:val="CommentText"/>
    <w:uiPriority w:val="99"/>
    <w:rsid w:val="002A4DD6"/>
    <w:rPr>
      <w:sz w:val="20"/>
      <w:szCs w:val="20"/>
    </w:rPr>
  </w:style>
  <w:style w:type="paragraph" w:styleId="CommentSubject">
    <w:name w:val="annotation subject"/>
    <w:basedOn w:val="CommentText"/>
    <w:next w:val="CommentText"/>
    <w:link w:val="CommentSubjectChar"/>
    <w:uiPriority w:val="99"/>
    <w:semiHidden/>
    <w:unhideWhenUsed/>
    <w:rsid w:val="002A4DD6"/>
    <w:rPr>
      <w:b/>
      <w:bCs/>
    </w:rPr>
  </w:style>
  <w:style w:type="character" w:customStyle="1" w:styleId="CommentSubjectChar">
    <w:name w:val="Comment Subject Char"/>
    <w:basedOn w:val="CommentTextChar"/>
    <w:link w:val="CommentSubject"/>
    <w:uiPriority w:val="99"/>
    <w:semiHidden/>
    <w:rsid w:val="002A4D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7161-A723-4598-BABB-0F8B6391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877</Words>
  <Characters>4442</Characters>
  <Application>Microsoft Office Word</Application>
  <DocSecurity>0</DocSecurity>
  <Lines>67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5</cp:revision>
  <dcterms:created xsi:type="dcterms:W3CDTF">2024-07-11T07:03:00Z</dcterms:created>
  <dcterms:modified xsi:type="dcterms:W3CDTF">2024-07-11T11:55:00Z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b7b3d5e4-f5ec-49f0-82be-114a5bb236fc</vt:lpwstr>
  </property>
</Properties>
</file>