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A0BA4" w14:textId="6F513635" w:rsidR="007F3634" w:rsidRDefault="007F3634" w:rsidP="000E3B27">
      <w:pPr>
        <w:spacing w:line="360" w:lineRule="auto"/>
        <w:jc w:val="center"/>
      </w:pPr>
      <w:bookmarkStart w:id="0" w:name="_Hlk177485820"/>
      <w:r>
        <w:t>Restoring Rabbi Joseph Kara</w:t>
      </w:r>
      <w:r w:rsidR="006B7AB4">
        <w:t>’</w:t>
      </w:r>
      <w:r>
        <w:t>s commentary on the Torah</w:t>
      </w:r>
    </w:p>
    <w:p w14:paraId="55169B24" w14:textId="3ACD42D7" w:rsidR="003C5A63" w:rsidRPr="007F3634" w:rsidRDefault="007F3634" w:rsidP="000E3B27">
      <w:pPr>
        <w:spacing w:line="360" w:lineRule="auto"/>
        <w:jc w:val="center"/>
      </w:pPr>
      <w:r>
        <w:t xml:space="preserve">by identifying literary principles and unique linguistic </w:t>
      </w:r>
      <w:commentRangeStart w:id="1"/>
      <w:r>
        <w:t>forms</w:t>
      </w:r>
      <w:commentRangeEnd w:id="1"/>
      <w:r w:rsidR="00F82B5B">
        <w:rPr>
          <w:rStyle w:val="CommentReference"/>
        </w:rPr>
        <w:commentReference w:id="1"/>
      </w:r>
    </w:p>
    <w:p w14:paraId="7B307963" w14:textId="77777777" w:rsidR="007F3634" w:rsidRDefault="007F3634" w:rsidP="000E3B27">
      <w:pPr>
        <w:spacing w:line="360" w:lineRule="auto"/>
        <w:rPr>
          <w:b/>
          <w:bCs/>
        </w:rPr>
      </w:pPr>
    </w:p>
    <w:p w14:paraId="3E7DF078" w14:textId="708B5769" w:rsidR="007F3634" w:rsidRPr="004E2EE8" w:rsidRDefault="007F3634" w:rsidP="000E3B27">
      <w:pPr>
        <w:spacing w:line="360" w:lineRule="auto"/>
        <w:rPr>
          <w:b/>
          <w:bCs/>
        </w:rPr>
      </w:pPr>
      <w:r w:rsidRPr="004E2EE8">
        <w:rPr>
          <w:b/>
          <w:bCs/>
        </w:rPr>
        <w:t>Introduction</w:t>
      </w:r>
    </w:p>
    <w:p w14:paraId="5F11B7B2" w14:textId="4F0CF077" w:rsidR="007F3634" w:rsidRDefault="00D843B5" w:rsidP="000E3B27">
      <w:pPr>
        <w:spacing w:line="360" w:lineRule="auto"/>
      </w:pPr>
      <w:r>
        <w:t xml:space="preserve">Rabbi Joseph Kara (c. 1050-1130) is considered one of the more important exegetes in the </w:t>
      </w:r>
      <w:proofErr w:type="spellStart"/>
      <w:r w:rsidR="001B0B0C" w:rsidRPr="001B0B0C">
        <w:rPr>
          <w:i/>
          <w:iCs/>
        </w:rPr>
        <w:t>peshat</w:t>
      </w:r>
      <w:proofErr w:type="spellEnd"/>
      <w:r>
        <w:t xml:space="preserve"> school of northern France</w:t>
      </w:r>
      <w:r w:rsidR="00F31A6B">
        <w:t xml:space="preserve"> of</w:t>
      </w:r>
      <w:r>
        <w:t xml:space="preserve"> the </w:t>
      </w:r>
      <w:r w:rsidR="003F5A15">
        <w:t>eleventh and twelfth</w:t>
      </w:r>
      <w:r>
        <w:t xml:space="preserve"> centuries.</w:t>
      </w:r>
      <w:commentRangeStart w:id="2"/>
      <w:r>
        <w:rPr>
          <w:rStyle w:val="FootnoteReference"/>
        </w:rPr>
        <w:footnoteReference w:id="1"/>
      </w:r>
      <w:commentRangeEnd w:id="2"/>
      <w:r w:rsidR="00F82B5B">
        <w:rPr>
          <w:rStyle w:val="CommentReference"/>
        </w:rPr>
        <w:commentReference w:id="2"/>
      </w:r>
      <w:r w:rsidR="003F5A15">
        <w:t xml:space="preserve"> </w:t>
      </w:r>
      <w:r w:rsidR="00EB4B9E">
        <w:t>H</w:t>
      </w:r>
      <w:r w:rsidR="003F5A15">
        <w:t>e, or his family,</w:t>
      </w:r>
      <w:r w:rsidR="00EB4B9E">
        <w:t xml:space="preserve"> apparently</w:t>
      </w:r>
      <w:r w:rsidR="003F5A15">
        <w:t xml:space="preserve"> hailed from Provence. In his youth, he was highly influenced by his uncle (his father</w:t>
      </w:r>
      <w:r w:rsidR="006B7AB4">
        <w:t>’</w:t>
      </w:r>
      <w:r w:rsidR="003F5A15">
        <w:t xml:space="preserve">s brother), R. Menahem bar Helbo. </w:t>
      </w:r>
      <w:r w:rsidR="00D609E5">
        <w:t>He was</w:t>
      </w:r>
      <w:r w:rsidR="00E77058">
        <w:t xml:space="preserve"> also in</w:t>
      </w:r>
      <w:r w:rsidR="002B19B4">
        <w:t xml:space="preserve"> contact</w:t>
      </w:r>
      <w:r w:rsidR="003F5A15">
        <w:t xml:space="preserve"> </w:t>
      </w:r>
      <w:r w:rsidR="00E77058">
        <w:t>with a variety of</w:t>
      </w:r>
      <w:r w:rsidR="003F5A15">
        <w:t xml:space="preserve"> important cultural centers, including Provence, Ashkenaz, Italy, France, and Spain. </w:t>
      </w:r>
      <w:r w:rsidR="00E77058">
        <w:t>H</w:t>
      </w:r>
      <w:r w:rsidR="003F5A15">
        <w:t xml:space="preserve">e arrived at </w:t>
      </w:r>
      <w:r w:rsidR="005439E5">
        <w:t>Rashi</w:t>
      </w:r>
      <w:r w:rsidR="006B7AB4">
        <w:t>’</w:t>
      </w:r>
      <w:r w:rsidR="005439E5">
        <w:t xml:space="preserve">s hometown of </w:t>
      </w:r>
      <w:r w:rsidR="003F5A15">
        <w:t>Troyes</w:t>
      </w:r>
      <w:r w:rsidR="00E77058">
        <w:t xml:space="preserve"> already an accomplished scholar and</w:t>
      </w:r>
      <w:r w:rsidR="006E3A54">
        <w:t xml:space="preserve"> his comprehensive commentary on the Bible was significantly influenced by Rashi. The consensus is that </w:t>
      </w:r>
      <w:r w:rsidR="000D7BFB">
        <w:t>Kara</w:t>
      </w:r>
      <w:r w:rsidR="006E3A54">
        <w:t xml:space="preserve"> composed a commentary for most </w:t>
      </w:r>
      <w:r w:rsidR="00520802">
        <w:t>biblical books, not all of which have</w:t>
      </w:r>
      <w:r w:rsidR="006E3A54">
        <w:t xml:space="preserve"> survived until today.</w:t>
      </w:r>
      <w:r w:rsidR="006E3A54">
        <w:rPr>
          <w:rStyle w:val="FootnoteReference"/>
        </w:rPr>
        <w:footnoteReference w:id="2"/>
      </w:r>
    </w:p>
    <w:p w14:paraId="39745BAF" w14:textId="63E25ACD" w:rsidR="00CD362F" w:rsidRDefault="00CD362F" w:rsidP="000E3B27">
      <w:pPr>
        <w:spacing w:line="360" w:lineRule="auto"/>
      </w:pPr>
      <w:r>
        <w:t xml:space="preserve">For many years, scholars assumed that </w:t>
      </w:r>
      <w:r w:rsidRPr="007A780F">
        <w:rPr>
          <w:highlight w:val="yellow"/>
        </w:rPr>
        <w:t>his extant commentaries</w:t>
      </w:r>
      <w:r w:rsidR="00950454">
        <w:t xml:space="preserve"> </w:t>
      </w:r>
      <w:r w:rsidR="00950454" w:rsidRPr="00950454">
        <w:rPr>
          <w:highlight w:val="yellow"/>
        </w:rPr>
        <w:t xml:space="preserve">on the </w:t>
      </w:r>
      <w:commentRangeStart w:id="3"/>
      <w:r w:rsidR="00950454" w:rsidRPr="00950454">
        <w:rPr>
          <w:highlight w:val="yellow"/>
        </w:rPr>
        <w:t>Pentateuch</w:t>
      </w:r>
      <w:ins w:id="4" w:author="Jonathan Jacobs" w:date="2024-09-01T17:16:00Z" w16du:dateUtc="2024-09-01T14:16:00Z">
        <w:r w:rsidR="00223055">
          <w:t xml:space="preserve"> </w:t>
        </w:r>
      </w:ins>
      <w:commentRangeEnd w:id="3"/>
      <w:r w:rsidR="008320DE">
        <w:rPr>
          <w:rStyle w:val="CommentReference"/>
        </w:rPr>
        <w:commentReference w:id="3"/>
      </w:r>
      <w:r>
        <w:t xml:space="preserve">were a collection of </w:t>
      </w:r>
      <w:r w:rsidR="00982F73">
        <w:t>glosses</w:t>
      </w:r>
      <w:r>
        <w:t xml:space="preserve"> on Rashi and not an independent commentary</w:t>
      </w:r>
      <w:commentRangeStart w:id="5"/>
      <w:r>
        <w:t>.</w:t>
      </w:r>
      <w:r>
        <w:rPr>
          <w:rStyle w:val="FootnoteReference"/>
        </w:rPr>
        <w:footnoteReference w:id="3"/>
      </w:r>
      <w:r>
        <w:t xml:space="preserve"> </w:t>
      </w:r>
      <w:commentRangeEnd w:id="5"/>
      <w:r w:rsidR="0017164F">
        <w:rPr>
          <w:rStyle w:val="CommentReference"/>
        </w:rPr>
        <w:commentReference w:id="5"/>
      </w:r>
      <w:r>
        <w:t>This assumption was based on the lack of a continuous commentary on the Torah</w:t>
      </w:r>
      <w:r w:rsidR="00823CA7">
        <w:t xml:space="preserve"> and on terminology that made it seem</w:t>
      </w:r>
      <w:r>
        <w:t xml:space="preserve"> like </w:t>
      </w:r>
      <w:r w:rsidRPr="00663D15">
        <w:rPr>
          <w:highlight w:val="yellow"/>
          <w:rPrChange w:id="6" w:author="Jonathan Jacobs" w:date="2024-09-01T17:18:00Z" w16du:dateUtc="2024-09-01T14:18:00Z">
            <w:rPr/>
          </w:rPrChange>
        </w:rPr>
        <w:t>his commentar</w:t>
      </w:r>
      <w:r w:rsidR="00950454">
        <w:rPr>
          <w:highlight w:val="yellow"/>
        </w:rPr>
        <w:t>ies</w:t>
      </w:r>
      <w:ins w:id="7" w:author="Jonathan Jacobs" w:date="2024-09-01T17:18:00Z" w16du:dateUtc="2024-09-01T14:18:00Z">
        <w:r w:rsidR="0043760B">
          <w:t xml:space="preserve"> </w:t>
        </w:r>
      </w:ins>
      <w:r w:rsidR="00950454">
        <w:t>were</w:t>
      </w:r>
      <w:r>
        <w:t xml:space="preserve"> written while copying Rashi</w:t>
      </w:r>
      <w:r w:rsidR="006B7AB4">
        <w:t>’</w:t>
      </w:r>
      <w:r>
        <w:t>s commentary on the Torah.</w:t>
      </w:r>
    </w:p>
    <w:p w14:paraId="60E586D7" w14:textId="24D2FEAE" w:rsidR="00387E8A" w:rsidRDefault="009C4B86" w:rsidP="000E3B27">
      <w:pPr>
        <w:spacing w:line="360" w:lineRule="auto"/>
      </w:pPr>
      <w:r>
        <w:t xml:space="preserve">Urbach was the first to </w:t>
      </w:r>
      <w:r w:rsidR="00FA22C8">
        <w:t>suggest</w:t>
      </w:r>
      <w:r>
        <w:t xml:space="preserve">, in a short footnote, that </w:t>
      </w:r>
      <w:r w:rsidR="00593B1F">
        <w:t>Kara</w:t>
      </w:r>
      <w:r>
        <w:t xml:space="preserve"> wrote an independent commentary on the Torah.</w:t>
      </w:r>
      <w:r>
        <w:rPr>
          <w:rStyle w:val="FootnoteReference"/>
        </w:rPr>
        <w:footnoteReference w:id="4"/>
      </w:r>
      <w:r>
        <w:t xml:space="preserve"> Grossman</w:t>
      </w:r>
      <w:r w:rsidR="006B7AB4">
        <w:t>’</w:t>
      </w:r>
      <w:r>
        <w:t xml:space="preserve">s findings, based on the Italian </w:t>
      </w:r>
      <w:proofErr w:type="spellStart"/>
      <w:r w:rsidRPr="009C4B86">
        <w:rPr>
          <w:i/>
          <w:iCs/>
        </w:rPr>
        <w:t>geniza</w:t>
      </w:r>
      <w:proofErr w:type="spellEnd"/>
      <w:r>
        <w:t xml:space="preserve">, shed new light </w:t>
      </w:r>
      <w:r>
        <w:lastRenderedPageBreak/>
        <w:t>on the topic and conclusively proved th</w:t>
      </w:r>
      <w:r w:rsidR="00020513">
        <w:t>at</w:t>
      </w:r>
      <w:r>
        <w:t xml:space="preserve"> </w:t>
      </w:r>
      <w:r w:rsidR="00593B1F">
        <w:t xml:space="preserve">Kara </w:t>
      </w:r>
      <w:r>
        <w:t xml:space="preserve">wrote an independent, continuous, and systematic commentary on the Torah and not just a collection of </w:t>
      </w:r>
      <w:r w:rsidR="00982F73">
        <w:t>glosses</w:t>
      </w:r>
      <w:r>
        <w:t xml:space="preserve"> on Rashi. This is the accepted assumption today.</w:t>
      </w:r>
      <w:r>
        <w:rPr>
          <w:rStyle w:val="FootnoteReference"/>
        </w:rPr>
        <w:footnoteReference w:id="5"/>
      </w:r>
    </w:p>
    <w:p w14:paraId="233F12FA" w14:textId="4D812A6F" w:rsidR="00BB7264" w:rsidRDefault="00BB7264" w:rsidP="000E3B27">
      <w:pPr>
        <w:spacing w:line="360" w:lineRule="auto"/>
      </w:pPr>
      <w:r>
        <w:t>Grossman</w:t>
      </w:r>
      <w:r w:rsidR="006B7AB4">
        <w:t>’</w:t>
      </w:r>
      <w:r>
        <w:t xml:space="preserve">s findings raised the question of the relationship between the local </w:t>
      </w:r>
      <w:r w:rsidR="00982F73">
        <w:t>glosses</w:t>
      </w:r>
      <w:r>
        <w:t xml:space="preserve"> on Rashi</w:t>
      </w:r>
      <w:r w:rsidR="006B7AB4">
        <w:t>’</w:t>
      </w:r>
      <w:r>
        <w:t xml:space="preserve">s commentary and the systematic </w:t>
      </w:r>
      <w:r w:rsidR="0086032A">
        <w:t>commentary</w:t>
      </w:r>
      <w:r>
        <w:t xml:space="preserve">. Grossman suggested that </w:t>
      </w:r>
      <w:r w:rsidR="00593B1F">
        <w:t xml:space="preserve">Kara </w:t>
      </w:r>
      <w:r>
        <w:t xml:space="preserve">first </w:t>
      </w:r>
      <w:r w:rsidR="00982F73">
        <w:t>glossed</w:t>
      </w:r>
      <w:r>
        <w:t xml:space="preserve"> Rashi</w:t>
      </w:r>
      <w:r w:rsidR="006B7AB4">
        <w:t>’</w:t>
      </w:r>
      <w:r>
        <w:t>s commentary on the Torah and only later wrote a comprehensive commentary of his own.</w:t>
      </w:r>
      <w:r>
        <w:rPr>
          <w:rStyle w:val="FootnoteReference"/>
        </w:rPr>
        <w:footnoteReference w:id="6"/>
      </w:r>
      <w:r>
        <w:t xml:space="preserve"> </w:t>
      </w:r>
      <w:r w:rsidR="005A3139">
        <w:t>Novetsky</w:t>
      </w:r>
      <w:r>
        <w:t xml:space="preserve"> raised a different possibility</w:t>
      </w:r>
      <w:r w:rsidR="007C35BD">
        <w:t>:</w:t>
      </w:r>
      <w:r>
        <w:t xml:space="preserve"> </w:t>
      </w:r>
      <w:r w:rsidR="00593B1F">
        <w:t xml:space="preserve">Kara </w:t>
      </w:r>
      <w:r>
        <w:t xml:space="preserve">only wrote a commentary on the Torah, and others collected independent </w:t>
      </w:r>
      <w:r w:rsidR="00982F73">
        <w:t>glosses</w:t>
      </w:r>
      <w:r>
        <w:t xml:space="preserve"> from this </w:t>
      </w:r>
      <w:r w:rsidR="007C35BD">
        <w:t>commentary.</w:t>
      </w:r>
      <w:r w:rsidR="007C35BD">
        <w:rPr>
          <w:rStyle w:val="FootnoteReference"/>
        </w:rPr>
        <w:footnoteReference w:id="7"/>
      </w:r>
      <w:r w:rsidR="007C35BD">
        <w:t xml:space="preserve"> I believe that we should not discard the possibility that </w:t>
      </w:r>
      <w:r w:rsidR="00593B1F">
        <w:t xml:space="preserve">Kara </w:t>
      </w:r>
      <w:r w:rsidR="007C35BD">
        <w:t>first wrote a continuous and complete commentary on the Torah, and when he copied Rashi</w:t>
      </w:r>
      <w:r w:rsidR="006B7AB4">
        <w:t>’</w:t>
      </w:r>
      <w:r w:rsidR="007C35BD">
        <w:t xml:space="preserve">s commentary, he added his own </w:t>
      </w:r>
      <w:r w:rsidR="00982F73">
        <w:t>glosses</w:t>
      </w:r>
      <w:r w:rsidR="007C35BD">
        <w:t xml:space="preserve"> alongside it.</w:t>
      </w:r>
      <w:r w:rsidR="007C35BD">
        <w:rPr>
          <w:rStyle w:val="FootnoteReference"/>
        </w:rPr>
        <w:footnoteReference w:id="8"/>
      </w:r>
    </w:p>
    <w:p w14:paraId="4CAAF65B" w14:textId="77777777" w:rsidR="007C35BD" w:rsidRDefault="007C35BD" w:rsidP="000E3B27">
      <w:pPr>
        <w:spacing w:line="360" w:lineRule="auto"/>
      </w:pPr>
    </w:p>
    <w:p w14:paraId="54E7688C" w14:textId="25408EBE" w:rsidR="007C35BD" w:rsidRPr="004E2EE8" w:rsidRDefault="006454D7" w:rsidP="000E3B27">
      <w:pPr>
        <w:spacing w:line="360" w:lineRule="auto"/>
        <w:rPr>
          <w:b/>
          <w:bCs/>
        </w:rPr>
      </w:pPr>
      <w:r w:rsidRPr="004E2EE8">
        <w:rPr>
          <w:b/>
          <w:bCs/>
        </w:rPr>
        <w:t xml:space="preserve">Reconstructing </w:t>
      </w:r>
      <w:r w:rsidR="00593B1F" w:rsidRPr="00593B1F">
        <w:rPr>
          <w:b/>
          <w:bCs/>
        </w:rPr>
        <w:t>Kara</w:t>
      </w:r>
      <w:r w:rsidR="006B7AB4" w:rsidRPr="00593B1F">
        <w:rPr>
          <w:b/>
          <w:bCs/>
        </w:rPr>
        <w:t>’</w:t>
      </w:r>
      <w:r w:rsidRPr="00593B1F">
        <w:rPr>
          <w:b/>
          <w:bCs/>
        </w:rPr>
        <w:t>s</w:t>
      </w:r>
      <w:r w:rsidRPr="004E2EE8">
        <w:rPr>
          <w:b/>
          <w:bCs/>
        </w:rPr>
        <w:t xml:space="preserve"> commentary on the Torah</w:t>
      </w:r>
    </w:p>
    <w:p w14:paraId="44AE985C" w14:textId="6559D360" w:rsidR="005611F4" w:rsidRDefault="00753950" w:rsidP="000E3B27">
      <w:pPr>
        <w:spacing w:line="360" w:lineRule="auto"/>
      </w:pPr>
      <w:r>
        <w:t>Much effort has gone into reconstructing part of the commentary on the Torah. The reconstruction attempts were in three directions: finding quot</w:t>
      </w:r>
      <w:r w:rsidR="00832BBE">
        <w:t>ations</w:t>
      </w:r>
      <w:r>
        <w:t xml:space="preserve"> of </w:t>
      </w:r>
      <w:r w:rsidR="00593B1F">
        <w:t>Kara</w:t>
      </w:r>
      <w:r w:rsidR="006B7AB4">
        <w:t>’</w:t>
      </w:r>
      <w:r>
        <w:t xml:space="preserve">s </w:t>
      </w:r>
      <w:r w:rsidR="00982F73">
        <w:t>glosses</w:t>
      </w:r>
      <w:r>
        <w:t xml:space="preserve"> in later works; finding </w:t>
      </w:r>
      <w:r w:rsidR="00593B1F">
        <w:t>Kara</w:t>
      </w:r>
      <w:r w:rsidR="006B7AB4">
        <w:t>’</w:t>
      </w:r>
      <w:r>
        <w:t xml:space="preserve">s </w:t>
      </w:r>
      <w:r w:rsidR="00982F73">
        <w:t>glosses</w:t>
      </w:r>
      <w:r>
        <w:t xml:space="preserve"> on Rashi</w:t>
      </w:r>
      <w:r w:rsidR="006B7AB4">
        <w:t>’</w:t>
      </w:r>
      <w:r>
        <w:t xml:space="preserve">s commentary on the Torah; and finding segments of continuous exegesis in the European </w:t>
      </w:r>
      <w:proofErr w:type="spellStart"/>
      <w:r>
        <w:rPr>
          <w:i/>
          <w:iCs/>
        </w:rPr>
        <w:t>geniza</w:t>
      </w:r>
      <w:proofErr w:type="spellEnd"/>
      <w:r>
        <w:t xml:space="preserve">. </w:t>
      </w:r>
      <w:r w:rsidR="005611F4">
        <w:t>Here is a short description of how these items were found:</w:t>
      </w:r>
    </w:p>
    <w:p w14:paraId="24E71822" w14:textId="77777777" w:rsidR="005611F4" w:rsidRDefault="005611F4" w:rsidP="000E3B27">
      <w:pPr>
        <w:spacing w:line="360" w:lineRule="auto"/>
      </w:pPr>
    </w:p>
    <w:p w14:paraId="16D85D20" w14:textId="292FCB88" w:rsidR="005611F4" w:rsidRPr="004E2EE8" w:rsidRDefault="005611F4" w:rsidP="000E3B27">
      <w:pPr>
        <w:spacing w:line="360" w:lineRule="auto"/>
        <w:rPr>
          <w:i/>
          <w:iCs/>
        </w:rPr>
      </w:pPr>
      <w:r w:rsidRPr="004E2EE8">
        <w:rPr>
          <w:i/>
          <w:iCs/>
        </w:rPr>
        <w:t>Finding quot</w:t>
      </w:r>
      <w:r w:rsidR="00832BBE">
        <w:rPr>
          <w:i/>
          <w:iCs/>
        </w:rPr>
        <w:t>ation</w:t>
      </w:r>
      <w:r w:rsidRPr="004E2EE8">
        <w:rPr>
          <w:i/>
          <w:iCs/>
        </w:rPr>
        <w:t>s</w:t>
      </w:r>
    </w:p>
    <w:p w14:paraId="40A663E6" w14:textId="440CE51B" w:rsidR="006454D7" w:rsidRDefault="00FA1A06" w:rsidP="000E3B27">
      <w:pPr>
        <w:spacing w:line="360" w:lineRule="auto"/>
      </w:pPr>
      <w:r>
        <w:lastRenderedPageBreak/>
        <w:t>Bible exegetes</w:t>
      </w:r>
      <w:r w:rsidR="005611F4">
        <w:t xml:space="preserve"> </w:t>
      </w:r>
      <w:r>
        <w:t xml:space="preserve">in France and Ashkenaz often used and quoted </w:t>
      </w:r>
      <w:r w:rsidR="00593B1F">
        <w:t>Kara</w:t>
      </w:r>
      <w:r w:rsidR="006B7AB4">
        <w:t>’</w:t>
      </w:r>
      <w:r>
        <w:t>s commentary. These include commentaries written by famous exegetes such as R. Shmuel b. Meir (</w:t>
      </w:r>
      <w:proofErr w:type="spellStart"/>
      <w:r>
        <w:t>Rashbam</w:t>
      </w:r>
      <w:proofErr w:type="spellEnd"/>
      <w:r>
        <w:t>)</w:t>
      </w:r>
      <w:r>
        <w:rPr>
          <w:rStyle w:val="FootnoteReference"/>
        </w:rPr>
        <w:footnoteReference w:id="9"/>
      </w:r>
      <w:r>
        <w:t xml:space="preserve"> and R. Yosef </w:t>
      </w:r>
      <w:proofErr w:type="spellStart"/>
      <w:r>
        <w:t>Bechor</w:t>
      </w:r>
      <w:proofErr w:type="spellEnd"/>
      <w:r>
        <w:t xml:space="preserve"> Shor (</w:t>
      </w:r>
      <w:proofErr w:type="spellStart"/>
      <w:r w:rsidR="004A2CE2">
        <w:t>Ribash</w:t>
      </w:r>
      <w:proofErr w:type="spellEnd"/>
      <w:r>
        <w:t>),</w:t>
      </w:r>
      <w:r>
        <w:rPr>
          <w:rStyle w:val="FootnoteReference"/>
        </w:rPr>
        <w:footnoteReference w:id="10"/>
      </w:r>
      <w:r>
        <w:t xml:space="preserve"> as well as collections that include commentaries on the Torah based on earlier scholars from France and Ashkenaz.</w:t>
      </w:r>
      <w:r w:rsidR="007F04C0">
        <w:rPr>
          <w:rStyle w:val="FootnoteReference"/>
        </w:rPr>
        <w:footnoteReference w:id="11"/>
      </w:r>
      <w:r>
        <w:t xml:space="preserve"> These works – both printed and </w:t>
      </w:r>
      <w:r w:rsidR="00233810">
        <w:t xml:space="preserve">in </w:t>
      </w:r>
      <w:r>
        <w:t xml:space="preserve">manuscript – yielded dozens of remarks attributed to </w:t>
      </w:r>
      <w:r w:rsidR="00593B1F">
        <w:t>Kara</w:t>
      </w:r>
      <w:r>
        <w:t>.</w:t>
      </w:r>
    </w:p>
    <w:p w14:paraId="6DC7F216" w14:textId="1A3051B9" w:rsidR="007F04C0" w:rsidRDefault="007F04C0" w:rsidP="000E3B27">
      <w:pPr>
        <w:spacing w:line="360" w:lineRule="auto"/>
      </w:pPr>
      <w:r>
        <w:t xml:space="preserve">Geiger was the first to point out segments of </w:t>
      </w:r>
      <w:r w:rsidR="00593B1F">
        <w:t>Kara</w:t>
      </w:r>
      <w:r w:rsidR="006B7AB4">
        <w:t>’</w:t>
      </w:r>
      <w:r>
        <w:t xml:space="preserve">s commentaries in </w:t>
      </w:r>
      <w:r>
        <w:rPr>
          <w:i/>
          <w:iCs/>
        </w:rPr>
        <w:t xml:space="preserve">Nitey </w:t>
      </w:r>
      <w:proofErr w:type="spellStart"/>
      <w:r>
        <w:rPr>
          <w:i/>
          <w:iCs/>
        </w:rPr>
        <w:t>Naamanim</w:t>
      </w:r>
      <w:proofErr w:type="spellEnd"/>
      <w:r>
        <w:t xml:space="preserve"> and </w:t>
      </w:r>
      <w:proofErr w:type="spellStart"/>
      <w:r>
        <w:rPr>
          <w:i/>
          <w:iCs/>
        </w:rPr>
        <w:t>Parshandata</w:t>
      </w:r>
      <w:proofErr w:type="spellEnd"/>
      <w:r>
        <w:t>.</w:t>
      </w:r>
      <w:commentRangeStart w:id="8"/>
      <w:r>
        <w:rPr>
          <w:rStyle w:val="FootnoteReference"/>
        </w:rPr>
        <w:footnoteReference w:id="12"/>
      </w:r>
      <w:r w:rsidR="00BF32C8">
        <w:t xml:space="preserve"> </w:t>
      </w:r>
      <w:commentRangeEnd w:id="8"/>
      <w:r w:rsidR="00226C7B">
        <w:rPr>
          <w:rStyle w:val="CommentReference"/>
        </w:rPr>
        <w:commentReference w:id="8"/>
      </w:r>
      <w:r w:rsidR="00BF32C8">
        <w:t xml:space="preserve">Berliner collated and published nearly 90 such segments in his notebook, </w:t>
      </w:r>
      <w:r w:rsidR="00BF32C8">
        <w:rPr>
          <w:i/>
          <w:iCs/>
        </w:rPr>
        <w:t xml:space="preserve">Peletat </w:t>
      </w:r>
      <w:proofErr w:type="spellStart"/>
      <w:r w:rsidR="00BF32C8">
        <w:rPr>
          <w:i/>
          <w:iCs/>
        </w:rPr>
        <w:t>Soferim</w:t>
      </w:r>
      <w:proofErr w:type="spellEnd"/>
      <w:r w:rsidR="00BF32C8">
        <w:t>.</w:t>
      </w:r>
      <w:r w:rsidR="00BF32C8">
        <w:rPr>
          <w:rStyle w:val="FootnoteReference"/>
        </w:rPr>
        <w:footnoteReference w:id="13"/>
      </w:r>
      <w:r w:rsidR="00BF32C8">
        <w:t xml:space="preserve"> Poznanski added six segments to Berliner</w:t>
      </w:r>
      <w:r w:rsidR="006B7AB4">
        <w:t>’</w:t>
      </w:r>
      <w:r w:rsidR="00BF32C8">
        <w:t>s list.</w:t>
      </w:r>
      <w:r w:rsidR="00BF32C8">
        <w:rPr>
          <w:rStyle w:val="FootnoteReference"/>
        </w:rPr>
        <w:footnoteReference w:id="14"/>
      </w:r>
      <w:r w:rsidR="00BF32C8">
        <w:t xml:space="preserve"> </w:t>
      </w:r>
      <w:r w:rsidR="00B74306">
        <w:t xml:space="preserve">Mack and </w:t>
      </w:r>
      <w:proofErr w:type="spellStart"/>
      <w:r w:rsidR="00B74306">
        <w:t>Tzeitkin</w:t>
      </w:r>
      <w:proofErr w:type="spellEnd"/>
      <w:r w:rsidR="00B74306">
        <w:t xml:space="preserve"> discovered further sections</w:t>
      </w:r>
      <w:r w:rsidR="00BF32C8">
        <w:t>.</w:t>
      </w:r>
      <w:r w:rsidR="00BF32C8">
        <w:rPr>
          <w:rStyle w:val="FootnoteReference"/>
        </w:rPr>
        <w:footnoteReference w:id="15"/>
      </w:r>
    </w:p>
    <w:p w14:paraId="76D27D12" w14:textId="77777777" w:rsidR="007B0AB1" w:rsidRDefault="007B0AB1" w:rsidP="000E3B27">
      <w:pPr>
        <w:spacing w:line="360" w:lineRule="auto"/>
      </w:pPr>
    </w:p>
    <w:p w14:paraId="36D670CB" w14:textId="27D0F702" w:rsidR="007B0AB1" w:rsidRPr="004E2EE8" w:rsidRDefault="007B0AB1" w:rsidP="000E3B27">
      <w:pPr>
        <w:spacing w:line="360" w:lineRule="auto"/>
        <w:rPr>
          <w:i/>
          <w:iCs/>
        </w:rPr>
      </w:pPr>
      <w:r w:rsidRPr="004E2EE8">
        <w:rPr>
          <w:i/>
          <w:iCs/>
        </w:rPr>
        <w:t xml:space="preserve">Finding </w:t>
      </w:r>
      <w:r w:rsidR="00593B1F" w:rsidRPr="00593B1F">
        <w:rPr>
          <w:i/>
          <w:iCs/>
        </w:rPr>
        <w:t>Kara</w:t>
      </w:r>
      <w:r w:rsidR="00593B1F">
        <w:t xml:space="preserve"> </w:t>
      </w:r>
      <w:r w:rsidR="00982F73">
        <w:rPr>
          <w:i/>
          <w:iCs/>
        </w:rPr>
        <w:t>glosses</w:t>
      </w:r>
      <w:r w:rsidRPr="004E2EE8">
        <w:rPr>
          <w:i/>
          <w:iCs/>
        </w:rPr>
        <w:t xml:space="preserve"> on Rashi</w:t>
      </w:r>
      <w:r w:rsidR="006B7AB4">
        <w:rPr>
          <w:i/>
          <w:iCs/>
        </w:rPr>
        <w:t>’</w:t>
      </w:r>
      <w:r w:rsidRPr="004E2EE8">
        <w:rPr>
          <w:i/>
          <w:iCs/>
        </w:rPr>
        <w:t>s commentary on the Torah</w:t>
      </w:r>
    </w:p>
    <w:p w14:paraId="3FD415C7" w14:textId="744BEA5B" w:rsidR="007B0AB1" w:rsidRDefault="00A84D85" w:rsidP="000E3B27">
      <w:pPr>
        <w:spacing w:line="360" w:lineRule="auto"/>
      </w:pPr>
      <w:r>
        <w:t>The</w:t>
      </w:r>
      <w:r w:rsidR="00B13D1A">
        <w:t xml:space="preserve"> study of </w:t>
      </w:r>
      <w:r>
        <w:t xml:space="preserve">the </w:t>
      </w:r>
      <w:r w:rsidR="00B13D1A">
        <w:t>many manuscripts of Rashi</w:t>
      </w:r>
      <w:r w:rsidR="006B7AB4">
        <w:t>’</w:t>
      </w:r>
      <w:r w:rsidR="00B13D1A">
        <w:t xml:space="preserve">s commentary on the Torah yielded </w:t>
      </w:r>
      <w:r w:rsidR="00982F73">
        <w:t>glosses written</w:t>
      </w:r>
      <w:r w:rsidR="00B13D1A">
        <w:t xml:space="preserve"> by </w:t>
      </w:r>
      <w:r w:rsidR="00593B1F">
        <w:t>Kara</w:t>
      </w:r>
      <w:r w:rsidR="00B13D1A">
        <w:t xml:space="preserve">. These </w:t>
      </w:r>
      <w:r w:rsidR="00982F73">
        <w:t>glosses</w:t>
      </w:r>
      <w:r w:rsidR="00B13D1A">
        <w:t xml:space="preserve"> are sometimes found in the margins but are more often integrated within Rashi</w:t>
      </w:r>
      <w:r w:rsidR="006B7AB4">
        <w:t>’</w:t>
      </w:r>
      <w:r w:rsidR="00B13D1A">
        <w:t xml:space="preserve">s commentary. </w:t>
      </w:r>
      <w:r w:rsidR="00096630">
        <w:t>The identification is often</w:t>
      </w:r>
      <w:r w:rsidR="00B13D1A">
        <w:t xml:space="preserve"> based on an explicit attribution to </w:t>
      </w:r>
      <w:r w:rsidR="006B7AB4">
        <w:t>‘</w:t>
      </w:r>
      <w:r w:rsidR="00B13D1A">
        <w:t>R. Yosef bar Shimon</w:t>
      </w:r>
      <w:r w:rsidR="006B7AB4">
        <w:t>’</w:t>
      </w:r>
      <w:r w:rsidR="00B13D1A">
        <w:t xml:space="preserve"> or to </w:t>
      </w:r>
      <w:r w:rsidR="006B7AB4">
        <w:t>‘</w:t>
      </w:r>
      <w:r w:rsidR="00B13D1A">
        <w:t>R. Yosef Kara</w:t>
      </w:r>
      <w:proofErr w:type="gramStart"/>
      <w:r w:rsidR="006B7AB4">
        <w:t>’</w:t>
      </w:r>
      <w:r w:rsidR="00B13D1A">
        <w:t>.</w:t>
      </w:r>
      <w:proofErr w:type="gramEnd"/>
      <w:r w:rsidR="00B13D1A">
        <w:t xml:space="preserve"> Grossman noted that when R. </w:t>
      </w:r>
      <w:proofErr w:type="spellStart"/>
      <w:r w:rsidR="00B13D1A">
        <w:t>Shemaya</w:t>
      </w:r>
      <w:proofErr w:type="spellEnd"/>
      <w:r w:rsidR="00B13D1A">
        <w:t>, Rashi</w:t>
      </w:r>
      <w:r w:rsidR="006B7AB4">
        <w:t>’</w:t>
      </w:r>
      <w:r w:rsidR="00B13D1A">
        <w:t xml:space="preserve">s </w:t>
      </w:r>
      <w:r w:rsidR="006B7AB4">
        <w:t>‘</w:t>
      </w:r>
      <w:r w:rsidR="00B13D1A">
        <w:t>secretary</w:t>
      </w:r>
      <w:r w:rsidR="006B7AB4">
        <w:t>’</w:t>
      </w:r>
      <w:r w:rsidR="00B13D1A">
        <w:t>, copied his teacher</w:t>
      </w:r>
      <w:r w:rsidR="006B7AB4">
        <w:t>’</w:t>
      </w:r>
      <w:r w:rsidR="00B13D1A">
        <w:t xml:space="preserve">s writings, he added </w:t>
      </w:r>
      <w:r w:rsidR="00AE056D">
        <w:t>Kara</w:t>
      </w:r>
      <w:r w:rsidR="006B7AB4">
        <w:t>’</w:t>
      </w:r>
      <w:r w:rsidR="00B13D1A">
        <w:t xml:space="preserve">s </w:t>
      </w:r>
      <w:r w:rsidR="00982F73">
        <w:t>glosses</w:t>
      </w:r>
      <w:r w:rsidR="00B13D1A">
        <w:t>.</w:t>
      </w:r>
      <w:r w:rsidR="00B13D1A">
        <w:rPr>
          <w:rStyle w:val="FootnoteReference"/>
        </w:rPr>
        <w:footnoteReference w:id="16"/>
      </w:r>
      <w:r w:rsidR="00B13D1A">
        <w:t xml:space="preserve"> Most of these </w:t>
      </w:r>
      <w:r w:rsidR="00982F73">
        <w:t>glosses</w:t>
      </w:r>
      <w:r w:rsidR="00B13D1A">
        <w:t xml:space="preserve"> were collated into the </w:t>
      </w:r>
      <w:r w:rsidR="006B7AB4">
        <w:t>‘</w:t>
      </w:r>
      <w:r w:rsidR="00B13D1A">
        <w:t xml:space="preserve">Al </w:t>
      </w:r>
      <w:proofErr w:type="spellStart"/>
      <w:r w:rsidR="00B13D1A">
        <w:t>HaTorah</w:t>
      </w:r>
      <w:proofErr w:type="spellEnd"/>
      <w:r w:rsidR="006B7AB4">
        <w:t>’</w:t>
      </w:r>
      <w:r w:rsidR="00B13D1A">
        <w:t xml:space="preserve"> edition, ed</w:t>
      </w:r>
      <w:r w:rsidR="00A058D5">
        <w:t>ited by</w:t>
      </w:r>
      <w:r w:rsidR="00B13D1A">
        <w:t xml:space="preserve"> H</w:t>
      </w:r>
      <w:r w:rsidR="00A058D5">
        <w:t>illel</w:t>
      </w:r>
      <w:r w:rsidR="00B13D1A">
        <w:t xml:space="preserve"> </w:t>
      </w:r>
      <w:r w:rsidR="005A3139">
        <w:t>Novetsky</w:t>
      </w:r>
      <w:r w:rsidR="00B13D1A">
        <w:t>.</w:t>
      </w:r>
    </w:p>
    <w:p w14:paraId="1902302B" w14:textId="77777777" w:rsidR="00A058D5" w:rsidRDefault="00A058D5" w:rsidP="000E3B27">
      <w:pPr>
        <w:spacing w:line="360" w:lineRule="auto"/>
      </w:pPr>
    </w:p>
    <w:p w14:paraId="59E403A8" w14:textId="4CB0466B" w:rsidR="00A058D5" w:rsidRPr="004E2EE8" w:rsidRDefault="00A058D5" w:rsidP="000E3B27">
      <w:pPr>
        <w:spacing w:line="360" w:lineRule="auto"/>
        <w:rPr>
          <w:i/>
          <w:iCs/>
        </w:rPr>
      </w:pPr>
      <w:r w:rsidRPr="004E2EE8">
        <w:rPr>
          <w:i/>
          <w:iCs/>
        </w:rPr>
        <w:lastRenderedPageBreak/>
        <w:t xml:space="preserve">The European </w:t>
      </w:r>
      <w:proofErr w:type="spellStart"/>
      <w:r w:rsidRPr="004E2EE8">
        <w:rPr>
          <w:i/>
          <w:iCs/>
        </w:rPr>
        <w:t>geniza</w:t>
      </w:r>
      <w:proofErr w:type="spellEnd"/>
    </w:p>
    <w:p w14:paraId="52EB006B" w14:textId="6B404C3C" w:rsidR="00A058D5" w:rsidRDefault="00A058D5" w:rsidP="000E3B27">
      <w:pPr>
        <w:spacing w:line="360" w:lineRule="auto"/>
      </w:pPr>
      <w:r>
        <w:t xml:space="preserve">As noted above, Grossman identified continuous sections of </w:t>
      </w:r>
      <w:r w:rsidR="00593B1F">
        <w:t>Kara</w:t>
      </w:r>
      <w:r w:rsidR="006B7AB4">
        <w:t>’</w:t>
      </w:r>
      <w:r>
        <w:t xml:space="preserve">s exegesis on the Torah (on Exodus and Deuteronomy) in manuscript fragments from the thirteenth century, found in the Italian </w:t>
      </w:r>
      <w:proofErr w:type="spellStart"/>
      <w:r>
        <w:rPr>
          <w:i/>
          <w:iCs/>
        </w:rPr>
        <w:t>geniza</w:t>
      </w:r>
      <w:proofErr w:type="spellEnd"/>
      <w:r>
        <w:t>, that point to a continuous and systematic commentary.</w:t>
      </w:r>
      <w:r>
        <w:rPr>
          <w:rStyle w:val="FootnoteReference"/>
        </w:rPr>
        <w:footnoteReference w:id="17"/>
      </w:r>
      <w:r>
        <w:t xml:space="preserve"> There is also a section that includes a collection of individual </w:t>
      </w:r>
      <w:r w:rsidR="001E2246">
        <w:t>glosses on</w:t>
      </w:r>
      <w:r>
        <w:t xml:space="preserve"> verses from each of the five books of the Torah. These sections, too, were published in full in Hillel </w:t>
      </w:r>
      <w:r w:rsidR="005A3139">
        <w:t>Novetsky</w:t>
      </w:r>
      <w:r w:rsidR="006B7AB4">
        <w:t>’</w:t>
      </w:r>
      <w:r>
        <w:t xml:space="preserve">s </w:t>
      </w:r>
      <w:r w:rsidR="006B7AB4">
        <w:t>‘</w:t>
      </w:r>
      <w:r>
        <w:t xml:space="preserve">Al </w:t>
      </w:r>
      <w:proofErr w:type="spellStart"/>
      <w:r>
        <w:t>HaTorah</w:t>
      </w:r>
      <w:proofErr w:type="spellEnd"/>
      <w:r w:rsidR="006B7AB4">
        <w:t>’</w:t>
      </w:r>
      <w:r>
        <w:t xml:space="preserve"> edition.</w:t>
      </w:r>
    </w:p>
    <w:p w14:paraId="5CB0EEDA" w14:textId="06FB0110" w:rsidR="005B27C3" w:rsidRDefault="0038797B" w:rsidP="000E3B27">
      <w:pPr>
        <w:spacing w:line="360" w:lineRule="auto"/>
      </w:pPr>
      <w:r>
        <w:t xml:space="preserve">Given the importance of the commentary, each additional section that can be identified as </w:t>
      </w:r>
      <w:r w:rsidR="00593B1F">
        <w:t>Kara</w:t>
      </w:r>
      <w:r w:rsidR="006B7AB4">
        <w:t>’</w:t>
      </w:r>
      <w:r>
        <w:t xml:space="preserve">s is significant. In this paper, I wish to cautiously propose another method of uncovering </w:t>
      </w:r>
      <w:r w:rsidR="00593B1F">
        <w:t>Kara</w:t>
      </w:r>
      <w:r w:rsidR="006B7AB4">
        <w:t>’</w:t>
      </w:r>
      <w:r>
        <w:t xml:space="preserve">s lost commentary: Identifying </w:t>
      </w:r>
      <w:r w:rsidR="00982F73">
        <w:t>glosses</w:t>
      </w:r>
      <w:r>
        <w:t xml:space="preserve"> quoted in </w:t>
      </w:r>
      <w:r w:rsidR="00096630">
        <w:t>R. Hizkiya bar Manoach</w:t>
      </w:r>
      <w:r w:rsidR="00096630">
        <w:t>’s</w:t>
      </w:r>
      <w:r w:rsidR="00096630">
        <w:t xml:space="preserve"> </w:t>
      </w:r>
      <w:r>
        <w:t>commentary on the Torah</w:t>
      </w:r>
      <w:r w:rsidR="00096630">
        <w:t xml:space="preserve"> </w:t>
      </w:r>
      <w:r w:rsidR="00096630">
        <w:t>(</w:t>
      </w:r>
      <w:proofErr w:type="spellStart"/>
      <w:r w:rsidR="00096630">
        <w:t>Hizkuni</w:t>
      </w:r>
      <w:proofErr w:type="spellEnd"/>
      <w:r w:rsidR="00096630">
        <w:t>)</w:t>
      </w:r>
      <w:r>
        <w:t xml:space="preserve"> based on literary principles and </w:t>
      </w:r>
      <w:r w:rsidR="00593B1F">
        <w:t>Kara</w:t>
      </w:r>
      <w:r w:rsidR="006B7AB4">
        <w:t>’</w:t>
      </w:r>
      <w:r>
        <w:t>s unique linguistic forms.</w:t>
      </w:r>
    </w:p>
    <w:p w14:paraId="3BEBB552" w14:textId="589ABEA3" w:rsidR="0038797B" w:rsidRPr="0038797B" w:rsidRDefault="0038797B" w:rsidP="000E3B27">
      <w:pPr>
        <w:spacing w:line="360" w:lineRule="auto"/>
        <w:rPr>
          <w:rtl/>
        </w:rPr>
      </w:pPr>
      <w:proofErr w:type="spellStart"/>
      <w:r>
        <w:t>Hizkuni</w:t>
      </w:r>
      <w:r w:rsidR="006B7AB4">
        <w:t>’</w:t>
      </w:r>
      <w:r>
        <w:t>s</w:t>
      </w:r>
      <w:proofErr w:type="spellEnd"/>
      <w:r>
        <w:t xml:space="preserve"> commentary is an anthology </w:t>
      </w:r>
      <w:r w:rsidR="00040698">
        <w:t>comprising</w:t>
      </w:r>
      <w:r>
        <w:t xml:space="preserve"> commentaries from northern France, such as Rashi, </w:t>
      </w:r>
      <w:r w:rsidR="00593B1F">
        <w:t>Kara</w:t>
      </w:r>
      <w:r>
        <w:t xml:space="preserve">, </w:t>
      </w:r>
      <w:proofErr w:type="spellStart"/>
      <w:r>
        <w:t>Rashbam</w:t>
      </w:r>
      <w:proofErr w:type="spellEnd"/>
      <w:r>
        <w:t xml:space="preserve">, </w:t>
      </w:r>
      <w:proofErr w:type="spellStart"/>
      <w:r w:rsidR="004A2CE2">
        <w:t>Ribash</w:t>
      </w:r>
      <w:proofErr w:type="spellEnd"/>
      <w:r>
        <w:t xml:space="preserve">, </w:t>
      </w:r>
      <w:r>
        <w:rPr>
          <w:i/>
          <w:iCs/>
        </w:rPr>
        <w:t>Sefer Hagan</w:t>
      </w:r>
      <w:r>
        <w:t>, and more. In his introduction, the author declares that he uses many works for his commentary but does not quote any of his sources by name (except when he refers to Rashi</w:t>
      </w:r>
      <w:r w:rsidR="006B7AB4">
        <w:t>’</w:t>
      </w:r>
      <w:r>
        <w:t>s commentary).</w:t>
      </w:r>
      <w:r w:rsidR="00CB7221">
        <w:rPr>
          <w:rStyle w:val="FootnoteReference"/>
        </w:rPr>
        <w:footnoteReference w:id="18"/>
      </w:r>
    </w:p>
    <w:p w14:paraId="4F6D05B2" w14:textId="0084456B" w:rsidR="00AD3A72" w:rsidRDefault="001F634F" w:rsidP="00AD3A72">
      <w:pPr>
        <w:spacing w:line="360" w:lineRule="auto"/>
      </w:pPr>
      <w:r>
        <w:t xml:space="preserve">Scholars have already used </w:t>
      </w:r>
      <w:proofErr w:type="spellStart"/>
      <w:r>
        <w:t>Hizkuni</w:t>
      </w:r>
      <w:r w:rsidR="006B7AB4">
        <w:t>’</w:t>
      </w:r>
      <w:r>
        <w:t>s</w:t>
      </w:r>
      <w:proofErr w:type="spellEnd"/>
      <w:r>
        <w:t xml:space="preserve"> commentary to correct their versions of extant commentaries: Porges proposed corrections to </w:t>
      </w:r>
      <w:proofErr w:type="spellStart"/>
      <w:r>
        <w:t>Rashbam</w:t>
      </w:r>
      <w:r w:rsidR="006B7AB4">
        <w:t>’</w:t>
      </w:r>
      <w:r>
        <w:t>s</w:t>
      </w:r>
      <w:proofErr w:type="spellEnd"/>
      <w:r>
        <w:t xml:space="preserve"> commentary based on </w:t>
      </w:r>
      <w:proofErr w:type="spellStart"/>
      <w:r>
        <w:t>Hizkuni</w:t>
      </w:r>
      <w:r w:rsidR="006B7AB4">
        <w:t>’</w:t>
      </w:r>
      <w:r>
        <w:t>s</w:t>
      </w:r>
      <w:proofErr w:type="spellEnd"/>
      <w:r>
        <w:t xml:space="preserve"> commentary.</w:t>
      </w:r>
      <w:r>
        <w:rPr>
          <w:rStyle w:val="FootnoteReference"/>
        </w:rPr>
        <w:footnoteReference w:id="19"/>
      </w:r>
      <w:r>
        <w:t xml:space="preserve"> Kislev dedicated an extensive study to this issue and suggested that the extant </w:t>
      </w:r>
      <w:proofErr w:type="spellStart"/>
      <w:r>
        <w:t>Hizkuni</w:t>
      </w:r>
      <w:proofErr w:type="spellEnd"/>
      <w:r>
        <w:t xml:space="preserve"> texts could help improve the </w:t>
      </w:r>
      <w:r w:rsidR="009C36B0">
        <w:t>text</w:t>
      </w:r>
      <w:r>
        <w:t xml:space="preserve"> of </w:t>
      </w:r>
      <w:proofErr w:type="spellStart"/>
      <w:r>
        <w:t>Rashbam</w:t>
      </w:r>
      <w:r w:rsidR="006B7AB4">
        <w:t>’</w:t>
      </w:r>
      <w:r>
        <w:t>s</w:t>
      </w:r>
      <w:proofErr w:type="spellEnd"/>
      <w:r>
        <w:t xml:space="preserve"> commentary. He demonstrated this </w:t>
      </w:r>
      <w:r w:rsidR="00833713">
        <w:t>with</w:t>
      </w:r>
      <w:r>
        <w:t xml:space="preserve"> </w:t>
      </w:r>
      <w:r w:rsidR="00C74613">
        <w:t>several</w:t>
      </w:r>
      <w:r>
        <w:t xml:space="preserve"> linguistic corrections and </w:t>
      </w:r>
      <w:r w:rsidR="00AD2C55">
        <w:t xml:space="preserve">the </w:t>
      </w:r>
      <w:r>
        <w:t>completi</w:t>
      </w:r>
      <w:r w:rsidR="00AD2C55">
        <w:t>on of</w:t>
      </w:r>
      <w:r>
        <w:t xml:space="preserve"> extant </w:t>
      </w:r>
      <w:r w:rsidR="00676982">
        <w:t xml:space="preserve">commentaries </w:t>
      </w:r>
      <w:r w:rsidR="00833713">
        <w:t>in the</w:t>
      </w:r>
      <w:r w:rsidR="00676982">
        <w:t xml:space="preserve"> extant </w:t>
      </w:r>
      <w:proofErr w:type="spellStart"/>
      <w:r w:rsidR="00676982">
        <w:t>Rashbam</w:t>
      </w:r>
      <w:proofErr w:type="spellEnd"/>
      <w:r w:rsidR="00676982">
        <w:t xml:space="preserve"> version.</w:t>
      </w:r>
      <w:r w:rsidR="00676982">
        <w:rPr>
          <w:rStyle w:val="FootnoteReference"/>
        </w:rPr>
        <w:footnoteReference w:id="20"/>
      </w:r>
      <w:r w:rsidR="00676982">
        <w:t xml:space="preserve"> In his comprehensive study on reconstructing lost </w:t>
      </w:r>
      <w:proofErr w:type="spellStart"/>
      <w:r w:rsidR="00676982">
        <w:t>Rashbam</w:t>
      </w:r>
      <w:proofErr w:type="spellEnd"/>
      <w:r w:rsidR="00676982">
        <w:t xml:space="preserve"> </w:t>
      </w:r>
      <w:r w:rsidR="00676982">
        <w:lastRenderedPageBreak/>
        <w:t xml:space="preserve">commentaries, </w:t>
      </w:r>
      <w:r w:rsidR="005A3139">
        <w:t>Novetsky</w:t>
      </w:r>
      <w:r w:rsidR="00676982">
        <w:t xml:space="preserve"> went so far as to use </w:t>
      </w:r>
      <w:proofErr w:type="spellStart"/>
      <w:r w:rsidR="00676982">
        <w:t>Hizkuni</w:t>
      </w:r>
      <w:r w:rsidR="006B7AB4">
        <w:t>’</w:t>
      </w:r>
      <w:r w:rsidR="00676982">
        <w:t>s</w:t>
      </w:r>
      <w:proofErr w:type="spellEnd"/>
      <w:r w:rsidR="00676982">
        <w:t xml:space="preserve"> commentary to reconstruct lost sections of </w:t>
      </w:r>
      <w:proofErr w:type="spellStart"/>
      <w:r w:rsidR="00676982">
        <w:t>Rashbam</w:t>
      </w:r>
      <w:r w:rsidR="006B7AB4">
        <w:t>’</w:t>
      </w:r>
      <w:r w:rsidR="00676982">
        <w:t>s</w:t>
      </w:r>
      <w:proofErr w:type="spellEnd"/>
      <w:r w:rsidR="00676982">
        <w:t xml:space="preserve"> commentary on Genesis 2-17.</w:t>
      </w:r>
      <w:r w:rsidR="00676982">
        <w:rPr>
          <w:rStyle w:val="FootnoteReference"/>
        </w:rPr>
        <w:footnoteReference w:id="21"/>
      </w:r>
    </w:p>
    <w:p w14:paraId="45A7C89C" w14:textId="2ADD5A29" w:rsidR="00AD3A72" w:rsidRDefault="00AD3A72" w:rsidP="00AD3A72">
      <w:pPr>
        <w:spacing w:line="360" w:lineRule="auto"/>
      </w:pPr>
      <w:r>
        <w:t xml:space="preserve">Elsewhere, </w:t>
      </w:r>
      <w:r w:rsidR="005A3139">
        <w:t>Novetsky</w:t>
      </w:r>
      <w:r>
        <w:t xml:space="preserve"> pointed to commentaries </w:t>
      </w:r>
      <w:r w:rsidR="009402C0">
        <w:t xml:space="preserve">integrated into </w:t>
      </w:r>
      <w:proofErr w:type="spellStart"/>
      <w:r w:rsidR="009402C0">
        <w:t>Hizkuni’s</w:t>
      </w:r>
      <w:proofErr w:type="spellEnd"/>
      <w:r w:rsidR="009402C0">
        <w:t xml:space="preserve"> commentary that can be </w:t>
      </w:r>
      <w:r>
        <w:t xml:space="preserve">identified as </w:t>
      </w:r>
      <w:r w:rsidR="001348F6">
        <w:t>Kara</w:t>
      </w:r>
      <w:r w:rsidR="006B7AB4">
        <w:t>’</w:t>
      </w:r>
      <w:r>
        <w:t xml:space="preserve">s </w:t>
      </w:r>
      <w:r w:rsidR="009D410A">
        <w:t>using</w:t>
      </w:r>
      <w:r>
        <w:t xml:space="preserve"> the</w:t>
      </w:r>
      <w:r w:rsidR="009D410A">
        <w:t xml:space="preserve">se </w:t>
      </w:r>
      <w:r>
        <w:t xml:space="preserve">methods. </w:t>
      </w:r>
      <w:r w:rsidR="005A3139">
        <w:t>Novetsky</w:t>
      </w:r>
      <w:r>
        <w:t xml:space="preserve"> proposed using this information for two purposes: Reconstructing and improving known commentaries </w:t>
      </w:r>
      <w:r w:rsidR="003B0FCC">
        <w:t>by</w:t>
      </w:r>
      <w:r>
        <w:t xml:space="preserve"> </w:t>
      </w:r>
      <w:r w:rsidR="001348F6">
        <w:t>Kara</w:t>
      </w:r>
      <w:r>
        <w:t xml:space="preserve"> and reconstructing </w:t>
      </w:r>
      <w:r w:rsidR="001348F6">
        <w:t>Kara</w:t>
      </w:r>
      <w:r w:rsidR="006B7AB4">
        <w:t>’</w:t>
      </w:r>
      <w:r>
        <w:t>s commentaries</w:t>
      </w:r>
      <w:r w:rsidR="00A6094D">
        <w:t>,</w:t>
      </w:r>
      <w:r>
        <w:t xml:space="preserve"> </w:t>
      </w:r>
      <w:r w:rsidR="003209FB">
        <w:t>which</w:t>
      </w:r>
      <w:r>
        <w:t xml:space="preserve"> did not survive at all. He offered two cases that </w:t>
      </w:r>
      <w:r w:rsidR="00A83BF6">
        <w:t>exemplify</w:t>
      </w:r>
      <w:r>
        <w:t xml:space="preserve"> the first goal,</w:t>
      </w:r>
      <w:r>
        <w:rPr>
          <w:rStyle w:val="FootnoteReference"/>
        </w:rPr>
        <w:footnoteReference w:id="22"/>
      </w:r>
      <w:r>
        <w:t xml:space="preserve"> but I </w:t>
      </w:r>
      <w:r w:rsidR="00FE582F">
        <w:t xml:space="preserve">am </w:t>
      </w:r>
      <w:r w:rsidR="00A6094D">
        <w:t>un</w:t>
      </w:r>
      <w:r w:rsidR="00FE582F">
        <w:t xml:space="preserve">aware of a case where he reconstructed a </w:t>
      </w:r>
      <w:r w:rsidR="00222C9B">
        <w:t xml:space="preserve">lost </w:t>
      </w:r>
      <w:r w:rsidR="00FE582F">
        <w:t>gloss by</w:t>
      </w:r>
      <w:r>
        <w:t xml:space="preserve"> </w:t>
      </w:r>
      <w:r w:rsidR="001348F6">
        <w:t>Kara</w:t>
      </w:r>
      <w:r w:rsidR="006B7AB4">
        <w:t>’</w:t>
      </w:r>
      <w:r>
        <w:t>s.</w:t>
      </w:r>
    </w:p>
    <w:p w14:paraId="4EADC0EF" w14:textId="2EA42B20" w:rsidR="00676982" w:rsidRDefault="00C92F1D" w:rsidP="000E3B27">
      <w:pPr>
        <w:spacing w:line="360" w:lineRule="auto"/>
      </w:pPr>
      <w:r>
        <w:t xml:space="preserve">The abovementioned scholars suggested using what we have of </w:t>
      </w:r>
      <w:proofErr w:type="spellStart"/>
      <w:r>
        <w:t>Hizkuni</w:t>
      </w:r>
      <w:proofErr w:type="spellEnd"/>
      <w:r>
        <w:t xml:space="preserve"> to clarify, amend, and improve the extant versions of commentary, but they did not propose reconstructing </w:t>
      </w:r>
      <w:r w:rsidR="006B7AB4">
        <w:t>‘</w:t>
      </w:r>
      <w:r>
        <w:t>new</w:t>
      </w:r>
      <w:r w:rsidR="006B7AB4">
        <w:t>’</w:t>
      </w:r>
      <w:r>
        <w:t xml:space="preserve"> commentaries that have yet to be identified (except </w:t>
      </w:r>
      <w:r w:rsidR="005A3139">
        <w:t>Novetsky</w:t>
      </w:r>
      <w:r w:rsidR="006B7AB4">
        <w:t>’</w:t>
      </w:r>
      <w:r>
        <w:t xml:space="preserve">s reconstruction of </w:t>
      </w:r>
      <w:proofErr w:type="spellStart"/>
      <w:r>
        <w:t>Rashbam</w:t>
      </w:r>
      <w:r w:rsidR="006B7AB4">
        <w:t>’</w:t>
      </w:r>
      <w:r>
        <w:t>s</w:t>
      </w:r>
      <w:proofErr w:type="spellEnd"/>
      <w:r>
        <w:t xml:space="preserve"> commentary).</w:t>
      </w:r>
    </w:p>
    <w:p w14:paraId="0A169DC1" w14:textId="08D8A559" w:rsidR="00C92F1D" w:rsidRDefault="00C92F1D" w:rsidP="000E3B27">
      <w:pPr>
        <w:spacing w:line="360" w:lineRule="auto"/>
      </w:pPr>
      <w:r>
        <w:t xml:space="preserve">I wish to take this a step further and try to reconstruct complete </w:t>
      </w:r>
      <w:r w:rsidR="000306B1">
        <w:t>glosses</w:t>
      </w:r>
      <w:r>
        <w:t xml:space="preserve"> of </w:t>
      </w:r>
      <w:r w:rsidR="00BF40AA">
        <w:t>Kara</w:t>
      </w:r>
      <w:r w:rsidR="00664DB6">
        <w:t>,</w:t>
      </w:r>
      <w:r>
        <w:t xml:space="preserve"> even in places where he is not named. I claim that places where </w:t>
      </w:r>
      <w:proofErr w:type="spellStart"/>
      <w:r>
        <w:t>Hizkuni</w:t>
      </w:r>
      <w:proofErr w:type="spellEnd"/>
      <w:r>
        <w:t xml:space="preserve"> uses linguistic forms that are characteristic </w:t>
      </w:r>
      <w:r w:rsidR="00664DB6">
        <w:t xml:space="preserve">only </w:t>
      </w:r>
      <w:r>
        <w:t xml:space="preserve">of </w:t>
      </w:r>
      <w:r w:rsidR="001348F6">
        <w:t xml:space="preserve">Kara </w:t>
      </w:r>
      <w:r>
        <w:t>and not found in the commentaries of other French exegetes</w:t>
      </w:r>
      <w:r w:rsidR="00664DB6">
        <w:t>,</w:t>
      </w:r>
      <w:r>
        <w:t xml:space="preserve"> such as </w:t>
      </w:r>
      <w:proofErr w:type="spellStart"/>
      <w:r>
        <w:t>Rashbam</w:t>
      </w:r>
      <w:proofErr w:type="spellEnd"/>
      <w:r>
        <w:t xml:space="preserve">, </w:t>
      </w:r>
      <w:proofErr w:type="spellStart"/>
      <w:r>
        <w:t>Ri</w:t>
      </w:r>
      <w:r w:rsidR="00AA7047">
        <w:t>b</w:t>
      </w:r>
      <w:r>
        <w:t>ash</w:t>
      </w:r>
      <w:proofErr w:type="spellEnd"/>
      <w:r>
        <w:t>, and others, can be reasonably viewed</w:t>
      </w:r>
      <w:r w:rsidR="00726D00">
        <w:t xml:space="preserve"> as a quote or a reworking of a commentary that was originally </w:t>
      </w:r>
      <w:r w:rsidR="00DF0286">
        <w:t>Kara</w:t>
      </w:r>
      <w:r w:rsidR="006B7AB4">
        <w:t>’</w:t>
      </w:r>
      <w:r w:rsidR="00726D00">
        <w:t xml:space="preserve">s. I will demonstrate this using a central literary principle </w:t>
      </w:r>
      <w:r w:rsidR="004741F7">
        <w:t>formulated</w:t>
      </w:r>
      <w:r w:rsidR="00726D00">
        <w:t xml:space="preserve"> by northern France </w:t>
      </w:r>
      <w:proofErr w:type="spellStart"/>
      <w:r w:rsidR="001B0B0C" w:rsidRPr="001B0B0C">
        <w:rPr>
          <w:i/>
          <w:iCs/>
        </w:rPr>
        <w:t>peshat</w:t>
      </w:r>
      <w:proofErr w:type="spellEnd"/>
      <w:r w:rsidR="00726D00">
        <w:rPr>
          <w:i/>
          <w:iCs/>
        </w:rPr>
        <w:t xml:space="preserve"> </w:t>
      </w:r>
      <w:r w:rsidR="00726D00">
        <w:t xml:space="preserve">exegetes, </w:t>
      </w:r>
      <w:r w:rsidR="006B7AB4">
        <w:t>‘</w:t>
      </w:r>
      <w:r w:rsidR="00726D00">
        <w:t>the anticipatory principle</w:t>
      </w:r>
      <w:proofErr w:type="gramStart"/>
      <w:r w:rsidR="006B7AB4">
        <w:t>’</w:t>
      </w:r>
      <w:r w:rsidR="00726D00">
        <w:t>.</w:t>
      </w:r>
      <w:proofErr w:type="gramEnd"/>
    </w:p>
    <w:p w14:paraId="77B93D3C" w14:textId="77777777" w:rsidR="004E2EE8" w:rsidRDefault="004E2EE8" w:rsidP="000E3B27">
      <w:pPr>
        <w:spacing w:line="360" w:lineRule="auto"/>
      </w:pPr>
    </w:p>
    <w:p w14:paraId="79916FAE" w14:textId="19A55F9A" w:rsidR="004E2EE8" w:rsidRDefault="004E2EE8" w:rsidP="000E3B27">
      <w:pPr>
        <w:spacing w:line="360" w:lineRule="auto"/>
      </w:pPr>
      <w:r>
        <w:rPr>
          <w:b/>
          <w:bCs/>
        </w:rPr>
        <w:t xml:space="preserve">The anticipatory principle in northern French </w:t>
      </w:r>
      <w:proofErr w:type="spellStart"/>
      <w:r w:rsidR="001B0B0C" w:rsidRPr="001B0B0C">
        <w:rPr>
          <w:b/>
          <w:bCs/>
          <w:i/>
          <w:iCs/>
        </w:rPr>
        <w:t>peshat</w:t>
      </w:r>
      <w:proofErr w:type="spellEnd"/>
      <w:r>
        <w:rPr>
          <w:b/>
          <w:bCs/>
        </w:rPr>
        <w:t xml:space="preserve"> exegesis</w:t>
      </w:r>
    </w:p>
    <w:p w14:paraId="05FD45F3" w14:textId="4C0D2CF3" w:rsidR="004E2EE8" w:rsidRDefault="004B535E" w:rsidP="000E3B27">
      <w:pPr>
        <w:spacing w:line="360" w:lineRule="auto"/>
      </w:pPr>
      <w:r>
        <w:t xml:space="preserve">The </w:t>
      </w:r>
      <w:r w:rsidR="006B7AB4">
        <w:t>‘</w:t>
      </w:r>
      <w:r>
        <w:t>anticipatory principle</w:t>
      </w:r>
      <w:r w:rsidR="006B7AB4">
        <w:t>’</w:t>
      </w:r>
      <w:r>
        <w:t xml:space="preserve"> is one of the important </w:t>
      </w:r>
      <w:r w:rsidR="00415685">
        <w:t xml:space="preserve">literary </w:t>
      </w:r>
      <w:r>
        <w:t xml:space="preserve">principles </w:t>
      </w:r>
      <w:r w:rsidR="007A4D13">
        <w:t>formulated</w:t>
      </w:r>
      <w:r>
        <w:t xml:space="preserve"> by </w:t>
      </w:r>
      <w:proofErr w:type="spellStart"/>
      <w:r w:rsidR="001B0B0C" w:rsidRPr="001B0B0C">
        <w:rPr>
          <w:i/>
          <w:iCs/>
        </w:rPr>
        <w:t>peshat</w:t>
      </w:r>
      <w:proofErr w:type="spellEnd"/>
      <w:r>
        <w:t xml:space="preserve"> exegetes in medieval northern France. Over the past few years, several studies have been dedicated to examining </w:t>
      </w:r>
      <w:r w:rsidR="002151C3">
        <w:t>it</w:t>
      </w:r>
      <w:r>
        <w:t xml:space="preserve"> and the </w:t>
      </w:r>
      <w:r w:rsidR="002151C3">
        <w:t>scope</w:t>
      </w:r>
      <w:r>
        <w:t xml:space="preserve"> of its usage.</w:t>
      </w:r>
      <w:r>
        <w:rPr>
          <w:rStyle w:val="FootnoteReference"/>
        </w:rPr>
        <w:footnoteReference w:id="23"/>
      </w:r>
      <w:r>
        <w:t xml:space="preserve"> This principle is primarily connected to </w:t>
      </w:r>
      <w:proofErr w:type="spellStart"/>
      <w:r>
        <w:t>Rashbam</w:t>
      </w:r>
      <w:proofErr w:type="spellEnd"/>
      <w:r>
        <w:t xml:space="preserve">, who defined it </w:t>
      </w:r>
      <w:r w:rsidR="005802E6">
        <w:t xml:space="preserve">already </w:t>
      </w:r>
      <w:r>
        <w:t xml:space="preserve">in his first </w:t>
      </w:r>
      <w:r w:rsidR="005802E6">
        <w:t>gloss</w:t>
      </w:r>
      <w:r>
        <w:t xml:space="preserve"> on the Torah (Gen. 1:1):</w:t>
      </w:r>
    </w:p>
    <w:p w14:paraId="07F837D1" w14:textId="35349468" w:rsidR="004B535E" w:rsidRDefault="004B535E" w:rsidP="000E2C95">
      <w:pPr>
        <w:bidi/>
        <w:spacing w:line="360" w:lineRule="auto"/>
        <w:ind w:left="720" w:right="720"/>
      </w:pPr>
      <w:r w:rsidRPr="004B535E">
        <w:rPr>
          <w:rtl/>
        </w:rPr>
        <w:lastRenderedPageBreak/>
        <w:t>אך זה הוא עיקר פשוטו לפי דרך המקראות, שרגיל להקדים ולפרש דבר שאין צריך בשביל דבר הנזכר לפניו במקום אחר[…] שלא תתמה</w:t>
      </w:r>
      <w:r w:rsidR="00F921AE">
        <w:rPr>
          <w:rFonts w:hint="cs"/>
          <w:rtl/>
        </w:rPr>
        <w:t>.</w:t>
      </w:r>
    </w:p>
    <w:p w14:paraId="62441CCB" w14:textId="75423569" w:rsidR="000E2C95" w:rsidRDefault="000E2C95" w:rsidP="000E2C95">
      <w:pPr>
        <w:spacing w:line="360" w:lineRule="auto"/>
        <w:ind w:left="720" w:right="720"/>
      </w:pPr>
      <w:r w:rsidRPr="000E2C95">
        <w:t>Th</w:t>
      </w:r>
      <w:r w:rsidR="00426B9D">
        <w:t>is is</w:t>
      </w:r>
      <w:r w:rsidR="002C6D12">
        <w:t xml:space="preserve"> the core</w:t>
      </w:r>
      <w:r w:rsidRPr="000E2C95">
        <w:t xml:space="preserve"> plain meaning </w:t>
      </w:r>
      <w:r w:rsidR="002C6D12">
        <w:t>[</w:t>
      </w:r>
      <w:r w:rsidRPr="000E2C95">
        <w:t>of the text</w:t>
      </w:r>
      <w:r w:rsidR="002C6D12">
        <w:t>]</w:t>
      </w:r>
      <w:r w:rsidRPr="000E2C95">
        <w:t xml:space="preserve">, </w:t>
      </w:r>
      <w:r w:rsidR="00675E4F">
        <w:t xml:space="preserve">according to </w:t>
      </w:r>
      <w:r w:rsidR="00DD5AD0">
        <w:t>the way of the biblical narrative</w:t>
      </w:r>
      <w:r w:rsidRPr="000E2C95">
        <w:t xml:space="preserve">, that something may be </w:t>
      </w:r>
      <w:r w:rsidR="006F66C3">
        <w:t>explained</w:t>
      </w:r>
      <w:r w:rsidRPr="000E2C95">
        <w:t xml:space="preserve"> in one </w:t>
      </w:r>
      <w:r w:rsidR="006F66C3">
        <w:t xml:space="preserve">place, where it is </w:t>
      </w:r>
      <w:r w:rsidR="00DD5AD0">
        <w:t>un</w:t>
      </w:r>
      <w:r w:rsidR="006F66C3">
        <w:t>necessary, for something that</w:t>
      </w:r>
      <w:r w:rsidRPr="000E2C95">
        <w:t xml:space="preserve"> is mentioned at a later stage</w:t>
      </w:r>
      <w:r>
        <w:t xml:space="preserve"> [...] </w:t>
      </w:r>
      <w:r w:rsidRPr="000E2C95">
        <w:t xml:space="preserve">so </w:t>
      </w:r>
      <w:r w:rsidR="00B31BD9">
        <w:t>that you [</w:t>
      </w:r>
      <w:r w:rsidRPr="000E2C95">
        <w:t>the reader</w:t>
      </w:r>
      <w:r w:rsidR="00B31BD9">
        <w:t>]</w:t>
      </w:r>
      <w:r w:rsidRPr="000E2C95">
        <w:t xml:space="preserve"> </w:t>
      </w:r>
      <w:r w:rsidR="00B31BD9">
        <w:t>do</w:t>
      </w:r>
      <w:r w:rsidRPr="000E2C95">
        <w:t xml:space="preserve"> </w:t>
      </w:r>
      <w:r>
        <w:t xml:space="preserve">not </w:t>
      </w:r>
      <w:r w:rsidR="00F921AE">
        <w:t>wonder</w:t>
      </w:r>
      <w:r>
        <w:t>.</w:t>
      </w:r>
    </w:p>
    <w:p w14:paraId="2B3AE600" w14:textId="4AAC2402" w:rsidR="000E2C95" w:rsidRDefault="006F66C3" w:rsidP="004E1831">
      <w:pPr>
        <w:spacing w:line="360" w:lineRule="auto"/>
      </w:pPr>
      <w:proofErr w:type="spellStart"/>
      <w:r>
        <w:t>Rashbam</w:t>
      </w:r>
      <w:proofErr w:type="spellEnd"/>
      <w:r>
        <w:t xml:space="preserve"> related here to the connection between two verses – an earlier one and a later one.</w:t>
      </w:r>
      <w:r>
        <w:rPr>
          <w:rStyle w:val="FootnoteReference"/>
        </w:rPr>
        <w:footnoteReference w:id="24"/>
      </w:r>
      <w:r>
        <w:t xml:space="preserve"> According to </w:t>
      </w:r>
      <w:r w:rsidR="001E2246">
        <w:t>t</w:t>
      </w:r>
      <w:r>
        <w:t xml:space="preserve">his </w:t>
      </w:r>
      <w:r w:rsidR="001E2246">
        <w:t>gloss</w:t>
      </w:r>
      <w:r>
        <w:t>, applying the anticipatory principle requires three conditions:</w:t>
      </w:r>
    </w:p>
    <w:p w14:paraId="31EBE19B" w14:textId="585C8021" w:rsidR="006F66C3" w:rsidRPr="006F66C3" w:rsidRDefault="006B7AB4" w:rsidP="006F66C3">
      <w:pPr>
        <w:pStyle w:val="ListParagraph"/>
        <w:numPr>
          <w:ilvl w:val="0"/>
          <w:numId w:val="2"/>
        </w:numPr>
        <w:spacing w:line="360" w:lineRule="auto"/>
        <w:ind w:right="720"/>
      </w:pPr>
      <w:r>
        <w:t>‘</w:t>
      </w:r>
      <w:r w:rsidR="00AF6BAE">
        <w:t>S</w:t>
      </w:r>
      <w:r w:rsidR="006F66C3">
        <w:t xml:space="preserve">omething may be explained in one place, where it is </w:t>
      </w:r>
      <w:r w:rsidR="00AF6BAE">
        <w:t>un</w:t>
      </w:r>
      <w:r w:rsidR="006F66C3">
        <w:t>necessary</w:t>
      </w:r>
      <w:r>
        <w:t>’</w:t>
      </w:r>
      <w:r w:rsidR="006F66C3">
        <w:t xml:space="preserve"> – The anticipatory verse is not necessary where it is mentioned</w:t>
      </w:r>
      <w:r w:rsidR="00AF6BAE">
        <w:t>;</w:t>
      </w:r>
      <w:r w:rsidR="006F66C3">
        <w:t xml:space="preserve"> it adds nothing within its current context.</w:t>
      </w:r>
    </w:p>
    <w:p w14:paraId="612196AB" w14:textId="6000B561" w:rsidR="006F66C3" w:rsidRDefault="006B7AB4" w:rsidP="006F66C3">
      <w:pPr>
        <w:pStyle w:val="ListParagraph"/>
        <w:numPr>
          <w:ilvl w:val="0"/>
          <w:numId w:val="2"/>
        </w:numPr>
        <w:spacing w:line="360" w:lineRule="auto"/>
        <w:ind w:right="720"/>
      </w:pPr>
      <w:r>
        <w:t>‘</w:t>
      </w:r>
      <w:r w:rsidR="006F66C3">
        <w:t xml:space="preserve">So </w:t>
      </w:r>
      <w:r w:rsidR="00B31BD9">
        <w:t>that you do</w:t>
      </w:r>
      <w:r w:rsidR="006F66C3">
        <w:t xml:space="preserve"> not </w:t>
      </w:r>
      <w:r w:rsidR="00F921AE">
        <w:t>wonder</w:t>
      </w:r>
      <w:r>
        <w:t>’</w:t>
      </w:r>
      <w:r w:rsidR="006F66C3">
        <w:t xml:space="preserve"> </w:t>
      </w:r>
      <w:r w:rsidR="004C64B8">
        <w:t>–</w:t>
      </w:r>
      <w:r w:rsidR="006F66C3">
        <w:t xml:space="preserve"> </w:t>
      </w:r>
      <w:r w:rsidR="004C64B8">
        <w:t>If the anticipatory verse w</w:t>
      </w:r>
      <w:r w:rsidR="00BD0332">
        <w:t>ere</w:t>
      </w:r>
      <w:r w:rsidR="004C64B8">
        <w:t xml:space="preserve"> missing, we would find it hard to understand the later, difficult verse.</w:t>
      </w:r>
    </w:p>
    <w:p w14:paraId="56E779C8" w14:textId="78F2B137" w:rsidR="004C64B8" w:rsidRDefault="006B7AB4" w:rsidP="006F66C3">
      <w:pPr>
        <w:pStyle w:val="ListParagraph"/>
        <w:numPr>
          <w:ilvl w:val="0"/>
          <w:numId w:val="2"/>
        </w:numPr>
        <w:spacing w:line="360" w:lineRule="auto"/>
        <w:ind w:right="720"/>
      </w:pPr>
      <w:r>
        <w:t>‘</w:t>
      </w:r>
      <w:r w:rsidR="004C64B8">
        <w:t>For something that is mentioned as having occurred at a later stage</w:t>
      </w:r>
      <w:r>
        <w:t>’</w:t>
      </w:r>
      <w:r w:rsidR="004C64B8">
        <w:t xml:space="preserve"> – The anticipatory verse solves the difficulty that arises in the later verse.</w:t>
      </w:r>
    </w:p>
    <w:p w14:paraId="31BC1157" w14:textId="41F31C2D" w:rsidR="004E1831" w:rsidRDefault="004E1831" w:rsidP="004E1831">
      <w:pPr>
        <w:spacing w:line="360" w:lineRule="auto"/>
      </w:pPr>
      <w:r>
        <w:t xml:space="preserve">Further on, </w:t>
      </w:r>
      <w:proofErr w:type="spellStart"/>
      <w:r>
        <w:t>Rashbam</w:t>
      </w:r>
      <w:proofErr w:type="spellEnd"/>
      <w:r>
        <w:t xml:space="preserve"> presents </w:t>
      </w:r>
      <w:r w:rsidR="00C20B48">
        <w:t>a</w:t>
      </w:r>
      <w:r>
        <w:t xml:space="preserve"> classic example </w:t>
      </w:r>
      <w:r w:rsidR="00C20B48">
        <w:t>of an</w:t>
      </w:r>
      <w:r>
        <w:t xml:space="preserve"> anticipatory verse – </w:t>
      </w:r>
      <w:r w:rsidR="006B7AB4">
        <w:t>‘</w:t>
      </w:r>
      <w:r w:rsidRPr="004E1831">
        <w:t>The sons of Noah who came out of the ark were Shem, Ham, and Japheth</w:t>
      </w:r>
      <w:r w:rsidR="00C20B48">
        <w:t xml:space="preserve"> – </w:t>
      </w:r>
      <w:r w:rsidRPr="004E1831">
        <w:t>Ham being the father of Canaan</w:t>
      </w:r>
      <w:r w:rsidR="006B7AB4">
        <w:t>’</w:t>
      </w:r>
      <w:r>
        <w:t xml:space="preserve"> (Gen. 9:18):</w:t>
      </w:r>
    </w:p>
    <w:p w14:paraId="7B59426B" w14:textId="33F1793D" w:rsidR="004E1831" w:rsidRDefault="004E1831" w:rsidP="004E1831">
      <w:pPr>
        <w:bidi/>
        <w:spacing w:line="360" w:lineRule="auto"/>
        <w:ind w:left="720" w:right="720"/>
      </w:pPr>
      <w:r w:rsidRPr="004E1831">
        <w:rPr>
          <w:rtl/>
        </w:rPr>
        <w:t xml:space="preserve">כדכתיב </w:t>
      </w:r>
      <w:r w:rsidR="00C20B48">
        <w:rPr>
          <w:rFonts w:hint="cs"/>
          <w:rtl/>
        </w:rPr>
        <w:t>'</w:t>
      </w:r>
      <w:r w:rsidRPr="004E1831">
        <w:rPr>
          <w:rtl/>
        </w:rPr>
        <w:t>שם חם ויפת</w:t>
      </w:r>
      <w:r w:rsidR="00C20B48">
        <w:rPr>
          <w:rFonts w:hint="cs"/>
          <w:rtl/>
        </w:rPr>
        <w:t>'</w:t>
      </w:r>
      <w:r w:rsidRPr="004E1831">
        <w:rPr>
          <w:rtl/>
        </w:rPr>
        <w:t xml:space="preserve"> וכתיב </w:t>
      </w:r>
      <w:r w:rsidR="00C20B48">
        <w:rPr>
          <w:rFonts w:hint="cs"/>
          <w:rtl/>
        </w:rPr>
        <w:t>'</w:t>
      </w:r>
      <w:r w:rsidRPr="004E1831">
        <w:rPr>
          <w:rtl/>
        </w:rPr>
        <w:t>וחם הוא אבי כנען</w:t>
      </w:r>
      <w:r w:rsidR="00C20B48">
        <w:rPr>
          <w:rFonts w:hint="cs"/>
          <w:rtl/>
        </w:rPr>
        <w:t>'</w:t>
      </w:r>
      <w:r w:rsidRPr="004E1831">
        <w:rPr>
          <w:rFonts w:hint="cs"/>
          <w:rtl/>
        </w:rPr>
        <w:t>,</w:t>
      </w:r>
      <w:r w:rsidRPr="004E1831">
        <w:rPr>
          <w:rtl/>
        </w:rPr>
        <w:t xml:space="preserve"> אלא מפני שכתב לפניו </w:t>
      </w:r>
      <w:r w:rsidR="00C20B48">
        <w:rPr>
          <w:rFonts w:hint="cs"/>
          <w:rtl/>
        </w:rPr>
        <w:t>'</w:t>
      </w:r>
      <w:r w:rsidRPr="004E1831">
        <w:rPr>
          <w:rtl/>
        </w:rPr>
        <w:t>ארור כנען</w:t>
      </w:r>
      <w:r w:rsidR="00C20B48">
        <w:rPr>
          <w:rFonts w:hint="cs"/>
          <w:rtl/>
        </w:rPr>
        <w:t>'</w:t>
      </w:r>
      <w:r w:rsidRPr="004E1831">
        <w:rPr>
          <w:rFonts w:hint="cs"/>
          <w:rtl/>
        </w:rPr>
        <w:t xml:space="preserve"> (בר</w:t>
      </w:r>
      <w:r w:rsidR="006B7AB4">
        <w:rPr>
          <w:rtl/>
        </w:rPr>
        <w:t>’</w:t>
      </w:r>
      <w:r w:rsidRPr="004E1831">
        <w:rPr>
          <w:rFonts w:hint="cs"/>
          <w:rtl/>
        </w:rPr>
        <w:t xml:space="preserve"> ט, כה),</w:t>
      </w:r>
      <w:r w:rsidRPr="004E1831">
        <w:rPr>
          <w:rtl/>
        </w:rPr>
        <w:t xml:space="preserve"> ואילו לא פורש תחילה מי כנען לא היינו יודעין למה קללו נח</w:t>
      </w:r>
      <w:r w:rsidR="00F921AE">
        <w:rPr>
          <w:rFonts w:hint="cs"/>
          <w:rtl/>
        </w:rPr>
        <w:t>.</w:t>
      </w:r>
    </w:p>
    <w:p w14:paraId="3705C9CE" w14:textId="5E124930" w:rsidR="004E1831" w:rsidRDefault="004E1831" w:rsidP="004E1831">
      <w:pPr>
        <w:spacing w:line="360" w:lineRule="auto"/>
        <w:ind w:left="720" w:right="720"/>
      </w:pPr>
      <w:r>
        <w:t xml:space="preserve">It says </w:t>
      </w:r>
      <w:r w:rsidR="006B7AB4">
        <w:t>‘</w:t>
      </w:r>
      <w:r w:rsidRPr="004E1831">
        <w:t xml:space="preserve">Shem, Cham and </w:t>
      </w:r>
      <w:proofErr w:type="spellStart"/>
      <w:r w:rsidRPr="004E1831">
        <w:t>Yephet</w:t>
      </w:r>
      <w:proofErr w:type="spellEnd"/>
      <w:r w:rsidR="006B7AB4">
        <w:t>’</w:t>
      </w:r>
      <w:r w:rsidRPr="004E1831">
        <w:t xml:space="preserve">, and adds that </w:t>
      </w:r>
      <w:r w:rsidR="006B7AB4">
        <w:t>‘</w:t>
      </w:r>
      <w:r w:rsidRPr="004E1831">
        <w:t>Cham was the father of Canaan</w:t>
      </w:r>
      <w:r w:rsidR="006B7AB4">
        <w:t>’</w:t>
      </w:r>
      <w:r w:rsidR="0037213E">
        <w:t>.</w:t>
      </w:r>
      <w:r w:rsidRPr="004E1831">
        <w:t xml:space="preserve"> </w:t>
      </w:r>
      <w:r>
        <w:t>L</w:t>
      </w:r>
      <w:r w:rsidRPr="004E1831">
        <w:t>ater</w:t>
      </w:r>
      <w:r>
        <w:t>,</w:t>
      </w:r>
      <w:r w:rsidRPr="004E1831">
        <w:t xml:space="preserve"> the Torah tells us that </w:t>
      </w:r>
      <w:r w:rsidR="00C02ED3">
        <w:t>Noah</w:t>
      </w:r>
      <w:r w:rsidRPr="004E1831">
        <w:t xml:space="preserve"> cursed Canaan</w:t>
      </w:r>
      <w:r>
        <w:t xml:space="preserve"> (Gen. 9:25)</w:t>
      </w:r>
      <w:r w:rsidRPr="004E1831">
        <w:t xml:space="preserve">, </w:t>
      </w:r>
      <w:r>
        <w:t>and had it not earlier explained who Canaan is, we</w:t>
      </w:r>
      <w:r w:rsidRPr="004E1831">
        <w:t xml:space="preserve"> would not have known </w:t>
      </w:r>
      <w:r>
        <w:t>why</w:t>
      </w:r>
      <w:r w:rsidRPr="004E1831">
        <w:t xml:space="preserve"> </w:t>
      </w:r>
      <w:r w:rsidR="00C02ED3">
        <w:t>Noah</w:t>
      </w:r>
      <w:r w:rsidRPr="004E1831">
        <w:t xml:space="preserve"> cursed </w:t>
      </w:r>
      <w:r>
        <w:t>him.</w:t>
      </w:r>
    </w:p>
    <w:p w14:paraId="0A83B354" w14:textId="4854DF7F" w:rsidR="0024698B" w:rsidRDefault="004E1831" w:rsidP="0024698B">
      <w:pPr>
        <w:spacing w:line="360" w:lineRule="auto"/>
      </w:pPr>
      <w:r w:rsidRPr="004E1831">
        <w:t xml:space="preserve"> </w:t>
      </w:r>
      <w:r w:rsidR="0024698B">
        <w:t xml:space="preserve">The verse </w:t>
      </w:r>
      <w:r w:rsidR="00FD75AB">
        <w:t xml:space="preserve">appears </w:t>
      </w:r>
      <w:r w:rsidR="0024698B">
        <w:t xml:space="preserve">redundant since it is unclear why </w:t>
      </w:r>
      <w:r w:rsidR="00C206CA">
        <w:t>Cham’s</w:t>
      </w:r>
      <w:r w:rsidR="0024698B">
        <w:t xml:space="preserve"> son should be mentioned here (Shem and Yephet</w:t>
      </w:r>
      <w:r w:rsidR="006B7AB4">
        <w:t>’</w:t>
      </w:r>
      <w:r w:rsidR="0024698B">
        <w:t xml:space="preserve">s descendants are not mentioned). The later verse </w:t>
      </w:r>
      <w:r w:rsidR="00320DC8">
        <w:t>quotes</w:t>
      </w:r>
      <w:r w:rsidR="0024698B">
        <w:t xml:space="preserve"> </w:t>
      </w:r>
      <w:r w:rsidR="00C02ED3">
        <w:t>Noah</w:t>
      </w:r>
      <w:r w:rsidR="0024698B">
        <w:t xml:space="preserve">: </w:t>
      </w:r>
      <w:r w:rsidR="006B7AB4">
        <w:t>‘</w:t>
      </w:r>
      <w:r w:rsidR="0024698B">
        <w:t>H</w:t>
      </w:r>
      <w:r w:rsidR="0024698B" w:rsidRPr="0024698B">
        <w:t>e said,</w:t>
      </w:r>
      <w:r w:rsidR="0024698B">
        <w:t xml:space="preserve"> </w:t>
      </w:r>
      <w:r w:rsidR="006B7AB4">
        <w:lastRenderedPageBreak/>
        <w:t>“</w:t>
      </w:r>
      <w:r w:rsidR="0024698B" w:rsidRPr="0024698B">
        <w:t>Cursed be Canaan;</w:t>
      </w:r>
      <w:r w:rsidR="0024698B">
        <w:t xml:space="preserve"> </w:t>
      </w:r>
      <w:r w:rsidR="0024698B" w:rsidRPr="0024698B">
        <w:t>The lowest of slaves</w:t>
      </w:r>
      <w:r w:rsidR="0024698B">
        <w:t xml:space="preserve"> s</w:t>
      </w:r>
      <w:r w:rsidR="0024698B" w:rsidRPr="0024698B">
        <w:t>hall he be to his brothers</w:t>
      </w:r>
      <w:r w:rsidR="006B7AB4">
        <w:t>”</w:t>
      </w:r>
      <w:r w:rsidR="0024698B">
        <w:t xml:space="preserve"> (Gen. 9:25). If we ignore the anticipatory verse, this verse is difficult. As </w:t>
      </w:r>
      <w:proofErr w:type="spellStart"/>
      <w:r w:rsidR="0024698B">
        <w:t>Rashbam</w:t>
      </w:r>
      <w:proofErr w:type="spellEnd"/>
      <w:r w:rsidR="0024698B">
        <w:t xml:space="preserve"> says – </w:t>
      </w:r>
      <w:r w:rsidR="006B7AB4">
        <w:t>‘</w:t>
      </w:r>
      <w:r w:rsidR="0024698B">
        <w:t xml:space="preserve">We would not have known why </w:t>
      </w:r>
      <w:r w:rsidR="00C02ED3">
        <w:t>Noah</w:t>
      </w:r>
      <w:r w:rsidR="0024698B">
        <w:t xml:space="preserve"> cursed him</w:t>
      </w:r>
      <w:r w:rsidR="006B7AB4">
        <w:t>’</w:t>
      </w:r>
      <w:r w:rsidR="0024698B">
        <w:t xml:space="preserve">: Who is this Canaan that </w:t>
      </w:r>
      <w:r w:rsidR="00C02ED3">
        <w:t>Noah</w:t>
      </w:r>
      <w:r w:rsidR="0024698B">
        <w:t xml:space="preserve"> </w:t>
      </w:r>
      <w:r w:rsidR="00320DC8">
        <w:t>bothers</w:t>
      </w:r>
      <w:r w:rsidR="0024698B">
        <w:t xml:space="preserve"> to curse? The anticipatory verse solves this by explaining to the reader who Canaan is and his relationship to Noah.</w:t>
      </w:r>
      <w:r w:rsidR="0024698B">
        <w:rPr>
          <w:rStyle w:val="FootnoteReference"/>
        </w:rPr>
        <w:footnoteReference w:id="25"/>
      </w:r>
    </w:p>
    <w:p w14:paraId="0E69F074" w14:textId="24545CE9" w:rsidR="001E5B2E" w:rsidRDefault="00711B62" w:rsidP="0024698B">
      <w:pPr>
        <w:spacing w:line="360" w:lineRule="auto"/>
      </w:pPr>
      <w:r>
        <w:t xml:space="preserve">Kara </w:t>
      </w:r>
      <w:r w:rsidR="00EC38A3">
        <w:t>defined the anticipatory principle</w:t>
      </w:r>
      <w:r w:rsidR="00F926AD" w:rsidRPr="00F926AD">
        <w:t xml:space="preserve"> </w:t>
      </w:r>
      <w:r w:rsidR="00F926AD">
        <w:t>similarly</w:t>
      </w:r>
      <w:r w:rsidR="00EC38A3">
        <w:t>:</w:t>
      </w:r>
    </w:p>
    <w:p w14:paraId="1B5E94AF" w14:textId="30824DE8" w:rsidR="00EC38A3" w:rsidRDefault="00EC38A3" w:rsidP="00EC38A3">
      <w:pPr>
        <w:bidi/>
        <w:spacing w:line="360" w:lineRule="auto"/>
        <w:ind w:left="720" w:right="720"/>
      </w:pPr>
      <w:r w:rsidRPr="00EC38A3">
        <w:rPr>
          <w:rFonts w:hint="cs"/>
          <w:rtl/>
        </w:rPr>
        <w:t>ש</w:t>
      </w:r>
      <w:r w:rsidRPr="00EC38A3">
        <w:rPr>
          <w:rtl/>
        </w:rPr>
        <w:t>כן נהגו כל הכתובים כולן, על כל מילה שעתידין הבריות לחלוק, והוא מי</w:t>
      </w:r>
      <w:r w:rsidRPr="00EC38A3">
        <w:rPr>
          <w:rFonts w:hint="cs"/>
          <w:rtl/>
        </w:rPr>
        <w:t>י</w:t>
      </w:r>
      <w:r w:rsidRPr="00EC38A3">
        <w:rPr>
          <w:rtl/>
        </w:rPr>
        <w:t xml:space="preserve">תר </w:t>
      </w:r>
      <w:r w:rsidRPr="00EC38A3">
        <w:rPr>
          <w:rFonts w:hint="cs"/>
          <w:rtl/>
        </w:rPr>
        <w:t>ב</w:t>
      </w:r>
      <w:r w:rsidRPr="00EC38A3">
        <w:rPr>
          <w:rtl/>
        </w:rPr>
        <w:t>לשון ומ</w:t>
      </w:r>
      <w:r w:rsidRPr="00EC38A3">
        <w:rPr>
          <w:rFonts w:hint="cs"/>
          <w:rtl/>
        </w:rPr>
        <w:t>י</w:t>
      </w:r>
      <w:r w:rsidRPr="00EC38A3">
        <w:rPr>
          <w:rtl/>
        </w:rPr>
        <w:t>ישר לפניהם דרך</w:t>
      </w:r>
      <w:r>
        <w:rPr>
          <w:rFonts w:hint="cs"/>
          <w:rtl/>
        </w:rPr>
        <w:t>.</w:t>
      </w:r>
    </w:p>
    <w:p w14:paraId="1432E65D" w14:textId="3127823C" w:rsidR="004B535E" w:rsidRDefault="00EC38A3" w:rsidP="00EC38A3">
      <w:pPr>
        <w:bidi/>
        <w:spacing w:line="360" w:lineRule="auto"/>
        <w:ind w:left="720" w:right="720"/>
        <w:rPr>
          <w:rtl/>
        </w:rPr>
      </w:pPr>
      <w:r w:rsidRPr="00EC38A3">
        <w:rPr>
          <w:rFonts w:hint="cs"/>
          <w:rtl/>
        </w:rPr>
        <w:t>ו</w:t>
      </w:r>
      <w:r w:rsidRPr="00EC38A3">
        <w:rPr>
          <w:rtl/>
        </w:rPr>
        <w:t>כן דרך מקראות רבים, שקודמין ללמדך על דבר שאתה עתיד לתהות עליו</w:t>
      </w:r>
      <w:r>
        <w:rPr>
          <w:rFonts w:hint="cs"/>
          <w:rtl/>
        </w:rPr>
        <w:t>.</w:t>
      </w:r>
    </w:p>
    <w:p w14:paraId="68D22349" w14:textId="20C99E26" w:rsidR="00EC38A3" w:rsidRDefault="006B5C1C" w:rsidP="00EC38A3">
      <w:pPr>
        <w:spacing w:line="360" w:lineRule="auto"/>
        <w:ind w:left="720" w:right="720"/>
      </w:pPr>
      <w:r>
        <w:t>So</w:t>
      </w:r>
      <w:r w:rsidR="009225C6">
        <w:t xml:space="preserve"> is the </w:t>
      </w:r>
      <w:r>
        <w:t xml:space="preserve">practice in </w:t>
      </w:r>
      <w:r w:rsidR="00F322AE">
        <w:t>the entire</w:t>
      </w:r>
      <w:r>
        <w:t xml:space="preserve"> Bible, that</w:t>
      </w:r>
      <w:r w:rsidR="00EC38A3">
        <w:t xml:space="preserve"> for each verse </w:t>
      </w:r>
      <w:r>
        <w:t xml:space="preserve">about which people will disagree </w:t>
      </w:r>
      <w:r w:rsidR="00EC38A3">
        <w:t>in the future, it uses redundant language and smooths the way before them (Gen. 22:13);</w:t>
      </w:r>
    </w:p>
    <w:p w14:paraId="027082B0" w14:textId="28904B68" w:rsidR="00EC38A3" w:rsidRDefault="003E3D69" w:rsidP="00EC38A3">
      <w:pPr>
        <w:spacing w:line="360" w:lineRule="auto"/>
        <w:ind w:left="720" w:right="720"/>
      </w:pPr>
      <w:r>
        <w:t>S</w:t>
      </w:r>
      <w:r w:rsidR="00EC38A3">
        <w:t>o it is in many verses</w:t>
      </w:r>
      <w:r w:rsidR="00F322AE">
        <w:t>,</w:t>
      </w:r>
      <w:r w:rsidR="00EC38A3">
        <w:t xml:space="preserve"> that </w:t>
      </w:r>
      <w:r w:rsidR="0077745F">
        <w:t>it</w:t>
      </w:r>
      <w:r w:rsidR="00EC38A3">
        <w:t xml:space="preserve"> foreshadow</w:t>
      </w:r>
      <w:r w:rsidR="0077745F">
        <w:t>s</w:t>
      </w:r>
      <w:r w:rsidR="00EC38A3">
        <w:t xml:space="preserve"> </w:t>
      </w:r>
      <w:r w:rsidR="00F322AE">
        <w:t>to teach</w:t>
      </w:r>
      <w:r w:rsidR="00EC38A3">
        <w:t xml:space="preserve"> you </w:t>
      </w:r>
      <w:r w:rsidR="00F322AE">
        <w:t>about something</w:t>
      </w:r>
      <w:r w:rsidR="00EC38A3">
        <w:t xml:space="preserve"> you will later wonder about (1Sam. 1:3).</w:t>
      </w:r>
    </w:p>
    <w:p w14:paraId="035E051B" w14:textId="3619695A" w:rsidR="00EC38A3" w:rsidRPr="00EC38A3" w:rsidRDefault="00EC38A3" w:rsidP="00EC38A3">
      <w:pPr>
        <w:spacing w:line="360" w:lineRule="auto"/>
        <w:rPr>
          <w:rtl/>
        </w:rPr>
      </w:pPr>
      <w:r>
        <w:t xml:space="preserve">His definition is a </w:t>
      </w:r>
      <w:r w:rsidR="00C02ED3">
        <w:t>little</w:t>
      </w:r>
      <w:r>
        <w:t xml:space="preserve"> less clear than </w:t>
      </w:r>
      <w:proofErr w:type="spellStart"/>
      <w:r>
        <w:t>Rashbam</w:t>
      </w:r>
      <w:r w:rsidR="006B7AB4">
        <w:t>’</w:t>
      </w:r>
      <w:r>
        <w:t>s</w:t>
      </w:r>
      <w:proofErr w:type="spellEnd"/>
      <w:r>
        <w:t xml:space="preserve">, but its </w:t>
      </w:r>
      <w:r w:rsidR="00FA6A2C">
        <w:t>upshot</w:t>
      </w:r>
      <w:r>
        <w:t xml:space="preserve"> is identical and </w:t>
      </w:r>
      <w:r w:rsidR="00FA6A2C">
        <w:t>contains the same</w:t>
      </w:r>
      <w:r>
        <w:t xml:space="preserve"> three requirements presented above.</w:t>
      </w:r>
      <w:r>
        <w:rPr>
          <w:rStyle w:val="FootnoteReference"/>
        </w:rPr>
        <w:footnoteReference w:id="26"/>
      </w:r>
    </w:p>
    <w:p w14:paraId="4F3B83A7" w14:textId="1E3BA34B" w:rsidR="004E2EE8" w:rsidRDefault="00EC38A3" w:rsidP="002E75EC">
      <w:pPr>
        <w:spacing w:line="360" w:lineRule="auto"/>
      </w:pPr>
      <w:r>
        <w:t xml:space="preserve">In the commentaries of </w:t>
      </w:r>
      <w:r w:rsidR="00711B62">
        <w:t>Kara</w:t>
      </w:r>
      <w:r>
        <w:t xml:space="preserve">, </w:t>
      </w:r>
      <w:proofErr w:type="spellStart"/>
      <w:r>
        <w:t>Rashbam</w:t>
      </w:r>
      <w:proofErr w:type="spellEnd"/>
      <w:r>
        <w:t xml:space="preserve">, and </w:t>
      </w:r>
      <w:proofErr w:type="spellStart"/>
      <w:r w:rsidR="004A2CE2">
        <w:t>Ribash</w:t>
      </w:r>
      <w:proofErr w:type="spellEnd"/>
      <w:r w:rsidR="002E75EC">
        <w:t xml:space="preserve">, the primary sources for </w:t>
      </w:r>
      <w:proofErr w:type="spellStart"/>
      <w:r w:rsidR="002E75EC">
        <w:t>Hizkuni</w:t>
      </w:r>
      <w:r w:rsidR="006B7AB4">
        <w:t>’</w:t>
      </w:r>
      <w:r w:rsidR="002E75EC">
        <w:t>s</w:t>
      </w:r>
      <w:proofErr w:type="spellEnd"/>
      <w:r w:rsidR="002E75EC">
        <w:t xml:space="preserve"> work, we find dozens of </w:t>
      </w:r>
      <w:r w:rsidR="001E2246">
        <w:t>glosses</w:t>
      </w:r>
      <w:r w:rsidR="002E75EC">
        <w:t xml:space="preserve"> related to the anticipatory principle.</w:t>
      </w:r>
      <w:r w:rsidR="002E75EC">
        <w:rPr>
          <w:rStyle w:val="FootnoteReference"/>
        </w:rPr>
        <w:footnoteReference w:id="27"/>
      </w:r>
    </w:p>
    <w:p w14:paraId="1AD21687" w14:textId="58CE4E1F" w:rsidR="002E75EC" w:rsidRDefault="002E75EC" w:rsidP="002E75EC">
      <w:pPr>
        <w:spacing w:line="360" w:lineRule="auto"/>
      </w:pPr>
      <w:r>
        <w:t xml:space="preserve">What was </w:t>
      </w:r>
      <w:proofErr w:type="spellStart"/>
      <w:r>
        <w:t>Hizkuni</w:t>
      </w:r>
      <w:r w:rsidR="006B7AB4">
        <w:t>’</w:t>
      </w:r>
      <w:r>
        <w:t>s</w:t>
      </w:r>
      <w:proofErr w:type="spellEnd"/>
      <w:r>
        <w:t xml:space="preserve"> attitude toward this principle, and how did he relate to the dozens of times it is mentioned in his predecessors</w:t>
      </w:r>
      <w:r w:rsidR="006B7AB4">
        <w:t>’</w:t>
      </w:r>
      <w:r>
        <w:t xml:space="preserve"> commentaries? I meticulously checked each </w:t>
      </w:r>
      <w:r w:rsidR="007B249F">
        <w:t>case</w:t>
      </w:r>
      <w:r>
        <w:t xml:space="preserve"> where the abovementioned exegetes mentioned the anticipatory principle and compared them to what </w:t>
      </w:r>
      <w:proofErr w:type="spellStart"/>
      <w:r>
        <w:t>Hizkuni</w:t>
      </w:r>
      <w:proofErr w:type="spellEnd"/>
      <w:r>
        <w:t xml:space="preserve"> wrote on those verses. </w:t>
      </w:r>
      <w:r w:rsidR="004F6431">
        <w:t xml:space="preserve">In an article that will appear separately, this </w:t>
      </w:r>
      <w:r w:rsidR="004F6431">
        <w:lastRenderedPageBreak/>
        <w:t xml:space="preserve">comparison led to the conclusion that </w:t>
      </w:r>
      <w:proofErr w:type="spellStart"/>
      <w:r w:rsidR="004F6431">
        <w:t>Hizkuni</w:t>
      </w:r>
      <w:proofErr w:type="spellEnd"/>
      <w:r w:rsidR="004F6431">
        <w:t xml:space="preserve"> did not pay particular attention to the anticipatory principle</w:t>
      </w:r>
      <w:r w:rsidR="00A27B4C">
        <w:t>. It</w:t>
      </w:r>
      <w:r w:rsidR="004F6431">
        <w:t xml:space="preserve"> perhaps did not even identify it as </w:t>
      </w:r>
      <w:r w:rsidR="007B249F">
        <w:t>an</w:t>
      </w:r>
      <w:r w:rsidR="004F6431">
        <w:t xml:space="preserve"> important principle of the northern French </w:t>
      </w:r>
      <w:proofErr w:type="spellStart"/>
      <w:r w:rsidR="001B0B0C" w:rsidRPr="001B0B0C">
        <w:rPr>
          <w:i/>
          <w:iCs/>
        </w:rPr>
        <w:t>peshat</w:t>
      </w:r>
      <w:proofErr w:type="spellEnd"/>
      <w:r w:rsidR="004F6431">
        <w:t xml:space="preserve"> school.</w:t>
      </w:r>
      <w:r w:rsidR="004F6431">
        <w:rPr>
          <w:rStyle w:val="FootnoteReference"/>
        </w:rPr>
        <w:footnoteReference w:id="28"/>
      </w:r>
      <w:r w:rsidR="004F6431">
        <w:t xml:space="preserve"> If I am correct, </w:t>
      </w:r>
      <w:proofErr w:type="spellStart"/>
      <w:r w:rsidR="004F6431">
        <w:t>Hizkuni</w:t>
      </w:r>
      <w:proofErr w:type="spellEnd"/>
      <w:r w:rsidR="004F6431">
        <w:t xml:space="preserve"> did not </w:t>
      </w:r>
      <w:r w:rsidR="006B7AB4">
        <w:t>‘</w:t>
      </w:r>
      <w:r w:rsidR="004F6431">
        <w:t>invent</w:t>
      </w:r>
      <w:r w:rsidR="006B7AB4">
        <w:t>’</w:t>
      </w:r>
      <w:r w:rsidR="007C76D2">
        <w:t xml:space="preserve"> the</w:t>
      </w:r>
      <w:r w:rsidR="004F6431">
        <w:t xml:space="preserve"> </w:t>
      </w:r>
      <w:r w:rsidR="001E2246">
        <w:t>glosses</w:t>
      </w:r>
      <w:r w:rsidR="004F6431">
        <w:t xml:space="preserve"> </w:t>
      </w:r>
      <w:r w:rsidR="00FF1B94">
        <w:t>related</w:t>
      </w:r>
      <w:r w:rsidR="004F6431">
        <w:t xml:space="preserve"> to this principle.</w:t>
      </w:r>
    </w:p>
    <w:p w14:paraId="03F6160E" w14:textId="359BE77E" w:rsidR="004F6431" w:rsidRDefault="004F6431" w:rsidP="002E75EC">
      <w:pPr>
        <w:spacing w:line="360" w:lineRule="auto"/>
      </w:pPr>
    </w:p>
    <w:p w14:paraId="337DBC6F" w14:textId="783D950E" w:rsidR="004F6431" w:rsidRDefault="004F6431" w:rsidP="002E75EC">
      <w:pPr>
        <w:spacing w:line="360" w:lineRule="auto"/>
      </w:pPr>
      <w:r>
        <w:rPr>
          <w:b/>
          <w:bCs/>
        </w:rPr>
        <w:t xml:space="preserve">The anticipatory principle in </w:t>
      </w:r>
      <w:proofErr w:type="spellStart"/>
      <w:r>
        <w:rPr>
          <w:b/>
          <w:bCs/>
        </w:rPr>
        <w:t>Hizkuni</w:t>
      </w:r>
      <w:r w:rsidR="006B7AB4">
        <w:rPr>
          <w:b/>
          <w:bCs/>
        </w:rPr>
        <w:t>’</w:t>
      </w:r>
      <w:r>
        <w:rPr>
          <w:b/>
          <w:bCs/>
        </w:rPr>
        <w:t>s</w:t>
      </w:r>
      <w:proofErr w:type="spellEnd"/>
      <w:r>
        <w:rPr>
          <w:b/>
          <w:bCs/>
        </w:rPr>
        <w:t xml:space="preserve"> writings</w:t>
      </w:r>
    </w:p>
    <w:p w14:paraId="003B8F4E" w14:textId="4790F13C" w:rsidR="004F6431" w:rsidRDefault="004F6431" w:rsidP="002E75EC">
      <w:pPr>
        <w:spacing w:line="360" w:lineRule="auto"/>
      </w:pPr>
      <w:r>
        <w:t xml:space="preserve">Given the above conclusions, it is surprising to find about 20 </w:t>
      </w:r>
      <w:r w:rsidR="00982F73">
        <w:t>glosses</w:t>
      </w:r>
      <w:r>
        <w:t xml:space="preserve"> in </w:t>
      </w:r>
      <w:proofErr w:type="spellStart"/>
      <w:r>
        <w:t>Hizkuni</w:t>
      </w:r>
      <w:proofErr w:type="spellEnd"/>
      <w:r>
        <w:t xml:space="preserve"> that</w:t>
      </w:r>
      <w:r w:rsidR="009564A0">
        <w:t xml:space="preserve"> cite the anticipatory principle according to all the criteria</w:t>
      </w:r>
      <w:r>
        <w:t xml:space="preserve">. These </w:t>
      </w:r>
      <w:r w:rsidR="00982F73">
        <w:t>glosses</w:t>
      </w:r>
      <w:r>
        <w:t xml:space="preserve"> are not found in other extant commentaries or</w:t>
      </w:r>
      <w:r w:rsidR="009564A0">
        <w:t>,</w:t>
      </w:r>
      <w:r>
        <w:t xml:space="preserve"> </w:t>
      </w:r>
      <w:r w:rsidR="009564A0">
        <w:t xml:space="preserve">if found, </w:t>
      </w:r>
      <w:r>
        <w:t>are in a completely different formulation.</w:t>
      </w:r>
      <w:r>
        <w:rPr>
          <w:rStyle w:val="FootnoteReference"/>
        </w:rPr>
        <w:footnoteReference w:id="29"/>
      </w:r>
      <w:r w:rsidR="00F14A66">
        <w:t xml:space="preserve"> If we are correct in assuming that </w:t>
      </w:r>
      <w:proofErr w:type="spellStart"/>
      <w:r w:rsidR="00F14A66">
        <w:t>Hizkuni</w:t>
      </w:r>
      <w:proofErr w:type="spellEnd"/>
      <w:r w:rsidR="00F14A66">
        <w:t xml:space="preserve"> did not consider</w:t>
      </w:r>
      <w:r w:rsidR="00852B63" w:rsidRPr="00852B63">
        <w:t xml:space="preserve"> </w:t>
      </w:r>
      <w:r w:rsidR="00852B63">
        <w:t>the anticipatory principle important</w:t>
      </w:r>
      <w:r w:rsidR="00F14A66">
        <w:t xml:space="preserve"> </w:t>
      </w:r>
      <w:r w:rsidR="00852B63">
        <w:t>and</w:t>
      </w:r>
      <w:r w:rsidR="00F14A66">
        <w:t xml:space="preserve"> perhaps did not even identify</w:t>
      </w:r>
      <w:r w:rsidR="00852B63">
        <w:t xml:space="preserve"> it</w:t>
      </w:r>
      <w:r w:rsidR="00F14A66">
        <w:t xml:space="preserve">, these </w:t>
      </w:r>
      <w:r w:rsidR="00982F73">
        <w:t>glosses</w:t>
      </w:r>
      <w:r w:rsidR="00CF0F17">
        <w:t xml:space="preserve"> </w:t>
      </w:r>
      <w:r w:rsidR="00CD0845">
        <w:t>presumably did not originate with him</w:t>
      </w:r>
      <w:r w:rsidR="00F14A66">
        <w:t xml:space="preserve">. It </w:t>
      </w:r>
      <w:r w:rsidR="00CD0845">
        <w:t>is</w:t>
      </w:r>
      <w:r w:rsidR="00F14A66">
        <w:t xml:space="preserve"> more likely that these too were taken from the collection of commentaries on his desk.</w:t>
      </w:r>
    </w:p>
    <w:p w14:paraId="4598E77C" w14:textId="395CECAD" w:rsidR="00F14A66" w:rsidRDefault="00F14A66" w:rsidP="002E75EC">
      <w:pPr>
        <w:spacing w:line="360" w:lineRule="auto"/>
      </w:pPr>
      <w:r>
        <w:t xml:space="preserve">Exegetes </w:t>
      </w:r>
      <w:r w:rsidR="0019074C">
        <w:t>who</w:t>
      </w:r>
      <w:r>
        <w:t xml:space="preserve"> </w:t>
      </w:r>
      <w:r w:rsidR="00BE3699">
        <w:t>proposed</w:t>
      </w:r>
      <w:r>
        <w:t xml:space="preserve"> </w:t>
      </w:r>
      <w:r w:rsidR="001E2246">
        <w:t>glosses</w:t>
      </w:r>
      <w:r>
        <w:t xml:space="preserve"> related to the anticipatory principle tended to use set terminology in these </w:t>
      </w:r>
      <w:r w:rsidR="00982F73">
        <w:t>glosses</w:t>
      </w:r>
      <w:r>
        <w:t>.</w:t>
      </w:r>
      <w:r>
        <w:rPr>
          <w:rStyle w:val="FootnoteReference"/>
        </w:rPr>
        <w:footnoteReference w:id="30"/>
      </w:r>
      <w:r>
        <w:t xml:space="preserve"> I wish to focus on three phrases that characterize the terminology of commentaries </w:t>
      </w:r>
      <w:r w:rsidR="001A53BA">
        <w:t>that cite</w:t>
      </w:r>
      <w:r>
        <w:t xml:space="preserve"> the anticipatory principle: </w:t>
      </w:r>
      <w:r w:rsidR="006B7AB4">
        <w:t>‘</w:t>
      </w:r>
      <w:r>
        <w:rPr>
          <w:rFonts w:hint="cs"/>
          <w:rtl/>
        </w:rPr>
        <w:t>קדם ולמדך</w:t>
      </w:r>
      <w:r w:rsidR="006B7AB4">
        <w:t>’</w:t>
      </w:r>
      <w:r>
        <w:t xml:space="preserve"> (</w:t>
      </w:r>
      <w:r w:rsidR="006B7AB4">
        <w:t>‘</w:t>
      </w:r>
      <w:r w:rsidR="0077745F">
        <w:t>it</w:t>
      </w:r>
      <w:r w:rsidR="00640872">
        <w:t xml:space="preserve"> foreshadow</w:t>
      </w:r>
      <w:r w:rsidR="0077745F">
        <w:t>s</w:t>
      </w:r>
      <w:r w:rsidR="00640872">
        <w:t xml:space="preserve"> and teach</w:t>
      </w:r>
      <w:r w:rsidR="0077745F">
        <w:t>es</w:t>
      </w:r>
      <w:r w:rsidR="00640872">
        <w:t xml:space="preserve"> you</w:t>
      </w:r>
      <w:r w:rsidR="006B7AB4">
        <w:t>’</w:t>
      </w:r>
      <w:r w:rsidR="00640872">
        <w:t xml:space="preserve">); </w:t>
      </w:r>
      <w:r w:rsidR="006B7AB4">
        <w:t>‘</w:t>
      </w:r>
      <w:r w:rsidR="00640872">
        <w:rPr>
          <w:rFonts w:hint="cs"/>
          <w:rtl/>
        </w:rPr>
        <w:t>לפי שעתיד לומר</w:t>
      </w:r>
      <w:r w:rsidR="006B7AB4">
        <w:t>’</w:t>
      </w:r>
      <w:r w:rsidR="00640872">
        <w:t xml:space="preserve"> (</w:t>
      </w:r>
      <w:r w:rsidR="006B7AB4">
        <w:t>‘</w:t>
      </w:r>
      <w:r w:rsidR="00640872">
        <w:t>for it will later say</w:t>
      </w:r>
      <w:r w:rsidR="006B7AB4">
        <w:t>’</w:t>
      </w:r>
      <w:r w:rsidR="00640872">
        <w:t xml:space="preserve">); and </w:t>
      </w:r>
      <w:r w:rsidR="006B7AB4">
        <w:t>‘</w:t>
      </w:r>
      <w:r w:rsidR="00640872">
        <w:rPr>
          <w:rFonts w:hint="cs"/>
          <w:rtl/>
        </w:rPr>
        <w:t>שלא תתמה</w:t>
      </w:r>
      <w:r w:rsidR="006B7AB4">
        <w:t>’</w:t>
      </w:r>
      <w:r w:rsidR="00640872">
        <w:t xml:space="preserve"> (</w:t>
      </w:r>
      <w:r w:rsidR="006B7AB4">
        <w:t>‘</w:t>
      </w:r>
      <w:r w:rsidR="00640872">
        <w:t xml:space="preserve">so </w:t>
      </w:r>
      <w:r w:rsidR="00181FF6">
        <w:t>you</w:t>
      </w:r>
      <w:r w:rsidR="00640872">
        <w:t xml:space="preserve"> </w:t>
      </w:r>
      <w:r w:rsidR="003825B6">
        <w:t>do</w:t>
      </w:r>
      <w:r w:rsidR="00640872">
        <w:t xml:space="preserve"> not </w:t>
      </w:r>
      <w:r w:rsidR="00F921AE">
        <w:t>wonder</w:t>
      </w:r>
      <w:r w:rsidR="006B7AB4">
        <w:t>’</w:t>
      </w:r>
      <w:r w:rsidR="00640872">
        <w:t xml:space="preserve">). These will help us uncover </w:t>
      </w:r>
      <w:r w:rsidR="002A4717">
        <w:t>Kara</w:t>
      </w:r>
      <w:r w:rsidR="006B7AB4">
        <w:t>’</w:t>
      </w:r>
      <w:r w:rsidR="00640872">
        <w:t>s lost commentar</w:t>
      </w:r>
      <w:r w:rsidR="002736AA">
        <w:t>y</w:t>
      </w:r>
      <w:r w:rsidR="00640872">
        <w:t>.</w:t>
      </w:r>
    </w:p>
    <w:p w14:paraId="3C8F7CA7" w14:textId="68DD9035" w:rsidR="00640872" w:rsidRDefault="00640872" w:rsidP="00640872">
      <w:pPr>
        <w:spacing w:line="360" w:lineRule="auto"/>
        <w:jc w:val="center"/>
      </w:pPr>
      <w:r>
        <w:t>***</w:t>
      </w:r>
    </w:p>
    <w:p w14:paraId="666FBB0E" w14:textId="70A3D735" w:rsidR="00640872" w:rsidRDefault="006B7AB4" w:rsidP="002E75EC">
      <w:pPr>
        <w:spacing w:line="360" w:lineRule="auto"/>
      </w:pPr>
      <w:r>
        <w:t>‘</w:t>
      </w:r>
      <w:r w:rsidR="00EF6264">
        <w:rPr>
          <w:rFonts w:hint="cs"/>
          <w:rtl/>
        </w:rPr>
        <w:t xml:space="preserve">קדם </w:t>
      </w:r>
      <w:r w:rsidR="00D715C9">
        <w:rPr>
          <w:rFonts w:hint="cs"/>
          <w:rtl/>
        </w:rPr>
        <w:t>ו</w:t>
      </w:r>
      <w:r w:rsidR="00EF6264">
        <w:rPr>
          <w:rFonts w:hint="cs"/>
          <w:rtl/>
        </w:rPr>
        <w:t>למדך</w:t>
      </w:r>
      <w:r>
        <w:t>’</w:t>
      </w:r>
      <w:r w:rsidR="008B64C5">
        <w:t xml:space="preserve"> -</w:t>
      </w:r>
      <w:r w:rsidR="00EF6264">
        <w:t xml:space="preserve"> </w:t>
      </w:r>
      <w:r w:rsidR="0077745F">
        <w:rPr>
          <w:i/>
          <w:iCs/>
        </w:rPr>
        <w:t>It</w:t>
      </w:r>
      <w:r w:rsidR="00EF6264">
        <w:rPr>
          <w:i/>
          <w:iCs/>
        </w:rPr>
        <w:t xml:space="preserve"> foreshad</w:t>
      </w:r>
      <w:r w:rsidR="0077745F">
        <w:rPr>
          <w:i/>
          <w:iCs/>
        </w:rPr>
        <w:t>o</w:t>
      </w:r>
      <w:r w:rsidR="00EF6264">
        <w:rPr>
          <w:i/>
          <w:iCs/>
        </w:rPr>
        <w:t>w</w:t>
      </w:r>
      <w:r w:rsidR="0077745F">
        <w:rPr>
          <w:i/>
          <w:iCs/>
        </w:rPr>
        <w:t>s</w:t>
      </w:r>
      <w:r w:rsidR="00EF6264">
        <w:rPr>
          <w:i/>
          <w:iCs/>
        </w:rPr>
        <w:t xml:space="preserve"> and teach</w:t>
      </w:r>
      <w:r w:rsidR="0077745F">
        <w:rPr>
          <w:i/>
          <w:iCs/>
        </w:rPr>
        <w:t>es</w:t>
      </w:r>
      <w:r w:rsidR="00EF6264">
        <w:rPr>
          <w:i/>
          <w:iCs/>
        </w:rPr>
        <w:t xml:space="preserve"> you</w:t>
      </w:r>
    </w:p>
    <w:p w14:paraId="757B3253" w14:textId="3BCA9F2A" w:rsidR="00EF6264" w:rsidRDefault="00564012" w:rsidP="002E75EC">
      <w:pPr>
        <w:spacing w:line="360" w:lineRule="auto"/>
      </w:pPr>
      <w:r>
        <w:t xml:space="preserve">The phrase </w:t>
      </w:r>
      <w:r w:rsidR="006B7AB4">
        <w:t>‘</w:t>
      </w:r>
      <w:r>
        <w:rPr>
          <w:rFonts w:hint="cs"/>
          <w:rtl/>
        </w:rPr>
        <w:t xml:space="preserve">קדם </w:t>
      </w:r>
      <w:r w:rsidR="00D715C9">
        <w:rPr>
          <w:rFonts w:hint="cs"/>
          <w:rtl/>
        </w:rPr>
        <w:t>ו</w:t>
      </w:r>
      <w:r>
        <w:rPr>
          <w:rFonts w:hint="cs"/>
          <w:rtl/>
        </w:rPr>
        <w:t>למדך</w:t>
      </w:r>
      <w:r w:rsidR="006B7AB4">
        <w:t>’</w:t>
      </w:r>
      <w:r>
        <w:t xml:space="preserve"> (</w:t>
      </w:r>
      <w:r w:rsidR="006B7AB4">
        <w:t>‘</w:t>
      </w:r>
      <w:r w:rsidR="0077745F">
        <w:t>it</w:t>
      </w:r>
      <w:r>
        <w:t xml:space="preserve"> foreshadow</w:t>
      </w:r>
      <w:r w:rsidR="0077745F">
        <w:t>s</w:t>
      </w:r>
      <w:r>
        <w:t xml:space="preserve"> and </w:t>
      </w:r>
      <w:r w:rsidR="0077745F">
        <w:t>teaches</w:t>
      </w:r>
      <w:r>
        <w:t xml:space="preserve"> you</w:t>
      </w:r>
      <w:r w:rsidR="006B7AB4">
        <w:t>’</w:t>
      </w:r>
      <w:r>
        <w:t xml:space="preserve">) appears 11 times in extant </w:t>
      </w:r>
      <w:r w:rsidR="002A4717">
        <w:t xml:space="preserve">Kara </w:t>
      </w:r>
      <w:r>
        <w:t>commentaries.</w:t>
      </w:r>
      <w:r>
        <w:rPr>
          <w:rStyle w:val="FootnoteReference"/>
        </w:rPr>
        <w:footnoteReference w:id="31"/>
      </w:r>
      <w:r>
        <w:t xml:space="preserve"> All </w:t>
      </w:r>
      <w:r w:rsidR="00181FF6">
        <w:t>cite</w:t>
      </w:r>
      <w:r>
        <w:t xml:space="preserve"> the anticipatory principle. This phrase is unique to </w:t>
      </w:r>
      <w:r w:rsidR="002A4717">
        <w:t xml:space="preserve">Kara </w:t>
      </w:r>
      <w:r>
        <w:t xml:space="preserve">and does not appear, even once, in </w:t>
      </w:r>
      <w:proofErr w:type="spellStart"/>
      <w:r>
        <w:t>Rashbam</w:t>
      </w:r>
      <w:r w:rsidR="006B7AB4">
        <w:t>’</w:t>
      </w:r>
      <w:r>
        <w:t>s</w:t>
      </w:r>
      <w:proofErr w:type="spellEnd"/>
      <w:r>
        <w:t xml:space="preserve"> or </w:t>
      </w:r>
      <w:proofErr w:type="spellStart"/>
      <w:r w:rsidR="004A2CE2">
        <w:t>Ribash</w:t>
      </w:r>
      <w:r w:rsidR="006B7AB4">
        <w:t>’</w:t>
      </w:r>
      <w:r>
        <w:t>s</w:t>
      </w:r>
      <w:proofErr w:type="spellEnd"/>
      <w:r>
        <w:t xml:space="preserve"> writings.</w:t>
      </w:r>
      <w:r>
        <w:rPr>
          <w:rStyle w:val="FootnoteReference"/>
        </w:rPr>
        <w:footnoteReference w:id="32"/>
      </w:r>
      <w:r>
        <w:t xml:space="preserve"> It appears seven times in </w:t>
      </w:r>
      <w:proofErr w:type="spellStart"/>
      <w:r>
        <w:t>Hizkuni</w:t>
      </w:r>
      <w:proofErr w:type="spellEnd"/>
      <w:r>
        <w:t xml:space="preserve">, always connected to the anticipatory principle. Assuming that </w:t>
      </w:r>
      <w:proofErr w:type="spellStart"/>
      <w:r>
        <w:t>Hizkuni</w:t>
      </w:r>
      <w:proofErr w:type="spellEnd"/>
      <w:r>
        <w:t xml:space="preserve"> did not invent </w:t>
      </w:r>
      <w:r w:rsidR="00982F73">
        <w:t>glosses</w:t>
      </w:r>
      <w:r>
        <w:t xml:space="preserve"> related to the anticipatory </w:t>
      </w:r>
      <w:proofErr w:type="gramStart"/>
      <w:r>
        <w:t>principle, and</w:t>
      </w:r>
      <w:proofErr w:type="gramEnd"/>
      <w:r>
        <w:t xml:space="preserve"> based on the fact that this phrase </w:t>
      </w:r>
      <w:r w:rsidR="002C21FA">
        <w:t>is unique to</w:t>
      </w:r>
      <w:r>
        <w:t xml:space="preserve"> </w:t>
      </w:r>
      <w:r w:rsidR="002A4717">
        <w:t>Kara</w:t>
      </w:r>
      <w:r>
        <w:t xml:space="preserve">, </w:t>
      </w:r>
      <w:r>
        <w:lastRenderedPageBreak/>
        <w:t xml:space="preserve">we can surmise that the </w:t>
      </w:r>
      <w:r w:rsidR="00982F73">
        <w:t>glosses</w:t>
      </w:r>
      <w:r>
        <w:t xml:space="preserve"> that appear in </w:t>
      </w:r>
      <w:proofErr w:type="spellStart"/>
      <w:r>
        <w:t>Hizkuni</w:t>
      </w:r>
      <w:proofErr w:type="spellEnd"/>
      <w:r>
        <w:t xml:space="preserve"> were taken from </w:t>
      </w:r>
      <w:r w:rsidR="002A4717">
        <w:t>Kara</w:t>
      </w:r>
      <w:r w:rsidR="006B7AB4">
        <w:t>’</w:t>
      </w:r>
      <w:r>
        <w:t>s lost commentary on the Torah. Here are the cases:</w:t>
      </w:r>
    </w:p>
    <w:p w14:paraId="1EE8A181" w14:textId="28F0487C" w:rsidR="00564012" w:rsidRPr="004D53AC" w:rsidRDefault="00564012" w:rsidP="004D53AC">
      <w:pPr>
        <w:pStyle w:val="ListParagraph"/>
        <w:numPr>
          <w:ilvl w:val="0"/>
          <w:numId w:val="7"/>
        </w:numPr>
        <w:spacing w:line="360" w:lineRule="auto"/>
        <w:ind w:left="357" w:hanging="357"/>
      </w:pPr>
      <w:r w:rsidRPr="004D53AC">
        <w:t xml:space="preserve">Regarding Jacob and Esau, the Torah relates: </w:t>
      </w:r>
      <w:r w:rsidR="006B7AB4">
        <w:t>‘</w:t>
      </w:r>
      <w:r w:rsidRPr="00564012">
        <w:t>So the boys grew. And Esau was a skillful hunter, a man of the field; but Jacob was a mild man, dwelling in tents</w:t>
      </w:r>
      <w:r w:rsidR="006B7AB4">
        <w:t>’</w:t>
      </w:r>
      <w:r>
        <w:t xml:space="preserve"> (</w:t>
      </w:r>
      <w:r w:rsidR="0019074C">
        <w:t>Gen. 25:27).</w:t>
      </w:r>
      <w:r w:rsidR="00C065D3">
        <w:t xml:space="preserve"> </w:t>
      </w:r>
      <w:r w:rsidR="00B27D2C">
        <w:t xml:space="preserve">Explaining the inclusion of </w:t>
      </w:r>
      <w:r w:rsidR="0077745F">
        <w:t>this expositional information</w:t>
      </w:r>
      <w:r w:rsidR="00B27D2C">
        <w:t>,</w:t>
      </w:r>
      <w:r w:rsidR="0077745F">
        <w:t xml:space="preserve"> </w:t>
      </w:r>
      <w:proofErr w:type="spellStart"/>
      <w:r w:rsidR="0077745F">
        <w:t>Hizkuni</w:t>
      </w:r>
      <w:proofErr w:type="spellEnd"/>
      <w:r w:rsidR="0077745F">
        <w:t xml:space="preserve"> </w:t>
      </w:r>
      <w:r w:rsidR="00B27D2C">
        <w:t>writes</w:t>
      </w:r>
      <w:r w:rsidR="0077745F">
        <w:t>:</w:t>
      </w:r>
    </w:p>
    <w:p w14:paraId="592987DC" w14:textId="02B7CD23" w:rsidR="0077745F" w:rsidRDefault="0077745F" w:rsidP="004D53AC">
      <w:pPr>
        <w:bidi/>
        <w:spacing w:line="360" w:lineRule="auto"/>
        <w:ind w:right="720"/>
      </w:pPr>
      <w:r w:rsidRPr="0077745F">
        <w:rPr>
          <w:rtl/>
        </w:rPr>
        <w:t xml:space="preserve">איש ידע ציד – אומנותו ברמאות שאין צידת חיה ועוף בלא רמיה. ולפי שעתיד לומר בסמוך </w:t>
      </w:r>
      <w:r w:rsidR="006B7AB4">
        <w:rPr>
          <w:rtl/>
        </w:rPr>
        <w:t>‘</w:t>
      </w:r>
      <w:r w:rsidRPr="0077745F">
        <w:rPr>
          <w:rtl/>
        </w:rPr>
        <w:t>הביאה</w:t>
      </w:r>
      <w:r w:rsidR="004D53AC">
        <w:t xml:space="preserve"> </w:t>
      </w:r>
      <w:r w:rsidRPr="0077745F">
        <w:rPr>
          <w:rtl/>
        </w:rPr>
        <w:t>לי ציד</w:t>
      </w:r>
      <w:r w:rsidR="006B7AB4">
        <w:rPr>
          <w:rtl/>
        </w:rPr>
        <w:t>’</w:t>
      </w:r>
      <w:r w:rsidRPr="0077745F">
        <w:rPr>
          <w:rtl/>
        </w:rPr>
        <w:t xml:space="preserve"> (בר</w:t>
      </w:r>
      <w:r w:rsidR="006B7AB4">
        <w:rPr>
          <w:rtl/>
        </w:rPr>
        <w:t>’</w:t>
      </w:r>
      <w:r w:rsidRPr="0077745F">
        <w:rPr>
          <w:rtl/>
        </w:rPr>
        <w:t xml:space="preserve"> כז, ז), </w:t>
      </w:r>
      <w:r w:rsidRPr="0077745F">
        <w:rPr>
          <w:b/>
          <w:bCs/>
          <w:color w:val="000000" w:themeColor="text1"/>
          <w:rtl/>
        </w:rPr>
        <w:t>קדם ולמדך</w:t>
      </w:r>
      <w:r w:rsidRPr="0077745F">
        <w:rPr>
          <w:rtl/>
        </w:rPr>
        <w:t xml:space="preserve"> כאן שעשו איש ציד היה</w:t>
      </w:r>
      <w:r w:rsidRPr="0077745F">
        <w:t>.</w:t>
      </w:r>
    </w:p>
    <w:p w14:paraId="351E9266" w14:textId="47116425" w:rsidR="0077745F" w:rsidRDefault="0077745F" w:rsidP="0077745F">
      <w:pPr>
        <w:spacing w:line="360" w:lineRule="auto"/>
        <w:ind w:left="720"/>
      </w:pPr>
      <w:r>
        <w:t xml:space="preserve">A skillful hunter – he was skilled in deception, for trapping birds and animals is only through deception. </w:t>
      </w:r>
      <w:r w:rsidR="00B815F7">
        <w:t>S</w:t>
      </w:r>
      <w:r>
        <w:t>ince it will later say</w:t>
      </w:r>
      <w:r w:rsidR="00B815F7">
        <w:t>,</w:t>
      </w:r>
      <w:r>
        <w:t xml:space="preserve"> </w:t>
      </w:r>
      <w:r w:rsidR="006B7AB4">
        <w:t>‘</w:t>
      </w:r>
      <w:r w:rsidR="00C158EF">
        <w:t>B</w:t>
      </w:r>
      <w:r>
        <w:t xml:space="preserve">ring me </w:t>
      </w:r>
      <w:proofErr w:type="spellStart"/>
      <w:r>
        <w:t>savoury</w:t>
      </w:r>
      <w:proofErr w:type="spellEnd"/>
      <w:r>
        <w:t xml:space="preserve"> meat</w:t>
      </w:r>
      <w:r w:rsidR="006B7AB4">
        <w:t>’</w:t>
      </w:r>
      <w:r>
        <w:t xml:space="preserve"> (Gen. 27:7), </w:t>
      </w:r>
      <w:r w:rsidRPr="00C158EF">
        <w:rPr>
          <w:i/>
          <w:iCs/>
        </w:rPr>
        <w:t>it foreshadows and teaches you</w:t>
      </w:r>
      <w:r>
        <w:t xml:space="preserve"> here that Esau was a skilled hunter.</w:t>
      </w:r>
    </w:p>
    <w:p w14:paraId="70D5C6C9" w14:textId="49180069" w:rsidR="0077745F" w:rsidRDefault="004D53AC" w:rsidP="004D53AC">
      <w:pPr>
        <w:spacing w:line="360" w:lineRule="auto"/>
      </w:pPr>
      <w:r>
        <w:t xml:space="preserve">The role of the earlier verse is to prevent the reader from being surprised when he reaches the later verse and discovers that Isaac asked Esau to bring him game. The fact that this </w:t>
      </w:r>
      <w:r w:rsidR="00BE3699">
        <w:t>gloss</w:t>
      </w:r>
      <w:r>
        <w:t xml:space="preserve"> includes the phrase </w:t>
      </w:r>
      <w:r w:rsidR="00685595">
        <w:t>‘</w:t>
      </w:r>
      <w:r w:rsidR="00685595">
        <w:rPr>
          <w:rFonts w:hint="cs"/>
          <w:rtl/>
        </w:rPr>
        <w:t>לפי שעתיד לומר</w:t>
      </w:r>
      <w:r w:rsidR="00685595">
        <w:t>’ (</w:t>
      </w:r>
      <w:r w:rsidR="006B7AB4">
        <w:t>‘</w:t>
      </w:r>
      <w:r>
        <w:t>for it will later say</w:t>
      </w:r>
      <w:r w:rsidR="006B7AB4">
        <w:t>’</w:t>
      </w:r>
      <w:r w:rsidR="00685595">
        <w:t>)</w:t>
      </w:r>
      <w:r>
        <w:t>, which</w:t>
      </w:r>
      <w:r w:rsidR="00E11FC5">
        <w:t xml:space="preserve"> is</w:t>
      </w:r>
      <w:r>
        <w:t xml:space="preserve"> also </w:t>
      </w:r>
      <w:r w:rsidR="00E11FC5">
        <w:t>characteristic of</w:t>
      </w:r>
      <w:r>
        <w:t xml:space="preserve"> </w:t>
      </w:r>
      <w:r w:rsidR="002A4717">
        <w:t>Kara</w:t>
      </w:r>
      <w:r w:rsidR="006B7AB4">
        <w:t>’</w:t>
      </w:r>
      <w:r>
        <w:t xml:space="preserve">s commentary (see footnote 40, below), </w:t>
      </w:r>
      <w:r w:rsidR="00067369">
        <w:t>support</w:t>
      </w:r>
      <w:r w:rsidR="00FF1F21">
        <w:t>s</w:t>
      </w:r>
      <w:r>
        <w:t xml:space="preserve"> the </w:t>
      </w:r>
      <w:r w:rsidR="008C69B9">
        <w:t>claim</w:t>
      </w:r>
      <w:r>
        <w:t xml:space="preserve"> that its source is </w:t>
      </w:r>
      <w:r w:rsidR="002A4717">
        <w:t>Kara</w:t>
      </w:r>
      <w:r w:rsidR="006B7AB4">
        <w:t>’</w:t>
      </w:r>
      <w:r>
        <w:t>s commentary.</w:t>
      </w:r>
    </w:p>
    <w:p w14:paraId="7880D9CB" w14:textId="4AD62927" w:rsidR="004D53AC" w:rsidRDefault="004D53AC" w:rsidP="004D53AC">
      <w:pPr>
        <w:spacing w:line="360" w:lineRule="auto"/>
      </w:pPr>
      <w:r w:rsidRPr="004D53AC">
        <w:t>2.</w:t>
      </w:r>
      <w:r>
        <w:t xml:space="preserve"> Later in the </w:t>
      </w:r>
      <w:r w:rsidR="00FF1F21">
        <w:t>gloss</w:t>
      </w:r>
      <w:r>
        <w:t xml:space="preserve">, </w:t>
      </w:r>
      <w:proofErr w:type="spellStart"/>
      <w:r>
        <w:t>Hizkuni</w:t>
      </w:r>
      <w:proofErr w:type="spellEnd"/>
      <w:r>
        <w:t xml:space="preserve"> </w:t>
      </w:r>
      <w:r w:rsidR="00FF1F21">
        <w:t>writes</w:t>
      </w:r>
      <w:r>
        <w:t xml:space="preserve"> the following:</w:t>
      </w:r>
    </w:p>
    <w:p w14:paraId="75749E65" w14:textId="11F378C7" w:rsidR="004D53AC" w:rsidRPr="004D53AC" w:rsidRDefault="004D53AC" w:rsidP="004D53AC">
      <w:pPr>
        <w:bidi/>
        <w:spacing w:line="360" w:lineRule="auto"/>
        <w:ind w:left="357"/>
        <w:rPr>
          <w:rtl/>
        </w:rPr>
      </w:pPr>
      <w:r w:rsidRPr="004D53AC">
        <w:rPr>
          <w:rtl/>
        </w:rPr>
        <w:t xml:space="preserve">ישב אהלים </w:t>
      </w:r>
      <w:r w:rsidRPr="004D53AC">
        <w:rPr>
          <w:rFonts w:hint="cs"/>
          <w:rtl/>
        </w:rPr>
        <w:t>[…]</w:t>
      </w:r>
      <w:r w:rsidRPr="004D53AC">
        <w:rPr>
          <w:rtl/>
        </w:rPr>
        <w:t xml:space="preserve"> ולפי שעתיד לומר שהיה רועה את צאן לבן </w:t>
      </w:r>
      <w:r w:rsidRPr="004D53AC">
        <w:rPr>
          <w:b/>
          <w:bCs/>
          <w:rtl/>
        </w:rPr>
        <w:t>קדם ולמדך</w:t>
      </w:r>
      <w:r w:rsidRPr="004D53AC">
        <w:rPr>
          <w:rtl/>
        </w:rPr>
        <w:t xml:space="preserve"> שאמנתו לרעות צאן</w:t>
      </w:r>
      <w:r w:rsidRPr="004D53AC">
        <w:rPr>
          <w:rFonts w:hint="cs"/>
          <w:rtl/>
        </w:rPr>
        <w:t>.</w:t>
      </w:r>
    </w:p>
    <w:p w14:paraId="0D5263BA" w14:textId="7F9E1F67" w:rsidR="004D53AC" w:rsidRDefault="004D53AC" w:rsidP="004D53AC">
      <w:pPr>
        <w:spacing w:line="360" w:lineRule="auto"/>
        <w:ind w:left="720"/>
      </w:pPr>
      <w:r>
        <w:t>Dwelling in tents […]</w:t>
      </w:r>
      <w:r w:rsidR="0084232F">
        <w:t xml:space="preserve"> </w:t>
      </w:r>
      <w:r w:rsidR="00F86FC4">
        <w:t>S</w:t>
      </w:r>
      <w:r>
        <w:t>ince it will later say that he tended Laban</w:t>
      </w:r>
      <w:r w:rsidR="006B7AB4">
        <w:t>’</w:t>
      </w:r>
      <w:r>
        <w:t xml:space="preserve">s flocks, </w:t>
      </w:r>
      <w:r w:rsidRPr="00F86FC4">
        <w:rPr>
          <w:i/>
          <w:iCs/>
        </w:rPr>
        <w:t>it foreshadows and teaches you</w:t>
      </w:r>
      <w:r>
        <w:t xml:space="preserve"> that he was skilled at shepherding.</w:t>
      </w:r>
    </w:p>
    <w:p w14:paraId="46CD97E8" w14:textId="3598BDFA" w:rsidR="004D53AC" w:rsidRDefault="006C0ED0" w:rsidP="004D53AC">
      <w:pPr>
        <w:spacing w:line="360" w:lineRule="auto"/>
      </w:pPr>
      <w:r>
        <w:t>Here, too, the earlier verse prevents the reader</w:t>
      </w:r>
      <w:r w:rsidR="006B7AB4">
        <w:t>’</w:t>
      </w:r>
      <w:r>
        <w:t>s surprise upon reaching the later verse and discovering that Jacob was appointed Laban</w:t>
      </w:r>
      <w:r w:rsidR="006B7AB4">
        <w:t>’</w:t>
      </w:r>
      <w:r>
        <w:t xml:space="preserve">s shepherd (see Gen. 30:29). Here, too, the fact that this </w:t>
      </w:r>
      <w:r w:rsidR="00982F73">
        <w:t>gloss</w:t>
      </w:r>
      <w:r>
        <w:t xml:space="preserve"> has the phrase </w:t>
      </w:r>
      <w:r w:rsidR="006B7AB4">
        <w:t>‘</w:t>
      </w:r>
      <w:r>
        <w:t>and since it will later say</w:t>
      </w:r>
      <w:r w:rsidR="006B7AB4">
        <w:t>’</w:t>
      </w:r>
      <w:r>
        <w:t xml:space="preserve">, which </w:t>
      </w:r>
      <w:r w:rsidR="00E11FC5">
        <w:t>is also characteristic of</w:t>
      </w:r>
      <w:r>
        <w:t xml:space="preserve"> </w:t>
      </w:r>
      <w:r w:rsidR="002A4717">
        <w:t>Kara</w:t>
      </w:r>
      <w:r w:rsidR="006B7AB4">
        <w:t>’</w:t>
      </w:r>
      <w:r>
        <w:t xml:space="preserve">s commentary, </w:t>
      </w:r>
      <w:r w:rsidR="00067369">
        <w:t>supports</w:t>
      </w:r>
      <w:r>
        <w:t xml:space="preserve"> the </w:t>
      </w:r>
      <w:r w:rsidR="008C69B9">
        <w:t>claim</w:t>
      </w:r>
      <w:r>
        <w:t xml:space="preserve"> that it is sourced in </w:t>
      </w:r>
      <w:r w:rsidR="002A4717">
        <w:t>Kara</w:t>
      </w:r>
      <w:r w:rsidR="006B7AB4">
        <w:t>’</w:t>
      </w:r>
      <w:r>
        <w:t>s writings.</w:t>
      </w:r>
    </w:p>
    <w:p w14:paraId="129489FA" w14:textId="6BE67FA1" w:rsidR="006C0ED0" w:rsidRDefault="006C0ED0" w:rsidP="006C0ED0">
      <w:pPr>
        <w:spacing w:line="360" w:lineRule="auto"/>
      </w:pPr>
      <w:r w:rsidRPr="006C0ED0">
        <w:t>3.</w:t>
      </w:r>
      <w:r>
        <w:t xml:space="preserve"> The Torah relates about Esau</w:t>
      </w:r>
      <w:r w:rsidR="006B7AB4">
        <w:t>’</w:t>
      </w:r>
      <w:r>
        <w:t xml:space="preserve">s wives: </w:t>
      </w:r>
      <w:r w:rsidR="006B7AB4">
        <w:t>‘</w:t>
      </w:r>
      <w:r w:rsidRPr="006C0ED0">
        <w:t>And they brought grief to Isaac and Rebekah</w:t>
      </w:r>
      <w:r w:rsidR="006B7AB4">
        <w:t>’</w:t>
      </w:r>
      <w:r>
        <w:t xml:space="preserve"> (Gen. 26:35). </w:t>
      </w:r>
      <w:r w:rsidR="008C69B9">
        <w:t>Explaining</w:t>
      </w:r>
      <w:r>
        <w:t xml:space="preserve"> this expositional information</w:t>
      </w:r>
      <w:r w:rsidR="00E63BF6">
        <w:t>,</w:t>
      </w:r>
      <w:r>
        <w:t xml:space="preserve"> </w:t>
      </w:r>
      <w:proofErr w:type="spellStart"/>
      <w:r>
        <w:t>Hizkuni</w:t>
      </w:r>
      <w:proofErr w:type="spellEnd"/>
      <w:r>
        <w:t xml:space="preserve"> offers two possibilities. </w:t>
      </w:r>
      <w:r w:rsidR="008C69B9">
        <w:t>F</w:t>
      </w:r>
      <w:r>
        <w:t>irst:</w:t>
      </w:r>
    </w:p>
    <w:p w14:paraId="11A36A66" w14:textId="7663875D" w:rsidR="006C0ED0" w:rsidRDefault="006C0ED0" w:rsidP="006C0ED0">
      <w:pPr>
        <w:bidi/>
        <w:spacing w:line="360" w:lineRule="auto"/>
        <w:ind w:right="720"/>
      </w:pPr>
      <w:r w:rsidRPr="006C0ED0">
        <w:rPr>
          <w:rtl/>
        </w:rPr>
        <w:t xml:space="preserve">ותהיין מרת רוח – לפי שעתיד לומר </w:t>
      </w:r>
      <w:r w:rsidR="00BE06CD">
        <w:rPr>
          <w:rFonts w:hint="cs"/>
          <w:rtl/>
        </w:rPr>
        <w:t>'</w:t>
      </w:r>
      <w:r w:rsidRPr="006C0ED0">
        <w:rPr>
          <w:rtl/>
        </w:rPr>
        <w:t>אם לוקח יעקב אשה מבנות חת כאלה מבנות הארץ למה לי חיים</w:t>
      </w:r>
      <w:r w:rsidR="00BE06CD">
        <w:rPr>
          <w:rFonts w:hint="cs"/>
          <w:rtl/>
        </w:rPr>
        <w:t>'</w:t>
      </w:r>
      <w:r w:rsidRPr="006C0ED0">
        <w:rPr>
          <w:rtl/>
        </w:rPr>
        <w:t xml:space="preserve"> (בר</w:t>
      </w:r>
      <w:r w:rsidR="006B7AB4">
        <w:rPr>
          <w:rtl/>
        </w:rPr>
        <w:t>’</w:t>
      </w:r>
      <w:r w:rsidRPr="006C0ED0">
        <w:rPr>
          <w:rtl/>
        </w:rPr>
        <w:t xml:space="preserve"> כז, מו), </w:t>
      </w:r>
      <w:r w:rsidRPr="006C0ED0">
        <w:rPr>
          <w:b/>
          <w:bCs/>
          <w:rtl/>
        </w:rPr>
        <w:t>קדם ולמדך כאן</w:t>
      </w:r>
      <w:r w:rsidRPr="006C0ED0">
        <w:rPr>
          <w:rtl/>
        </w:rPr>
        <w:t xml:space="preserve"> שלא היו נוחות ליצחק ולרבקה</w:t>
      </w:r>
      <w:r w:rsidRPr="006C0ED0">
        <w:rPr>
          <w:rFonts w:hint="cs"/>
          <w:rtl/>
        </w:rPr>
        <w:t>.</w:t>
      </w:r>
    </w:p>
    <w:p w14:paraId="1E4D9ABB" w14:textId="609E33AD" w:rsidR="006C0ED0" w:rsidRDefault="006C0ED0" w:rsidP="00EA3DE3">
      <w:pPr>
        <w:pStyle w:val="Quote"/>
      </w:pPr>
      <w:r>
        <w:t xml:space="preserve">And they brought grief </w:t>
      </w:r>
      <w:r w:rsidR="00E14753">
        <w:t>–</w:t>
      </w:r>
      <w:r>
        <w:t xml:space="preserve"> </w:t>
      </w:r>
      <w:r w:rsidR="00E14753">
        <w:t>Since it will later say</w:t>
      </w:r>
      <w:r w:rsidR="00CA5DA6">
        <w:t>,</w:t>
      </w:r>
      <w:r w:rsidR="00E14753">
        <w:t xml:space="preserve"> </w:t>
      </w:r>
      <w:r w:rsidR="006B7AB4">
        <w:t>‘</w:t>
      </w:r>
      <w:r w:rsidR="00E14753" w:rsidRPr="00E14753">
        <w:t>If Jacob take</w:t>
      </w:r>
      <w:r w:rsidR="00E14753">
        <w:t>s</w:t>
      </w:r>
      <w:r w:rsidR="00E14753" w:rsidRPr="00E14753">
        <w:t xml:space="preserve"> a wife of the daughters of Heth, such as these, of the daughters of the land, </w:t>
      </w:r>
      <w:r w:rsidR="00E14753">
        <w:t>wherefore should I live</w:t>
      </w:r>
      <w:r w:rsidR="00E14753" w:rsidRPr="00E14753">
        <w:t>?</w:t>
      </w:r>
      <w:r w:rsidR="006B7AB4">
        <w:t>’</w:t>
      </w:r>
      <w:r w:rsidR="00E14753">
        <w:t xml:space="preserve"> (Gen. </w:t>
      </w:r>
      <w:r w:rsidR="00E14753">
        <w:lastRenderedPageBreak/>
        <w:t xml:space="preserve">27:46), </w:t>
      </w:r>
      <w:r w:rsidR="00E14753" w:rsidRPr="00CA5DA6">
        <w:rPr>
          <w:i/>
          <w:iCs/>
        </w:rPr>
        <w:t>i</w:t>
      </w:r>
      <w:r w:rsidR="00CA5DA6" w:rsidRPr="00CA5DA6">
        <w:rPr>
          <w:i/>
          <w:iCs/>
        </w:rPr>
        <w:t>t</w:t>
      </w:r>
      <w:r w:rsidR="00E14753" w:rsidRPr="00CA5DA6">
        <w:rPr>
          <w:i/>
          <w:iCs/>
        </w:rPr>
        <w:t xml:space="preserve"> foreshadows and teaches you here</w:t>
      </w:r>
      <w:r w:rsidR="00E14753">
        <w:t xml:space="preserve"> that they did not please Isaac and Rebecca.</w:t>
      </w:r>
    </w:p>
    <w:p w14:paraId="678A607E" w14:textId="1594A1DC" w:rsidR="00E14753" w:rsidRDefault="007D7288" w:rsidP="00DD04AB">
      <w:pPr>
        <w:spacing w:line="360" w:lineRule="auto"/>
      </w:pPr>
      <w:r>
        <w:t>This suggests that the role of the introductory verse is to solve a later difficulty – the reason for Rebecca</w:t>
      </w:r>
      <w:r w:rsidR="006B7AB4">
        <w:t>’</w:t>
      </w:r>
      <w:r>
        <w:t>s complaint against the daughters of Heth (Gen. 27:46). The introductory verse sheds light on Rebecca</w:t>
      </w:r>
      <w:r w:rsidR="006B7AB4">
        <w:t>’</w:t>
      </w:r>
      <w:r>
        <w:t>s words and explains that she is familiar with daughters of Heth through her acquaintance with her daughters-in-law, Esau</w:t>
      </w:r>
      <w:r w:rsidR="006B7AB4">
        <w:t>’</w:t>
      </w:r>
      <w:r>
        <w:t>s wives.</w:t>
      </w:r>
    </w:p>
    <w:p w14:paraId="32DA57C6" w14:textId="77777777" w:rsidR="00EA3DE3" w:rsidRDefault="007D7288" w:rsidP="00DD04AB">
      <w:pPr>
        <w:spacing w:line="360" w:lineRule="auto"/>
        <w:rPr>
          <w:rtl/>
        </w:rPr>
      </w:pPr>
      <w:proofErr w:type="spellStart"/>
      <w:r>
        <w:t>Rashbam</w:t>
      </w:r>
      <w:proofErr w:type="spellEnd"/>
      <w:r>
        <w:t xml:space="preserve"> proposes a similar explanation:</w:t>
      </w:r>
    </w:p>
    <w:p w14:paraId="1A76726A" w14:textId="77777777" w:rsidR="0043071D" w:rsidRDefault="007D7288" w:rsidP="0043071D">
      <w:pPr>
        <w:pStyle w:val="Quote"/>
        <w:bidi/>
        <w:rPr>
          <w:rtl/>
        </w:rPr>
      </w:pPr>
      <w:r w:rsidRPr="007D7288">
        <w:rPr>
          <w:rtl/>
        </w:rPr>
        <w:t xml:space="preserve">לפי שעתיד לומר </w:t>
      </w:r>
      <w:r w:rsidR="0043071D">
        <w:rPr>
          <w:rFonts w:hint="cs"/>
          <w:rtl/>
        </w:rPr>
        <w:t>'</w:t>
      </w:r>
      <w:r w:rsidRPr="007D7288">
        <w:rPr>
          <w:rtl/>
        </w:rPr>
        <w:t xml:space="preserve">אם לוקח יעקב אשה מבנות חת </w:t>
      </w:r>
      <w:r w:rsidRPr="00AD2AA6">
        <w:rPr>
          <w:rtl/>
        </w:rPr>
        <w:t>כאלה</w:t>
      </w:r>
      <w:r w:rsidR="00EA3DE3" w:rsidRPr="00AD2AA6">
        <w:rPr>
          <w:rFonts w:hint="cs"/>
          <w:rtl/>
        </w:rPr>
        <w:t>'</w:t>
      </w:r>
      <w:r w:rsidR="0043071D">
        <w:rPr>
          <w:rFonts w:hint="cs"/>
          <w:rtl/>
        </w:rPr>
        <w:t xml:space="preserve"> </w:t>
      </w:r>
      <w:r w:rsidRPr="007D7288">
        <w:rPr>
          <w:rtl/>
        </w:rPr>
        <w:t>(בר</w:t>
      </w:r>
      <w:r w:rsidR="006B7AB4">
        <w:rPr>
          <w:rtl/>
        </w:rPr>
        <w:t>’</w:t>
      </w:r>
      <w:r w:rsidRPr="007D7288">
        <w:rPr>
          <w:rtl/>
        </w:rPr>
        <w:t xml:space="preserve"> כז, מו), לכך הוצרך לפרש תחילה</w:t>
      </w:r>
    </w:p>
    <w:p w14:paraId="1C8BDE53" w14:textId="446D2650" w:rsidR="00030D1E" w:rsidRDefault="00013B69" w:rsidP="0043071D">
      <w:pPr>
        <w:pStyle w:val="Quote"/>
      </w:pPr>
      <w:r>
        <w:t xml:space="preserve">Since it will later say </w:t>
      </w:r>
      <w:r w:rsidR="0043071D">
        <w:t>‘</w:t>
      </w:r>
      <w:r>
        <w:t xml:space="preserve">If Jacob takes a wife of the daughters of </w:t>
      </w:r>
      <w:r w:rsidRPr="00AD2AA6">
        <w:t>Heth such as these</w:t>
      </w:r>
      <w:r w:rsidR="0043071D" w:rsidRPr="00AD2AA6">
        <w:t>’</w:t>
      </w:r>
      <w:r>
        <w:t xml:space="preserve"> [Gen. 27:46], therefore it needed to explain this earlier.</w:t>
      </w:r>
    </w:p>
    <w:p w14:paraId="4423DFCB" w14:textId="1FA347C3" w:rsidR="007D7288" w:rsidRDefault="00013B69" w:rsidP="00DD04AB">
      <w:pPr>
        <w:spacing w:line="360" w:lineRule="auto"/>
      </w:pPr>
      <w:r>
        <w:t xml:space="preserve">The content of the </w:t>
      </w:r>
      <w:r w:rsidR="00BE3699">
        <w:t>gloss</w:t>
      </w:r>
      <w:r>
        <w:t xml:space="preserve"> is similar to the previous one, so perhaps </w:t>
      </w:r>
      <w:proofErr w:type="spellStart"/>
      <w:r>
        <w:t>Rashbam</w:t>
      </w:r>
      <w:proofErr w:type="spellEnd"/>
      <w:r>
        <w:t xml:space="preserve"> was the source </w:t>
      </w:r>
      <w:r w:rsidR="00FF3847">
        <w:t>of</w:t>
      </w:r>
      <w:r>
        <w:t xml:space="preserve"> </w:t>
      </w:r>
      <w:proofErr w:type="spellStart"/>
      <w:r>
        <w:t>Hizkuni</w:t>
      </w:r>
      <w:r w:rsidR="006B7AB4">
        <w:t>’</w:t>
      </w:r>
      <w:r>
        <w:t>s</w:t>
      </w:r>
      <w:proofErr w:type="spellEnd"/>
      <w:r>
        <w:t xml:space="preserve"> comment.</w:t>
      </w:r>
      <w:r>
        <w:rPr>
          <w:rStyle w:val="FootnoteReference"/>
        </w:rPr>
        <w:footnoteReference w:id="33"/>
      </w:r>
      <w:r>
        <w:t xml:space="preserve"> However, I think that we cannot ignore the different terminology relat</w:t>
      </w:r>
      <w:r w:rsidR="00FF3847">
        <w:t>ing</w:t>
      </w:r>
      <w:r>
        <w:t xml:space="preserve"> to the anticipatory principle: </w:t>
      </w:r>
      <w:proofErr w:type="spellStart"/>
      <w:r>
        <w:t>Hizkuni</w:t>
      </w:r>
      <w:proofErr w:type="spellEnd"/>
      <w:r>
        <w:t xml:space="preserve"> uses the phrase </w:t>
      </w:r>
      <w:r w:rsidR="006B7AB4">
        <w:t>‘</w:t>
      </w:r>
      <w:r>
        <w:t>it foreshadows and teaches you</w:t>
      </w:r>
      <w:r w:rsidR="006B7AB4">
        <w:t>’</w:t>
      </w:r>
      <w:r>
        <w:t xml:space="preserve">, whereas </w:t>
      </w:r>
      <w:proofErr w:type="spellStart"/>
      <w:r>
        <w:t>Rashbam</w:t>
      </w:r>
      <w:proofErr w:type="spellEnd"/>
      <w:r>
        <w:t xml:space="preserve"> uses the phrase </w:t>
      </w:r>
      <w:r w:rsidR="006B7AB4">
        <w:t>‘</w:t>
      </w:r>
      <w:r>
        <w:t>therefore it needed to explain this earlier</w:t>
      </w:r>
      <w:r w:rsidR="006B7AB4">
        <w:t>’</w:t>
      </w:r>
      <w:r>
        <w:t xml:space="preserve"> (R. Haim Paltiel uses an identical phrase in his commentary, which </w:t>
      </w:r>
      <w:r w:rsidR="00FF3847">
        <w:t>he</w:t>
      </w:r>
      <w:r>
        <w:t xml:space="preserve"> definitely </w:t>
      </w:r>
      <w:r w:rsidR="00FF3847">
        <w:t>took</w:t>
      </w:r>
      <w:r>
        <w:t xml:space="preserve"> from </w:t>
      </w:r>
      <w:proofErr w:type="spellStart"/>
      <w:r>
        <w:t>Rashbam</w:t>
      </w:r>
      <w:proofErr w:type="spellEnd"/>
      <w:r>
        <w:t xml:space="preserve">). Remember that the phrase </w:t>
      </w:r>
      <w:r w:rsidR="006B7AB4">
        <w:t>‘</w:t>
      </w:r>
      <w:r>
        <w:t>it foreshadows and teaches you</w:t>
      </w:r>
      <w:r w:rsidR="006B7AB4">
        <w:t>’</w:t>
      </w:r>
      <w:r w:rsidR="00F230B9">
        <w:t xml:space="preserve"> appears</w:t>
      </w:r>
      <w:r>
        <w:t xml:space="preserve"> only in </w:t>
      </w:r>
      <w:r w:rsidR="002A4717">
        <w:t>Kara</w:t>
      </w:r>
      <w:r w:rsidR="006B7AB4">
        <w:t>’</w:t>
      </w:r>
      <w:r>
        <w:t>s commentary and no</w:t>
      </w:r>
      <w:r w:rsidR="00F230B9">
        <w:t>t</w:t>
      </w:r>
      <w:r>
        <w:t xml:space="preserve"> in </w:t>
      </w:r>
      <w:proofErr w:type="spellStart"/>
      <w:r>
        <w:t>Rashbam</w:t>
      </w:r>
      <w:r w:rsidR="006B7AB4">
        <w:t>’</w:t>
      </w:r>
      <w:r>
        <w:t>s</w:t>
      </w:r>
      <w:proofErr w:type="spellEnd"/>
      <w:r>
        <w:t xml:space="preserve">, and it is hard to believe that </w:t>
      </w:r>
      <w:proofErr w:type="spellStart"/>
      <w:r>
        <w:t>Hizkuni</w:t>
      </w:r>
      <w:proofErr w:type="spellEnd"/>
      <w:r>
        <w:t xml:space="preserve"> changed the wording</w:t>
      </w:r>
      <w:r w:rsidR="00F230B9" w:rsidRPr="00F230B9">
        <w:t xml:space="preserve"> </w:t>
      </w:r>
      <w:r w:rsidR="00F230B9">
        <w:t>himself</w:t>
      </w:r>
      <w:r>
        <w:t xml:space="preserve">. I </w:t>
      </w:r>
      <w:r w:rsidR="00F230B9">
        <w:t xml:space="preserve">therefore </w:t>
      </w:r>
      <w:r w:rsidR="00C9478E">
        <w:t>am convinced</w:t>
      </w:r>
      <w:r>
        <w:t xml:space="preserve"> that the source of this </w:t>
      </w:r>
      <w:r w:rsidR="00982F73">
        <w:t>gloss</w:t>
      </w:r>
      <w:r>
        <w:t xml:space="preserve"> is </w:t>
      </w:r>
      <w:r w:rsidR="002A4717">
        <w:t>Kara</w:t>
      </w:r>
      <w:r w:rsidR="006B7AB4">
        <w:t>’</w:t>
      </w:r>
      <w:r>
        <w:t xml:space="preserve">s lost commentary. Below, I will discuss the broader question regarding the relationship between </w:t>
      </w:r>
      <w:r w:rsidR="002A4717">
        <w:t>Kara</w:t>
      </w:r>
      <w:r w:rsidR="006B7AB4">
        <w:t>’</w:t>
      </w:r>
      <w:r>
        <w:t xml:space="preserve">s commentary and </w:t>
      </w:r>
      <w:proofErr w:type="spellStart"/>
      <w:r>
        <w:t>Rashbam</w:t>
      </w:r>
      <w:r w:rsidR="006B7AB4">
        <w:t>’</w:t>
      </w:r>
      <w:r>
        <w:t>s</w:t>
      </w:r>
      <w:proofErr w:type="spellEnd"/>
      <w:r>
        <w:t xml:space="preserve"> commentary relat</w:t>
      </w:r>
      <w:r w:rsidR="00C9478E">
        <w:t>ing</w:t>
      </w:r>
      <w:r>
        <w:t xml:space="preserve"> to the anticipatory principle.</w:t>
      </w:r>
    </w:p>
    <w:p w14:paraId="1969E8E2" w14:textId="2F02B3C1" w:rsidR="00013B69" w:rsidRPr="00DD04AB" w:rsidRDefault="00DD04AB" w:rsidP="00DD04AB">
      <w:pPr>
        <w:spacing w:line="360" w:lineRule="auto"/>
      </w:pPr>
      <w:r w:rsidRPr="00DD04AB">
        <w:t>4.</w:t>
      </w:r>
      <w:r>
        <w:t xml:space="preserve"> </w:t>
      </w:r>
      <w:proofErr w:type="spellStart"/>
      <w:r w:rsidRPr="00DD04AB">
        <w:t>Hizkuni</w:t>
      </w:r>
      <w:proofErr w:type="spellEnd"/>
      <w:r w:rsidRPr="00DD04AB">
        <w:t xml:space="preserve"> </w:t>
      </w:r>
      <w:r w:rsidR="00C9478E">
        <w:t>cites</w:t>
      </w:r>
      <w:r w:rsidRPr="00DD04AB">
        <w:t xml:space="preserve"> </w:t>
      </w:r>
      <w:r w:rsidR="00C9478E" w:rsidRPr="00DD04AB">
        <w:t xml:space="preserve">also </w:t>
      </w:r>
      <w:r w:rsidRPr="00DD04AB">
        <w:t xml:space="preserve">a second reason to explain the </w:t>
      </w:r>
      <w:r w:rsidR="00863188">
        <w:t>description of Esau’s wives</w:t>
      </w:r>
      <w:r w:rsidRPr="00DD04AB">
        <w:t>:</w:t>
      </w:r>
    </w:p>
    <w:p w14:paraId="73AE6BEC" w14:textId="77777777" w:rsidR="00DD04AB" w:rsidRPr="00DD04AB" w:rsidRDefault="00DD04AB" w:rsidP="00DD04AB">
      <w:pPr>
        <w:spacing w:line="360" w:lineRule="auto"/>
        <w:ind w:left="720" w:right="567"/>
        <w:jc w:val="right"/>
        <w:rPr>
          <w:rtl/>
        </w:rPr>
      </w:pPr>
      <w:r w:rsidRPr="00DD04AB">
        <w:rPr>
          <w:rtl/>
        </w:rPr>
        <w:t xml:space="preserve">ועוד: אם היה להם ליצחק ולרבקה נחת רוח מהם היו יושבות בבית אחד, וכשיבא יעקב ליטול את הברכות יהיו מודיעות ליצחק אין זה עשו בכורך. לפיכך </w:t>
      </w:r>
      <w:r w:rsidRPr="00DD04AB">
        <w:rPr>
          <w:b/>
          <w:bCs/>
          <w:rtl/>
        </w:rPr>
        <w:t>קדם ולימדך כאן</w:t>
      </w:r>
      <w:r w:rsidRPr="00DD04AB">
        <w:rPr>
          <w:rtl/>
        </w:rPr>
        <w:t xml:space="preserve"> שהיו מורת רוח ליצחק וגרשם מביתו.</w:t>
      </w:r>
    </w:p>
    <w:p w14:paraId="52CDC61A" w14:textId="4EDE5296" w:rsidR="00DD04AB" w:rsidRPr="00DD04AB" w:rsidRDefault="00DD04AB" w:rsidP="00DD04AB">
      <w:pPr>
        <w:spacing w:line="360" w:lineRule="auto"/>
        <w:ind w:left="720"/>
      </w:pPr>
      <w:r>
        <w:t>In addition, if they had pleased Isaac and Rebecca</w:t>
      </w:r>
      <w:r w:rsidR="00863188">
        <w:t>,</w:t>
      </w:r>
      <w:r>
        <w:t xml:space="preserve"> they would have dwelt in one house, and when Jacob came to take the blessings, they would have informed Isaac that this is not his firstborn Esau. Therefore, </w:t>
      </w:r>
      <w:r w:rsidRPr="00581477">
        <w:rPr>
          <w:i/>
          <w:iCs/>
        </w:rPr>
        <w:t>it foreshadows and teaches you here</w:t>
      </w:r>
      <w:r>
        <w:t xml:space="preserve"> that they did not please Isaac</w:t>
      </w:r>
      <w:r w:rsidR="00581477">
        <w:t>,</w:t>
      </w:r>
      <w:r>
        <w:t xml:space="preserve"> and he had banished them from his home.</w:t>
      </w:r>
    </w:p>
    <w:p w14:paraId="056FEC78" w14:textId="4659169D" w:rsidR="006C0ED0" w:rsidRDefault="00D15F28" w:rsidP="00DD04AB">
      <w:pPr>
        <w:spacing w:line="360" w:lineRule="auto"/>
      </w:pPr>
      <w:r>
        <w:lastRenderedPageBreak/>
        <w:t>According to this second option,</w:t>
      </w:r>
      <w:r w:rsidR="000317E9">
        <w:t xml:space="preserve"> the story of Jacob stealing Esau</w:t>
      </w:r>
      <w:r w:rsidR="006B7AB4">
        <w:t>’</w:t>
      </w:r>
      <w:r w:rsidR="000317E9">
        <w:t>s blessings raises a problem: How was Jacob able to deceive his father when Esau</w:t>
      </w:r>
      <w:r w:rsidR="006B7AB4">
        <w:t>’</w:t>
      </w:r>
      <w:r w:rsidR="000317E9">
        <w:t xml:space="preserve">s wives (who </w:t>
      </w:r>
      <w:r w:rsidR="007D7BB6">
        <w:t>were</w:t>
      </w:r>
      <w:r w:rsidR="000317E9">
        <w:t xml:space="preserve"> not blind like Isaac) would have exposed his identity and let Isaac know that he is an imposter</w:t>
      </w:r>
      <w:r w:rsidR="007D7BB6">
        <w:t>?</w:t>
      </w:r>
      <w:r w:rsidR="000317E9">
        <w:t xml:space="preserve"> The </w:t>
      </w:r>
      <w:r w:rsidR="006D4277">
        <w:t>anticipatory</w:t>
      </w:r>
      <w:r w:rsidR="000317E9">
        <w:t xml:space="preserve"> verse solves this problem by telling us, earlier on, that Isaac had banished his daughters-in-law from his home.</w:t>
      </w:r>
    </w:p>
    <w:p w14:paraId="0CF684F2" w14:textId="2904BC84" w:rsidR="000317E9" w:rsidRDefault="000317E9" w:rsidP="00DD04AB">
      <w:pPr>
        <w:spacing w:line="360" w:lineRule="auto"/>
      </w:pPr>
      <w:r>
        <w:t>Novetsky (in his edition) suggested that the source of the second gloss is R. Aharon be</w:t>
      </w:r>
      <w:r w:rsidR="00E030CD">
        <w:t>n</w:t>
      </w:r>
      <w:r>
        <w:t xml:space="preserve"> Yosi Hacohen, author of the </w:t>
      </w:r>
      <w:r w:rsidR="00D847EE">
        <w:t>exegetical</w:t>
      </w:r>
      <w:r>
        <w:t xml:space="preserve"> anthology </w:t>
      </w:r>
      <w:r>
        <w:rPr>
          <w:i/>
          <w:iCs/>
        </w:rPr>
        <w:t>Sefer Hagan</w:t>
      </w:r>
      <w:r>
        <w:t>, who writes:</w:t>
      </w:r>
    </w:p>
    <w:p w14:paraId="3A804580" w14:textId="121BA912" w:rsidR="000317E9" w:rsidRDefault="000317E9" w:rsidP="000317E9">
      <w:pPr>
        <w:spacing w:line="360" w:lineRule="auto"/>
        <w:ind w:left="720"/>
        <w:jc w:val="right"/>
      </w:pPr>
      <w:r w:rsidRPr="000317E9">
        <w:rPr>
          <w:rFonts w:hint="cs"/>
          <w:rtl/>
        </w:rPr>
        <w:t xml:space="preserve">לכך הזכיר רעתן, שלא תתמה איך עשתה רבקה </w:t>
      </w:r>
      <w:r w:rsidRPr="00AD2AA6">
        <w:rPr>
          <w:rFonts w:hint="cs"/>
          <w:rtl/>
        </w:rPr>
        <w:t xml:space="preserve">ליעקב </w:t>
      </w:r>
      <w:r w:rsidRPr="000317E9">
        <w:rPr>
          <w:rFonts w:hint="cs"/>
          <w:rtl/>
        </w:rPr>
        <w:t xml:space="preserve">מטעמים כדי להעביר הברכה מעשו </w:t>
      </w:r>
      <w:r w:rsidRPr="000317E9">
        <w:rPr>
          <w:rtl/>
        </w:rPr>
        <w:t>–</w:t>
      </w:r>
      <w:r w:rsidRPr="000317E9">
        <w:rPr>
          <w:rFonts w:hint="cs"/>
          <w:rtl/>
        </w:rPr>
        <w:t xml:space="preserve"> וליצחק נתחלף עשו ביעקב. ולא הרגישה אחת מנשיו לגלות ליצחק את העניין כדי שלא יפסיד הברכות. לכך כתב שהיו </w:t>
      </w:r>
      <w:r w:rsidR="006B7AB4">
        <w:rPr>
          <w:rtl/>
        </w:rPr>
        <w:t>‘</w:t>
      </w:r>
      <w:r w:rsidRPr="000317E9">
        <w:rPr>
          <w:rFonts w:hint="cs"/>
          <w:rtl/>
        </w:rPr>
        <w:t>מורת רוח</w:t>
      </w:r>
      <w:r w:rsidR="006B7AB4">
        <w:rPr>
          <w:rtl/>
        </w:rPr>
        <w:t>’</w:t>
      </w:r>
      <w:r w:rsidRPr="000317E9">
        <w:rPr>
          <w:rFonts w:hint="cs"/>
          <w:rtl/>
        </w:rPr>
        <w:t xml:space="preserve"> ורחקו מעליהן ולא היו יודעות בטיב הברית כלום</w:t>
      </w:r>
      <w:r w:rsidR="00F921AE">
        <w:rPr>
          <w:rFonts w:hint="cs"/>
          <w:rtl/>
        </w:rPr>
        <w:t>.</w:t>
      </w:r>
    </w:p>
    <w:p w14:paraId="6BFFE6C8" w14:textId="77708F30" w:rsidR="000317E9" w:rsidRDefault="00B01B97" w:rsidP="000317E9">
      <w:pPr>
        <w:spacing w:line="360" w:lineRule="auto"/>
        <w:ind w:left="720"/>
      </w:pPr>
      <w:r>
        <w:t>Therefore</w:t>
      </w:r>
      <w:r w:rsidR="00360FC4">
        <w:t>,</w:t>
      </w:r>
      <w:r>
        <w:t xml:space="preserve"> he mentioned their </w:t>
      </w:r>
      <w:r w:rsidR="003808B7">
        <w:t>wicked</w:t>
      </w:r>
      <w:r>
        <w:t xml:space="preserve">ness, </w:t>
      </w:r>
      <w:r w:rsidR="003808B7">
        <w:t>so you would not wonder how Rebecca prepared savo</w:t>
      </w:r>
      <w:r w:rsidR="003C317B">
        <w:t>ry</w:t>
      </w:r>
      <w:r w:rsidR="003808B7">
        <w:t xml:space="preserve"> food for </w:t>
      </w:r>
      <w:r w:rsidR="003808B7" w:rsidRPr="003A53A5">
        <w:t>Jacob</w:t>
      </w:r>
      <w:r w:rsidR="003808B7">
        <w:t xml:space="preserve"> to transfer the blessing from Esau – and how Isaac confused Jacob for Esau.</w:t>
      </w:r>
      <w:r w:rsidR="00E23166">
        <w:t xml:space="preserve"> Neither </w:t>
      </w:r>
      <w:r w:rsidR="003808B7">
        <w:t xml:space="preserve">of his wives </w:t>
      </w:r>
      <w:r w:rsidR="007C62D1">
        <w:t>noticed</w:t>
      </w:r>
      <w:r w:rsidR="003808B7">
        <w:t xml:space="preserve"> to disclose the </w:t>
      </w:r>
      <w:r w:rsidR="007C62D1">
        <w:t>matter</w:t>
      </w:r>
      <w:r w:rsidR="003808B7">
        <w:t xml:space="preserve"> to Isaac so that he would not lose the blessings</w:t>
      </w:r>
      <w:r w:rsidR="007C62D1">
        <w:t>.</w:t>
      </w:r>
      <w:r w:rsidR="003808B7">
        <w:t xml:space="preserve"> Therefore</w:t>
      </w:r>
      <w:r w:rsidR="00360FC4">
        <w:t>, it says that they ‘brought grief’ and were removed, so they</w:t>
      </w:r>
      <w:r w:rsidR="003808B7">
        <w:t xml:space="preserve"> were not at all aware of the covenant.</w:t>
      </w:r>
      <w:r w:rsidR="003808B7">
        <w:rPr>
          <w:rStyle w:val="FootnoteReference"/>
        </w:rPr>
        <w:footnoteReference w:id="34"/>
      </w:r>
    </w:p>
    <w:p w14:paraId="52E28A00" w14:textId="1E844108" w:rsidR="003808B7" w:rsidRDefault="003808B7" w:rsidP="003808B7">
      <w:pPr>
        <w:spacing w:line="360" w:lineRule="auto"/>
      </w:pPr>
      <w:r>
        <w:t xml:space="preserve">The content is very similar, and </w:t>
      </w:r>
      <w:r>
        <w:rPr>
          <w:i/>
          <w:iCs/>
        </w:rPr>
        <w:t>Sefer Hagan</w:t>
      </w:r>
      <w:r w:rsidR="006B7AB4">
        <w:t>’</w:t>
      </w:r>
      <w:r>
        <w:t xml:space="preserve">s influence on </w:t>
      </w:r>
      <w:proofErr w:type="spellStart"/>
      <w:r>
        <w:t>Hizkuni</w:t>
      </w:r>
      <w:proofErr w:type="spellEnd"/>
      <w:r>
        <w:t xml:space="preserve"> is well-established.</w:t>
      </w:r>
      <w:r>
        <w:rPr>
          <w:rStyle w:val="FootnoteReference"/>
        </w:rPr>
        <w:footnoteReference w:id="35"/>
      </w:r>
      <w:r>
        <w:t xml:space="preserve"> However, the singular phrase </w:t>
      </w:r>
      <w:r w:rsidR="006B7AB4">
        <w:t>‘</w:t>
      </w:r>
      <w:r>
        <w:t>it foreshadows and teaches you</w:t>
      </w:r>
      <w:r w:rsidR="006B7AB4">
        <w:t>’</w:t>
      </w:r>
      <w:r>
        <w:t xml:space="preserve"> </w:t>
      </w:r>
      <w:r w:rsidR="00787C67">
        <w:t xml:space="preserve">does not appear anywhere in </w:t>
      </w:r>
      <w:r w:rsidR="00787C67" w:rsidRPr="003A53A5">
        <w:rPr>
          <w:i/>
          <w:iCs/>
        </w:rPr>
        <w:t>Sefer Hagan</w:t>
      </w:r>
      <w:r w:rsidR="00787C67">
        <w:t>, which</w:t>
      </w:r>
      <w:r>
        <w:t xml:space="preserve"> teaches us that </w:t>
      </w:r>
      <w:proofErr w:type="spellStart"/>
      <w:r>
        <w:t>Hizkuni</w:t>
      </w:r>
      <w:r w:rsidR="006B7AB4">
        <w:t>’</w:t>
      </w:r>
      <w:r>
        <w:t>s</w:t>
      </w:r>
      <w:proofErr w:type="spellEnd"/>
      <w:r>
        <w:t xml:space="preserve"> source was probably </w:t>
      </w:r>
      <w:r w:rsidR="009224AA">
        <w:t>Kara</w:t>
      </w:r>
      <w:r>
        <w:t xml:space="preserve">. What appears in </w:t>
      </w:r>
      <w:r>
        <w:rPr>
          <w:i/>
          <w:iCs/>
        </w:rPr>
        <w:t xml:space="preserve">Sefer Hagan </w:t>
      </w:r>
      <w:r>
        <w:t xml:space="preserve">and other places is most likely an adaptation of </w:t>
      </w:r>
      <w:r w:rsidR="009224AA">
        <w:t>Kara</w:t>
      </w:r>
      <w:r w:rsidR="006B7AB4">
        <w:t>’</w:t>
      </w:r>
      <w:r>
        <w:t>s original gloss.</w:t>
      </w:r>
      <w:r>
        <w:rPr>
          <w:rStyle w:val="FootnoteReference"/>
        </w:rPr>
        <w:footnoteReference w:id="36"/>
      </w:r>
    </w:p>
    <w:p w14:paraId="2489FBDE" w14:textId="0618F14E" w:rsidR="00E030CD" w:rsidRDefault="007D67F6" w:rsidP="007D67F6">
      <w:pPr>
        <w:spacing w:line="360" w:lineRule="auto"/>
      </w:pPr>
      <w:r w:rsidRPr="007D67F6">
        <w:t>5.</w:t>
      </w:r>
      <w:r>
        <w:t xml:space="preserve"> Genesis 35:22 relates: </w:t>
      </w:r>
      <w:r w:rsidR="006B7AB4">
        <w:t>‘</w:t>
      </w:r>
      <w:r w:rsidRPr="007D67F6">
        <w:t>And it came to pass, while Israel dwelt in that land, that Reuben went and lay with Bilhah</w:t>
      </w:r>
      <w:r w:rsidR="00787C67">
        <w:t>,</w:t>
      </w:r>
      <w:r w:rsidRPr="007D67F6">
        <w:t xml:space="preserve"> his father</w:t>
      </w:r>
      <w:r w:rsidR="006B7AB4">
        <w:t>’</w:t>
      </w:r>
      <w:r w:rsidRPr="007D67F6">
        <w:t>s concubine; and Israel heard of it</w:t>
      </w:r>
      <w:r w:rsidR="0037213E">
        <w:t>.</w:t>
      </w:r>
      <w:r w:rsidR="006B7AB4">
        <w:t>’</w:t>
      </w:r>
      <w:r>
        <w:t xml:space="preserve"> </w:t>
      </w:r>
      <w:proofErr w:type="spellStart"/>
      <w:r>
        <w:t>Hizkuni</w:t>
      </w:r>
      <w:proofErr w:type="spellEnd"/>
      <w:r>
        <w:t xml:space="preserve"> writes:</w:t>
      </w:r>
    </w:p>
    <w:p w14:paraId="3C2BEF5C" w14:textId="23DE1918" w:rsidR="007D67F6" w:rsidRDefault="007D67F6" w:rsidP="007D67F6">
      <w:pPr>
        <w:spacing w:line="360" w:lineRule="auto"/>
        <w:ind w:left="720"/>
        <w:jc w:val="right"/>
      </w:pPr>
      <w:r w:rsidRPr="007D67F6">
        <w:rPr>
          <w:rtl/>
        </w:rPr>
        <w:t>מקרא ד</w:t>
      </w:r>
      <w:r w:rsidR="00787C67">
        <w:rPr>
          <w:rFonts w:hint="cs"/>
          <w:rtl/>
        </w:rPr>
        <w:t>'</w:t>
      </w:r>
      <w:r w:rsidRPr="007D67F6">
        <w:rPr>
          <w:rtl/>
        </w:rPr>
        <w:t>וישמע</w:t>
      </w:r>
      <w:r w:rsidR="00787C67">
        <w:rPr>
          <w:rFonts w:hint="cs"/>
          <w:rtl/>
        </w:rPr>
        <w:t>'</w:t>
      </w:r>
      <w:r w:rsidRPr="007D67F6">
        <w:rPr>
          <w:rtl/>
        </w:rPr>
        <w:t xml:space="preserve"> נכתב שלא תתמה לכשתגיע ל</w:t>
      </w:r>
      <w:r w:rsidR="00787C67">
        <w:rPr>
          <w:rFonts w:hint="cs"/>
          <w:rtl/>
        </w:rPr>
        <w:t>'</w:t>
      </w:r>
      <w:r w:rsidRPr="007D67F6">
        <w:rPr>
          <w:rtl/>
        </w:rPr>
        <w:t>כי עלית משכבי אביך</w:t>
      </w:r>
      <w:r w:rsidR="00787C67">
        <w:rPr>
          <w:rFonts w:hint="cs"/>
          <w:rtl/>
        </w:rPr>
        <w:t>'</w:t>
      </w:r>
      <w:r w:rsidRPr="007D67F6">
        <w:rPr>
          <w:rtl/>
        </w:rPr>
        <w:t xml:space="preserve"> (בר</w:t>
      </w:r>
      <w:r w:rsidR="00787C67">
        <w:rPr>
          <w:rFonts w:hint="cs"/>
          <w:rtl/>
        </w:rPr>
        <w:t>'</w:t>
      </w:r>
      <w:r w:rsidRPr="007D67F6">
        <w:rPr>
          <w:rtl/>
        </w:rPr>
        <w:t xml:space="preserve"> מט, ד) לומר מי הגיד לו ליעקב. לפיכך </w:t>
      </w:r>
      <w:r w:rsidRPr="007D67F6">
        <w:rPr>
          <w:b/>
          <w:bCs/>
          <w:rtl/>
        </w:rPr>
        <w:t>קדם כאן ולמדך</w:t>
      </w:r>
      <w:r w:rsidRPr="007D67F6">
        <w:rPr>
          <w:rtl/>
        </w:rPr>
        <w:t xml:space="preserve"> ששמע</w:t>
      </w:r>
      <w:r w:rsidRPr="007D67F6">
        <w:rPr>
          <w:rFonts w:hint="cs"/>
          <w:rtl/>
        </w:rPr>
        <w:t>.</w:t>
      </w:r>
    </w:p>
    <w:p w14:paraId="5EC3EDA6" w14:textId="1B9BFCCC" w:rsidR="007D67F6" w:rsidRDefault="006B7AB4" w:rsidP="007D67F6">
      <w:pPr>
        <w:spacing w:line="360" w:lineRule="auto"/>
        <w:ind w:left="720"/>
      </w:pPr>
      <w:r>
        <w:t>‘</w:t>
      </w:r>
      <w:r w:rsidR="007D67F6">
        <w:t>And [Israel] heard of it</w:t>
      </w:r>
      <w:r>
        <w:t>’</w:t>
      </w:r>
      <w:r w:rsidR="007D67F6">
        <w:t xml:space="preserve"> was written so that you will not</w:t>
      </w:r>
      <w:r w:rsidR="00F921AE">
        <w:t xml:space="preserve"> wonder,</w:t>
      </w:r>
      <w:r w:rsidR="007D67F6">
        <w:t xml:space="preserve"> when you reach </w:t>
      </w:r>
      <w:r>
        <w:t>‘</w:t>
      </w:r>
      <w:r w:rsidR="007D67F6" w:rsidRPr="007D67F6">
        <w:t>For you</w:t>
      </w:r>
      <w:r w:rsidR="00F921AE">
        <w:t xml:space="preserve"> went</w:t>
      </w:r>
      <w:r w:rsidR="007D67F6" w:rsidRPr="007D67F6">
        <w:t xml:space="preserve"> up </w:t>
      </w:r>
      <w:r w:rsidR="00F921AE">
        <w:t xml:space="preserve">to </w:t>
      </w:r>
      <w:r w:rsidR="007D67F6" w:rsidRPr="007D67F6">
        <w:t>your father</w:t>
      </w:r>
      <w:r>
        <w:t>’</w:t>
      </w:r>
      <w:r w:rsidR="007D67F6" w:rsidRPr="007D67F6">
        <w:t>s bed</w:t>
      </w:r>
      <w:r>
        <w:t>’</w:t>
      </w:r>
      <w:r w:rsidR="00F921AE">
        <w:t xml:space="preserve"> (Gen. 49:4), who told Jacob. Therefore, </w:t>
      </w:r>
      <w:r w:rsidR="00F921AE" w:rsidRPr="00CC3FCD">
        <w:rPr>
          <w:i/>
          <w:iCs/>
        </w:rPr>
        <w:t>it foreshadows and teaches you here</w:t>
      </w:r>
      <w:r w:rsidR="00F921AE">
        <w:t xml:space="preserve"> that he had heard.</w:t>
      </w:r>
    </w:p>
    <w:p w14:paraId="3FBE62C6" w14:textId="2D624843" w:rsidR="00F921AE" w:rsidRDefault="00F921AE" w:rsidP="00F921AE">
      <w:pPr>
        <w:spacing w:line="360" w:lineRule="auto"/>
      </w:pPr>
      <w:r>
        <w:t xml:space="preserve">The difficulty with the earlier verse is </w:t>
      </w:r>
      <w:r w:rsidR="006F5B8C">
        <w:t xml:space="preserve">why </w:t>
      </w:r>
      <w:r>
        <w:t xml:space="preserve">it mentions that Jacob </w:t>
      </w:r>
      <w:r w:rsidR="006B7AB4">
        <w:t>‘</w:t>
      </w:r>
      <w:r>
        <w:t>heard</w:t>
      </w:r>
      <w:r w:rsidR="006B7AB4">
        <w:t>’</w:t>
      </w:r>
      <w:r>
        <w:t xml:space="preserve"> about Reuben</w:t>
      </w:r>
      <w:r w:rsidR="006B7AB4">
        <w:t>’</w:t>
      </w:r>
      <w:r>
        <w:t>s act. The later verse</w:t>
      </w:r>
      <w:r w:rsidR="00831447">
        <w:t>,</w:t>
      </w:r>
      <w:r>
        <w:t xml:space="preserve"> </w:t>
      </w:r>
      <w:r w:rsidR="00831447">
        <w:t>which</w:t>
      </w:r>
      <w:r>
        <w:t xml:space="preserve"> appears when Jacob blesses his sons</w:t>
      </w:r>
      <w:r w:rsidR="00831447">
        <w:t>,</w:t>
      </w:r>
      <w:r>
        <w:t xml:space="preserve"> raises the question – </w:t>
      </w:r>
      <w:r w:rsidR="00CC3FCD">
        <w:t>h</w:t>
      </w:r>
      <w:r>
        <w:t xml:space="preserve">ow did </w:t>
      </w:r>
      <w:r>
        <w:lastRenderedPageBreak/>
        <w:t>Jacob know about his son</w:t>
      </w:r>
      <w:r w:rsidR="006B7AB4">
        <w:t>’</w:t>
      </w:r>
      <w:r>
        <w:t>s deed? This difficulty is solved by the information given in the introductory verse.</w:t>
      </w:r>
    </w:p>
    <w:p w14:paraId="3960092E" w14:textId="2A63917F" w:rsidR="00F921AE" w:rsidRDefault="00F921AE" w:rsidP="00F921AE">
      <w:pPr>
        <w:spacing w:line="360" w:lineRule="auto"/>
      </w:pPr>
      <w:proofErr w:type="spellStart"/>
      <w:r>
        <w:t>Rashbam</w:t>
      </w:r>
      <w:proofErr w:type="spellEnd"/>
      <w:r>
        <w:t xml:space="preserve"> similarly explained the relation between the introductory verse and the later verse. This is what he wrote in his gloss on Gen. 1:1:</w:t>
      </w:r>
    </w:p>
    <w:p w14:paraId="750FCE00" w14:textId="19EC7886" w:rsidR="00F921AE" w:rsidRDefault="003F5D2A" w:rsidP="00F921AE">
      <w:pPr>
        <w:spacing w:line="360" w:lineRule="auto"/>
        <w:ind w:left="720"/>
        <w:jc w:val="right"/>
        <w:rPr>
          <w:rtl/>
        </w:rPr>
      </w:pPr>
      <w:r>
        <w:rPr>
          <w:rFonts w:hint="cs"/>
          <w:rtl/>
        </w:rPr>
        <w:t>'</w:t>
      </w:r>
      <w:r w:rsidR="00F921AE" w:rsidRPr="00F921AE">
        <w:rPr>
          <w:rtl/>
        </w:rPr>
        <w:t>וישכב את בלהה פלגש אביו וישמע ישראל</w:t>
      </w:r>
      <w:r>
        <w:rPr>
          <w:rFonts w:hint="cs"/>
          <w:rtl/>
        </w:rPr>
        <w:t>'</w:t>
      </w:r>
      <w:r w:rsidR="00F921AE" w:rsidRPr="00F921AE">
        <w:rPr>
          <w:rtl/>
        </w:rPr>
        <w:t xml:space="preserve"> (בר</w:t>
      </w:r>
      <w:r>
        <w:rPr>
          <w:rFonts w:hint="cs"/>
          <w:rtl/>
        </w:rPr>
        <w:t>'</w:t>
      </w:r>
      <w:r w:rsidR="00F921AE" w:rsidRPr="00F921AE">
        <w:rPr>
          <w:rtl/>
        </w:rPr>
        <w:t xml:space="preserve"> לה, כב), למה נכתב כאן </w:t>
      </w:r>
      <w:r>
        <w:rPr>
          <w:rFonts w:hint="cs"/>
          <w:rtl/>
        </w:rPr>
        <w:t>'</w:t>
      </w:r>
      <w:r w:rsidR="00F921AE" w:rsidRPr="00F921AE">
        <w:rPr>
          <w:rtl/>
        </w:rPr>
        <w:t>וישמע ישראל</w:t>
      </w:r>
      <w:r>
        <w:rPr>
          <w:rFonts w:hint="cs"/>
          <w:rtl/>
        </w:rPr>
        <w:t>'</w:t>
      </w:r>
      <w:r w:rsidR="00F921AE" w:rsidRPr="00F921AE">
        <w:rPr>
          <w:rtl/>
        </w:rPr>
        <w:t xml:space="preserve">, והלא לא נכתב כאן שדיבר יעקב מאומה על ראובן? אלא לפי שבשעת פטירתו אמר </w:t>
      </w:r>
      <w:r>
        <w:rPr>
          <w:rFonts w:hint="cs"/>
          <w:rtl/>
        </w:rPr>
        <w:t>'</w:t>
      </w:r>
      <w:r w:rsidR="00F921AE" w:rsidRPr="00F921AE">
        <w:rPr>
          <w:rtl/>
        </w:rPr>
        <w:t>פחז כמים אל תותר כי עלית משכבי אביך אז חללת יצועי עלה</w:t>
      </w:r>
      <w:r>
        <w:rPr>
          <w:rFonts w:hint="cs"/>
          <w:rtl/>
        </w:rPr>
        <w:t>'</w:t>
      </w:r>
      <w:r w:rsidR="00F921AE" w:rsidRPr="00F921AE">
        <w:rPr>
          <w:rtl/>
        </w:rPr>
        <w:t xml:space="preserve"> (בר</w:t>
      </w:r>
      <w:r w:rsidR="006B7AB4">
        <w:rPr>
          <w:rtl/>
        </w:rPr>
        <w:t>’</w:t>
      </w:r>
      <w:r w:rsidR="00F921AE" w:rsidRPr="00F921AE">
        <w:rPr>
          <w:rtl/>
        </w:rPr>
        <w:t xml:space="preserve"> מט, ד), לפיכך הקדים </w:t>
      </w:r>
      <w:r>
        <w:rPr>
          <w:rFonts w:hint="cs"/>
          <w:rtl/>
        </w:rPr>
        <w:t>'</w:t>
      </w:r>
      <w:r w:rsidR="00F921AE" w:rsidRPr="00F921AE">
        <w:rPr>
          <w:rtl/>
        </w:rPr>
        <w:t>וישמע ישראל</w:t>
      </w:r>
      <w:r>
        <w:rPr>
          <w:rFonts w:hint="cs"/>
          <w:rtl/>
        </w:rPr>
        <w:t>'</w:t>
      </w:r>
      <w:r w:rsidR="00F921AE" w:rsidRPr="00F921AE">
        <w:rPr>
          <w:rtl/>
        </w:rPr>
        <w:t>, שלא תתמה בראותך שהוכיחו על כך בסוף ימיו</w:t>
      </w:r>
      <w:r w:rsidR="00F921AE">
        <w:rPr>
          <w:rFonts w:hint="cs"/>
          <w:rtl/>
        </w:rPr>
        <w:t>.</w:t>
      </w:r>
    </w:p>
    <w:p w14:paraId="545F8DD0" w14:textId="2FE8F580" w:rsidR="00F921AE" w:rsidRDefault="003F5D2A" w:rsidP="00F921AE">
      <w:pPr>
        <w:spacing w:line="360" w:lineRule="auto"/>
        <w:ind w:left="720"/>
      </w:pPr>
      <w:r>
        <w:t>‘</w:t>
      </w:r>
      <w:r w:rsidR="00F921AE" w:rsidRPr="00F921AE">
        <w:t>Reuben went and lay with Bilhah his father</w:t>
      </w:r>
      <w:r w:rsidR="006B7AB4">
        <w:t>’</w:t>
      </w:r>
      <w:r w:rsidR="00F921AE" w:rsidRPr="00F921AE">
        <w:t>s concubine; and Israel heard of it</w:t>
      </w:r>
      <w:r>
        <w:t>’</w:t>
      </w:r>
      <w:r w:rsidR="00F921AE">
        <w:t xml:space="preserve"> (Gen. 35:22). Why is it written here, </w:t>
      </w:r>
      <w:r w:rsidR="006B7AB4">
        <w:t>‘</w:t>
      </w:r>
      <w:r w:rsidR="00F921AE">
        <w:t>and Israel heard of it</w:t>
      </w:r>
      <w:r w:rsidR="006B7AB4">
        <w:t>’</w:t>
      </w:r>
      <w:r w:rsidR="00F921AE">
        <w:t>, since nothing is written here of Jacob saying anything to Reuben? But on his deathbed</w:t>
      </w:r>
      <w:r w:rsidR="0044287D">
        <w:t>,</w:t>
      </w:r>
      <w:r w:rsidR="00F921AE">
        <w:t xml:space="preserve"> he said</w:t>
      </w:r>
      <w:r w:rsidR="0044287D">
        <w:t>,</w:t>
      </w:r>
      <w:r w:rsidR="00F921AE">
        <w:t xml:space="preserve"> </w:t>
      </w:r>
      <w:r w:rsidR="006B7AB4">
        <w:t>‘</w:t>
      </w:r>
      <w:r w:rsidR="00F921AE" w:rsidRPr="00F921AE">
        <w:t xml:space="preserve">Unstable as water, you shall not excel, </w:t>
      </w:r>
      <w:r w:rsidR="00F921AE">
        <w:t>b</w:t>
      </w:r>
      <w:r w:rsidR="00F921AE" w:rsidRPr="00F921AE">
        <w:t>ecause you went up to your father</w:t>
      </w:r>
      <w:r w:rsidR="006B7AB4">
        <w:t>’</w:t>
      </w:r>
      <w:r w:rsidR="00F921AE" w:rsidRPr="00F921AE">
        <w:t>s bed</w:t>
      </w:r>
      <w:r w:rsidR="00F921AE">
        <w:t>, t</w:t>
      </w:r>
      <w:r w:rsidR="00F921AE" w:rsidRPr="00F921AE">
        <w:t>hen you defiled it</w:t>
      </w:r>
      <w:r w:rsidR="007114D0">
        <w:t xml:space="preserve"> – </w:t>
      </w:r>
      <w:r w:rsidR="00F921AE" w:rsidRPr="00F921AE">
        <w:t>he went up to my couch</w:t>
      </w:r>
      <w:r w:rsidR="006B7AB4">
        <w:t>’</w:t>
      </w:r>
      <w:r w:rsidR="00F921AE">
        <w:t xml:space="preserve"> (Gen. 49:4)</w:t>
      </w:r>
      <w:r w:rsidR="0031268A">
        <w:t>. T</w:t>
      </w:r>
      <w:r w:rsidR="00F921AE">
        <w:t xml:space="preserve">herefore </w:t>
      </w:r>
      <w:r w:rsidR="00137022">
        <w:t>this was</w:t>
      </w:r>
      <w:r w:rsidR="009C28E5">
        <w:t xml:space="preserve"> preceded by</w:t>
      </w:r>
      <w:r w:rsidR="0031268A">
        <w:t>,</w:t>
      </w:r>
      <w:r w:rsidR="009C28E5">
        <w:t xml:space="preserve"> </w:t>
      </w:r>
      <w:r w:rsidR="006B7AB4">
        <w:t>‘</w:t>
      </w:r>
      <w:r w:rsidR="009C28E5">
        <w:t>and Israel heard of it</w:t>
      </w:r>
      <w:proofErr w:type="gramStart"/>
      <w:r w:rsidR="006B7AB4">
        <w:t>’</w:t>
      </w:r>
      <w:r w:rsidR="009C28E5">
        <w:t>,</w:t>
      </w:r>
      <w:proofErr w:type="gramEnd"/>
      <w:r w:rsidR="009C28E5">
        <w:t xml:space="preserve"> so you will not wonder when you see that he admonished him for this at the end of his life.</w:t>
      </w:r>
    </w:p>
    <w:p w14:paraId="7525DF61" w14:textId="77777777" w:rsidR="000867AC" w:rsidRDefault="001D0B47" w:rsidP="001D0B47">
      <w:pPr>
        <w:spacing w:line="360" w:lineRule="auto"/>
      </w:pPr>
      <w:r w:rsidRPr="001D0B47">
        <w:t>In his gloss on the verse itself, he wrote</w:t>
      </w:r>
      <w:r w:rsidR="000867AC" w:rsidRPr="000867AC">
        <w:t xml:space="preserve"> </w:t>
      </w:r>
      <w:r w:rsidR="000867AC" w:rsidRPr="001D0B47">
        <w:t>briefly</w:t>
      </w:r>
      <w:r w:rsidRPr="001D0B47">
        <w:t>:</w:t>
      </w:r>
    </w:p>
    <w:p w14:paraId="6438FF58" w14:textId="24C7484C" w:rsidR="000867AC" w:rsidRDefault="001D0B47" w:rsidP="000867AC">
      <w:pPr>
        <w:pStyle w:val="Quote"/>
        <w:bidi/>
        <w:rPr>
          <w:rStyle w:val="QuoteChar"/>
        </w:rPr>
      </w:pPr>
      <w:r w:rsidRPr="001D0B47">
        <w:rPr>
          <w:rtl/>
        </w:rPr>
        <w:t>לא נכתב זה אלא להודיעך שבשביל ששמע יעקב את</w:t>
      </w:r>
      <w:r w:rsidRPr="000867AC">
        <w:rPr>
          <w:rStyle w:val="QuoteChar"/>
          <w:rtl/>
        </w:rPr>
        <w:t xml:space="preserve"> הדבר, אמר לו בשעת צוואתו </w:t>
      </w:r>
      <w:r w:rsidR="007F3AA8">
        <w:rPr>
          <w:rStyle w:val="QuoteChar"/>
          <w:rFonts w:hint="cs"/>
          <w:rtl/>
        </w:rPr>
        <w:t>'</w:t>
      </w:r>
      <w:r w:rsidRPr="000867AC">
        <w:rPr>
          <w:rStyle w:val="QuoteChar"/>
          <w:rtl/>
        </w:rPr>
        <w:t>פחז כמים אל תותר כי עלית משכבי אביך</w:t>
      </w:r>
      <w:r w:rsidR="007F3AA8">
        <w:rPr>
          <w:rStyle w:val="QuoteChar"/>
          <w:rFonts w:hint="cs"/>
          <w:rtl/>
        </w:rPr>
        <w:t>'</w:t>
      </w:r>
      <w:r w:rsidRPr="000867AC">
        <w:rPr>
          <w:rStyle w:val="QuoteChar"/>
          <w:rtl/>
        </w:rPr>
        <w:t xml:space="preserve"> (בר</w:t>
      </w:r>
      <w:r w:rsidR="007F3AA8">
        <w:rPr>
          <w:rStyle w:val="QuoteChar"/>
          <w:rFonts w:hint="cs"/>
          <w:rtl/>
        </w:rPr>
        <w:t>'</w:t>
      </w:r>
      <w:r w:rsidRPr="000867AC">
        <w:rPr>
          <w:rStyle w:val="QuoteChar"/>
          <w:rtl/>
        </w:rPr>
        <w:t xml:space="preserve"> מט, ד</w:t>
      </w:r>
      <w:r w:rsidRPr="000867AC">
        <w:rPr>
          <w:rStyle w:val="QuoteChar"/>
          <w:rFonts w:hint="cs"/>
          <w:rtl/>
        </w:rPr>
        <w:t>)</w:t>
      </w:r>
    </w:p>
    <w:p w14:paraId="5604B9A3" w14:textId="53BD4530" w:rsidR="009C28E5" w:rsidRPr="000867AC" w:rsidRDefault="001D0B47" w:rsidP="000867AC">
      <w:pPr>
        <w:pStyle w:val="Quote"/>
        <w:rPr>
          <w:rStyle w:val="QuoteChar"/>
        </w:rPr>
      </w:pPr>
      <w:r w:rsidRPr="000867AC">
        <w:rPr>
          <w:rStyle w:val="QuoteChar"/>
        </w:rPr>
        <w:t xml:space="preserve">This was only written to inform you that since Israel had heard of it, he told him </w:t>
      </w:r>
      <w:r w:rsidR="007F3AA8">
        <w:rPr>
          <w:rStyle w:val="QuoteChar"/>
        </w:rPr>
        <w:t>on</w:t>
      </w:r>
      <w:r w:rsidRPr="000867AC">
        <w:rPr>
          <w:rStyle w:val="QuoteChar"/>
        </w:rPr>
        <w:t xml:space="preserve"> his deathbed</w:t>
      </w:r>
      <w:r w:rsidR="000E72F4">
        <w:rPr>
          <w:rStyle w:val="QuoteChar"/>
        </w:rPr>
        <w:t>,</w:t>
      </w:r>
      <w:r w:rsidRPr="000867AC">
        <w:rPr>
          <w:rStyle w:val="QuoteChar"/>
        </w:rPr>
        <w:t xml:space="preserve"> </w:t>
      </w:r>
      <w:r w:rsidR="007F3AA8">
        <w:rPr>
          <w:rStyle w:val="QuoteChar"/>
        </w:rPr>
        <w:t>‘</w:t>
      </w:r>
      <w:r w:rsidRPr="000867AC">
        <w:rPr>
          <w:rStyle w:val="QuoteChar"/>
        </w:rPr>
        <w:t>Unstable as water, you shall not excel, because you went up to your father</w:t>
      </w:r>
      <w:r w:rsidR="006B7AB4" w:rsidRPr="000867AC">
        <w:rPr>
          <w:rStyle w:val="QuoteChar"/>
        </w:rPr>
        <w:t>’</w:t>
      </w:r>
      <w:r w:rsidRPr="000867AC">
        <w:rPr>
          <w:rStyle w:val="QuoteChar"/>
        </w:rPr>
        <w:t>s bed</w:t>
      </w:r>
      <w:r w:rsidR="007F3AA8">
        <w:rPr>
          <w:rStyle w:val="QuoteChar"/>
        </w:rPr>
        <w:t>’</w:t>
      </w:r>
      <w:r w:rsidRPr="000867AC">
        <w:rPr>
          <w:rStyle w:val="QuoteChar"/>
        </w:rPr>
        <w:t xml:space="preserve"> (Gen. 49:4).</w:t>
      </w:r>
    </w:p>
    <w:p w14:paraId="0080583E" w14:textId="03F20278" w:rsidR="001D0B47" w:rsidRDefault="00137022" w:rsidP="001D0B47">
      <w:pPr>
        <w:spacing w:line="360" w:lineRule="auto"/>
      </w:pPr>
      <w:r>
        <w:t xml:space="preserve">The content of this gloss is identical to </w:t>
      </w:r>
      <w:proofErr w:type="spellStart"/>
      <w:r>
        <w:t>Hizkuni</w:t>
      </w:r>
      <w:r w:rsidR="006B7AB4">
        <w:t>’</w:t>
      </w:r>
      <w:r>
        <w:t>s</w:t>
      </w:r>
      <w:proofErr w:type="spellEnd"/>
      <w:r>
        <w:t xml:space="preserve">, and one could ostensibly claim that </w:t>
      </w:r>
      <w:proofErr w:type="spellStart"/>
      <w:r>
        <w:t>Hizkuni</w:t>
      </w:r>
      <w:r w:rsidR="006B7AB4">
        <w:t>’</w:t>
      </w:r>
      <w:r>
        <w:t>s</w:t>
      </w:r>
      <w:proofErr w:type="spellEnd"/>
      <w:r>
        <w:t xml:space="preserve"> source was </w:t>
      </w:r>
      <w:proofErr w:type="spellStart"/>
      <w:r>
        <w:t>Rashbam</w:t>
      </w:r>
      <w:proofErr w:type="spellEnd"/>
      <w:r>
        <w:t xml:space="preserve">. However, I prefer the theory that </w:t>
      </w:r>
      <w:proofErr w:type="spellStart"/>
      <w:r>
        <w:t>Hizkuni</w:t>
      </w:r>
      <w:r w:rsidR="006B7AB4">
        <w:t>’</w:t>
      </w:r>
      <w:r>
        <w:t>s</w:t>
      </w:r>
      <w:proofErr w:type="spellEnd"/>
      <w:r>
        <w:t xml:space="preserve"> source was not </w:t>
      </w:r>
      <w:proofErr w:type="spellStart"/>
      <w:r>
        <w:t>Rashbam</w:t>
      </w:r>
      <w:proofErr w:type="spellEnd"/>
      <w:r>
        <w:t xml:space="preserve"> but </w:t>
      </w:r>
      <w:r w:rsidR="009224AA">
        <w:t>Kara</w:t>
      </w:r>
      <w:r w:rsidR="006B7AB4">
        <w:t>’</w:t>
      </w:r>
      <w:r>
        <w:t xml:space="preserve">s lost commentary. First, </w:t>
      </w:r>
      <w:r w:rsidR="000E72F4">
        <w:t xml:space="preserve">the gloss contains </w:t>
      </w:r>
      <w:r>
        <w:t xml:space="preserve">the formulation </w:t>
      </w:r>
      <w:r w:rsidR="006B7AB4">
        <w:t>‘</w:t>
      </w:r>
      <w:r>
        <w:t>it foreshadows and teaches you</w:t>
      </w:r>
      <w:r w:rsidR="006B7AB4">
        <w:t>’</w:t>
      </w:r>
      <w:r w:rsidR="000E72F4">
        <w:t xml:space="preserve"> </w:t>
      </w:r>
      <w:r>
        <w:t xml:space="preserve">that is characteristic of </w:t>
      </w:r>
      <w:r w:rsidR="009224AA">
        <w:t xml:space="preserve">Kara </w:t>
      </w:r>
      <w:r>
        <w:t xml:space="preserve">and never appears in </w:t>
      </w:r>
      <w:proofErr w:type="spellStart"/>
      <w:r>
        <w:t>Rashbam</w:t>
      </w:r>
      <w:r w:rsidR="006B7AB4">
        <w:t>’</w:t>
      </w:r>
      <w:r>
        <w:t>s</w:t>
      </w:r>
      <w:proofErr w:type="spellEnd"/>
      <w:r>
        <w:t xml:space="preserve"> commentary. Additionally – there is some resemblance between </w:t>
      </w:r>
      <w:proofErr w:type="spellStart"/>
      <w:r>
        <w:t>Rashbam</w:t>
      </w:r>
      <w:r w:rsidR="006B7AB4">
        <w:t>’</w:t>
      </w:r>
      <w:r>
        <w:t>s</w:t>
      </w:r>
      <w:proofErr w:type="spellEnd"/>
      <w:r>
        <w:t xml:space="preserve"> gloss on Gen. 1:1 and </w:t>
      </w:r>
      <w:proofErr w:type="spellStart"/>
      <w:r>
        <w:t>Hizkuni</w:t>
      </w:r>
      <w:r w:rsidR="006B7AB4">
        <w:t>’</w:t>
      </w:r>
      <w:r>
        <w:t>s</w:t>
      </w:r>
      <w:proofErr w:type="spellEnd"/>
      <w:r>
        <w:t xml:space="preserve"> gloss: The phrase </w:t>
      </w:r>
      <w:r w:rsidR="006B7AB4">
        <w:t>‘</w:t>
      </w:r>
      <w:r>
        <w:t xml:space="preserve">so you </w:t>
      </w:r>
      <w:r w:rsidR="003825B6">
        <w:t>do</w:t>
      </w:r>
      <w:r>
        <w:t xml:space="preserve"> not wonder</w:t>
      </w:r>
      <w:r w:rsidR="006B7AB4">
        <w:t>’</w:t>
      </w:r>
      <w:r>
        <w:t xml:space="preserve"> appears in both places, and the phrase </w:t>
      </w:r>
      <w:r w:rsidR="006B7AB4">
        <w:t>‘</w:t>
      </w:r>
      <w:r>
        <w:t>it foreshadows and teaches you here</w:t>
      </w:r>
      <w:r w:rsidR="006B7AB4">
        <w:t>’</w:t>
      </w:r>
      <w:r>
        <w:t xml:space="preserve"> in </w:t>
      </w:r>
      <w:proofErr w:type="spellStart"/>
      <w:r>
        <w:t>Hizkuni</w:t>
      </w:r>
      <w:proofErr w:type="spellEnd"/>
      <w:r>
        <w:t xml:space="preserve"> is similar to </w:t>
      </w:r>
      <w:r w:rsidR="006B7AB4">
        <w:t>‘</w:t>
      </w:r>
      <w:r>
        <w:t>this was preceded by</w:t>
      </w:r>
      <w:r w:rsidR="006B7AB4">
        <w:t>’</w:t>
      </w:r>
      <w:r>
        <w:t xml:space="preserve"> in </w:t>
      </w:r>
      <w:proofErr w:type="spellStart"/>
      <w:r>
        <w:t>Rashbam</w:t>
      </w:r>
      <w:proofErr w:type="spellEnd"/>
      <w:r>
        <w:t xml:space="preserve">. However, both phrases do not appear in </w:t>
      </w:r>
      <w:proofErr w:type="spellStart"/>
      <w:r>
        <w:t>Rashbam</w:t>
      </w:r>
      <w:r w:rsidR="006B7AB4">
        <w:t>’</w:t>
      </w:r>
      <w:r>
        <w:t>s</w:t>
      </w:r>
      <w:proofErr w:type="spellEnd"/>
      <w:r>
        <w:t xml:space="preserve"> </w:t>
      </w:r>
      <w:r w:rsidR="00D71026">
        <w:t>gloss</w:t>
      </w:r>
      <w:r>
        <w:t xml:space="preserve"> on chapter 35, and there is no resemblance between </w:t>
      </w:r>
      <w:proofErr w:type="spellStart"/>
      <w:r>
        <w:t>Rashbam</w:t>
      </w:r>
      <w:r w:rsidR="006B7AB4">
        <w:t>’</w:t>
      </w:r>
      <w:r>
        <w:t>s</w:t>
      </w:r>
      <w:proofErr w:type="spellEnd"/>
      <w:r>
        <w:t xml:space="preserve"> wording in our verse and </w:t>
      </w:r>
      <w:proofErr w:type="spellStart"/>
      <w:r>
        <w:t>Hizkuni</w:t>
      </w:r>
      <w:r w:rsidR="006B7AB4">
        <w:t>’</w:t>
      </w:r>
      <w:r>
        <w:t>s</w:t>
      </w:r>
      <w:proofErr w:type="spellEnd"/>
      <w:r>
        <w:t xml:space="preserve"> gloss. </w:t>
      </w:r>
      <w:r w:rsidR="00174849">
        <w:t>These data suggest</w:t>
      </w:r>
      <w:r>
        <w:t xml:space="preserve"> that Rasham</w:t>
      </w:r>
      <w:r w:rsidR="006B7AB4">
        <w:t>’</w:t>
      </w:r>
      <w:r>
        <w:t xml:space="preserve">s gloss on this verse is not the source for </w:t>
      </w:r>
      <w:proofErr w:type="spellStart"/>
      <w:r>
        <w:t>Hizkuni</w:t>
      </w:r>
      <w:r w:rsidR="006B7AB4">
        <w:t>’</w:t>
      </w:r>
      <w:r>
        <w:t>s</w:t>
      </w:r>
      <w:proofErr w:type="spellEnd"/>
      <w:r>
        <w:t xml:space="preserve">. I think it more likely that </w:t>
      </w:r>
      <w:proofErr w:type="spellStart"/>
      <w:r>
        <w:t>Hizkuni</w:t>
      </w:r>
      <w:proofErr w:type="spellEnd"/>
      <w:r>
        <w:t xml:space="preserve"> took his gloss from an exegete who explained the verse itself than that he </w:t>
      </w:r>
      <w:r>
        <w:lastRenderedPageBreak/>
        <w:t xml:space="preserve">took his gloss on Gen. 35 from </w:t>
      </w:r>
      <w:proofErr w:type="spellStart"/>
      <w:r>
        <w:t>Rashbam</w:t>
      </w:r>
      <w:r w:rsidR="006B7AB4">
        <w:t>’</w:t>
      </w:r>
      <w:r>
        <w:t>s</w:t>
      </w:r>
      <w:proofErr w:type="spellEnd"/>
      <w:r>
        <w:t xml:space="preserve"> gloss on Gen. 1. To these considerations, I would like to add that the wording that appears in </w:t>
      </w:r>
      <w:proofErr w:type="spellStart"/>
      <w:r>
        <w:t>Hizkuni</w:t>
      </w:r>
      <w:r w:rsidR="006B7AB4">
        <w:t>’</w:t>
      </w:r>
      <w:r>
        <w:t>s</w:t>
      </w:r>
      <w:proofErr w:type="spellEnd"/>
      <w:r>
        <w:t xml:space="preserve"> gloss is very </w:t>
      </w:r>
      <w:proofErr w:type="gramStart"/>
      <w:r w:rsidR="00AC2FA0" w:rsidRPr="00AC2FA0">
        <w:t>accurate</w:t>
      </w:r>
      <w:r>
        <w:t>, and</w:t>
      </w:r>
      <w:proofErr w:type="gramEnd"/>
      <w:r>
        <w:t xml:space="preserve"> seems like a precise quote from some other source. If this is true, we cannot assume that his source was </w:t>
      </w:r>
      <w:proofErr w:type="spellStart"/>
      <w:r>
        <w:t>Rashbam</w:t>
      </w:r>
      <w:proofErr w:type="spellEnd"/>
      <w:r>
        <w:t>, who had worded it differently.</w:t>
      </w:r>
    </w:p>
    <w:p w14:paraId="748E1D50" w14:textId="56E73222" w:rsidR="00137022" w:rsidRPr="007D67F6" w:rsidRDefault="00067369" w:rsidP="001D0B47">
      <w:pPr>
        <w:spacing w:line="360" w:lineRule="auto"/>
        <w:rPr>
          <w:rtl/>
        </w:rPr>
      </w:pPr>
      <w:r>
        <w:t xml:space="preserve">This gloss also includes the phrase </w:t>
      </w:r>
      <w:r w:rsidR="006B7AB4">
        <w:t>‘</w:t>
      </w:r>
      <w:r>
        <w:t xml:space="preserve">so you </w:t>
      </w:r>
      <w:r w:rsidR="003825B6">
        <w:t>do</w:t>
      </w:r>
      <w:r>
        <w:t xml:space="preserve"> not wonder</w:t>
      </w:r>
      <w:r w:rsidR="006B7AB4">
        <w:t>’</w:t>
      </w:r>
      <w:r w:rsidR="00C65C57">
        <w:t>, which is also common,</w:t>
      </w:r>
      <w:r>
        <w:t xml:space="preserve"> mainly in </w:t>
      </w:r>
      <w:r w:rsidR="00E007A5">
        <w:t>Kara</w:t>
      </w:r>
      <w:r w:rsidR="006B7AB4">
        <w:t>’</w:t>
      </w:r>
      <w:r>
        <w:t>s commentary (</w:t>
      </w:r>
      <w:proofErr w:type="spellStart"/>
      <w:r>
        <w:t>see n</w:t>
      </w:r>
      <w:proofErr w:type="spellEnd"/>
      <w:r>
        <w:t>. 47, below)</w:t>
      </w:r>
      <w:r w:rsidR="00C65C57">
        <w:t>. Th</w:t>
      </w:r>
      <w:r w:rsidR="005D5FD2">
        <w:t>e presence of this phrase also</w:t>
      </w:r>
      <w:r>
        <w:t xml:space="preserve"> supports the </w:t>
      </w:r>
      <w:r w:rsidR="005D5FD2">
        <w:t>claim</w:t>
      </w:r>
      <w:r>
        <w:t xml:space="preserve"> that </w:t>
      </w:r>
      <w:r w:rsidR="00E007A5">
        <w:t xml:space="preserve">Kara </w:t>
      </w:r>
      <w:r>
        <w:t>was the source of the gloss.</w:t>
      </w:r>
    </w:p>
    <w:p w14:paraId="39537C04" w14:textId="4DA31234" w:rsidR="007D67F6" w:rsidRDefault="00123C1D" w:rsidP="00123C1D">
      <w:pPr>
        <w:spacing w:line="360" w:lineRule="auto"/>
      </w:pPr>
      <w:r>
        <w:t xml:space="preserve">6. At the end of the plague of hail, it says: </w:t>
      </w:r>
      <w:r w:rsidR="006B7AB4">
        <w:t>‘</w:t>
      </w:r>
      <w:r w:rsidRPr="00123C1D">
        <w:t>But the wheat and the spelt were not struck, for they </w:t>
      </w:r>
      <w:r>
        <w:t>are</w:t>
      </w:r>
      <w:r w:rsidRPr="00123C1D">
        <w:t> late crops</w:t>
      </w:r>
      <w:r w:rsidR="006B7AB4">
        <w:t>’</w:t>
      </w:r>
      <w:r>
        <w:t xml:space="preserve"> (Ex. 9:32). </w:t>
      </w:r>
      <w:proofErr w:type="spellStart"/>
      <w:r>
        <w:t>Hizkuni</w:t>
      </w:r>
      <w:proofErr w:type="spellEnd"/>
      <w:r>
        <w:t xml:space="preserve"> offers the following gloss:</w:t>
      </w:r>
    </w:p>
    <w:p w14:paraId="2B5497AF" w14:textId="7C4A87A0" w:rsidR="00123C1D" w:rsidRPr="00123C1D" w:rsidRDefault="00123C1D" w:rsidP="00123C1D">
      <w:pPr>
        <w:spacing w:line="360" w:lineRule="auto"/>
        <w:ind w:left="720"/>
        <w:jc w:val="right"/>
        <w:rPr>
          <w:rtl/>
        </w:rPr>
      </w:pPr>
      <w:r w:rsidRPr="00123C1D">
        <w:rPr>
          <w:rtl/>
        </w:rPr>
        <w:t xml:space="preserve">והחטה והכסמת לא נכו – לפי שעתיד לומר </w:t>
      </w:r>
      <w:r w:rsidR="006B7AB4">
        <w:rPr>
          <w:rtl/>
        </w:rPr>
        <w:t>‘</w:t>
      </w:r>
      <w:r w:rsidRPr="00123C1D">
        <w:rPr>
          <w:rtl/>
        </w:rPr>
        <w:t>ואכל את יתר הפליטה הנשארת לכם מן הברד</w:t>
      </w:r>
      <w:r w:rsidR="006B7AB4">
        <w:rPr>
          <w:rtl/>
        </w:rPr>
        <w:t>’</w:t>
      </w:r>
      <w:r w:rsidRPr="00123C1D">
        <w:rPr>
          <w:rtl/>
        </w:rPr>
        <w:t xml:space="preserve"> (שמ</w:t>
      </w:r>
      <w:r w:rsidR="006B7AB4">
        <w:rPr>
          <w:rtl/>
        </w:rPr>
        <w:t>’</w:t>
      </w:r>
      <w:r w:rsidRPr="00123C1D">
        <w:rPr>
          <w:rtl/>
        </w:rPr>
        <w:t xml:space="preserve"> י, ה), ויש פתחון פה לחלוק ולומר הרי כבר נאמר </w:t>
      </w:r>
      <w:r w:rsidR="006B7AB4">
        <w:rPr>
          <w:rtl/>
        </w:rPr>
        <w:t>‘</w:t>
      </w:r>
      <w:r w:rsidRPr="00123C1D">
        <w:rPr>
          <w:rtl/>
        </w:rPr>
        <w:t>ואת כל עשב השדה הכה הברד</w:t>
      </w:r>
      <w:r w:rsidR="006B7AB4">
        <w:rPr>
          <w:rtl/>
        </w:rPr>
        <w:t>’</w:t>
      </w:r>
      <w:r w:rsidRPr="00123C1D">
        <w:rPr>
          <w:rtl/>
        </w:rPr>
        <w:t xml:space="preserve"> (שמ</w:t>
      </w:r>
      <w:r w:rsidR="006B7AB4">
        <w:rPr>
          <w:rtl/>
        </w:rPr>
        <w:t>’</w:t>
      </w:r>
      <w:r w:rsidRPr="00123C1D">
        <w:rPr>
          <w:rtl/>
        </w:rPr>
        <w:t xml:space="preserve"> ט, כה), לכך </w:t>
      </w:r>
      <w:r w:rsidRPr="00123C1D">
        <w:rPr>
          <w:b/>
          <w:bCs/>
          <w:rtl/>
        </w:rPr>
        <w:t>קדם ולמדך כאן</w:t>
      </w:r>
      <w:r w:rsidRPr="00123C1D">
        <w:rPr>
          <w:rtl/>
        </w:rPr>
        <w:t xml:space="preserve"> שהחטה והכוסמת לא נוכו כי אפילת הנה, שמה שלא שבר הברד אכל הארבה, הברד מקלקל את הקשה והארבה אוכל את הרך</w:t>
      </w:r>
      <w:r>
        <w:rPr>
          <w:rFonts w:hint="cs"/>
          <w:rtl/>
        </w:rPr>
        <w:t>.</w:t>
      </w:r>
    </w:p>
    <w:p w14:paraId="20F4C284" w14:textId="3C207463" w:rsidR="00123C1D" w:rsidRDefault="00123C1D" w:rsidP="00123C1D">
      <w:pPr>
        <w:spacing w:line="360" w:lineRule="auto"/>
        <w:ind w:left="720"/>
      </w:pPr>
      <w:r>
        <w:t xml:space="preserve">But the wheat and the spelt were not struck – for it will later say </w:t>
      </w:r>
      <w:r w:rsidR="006B7AB4">
        <w:t>‘</w:t>
      </w:r>
      <w:r w:rsidRPr="00123C1D">
        <w:t>They will devour whatever is left after the hail</w:t>
      </w:r>
      <w:r w:rsidR="006B7AB4">
        <w:t>’</w:t>
      </w:r>
      <w:r>
        <w:t xml:space="preserve"> (Ex. 9:25), and one might differ and claim that it already said that </w:t>
      </w:r>
      <w:r w:rsidR="006B7AB4">
        <w:t>‘</w:t>
      </w:r>
      <w:r w:rsidRPr="00123C1D">
        <w:t>the hail struck every herb of the field</w:t>
      </w:r>
      <w:r w:rsidR="006B7AB4">
        <w:t>’</w:t>
      </w:r>
      <w:r>
        <w:t xml:space="preserve"> (Ex. 9:25). Therefore, </w:t>
      </w:r>
      <w:r w:rsidRPr="006837B5">
        <w:rPr>
          <w:i/>
          <w:iCs/>
        </w:rPr>
        <w:t>it foreshadows and teaches you here</w:t>
      </w:r>
      <w:r>
        <w:t xml:space="preserve"> that the wheat and the spelt were not destroyed because they are late crops. Whatever the hail did</w:t>
      </w:r>
      <w:r w:rsidR="00167A7C">
        <w:t xml:space="preserve"> no</w:t>
      </w:r>
      <w:r>
        <w:t>t destroy was eaten by the locust</w:t>
      </w:r>
      <w:r w:rsidR="00167A7C">
        <w:t>s;</w:t>
      </w:r>
      <w:r>
        <w:t xml:space="preserve"> the hail destroys the hard</w:t>
      </w:r>
      <w:r w:rsidR="00167A7C">
        <w:t>,</w:t>
      </w:r>
      <w:r>
        <w:t xml:space="preserve"> and the locust</w:t>
      </w:r>
      <w:r w:rsidR="00167A7C">
        <w:t>s</w:t>
      </w:r>
      <w:r>
        <w:t xml:space="preserve"> </w:t>
      </w:r>
      <w:r w:rsidR="0078623C">
        <w:t>eat</w:t>
      </w:r>
      <w:r>
        <w:t xml:space="preserve"> the soft.</w:t>
      </w:r>
    </w:p>
    <w:p w14:paraId="13C45F05" w14:textId="29ED1982" w:rsidR="00123C1D" w:rsidRDefault="0078623C" w:rsidP="00123C1D">
      <w:pPr>
        <w:spacing w:line="360" w:lineRule="auto"/>
      </w:pPr>
      <w:r>
        <w:t xml:space="preserve">The question here is why the earlier verse mentions plants that were not destroyed by the hail. </w:t>
      </w:r>
      <w:r w:rsidR="000A6BA0">
        <w:t>The gloss presents later verses that raise a difficulty: How can the locust</w:t>
      </w:r>
      <w:r w:rsidR="009D1D4C">
        <w:t>s</w:t>
      </w:r>
      <w:r w:rsidR="000A6BA0">
        <w:t xml:space="preserve"> s</w:t>
      </w:r>
      <w:r w:rsidR="009D1D4C">
        <w:t>t</w:t>
      </w:r>
      <w:r w:rsidR="000A6BA0">
        <w:t>ill have what to eat if the hail struck every herb of the field</w:t>
      </w:r>
      <w:r w:rsidR="009D1D4C">
        <w:t>?</w:t>
      </w:r>
      <w:r w:rsidR="000A6BA0">
        <w:t xml:space="preserve"> This difficulty is solved by </w:t>
      </w:r>
      <w:r w:rsidR="009D1D4C">
        <w:t xml:space="preserve">the </w:t>
      </w:r>
      <w:r w:rsidR="000A6BA0">
        <w:t>information given in the earlier verse.</w:t>
      </w:r>
    </w:p>
    <w:p w14:paraId="7F717E1E" w14:textId="571C8ECA" w:rsidR="000A6BA0" w:rsidRDefault="000A6BA0" w:rsidP="000A6BA0">
      <w:pPr>
        <w:spacing w:line="360" w:lineRule="auto"/>
      </w:pPr>
      <w:proofErr w:type="spellStart"/>
      <w:r>
        <w:t>Rashbam</w:t>
      </w:r>
      <w:proofErr w:type="spellEnd"/>
      <w:r>
        <w:t xml:space="preserve"> offers a similar explanation in this case as well: </w:t>
      </w:r>
      <w:r w:rsidR="006B7AB4">
        <w:t>‘</w:t>
      </w:r>
      <w:r w:rsidRPr="000A6BA0">
        <w:rPr>
          <w:rtl/>
        </w:rPr>
        <w:t>לא נוכו – להודיעך שמה שלא שיבר הברד אכל הארבה. הברד מקלקל את הקשה והארבה אוכל את הרך</w:t>
      </w:r>
      <w:r w:rsidR="006B7AB4">
        <w:t>’</w:t>
      </w:r>
      <w:r w:rsidRPr="000A6BA0">
        <w:t xml:space="preserve"> (</w:t>
      </w:r>
      <w:r w:rsidR="006B7AB4">
        <w:t>‘</w:t>
      </w:r>
      <w:r w:rsidRPr="000A6BA0">
        <w:t xml:space="preserve">Were not destroyed – to </w:t>
      </w:r>
      <w:r>
        <w:t>tell you that what the hail had not destroyed, the locust</w:t>
      </w:r>
      <w:r w:rsidR="007727E3">
        <w:t>s</w:t>
      </w:r>
      <w:r>
        <w:t xml:space="preserve"> ate. The hail destroys the hard and the locust</w:t>
      </w:r>
      <w:r w:rsidR="007727E3">
        <w:t>s</w:t>
      </w:r>
      <w:r>
        <w:t xml:space="preserve"> eat the soft</w:t>
      </w:r>
      <w:r w:rsidR="006B7AB4">
        <w:t>’</w:t>
      </w:r>
      <w:r>
        <w:t>).</w:t>
      </w:r>
      <w:r>
        <w:rPr>
          <w:rStyle w:val="FootnoteReference"/>
        </w:rPr>
        <w:footnoteReference w:id="37"/>
      </w:r>
      <w:r w:rsidR="00147847">
        <w:t xml:space="preserve"> </w:t>
      </w:r>
      <w:proofErr w:type="spellStart"/>
      <w:r w:rsidR="00982F73">
        <w:t>Rashbam</w:t>
      </w:r>
      <w:r w:rsidR="006B7AB4">
        <w:t>’</w:t>
      </w:r>
      <w:r w:rsidR="00982F73">
        <w:t>s</w:t>
      </w:r>
      <w:proofErr w:type="spellEnd"/>
      <w:r w:rsidR="00982F73">
        <w:t xml:space="preserve"> gloss here is verbally identical to the final sentence in </w:t>
      </w:r>
      <w:proofErr w:type="spellStart"/>
      <w:r w:rsidR="00982F73">
        <w:t>Hizkuni</w:t>
      </w:r>
      <w:r w:rsidR="006B7AB4">
        <w:t>’</w:t>
      </w:r>
      <w:r w:rsidR="00982F73">
        <w:t>s</w:t>
      </w:r>
      <w:proofErr w:type="spellEnd"/>
      <w:r w:rsidR="00982F73">
        <w:t xml:space="preserve"> gloss, which </w:t>
      </w:r>
      <w:r w:rsidR="002C20D6">
        <w:t>could have led</w:t>
      </w:r>
      <w:r w:rsidR="00982F73">
        <w:t xml:space="preserve"> us to </w:t>
      </w:r>
      <w:r w:rsidR="002C20D6">
        <w:t>conclude</w:t>
      </w:r>
      <w:r w:rsidR="00982F73">
        <w:t xml:space="preserve"> that the entire gloss was taken from </w:t>
      </w:r>
      <w:proofErr w:type="spellStart"/>
      <w:r w:rsidR="00982F73">
        <w:t>Rashbam</w:t>
      </w:r>
      <w:proofErr w:type="spellEnd"/>
      <w:r w:rsidR="00982F73">
        <w:t xml:space="preserve">. However, </w:t>
      </w:r>
      <w:proofErr w:type="spellStart"/>
      <w:r w:rsidR="00982F73">
        <w:t>Rashbam</w:t>
      </w:r>
      <w:proofErr w:type="spellEnd"/>
      <w:r w:rsidR="00982F73">
        <w:t xml:space="preserve"> did not include the exegetical problem in his gloss, only the connection between the earlier verse and the later information. The long sentence that opens </w:t>
      </w:r>
      <w:proofErr w:type="spellStart"/>
      <w:r w:rsidR="00982F73">
        <w:lastRenderedPageBreak/>
        <w:t>Hizkuni</w:t>
      </w:r>
      <w:r w:rsidR="006B7AB4">
        <w:t>’</w:t>
      </w:r>
      <w:r w:rsidR="00982F73">
        <w:t>s</w:t>
      </w:r>
      <w:proofErr w:type="spellEnd"/>
      <w:r w:rsidR="00982F73">
        <w:t xml:space="preserve"> explanation and introduces the exegetical problem and the contradiction between the verses is not found in </w:t>
      </w:r>
      <w:proofErr w:type="spellStart"/>
      <w:r w:rsidR="00982F73">
        <w:t>Rashbam</w:t>
      </w:r>
      <w:r w:rsidR="006B7AB4">
        <w:t>’</w:t>
      </w:r>
      <w:r w:rsidR="00982F73">
        <w:t>s</w:t>
      </w:r>
      <w:proofErr w:type="spellEnd"/>
      <w:r w:rsidR="00982F73">
        <w:t xml:space="preserve"> gloss as we have it. It is this sentence that contains the phrase </w:t>
      </w:r>
      <w:r w:rsidR="006B7AB4">
        <w:t>‘</w:t>
      </w:r>
      <w:r w:rsidR="00982F73">
        <w:t>foreshadows and teaches you</w:t>
      </w:r>
      <w:r w:rsidR="006B7AB4">
        <w:t>’</w:t>
      </w:r>
      <w:r w:rsidR="00982F73">
        <w:t xml:space="preserve"> that characterizes </w:t>
      </w:r>
      <w:r w:rsidR="00E007A5">
        <w:t xml:space="preserve">Kara </w:t>
      </w:r>
      <w:r w:rsidR="00982F73">
        <w:t xml:space="preserve">and is not found in any of </w:t>
      </w:r>
      <w:proofErr w:type="spellStart"/>
      <w:r w:rsidR="00982F73">
        <w:t>Rashbam</w:t>
      </w:r>
      <w:r w:rsidR="006B7AB4">
        <w:t>’</w:t>
      </w:r>
      <w:r w:rsidR="00982F73">
        <w:t>s</w:t>
      </w:r>
      <w:proofErr w:type="spellEnd"/>
      <w:r w:rsidR="00982F73">
        <w:t xml:space="preserve"> glosses</w:t>
      </w:r>
      <w:r w:rsidR="00A57DC9">
        <w:t>, and the ph</w:t>
      </w:r>
      <w:r w:rsidR="00555B3F">
        <w:t>r</w:t>
      </w:r>
      <w:r w:rsidR="00A57DC9">
        <w:t xml:space="preserve">ase </w:t>
      </w:r>
      <w:r w:rsidR="006B7AB4">
        <w:t>‘</w:t>
      </w:r>
      <w:r w:rsidR="00A57DC9">
        <w:t>and it will later say</w:t>
      </w:r>
      <w:r w:rsidR="006B7AB4">
        <w:t>’</w:t>
      </w:r>
      <w:r w:rsidR="00A57DC9">
        <w:t xml:space="preserve"> that characterizes </w:t>
      </w:r>
      <w:r w:rsidR="00E007A5">
        <w:t xml:space="preserve">Kara </w:t>
      </w:r>
      <w:r w:rsidR="00A57DC9">
        <w:t>(</w:t>
      </w:r>
      <w:proofErr w:type="spellStart"/>
      <w:r w:rsidR="00A57DC9">
        <w:t>see n</w:t>
      </w:r>
      <w:proofErr w:type="spellEnd"/>
      <w:r w:rsidR="00A57DC9">
        <w:t xml:space="preserve">. 40, below) and is very rare in </w:t>
      </w:r>
      <w:proofErr w:type="spellStart"/>
      <w:r w:rsidR="00A57DC9">
        <w:t>Rashbam</w:t>
      </w:r>
      <w:proofErr w:type="spellEnd"/>
      <w:r w:rsidR="00A57DC9">
        <w:t>. Therefore, I believe that this is an</w:t>
      </w:r>
      <w:r w:rsidR="00555B3F">
        <w:t>other</w:t>
      </w:r>
      <w:r w:rsidR="00A57DC9">
        <w:t xml:space="preserve"> example (one of many) of </w:t>
      </w:r>
      <w:r w:rsidR="00555B3F">
        <w:t>a case</w:t>
      </w:r>
      <w:r w:rsidR="00A57DC9">
        <w:t xml:space="preserve"> where </w:t>
      </w:r>
      <w:proofErr w:type="spellStart"/>
      <w:r w:rsidR="00A57DC9">
        <w:t>Hizkuni</w:t>
      </w:r>
      <w:proofErr w:type="spellEnd"/>
      <w:r w:rsidR="00A57DC9">
        <w:t xml:space="preserve"> integrated quotes from two different exegetes into one gloss: The first part of the gloss (until the words </w:t>
      </w:r>
      <w:r w:rsidR="006B7AB4">
        <w:t>‘</w:t>
      </w:r>
      <w:r w:rsidR="00A57DC9">
        <w:t>because they are late crops</w:t>
      </w:r>
      <w:r w:rsidR="006B7AB4">
        <w:t>’</w:t>
      </w:r>
      <w:r w:rsidR="00A57DC9">
        <w:t xml:space="preserve">) is taken from </w:t>
      </w:r>
      <w:r w:rsidR="00BE1198">
        <w:t>Kara</w:t>
      </w:r>
      <w:r w:rsidR="006B7AB4">
        <w:t>’</w:t>
      </w:r>
      <w:r w:rsidR="00A57DC9">
        <w:t xml:space="preserve">s lost commentary (and is very likely a direct quote from the original), and the second part of the gloss (from the word </w:t>
      </w:r>
      <w:r w:rsidR="006B7AB4">
        <w:t>‘</w:t>
      </w:r>
      <w:r w:rsidR="00A57DC9">
        <w:t>Whatever</w:t>
      </w:r>
      <w:r w:rsidR="006B7AB4">
        <w:t>’</w:t>
      </w:r>
      <w:r w:rsidR="00A57DC9">
        <w:t xml:space="preserve">) was quoted from </w:t>
      </w:r>
      <w:proofErr w:type="spellStart"/>
      <w:r w:rsidR="00A57DC9">
        <w:t>Rashbam</w:t>
      </w:r>
      <w:r w:rsidR="006B7AB4">
        <w:t>’</w:t>
      </w:r>
      <w:r w:rsidR="00A57DC9">
        <w:t>s</w:t>
      </w:r>
      <w:proofErr w:type="spellEnd"/>
      <w:r w:rsidR="00A57DC9">
        <w:t xml:space="preserve"> commentary.</w:t>
      </w:r>
      <w:r w:rsidR="00A57DC9">
        <w:rPr>
          <w:rStyle w:val="FootnoteReference"/>
        </w:rPr>
        <w:footnoteReference w:id="38"/>
      </w:r>
    </w:p>
    <w:p w14:paraId="04C94F36" w14:textId="3DC4334B" w:rsidR="000A3D30" w:rsidRDefault="000A3D30" w:rsidP="000A3D30">
      <w:pPr>
        <w:spacing w:line="360" w:lineRule="auto"/>
      </w:pPr>
      <w:r>
        <w:t xml:space="preserve">7. The opening verses to Deuteronomy state: </w:t>
      </w:r>
      <w:r w:rsidR="006B7AB4">
        <w:t>‘</w:t>
      </w:r>
      <w:r w:rsidRPr="000A3D30">
        <w:t xml:space="preserve">After he had slain Sihon the king of the Amorites, </w:t>
      </w:r>
      <w:r>
        <w:t>who</w:t>
      </w:r>
      <w:r w:rsidRPr="000A3D30">
        <w:t xml:space="preserve"> dwelt in Heshbon, and Og the king of Bashan, </w:t>
      </w:r>
      <w:r>
        <w:t>who</w:t>
      </w:r>
      <w:r w:rsidRPr="000A3D30">
        <w:t xml:space="preserve"> dwelt at Astaroth in Edrei</w:t>
      </w:r>
      <w:r w:rsidR="006B7AB4">
        <w:t>’</w:t>
      </w:r>
      <w:r>
        <w:t xml:space="preserve"> (</w:t>
      </w:r>
      <w:proofErr w:type="spellStart"/>
      <w:r>
        <w:t>Deut</w:t>
      </w:r>
      <w:proofErr w:type="spellEnd"/>
      <w:r>
        <w:t xml:space="preserve"> 1:4). </w:t>
      </w:r>
      <w:proofErr w:type="spellStart"/>
      <w:r>
        <w:t>Hizkuni</w:t>
      </w:r>
      <w:proofErr w:type="spellEnd"/>
      <w:r>
        <w:t xml:space="preserve"> brings the following explanation:</w:t>
      </w:r>
    </w:p>
    <w:p w14:paraId="60EE4D60" w14:textId="7055D4CC" w:rsidR="000A3D30" w:rsidRDefault="000A3D30" w:rsidP="000A3D30">
      <w:pPr>
        <w:bidi/>
        <w:spacing w:line="360" w:lineRule="auto"/>
        <w:ind w:right="720"/>
      </w:pPr>
      <w:r w:rsidRPr="000A3D30">
        <w:rPr>
          <w:rtl/>
        </w:rPr>
        <w:t>אחרי הכתו וגו</w:t>
      </w:r>
      <w:r w:rsidR="006B7AB4">
        <w:rPr>
          <w:rtl/>
        </w:rPr>
        <w:t>’</w:t>
      </w:r>
      <w:r w:rsidRPr="000A3D30">
        <w:rPr>
          <w:rtl/>
        </w:rPr>
        <w:t xml:space="preserve"> – לפי שכתב לקמן ולא </w:t>
      </w:r>
      <w:r w:rsidR="006B7AB4">
        <w:rPr>
          <w:rtl/>
        </w:rPr>
        <w:t>“</w:t>
      </w:r>
      <w:r w:rsidRPr="000A3D30">
        <w:rPr>
          <w:rtl/>
        </w:rPr>
        <w:t>אבה סיחון מלך חשבון</w:t>
      </w:r>
      <w:r w:rsidR="006B7AB4">
        <w:rPr>
          <w:rtl/>
        </w:rPr>
        <w:t>”</w:t>
      </w:r>
      <w:r w:rsidRPr="000A3D30">
        <w:rPr>
          <w:rtl/>
        </w:rPr>
        <w:t xml:space="preserve"> וגו</w:t>
      </w:r>
      <w:r w:rsidR="006B7AB4">
        <w:rPr>
          <w:rtl/>
        </w:rPr>
        <w:t>’</w:t>
      </w:r>
      <w:r w:rsidRPr="000A3D30">
        <w:rPr>
          <w:rtl/>
        </w:rPr>
        <w:t xml:space="preserve"> (דב</w:t>
      </w:r>
      <w:r w:rsidR="006B7AB4">
        <w:rPr>
          <w:rtl/>
        </w:rPr>
        <w:t>’</w:t>
      </w:r>
      <w:r w:rsidRPr="000A3D30">
        <w:rPr>
          <w:rtl/>
        </w:rPr>
        <w:t xml:space="preserve"> ב</w:t>
      </w:r>
      <w:r w:rsidRPr="000A3D30">
        <w:rPr>
          <w:rFonts w:hint="cs"/>
          <w:rtl/>
        </w:rPr>
        <w:t xml:space="preserve">, </w:t>
      </w:r>
      <w:r w:rsidRPr="000A3D30">
        <w:rPr>
          <w:rtl/>
        </w:rPr>
        <w:t xml:space="preserve">ל) ושניהם בשנת הארבעים, </w:t>
      </w:r>
      <w:r w:rsidRPr="000A3D30">
        <w:rPr>
          <w:b/>
          <w:bCs/>
          <w:rtl/>
        </w:rPr>
        <w:t>קדם הכתוב ולמדך</w:t>
      </w:r>
      <w:r w:rsidRPr="000A3D30">
        <w:rPr>
          <w:rtl/>
        </w:rPr>
        <w:t xml:space="preserve"> כאן שמלחמת סיחון קדמה למשנה תורה.</w:t>
      </w:r>
    </w:p>
    <w:p w14:paraId="12530EF7" w14:textId="23916DA4" w:rsidR="000A3D30" w:rsidRDefault="000A3D30" w:rsidP="000A3D30">
      <w:pPr>
        <w:spacing w:line="360" w:lineRule="auto"/>
        <w:ind w:left="720"/>
      </w:pPr>
      <w:r>
        <w:t>After he had slain, etc. – Since it</w:t>
      </w:r>
      <w:r w:rsidR="008B64C5">
        <w:t xml:space="preserve"> will</w:t>
      </w:r>
      <w:r>
        <w:t xml:space="preserve"> </w:t>
      </w:r>
      <w:r w:rsidR="008B64C5">
        <w:t xml:space="preserve">later </w:t>
      </w:r>
      <w:r>
        <w:t>say</w:t>
      </w:r>
      <w:r w:rsidR="008E5CCE">
        <w:t>,</w:t>
      </w:r>
      <w:r>
        <w:t xml:space="preserve"> </w:t>
      </w:r>
      <w:r w:rsidR="006B7AB4">
        <w:t>‘</w:t>
      </w:r>
      <w:r w:rsidRPr="000A3D30">
        <w:t>But King Sihon of Heshbon refused</w:t>
      </w:r>
      <w:r w:rsidR="006B7AB4">
        <w:t>’</w:t>
      </w:r>
      <w:r>
        <w:t xml:space="preserve"> etc. (</w:t>
      </w:r>
      <w:proofErr w:type="spellStart"/>
      <w:r>
        <w:t>Deut</w:t>
      </w:r>
      <w:proofErr w:type="spellEnd"/>
      <w:r>
        <w:t xml:space="preserve"> 2:30)</w:t>
      </w:r>
      <w:r w:rsidR="00842B75">
        <w:t>,</w:t>
      </w:r>
      <w:r>
        <w:t xml:space="preserve"> and both were in the fortieth year, </w:t>
      </w:r>
      <w:r w:rsidRPr="006837B5">
        <w:rPr>
          <w:i/>
          <w:iCs/>
        </w:rPr>
        <w:t xml:space="preserve">it foreshadows and teaches you </w:t>
      </w:r>
      <w:r>
        <w:t>here that the war against Sihon happened before Deuteronomy.</w:t>
      </w:r>
    </w:p>
    <w:p w14:paraId="3B260AD1" w14:textId="2F4683D7" w:rsidR="000A3D30" w:rsidRDefault="000A3D30" w:rsidP="000A3D30">
      <w:pPr>
        <w:spacing w:line="360" w:lineRule="auto"/>
      </w:pPr>
      <w:r>
        <w:t>The earlier verse includes expositional data about Israel</w:t>
      </w:r>
      <w:r w:rsidR="006B7AB4">
        <w:t>’</w:t>
      </w:r>
      <w:r>
        <w:t xml:space="preserve">s wars on the eastern side of the Jordan. The later verse describes the war itself. It is not entirely clear what concerned the exegete when </w:t>
      </w:r>
      <w:r w:rsidR="008B64C5">
        <w:t>he</w:t>
      </w:r>
      <w:r>
        <w:t xml:space="preserve"> wrote this gloss and how the earlier verse solves a difficulty in the later verse. Perhaps</w:t>
      </w:r>
      <w:r w:rsidR="008B64C5">
        <w:t xml:space="preserve"> some </w:t>
      </w:r>
      <w:r w:rsidR="00BF2F4B">
        <w:t>corruption of the text</w:t>
      </w:r>
      <w:r w:rsidR="00373B0E">
        <w:t xml:space="preserve"> arose</w:t>
      </w:r>
      <w:r w:rsidR="008B64C5">
        <w:t xml:space="preserve"> in copying the gloss. In any case, the terminology</w:t>
      </w:r>
      <w:r w:rsidR="00E7391C">
        <w:t xml:space="preserve"> </w:t>
      </w:r>
      <w:r w:rsidR="008B64C5">
        <w:t xml:space="preserve">– </w:t>
      </w:r>
      <w:r w:rsidR="006B7AB4">
        <w:t>‘</w:t>
      </w:r>
      <w:r w:rsidR="008B64C5">
        <w:t>since it will later say</w:t>
      </w:r>
      <w:proofErr w:type="gramStart"/>
      <w:r w:rsidR="00E45443">
        <w:t>’,</w:t>
      </w:r>
      <w:proofErr w:type="gramEnd"/>
      <w:r w:rsidR="008B64C5">
        <w:t xml:space="preserve"> </w:t>
      </w:r>
      <w:r w:rsidR="006B7AB4">
        <w:t>‘</w:t>
      </w:r>
      <w:r w:rsidR="008B64C5">
        <w:t>it foreshadows and teaches you</w:t>
      </w:r>
      <w:r w:rsidR="00E45443">
        <w:t>’,</w:t>
      </w:r>
      <w:r w:rsidR="008B64C5">
        <w:t xml:space="preserve"> shows that this gloss </w:t>
      </w:r>
      <w:r w:rsidR="00E45443">
        <w:t>cites</w:t>
      </w:r>
      <w:r w:rsidR="008B64C5">
        <w:t xml:space="preserve"> the anticipatory principle.</w:t>
      </w:r>
      <w:r w:rsidR="00E7391C">
        <w:t xml:space="preserve"> S</w:t>
      </w:r>
      <w:r w:rsidR="008B64C5">
        <w:t xml:space="preserve">ince </w:t>
      </w:r>
      <w:r w:rsidR="00BE108D">
        <w:t xml:space="preserve">it contains </w:t>
      </w:r>
      <w:r w:rsidR="008B64C5">
        <w:t xml:space="preserve">the phrase </w:t>
      </w:r>
      <w:r w:rsidR="006B7AB4">
        <w:t>‘</w:t>
      </w:r>
      <w:r w:rsidR="008B64C5">
        <w:t>it foreshadows and teaches you</w:t>
      </w:r>
      <w:r w:rsidR="006B7AB4">
        <w:t>’</w:t>
      </w:r>
      <w:r w:rsidR="008B64C5">
        <w:t xml:space="preserve">, we can assume that the source of this gloss is </w:t>
      </w:r>
      <w:r w:rsidR="00BE1198">
        <w:t>Kara</w:t>
      </w:r>
      <w:r w:rsidR="006B7AB4">
        <w:t>’</w:t>
      </w:r>
      <w:r w:rsidR="008B64C5">
        <w:t>s lost commentary.</w:t>
      </w:r>
      <w:r w:rsidR="008B64C5">
        <w:rPr>
          <w:rStyle w:val="FootnoteReference"/>
        </w:rPr>
        <w:footnoteReference w:id="39"/>
      </w:r>
    </w:p>
    <w:p w14:paraId="0BE800B0" w14:textId="25F051BF" w:rsidR="008B64C5" w:rsidRDefault="008B64C5" w:rsidP="008B64C5">
      <w:pPr>
        <w:spacing w:line="360" w:lineRule="auto"/>
        <w:jc w:val="center"/>
      </w:pPr>
      <w:r>
        <w:t>***</w:t>
      </w:r>
    </w:p>
    <w:p w14:paraId="5563E89D" w14:textId="7968D18F" w:rsidR="008B64C5" w:rsidRPr="00A25722" w:rsidRDefault="006B7AB4" w:rsidP="008B64C5">
      <w:pPr>
        <w:spacing w:line="360" w:lineRule="auto"/>
      </w:pPr>
      <w:r>
        <w:lastRenderedPageBreak/>
        <w:t>‘</w:t>
      </w:r>
      <w:r w:rsidR="008B64C5">
        <w:rPr>
          <w:rFonts w:hint="cs"/>
          <w:rtl/>
        </w:rPr>
        <w:t>לפי שעתיד לומר</w:t>
      </w:r>
      <w:r>
        <w:t>’</w:t>
      </w:r>
      <w:r w:rsidR="008B64C5" w:rsidRPr="00A25722">
        <w:t xml:space="preserve"> – </w:t>
      </w:r>
      <w:r w:rsidR="008B64C5" w:rsidRPr="00A25722">
        <w:rPr>
          <w:i/>
          <w:iCs/>
        </w:rPr>
        <w:t>Since it will later say</w:t>
      </w:r>
    </w:p>
    <w:p w14:paraId="40DC0751" w14:textId="56A2DE09" w:rsidR="008B64C5" w:rsidRPr="00A25722" w:rsidRDefault="00A25722" w:rsidP="000A3D30">
      <w:pPr>
        <w:spacing w:line="360" w:lineRule="auto"/>
      </w:pPr>
      <w:r>
        <w:t xml:space="preserve">The phrase </w:t>
      </w:r>
      <w:r w:rsidR="006B7AB4">
        <w:t>‘</w:t>
      </w:r>
      <w:r>
        <w:rPr>
          <w:rFonts w:hint="cs"/>
          <w:rtl/>
        </w:rPr>
        <w:t>לפי שעתיד לומר</w:t>
      </w:r>
      <w:r w:rsidR="006B7AB4">
        <w:t>’</w:t>
      </w:r>
      <w:r w:rsidRPr="00A25722">
        <w:t xml:space="preserve"> (</w:t>
      </w:r>
      <w:r w:rsidR="006B7AB4">
        <w:t>‘</w:t>
      </w:r>
      <w:r w:rsidRPr="00A25722">
        <w:t>since it will later say</w:t>
      </w:r>
      <w:r w:rsidR="006B7AB4">
        <w:t>’</w:t>
      </w:r>
      <w:r w:rsidRPr="00A25722">
        <w:t xml:space="preserve">) </w:t>
      </w:r>
      <w:r>
        <w:t xml:space="preserve">appears six times in the extant copies of </w:t>
      </w:r>
      <w:r w:rsidR="004E2EF0">
        <w:t>Kara</w:t>
      </w:r>
      <w:r w:rsidR="006B7AB4">
        <w:t>’</w:t>
      </w:r>
      <w:r>
        <w:t>s commentary.</w:t>
      </w:r>
      <w:r>
        <w:rPr>
          <w:rStyle w:val="FootnoteReference"/>
        </w:rPr>
        <w:footnoteReference w:id="40"/>
      </w:r>
      <w:r>
        <w:t xml:space="preserve"> In all the appearances, the phrase is related to the anticipatory principle. This phrase is found </w:t>
      </w:r>
      <w:r w:rsidR="008279FD">
        <w:t xml:space="preserve">only </w:t>
      </w:r>
      <w:r>
        <w:t xml:space="preserve">once in </w:t>
      </w:r>
      <w:proofErr w:type="spellStart"/>
      <w:r>
        <w:t>Rashbam</w:t>
      </w:r>
      <w:proofErr w:type="spellEnd"/>
      <w:r>
        <w:t xml:space="preserve"> and once in </w:t>
      </w:r>
      <w:proofErr w:type="spellStart"/>
      <w:r w:rsidR="004A2CE2">
        <w:t>Ribash</w:t>
      </w:r>
      <w:proofErr w:type="spellEnd"/>
      <w:r>
        <w:t>.</w:t>
      </w:r>
      <w:r>
        <w:rPr>
          <w:rStyle w:val="FootnoteReference"/>
        </w:rPr>
        <w:footnoteReference w:id="41"/>
      </w:r>
    </w:p>
    <w:p w14:paraId="3E301967" w14:textId="3BA0A2F0" w:rsidR="000A3D30" w:rsidRDefault="00A25722" w:rsidP="000A3D30">
      <w:pPr>
        <w:spacing w:line="360" w:lineRule="auto"/>
      </w:pPr>
      <w:r>
        <w:t xml:space="preserve">The phrase appears in </w:t>
      </w:r>
      <w:proofErr w:type="spellStart"/>
      <w:r>
        <w:t>Hizkuni</w:t>
      </w:r>
      <w:proofErr w:type="spellEnd"/>
      <w:r>
        <w:t xml:space="preserve"> ten times.</w:t>
      </w:r>
      <w:r w:rsidR="00F35E31">
        <w:rPr>
          <w:rStyle w:val="FootnoteReference"/>
        </w:rPr>
        <w:footnoteReference w:id="42"/>
      </w:r>
      <w:r>
        <w:t xml:space="preserve"> I am fairly sure that nine of these were taken from </w:t>
      </w:r>
      <w:r w:rsidR="004E2EF0">
        <w:t>Kara</w:t>
      </w:r>
      <w:r w:rsidR="006B7AB4">
        <w:t>’</w:t>
      </w:r>
      <w:r>
        <w:t>s lost commentary, as discussed below.</w:t>
      </w:r>
      <w:r>
        <w:rPr>
          <w:rStyle w:val="FootnoteReference"/>
        </w:rPr>
        <w:footnoteReference w:id="43"/>
      </w:r>
    </w:p>
    <w:p w14:paraId="129D3FF5" w14:textId="435F809E" w:rsidR="00A25722" w:rsidRDefault="00A25722" w:rsidP="000A3D30">
      <w:pPr>
        <w:spacing w:line="360" w:lineRule="auto"/>
      </w:pPr>
      <w:r>
        <w:t xml:space="preserve">Four </w:t>
      </w:r>
      <w:r w:rsidR="0053672A">
        <w:t xml:space="preserve">cases (Gen. </w:t>
      </w:r>
      <w:proofErr w:type="spellStart"/>
      <w:r w:rsidR="0053672A">
        <w:t>25:27a</w:t>
      </w:r>
      <w:proofErr w:type="spellEnd"/>
      <w:r w:rsidR="0053672A">
        <w:t xml:space="preserve">; </w:t>
      </w:r>
      <w:proofErr w:type="spellStart"/>
      <w:r w:rsidR="0053672A">
        <w:t>25:27b</w:t>
      </w:r>
      <w:proofErr w:type="spellEnd"/>
      <w:r w:rsidR="0053672A">
        <w:t>; 26:35; Ex. 9:32) also include the phrase ‘it foreshadows and teaches you’</w:t>
      </w:r>
      <w:r>
        <w:t xml:space="preserve"> discussed in the previous section (examples 1,2,3,6). The fact that these glosses also include the phrase </w:t>
      </w:r>
      <w:r w:rsidR="006B7AB4">
        <w:t>‘</w:t>
      </w:r>
      <w:r>
        <w:t>since it will later say</w:t>
      </w:r>
      <w:r w:rsidR="006B7AB4">
        <w:t>’</w:t>
      </w:r>
      <w:r>
        <w:t xml:space="preserve">, also characteristic of </w:t>
      </w:r>
      <w:r w:rsidR="00395EA3">
        <w:t>Kara</w:t>
      </w:r>
      <w:r w:rsidR="006B7AB4">
        <w:t>’</w:t>
      </w:r>
      <w:r>
        <w:t xml:space="preserve">s glosses, supports the assumption that these four glosses are sourced in </w:t>
      </w:r>
      <w:r w:rsidR="00395EA3">
        <w:t>Kara</w:t>
      </w:r>
      <w:r w:rsidR="006B7AB4">
        <w:t>’</w:t>
      </w:r>
      <w:r>
        <w:t>s lost commentary.</w:t>
      </w:r>
    </w:p>
    <w:p w14:paraId="08098D0C" w14:textId="22D21931" w:rsidR="00A25722" w:rsidRDefault="00A25722" w:rsidP="000A3D30">
      <w:pPr>
        <w:spacing w:line="360" w:lineRule="auto"/>
      </w:pPr>
      <w:r>
        <w:t xml:space="preserve">In one case, the gloss found in </w:t>
      </w:r>
      <w:proofErr w:type="spellStart"/>
      <w:r>
        <w:t>Hizkuni</w:t>
      </w:r>
      <w:proofErr w:type="spellEnd"/>
      <w:r>
        <w:t xml:space="preserve"> is absent in the other commentaries we have, and therefore</w:t>
      </w:r>
      <w:r w:rsidR="008279FD">
        <w:t>,</w:t>
      </w:r>
      <w:r>
        <w:t xml:space="preserve"> it is very likely sourced in </w:t>
      </w:r>
      <w:r w:rsidR="00395EA3">
        <w:t>Kara</w:t>
      </w:r>
      <w:r w:rsidR="006B7AB4">
        <w:t>’</w:t>
      </w:r>
      <w:r>
        <w:t>s lost commentary:</w:t>
      </w:r>
    </w:p>
    <w:p w14:paraId="5A7ED2A4" w14:textId="6F1159E9" w:rsidR="00A25722" w:rsidRDefault="00A25722" w:rsidP="00223E66">
      <w:pPr>
        <w:spacing w:line="360" w:lineRule="auto"/>
      </w:pPr>
      <w:r>
        <w:t xml:space="preserve">8. </w:t>
      </w:r>
      <w:r w:rsidR="008279FD">
        <w:t>About</w:t>
      </w:r>
      <w:r>
        <w:t xml:space="preserve"> the war against Amalek</w:t>
      </w:r>
      <w:r w:rsidR="008279FD">
        <w:t>,</w:t>
      </w:r>
      <w:r>
        <w:t xml:space="preserve"> we read: </w:t>
      </w:r>
      <w:r w:rsidR="006B7AB4">
        <w:t>‘</w:t>
      </w:r>
      <w:r w:rsidR="00223E66" w:rsidRPr="00223E66">
        <w:t>So Joshua did as Moses had said to him, and fought with Amalek; and Moses, Aaron, and Hur went up to the top of the hill</w:t>
      </w:r>
      <w:r w:rsidR="006B7AB4">
        <w:t>’</w:t>
      </w:r>
      <w:r w:rsidR="00223E66">
        <w:t xml:space="preserve"> (Ex. 17:10). In </w:t>
      </w:r>
      <w:proofErr w:type="spellStart"/>
      <w:r w:rsidR="00223E66">
        <w:t>Hizkuni</w:t>
      </w:r>
      <w:proofErr w:type="spellEnd"/>
      <w:r w:rsidR="00223E66">
        <w:t xml:space="preserve"> we find:</w:t>
      </w:r>
    </w:p>
    <w:p w14:paraId="55AC93AA" w14:textId="48D18516" w:rsidR="00223E66" w:rsidRDefault="00223E66" w:rsidP="00223E66">
      <w:pPr>
        <w:bidi/>
        <w:spacing w:line="360" w:lineRule="auto"/>
        <w:ind w:right="720"/>
      </w:pPr>
      <w:r w:rsidRPr="00223E66">
        <w:rPr>
          <w:rtl/>
        </w:rPr>
        <w:t xml:space="preserve">משה אהרן וחור – </w:t>
      </w:r>
      <w:r w:rsidRPr="00223E66">
        <w:rPr>
          <w:b/>
          <w:bCs/>
          <w:rtl/>
        </w:rPr>
        <w:t>לפי שעתיד לומר</w:t>
      </w:r>
      <w:r w:rsidRPr="00223E66">
        <w:rPr>
          <w:rtl/>
        </w:rPr>
        <w:t xml:space="preserve"> </w:t>
      </w:r>
      <w:r w:rsidR="006B7AB4">
        <w:rPr>
          <w:rtl/>
        </w:rPr>
        <w:t>“</w:t>
      </w:r>
      <w:r w:rsidRPr="00223E66">
        <w:rPr>
          <w:rtl/>
        </w:rPr>
        <w:t>ואהרן וחור תמכו בידיו</w:t>
      </w:r>
      <w:r w:rsidR="006B7AB4">
        <w:rPr>
          <w:rtl/>
        </w:rPr>
        <w:t>”</w:t>
      </w:r>
      <w:r w:rsidRPr="00223E66">
        <w:rPr>
          <w:rtl/>
        </w:rPr>
        <w:t xml:space="preserve"> (שמ</w:t>
      </w:r>
      <w:r w:rsidR="006B7AB4">
        <w:rPr>
          <w:rtl/>
        </w:rPr>
        <w:t>’</w:t>
      </w:r>
      <w:r w:rsidRPr="00223E66">
        <w:rPr>
          <w:rtl/>
        </w:rPr>
        <w:t xml:space="preserve"> יז, יב)</w:t>
      </w:r>
      <w:r w:rsidRPr="00223E66">
        <w:rPr>
          <w:rFonts w:hint="cs"/>
          <w:rtl/>
        </w:rPr>
        <w:t>,</w:t>
      </w:r>
      <w:r w:rsidRPr="00223E66">
        <w:rPr>
          <w:rtl/>
        </w:rPr>
        <w:t xml:space="preserve"> קדם וכתב לך כאן שהם עלו עמו ראש הגבעה.</w:t>
      </w:r>
    </w:p>
    <w:p w14:paraId="32FEB59A" w14:textId="692098A1" w:rsidR="00223E66" w:rsidRDefault="00223E66" w:rsidP="00223E66">
      <w:pPr>
        <w:spacing w:line="360" w:lineRule="auto"/>
        <w:ind w:left="720"/>
      </w:pPr>
      <w:r>
        <w:t xml:space="preserve">Moses, Aaron, and Hur – </w:t>
      </w:r>
      <w:r w:rsidRPr="006837B5">
        <w:rPr>
          <w:i/>
          <w:iCs/>
        </w:rPr>
        <w:t>since it will later say</w:t>
      </w:r>
      <w:r>
        <w:t xml:space="preserve"> </w:t>
      </w:r>
      <w:r w:rsidR="006B7AB4">
        <w:t>‘</w:t>
      </w:r>
      <w:r>
        <w:t>and Aaron and Hur supported his arms</w:t>
      </w:r>
      <w:r w:rsidR="006B7AB4">
        <w:t>’</w:t>
      </w:r>
      <w:r>
        <w:t xml:space="preserve"> (Ex. 17:12), it foreshadows and </w:t>
      </w:r>
      <w:r w:rsidR="00511F86">
        <w:t>writes for you</w:t>
      </w:r>
      <w:r>
        <w:t xml:space="preserve"> here that they went to the top of the hill with him.</w:t>
      </w:r>
    </w:p>
    <w:p w14:paraId="5C6B4E3A" w14:textId="41D61087" w:rsidR="00223E66" w:rsidRDefault="00223E66" w:rsidP="00223E66">
      <w:pPr>
        <w:spacing w:line="360" w:lineRule="auto"/>
      </w:pPr>
      <w:r>
        <w:t>According to this gloss, the information in the earlier vers</w:t>
      </w:r>
      <w:r w:rsidR="00511F86">
        <w:t>e</w:t>
      </w:r>
      <w:r>
        <w:t xml:space="preserve"> </w:t>
      </w:r>
      <w:r w:rsidR="00933EF1">
        <w:t>foreshadows</w:t>
      </w:r>
      <w:r>
        <w:t xml:space="preserve"> the later mention of Aaron and Hur supporting Moses during the war. </w:t>
      </w:r>
      <w:r w:rsidR="005A3139">
        <w:t>Novetsky</w:t>
      </w:r>
      <w:r>
        <w:t xml:space="preserve"> noted that a similar gloss appears in </w:t>
      </w:r>
      <w:r w:rsidR="002141CA">
        <w:t xml:space="preserve">the </w:t>
      </w:r>
      <w:r w:rsidR="0057395A">
        <w:t>‘</w:t>
      </w:r>
      <w:r w:rsidR="002141CA">
        <w:t xml:space="preserve">Oxford-Munich </w:t>
      </w:r>
      <w:r w:rsidR="000333EA">
        <w:t>coll</w:t>
      </w:r>
      <w:r w:rsidR="0057395A">
        <w:t>ection’</w:t>
      </w:r>
      <w:r w:rsidR="002141CA">
        <w:rPr>
          <w:rStyle w:val="FootnoteReference"/>
        </w:rPr>
        <w:footnoteReference w:id="44"/>
      </w:r>
      <w:r w:rsidR="002141CA">
        <w:t xml:space="preserve"> in the name of </w:t>
      </w:r>
      <w:r w:rsidR="006B7AB4">
        <w:t>‘</w:t>
      </w:r>
      <w:r w:rsidR="002141CA">
        <w:t>Kara</w:t>
      </w:r>
      <w:r w:rsidR="006B7AB4">
        <w:t>’</w:t>
      </w:r>
      <w:r w:rsidR="002141CA">
        <w:t xml:space="preserve">, leading him to suggest </w:t>
      </w:r>
      <w:r w:rsidR="00395EA3">
        <w:t xml:space="preserve">Kara </w:t>
      </w:r>
      <w:r w:rsidR="002141CA">
        <w:t xml:space="preserve">as the </w:t>
      </w:r>
      <w:r w:rsidR="002141CA">
        <w:lastRenderedPageBreak/>
        <w:t xml:space="preserve">source of this gloss. </w:t>
      </w:r>
      <w:r w:rsidR="00933EF1">
        <w:t>T</w:t>
      </w:r>
      <w:r w:rsidR="002141CA">
        <w:t xml:space="preserve">he use of the phrase </w:t>
      </w:r>
      <w:r w:rsidR="006B7AB4">
        <w:t>‘</w:t>
      </w:r>
      <w:r w:rsidR="002141CA">
        <w:t>since it will later say</w:t>
      </w:r>
      <w:r w:rsidR="006B7AB4">
        <w:t>’</w:t>
      </w:r>
      <w:r w:rsidR="00FD3F90">
        <w:t>,</w:t>
      </w:r>
      <w:r w:rsidR="00933EF1">
        <w:t xml:space="preserve"> </w:t>
      </w:r>
      <w:r w:rsidR="002141CA">
        <w:t xml:space="preserve">characteristic of </w:t>
      </w:r>
      <w:r w:rsidR="00395EA3">
        <w:t>Kara</w:t>
      </w:r>
      <w:r w:rsidR="006B7AB4">
        <w:t>’</w:t>
      </w:r>
      <w:r w:rsidR="002141CA">
        <w:t>s glosses</w:t>
      </w:r>
      <w:r w:rsidR="00FD3F90">
        <w:t>, supports Novetsky’s claim</w:t>
      </w:r>
      <w:r w:rsidR="002141CA">
        <w:t>.</w:t>
      </w:r>
      <w:r w:rsidR="002141CA">
        <w:rPr>
          <w:rStyle w:val="FootnoteReference"/>
        </w:rPr>
        <w:footnoteReference w:id="45"/>
      </w:r>
    </w:p>
    <w:p w14:paraId="1227B147" w14:textId="3DACB0A1" w:rsidR="003350C3" w:rsidRDefault="003350C3" w:rsidP="00223E66">
      <w:pPr>
        <w:spacing w:line="360" w:lineRule="auto"/>
      </w:pPr>
      <w:r>
        <w:t>In two other cases</w:t>
      </w:r>
      <w:r w:rsidR="00FD3F90">
        <w:t>,</w:t>
      </w:r>
      <w:r>
        <w:t xml:space="preserve"> I am fairly certain that the source of </w:t>
      </w:r>
      <w:proofErr w:type="spellStart"/>
      <w:r>
        <w:t>Hizkuni</w:t>
      </w:r>
      <w:r w:rsidR="006B7AB4">
        <w:t>’</w:t>
      </w:r>
      <w:r>
        <w:t>s</w:t>
      </w:r>
      <w:proofErr w:type="spellEnd"/>
      <w:r>
        <w:t xml:space="preserve"> gloss is </w:t>
      </w:r>
      <w:r w:rsidR="00395EA3">
        <w:t>Kara</w:t>
      </w:r>
      <w:r w:rsidR="006B7AB4">
        <w:t>’</w:t>
      </w:r>
      <w:r>
        <w:t>s commentary:</w:t>
      </w:r>
    </w:p>
    <w:p w14:paraId="78515912" w14:textId="739FB2A6" w:rsidR="003350C3" w:rsidRDefault="003350C3" w:rsidP="003350C3">
      <w:pPr>
        <w:spacing w:line="360" w:lineRule="auto"/>
      </w:pPr>
      <w:r>
        <w:t xml:space="preserve">9. </w:t>
      </w:r>
      <w:r w:rsidR="006B7AB4">
        <w:t>‘</w:t>
      </w:r>
      <w:r w:rsidRPr="003350C3">
        <w:t xml:space="preserve">And the daughter of Pharaoh came down to bathe in the river; and her maidens walked along by the riverside; and she saw the ark among the </w:t>
      </w:r>
      <w:proofErr w:type="gramStart"/>
      <w:r>
        <w:t>reeds</w:t>
      </w:r>
      <w:r w:rsidRPr="003350C3">
        <w:t>, and</w:t>
      </w:r>
      <w:proofErr w:type="gramEnd"/>
      <w:r w:rsidRPr="003350C3">
        <w:t xml:space="preserve"> sent her handmaid to fetch it</w:t>
      </w:r>
      <w:r w:rsidR="006B7AB4">
        <w:t>’</w:t>
      </w:r>
      <w:r>
        <w:t xml:space="preserve"> (Ex. 2:5). The following gloss appears in </w:t>
      </w:r>
      <w:proofErr w:type="spellStart"/>
      <w:r>
        <w:t>Hizkuni</w:t>
      </w:r>
      <w:proofErr w:type="spellEnd"/>
      <w:r>
        <w:t>:</w:t>
      </w:r>
    </w:p>
    <w:p w14:paraId="45BCC587" w14:textId="7097E291" w:rsidR="003350C3" w:rsidRDefault="003350C3" w:rsidP="003350C3">
      <w:pPr>
        <w:spacing w:line="360" w:lineRule="auto"/>
        <w:ind w:left="720"/>
        <w:jc w:val="right"/>
      </w:pPr>
      <w:r w:rsidRPr="003350C3">
        <w:rPr>
          <w:rtl/>
        </w:rPr>
        <w:t xml:space="preserve">ונערתיה – הזכירן כאן </w:t>
      </w:r>
      <w:r w:rsidRPr="003350C3">
        <w:rPr>
          <w:b/>
          <w:bCs/>
          <w:rtl/>
        </w:rPr>
        <w:t>לפי שעתיד לומר</w:t>
      </w:r>
      <w:r w:rsidRPr="003350C3">
        <w:rPr>
          <w:rtl/>
        </w:rPr>
        <w:t xml:space="preserve"> </w:t>
      </w:r>
      <w:r w:rsidR="006B7AB4">
        <w:rPr>
          <w:rtl/>
        </w:rPr>
        <w:t>“</w:t>
      </w:r>
      <w:r w:rsidRPr="003350C3">
        <w:rPr>
          <w:rtl/>
        </w:rPr>
        <w:t>ותשלח את אמתה</w:t>
      </w:r>
      <w:r w:rsidR="006B7AB4">
        <w:rPr>
          <w:rtl/>
        </w:rPr>
        <w:t>”</w:t>
      </w:r>
      <w:r w:rsidRPr="003350C3">
        <w:rPr>
          <w:rFonts w:hint="cs"/>
          <w:rtl/>
        </w:rPr>
        <w:t>,</w:t>
      </w:r>
      <w:r w:rsidRPr="003350C3">
        <w:rPr>
          <w:rtl/>
        </w:rPr>
        <w:t xml:space="preserve"> שהיא אחת מן הנערות</w:t>
      </w:r>
      <w:r w:rsidRPr="003350C3">
        <w:rPr>
          <w:rFonts w:hint="cs"/>
          <w:rtl/>
        </w:rPr>
        <w:t>.</w:t>
      </w:r>
    </w:p>
    <w:p w14:paraId="7D9AA26B" w14:textId="629939BF" w:rsidR="003350C3" w:rsidRDefault="003350C3" w:rsidP="003350C3">
      <w:pPr>
        <w:spacing w:line="360" w:lineRule="auto"/>
        <w:ind w:left="720"/>
      </w:pPr>
      <w:r>
        <w:t xml:space="preserve">And her maidens – They are mentioned here </w:t>
      </w:r>
      <w:r w:rsidRPr="006837B5">
        <w:rPr>
          <w:i/>
          <w:iCs/>
        </w:rPr>
        <w:t>since it will later say</w:t>
      </w:r>
      <w:r w:rsidR="002219C5">
        <w:rPr>
          <w:i/>
          <w:iCs/>
        </w:rPr>
        <w:t>,</w:t>
      </w:r>
      <w:r>
        <w:t xml:space="preserve"> </w:t>
      </w:r>
      <w:r w:rsidR="006B7AB4">
        <w:t>‘</w:t>
      </w:r>
      <w:r>
        <w:t>and she sent her handmaid</w:t>
      </w:r>
      <w:proofErr w:type="gramStart"/>
      <w:r w:rsidR="006B7AB4">
        <w:t>’</w:t>
      </w:r>
      <w:r>
        <w:t>,</w:t>
      </w:r>
      <w:proofErr w:type="gramEnd"/>
      <w:r>
        <w:t xml:space="preserve"> who was one of her maidens.</w:t>
      </w:r>
    </w:p>
    <w:p w14:paraId="0CD922AB" w14:textId="2B494335" w:rsidR="003350C3" w:rsidRDefault="003350C3" w:rsidP="003350C3">
      <w:pPr>
        <w:spacing w:line="360" w:lineRule="auto"/>
      </w:pPr>
      <w:r>
        <w:t xml:space="preserve">Mention of the maidens </w:t>
      </w:r>
      <w:r w:rsidR="0096245D">
        <w:t>(</w:t>
      </w:r>
      <w:r w:rsidR="0096245D" w:rsidRPr="003350C3">
        <w:rPr>
          <w:rtl/>
        </w:rPr>
        <w:t>נערתיה</w:t>
      </w:r>
      <w:r w:rsidR="0096245D">
        <w:t xml:space="preserve">) </w:t>
      </w:r>
      <w:r>
        <w:t xml:space="preserve">at the beginning of the verse sheds light on the word </w:t>
      </w:r>
      <w:r w:rsidR="006B7AB4">
        <w:t>‘</w:t>
      </w:r>
      <w:r>
        <w:t>handmaid</w:t>
      </w:r>
      <w:r w:rsidR="006B7AB4">
        <w:t>’</w:t>
      </w:r>
      <w:r>
        <w:t xml:space="preserve"> </w:t>
      </w:r>
      <w:r w:rsidR="0096245D">
        <w:t>(</w:t>
      </w:r>
      <w:r w:rsidR="00006F2D" w:rsidRPr="003350C3">
        <w:rPr>
          <w:rtl/>
        </w:rPr>
        <w:t>אמתה</w:t>
      </w:r>
      <w:r w:rsidR="0096245D">
        <w:t xml:space="preserve">) </w:t>
      </w:r>
      <w:r>
        <w:t xml:space="preserve">that appears later in the verse. This gloss does not appear in </w:t>
      </w:r>
      <w:proofErr w:type="spellStart"/>
      <w:r>
        <w:t>Rashbam</w:t>
      </w:r>
      <w:proofErr w:type="spellEnd"/>
      <w:r>
        <w:t xml:space="preserve"> or </w:t>
      </w:r>
      <w:proofErr w:type="spellStart"/>
      <w:r w:rsidR="004A2CE2">
        <w:t>Ribash</w:t>
      </w:r>
      <w:r w:rsidR="006B7AB4">
        <w:t>’</w:t>
      </w:r>
      <w:r>
        <w:t>s</w:t>
      </w:r>
      <w:proofErr w:type="spellEnd"/>
      <w:r>
        <w:t xml:space="preserve"> commentaries.</w:t>
      </w:r>
    </w:p>
    <w:p w14:paraId="236C2B2A" w14:textId="12C271EA" w:rsidR="003350C3" w:rsidRDefault="003350C3" w:rsidP="003350C3">
      <w:pPr>
        <w:spacing w:line="360" w:lineRule="auto"/>
      </w:pPr>
      <w:r>
        <w:t xml:space="preserve">10. </w:t>
      </w:r>
      <w:r w:rsidR="006B7AB4">
        <w:t>‘</w:t>
      </w:r>
      <w:r w:rsidRPr="003350C3">
        <w:t xml:space="preserve">So Moses and Aaron came to Pharaoh and said to him, </w:t>
      </w:r>
      <w:r w:rsidR="006B7AB4">
        <w:t>“</w:t>
      </w:r>
      <w:r w:rsidRPr="003350C3">
        <w:t>Thus says the L</w:t>
      </w:r>
      <w:r>
        <w:t>ord</w:t>
      </w:r>
      <w:r w:rsidRPr="003350C3">
        <w:t xml:space="preserve"> God of the Hebrews: How long will you refuse to humble yourself before Me? Let My people go, that they may serve Me</w:t>
      </w:r>
      <w:r w:rsidR="004555F5">
        <w:t>”</w:t>
      </w:r>
      <w:r w:rsidR="006B7AB4">
        <w:t>’</w:t>
      </w:r>
      <w:r>
        <w:t xml:space="preserve"> (Ex. 10:3)</w:t>
      </w:r>
      <w:r w:rsidRPr="003350C3">
        <w:t>.</w:t>
      </w:r>
      <w:r>
        <w:t xml:space="preserve"> The following gloss appears in </w:t>
      </w:r>
      <w:proofErr w:type="spellStart"/>
      <w:r>
        <w:t>Hizkuni</w:t>
      </w:r>
      <w:proofErr w:type="spellEnd"/>
      <w:r>
        <w:t>:</w:t>
      </w:r>
    </w:p>
    <w:p w14:paraId="24036D50" w14:textId="1145A353" w:rsidR="003350C3" w:rsidRDefault="003350C3" w:rsidP="003350C3">
      <w:pPr>
        <w:spacing w:line="360" w:lineRule="auto"/>
        <w:ind w:left="720"/>
        <w:jc w:val="right"/>
      </w:pPr>
      <w:r w:rsidRPr="003350C3">
        <w:rPr>
          <w:rtl/>
        </w:rPr>
        <w:t xml:space="preserve">ויבא משה ואהרן – מה שלא הזכיר בשאר מכות שבאו שניהם שהרי אין צריך שגלוי לכל שאהרן היה עמו בכל דבריו, ומה שהזכירו כאן </w:t>
      </w:r>
      <w:r w:rsidRPr="003350C3">
        <w:rPr>
          <w:b/>
          <w:bCs/>
          <w:rtl/>
        </w:rPr>
        <w:t>לפי שעתיד לומר</w:t>
      </w:r>
      <w:r w:rsidRPr="003350C3">
        <w:rPr>
          <w:rtl/>
        </w:rPr>
        <w:t xml:space="preserve"> שנתגרשו שניהם</w:t>
      </w:r>
      <w:r w:rsidRPr="003350C3">
        <w:rPr>
          <w:rFonts w:hint="cs"/>
          <w:rtl/>
        </w:rPr>
        <w:t>,</w:t>
      </w:r>
      <w:r w:rsidRPr="003350C3">
        <w:rPr>
          <w:rtl/>
        </w:rPr>
        <w:t xml:space="preserve"> דכתיב </w:t>
      </w:r>
      <w:r w:rsidR="006B7AB4">
        <w:rPr>
          <w:rtl/>
        </w:rPr>
        <w:t>“</w:t>
      </w:r>
      <w:r w:rsidRPr="003350C3">
        <w:rPr>
          <w:rtl/>
        </w:rPr>
        <w:t>ויושב את משה ואת אהרן</w:t>
      </w:r>
      <w:r w:rsidR="006B7AB4">
        <w:rPr>
          <w:rtl/>
        </w:rPr>
        <w:t>”</w:t>
      </w:r>
      <w:r w:rsidRPr="003350C3">
        <w:rPr>
          <w:rtl/>
        </w:rPr>
        <w:t xml:space="preserve"> (שמ</w:t>
      </w:r>
      <w:r w:rsidR="006B7AB4">
        <w:rPr>
          <w:rtl/>
        </w:rPr>
        <w:t>’</w:t>
      </w:r>
      <w:r w:rsidRPr="003350C3">
        <w:rPr>
          <w:rtl/>
        </w:rPr>
        <w:t xml:space="preserve"> י</w:t>
      </w:r>
      <w:r w:rsidRPr="003350C3">
        <w:rPr>
          <w:rFonts w:hint="cs"/>
          <w:rtl/>
        </w:rPr>
        <w:t xml:space="preserve">, </w:t>
      </w:r>
      <w:r w:rsidRPr="003350C3">
        <w:rPr>
          <w:rtl/>
        </w:rPr>
        <w:t>ח)</w:t>
      </w:r>
      <w:r w:rsidRPr="003350C3">
        <w:rPr>
          <w:rFonts w:hint="cs"/>
          <w:rtl/>
        </w:rPr>
        <w:t>.</w:t>
      </w:r>
    </w:p>
    <w:p w14:paraId="0AAC12B8" w14:textId="0E5C2B98" w:rsidR="003350C3" w:rsidRDefault="003350C3" w:rsidP="00DE3235">
      <w:pPr>
        <w:spacing w:line="360" w:lineRule="auto"/>
        <w:ind w:left="720"/>
        <w:rPr>
          <w:rtl/>
        </w:rPr>
      </w:pPr>
      <w:r>
        <w:t xml:space="preserve">So Moses and Aaron came – This was not mentioned in the other plagues, that they both came since there was no need since everyone knows that Aaron was with him in everything, but it is mentioned here </w:t>
      </w:r>
      <w:r w:rsidRPr="006837B5">
        <w:rPr>
          <w:i/>
          <w:iCs/>
        </w:rPr>
        <w:t>since it will later say</w:t>
      </w:r>
      <w:r>
        <w:t xml:space="preserve"> that they were both banished, as it say</w:t>
      </w:r>
      <w:r w:rsidR="00DE3235">
        <w:t>s</w:t>
      </w:r>
      <w:r>
        <w:t xml:space="preserve">, </w:t>
      </w:r>
      <w:r w:rsidR="006B7AB4">
        <w:t>‘</w:t>
      </w:r>
      <w:r w:rsidR="00DE3235" w:rsidRPr="00DE3235">
        <w:t>So Moses and Aaron were brought again to Pharaoh</w:t>
      </w:r>
      <w:r w:rsidR="006B7AB4">
        <w:t>’</w:t>
      </w:r>
      <w:r w:rsidR="00DE3235">
        <w:t xml:space="preserve"> (Ex. 10:8).</w:t>
      </w:r>
    </w:p>
    <w:p w14:paraId="5C0638F6" w14:textId="30F8ACEF" w:rsidR="00DE3235" w:rsidRDefault="00887746" w:rsidP="009630D8">
      <w:pPr>
        <w:spacing w:line="360" w:lineRule="auto"/>
      </w:pPr>
      <w:r>
        <w:t>The m</w:t>
      </w:r>
      <w:r w:rsidR="00DE3235">
        <w:t>ention of Aaron seems superfluous since Aaron always accompanied Moses. According to the proffered explanation</w:t>
      </w:r>
      <w:r>
        <w:t>,</w:t>
      </w:r>
      <w:r w:rsidR="00DE3235">
        <w:t xml:space="preserve"> </w:t>
      </w:r>
      <w:r w:rsidR="00D70F40">
        <w:t>his mention is for the sake of</w:t>
      </w:r>
      <w:r w:rsidR="00DE3235">
        <w:t xml:space="preserve"> the next stage of the story, wherein they will both be banished by Pharaoh. This gloss also does not appear in </w:t>
      </w:r>
      <w:proofErr w:type="spellStart"/>
      <w:r w:rsidR="00DE3235">
        <w:t>Rashbam</w:t>
      </w:r>
      <w:proofErr w:type="spellEnd"/>
      <w:r w:rsidR="00DE3235">
        <w:t xml:space="preserve"> and </w:t>
      </w:r>
      <w:proofErr w:type="spellStart"/>
      <w:r w:rsidR="004A2CE2">
        <w:lastRenderedPageBreak/>
        <w:t>Ribash</w:t>
      </w:r>
      <w:proofErr w:type="spellEnd"/>
      <w:r w:rsidR="00DE3235">
        <w:t>. In both these cases (9-10), similar content appears in Ibn Ezra</w:t>
      </w:r>
      <w:r w:rsidR="006B7AB4">
        <w:t>’</w:t>
      </w:r>
      <w:r w:rsidR="00DE3235">
        <w:t xml:space="preserve">s long commentary on Exodus; Ibn Ezra is famously one of </w:t>
      </w:r>
      <w:proofErr w:type="spellStart"/>
      <w:r w:rsidR="00DE3235">
        <w:t>Hizkuni</w:t>
      </w:r>
      <w:r w:rsidR="006B7AB4">
        <w:t>’</w:t>
      </w:r>
      <w:r w:rsidR="00DE3235">
        <w:t>s</w:t>
      </w:r>
      <w:proofErr w:type="spellEnd"/>
      <w:r w:rsidR="00DE3235">
        <w:t xml:space="preserve"> sources.</w:t>
      </w:r>
      <w:r w:rsidR="00DE3235">
        <w:rPr>
          <w:rStyle w:val="FootnoteReference"/>
        </w:rPr>
        <w:footnoteReference w:id="46"/>
      </w:r>
      <w:r w:rsidR="00DE3235">
        <w:t xml:space="preserve"> </w:t>
      </w:r>
      <w:r w:rsidR="00D70F40">
        <w:t>However</w:t>
      </w:r>
      <w:r w:rsidR="00DE3235">
        <w:t xml:space="preserve">, the phrase </w:t>
      </w:r>
      <w:r w:rsidR="006B7AB4">
        <w:t>‘</w:t>
      </w:r>
      <w:r w:rsidR="00DE3235">
        <w:t>since it will later say</w:t>
      </w:r>
      <w:r w:rsidR="006B7AB4">
        <w:t>’</w:t>
      </w:r>
      <w:r w:rsidR="00DE3235">
        <w:t xml:space="preserve"> does not appear anywhere in Ibn Ezra</w:t>
      </w:r>
      <w:r w:rsidR="006B7AB4">
        <w:t>’</w:t>
      </w:r>
      <w:r w:rsidR="00DE3235">
        <w:t xml:space="preserve">s commentary on the Bible. In addition, Ibn Ezra belongs to a different exegetical school from that of northern France, and he did not </w:t>
      </w:r>
      <w:r w:rsidR="00502E85">
        <w:t>make use of</w:t>
      </w:r>
      <w:r w:rsidR="00DE3235">
        <w:t xml:space="preserve"> the anticipatory principle. </w:t>
      </w:r>
      <w:r w:rsidR="00502E85">
        <w:t>For these</w:t>
      </w:r>
      <w:r w:rsidR="00DE3235">
        <w:t xml:space="preserve"> two reasons</w:t>
      </w:r>
      <w:r w:rsidR="00502E85">
        <w:t>, we may conclude</w:t>
      </w:r>
      <w:r w:rsidR="00DE3235">
        <w:t xml:space="preserve"> that the similarity between the glosses is coincidental, and it is </w:t>
      </w:r>
      <w:r w:rsidR="00395EA3">
        <w:t>Kara</w:t>
      </w:r>
      <w:r w:rsidR="006B7AB4">
        <w:t>’</w:t>
      </w:r>
      <w:r w:rsidR="00DE3235">
        <w:t xml:space="preserve">s lost commentary, and not Ibn Ezra, that is the source of the glosses in </w:t>
      </w:r>
      <w:proofErr w:type="spellStart"/>
      <w:r w:rsidR="00DE3235">
        <w:t>Hizkuni</w:t>
      </w:r>
      <w:proofErr w:type="spellEnd"/>
      <w:r w:rsidR="00DE3235">
        <w:t>.</w:t>
      </w:r>
    </w:p>
    <w:p w14:paraId="396FB7AC" w14:textId="47758945" w:rsidR="009630D8" w:rsidRDefault="009630D8" w:rsidP="009630D8">
      <w:pPr>
        <w:spacing w:line="360" w:lineRule="auto"/>
      </w:pPr>
      <w:r>
        <w:t>In two other cases</w:t>
      </w:r>
      <w:r w:rsidR="0037213E">
        <w:t>,</w:t>
      </w:r>
      <w:r>
        <w:t xml:space="preserve"> I find it difficult to determine whether the source of the glosses is </w:t>
      </w:r>
      <w:proofErr w:type="spellStart"/>
      <w:r>
        <w:t>Rashbam</w:t>
      </w:r>
      <w:proofErr w:type="spellEnd"/>
      <w:r>
        <w:t xml:space="preserve"> or </w:t>
      </w:r>
      <w:r w:rsidR="00EC54B0">
        <w:t>Kara</w:t>
      </w:r>
      <w:r w:rsidR="006B7AB4">
        <w:t>’</w:t>
      </w:r>
      <w:r>
        <w:t>s lost commentary:</w:t>
      </w:r>
    </w:p>
    <w:p w14:paraId="4B3BBB97" w14:textId="6FAEF60C" w:rsidR="009630D8" w:rsidRDefault="009630D8" w:rsidP="0037213E">
      <w:pPr>
        <w:spacing w:line="360" w:lineRule="auto"/>
      </w:pPr>
      <w:r>
        <w:t xml:space="preserve">11. </w:t>
      </w:r>
      <w:r w:rsidR="0037213E">
        <w:t>In Gen. 19:15</w:t>
      </w:r>
      <w:r w:rsidR="0063536D">
        <w:t>,</w:t>
      </w:r>
      <w:r w:rsidR="0037213E">
        <w:t xml:space="preserve"> we read: </w:t>
      </w:r>
      <w:r w:rsidR="006B7AB4">
        <w:t>‘</w:t>
      </w:r>
      <w:r w:rsidR="0037213E" w:rsidRPr="0037213E">
        <w:t xml:space="preserve">When the morning dawned, the angels urged Lot to hurry, saying, </w:t>
      </w:r>
      <w:r w:rsidR="006B7AB4">
        <w:t>“</w:t>
      </w:r>
      <w:r w:rsidR="0037213E" w:rsidRPr="0037213E">
        <w:t>Arise, take your wife and your two daughters who are here, lest you be consumed in the punishment of the city</w:t>
      </w:r>
      <w:r w:rsidR="0037213E">
        <w:t>.</w:t>
      </w:r>
      <w:r w:rsidR="006B7AB4">
        <w:t>”</w:t>
      </w:r>
      <w:r w:rsidR="00CE6040">
        <w:t>’</w:t>
      </w:r>
      <w:r w:rsidR="0037213E">
        <w:t xml:space="preserve"> </w:t>
      </w:r>
      <w:proofErr w:type="spellStart"/>
      <w:r w:rsidR="0037213E">
        <w:t>Rashbam</w:t>
      </w:r>
      <w:proofErr w:type="spellEnd"/>
      <w:r w:rsidR="0037213E">
        <w:t xml:space="preserve"> writes:</w:t>
      </w:r>
    </w:p>
    <w:p w14:paraId="2254EEEB" w14:textId="47BDFFF8" w:rsidR="0037213E" w:rsidRDefault="0037213E" w:rsidP="0037213E">
      <w:pPr>
        <w:spacing w:line="360" w:lineRule="auto"/>
        <w:ind w:left="720"/>
        <w:jc w:val="right"/>
        <w:rPr>
          <w:rtl/>
        </w:rPr>
      </w:pPr>
      <w:r w:rsidRPr="0037213E">
        <w:rPr>
          <w:rtl/>
        </w:rPr>
        <w:t xml:space="preserve">וכמו השחר עלה – נכתב פסוק זה בשביל שכתוב לפנינו </w:t>
      </w:r>
      <w:r w:rsidR="00033776">
        <w:rPr>
          <w:rFonts w:hint="cs"/>
          <w:rtl/>
        </w:rPr>
        <w:t>'</w:t>
      </w:r>
      <w:r w:rsidRPr="0037213E">
        <w:rPr>
          <w:rtl/>
        </w:rPr>
        <w:t>השמש יצא על הארץ ולוט בא צוערה</w:t>
      </w:r>
      <w:r w:rsidR="00033776">
        <w:rPr>
          <w:rFonts w:hint="cs"/>
          <w:rtl/>
        </w:rPr>
        <w:t>'</w:t>
      </w:r>
      <w:r w:rsidRPr="0037213E">
        <w:rPr>
          <w:rtl/>
        </w:rPr>
        <w:t xml:space="preserve"> (בר</w:t>
      </w:r>
      <w:r w:rsidR="00033776">
        <w:rPr>
          <w:rFonts w:hint="cs"/>
          <w:rtl/>
        </w:rPr>
        <w:t>'</w:t>
      </w:r>
      <w:r w:rsidRPr="0037213E">
        <w:rPr>
          <w:rtl/>
        </w:rPr>
        <w:t xml:space="preserve"> יט</w:t>
      </w:r>
      <w:r w:rsidRPr="0037213E">
        <w:rPr>
          <w:rFonts w:hint="cs"/>
          <w:rtl/>
        </w:rPr>
        <w:t xml:space="preserve">, </w:t>
      </w:r>
      <w:r w:rsidRPr="0037213E">
        <w:rPr>
          <w:rtl/>
        </w:rPr>
        <w:t>כג), להודיע שכל כך המתינו לו המלאכים בשביל חיבתו של אברהם</w:t>
      </w:r>
      <w:r>
        <w:rPr>
          <w:rFonts w:hint="cs"/>
          <w:rtl/>
        </w:rPr>
        <w:t>.</w:t>
      </w:r>
    </w:p>
    <w:p w14:paraId="6577E26C" w14:textId="567B084F" w:rsidR="0037213E" w:rsidRDefault="0037213E" w:rsidP="0037213E">
      <w:pPr>
        <w:spacing w:line="360" w:lineRule="auto"/>
        <w:ind w:left="720"/>
      </w:pPr>
      <w:r>
        <w:t>When the morning dawned – This verse was written for when we read</w:t>
      </w:r>
      <w:r w:rsidR="00211920">
        <w:t>,</w:t>
      </w:r>
      <w:r>
        <w:t xml:space="preserve"> </w:t>
      </w:r>
      <w:r w:rsidR="006B7AB4">
        <w:t>‘</w:t>
      </w:r>
      <w:r w:rsidRPr="0037213E">
        <w:t>The sun had risen upon the earth</w:t>
      </w:r>
      <w:r w:rsidR="002C23F8">
        <w:t>,</w:t>
      </w:r>
      <w:r w:rsidRPr="0037213E">
        <w:t xml:space="preserve"> </w:t>
      </w:r>
      <w:r>
        <w:t>and</w:t>
      </w:r>
      <w:r w:rsidRPr="0037213E">
        <w:t xml:space="preserve"> Lot </w:t>
      </w:r>
      <w:r>
        <w:t>came to</w:t>
      </w:r>
      <w:r w:rsidRPr="0037213E">
        <w:t xml:space="preserve"> Zoar</w:t>
      </w:r>
      <w:r w:rsidR="006B7AB4">
        <w:t>’</w:t>
      </w:r>
      <w:r>
        <w:t xml:space="preserve"> (Gen. 19:23) to inform us that the angels wait</w:t>
      </w:r>
      <w:r w:rsidR="00033776">
        <w:t>ed</w:t>
      </w:r>
      <w:r>
        <w:t xml:space="preserve"> for him because of Abraham</w:t>
      </w:r>
      <w:r w:rsidR="006B7AB4">
        <w:t>’</w:t>
      </w:r>
      <w:r>
        <w:t>s favor.</w:t>
      </w:r>
    </w:p>
    <w:p w14:paraId="3B14BBCC" w14:textId="33CF37FE" w:rsidR="0037213E" w:rsidRDefault="0037213E" w:rsidP="0037213E">
      <w:pPr>
        <w:spacing w:line="360" w:lineRule="auto"/>
      </w:pPr>
      <w:r>
        <w:t xml:space="preserve">In </w:t>
      </w:r>
      <w:proofErr w:type="spellStart"/>
      <w:r>
        <w:t>Hizkuni</w:t>
      </w:r>
      <w:proofErr w:type="spellEnd"/>
      <w:r>
        <w:t>, we find a similar gloss:</w:t>
      </w:r>
    </w:p>
    <w:p w14:paraId="39A2A8DC" w14:textId="3A9ADEEF" w:rsidR="0037213E" w:rsidRDefault="0037213E" w:rsidP="0037213E">
      <w:pPr>
        <w:spacing w:line="360" w:lineRule="auto"/>
        <w:ind w:left="720"/>
        <w:jc w:val="right"/>
        <w:rPr>
          <w:rtl/>
        </w:rPr>
      </w:pPr>
      <w:r w:rsidRPr="0037213E">
        <w:rPr>
          <w:rtl/>
        </w:rPr>
        <w:t xml:space="preserve">וכמו השחר עלה – כתוב זה נכתב </w:t>
      </w:r>
      <w:r w:rsidRPr="0037213E">
        <w:rPr>
          <w:b/>
          <w:bCs/>
          <w:rtl/>
        </w:rPr>
        <w:t>לפי שעתיד לומר</w:t>
      </w:r>
      <w:r w:rsidRPr="0037213E">
        <w:rPr>
          <w:rtl/>
        </w:rPr>
        <w:t xml:space="preserve"> </w:t>
      </w:r>
      <w:r w:rsidR="00033776">
        <w:rPr>
          <w:rFonts w:hint="cs"/>
          <w:rtl/>
        </w:rPr>
        <w:t>'</w:t>
      </w:r>
      <w:r w:rsidRPr="0037213E">
        <w:rPr>
          <w:rtl/>
        </w:rPr>
        <w:t>השמש יצא על הארץ ולוט בא צוערה</w:t>
      </w:r>
      <w:r w:rsidR="00033776">
        <w:rPr>
          <w:rFonts w:hint="cs"/>
          <w:rtl/>
        </w:rPr>
        <w:t>'</w:t>
      </w:r>
      <w:r w:rsidRPr="0037213E">
        <w:rPr>
          <w:rtl/>
        </w:rPr>
        <w:t xml:space="preserve"> (בר</w:t>
      </w:r>
      <w:r w:rsidR="00033776">
        <w:rPr>
          <w:rFonts w:hint="cs"/>
          <w:rtl/>
        </w:rPr>
        <w:t>'</w:t>
      </w:r>
      <w:r w:rsidRPr="0037213E">
        <w:rPr>
          <w:rtl/>
        </w:rPr>
        <w:t xml:space="preserve"> יט, כג), להודיע שכל כך המתינו לו המלאכים לשחת הערים בשביל חיבתו של אברהם אבינו</w:t>
      </w:r>
      <w:r>
        <w:rPr>
          <w:rFonts w:hint="cs"/>
          <w:rtl/>
        </w:rPr>
        <w:t>.</w:t>
      </w:r>
    </w:p>
    <w:p w14:paraId="65F1DE36" w14:textId="19E70F19" w:rsidR="0037213E" w:rsidRDefault="0037213E" w:rsidP="0037213E">
      <w:pPr>
        <w:spacing w:line="360" w:lineRule="auto"/>
        <w:ind w:left="720"/>
      </w:pPr>
      <w:r>
        <w:t xml:space="preserve">When the morning dawned – this was written </w:t>
      </w:r>
      <w:r w:rsidRPr="006837B5">
        <w:rPr>
          <w:i/>
          <w:iCs/>
        </w:rPr>
        <w:t>since it will later say</w:t>
      </w:r>
      <w:r w:rsidR="00033776">
        <w:rPr>
          <w:i/>
          <w:iCs/>
        </w:rPr>
        <w:t>,</w:t>
      </w:r>
      <w:r>
        <w:t xml:space="preserve"> </w:t>
      </w:r>
      <w:r w:rsidR="006B7AB4">
        <w:t>‘</w:t>
      </w:r>
      <w:r>
        <w:t>The sun had risen upon the earth</w:t>
      </w:r>
      <w:r w:rsidR="002C23F8">
        <w:t>,</w:t>
      </w:r>
      <w:r>
        <w:t xml:space="preserve"> and Lot came to Zoar</w:t>
      </w:r>
      <w:r w:rsidR="006B7AB4">
        <w:t>’</w:t>
      </w:r>
      <w:r>
        <w:t xml:space="preserve"> (Gen. 19:23) to inform us that the angels waited for him before they destroyed the cities because of our father Abraham</w:t>
      </w:r>
      <w:r w:rsidR="006B7AB4">
        <w:t>’</w:t>
      </w:r>
      <w:r>
        <w:t>s favor.</w:t>
      </w:r>
    </w:p>
    <w:p w14:paraId="7D92091D" w14:textId="77777777" w:rsidR="00033776" w:rsidRDefault="00073DB5" w:rsidP="009E3269">
      <w:pPr>
        <w:spacing w:line="360" w:lineRule="auto"/>
        <w:rPr>
          <w:rtl/>
        </w:rPr>
      </w:pPr>
      <w:r>
        <w:t xml:space="preserve">12. In Lev. 13:2 it says: </w:t>
      </w:r>
      <w:r w:rsidR="006B7AB4">
        <w:t>‘</w:t>
      </w:r>
      <w:r w:rsidRPr="00073DB5">
        <w:t xml:space="preserve">When a man </w:t>
      </w:r>
      <w:r>
        <w:t>has on</w:t>
      </w:r>
      <w:r w:rsidRPr="00073DB5">
        <w:t xml:space="preserve"> the skin of his flesh a rising, or a scab, or a bright spot, and it become</w:t>
      </w:r>
      <w:r>
        <w:t>s</w:t>
      </w:r>
      <w:r w:rsidRPr="00073DB5">
        <w:t xml:space="preserve"> in the skin of his flesh the </w:t>
      </w:r>
      <w:r w:rsidR="009E3269">
        <w:t>sore</w:t>
      </w:r>
      <w:r w:rsidRPr="00073DB5">
        <w:t xml:space="preserve"> of leprosy, then he shall be brought unto Aaron the priest, or unto one of his sons the priests</w:t>
      </w:r>
      <w:r>
        <w:t>.</w:t>
      </w:r>
      <w:r w:rsidR="006B7AB4">
        <w:t>’</w:t>
      </w:r>
      <w:r>
        <w:t xml:space="preserve"> </w:t>
      </w:r>
      <w:proofErr w:type="spellStart"/>
      <w:r>
        <w:t>Rashbam</w:t>
      </w:r>
      <w:proofErr w:type="spellEnd"/>
      <w:r>
        <w:t xml:space="preserve"> writes:</w:t>
      </w:r>
    </w:p>
    <w:p w14:paraId="06B2ECD1" w14:textId="41386205" w:rsidR="0024546D" w:rsidRDefault="00073DB5" w:rsidP="0024546D">
      <w:pPr>
        <w:pStyle w:val="Quote"/>
        <w:rPr>
          <w:rtl/>
        </w:rPr>
      </w:pPr>
      <w:r w:rsidRPr="00073DB5">
        <w:rPr>
          <w:kern w:val="0"/>
          <w:rtl/>
          <w14:ligatures w14:val="none"/>
        </w:rPr>
        <w:lastRenderedPageBreak/>
        <w:t xml:space="preserve"> </w:t>
      </w:r>
      <w:r w:rsidRPr="00073DB5">
        <w:rPr>
          <w:rtl/>
        </w:rPr>
        <w:t xml:space="preserve">לפי שלפנינו יאמר: </w:t>
      </w:r>
      <w:r w:rsidR="0024546D">
        <w:rPr>
          <w:rFonts w:hint="cs"/>
          <w:rtl/>
        </w:rPr>
        <w:t>'</w:t>
      </w:r>
      <w:r w:rsidRPr="00073DB5">
        <w:rPr>
          <w:rtl/>
        </w:rPr>
        <w:t>כי יהיה בו נגע בראש או בזקן</w:t>
      </w:r>
      <w:r w:rsidR="0024546D">
        <w:rPr>
          <w:rFonts w:hint="cs"/>
          <w:rtl/>
        </w:rPr>
        <w:t>'</w:t>
      </w:r>
      <w:r w:rsidRPr="00073DB5">
        <w:rPr>
          <w:rtl/>
        </w:rPr>
        <w:t xml:space="preserve"> (וי</w:t>
      </w:r>
      <w:r w:rsidR="0024546D">
        <w:rPr>
          <w:rFonts w:hint="cs"/>
          <w:rtl/>
        </w:rPr>
        <w:t>'</w:t>
      </w:r>
      <w:r w:rsidRPr="00073DB5">
        <w:rPr>
          <w:rtl/>
        </w:rPr>
        <w:t xml:space="preserve"> יג, כט), הוצרך כאן לומר בעור בשר</w:t>
      </w:r>
    </w:p>
    <w:p w14:paraId="0EFCA1F0" w14:textId="42F479E6" w:rsidR="00526FDA" w:rsidRDefault="009E3269" w:rsidP="00660F30">
      <w:pPr>
        <w:pStyle w:val="Quote"/>
      </w:pPr>
      <w:r w:rsidRPr="009E3269">
        <w:t xml:space="preserve">Since </w:t>
      </w:r>
      <w:r w:rsidR="00A02259">
        <w:t>below</w:t>
      </w:r>
      <w:r w:rsidR="00660F30">
        <w:t xml:space="preserve"> it will</w:t>
      </w:r>
      <w:r w:rsidR="00526FDA">
        <w:t xml:space="preserve"> </w:t>
      </w:r>
      <w:r w:rsidR="00660F30">
        <w:t>say</w:t>
      </w:r>
      <w:r w:rsidR="002646B8">
        <w:t>,</w:t>
      </w:r>
      <w:r w:rsidRPr="009E3269">
        <w:t xml:space="preserve"> </w:t>
      </w:r>
      <w:r w:rsidR="00660F30">
        <w:t>‘</w:t>
      </w:r>
      <w:r w:rsidRPr="009E3269">
        <w:t xml:space="preserve">When a man or woman </w:t>
      </w:r>
      <w:r>
        <w:t>has a sore</w:t>
      </w:r>
      <w:r w:rsidRPr="009E3269">
        <w:t xml:space="preserve"> upon the head or the beard</w:t>
      </w:r>
      <w:r w:rsidR="00660F30">
        <w:t>’</w:t>
      </w:r>
      <w:r>
        <w:t xml:space="preserve"> (Lev. 13:29), here it </w:t>
      </w:r>
      <w:r w:rsidR="00526FDA">
        <w:t>is necessary</w:t>
      </w:r>
      <w:r>
        <w:t xml:space="preserve"> to </w:t>
      </w:r>
      <w:proofErr w:type="gramStart"/>
      <w:r>
        <w:t>say</w:t>
      </w:r>
      <w:proofErr w:type="gramEnd"/>
      <w:r>
        <w:t xml:space="preserve"> </w:t>
      </w:r>
      <w:r w:rsidR="00526FDA">
        <w:t>‘</w:t>
      </w:r>
      <w:r>
        <w:t>on the skin of his flesh.</w:t>
      </w:r>
      <w:r w:rsidR="00526FDA">
        <w:t>’</w:t>
      </w:r>
    </w:p>
    <w:p w14:paraId="558F1BDE" w14:textId="77777777" w:rsidR="00526FDA" w:rsidRDefault="009E3269" w:rsidP="00526FDA">
      <w:proofErr w:type="spellStart"/>
      <w:r>
        <w:t>Hizkuni</w:t>
      </w:r>
      <w:proofErr w:type="spellEnd"/>
      <w:r>
        <w:t xml:space="preserve"> writes:</w:t>
      </w:r>
    </w:p>
    <w:p w14:paraId="7E83CB9A" w14:textId="77777777" w:rsidR="00A944A5" w:rsidRDefault="009E3269" w:rsidP="00B63775">
      <w:pPr>
        <w:pStyle w:val="Quote"/>
        <w:bidi/>
        <w:rPr>
          <w:rtl/>
        </w:rPr>
      </w:pPr>
      <w:r w:rsidRPr="009E3269">
        <w:rPr>
          <w:rtl/>
        </w:rPr>
        <w:t xml:space="preserve">בעור בשרו – לפי שעתיד לומר לקמן </w:t>
      </w:r>
      <w:r w:rsidR="00EB0EC9">
        <w:rPr>
          <w:rFonts w:hint="cs"/>
          <w:rtl/>
        </w:rPr>
        <w:t>'</w:t>
      </w:r>
      <w:r w:rsidRPr="009E3269">
        <w:rPr>
          <w:rtl/>
        </w:rPr>
        <w:t>נגע בראש או בזקן</w:t>
      </w:r>
      <w:r w:rsidR="00EB0EC9">
        <w:rPr>
          <w:rFonts w:hint="cs"/>
          <w:rtl/>
        </w:rPr>
        <w:t>'</w:t>
      </w:r>
      <w:r w:rsidRPr="009E3269">
        <w:rPr>
          <w:rtl/>
        </w:rPr>
        <w:t xml:space="preserve"> (וי</w:t>
      </w:r>
      <w:r w:rsidR="00EB0EC9">
        <w:rPr>
          <w:rFonts w:hint="cs"/>
          <w:rtl/>
        </w:rPr>
        <w:t>'</w:t>
      </w:r>
      <w:r w:rsidRPr="009E3269">
        <w:rPr>
          <w:rtl/>
        </w:rPr>
        <w:t xml:space="preserve"> יג, כט) הוצרך לומר כאן בעור בשרו</w:t>
      </w:r>
    </w:p>
    <w:p w14:paraId="7F2A4229" w14:textId="225E6791" w:rsidR="0037213E" w:rsidRDefault="009E3269" w:rsidP="00A944A5">
      <w:pPr>
        <w:pStyle w:val="Quote"/>
      </w:pPr>
      <w:r w:rsidRPr="009E3269">
        <w:t xml:space="preserve">On the skin of his flesh – </w:t>
      </w:r>
      <w:r w:rsidRPr="003A53A5">
        <w:rPr>
          <w:i/>
          <w:iCs/>
        </w:rPr>
        <w:t>since it will later say</w:t>
      </w:r>
      <w:r w:rsidRPr="009E3269">
        <w:t xml:space="preserve"> </w:t>
      </w:r>
      <w:r w:rsidR="001C6D03">
        <w:t>‘</w:t>
      </w:r>
      <w:r w:rsidRPr="009E3269">
        <w:t>a</w:t>
      </w:r>
      <w:r>
        <w:t xml:space="preserve"> sore upon the head or the beard</w:t>
      </w:r>
      <w:r w:rsidR="00B63775">
        <w:t>’</w:t>
      </w:r>
      <w:r>
        <w:t xml:space="preserve"> (Lev. 13:29), </w:t>
      </w:r>
      <w:r w:rsidR="002646B8">
        <w:t>it is necessary</w:t>
      </w:r>
      <w:r>
        <w:t xml:space="preserve"> to say</w:t>
      </w:r>
      <w:r w:rsidR="00BC60EC">
        <w:t xml:space="preserve"> here</w:t>
      </w:r>
      <w:r>
        <w:t xml:space="preserve"> </w:t>
      </w:r>
      <w:r w:rsidR="00B63775">
        <w:t>‘</w:t>
      </w:r>
      <w:r>
        <w:t>on the skin of his flesh</w:t>
      </w:r>
      <w:proofErr w:type="gramStart"/>
      <w:r w:rsidR="001C6D03">
        <w:t>’</w:t>
      </w:r>
      <w:r>
        <w:t>.</w:t>
      </w:r>
      <w:proofErr w:type="gramEnd"/>
    </w:p>
    <w:p w14:paraId="741E4622" w14:textId="45F85C0B" w:rsidR="00073DB5" w:rsidRDefault="009E3269" w:rsidP="009E3269">
      <w:pPr>
        <w:spacing w:line="360" w:lineRule="auto"/>
      </w:pPr>
      <w:r>
        <w:t>In both cases (11-12)</w:t>
      </w:r>
      <w:r w:rsidR="001C6D03">
        <w:t>,</w:t>
      </w:r>
      <w:r>
        <w:t xml:space="preserve"> there is significant linguistic similarity between </w:t>
      </w:r>
      <w:proofErr w:type="spellStart"/>
      <w:r>
        <w:t>Rashbam</w:t>
      </w:r>
      <w:r w:rsidR="006B7AB4">
        <w:t>’</w:t>
      </w:r>
      <w:r>
        <w:t>s</w:t>
      </w:r>
      <w:proofErr w:type="spellEnd"/>
      <w:r>
        <w:t xml:space="preserve"> gloss and the one that appears in </w:t>
      </w:r>
      <w:proofErr w:type="spellStart"/>
      <w:r>
        <w:t>Hizkuni</w:t>
      </w:r>
      <w:proofErr w:type="spellEnd"/>
      <w:r>
        <w:t xml:space="preserve">, and we </w:t>
      </w:r>
      <w:r w:rsidR="001C6D03">
        <w:t>may</w:t>
      </w:r>
      <w:r>
        <w:t xml:space="preserve"> suppose that </w:t>
      </w:r>
      <w:proofErr w:type="spellStart"/>
      <w:r>
        <w:t>Rashbam</w:t>
      </w:r>
      <w:proofErr w:type="spellEnd"/>
      <w:r>
        <w:t xml:space="preserve"> is the source of the gloss. However, the wording </w:t>
      </w:r>
      <w:r w:rsidR="006B7AB4">
        <w:t>‘</w:t>
      </w:r>
      <w:r>
        <w:t>since it will later say</w:t>
      </w:r>
      <w:r w:rsidR="006B7AB4">
        <w:t>’</w:t>
      </w:r>
      <w:r>
        <w:t xml:space="preserve"> in these glosses is found only in </w:t>
      </w:r>
      <w:proofErr w:type="spellStart"/>
      <w:r>
        <w:t>Hizkuni</w:t>
      </w:r>
      <w:proofErr w:type="spellEnd"/>
      <w:r>
        <w:t xml:space="preserve"> (the formulation that appears in </w:t>
      </w:r>
      <w:proofErr w:type="spellStart"/>
      <w:r>
        <w:t>Rashbam</w:t>
      </w:r>
      <w:proofErr w:type="spellEnd"/>
      <w:r>
        <w:t xml:space="preserve"> is </w:t>
      </w:r>
      <w:r w:rsidR="006B7AB4">
        <w:t>‘</w:t>
      </w:r>
      <w:r w:rsidR="00EF7E24" w:rsidRPr="009E3269">
        <w:t xml:space="preserve">Since </w:t>
      </w:r>
      <w:r w:rsidR="00EF7E24">
        <w:t>below it will say</w:t>
      </w:r>
      <w:r w:rsidR="006B7AB4">
        <w:t>’</w:t>
      </w:r>
      <w:r>
        <w:t xml:space="preserve">; </w:t>
      </w:r>
      <w:r w:rsidR="006B7AB4">
        <w:t>‘</w:t>
      </w:r>
      <w:r>
        <w:t xml:space="preserve">for it will be stated </w:t>
      </w:r>
      <w:r w:rsidR="00EF7E24">
        <w:t>below</w:t>
      </w:r>
      <w:r w:rsidR="0094707E">
        <w:t>’</w:t>
      </w:r>
      <w:r>
        <w:t xml:space="preserve">), and this may point to </w:t>
      </w:r>
      <w:r w:rsidR="0001260A">
        <w:t xml:space="preserve">Kara </w:t>
      </w:r>
      <w:r>
        <w:t>as the source of these glosses.</w:t>
      </w:r>
      <w:r>
        <w:rPr>
          <w:rStyle w:val="FootnoteReference"/>
        </w:rPr>
        <w:footnoteReference w:id="47"/>
      </w:r>
      <w:r>
        <w:t xml:space="preserve"> If we accept </w:t>
      </w:r>
      <w:r w:rsidR="0094707E">
        <w:t>these argume</w:t>
      </w:r>
      <w:r w:rsidR="008B5F5B">
        <w:t>nt</w:t>
      </w:r>
      <w:r w:rsidR="0094707E">
        <w:t>s</w:t>
      </w:r>
      <w:r>
        <w:t xml:space="preserve">, there are two more cases where </w:t>
      </w:r>
      <w:r w:rsidR="0001260A">
        <w:t xml:space="preserve">Kara </w:t>
      </w:r>
      <w:r>
        <w:t xml:space="preserve">and </w:t>
      </w:r>
      <w:proofErr w:type="spellStart"/>
      <w:r>
        <w:t>Rashbam</w:t>
      </w:r>
      <w:proofErr w:type="spellEnd"/>
      <w:r>
        <w:t xml:space="preserve"> proposed similar glosses connected to the anticipatory principle, as discussed below. I tend to accept </w:t>
      </w:r>
      <w:r w:rsidR="008B5F5B">
        <w:t>the argument</w:t>
      </w:r>
      <w:r w:rsidR="00144143">
        <w:t>s</w:t>
      </w:r>
      <w:r>
        <w:t xml:space="preserve">, but there is no way to conclusively determine whether the gloss was taken from </w:t>
      </w:r>
      <w:proofErr w:type="spellStart"/>
      <w:r>
        <w:t>Rashbam</w:t>
      </w:r>
      <w:proofErr w:type="spellEnd"/>
      <w:r>
        <w:t xml:space="preserve"> with its wording changed or whether the source was </w:t>
      </w:r>
      <w:r w:rsidR="0001260A">
        <w:t>Kara</w:t>
      </w:r>
      <w:r w:rsidR="00BC60EC">
        <w:t>,</w:t>
      </w:r>
      <w:r w:rsidR="0001260A">
        <w:t xml:space="preserve"> </w:t>
      </w:r>
      <w:r>
        <w:t>who offered a similar gloss in his characteristic wording.</w:t>
      </w:r>
    </w:p>
    <w:p w14:paraId="7D4083BA" w14:textId="301F3317" w:rsidR="009E3269" w:rsidRDefault="009E3269" w:rsidP="009E3269">
      <w:pPr>
        <w:spacing w:line="360" w:lineRule="auto"/>
        <w:jc w:val="center"/>
      </w:pPr>
      <w:r>
        <w:t>***</w:t>
      </w:r>
    </w:p>
    <w:p w14:paraId="3A2BAE4D" w14:textId="1C71D763" w:rsidR="009E3269" w:rsidRPr="00D715C9" w:rsidRDefault="006B7AB4" w:rsidP="009E3269">
      <w:pPr>
        <w:spacing w:line="360" w:lineRule="auto"/>
      </w:pPr>
      <w:r>
        <w:t>‘</w:t>
      </w:r>
      <w:r w:rsidR="00442EA4">
        <w:rPr>
          <w:rFonts w:hint="cs"/>
          <w:rtl/>
        </w:rPr>
        <w:t>שלא תתמה</w:t>
      </w:r>
      <w:r>
        <w:t>’</w:t>
      </w:r>
      <w:r w:rsidR="00442EA4" w:rsidRPr="00D715C9">
        <w:t xml:space="preserve"> – </w:t>
      </w:r>
      <w:r w:rsidR="00442EA4" w:rsidRPr="00D715C9">
        <w:rPr>
          <w:i/>
          <w:iCs/>
        </w:rPr>
        <w:t>So you should not wonder</w:t>
      </w:r>
    </w:p>
    <w:p w14:paraId="0135E234" w14:textId="04C12739" w:rsidR="00073DB5" w:rsidRDefault="00E20D3A" w:rsidP="00073DB5">
      <w:pPr>
        <w:spacing w:line="360" w:lineRule="auto"/>
      </w:pPr>
      <w:r>
        <w:t xml:space="preserve">The phrase </w:t>
      </w:r>
      <w:r w:rsidR="006B7AB4">
        <w:t>‘</w:t>
      </w:r>
      <w:r>
        <w:rPr>
          <w:rFonts w:hint="cs"/>
          <w:rtl/>
        </w:rPr>
        <w:t>שלא תתמה</w:t>
      </w:r>
      <w:r w:rsidR="006B7AB4">
        <w:t>’</w:t>
      </w:r>
      <w:r w:rsidRPr="00D715C9">
        <w:t xml:space="preserve"> (</w:t>
      </w:r>
      <w:r w:rsidR="006B7AB4">
        <w:t>‘</w:t>
      </w:r>
      <w:r w:rsidRPr="00D715C9">
        <w:t xml:space="preserve">so you </w:t>
      </w:r>
      <w:r w:rsidR="001711B2">
        <w:t>do</w:t>
      </w:r>
      <w:r w:rsidRPr="00D715C9">
        <w:t xml:space="preserve"> not wonder</w:t>
      </w:r>
      <w:r w:rsidR="006B7AB4">
        <w:t>’</w:t>
      </w:r>
      <w:r w:rsidRPr="00D715C9">
        <w:t xml:space="preserve">) appears 14 times in the extant </w:t>
      </w:r>
      <w:r w:rsidR="0001260A">
        <w:t xml:space="preserve">Kara </w:t>
      </w:r>
      <w:r w:rsidRPr="00D715C9">
        <w:t>commentaries.</w:t>
      </w:r>
      <w:r>
        <w:rPr>
          <w:rStyle w:val="FootnoteReference"/>
        </w:rPr>
        <w:footnoteReference w:id="48"/>
      </w:r>
      <w:r w:rsidRPr="00D715C9">
        <w:t xml:space="preserve"> </w:t>
      </w:r>
      <w:r>
        <w:t xml:space="preserve">In all appearances, the phrase is connected to the anticipatory principle. This phrase only appears once in </w:t>
      </w:r>
      <w:proofErr w:type="spellStart"/>
      <w:r>
        <w:t>Rashbam</w:t>
      </w:r>
      <w:proofErr w:type="spellEnd"/>
      <w:r>
        <w:t xml:space="preserve"> and four times in </w:t>
      </w:r>
      <w:proofErr w:type="spellStart"/>
      <w:r w:rsidR="004A2CE2">
        <w:t>Ribash</w:t>
      </w:r>
      <w:proofErr w:type="spellEnd"/>
      <w:r>
        <w:t>.</w:t>
      </w:r>
      <w:r>
        <w:rPr>
          <w:rStyle w:val="FootnoteReference"/>
        </w:rPr>
        <w:footnoteReference w:id="49"/>
      </w:r>
      <w:r>
        <w:t xml:space="preserve"> It appears five times in </w:t>
      </w:r>
      <w:proofErr w:type="spellStart"/>
      <w:r>
        <w:lastRenderedPageBreak/>
        <w:t>Hizkuni</w:t>
      </w:r>
      <w:proofErr w:type="spellEnd"/>
      <w:r>
        <w:t>.</w:t>
      </w:r>
      <w:r w:rsidR="005F3540">
        <w:rPr>
          <w:rStyle w:val="FootnoteReference"/>
        </w:rPr>
        <w:footnoteReference w:id="50"/>
      </w:r>
      <w:r>
        <w:t xml:space="preserve"> I suppose, with various degrees of certainty, that four of the appearances were taken from </w:t>
      </w:r>
      <w:r w:rsidR="004E2EF0">
        <w:t>Kara</w:t>
      </w:r>
      <w:r w:rsidR="006B7AB4">
        <w:t>’</w:t>
      </w:r>
      <w:r>
        <w:t>s lost commentary, as discussed below.</w:t>
      </w:r>
      <w:r>
        <w:rPr>
          <w:rStyle w:val="FootnoteReference"/>
        </w:rPr>
        <w:footnoteReference w:id="51"/>
      </w:r>
    </w:p>
    <w:p w14:paraId="7DD60B95" w14:textId="2DCC26B2" w:rsidR="002736AA" w:rsidRDefault="002736AA" w:rsidP="00073DB5">
      <w:pPr>
        <w:spacing w:line="360" w:lineRule="auto"/>
      </w:pPr>
      <w:r>
        <w:t xml:space="preserve">One case (Gen. 35:22) also includes the phrase </w:t>
      </w:r>
      <w:r w:rsidR="006B7AB4">
        <w:t>‘</w:t>
      </w:r>
      <w:r>
        <w:t>it foreshadows and teaches you</w:t>
      </w:r>
      <w:r w:rsidR="006B7AB4">
        <w:t>’</w:t>
      </w:r>
      <w:r>
        <w:t xml:space="preserve">, discussed above (example 5). The fact that this gloss contains the phrase </w:t>
      </w:r>
      <w:r w:rsidR="006B7AB4">
        <w:t>‘</w:t>
      </w:r>
      <w:r>
        <w:t xml:space="preserve">so you </w:t>
      </w:r>
      <w:r w:rsidR="001711B2">
        <w:t>do</w:t>
      </w:r>
      <w:r>
        <w:t xml:space="preserve"> not wonder</w:t>
      </w:r>
      <w:r w:rsidR="006B7AB4">
        <w:t>’</w:t>
      </w:r>
      <w:r w:rsidR="00F66E55">
        <w:t>,</w:t>
      </w:r>
      <w:r>
        <w:t xml:space="preserve"> which also characterizes </w:t>
      </w:r>
      <w:r w:rsidR="0008321D">
        <w:t>Kara</w:t>
      </w:r>
      <w:r w:rsidR="006B7AB4">
        <w:t>’</w:t>
      </w:r>
      <w:r>
        <w:t>s glosses</w:t>
      </w:r>
      <w:r w:rsidR="00F66E55">
        <w:t>,</w:t>
      </w:r>
      <w:r>
        <w:t xml:space="preserve"> supports the theory offered above that the source of this gloss is </w:t>
      </w:r>
      <w:r w:rsidR="0008321D">
        <w:t>Kara</w:t>
      </w:r>
      <w:r w:rsidR="006B7AB4">
        <w:t>’</w:t>
      </w:r>
      <w:r>
        <w:t>s lost commentary.</w:t>
      </w:r>
    </w:p>
    <w:p w14:paraId="7A19742A" w14:textId="73918758" w:rsidR="004A128C" w:rsidRDefault="002736AA" w:rsidP="004A128C">
      <w:pPr>
        <w:spacing w:line="360" w:lineRule="auto"/>
      </w:pPr>
      <w:r>
        <w:t xml:space="preserve">13. </w:t>
      </w:r>
      <w:r w:rsidR="00867CB2">
        <w:t xml:space="preserve">An additional case is not a </w:t>
      </w:r>
      <w:r w:rsidR="00D84698">
        <w:t>new insight</w:t>
      </w:r>
      <w:r w:rsidR="00867CB2">
        <w:t xml:space="preserve"> since the gloss appear</w:t>
      </w:r>
      <w:r w:rsidR="004A128C">
        <w:t>ing</w:t>
      </w:r>
      <w:r w:rsidR="00867CB2">
        <w:t xml:space="preserve"> in </w:t>
      </w:r>
      <w:proofErr w:type="spellStart"/>
      <w:r w:rsidR="00867CB2">
        <w:t>Hizkuni</w:t>
      </w:r>
      <w:proofErr w:type="spellEnd"/>
      <w:r w:rsidR="00867CB2">
        <w:t xml:space="preserve"> is explicitly found in </w:t>
      </w:r>
      <w:r w:rsidR="004A128C">
        <w:t xml:space="preserve">the extant </w:t>
      </w:r>
      <w:r w:rsidR="00867CB2">
        <w:t xml:space="preserve">fragments of </w:t>
      </w:r>
      <w:r w:rsidR="00323259">
        <w:t>Kara</w:t>
      </w:r>
      <w:r w:rsidR="006B7AB4">
        <w:t>’</w:t>
      </w:r>
      <w:r w:rsidR="00867CB2">
        <w:t>s commentary. Ex.</w:t>
      </w:r>
      <w:r w:rsidR="004A128C">
        <w:t xml:space="preserve"> 13:18</w:t>
      </w:r>
      <w:r w:rsidR="00C824DD">
        <w:t xml:space="preserve"> </w:t>
      </w:r>
      <w:r w:rsidR="004A128C">
        <w:t xml:space="preserve">says: </w:t>
      </w:r>
      <w:r w:rsidR="006B7AB4">
        <w:t>‘</w:t>
      </w:r>
      <w:r w:rsidR="004A128C">
        <w:t>And</w:t>
      </w:r>
      <w:r w:rsidR="004A128C" w:rsidRPr="004A128C">
        <w:t xml:space="preserve"> God led the people about, by way of the wilderness by the R</w:t>
      </w:r>
      <w:r w:rsidR="004A128C">
        <w:t>e</w:t>
      </w:r>
      <w:r w:rsidR="004A128C" w:rsidRPr="004A128C">
        <w:t xml:space="preserve">ed Sea; and the children of Israel went up armed </w:t>
      </w:r>
      <w:r w:rsidR="004A128C">
        <w:t>[</w:t>
      </w:r>
      <w:proofErr w:type="spellStart"/>
      <w:r w:rsidR="004A128C">
        <w:rPr>
          <w:i/>
          <w:iCs/>
        </w:rPr>
        <w:t>hamushim</w:t>
      </w:r>
      <w:proofErr w:type="spellEnd"/>
      <w:r w:rsidR="004A128C">
        <w:t>]</w:t>
      </w:r>
      <w:r w:rsidR="004A128C">
        <w:rPr>
          <w:i/>
          <w:iCs/>
        </w:rPr>
        <w:t xml:space="preserve"> </w:t>
      </w:r>
      <w:r w:rsidR="004A128C" w:rsidRPr="004A128C">
        <w:t>out of the land of Egypt.</w:t>
      </w:r>
      <w:r w:rsidR="006B7AB4">
        <w:t>’</w:t>
      </w:r>
      <w:r w:rsidR="004A128C">
        <w:t xml:space="preserve"> Exegetes deliberated about the meaning of the word </w:t>
      </w:r>
      <w:r w:rsidR="006B7AB4">
        <w:t>‘</w:t>
      </w:r>
      <w:proofErr w:type="spellStart"/>
      <w:r w:rsidR="004A128C">
        <w:rPr>
          <w:i/>
          <w:iCs/>
        </w:rPr>
        <w:t>hamushim</w:t>
      </w:r>
      <w:proofErr w:type="spellEnd"/>
      <w:r w:rsidR="006B7AB4">
        <w:t>’</w:t>
      </w:r>
      <w:r w:rsidR="004A128C">
        <w:t xml:space="preserve">. </w:t>
      </w:r>
      <w:r w:rsidR="0008321D">
        <w:t xml:space="preserve">Kara </w:t>
      </w:r>
      <w:r w:rsidR="004A128C">
        <w:t>wrote:</w:t>
      </w:r>
    </w:p>
    <w:p w14:paraId="7F36DDD3" w14:textId="618DDDE9" w:rsidR="004A128C" w:rsidRDefault="004A128C" w:rsidP="004A128C">
      <w:pPr>
        <w:bidi/>
        <w:spacing w:line="360" w:lineRule="auto"/>
        <w:ind w:right="720"/>
      </w:pPr>
      <w:r w:rsidRPr="004A128C">
        <w:rPr>
          <w:rFonts w:hint="cs"/>
          <w:rtl/>
        </w:rPr>
        <w:t xml:space="preserve">[…] </w:t>
      </w:r>
      <w:r w:rsidRPr="004A128C">
        <w:rPr>
          <w:rtl/>
        </w:rPr>
        <w:t>ומקרא זה לא נכתב כאן כי אם לשבר את האוזן,</w:t>
      </w:r>
      <w:r w:rsidRPr="004A128C">
        <w:rPr>
          <w:rFonts w:ascii="Tahoma" w:hAnsi="Tahoma" w:cs="Tahoma" w:hint="cs"/>
          <w:rtl/>
        </w:rPr>
        <w:t>⁠</w:t>
      </w:r>
      <w:r w:rsidRPr="004A128C">
        <w:rPr>
          <w:rtl/>
        </w:rPr>
        <w:t xml:space="preserve"> </w:t>
      </w:r>
      <w:r w:rsidRPr="004A128C">
        <w:rPr>
          <w:rFonts w:hint="cs"/>
          <w:b/>
          <w:bCs/>
          <w:rtl/>
        </w:rPr>
        <w:t>שלא</w:t>
      </w:r>
      <w:r w:rsidRPr="004A128C">
        <w:rPr>
          <w:b/>
          <w:bCs/>
          <w:rtl/>
        </w:rPr>
        <w:t xml:space="preserve"> </w:t>
      </w:r>
      <w:r w:rsidRPr="004A128C">
        <w:rPr>
          <w:rFonts w:hint="cs"/>
          <w:b/>
          <w:bCs/>
          <w:rtl/>
        </w:rPr>
        <w:t>תתמה</w:t>
      </w:r>
      <w:r w:rsidRPr="004A128C">
        <w:rPr>
          <w:rtl/>
        </w:rPr>
        <w:t xml:space="preserve"> </w:t>
      </w:r>
      <w:r w:rsidRPr="004A128C">
        <w:rPr>
          <w:rFonts w:hint="cs"/>
          <w:rtl/>
        </w:rPr>
        <w:t>במלחמת</w:t>
      </w:r>
      <w:r w:rsidRPr="004A128C">
        <w:rPr>
          <w:rtl/>
        </w:rPr>
        <w:t xml:space="preserve"> </w:t>
      </w:r>
      <w:r w:rsidRPr="004A128C">
        <w:rPr>
          <w:rFonts w:hint="cs"/>
          <w:rtl/>
        </w:rPr>
        <w:t>עמלק</w:t>
      </w:r>
      <w:r w:rsidRPr="004A128C">
        <w:rPr>
          <w:rtl/>
        </w:rPr>
        <w:t xml:space="preserve"> </w:t>
      </w:r>
      <w:r w:rsidRPr="004A128C">
        <w:rPr>
          <w:rFonts w:hint="cs"/>
          <w:rtl/>
        </w:rPr>
        <w:t>ובמלחמת</w:t>
      </w:r>
      <w:r w:rsidRPr="004A128C">
        <w:rPr>
          <w:rtl/>
        </w:rPr>
        <w:t xml:space="preserve"> </w:t>
      </w:r>
      <w:r w:rsidRPr="004A128C">
        <w:rPr>
          <w:rFonts w:hint="cs"/>
          <w:rtl/>
        </w:rPr>
        <w:t>סיחון</w:t>
      </w:r>
      <w:r w:rsidRPr="004A128C">
        <w:rPr>
          <w:rtl/>
        </w:rPr>
        <w:t xml:space="preserve"> </w:t>
      </w:r>
      <w:r w:rsidRPr="004A128C">
        <w:rPr>
          <w:rFonts w:hint="cs"/>
          <w:rtl/>
        </w:rPr>
        <w:t>ועוג</w:t>
      </w:r>
      <w:r w:rsidRPr="004A128C">
        <w:rPr>
          <w:rtl/>
        </w:rPr>
        <w:t xml:space="preserve"> </w:t>
      </w:r>
      <w:r w:rsidRPr="004A128C">
        <w:rPr>
          <w:rFonts w:hint="cs"/>
          <w:rtl/>
        </w:rPr>
        <w:t>ומדין</w:t>
      </w:r>
      <w:r w:rsidRPr="004A128C">
        <w:rPr>
          <w:rtl/>
        </w:rPr>
        <w:t xml:space="preserve">, </w:t>
      </w:r>
      <w:r w:rsidRPr="004A128C">
        <w:rPr>
          <w:rFonts w:hint="cs"/>
          <w:rtl/>
        </w:rPr>
        <w:t>מאיין</w:t>
      </w:r>
      <w:r w:rsidRPr="004A128C">
        <w:rPr>
          <w:rtl/>
        </w:rPr>
        <w:t xml:space="preserve"> </w:t>
      </w:r>
      <w:r w:rsidRPr="004A128C">
        <w:rPr>
          <w:rFonts w:hint="cs"/>
          <w:rtl/>
        </w:rPr>
        <w:t>היו</w:t>
      </w:r>
      <w:r w:rsidRPr="004A128C">
        <w:rPr>
          <w:rtl/>
        </w:rPr>
        <w:t xml:space="preserve"> </w:t>
      </w:r>
      <w:r w:rsidRPr="004A128C">
        <w:rPr>
          <w:rFonts w:hint="cs"/>
          <w:rtl/>
        </w:rPr>
        <w:t>להם</w:t>
      </w:r>
      <w:r w:rsidRPr="004A128C">
        <w:rPr>
          <w:rtl/>
        </w:rPr>
        <w:t xml:space="preserve"> </w:t>
      </w:r>
      <w:r w:rsidRPr="004A128C">
        <w:rPr>
          <w:rFonts w:hint="cs"/>
          <w:rtl/>
        </w:rPr>
        <w:t>כלי</w:t>
      </w:r>
      <w:r w:rsidRPr="004A128C">
        <w:rPr>
          <w:rtl/>
        </w:rPr>
        <w:t xml:space="preserve"> </w:t>
      </w:r>
      <w:r w:rsidRPr="004A128C">
        <w:rPr>
          <w:rFonts w:hint="cs"/>
          <w:rtl/>
        </w:rPr>
        <w:t>זיין</w:t>
      </w:r>
      <w:r w:rsidRPr="004A128C">
        <w:rPr>
          <w:rtl/>
        </w:rPr>
        <w:t xml:space="preserve"> </w:t>
      </w:r>
      <w:r w:rsidRPr="004A128C">
        <w:rPr>
          <w:rFonts w:hint="cs"/>
          <w:rtl/>
        </w:rPr>
        <w:t>שהכום</w:t>
      </w:r>
      <w:r w:rsidRPr="004A128C">
        <w:rPr>
          <w:rtl/>
        </w:rPr>
        <w:t xml:space="preserve"> </w:t>
      </w:r>
      <w:r w:rsidRPr="004A128C">
        <w:rPr>
          <w:rFonts w:hint="cs"/>
          <w:rtl/>
        </w:rPr>
        <w:t>ישראל</w:t>
      </w:r>
      <w:r w:rsidRPr="004A128C">
        <w:rPr>
          <w:rtl/>
        </w:rPr>
        <w:t xml:space="preserve"> </w:t>
      </w:r>
      <w:r w:rsidRPr="004A128C">
        <w:rPr>
          <w:rFonts w:hint="cs"/>
          <w:rtl/>
        </w:rPr>
        <w:t>לפי</w:t>
      </w:r>
      <w:r w:rsidRPr="004A128C">
        <w:rPr>
          <w:rtl/>
        </w:rPr>
        <w:t xml:space="preserve"> </w:t>
      </w:r>
      <w:r w:rsidRPr="004A128C">
        <w:rPr>
          <w:rFonts w:hint="cs"/>
          <w:rtl/>
        </w:rPr>
        <w:t>חרב</w:t>
      </w:r>
      <w:r w:rsidR="00637131">
        <w:rPr>
          <w:rFonts w:hint="cs"/>
          <w:rtl/>
        </w:rPr>
        <w:t>.</w:t>
      </w:r>
    </w:p>
    <w:p w14:paraId="342BDE01" w14:textId="2546DF7D" w:rsidR="002736AA" w:rsidRPr="004A128C" w:rsidRDefault="004A128C" w:rsidP="004A128C">
      <w:pPr>
        <w:spacing w:line="360" w:lineRule="auto"/>
        <w:ind w:left="720"/>
      </w:pPr>
      <w:r>
        <w:t xml:space="preserve">[...] and this was only written here </w:t>
      </w:r>
      <w:r w:rsidR="00C10A44">
        <w:t xml:space="preserve">to </w:t>
      </w:r>
      <w:r w:rsidR="0093422E">
        <w:t>clarify</w:t>
      </w:r>
      <w:r>
        <w:t xml:space="preserve">, </w:t>
      </w:r>
      <w:r w:rsidRPr="006837B5">
        <w:rPr>
          <w:i/>
          <w:iCs/>
        </w:rPr>
        <w:t>so you should not wonder</w:t>
      </w:r>
      <w:r>
        <w:t xml:space="preserve"> in the war of Amalek and </w:t>
      </w:r>
      <w:r w:rsidR="00C10A44">
        <w:t xml:space="preserve">the war of Sihon and Og and </w:t>
      </w:r>
      <w:proofErr w:type="spellStart"/>
      <w:r w:rsidR="00C10A44">
        <w:t>Midyan</w:t>
      </w:r>
      <w:proofErr w:type="spellEnd"/>
      <w:r w:rsidR="00C10A44">
        <w:t>, from where they had</w:t>
      </w:r>
      <w:r>
        <w:t xml:space="preserve"> weapons, </w:t>
      </w:r>
      <w:r w:rsidR="00B8329F">
        <w:t>for</w:t>
      </w:r>
      <w:r>
        <w:t xml:space="preserve"> Israel </w:t>
      </w:r>
      <w:r w:rsidR="00B8329F">
        <w:t>smote</w:t>
      </w:r>
      <w:r>
        <w:t xml:space="preserve"> them by the sword.</w:t>
      </w:r>
    </w:p>
    <w:p w14:paraId="3347D288" w14:textId="45E1501D" w:rsidR="009630D8" w:rsidRDefault="0008321D" w:rsidP="00DE3235">
      <w:pPr>
        <w:spacing w:line="360" w:lineRule="auto"/>
      </w:pPr>
      <w:r>
        <w:t>Kara</w:t>
      </w:r>
      <w:r w:rsidR="006B7AB4">
        <w:t>’</w:t>
      </w:r>
      <w:r w:rsidR="004A128C">
        <w:t xml:space="preserve">s wording makes it clear that he regarded this gloss as related to the anticipatory principle. The information that seems superfluous – mentioning that the Israelites were armed (meaning, bearing weapons) when they left Egypt – came to solve a difficulty later on, when we may wonder how they contended with enemies that awaited them in the desert and on the eastern side of the Jordan river. </w:t>
      </w:r>
      <w:proofErr w:type="spellStart"/>
      <w:r w:rsidR="004A128C">
        <w:t>Hizkuni</w:t>
      </w:r>
      <w:proofErr w:type="spellEnd"/>
      <w:r w:rsidR="004A128C">
        <w:t xml:space="preserve"> </w:t>
      </w:r>
      <w:r w:rsidR="00C10A44">
        <w:t>writes</w:t>
      </w:r>
      <w:r w:rsidR="004A128C">
        <w:t>:</w:t>
      </w:r>
    </w:p>
    <w:p w14:paraId="4B69CD7E" w14:textId="1C4D6E51" w:rsidR="004A128C" w:rsidRDefault="004A128C" w:rsidP="004A128C">
      <w:pPr>
        <w:bidi/>
        <w:spacing w:line="360" w:lineRule="auto"/>
        <w:ind w:right="720"/>
      </w:pPr>
      <w:r w:rsidRPr="004A128C">
        <w:rPr>
          <w:rFonts w:hint="cs"/>
          <w:rtl/>
        </w:rPr>
        <w:t>[…]</w:t>
      </w:r>
      <w:r w:rsidRPr="004A128C">
        <w:rPr>
          <w:rtl/>
        </w:rPr>
        <w:t xml:space="preserve"> ועוד </w:t>
      </w:r>
      <w:r w:rsidRPr="004A128C">
        <w:rPr>
          <w:b/>
          <w:bCs/>
          <w:rtl/>
        </w:rPr>
        <w:t>שלא תתמה</w:t>
      </w:r>
      <w:r w:rsidRPr="004A128C">
        <w:rPr>
          <w:rtl/>
        </w:rPr>
        <w:t xml:space="preserve"> מהיכן באו להם כלי זיין במלחמת המדבר ובמלחמות ארץ ישראל</w:t>
      </w:r>
      <w:r w:rsidR="00637131">
        <w:rPr>
          <w:rFonts w:hint="cs"/>
          <w:rtl/>
        </w:rPr>
        <w:t>.</w:t>
      </w:r>
    </w:p>
    <w:p w14:paraId="70EF3BAB" w14:textId="59B1BFA0" w:rsidR="004A128C" w:rsidRPr="003350C3" w:rsidRDefault="004A128C" w:rsidP="004A128C">
      <w:pPr>
        <w:spacing w:line="360" w:lineRule="auto"/>
        <w:ind w:left="720"/>
      </w:pPr>
      <w:r>
        <w:lastRenderedPageBreak/>
        <w:t xml:space="preserve">[...] and further, </w:t>
      </w:r>
      <w:r w:rsidRPr="006837B5">
        <w:rPr>
          <w:i/>
          <w:iCs/>
        </w:rPr>
        <w:t>so you should not wonder</w:t>
      </w:r>
      <w:r>
        <w:t xml:space="preserve"> from where they had weapons in the war of the desert and in the wars of the Land of Israel.</w:t>
      </w:r>
    </w:p>
    <w:p w14:paraId="4AB87DF3" w14:textId="78205401" w:rsidR="00637131" w:rsidRDefault="00E97487" w:rsidP="003350C3">
      <w:pPr>
        <w:spacing w:line="360" w:lineRule="auto"/>
      </w:pPr>
      <w:proofErr w:type="spellStart"/>
      <w:r>
        <w:t>Hizkuni</w:t>
      </w:r>
      <w:proofErr w:type="spellEnd"/>
      <w:r>
        <w:t xml:space="preserve"> added </w:t>
      </w:r>
      <w:r w:rsidR="006B7AB4">
        <w:t>‘</w:t>
      </w:r>
      <w:r>
        <w:t>the wars of the Land of Israel</w:t>
      </w:r>
      <w:r w:rsidR="006B7AB4">
        <w:t>’</w:t>
      </w:r>
      <w:r>
        <w:t xml:space="preserve"> that were not mentioned in </w:t>
      </w:r>
      <w:r w:rsidR="0008321D">
        <w:t>Kara</w:t>
      </w:r>
      <w:r w:rsidR="006B7AB4">
        <w:t>’</w:t>
      </w:r>
      <w:r>
        <w:t xml:space="preserve">s gloss, perhaps </w:t>
      </w:r>
      <w:r w:rsidR="00637131">
        <w:t xml:space="preserve">alluding to the wars of </w:t>
      </w:r>
      <w:r w:rsidR="006B7AB4">
        <w:t>‘</w:t>
      </w:r>
      <w:r w:rsidR="00637131">
        <w:t>Sihon and Og</w:t>
      </w:r>
      <w:r w:rsidR="006B7AB4">
        <w:t>’</w:t>
      </w:r>
      <w:r w:rsidR="00637131">
        <w:t xml:space="preserve"> (as mentioned in </w:t>
      </w:r>
      <w:r w:rsidR="0008321D">
        <w:t>Kara</w:t>
      </w:r>
      <w:r w:rsidR="00637131">
        <w:t xml:space="preserve">). Another option is that he filled in this detail based on </w:t>
      </w:r>
      <w:proofErr w:type="spellStart"/>
      <w:r w:rsidR="00637131">
        <w:t>Rashbam</w:t>
      </w:r>
      <w:r w:rsidR="006B7AB4">
        <w:t>’</w:t>
      </w:r>
      <w:r w:rsidR="00637131">
        <w:t>s</w:t>
      </w:r>
      <w:proofErr w:type="spellEnd"/>
      <w:r w:rsidR="00637131">
        <w:t xml:space="preserve"> gloss, who admittedly did not </w:t>
      </w:r>
      <w:r w:rsidR="00E91B0B">
        <w:t>make use of the</w:t>
      </w:r>
      <w:r w:rsidR="00637131">
        <w:t xml:space="preserve"> anticipatory principle here but explained:</w:t>
      </w:r>
    </w:p>
    <w:p w14:paraId="7E165A6B" w14:textId="16A834F7" w:rsidR="00637131" w:rsidRDefault="00637131" w:rsidP="00637131">
      <w:pPr>
        <w:spacing w:line="360" w:lineRule="auto"/>
        <w:ind w:left="720"/>
        <w:jc w:val="right"/>
      </w:pPr>
      <w:r w:rsidRPr="00637131">
        <w:rPr>
          <w:rtl/>
        </w:rPr>
        <w:t xml:space="preserve">וחמושים – בכלי זיין, שהיו הולכים לירש את ארץ כנען, </w:t>
      </w:r>
      <w:r w:rsidRPr="00637131">
        <w:rPr>
          <w:rFonts w:hint="cs"/>
          <w:rtl/>
        </w:rPr>
        <w:t>כמו</w:t>
      </w:r>
      <w:r w:rsidRPr="00637131">
        <w:rPr>
          <w:rtl/>
        </w:rPr>
        <w:t xml:space="preserve"> </w:t>
      </w:r>
      <w:r w:rsidRPr="00637131">
        <w:rPr>
          <w:rFonts w:hint="cs"/>
          <w:rtl/>
        </w:rPr>
        <w:t>שכתוב</w:t>
      </w:r>
      <w:r w:rsidRPr="00637131">
        <w:rPr>
          <w:rtl/>
        </w:rPr>
        <w:t xml:space="preserve"> </w:t>
      </w:r>
      <w:r w:rsidRPr="00637131">
        <w:rPr>
          <w:rFonts w:hint="cs"/>
          <w:rtl/>
        </w:rPr>
        <w:t>למעלה</w:t>
      </w:r>
      <w:r w:rsidRPr="00637131">
        <w:rPr>
          <w:rtl/>
        </w:rPr>
        <w:t xml:space="preserve"> </w:t>
      </w:r>
      <w:r w:rsidR="006B7AB4">
        <w:rPr>
          <w:rtl/>
        </w:rPr>
        <w:t>‘</w:t>
      </w:r>
      <w:r w:rsidRPr="00637131">
        <w:rPr>
          <w:rFonts w:hint="cs"/>
          <w:rtl/>
        </w:rPr>
        <w:t>ואומר</w:t>
      </w:r>
      <w:r w:rsidRPr="00637131">
        <w:rPr>
          <w:rtl/>
        </w:rPr>
        <w:t xml:space="preserve"> </w:t>
      </w:r>
      <w:r w:rsidRPr="00637131">
        <w:rPr>
          <w:rFonts w:hint="cs"/>
          <w:rtl/>
        </w:rPr>
        <w:t>אעלה</w:t>
      </w:r>
      <w:r w:rsidRPr="00637131">
        <w:rPr>
          <w:rtl/>
        </w:rPr>
        <w:t xml:space="preserve"> </w:t>
      </w:r>
      <w:r w:rsidRPr="00637131">
        <w:rPr>
          <w:rFonts w:hint="cs"/>
          <w:rtl/>
        </w:rPr>
        <w:t>אתכם</w:t>
      </w:r>
      <w:r w:rsidRPr="00637131">
        <w:rPr>
          <w:rtl/>
        </w:rPr>
        <w:t xml:space="preserve"> </w:t>
      </w:r>
      <w:r w:rsidRPr="00637131">
        <w:rPr>
          <w:rFonts w:hint="cs"/>
          <w:rtl/>
        </w:rPr>
        <w:t>מעני</w:t>
      </w:r>
      <w:r w:rsidRPr="00637131">
        <w:rPr>
          <w:rtl/>
        </w:rPr>
        <w:t xml:space="preserve"> </w:t>
      </w:r>
      <w:r w:rsidRPr="00637131">
        <w:rPr>
          <w:rFonts w:hint="cs"/>
          <w:rtl/>
        </w:rPr>
        <w:t>מצרים</w:t>
      </w:r>
      <w:r w:rsidRPr="00637131">
        <w:rPr>
          <w:rtl/>
        </w:rPr>
        <w:t xml:space="preserve"> </w:t>
      </w:r>
      <w:r w:rsidRPr="00637131">
        <w:rPr>
          <w:rFonts w:hint="cs"/>
          <w:rtl/>
        </w:rPr>
        <w:t>אל</w:t>
      </w:r>
      <w:r w:rsidRPr="00637131">
        <w:rPr>
          <w:rtl/>
        </w:rPr>
        <w:t xml:space="preserve"> </w:t>
      </w:r>
      <w:r w:rsidRPr="00637131">
        <w:rPr>
          <w:rFonts w:hint="cs"/>
          <w:rtl/>
        </w:rPr>
        <w:t>ארץ</w:t>
      </w:r>
      <w:r w:rsidRPr="00637131">
        <w:rPr>
          <w:rtl/>
        </w:rPr>
        <w:t xml:space="preserve"> </w:t>
      </w:r>
      <w:r w:rsidRPr="00637131">
        <w:rPr>
          <w:rFonts w:hint="cs"/>
          <w:rtl/>
        </w:rPr>
        <w:t>הכנעני</w:t>
      </w:r>
      <w:r w:rsidR="006B7AB4">
        <w:rPr>
          <w:rtl/>
        </w:rPr>
        <w:t>’</w:t>
      </w:r>
      <w:r w:rsidRPr="00637131">
        <w:rPr>
          <w:rtl/>
        </w:rPr>
        <w:t xml:space="preserve"> </w:t>
      </w:r>
      <w:r w:rsidRPr="00637131">
        <w:rPr>
          <w:rFonts w:hint="cs"/>
          <w:rtl/>
        </w:rPr>
        <w:t>וגו׳</w:t>
      </w:r>
      <w:r w:rsidRPr="00637131">
        <w:rPr>
          <w:rtl/>
        </w:rPr>
        <w:t xml:space="preserve"> (</w:t>
      </w:r>
      <w:r w:rsidRPr="00637131">
        <w:rPr>
          <w:rFonts w:hint="cs"/>
          <w:rtl/>
        </w:rPr>
        <w:t>שמ</w:t>
      </w:r>
      <w:r w:rsidR="006B7AB4">
        <w:rPr>
          <w:rtl/>
        </w:rPr>
        <w:t>’</w:t>
      </w:r>
      <w:r w:rsidRPr="00637131">
        <w:rPr>
          <w:rFonts w:hint="cs"/>
          <w:rtl/>
        </w:rPr>
        <w:t xml:space="preserve"> ג, יז</w:t>
      </w:r>
      <w:r w:rsidRPr="00637131">
        <w:rPr>
          <w:rtl/>
        </w:rPr>
        <w:t>)</w:t>
      </w:r>
      <w:r>
        <w:rPr>
          <w:rFonts w:hint="cs"/>
          <w:rtl/>
        </w:rPr>
        <w:t>.</w:t>
      </w:r>
    </w:p>
    <w:p w14:paraId="15935683" w14:textId="2F80F0A0" w:rsidR="003350C3" w:rsidRPr="00637131" w:rsidRDefault="00637131" w:rsidP="00637131">
      <w:pPr>
        <w:spacing w:line="360" w:lineRule="auto"/>
        <w:ind w:left="720"/>
      </w:pPr>
      <w:r>
        <w:t>Armed [</w:t>
      </w:r>
      <w:proofErr w:type="spellStart"/>
      <w:r>
        <w:rPr>
          <w:i/>
          <w:iCs/>
        </w:rPr>
        <w:t>hamushim</w:t>
      </w:r>
      <w:proofErr w:type="spellEnd"/>
      <w:r>
        <w:t>] – with weapons, as they were on their way to inherit the land of Canaan, as it says above</w:t>
      </w:r>
      <w:r w:rsidR="00E91B0B">
        <w:t>,</w:t>
      </w:r>
      <w:r>
        <w:t xml:space="preserve"> </w:t>
      </w:r>
      <w:r w:rsidR="006B7AB4">
        <w:t>‘</w:t>
      </w:r>
      <w:r w:rsidRPr="00637131">
        <w:t>And I have said: I will bring you up out of the affliction of Egypt unto the land of the Canaanite</w:t>
      </w:r>
      <w:r w:rsidR="00302BF8">
        <w:t>…</w:t>
      </w:r>
      <w:r w:rsidR="006B7AB4">
        <w:t>’</w:t>
      </w:r>
      <w:r>
        <w:t xml:space="preserve"> (Ex. 3:17).</w:t>
      </w:r>
    </w:p>
    <w:p w14:paraId="160DBB8A" w14:textId="7A42E411" w:rsidR="00637131" w:rsidRDefault="00637131" w:rsidP="00637131">
      <w:pPr>
        <w:spacing w:line="360" w:lineRule="auto"/>
      </w:pPr>
      <w:r>
        <w:t xml:space="preserve">According to this explanation, </w:t>
      </w:r>
      <w:proofErr w:type="spellStart"/>
      <w:r>
        <w:t>Hizkuni</w:t>
      </w:r>
      <w:r w:rsidR="006B7AB4">
        <w:t>’</w:t>
      </w:r>
      <w:r>
        <w:t>s</w:t>
      </w:r>
      <w:proofErr w:type="spellEnd"/>
      <w:r>
        <w:t xml:space="preserve"> gloss here is based on </w:t>
      </w:r>
      <w:r w:rsidR="0008321D">
        <w:t>Kara</w:t>
      </w:r>
      <w:r w:rsidR="006B7AB4">
        <w:t>’</w:t>
      </w:r>
      <w:r>
        <w:t xml:space="preserve">s commentary, with </w:t>
      </w:r>
      <w:r w:rsidR="00302BF8">
        <w:t xml:space="preserve">a </w:t>
      </w:r>
      <w:r>
        <w:t xml:space="preserve">slight adaptation and an addition based on </w:t>
      </w:r>
      <w:proofErr w:type="spellStart"/>
      <w:r>
        <w:t>Rashbam</w:t>
      </w:r>
      <w:proofErr w:type="spellEnd"/>
      <w:r>
        <w:t xml:space="preserve">. This is another good example </w:t>
      </w:r>
      <w:r w:rsidR="000904A6">
        <w:t>of</w:t>
      </w:r>
      <w:r>
        <w:t xml:space="preserve"> </w:t>
      </w:r>
      <w:proofErr w:type="spellStart"/>
      <w:r w:rsidR="008605CA">
        <w:t>Hizkuni’s</w:t>
      </w:r>
      <w:proofErr w:type="spellEnd"/>
      <w:r w:rsidR="008605CA">
        <w:t xml:space="preserve"> artful </w:t>
      </w:r>
      <w:r>
        <w:t>integration, weaving different commentaries into a unified one (compare example 6 above).</w:t>
      </w:r>
    </w:p>
    <w:p w14:paraId="5B5D7181" w14:textId="143249E1" w:rsidR="0014207A" w:rsidRDefault="0014207A" w:rsidP="0014207A">
      <w:pPr>
        <w:spacing w:line="360" w:lineRule="auto"/>
      </w:pPr>
      <w:r>
        <w:t>14. Genesis 24:59 tells us: ‘And they sent away Rebecca their sister, and her nursemaid, and Abraham</w:t>
      </w:r>
      <w:r w:rsidR="00C6170A">
        <w:t>’</w:t>
      </w:r>
      <w:r>
        <w:t xml:space="preserve">s servant, and his men.’ </w:t>
      </w:r>
      <w:proofErr w:type="spellStart"/>
      <w:r>
        <w:t>Hizkuni’s</w:t>
      </w:r>
      <w:proofErr w:type="spellEnd"/>
      <w:r>
        <w:t xml:space="preserve"> gloss says:</w:t>
      </w:r>
    </w:p>
    <w:p w14:paraId="2AD8424C" w14:textId="77777777" w:rsidR="0014207A" w:rsidRDefault="0014207A" w:rsidP="000904A6">
      <w:pPr>
        <w:pStyle w:val="Quote"/>
        <w:bidi/>
      </w:pPr>
      <w:r>
        <w:rPr>
          <w:rtl/>
        </w:rPr>
        <w:t>ואת מנקתה – בנעוריה. והזכירה עכשיו, שלא תתמה לכשתגיע לפרשת מיתתה (בר' לה, ח) לומר מאין באה</w:t>
      </w:r>
      <w:r>
        <w:t>.</w:t>
      </w:r>
    </w:p>
    <w:p w14:paraId="45742EAF" w14:textId="77777777" w:rsidR="0014207A" w:rsidRDefault="0014207A" w:rsidP="00C6170A">
      <w:pPr>
        <w:pStyle w:val="Quote"/>
      </w:pPr>
      <w:r>
        <w:t xml:space="preserve">And her nursemaid – In her youth. And it mentions her now, </w:t>
      </w:r>
      <w:r w:rsidRPr="00407756">
        <w:rPr>
          <w:i/>
          <w:iCs/>
        </w:rPr>
        <w:t>so you would not wonder</w:t>
      </w:r>
      <w:r>
        <w:t xml:space="preserve"> when you reach the story of her death (Gen. 35:8) and ask where she came from.</w:t>
      </w:r>
    </w:p>
    <w:p w14:paraId="152FB795" w14:textId="0251B562" w:rsidR="0014207A" w:rsidRDefault="0014207A" w:rsidP="0014207A">
      <w:pPr>
        <w:spacing w:line="360" w:lineRule="auto"/>
      </w:pPr>
      <w:r>
        <w:t xml:space="preserve">Mentioning Rebecca’s nursemaid seems superfluous and serves as an introduction </w:t>
      </w:r>
      <w:r w:rsidR="00C6170A">
        <w:t>to</w:t>
      </w:r>
      <w:r>
        <w:t xml:space="preserve"> the later mention of her death. This gloss does not appear in </w:t>
      </w:r>
      <w:proofErr w:type="spellStart"/>
      <w:r>
        <w:t>Rashbam</w:t>
      </w:r>
      <w:proofErr w:type="spellEnd"/>
      <w:r>
        <w:t xml:space="preserve"> or </w:t>
      </w:r>
      <w:proofErr w:type="spellStart"/>
      <w:r w:rsidR="004A2CE2">
        <w:t>Ribash</w:t>
      </w:r>
      <w:proofErr w:type="spellEnd"/>
      <w:r>
        <w:t xml:space="preserve">, making it very likely that it was taken from </w:t>
      </w:r>
      <w:r w:rsidR="00323259">
        <w:t>Kara</w:t>
      </w:r>
      <w:r>
        <w:t>’s lost commentary.</w:t>
      </w:r>
    </w:p>
    <w:p w14:paraId="62A297F5" w14:textId="77777777" w:rsidR="0014207A" w:rsidRDefault="0014207A" w:rsidP="0014207A">
      <w:pPr>
        <w:spacing w:line="360" w:lineRule="auto"/>
      </w:pPr>
      <w:r>
        <w:t xml:space="preserve">15. Biblical exegetes pondered why the Bible presents such a lengthy detailed description of Abraham’s servant’s speech to Laban and his family (Gen. 24:34-49). </w:t>
      </w:r>
      <w:proofErr w:type="spellStart"/>
      <w:r>
        <w:t>Hizkuni’s</w:t>
      </w:r>
      <w:proofErr w:type="spellEnd"/>
      <w:r>
        <w:t xml:space="preserve"> gloss (on Gen. 24:42) reads:</w:t>
      </w:r>
    </w:p>
    <w:p w14:paraId="7EE26A69" w14:textId="08889F86" w:rsidR="0014207A" w:rsidRDefault="0014207A" w:rsidP="008B7FD8">
      <w:pPr>
        <w:pStyle w:val="Quote"/>
        <w:bidi/>
      </w:pPr>
      <w:r>
        <w:rPr>
          <w:rtl/>
        </w:rPr>
        <w:t>ואבא היום – פר"ש: פרשתו של אליעזר כפולה ו</w:t>
      </w:r>
      <w:r w:rsidR="008B7FD8">
        <w:rPr>
          <w:rFonts w:hint="cs"/>
          <w:rtl/>
        </w:rPr>
        <w:t>כו'</w:t>
      </w:r>
      <w:r w:rsidR="00B04937">
        <w:rPr>
          <w:rFonts w:hint="cs"/>
          <w:rtl/>
        </w:rPr>
        <w:t xml:space="preserve">. </w:t>
      </w:r>
      <w:r>
        <w:rPr>
          <w:rtl/>
        </w:rPr>
        <w:t>ולפי הפשט: נכפלה, להודיעך כי הוא ספר להם איך השביעו אברהם ואיך אירעה לו רבקה בתפלתו, שאם לא כן תתמה היאך הסכימו לו מיד קרובי רבקה. הוא שנאמר 'ויאמרו מי"י יצא הדבר' (בר' כד, נ)</w:t>
      </w:r>
      <w:r>
        <w:t>.</w:t>
      </w:r>
    </w:p>
    <w:p w14:paraId="137D107C" w14:textId="5580BE00" w:rsidR="0014207A" w:rsidRDefault="0014207A" w:rsidP="00B04937">
      <w:pPr>
        <w:pStyle w:val="Quote"/>
      </w:pPr>
      <w:r>
        <w:lastRenderedPageBreak/>
        <w:t>And I have come today – Rashi says: The pericope of Eliezer is doubled, etc.</w:t>
      </w:r>
      <w:r w:rsidR="00B04937">
        <w:t xml:space="preserve"> </w:t>
      </w:r>
      <w:r w:rsidR="00302BF8">
        <w:t>A</w:t>
      </w:r>
      <w:r>
        <w:t xml:space="preserve">ccording to the </w:t>
      </w:r>
      <w:proofErr w:type="spellStart"/>
      <w:r w:rsidR="001B0B0C" w:rsidRPr="001B0B0C">
        <w:rPr>
          <w:i/>
          <w:iCs/>
        </w:rPr>
        <w:t>peshat</w:t>
      </w:r>
      <w:proofErr w:type="spellEnd"/>
      <w:r w:rsidR="00B30BC4">
        <w:t>, i</w:t>
      </w:r>
      <w:r>
        <w:t xml:space="preserve">t was doubled to inform you that he told them how Abraham had made him take an oath and how Rebecca appeared to him [in answer to] his prayer, </w:t>
      </w:r>
      <w:r w:rsidRPr="00407756">
        <w:rPr>
          <w:i/>
          <w:iCs/>
        </w:rPr>
        <w:t>for otherwise you would wonder</w:t>
      </w:r>
      <w:r>
        <w:t xml:space="preserve"> why Rebecca’s relatives immediately agreed [to his request]. </w:t>
      </w:r>
      <w:r w:rsidR="00F67D13">
        <w:t>T</w:t>
      </w:r>
      <w:r>
        <w:t>his is as it says, ‘And they said that the thing is from God’ (Gen. 24:50).</w:t>
      </w:r>
    </w:p>
    <w:p w14:paraId="3FEE0EB5" w14:textId="6958D5EF" w:rsidR="0014207A" w:rsidRDefault="0014207A" w:rsidP="00E13F16">
      <w:pPr>
        <w:spacing w:line="360" w:lineRule="auto"/>
      </w:pPr>
      <w:r>
        <w:t xml:space="preserve">According to this explanation, the seemingly superfluous details </w:t>
      </w:r>
      <w:r w:rsidR="001012AA">
        <w:t>are mentioned to</w:t>
      </w:r>
      <w:r>
        <w:t xml:space="preserve"> solve a future difficulty – why Rebecca’s relatives agreed to hand her over to the </w:t>
      </w:r>
      <w:r w:rsidR="00F67D13">
        <w:t>servant</w:t>
      </w:r>
      <w:r>
        <w:t xml:space="preserve">. </w:t>
      </w:r>
      <w:proofErr w:type="spellStart"/>
      <w:r>
        <w:t>Rashbam</w:t>
      </w:r>
      <w:proofErr w:type="spellEnd"/>
      <w:r>
        <w:t xml:space="preserve"> has a similar explanation:</w:t>
      </w:r>
    </w:p>
    <w:p w14:paraId="2AB70F4B" w14:textId="77777777" w:rsidR="0014207A" w:rsidRDefault="0014207A" w:rsidP="00F67D13">
      <w:pPr>
        <w:pStyle w:val="Quote"/>
        <w:bidi/>
      </w:pPr>
      <w:r>
        <w:rPr>
          <w:rtl/>
        </w:rPr>
        <w:t>ואומר י״י אלהי אדוני אברהם וגו׳ – כל אריכות דברים להודיעם שמאת הקב״ה יצא הדבר</w:t>
      </w:r>
      <w:r>
        <w:t>.</w:t>
      </w:r>
    </w:p>
    <w:p w14:paraId="4BD28C68" w14:textId="10142BAA" w:rsidR="0014207A" w:rsidRDefault="0014207A" w:rsidP="00F67D13">
      <w:pPr>
        <w:pStyle w:val="Quote"/>
      </w:pPr>
      <w:r>
        <w:t>And I said</w:t>
      </w:r>
      <w:r w:rsidR="001012AA">
        <w:t>,</w:t>
      </w:r>
      <w:r>
        <w:t xml:space="preserve"> O Lord, God of my master Abraham – All this length is to inform them that the thing is from God.</w:t>
      </w:r>
    </w:p>
    <w:p w14:paraId="67615BA7" w14:textId="2DEAF122" w:rsidR="0014207A" w:rsidRDefault="0014207A" w:rsidP="0014207A">
      <w:pPr>
        <w:spacing w:line="360" w:lineRule="auto"/>
      </w:pPr>
      <w:r>
        <w:t xml:space="preserve">It seems that </w:t>
      </w:r>
      <w:proofErr w:type="spellStart"/>
      <w:r>
        <w:t>Rashbam</w:t>
      </w:r>
      <w:proofErr w:type="spellEnd"/>
      <w:r>
        <w:t xml:space="preserve"> was </w:t>
      </w:r>
      <w:proofErr w:type="spellStart"/>
      <w:r>
        <w:t>Hizkuni’s</w:t>
      </w:r>
      <w:proofErr w:type="spellEnd"/>
      <w:r>
        <w:t xml:space="preserve"> source, especially since both glosses deal with several verses (Abraham’s servant’s speech) yet were anchored to the same verse (though each related to a different part of that verse). If so, we should note that </w:t>
      </w:r>
      <w:proofErr w:type="spellStart"/>
      <w:r>
        <w:t>Hizkuni</w:t>
      </w:r>
      <w:proofErr w:type="spellEnd"/>
      <w:r>
        <w:t xml:space="preserve"> significantly expanded </w:t>
      </w:r>
      <w:proofErr w:type="spellStart"/>
      <w:r>
        <w:t>Rashbam’s</w:t>
      </w:r>
      <w:proofErr w:type="spellEnd"/>
      <w:r>
        <w:t xml:space="preserve"> gloss (or, perhaps, we currently have a shorter version of </w:t>
      </w:r>
      <w:proofErr w:type="spellStart"/>
      <w:r>
        <w:t>Rashbam’s</w:t>
      </w:r>
      <w:proofErr w:type="spellEnd"/>
      <w:r>
        <w:t xml:space="preserve"> gloss than the original). However, as noted, </w:t>
      </w:r>
      <w:proofErr w:type="spellStart"/>
      <w:r>
        <w:t>Hizkuni’s</w:t>
      </w:r>
      <w:proofErr w:type="spellEnd"/>
      <w:r>
        <w:t xml:space="preserve"> gloss is more detailed than </w:t>
      </w:r>
      <w:proofErr w:type="spellStart"/>
      <w:r>
        <w:t>Rashbam’s</w:t>
      </w:r>
      <w:proofErr w:type="spellEnd"/>
      <w:r>
        <w:t xml:space="preserve"> and also includes the phrase ‘for otherwise you would wonder</w:t>
      </w:r>
      <w:proofErr w:type="gramStart"/>
      <w:r>
        <w:t>’,</w:t>
      </w:r>
      <w:proofErr w:type="gramEnd"/>
      <w:r>
        <w:t xml:space="preserve"> which is more common in </w:t>
      </w:r>
      <w:r w:rsidR="00C05BF8">
        <w:t>Kara</w:t>
      </w:r>
      <w:r>
        <w:t xml:space="preserve">’s writing than in </w:t>
      </w:r>
      <w:proofErr w:type="spellStart"/>
      <w:r>
        <w:t>Rashbam’s</w:t>
      </w:r>
      <w:proofErr w:type="spellEnd"/>
      <w:r>
        <w:t xml:space="preserve">. Therefore, we may presume that the source was </w:t>
      </w:r>
      <w:r w:rsidR="00C05BF8">
        <w:t>Kara</w:t>
      </w:r>
      <w:r>
        <w:t xml:space="preserve">’s lost commentary from a gloss similar to what we found in </w:t>
      </w:r>
      <w:proofErr w:type="spellStart"/>
      <w:r>
        <w:t>Rashbam</w:t>
      </w:r>
      <w:proofErr w:type="spellEnd"/>
      <w:r>
        <w:t>.</w:t>
      </w:r>
    </w:p>
    <w:p w14:paraId="1D0608C3" w14:textId="77777777" w:rsidR="0014207A" w:rsidRDefault="0014207A" w:rsidP="0014207A">
      <w:pPr>
        <w:spacing w:line="360" w:lineRule="auto"/>
      </w:pPr>
    </w:p>
    <w:p w14:paraId="0B8AD452" w14:textId="2583FA35" w:rsidR="0014207A" w:rsidRPr="00CF4ABF" w:rsidRDefault="00C05BF8" w:rsidP="0014207A">
      <w:pPr>
        <w:spacing w:line="360" w:lineRule="auto"/>
        <w:rPr>
          <w:b/>
          <w:bCs/>
        </w:rPr>
      </w:pPr>
      <w:r w:rsidRPr="00C05BF8">
        <w:rPr>
          <w:b/>
          <w:bCs/>
        </w:rPr>
        <w:t>Kara</w:t>
      </w:r>
      <w:r>
        <w:t xml:space="preserve"> </w:t>
      </w:r>
      <w:r w:rsidR="0014207A" w:rsidRPr="00CF4ABF">
        <w:rPr>
          <w:b/>
          <w:bCs/>
        </w:rPr>
        <w:t xml:space="preserve">and </w:t>
      </w:r>
      <w:proofErr w:type="spellStart"/>
      <w:r w:rsidR="0014207A" w:rsidRPr="00CF4ABF">
        <w:rPr>
          <w:b/>
          <w:bCs/>
        </w:rPr>
        <w:t>Rashbam</w:t>
      </w:r>
      <w:proofErr w:type="spellEnd"/>
    </w:p>
    <w:p w14:paraId="67FFF918" w14:textId="7529C79B" w:rsidR="0014207A" w:rsidRDefault="0014207A" w:rsidP="0014207A">
      <w:pPr>
        <w:spacing w:line="360" w:lineRule="auto"/>
      </w:pPr>
      <w:r>
        <w:t xml:space="preserve">The two great </w:t>
      </w:r>
      <w:proofErr w:type="spellStart"/>
      <w:r w:rsidR="001B0B0C" w:rsidRPr="001B0B0C">
        <w:rPr>
          <w:i/>
          <w:iCs/>
        </w:rPr>
        <w:t>peshat</w:t>
      </w:r>
      <w:proofErr w:type="spellEnd"/>
      <w:r>
        <w:t xml:space="preserve"> exegetes – </w:t>
      </w:r>
      <w:r w:rsidR="00C05BF8">
        <w:t xml:space="preserve">Kara </w:t>
      </w:r>
      <w:r>
        <w:t xml:space="preserve">and </w:t>
      </w:r>
      <w:proofErr w:type="spellStart"/>
      <w:r>
        <w:t>Rashbam</w:t>
      </w:r>
      <w:proofErr w:type="spellEnd"/>
      <w:r>
        <w:t xml:space="preserve"> – knew each other, but their relationship has not yet been broadly examined. One of the more important points of contact between the two was that both methodologically wrote glosses based on the </w:t>
      </w:r>
      <w:r w:rsidR="001B0B0C">
        <w:t>p</w:t>
      </w:r>
      <w:r>
        <w:t xml:space="preserve">rinciple of </w:t>
      </w:r>
      <w:r w:rsidR="001B0B0C">
        <w:t>a</w:t>
      </w:r>
      <w:r>
        <w:t xml:space="preserve">nticipation. Today, we </w:t>
      </w:r>
      <w:r w:rsidR="00C772C9">
        <w:t>know of only</w:t>
      </w:r>
      <w:r>
        <w:t xml:space="preserve"> two cases where these two exegetes offered a similar gloss relating to the </w:t>
      </w:r>
      <w:r w:rsidR="00C772C9">
        <w:t>p</w:t>
      </w:r>
      <w:r>
        <w:t xml:space="preserve">rinciple of </w:t>
      </w:r>
      <w:r w:rsidR="00C772C9">
        <w:t>a</w:t>
      </w:r>
      <w:r>
        <w:t xml:space="preserve">nticipation (Gen. 26:15; Ex. 2:23). However, if my claim regarding </w:t>
      </w:r>
      <w:r w:rsidR="00BE6051">
        <w:t>the discovery</w:t>
      </w:r>
      <w:r>
        <w:t xml:space="preserve"> of</w:t>
      </w:r>
      <w:r w:rsidR="00BE6051">
        <w:t xml:space="preserve"> elements of</w:t>
      </w:r>
      <w:r>
        <w:t xml:space="preserve"> </w:t>
      </w:r>
      <w:r w:rsidR="00C05BF8">
        <w:t>Kara</w:t>
      </w:r>
      <w:r>
        <w:t xml:space="preserve">’s lost </w:t>
      </w:r>
      <w:r w:rsidR="00BE6051">
        <w:t>commentary</w:t>
      </w:r>
      <w:r>
        <w:t xml:space="preserve"> is accepted, we will have significantly expanded the number of parallel glosses in this area: In six of the cases presented above (examples 3, 5, 6, 11, 12, 15)</w:t>
      </w:r>
      <w:r w:rsidR="00BE6051">
        <w:t>,</w:t>
      </w:r>
      <w:r>
        <w:t xml:space="preserve"> we saw a similarity between </w:t>
      </w:r>
      <w:proofErr w:type="spellStart"/>
      <w:r>
        <w:t>Rashbam</w:t>
      </w:r>
      <w:r w:rsidR="00BE6051">
        <w:t>’s</w:t>
      </w:r>
      <w:proofErr w:type="spellEnd"/>
      <w:r>
        <w:t xml:space="preserve"> glosses relating to the </w:t>
      </w:r>
      <w:r w:rsidR="000E211D">
        <w:t>p</w:t>
      </w:r>
      <w:r>
        <w:t xml:space="preserve">rinciple of </w:t>
      </w:r>
      <w:r w:rsidR="000E211D">
        <w:t>a</w:t>
      </w:r>
      <w:r>
        <w:t xml:space="preserve">nticipation and the glosses that I identify as </w:t>
      </w:r>
      <w:r w:rsidR="00C05BF8">
        <w:t>Kara</w:t>
      </w:r>
      <w:r>
        <w:t>’s.</w:t>
      </w:r>
    </w:p>
    <w:p w14:paraId="62040D78" w14:textId="0AB99C93" w:rsidR="0014207A" w:rsidRDefault="0014207A" w:rsidP="0014207A">
      <w:pPr>
        <w:spacing w:line="360" w:lineRule="auto"/>
      </w:pPr>
      <w:r>
        <w:lastRenderedPageBreak/>
        <w:t xml:space="preserve">Regarding </w:t>
      </w:r>
      <w:r w:rsidR="00C05BF8">
        <w:t>Kara</w:t>
      </w:r>
      <w:r>
        <w:t xml:space="preserve">’s and </w:t>
      </w:r>
      <w:proofErr w:type="spellStart"/>
      <w:r>
        <w:t>Rashbam’s</w:t>
      </w:r>
      <w:proofErr w:type="spellEnd"/>
      <w:r>
        <w:t xml:space="preserve"> use of the </w:t>
      </w:r>
      <w:r w:rsidR="000E211D">
        <w:t>principle of anticipation</w:t>
      </w:r>
      <w:r>
        <w:t>, scholars disagree</w:t>
      </w:r>
      <w:r w:rsidR="0041152A">
        <w:t xml:space="preserve"> about</w:t>
      </w:r>
      <w:r>
        <w:t xml:space="preserve"> </w:t>
      </w:r>
      <w:r w:rsidR="00AA6939">
        <w:t>who influenced whom</w:t>
      </w:r>
      <w:r>
        <w:t>.</w:t>
      </w:r>
      <w:ins w:id="9" w:author="Jonathan Jacobs" w:date="2024-09-02T12:13:00Z" w16du:dateUtc="2024-09-02T09:13:00Z">
        <w:r w:rsidR="00081E2C">
          <w:rPr>
            <w:rStyle w:val="FootnoteReference"/>
          </w:rPr>
          <w:footnoteReference w:id="52"/>
        </w:r>
      </w:ins>
      <w:r>
        <w:t xml:space="preserve"> Razin and Littman </w:t>
      </w:r>
      <w:r w:rsidR="00AA6939">
        <w:t>argue</w:t>
      </w:r>
      <w:r>
        <w:t xml:space="preserve"> that </w:t>
      </w:r>
      <w:proofErr w:type="spellStart"/>
      <w:r>
        <w:t>Rashbam</w:t>
      </w:r>
      <w:proofErr w:type="spellEnd"/>
      <w:r>
        <w:t xml:space="preserve"> devised this method, which then influenced </w:t>
      </w:r>
      <w:r w:rsidR="004E2EF0">
        <w:t>Kara</w:t>
      </w:r>
      <w:r>
        <w:t>.</w:t>
      </w:r>
      <w:ins w:id="12" w:author="Jonathan Jacobs" w:date="2024-09-02T12:12:00Z" w16du:dateUtc="2024-09-02T09:12:00Z">
        <w:r w:rsidR="0047780B">
          <w:rPr>
            <w:rStyle w:val="FootnoteReference"/>
          </w:rPr>
          <w:footnoteReference w:id="53"/>
        </w:r>
      </w:ins>
      <w:r>
        <w:t xml:space="preserve"> Touitou assert</w:t>
      </w:r>
      <w:r w:rsidR="00AA6939">
        <w:t>s</w:t>
      </w:r>
      <w:r>
        <w:t xml:space="preserve"> that Kara devised the method, but </w:t>
      </w:r>
      <w:proofErr w:type="spellStart"/>
      <w:r>
        <w:t>Rashbam</w:t>
      </w:r>
      <w:proofErr w:type="spellEnd"/>
      <w:r>
        <w:t xml:space="preserve"> broadly and more systematically </w:t>
      </w:r>
      <w:r w:rsidR="00B03C60">
        <w:t>formulated and applied</w:t>
      </w:r>
      <w:r>
        <w:t xml:space="preserve"> it. He argues that Kara formulated the </w:t>
      </w:r>
      <w:r w:rsidR="00B03C60">
        <w:t>principle</w:t>
      </w:r>
      <w:r>
        <w:t xml:space="preserve"> in a long and convolutive manner, while </w:t>
      </w:r>
      <w:proofErr w:type="spellStart"/>
      <w:r>
        <w:t>Rashbam</w:t>
      </w:r>
      <w:proofErr w:type="spellEnd"/>
      <w:r>
        <w:t xml:space="preserve"> presented it briefly and clearly. </w:t>
      </w:r>
      <w:proofErr w:type="spellStart"/>
      <w:r>
        <w:t>Rashbam</w:t>
      </w:r>
      <w:proofErr w:type="spellEnd"/>
      <w:r>
        <w:t xml:space="preserve"> also repeatedly used the same example, mentioning it many times in his commentary.</w:t>
      </w:r>
      <w:ins w:id="14" w:author="Jonathan Jacobs" w:date="2024-09-02T12:14:00Z" w16du:dateUtc="2024-09-02T09:14:00Z">
        <w:r w:rsidR="00C93BB1">
          <w:rPr>
            <w:rStyle w:val="FootnoteReference"/>
          </w:rPr>
          <w:footnoteReference w:id="54"/>
        </w:r>
      </w:ins>
      <w:r>
        <w:t xml:space="preserve"> Brin, too, believe</w:t>
      </w:r>
      <w:r w:rsidR="00FE6AE8">
        <w:t>s</w:t>
      </w:r>
      <w:r>
        <w:t xml:space="preserve"> that Kara invented the method, claiming that Kara implemented it with greater success than </w:t>
      </w:r>
      <w:proofErr w:type="spellStart"/>
      <w:r>
        <w:t>Rashbam</w:t>
      </w:r>
      <w:proofErr w:type="spellEnd"/>
      <w:r>
        <w:t xml:space="preserve">. In addition, he writes that ‘The manner of developing the formula and its sub-types are dozens of times richer in Kara’s commentary than in </w:t>
      </w:r>
      <w:proofErr w:type="spellStart"/>
      <w:r>
        <w:t>Rashbam</w:t>
      </w:r>
      <w:proofErr w:type="spellEnd"/>
      <w:r>
        <w:t xml:space="preserve"> […] </w:t>
      </w:r>
      <w:proofErr w:type="spellStart"/>
      <w:r>
        <w:t>Rashbam</w:t>
      </w:r>
      <w:proofErr w:type="spellEnd"/>
      <w:r>
        <w:t xml:space="preserve"> is not aware of the force of the phenomenon.’</w:t>
      </w:r>
      <w:ins w:id="17" w:author="Jonathan Jacobs" w:date="2024-09-02T12:16:00Z" w16du:dateUtc="2024-09-02T09:16:00Z">
        <w:r w:rsidR="0071470E">
          <w:rPr>
            <w:rStyle w:val="FootnoteReference"/>
          </w:rPr>
          <w:footnoteReference w:id="55"/>
        </w:r>
      </w:ins>
    </w:p>
    <w:p w14:paraId="5085A92E" w14:textId="34099833" w:rsidR="0014207A" w:rsidRDefault="0014207A" w:rsidP="0014207A">
      <w:pPr>
        <w:spacing w:line="360" w:lineRule="auto"/>
      </w:pPr>
      <w:r>
        <w:t xml:space="preserve">Since we do not have the complete commentaries of these two exegetes, it is difficult to determine who used this principle more than the other. Kara was older than </w:t>
      </w:r>
      <w:proofErr w:type="spellStart"/>
      <w:r>
        <w:t>Rashbam</w:t>
      </w:r>
      <w:proofErr w:type="spellEnd"/>
      <w:r>
        <w:t>, but each mentioned the other in their respective commentaries.</w:t>
      </w:r>
      <w:ins w:id="20" w:author="Jonathan Jacobs" w:date="2024-09-02T12:17:00Z" w16du:dateUtc="2024-09-02T09:17:00Z">
        <w:r w:rsidR="004058BC">
          <w:rPr>
            <w:rStyle w:val="FootnoteReference"/>
          </w:rPr>
          <w:footnoteReference w:id="56"/>
        </w:r>
      </w:ins>
      <w:r>
        <w:t xml:space="preserve"> </w:t>
      </w:r>
      <w:r w:rsidR="00B5074B">
        <w:t>However</w:t>
      </w:r>
      <w:r>
        <w:t xml:space="preserve">, </w:t>
      </w:r>
      <w:proofErr w:type="spellStart"/>
      <w:r>
        <w:t>Rashbam</w:t>
      </w:r>
      <w:proofErr w:type="spellEnd"/>
      <w:r>
        <w:t xml:space="preserve"> </w:t>
      </w:r>
      <w:r w:rsidR="00B5074B">
        <w:t xml:space="preserve">apparently </w:t>
      </w:r>
      <w:r>
        <w:t>wrote his commentary on the Torah near the end of his life, after Kara’s death.</w:t>
      </w:r>
      <w:ins w:id="23" w:author="Jonathan Jacobs" w:date="2024-09-02T12:18:00Z" w16du:dateUtc="2024-09-02T09:18:00Z">
        <w:r w:rsidR="00C96316">
          <w:rPr>
            <w:rStyle w:val="FootnoteReference"/>
          </w:rPr>
          <w:footnoteReference w:id="57"/>
        </w:r>
      </w:ins>
      <w:r>
        <w:t xml:space="preserve"> I </w:t>
      </w:r>
      <w:r w:rsidR="00B5074B">
        <w:t xml:space="preserve">also </w:t>
      </w:r>
      <w:r>
        <w:t xml:space="preserve">find both of Touitou’s arguments convincing. Therefore, I believe Kara was the </w:t>
      </w:r>
      <w:r w:rsidR="009735AB">
        <w:t xml:space="preserve">original exegete to </w:t>
      </w:r>
      <w:r w:rsidR="009735AB">
        <w:lastRenderedPageBreak/>
        <w:t xml:space="preserve">note </w:t>
      </w:r>
      <w:r>
        <w:t xml:space="preserve">this phenomenon, but each of the exegetes ‘took’ it in a different direction, as I </w:t>
      </w:r>
      <w:r w:rsidR="009735AB">
        <w:t xml:space="preserve">have </w:t>
      </w:r>
      <w:r>
        <w:t>demonstrated elsewhere.</w:t>
      </w:r>
      <w:ins w:id="26" w:author="Jonathan Jacobs" w:date="2024-09-02T12:19:00Z" w16du:dateUtc="2024-09-02T09:19:00Z">
        <w:r w:rsidR="00E81DFC">
          <w:rPr>
            <w:rStyle w:val="FootnoteReference"/>
          </w:rPr>
          <w:footnoteReference w:id="58"/>
        </w:r>
      </w:ins>
      <w:r>
        <w:t xml:space="preserve"> In any case, the additional data presented in the current paper may contribute to future studies that compare these two exegetes.</w:t>
      </w:r>
    </w:p>
    <w:p w14:paraId="32B83BD4" w14:textId="77777777" w:rsidR="0014207A" w:rsidRDefault="0014207A" w:rsidP="0014207A">
      <w:pPr>
        <w:spacing w:line="360" w:lineRule="auto"/>
      </w:pPr>
    </w:p>
    <w:p w14:paraId="60DBFFFE" w14:textId="77777777" w:rsidR="0014207A" w:rsidRPr="000E211D" w:rsidRDefault="0014207A" w:rsidP="0014207A">
      <w:pPr>
        <w:spacing w:line="360" w:lineRule="auto"/>
        <w:rPr>
          <w:b/>
          <w:bCs/>
        </w:rPr>
      </w:pPr>
      <w:r w:rsidRPr="000E211D">
        <w:rPr>
          <w:b/>
          <w:bCs/>
        </w:rPr>
        <w:t>Conclusion</w:t>
      </w:r>
    </w:p>
    <w:p w14:paraId="72F89427" w14:textId="7658AEBF" w:rsidR="0014207A" w:rsidRDefault="0014207A" w:rsidP="0014207A">
      <w:pPr>
        <w:spacing w:line="360" w:lineRule="auto"/>
      </w:pPr>
      <w:r>
        <w:t xml:space="preserve">This paper presented 15 </w:t>
      </w:r>
      <w:r w:rsidR="009735AB">
        <w:t>passages</w:t>
      </w:r>
      <w:r>
        <w:t xml:space="preserve"> from </w:t>
      </w:r>
      <w:proofErr w:type="spellStart"/>
      <w:r>
        <w:t>Hizkuni’s</w:t>
      </w:r>
      <w:proofErr w:type="spellEnd"/>
      <w:r>
        <w:t xml:space="preserve"> commentary on the Torah, which, I believe, are sourced in </w:t>
      </w:r>
      <w:r w:rsidR="00BB4EB0">
        <w:t>Kara</w:t>
      </w:r>
      <w:r>
        <w:t xml:space="preserve">’s lost commentary. I based the identification on a literary principle common in </w:t>
      </w:r>
      <w:r w:rsidR="00BB4EB0">
        <w:t>Kara</w:t>
      </w:r>
      <w:r>
        <w:t xml:space="preserve">’s commentary, the </w:t>
      </w:r>
      <w:r w:rsidR="000E211D">
        <w:t>principle of anticipation</w:t>
      </w:r>
      <w:r>
        <w:t xml:space="preserve">, and on phrases that are singular to </w:t>
      </w:r>
      <w:r w:rsidR="00BB4EB0">
        <w:t>Kara</w:t>
      </w:r>
      <w:r>
        <w:t>: '</w:t>
      </w:r>
      <w:r>
        <w:rPr>
          <w:rtl/>
        </w:rPr>
        <w:t>קדם ולמדך</w:t>
      </w:r>
      <w:r>
        <w:t>' (‘it foreshadows and teaches you’), '</w:t>
      </w:r>
      <w:r>
        <w:rPr>
          <w:rtl/>
        </w:rPr>
        <w:t>לפי שעתיד לומר</w:t>
      </w:r>
      <w:r>
        <w:t>' (‘since it will later say’), and '</w:t>
      </w:r>
      <w:r>
        <w:rPr>
          <w:rtl/>
        </w:rPr>
        <w:t>שלא תתמה</w:t>
      </w:r>
      <w:r>
        <w:t xml:space="preserve">' (‘so you </w:t>
      </w:r>
      <w:r w:rsidR="001711B2">
        <w:t>do</w:t>
      </w:r>
      <w:r>
        <w:t xml:space="preserve"> not wonder’). The identification was also based on the assumption that </w:t>
      </w:r>
      <w:proofErr w:type="spellStart"/>
      <w:r>
        <w:t>Hizkuni</w:t>
      </w:r>
      <w:proofErr w:type="spellEnd"/>
      <w:r>
        <w:t xml:space="preserve"> did not pay particular attention to the </w:t>
      </w:r>
      <w:r w:rsidR="000E211D">
        <w:t>principle of anticipation</w:t>
      </w:r>
      <w:r>
        <w:t xml:space="preserve">, perhaps not even considering it one of the more significant principles of the </w:t>
      </w:r>
      <w:proofErr w:type="spellStart"/>
      <w:r w:rsidR="001B0B0C" w:rsidRPr="001B0B0C">
        <w:rPr>
          <w:i/>
          <w:iCs/>
        </w:rPr>
        <w:t>peshat</w:t>
      </w:r>
      <w:proofErr w:type="spellEnd"/>
      <w:r>
        <w:t xml:space="preserve"> school of northern France. Based on this assumption, it </w:t>
      </w:r>
      <w:r w:rsidR="007D4264">
        <w:t>is likely</w:t>
      </w:r>
      <w:r>
        <w:t xml:space="preserve"> that </w:t>
      </w:r>
      <w:proofErr w:type="spellStart"/>
      <w:r>
        <w:t>Hizkuni</w:t>
      </w:r>
      <w:proofErr w:type="spellEnd"/>
      <w:r>
        <w:t xml:space="preserve"> did not write these glosses </w:t>
      </w:r>
      <w:r w:rsidR="007D4264">
        <w:t xml:space="preserve">himself </w:t>
      </w:r>
      <w:r>
        <w:t xml:space="preserve">but appropriated them from his predecessors. These glosses do not appear, as formulated, in extant northern French commentaries, leading to the conclusion that their source was </w:t>
      </w:r>
      <w:r w:rsidR="00BB4EB0">
        <w:t>Kara</w:t>
      </w:r>
      <w:r>
        <w:t>’s lost commentary on the Torah.</w:t>
      </w:r>
    </w:p>
    <w:p w14:paraId="58792A99" w14:textId="3EC0C6FE" w:rsidR="003350C3" w:rsidRPr="00223E66" w:rsidRDefault="0014207A" w:rsidP="00CC294E">
      <w:pPr>
        <w:spacing w:line="360" w:lineRule="auto"/>
        <w:rPr>
          <w:rtl/>
        </w:rPr>
      </w:pPr>
      <w:r>
        <w:t xml:space="preserve">The presented findings may serve as a basis for a broader study that will examine other literary principles and unique linguistic forms found in </w:t>
      </w:r>
      <w:r w:rsidR="00BB4EB0">
        <w:t>Kara</w:t>
      </w:r>
      <w:r>
        <w:t xml:space="preserve">, using them to identify additional sections of his lost commentary scattered throughout the anthologies of the </w:t>
      </w:r>
      <w:proofErr w:type="spellStart"/>
      <w:r>
        <w:t>Tosafists</w:t>
      </w:r>
      <w:proofErr w:type="spellEnd"/>
      <w:r>
        <w:t>’ writings on the Torah.</w:t>
      </w:r>
    </w:p>
    <w:bookmarkEnd w:id="0"/>
    <w:p w14:paraId="0467614D" w14:textId="77777777" w:rsidR="00223E66" w:rsidRPr="00A25722" w:rsidRDefault="00223E66" w:rsidP="00223E66">
      <w:pPr>
        <w:bidi/>
        <w:spacing w:line="360" w:lineRule="auto"/>
        <w:ind w:left="720"/>
        <w:jc w:val="right"/>
      </w:pPr>
    </w:p>
    <w:sectPr w:rsidR="00223E66" w:rsidRPr="00A2572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Shulamit Finkelman Suna" w:date="2024-09-12T18:12:00Z" w:initials="Sש">
    <w:p w14:paraId="769CB8F8" w14:textId="77777777" w:rsidR="00F82B5B" w:rsidRDefault="00F82B5B" w:rsidP="00F82B5B">
      <w:pPr>
        <w:pStyle w:val="CommentText"/>
      </w:pPr>
      <w:r>
        <w:rPr>
          <w:rStyle w:val="CommentReference"/>
        </w:rPr>
        <w:annotationRef/>
      </w:r>
      <w:r>
        <w:t>Regarding the * comment below - I could not find this edition of Sefer Hagan anywhere and so do not know who the publisher is</w:t>
      </w:r>
    </w:p>
  </w:comment>
  <w:comment w:id="2" w:author="Shulamit Finkelman Suna" w:date="2024-09-12T18:16:00Z" w:initials="Sש">
    <w:p w14:paraId="37F4F04D" w14:textId="77777777" w:rsidR="00F82B5B" w:rsidRDefault="00F82B5B" w:rsidP="00F82B5B">
      <w:pPr>
        <w:pStyle w:val="CommentText"/>
        <w:rPr>
          <w:rtl/>
        </w:rPr>
      </w:pPr>
      <w:r>
        <w:rPr>
          <w:rStyle w:val="CommentReference"/>
        </w:rPr>
        <w:annotationRef/>
      </w:r>
      <w:r>
        <w:t>The publisher “</w:t>
      </w:r>
      <w:proofErr w:type="spellStart"/>
      <w:r>
        <w:t>Mekitzei</w:t>
      </w:r>
      <w:proofErr w:type="spellEnd"/>
      <w:r>
        <w:t xml:space="preserve"> </w:t>
      </w:r>
      <w:proofErr w:type="spellStart"/>
      <w:r>
        <w:t>Nirdamim</w:t>
      </w:r>
      <w:proofErr w:type="spellEnd"/>
      <w:r>
        <w:t>” for Poznanski’s book is taken from a different book that he published in Warsaw in 1913. I couldn’t find this one</w:t>
      </w:r>
    </w:p>
  </w:comment>
  <w:comment w:id="3" w:author="Shulamit Finkelman Suna" w:date="2024-09-12T17:47:00Z" w:initials="Sש">
    <w:p w14:paraId="2535715D" w14:textId="74D610A9" w:rsidR="008320DE" w:rsidRDefault="008320DE" w:rsidP="008320DE">
      <w:pPr>
        <w:pStyle w:val="CommentText"/>
      </w:pPr>
      <w:r>
        <w:rPr>
          <w:rStyle w:val="CommentReference"/>
        </w:rPr>
        <w:annotationRef/>
      </w:r>
      <w:proofErr w:type="gramStart"/>
      <w:r>
        <w:t>Or,</w:t>
      </w:r>
      <w:proofErr w:type="gramEnd"/>
      <w:r>
        <w:t xml:space="preserve"> “Torah”</w:t>
      </w:r>
    </w:p>
  </w:comment>
  <w:comment w:id="5" w:author="Shulamit Finkelman Suna" w:date="2024-09-12T18:55:00Z" w:initials="Sש">
    <w:p w14:paraId="4FB4DF10" w14:textId="77777777" w:rsidR="0017164F" w:rsidRDefault="0017164F" w:rsidP="0017164F">
      <w:pPr>
        <w:pStyle w:val="CommentText"/>
        <w:rPr>
          <w:rtl/>
        </w:rPr>
      </w:pPr>
      <w:r>
        <w:rPr>
          <w:rStyle w:val="CommentReference"/>
        </w:rPr>
        <w:annotationRef/>
      </w:r>
      <w:r>
        <w:t xml:space="preserve">Epstein’s book is </w:t>
      </w:r>
      <w:r>
        <w:rPr>
          <w:rFonts w:hint="cs"/>
          <w:rtl/>
        </w:rPr>
        <w:t>ירושלים</w:t>
      </w:r>
      <w:r>
        <w:rPr>
          <w:rtl/>
        </w:rPr>
        <w:t>: מקור</w:t>
      </w:r>
      <w:r>
        <w:t>, don’t know who the publisher is</w:t>
      </w:r>
    </w:p>
  </w:comment>
  <w:comment w:id="8" w:author="Shulamit Finkelman Suna" w:date="2024-09-12T19:08:00Z" w:initials="Sש">
    <w:p w14:paraId="489BC9C6" w14:textId="77777777" w:rsidR="00226C7B" w:rsidRDefault="00226C7B" w:rsidP="00226C7B">
      <w:pPr>
        <w:pStyle w:val="CommentText"/>
      </w:pPr>
      <w:r>
        <w:rPr>
          <w:rStyle w:val="CommentReference"/>
        </w:rPr>
        <w:annotationRef/>
      </w:r>
      <w:r>
        <w:t xml:space="preserve">Nitey </w:t>
      </w:r>
      <w:proofErr w:type="spellStart"/>
      <w:r>
        <w:t>Neemanim</w:t>
      </w:r>
      <w:proofErr w:type="spellEnd"/>
      <w:r>
        <w:t xml:space="preserve"> is a journal, no publisher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69CB8F8" w15:done="0"/>
  <w15:commentEx w15:paraId="37F4F04D" w15:done="0"/>
  <w15:commentEx w15:paraId="2535715D" w15:done="0"/>
  <w15:commentEx w15:paraId="4FB4DF10" w15:done="0"/>
  <w15:commentEx w15:paraId="489BC9C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F126AA5" w16cex:dateUtc="2024-09-12T15:12:00Z"/>
  <w16cex:commentExtensible w16cex:durableId="2A95AC87" w16cex:dateUtc="2024-09-12T15:16:00Z"/>
  <w16cex:commentExtensible w16cex:durableId="5B70B877" w16cex:dateUtc="2024-09-12T14:47:00Z"/>
  <w16cex:commentExtensible w16cex:durableId="47237723" w16cex:dateUtc="2024-09-12T15:55:00Z"/>
  <w16cex:commentExtensible w16cex:durableId="2C562A89" w16cex:dateUtc="2024-09-12T16: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69CB8F8" w16cid:durableId="6F126AA5"/>
  <w16cid:commentId w16cid:paraId="37F4F04D" w16cid:durableId="2A95AC87"/>
  <w16cid:commentId w16cid:paraId="2535715D" w16cid:durableId="5B70B877"/>
  <w16cid:commentId w16cid:paraId="4FB4DF10" w16cid:durableId="47237723"/>
  <w16cid:commentId w16cid:paraId="489BC9C6" w16cid:durableId="2C562A8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CDAA2C" w14:textId="77777777" w:rsidR="00C018A0" w:rsidRDefault="00C018A0" w:rsidP="00D843B5">
      <w:pPr>
        <w:spacing w:after="0" w:line="240" w:lineRule="auto"/>
      </w:pPr>
      <w:r>
        <w:separator/>
      </w:r>
    </w:p>
  </w:endnote>
  <w:endnote w:type="continuationSeparator" w:id="0">
    <w:p w14:paraId="2C88F11E" w14:textId="77777777" w:rsidR="00C018A0" w:rsidRDefault="00C018A0" w:rsidP="00D84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0C4BF3" w14:textId="77777777" w:rsidR="00C018A0" w:rsidRDefault="00C018A0" w:rsidP="00D843B5">
      <w:pPr>
        <w:spacing w:after="0" w:line="240" w:lineRule="auto"/>
      </w:pPr>
      <w:r>
        <w:separator/>
      </w:r>
    </w:p>
  </w:footnote>
  <w:footnote w:type="continuationSeparator" w:id="0">
    <w:p w14:paraId="2D068838" w14:textId="77777777" w:rsidR="00C018A0" w:rsidRDefault="00C018A0" w:rsidP="00D843B5">
      <w:pPr>
        <w:spacing w:after="0" w:line="240" w:lineRule="auto"/>
      </w:pPr>
      <w:r>
        <w:continuationSeparator/>
      </w:r>
    </w:p>
  </w:footnote>
  <w:footnote w:id="1">
    <w:p w14:paraId="5F18C036" w14:textId="7637E5E1" w:rsidR="00AA63CB" w:rsidRPr="00300309" w:rsidRDefault="00AA63CB" w:rsidP="00300309">
      <w:pPr>
        <w:pStyle w:val="FootnoteText"/>
      </w:pPr>
      <w:r w:rsidRPr="00AA63CB">
        <w:t>*</w:t>
      </w:r>
      <w:r>
        <w:t xml:space="preserve"> </w:t>
      </w:r>
      <w:r w:rsidR="00300309">
        <w:t xml:space="preserve">The biblical commentaries </w:t>
      </w:r>
      <w:r w:rsidR="00365068">
        <w:t>cited</w:t>
      </w:r>
      <w:r w:rsidR="00300309">
        <w:t xml:space="preserve"> in this paper are </w:t>
      </w:r>
      <w:r w:rsidR="002F35D7">
        <w:t>the versions found in</w:t>
      </w:r>
      <w:r w:rsidR="00300309">
        <w:t xml:space="preserve"> the </w:t>
      </w:r>
      <w:r w:rsidR="00300309">
        <w:rPr>
          <w:i/>
          <w:iCs/>
        </w:rPr>
        <w:t xml:space="preserve">‘Al </w:t>
      </w:r>
      <w:proofErr w:type="spellStart"/>
      <w:r w:rsidR="00300309">
        <w:rPr>
          <w:i/>
          <w:iCs/>
        </w:rPr>
        <w:t>haTorah</w:t>
      </w:r>
      <w:proofErr w:type="spellEnd"/>
      <w:r w:rsidR="00300309">
        <w:t xml:space="preserve"> edition, ed. Hillel </w:t>
      </w:r>
      <w:proofErr w:type="spellStart"/>
      <w:r w:rsidR="00300309">
        <w:t>Novetzky</w:t>
      </w:r>
      <w:proofErr w:type="spellEnd"/>
      <w:r w:rsidR="00300309">
        <w:t xml:space="preserve">, and the </w:t>
      </w:r>
      <w:proofErr w:type="spellStart"/>
      <w:r w:rsidR="00300309">
        <w:rPr>
          <w:i/>
          <w:iCs/>
        </w:rPr>
        <w:t>Miqraot</w:t>
      </w:r>
      <w:proofErr w:type="spellEnd"/>
      <w:r w:rsidR="00300309">
        <w:rPr>
          <w:i/>
          <w:iCs/>
        </w:rPr>
        <w:t xml:space="preserve"> </w:t>
      </w:r>
      <w:proofErr w:type="spellStart"/>
      <w:r w:rsidR="00300309">
        <w:rPr>
          <w:i/>
          <w:iCs/>
        </w:rPr>
        <w:t>Gedolot</w:t>
      </w:r>
      <w:proofErr w:type="spellEnd"/>
      <w:r w:rsidR="00300309">
        <w:rPr>
          <w:i/>
          <w:iCs/>
        </w:rPr>
        <w:t xml:space="preserve"> ha</w:t>
      </w:r>
      <w:r w:rsidR="00E477B8">
        <w:rPr>
          <w:i/>
          <w:iCs/>
        </w:rPr>
        <w:t>-</w:t>
      </w:r>
      <w:proofErr w:type="spellStart"/>
      <w:r w:rsidR="00E477B8">
        <w:rPr>
          <w:i/>
          <w:iCs/>
        </w:rPr>
        <w:t>k</w:t>
      </w:r>
      <w:r w:rsidR="00300309">
        <w:rPr>
          <w:i/>
          <w:iCs/>
        </w:rPr>
        <w:t>eter</w:t>
      </w:r>
      <w:proofErr w:type="spellEnd"/>
      <w:r w:rsidR="00300309">
        <w:t xml:space="preserve"> edition, ed. Menahem Cohen. Quotes from </w:t>
      </w:r>
      <w:r w:rsidR="00300309">
        <w:rPr>
          <w:i/>
          <w:iCs/>
        </w:rPr>
        <w:t>Sefer Hagan</w:t>
      </w:r>
      <w:r w:rsidR="00300309">
        <w:t xml:space="preserve"> are taken from the </w:t>
      </w:r>
      <w:proofErr w:type="spellStart"/>
      <w:r w:rsidR="00300309">
        <w:t>Orlian</w:t>
      </w:r>
      <w:proofErr w:type="spellEnd"/>
      <w:r w:rsidR="00300309">
        <w:t xml:space="preserve"> edition, see A. ben Yosi</w:t>
      </w:r>
      <w:r w:rsidR="00300309">
        <w:rPr>
          <w:i/>
          <w:iCs/>
        </w:rPr>
        <w:t>, Sefer Hagan: Biblical Commentary</w:t>
      </w:r>
      <w:r w:rsidR="00300309">
        <w:t xml:space="preserve"> ed. Jehiel M</w:t>
      </w:r>
      <w:r w:rsidR="003173FC">
        <w:t>.</w:t>
      </w:r>
      <w:r w:rsidR="00300309">
        <w:t xml:space="preserve"> </w:t>
      </w:r>
      <w:proofErr w:type="spellStart"/>
      <w:r w:rsidR="00300309">
        <w:t>Orlian</w:t>
      </w:r>
      <w:proofErr w:type="spellEnd"/>
      <w:r w:rsidR="00300309">
        <w:t xml:space="preserve"> (in Hebrew) (Jerusalem, 2009).</w:t>
      </w:r>
    </w:p>
    <w:p w14:paraId="72E65997" w14:textId="614A0E39" w:rsidR="00D843B5" w:rsidRPr="005B4C52" w:rsidRDefault="00D843B5">
      <w:pPr>
        <w:pStyle w:val="FootnoteText"/>
      </w:pPr>
      <w:r>
        <w:rPr>
          <w:rStyle w:val="FootnoteReference"/>
        </w:rPr>
        <w:footnoteRef/>
      </w:r>
      <w:r>
        <w:t xml:space="preserve"> For a general survey on </w:t>
      </w:r>
      <w:r w:rsidR="00AE056D">
        <w:t>Kara</w:t>
      </w:r>
      <w:r>
        <w:t xml:space="preserve">’s life and works see: </w:t>
      </w:r>
      <w:r w:rsidR="00AA63CB">
        <w:t xml:space="preserve">A. Geiger, </w:t>
      </w:r>
      <w:proofErr w:type="spellStart"/>
      <w:r w:rsidR="00AA63CB">
        <w:rPr>
          <w:i/>
          <w:iCs/>
        </w:rPr>
        <w:t>Parshandata</w:t>
      </w:r>
      <w:proofErr w:type="spellEnd"/>
      <w:r w:rsidR="00AA63CB">
        <w:t xml:space="preserve"> (Leipzig</w:t>
      </w:r>
      <w:r w:rsidR="00F82B5B">
        <w:t>: Publisher Unknown</w:t>
      </w:r>
      <w:r w:rsidR="00AA63CB">
        <w:t>, 1856), pp. 21-33; S. Poznanski</w:t>
      </w:r>
      <w:r w:rsidR="00AA63CB">
        <w:rPr>
          <w:i/>
          <w:iCs/>
        </w:rPr>
        <w:t xml:space="preserve">, </w:t>
      </w:r>
      <w:proofErr w:type="spellStart"/>
      <w:r w:rsidR="00AA63CB">
        <w:rPr>
          <w:i/>
          <w:iCs/>
        </w:rPr>
        <w:t>Mavo</w:t>
      </w:r>
      <w:proofErr w:type="spellEnd"/>
      <w:r w:rsidR="00AA63CB">
        <w:rPr>
          <w:i/>
          <w:iCs/>
        </w:rPr>
        <w:t xml:space="preserve"> ‘al </w:t>
      </w:r>
      <w:proofErr w:type="spellStart"/>
      <w:r w:rsidR="00AA63CB">
        <w:rPr>
          <w:i/>
          <w:iCs/>
        </w:rPr>
        <w:t>hakhme</w:t>
      </w:r>
      <w:proofErr w:type="spellEnd"/>
      <w:r w:rsidR="00AA63CB">
        <w:rPr>
          <w:i/>
          <w:iCs/>
        </w:rPr>
        <w:t xml:space="preserve"> </w:t>
      </w:r>
      <w:proofErr w:type="spellStart"/>
      <w:r w:rsidR="00E477B8" w:rsidRPr="005B4C52">
        <w:rPr>
          <w:i/>
          <w:iCs/>
        </w:rPr>
        <w:t>S</w:t>
      </w:r>
      <w:r w:rsidR="00AA63CB" w:rsidRPr="005B4C52">
        <w:rPr>
          <w:i/>
          <w:iCs/>
        </w:rPr>
        <w:t>orfat</w:t>
      </w:r>
      <w:proofErr w:type="spellEnd"/>
      <w:r w:rsidR="00AA63CB" w:rsidRPr="005B4C52">
        <w:rPr>
          <w:i/>
          <w:iCs/>
        </w:rPr>
        <w:t xml:space="preserve"> </w:t>
      </w:r>
      <w:proofErr w:type="spellStart"/>
      <w:r w:rsidR="00AA63CB" w:rsidRPr="005B4C52">
        <w:rPr>
          <w:i/>
          <w:iCs/>
        </w:rPr>
        <w:t>mefarshe</w:t>
      </w:r>
      <w:proofErr w:type="spellEnd"/>
      <w:r w:rsidR="00AA63CB" w:rsidRPr="005B4C52">
        <w:rPr>
          <w:i/>
          <w:iCs/>
        </w:rPr>
        <w:t xml:space="preserve"> ha-miqra</w:t>
      </w:r>
      <w:r w:rsidR="00AA63CB" w:rsidRPr="005B4C52">
        <w:t xml:space="preserve"> (Warsaw</w:t>
      </w:r>
      <w:r w:rsidR="00F82B5B">
        <w:t xml:space="preserve">: </w:t>
      </w:r>
      <w:proofErr w:type="spellStart"/>
      <w:r w:rsidR="00F82B5B">
        <w:t>Mekitzei</w:t>
      </w:r>
      <w:proofErr w:type="spellEnd"/>
      <w:r w:rsidR="00F82B5B">
        <w:t xml:space="preserve"> </w:t>
      </w:r>
      <w:proofErr w:type="spellStart"/>
      <w:r w:rsidR="00F82B5B">
        <w:t>Nirdamim</w:t>
      </w:r>
      <w:proofErr w:type="spellEnd"/>
      <w:r w:rsidR="00AA63CB" w:rsidRPr="005B4C52">
        <w:t xml:space="preserve">, 1913), pp. 23-38; E.E. Urbach, </w:t>
      </w:r>
      <w:r w:rsidR="00AA63CB" w:rsidRPr="005B4C52">
        <w:rPr>
          <w:i/>
          <w:iCs/>
        </w:rPr>
        <w:t xml:space="preserve">Sefer </w:t>
      </w:r>
      <w:proofErr w:type="spellStart"/>
      <w:r w:rsidR="00AA63CB" w:rsidRPr="005B4C52">
        <w:rPr>
          <w:i/>
          <w:iCs/>
        </w:rPr>
        <w:t>Arugat</w:t>
      </w:r>
      <w:proofErr w:type="spellEnd"/>
      <w:r w:rsidR="00AA63CB" w:rsidRPr="005B4C52">
        <w:rPr>
          <w:i/>
          <w:iCs/>
        </w:rPr>
        <w:t xml:space="preserve"> </w:t>
      </w:r>
      <w:proofErr w:type="spellStart"/>
      <w:r w:rsidR="00AA63CB" w:rsidRPr="005B4C52">
        <w:rPr>
          <w:i/>
          <w:iCs/>
        </w:rPr>
        <w:t>Habosem</w:t>
      </w:r>
      <w:proofErr w:type="spellEnd"/>
      <w:r w:rsidR="00AA63CB" w:rsidRPr="005B4C52">
        <w:rPr>
          <w:i/>
          <w:iCs/>
        </w:rPr>
        <w:t xml:space="preserve"> by R. Abraham b. r. Azriel</w:t>
      </w:r>
      <w:r w:rsidR="00AA63CB" w:rsidRPr="005B4C52">
        <w:t>. Part I-IV (in Hebrew) (Jerusalem</w:t>
      </w:r>
      <w:r w:rsidR="00F82B5B">
        <w:t xml:space="preserve">: </w:t>
      </w:r>
      <w:proofErr w:type="spellStart"/>
      <w:r w:rsidR="00F82B5B">
        <w:t>Mekitzei</w:t>
      </w:r>
      <w:proofErr w:type="spellEnd"/>
      <w:r w:rsidR="00F82B5B">
        <w:t xml:space="preserve"> </w:t>
      </w:r>
      <w:proofErr w:type="spellStart"/>
      <w:r w:rsidR="00F82B5B">
        <w:t>Nirdamim</w:t>
      </w:r>
      <w:proofErr w:type="spellEnd"/>
      <w:r w:rsidR="00AA63CB" w:rsidRPr="005B4C52">
        <w:t xml:space="preserve">, 1939-1963), pp. 13-23; A. Grossman, </w:t>
      </w:r>
      <w:r w:rsidR="00AA63CB" w:rsidRPr="005B4C52">
        <w:rPr>
          <w:i/>
          <w:iCs/>
        </w:rPr>
        <w:t xml:space="preserve">The Early </w:t>
      </w:r>
      <w:proofErr w:type="spellStart"/>
      <w:r w:rsidR="00AA63CB" w:rsidRPr="005B4C52">
        <w:rPr>
          <w:i/>
          <w:iCs/>
        </w:rPr>
        <w:t>Sages</w:t>
      </w:r>
      <w:proofErr w:type="spellEnd"/>
      <w:r w:rsidR="00AA63CB" w:rsidRPr="005B4C52">
        <w:rPr>
          <w:i/>
          <w:iCs/>
        </w:rPr>
        <w:t xml:space="preserve"> of France, Their Lives, Leadership and Works</w:t>
      </w:r>
      <w:r w:rsidR="00AA63CB" w:rsidRPr="005B4C52">
        <w:t xml:space="preserve"> (in Hebrew) (Jerusalem: Magnes, 1995), pp. 254-340. A </w:t>
      </w:r>
      <w:r w:rsidR="00A14119" w:rsidRPr="005B4C52">
        <w:t>few</w:t>
      </w:r>
      <w:r w:rsidR="00AA63CB" w:rsidRPr="005B4C52">
        <w:t xml:space="preserve"> monographs were dedicated to </w:t>
      </w:r>
      <w:r w:rsidR="00AE056D">
        <w:t>Kara</w:t>
      </w:r>
      <w:r w:rsidR="00AA63CB" w:rsidRPr="005B4C52">
        <w:t xml:space="preserve">, including a discussion of his exegetical methodology. See M. Littmann, </w:t>
      </w:r>
      <w:r w:rsidR="00AA63CB" w:rsidRPr="005B4C52">
        <w:rPr>
          <w:i/>
          <w:iCs/>
        </w:rPr>
        <w:t xml:space="preserve">Josef ben Simeon Kara </w:t>
      </w:r>
      <w:proofErr w:type="spellStart"/>
      <w:r w:rsidR="00AA63CB" w:rsidRPr="005B4C52">
        <w:rPr>
          <w:i/>
          <w:iCs/>
        </w:rPr>
        <w:t>als</w:t>
      </w:r>
      <w:proofErr w:type="spellEnd"/>
      <w:r w:rsidR="00AA63CB" w:rsidRPr="005B4C52">
        <w:rPr>
          <w:i/>
          <w:iCs/>
        </w:rPr>
        <w:t xml:space="preserve"> </w:t>
      </w:r>
      <w:proofErr w:type="spellStart"/>
      <w:r w:rsidR="00AA63CB" w:rsidRPr="005B4C52">
        <w:rPr>
          <w:i/>
          <w:iCs/>
        </w:rPr>
        <w:t>Schrifterklarer</w:t>
      </w:r>
      <w:proofErr w:type="spellEnd"/>
      <w:r w:rsidR="00AA63CB" w:rsidRPr="005B4C52">
        <w:t xml:space="preserve"> (Bresla</w:t>
      </w:r>
      <w:r w:rsidR="00A40FA8">
        <w:t>u</w:t>
      </w:r>
      <w:r w:rsidR="00F82B5B">
        <w:t xml:space="preserve">: S. </w:t>
      </w:r>
      <w:proofErr w:type="spellStart"/>
      <w:r w:rsidR="00F82B5B">
        <w:t>Schottlaender</w:t>
      </w:r>
      <w:proofErr w:type="spellEnd"/>
      <w:r w:rsidR="00AA63CB" w:rsidRPr="005B4C52">
        <w:t>, 1887); N. Eliakim, ‘</w:t>
      </w:r>
      <w:r w:rsidR="00300309" w:rsidRPr="005B4C52">
        <w:t xml:space="preserve">Rabbi Joseph </w:t>
      </w:r>
      <w:proofErr w:type="spellStart"/>
      <w:r w:rsidR="00300309" w:rsidRPr="005B4C52">
        <w:t>Q</w:t>
      </w:r>
      <w:r w:rsidR="0037782D" w:rsidRPr="005B4C52">
        <w:t>u</w:t>
      </w:r>
      <w:r w:rsidR="00300309" w:rsidRPr="005B4C52">
        <w:t>ara’s</w:t>
      </w:r>
      <w:proofErr w:type="spellEnd"/>
      <w:r w:rsidR="00300309" w:rsidRPr="005B4C52">
        <w:t xml:space="preserve"> E</w:t>
      </w:r>
      <w:r w:rsidR="006D7EF4" w:rsidRPr="005B4C52">
        <w:t>x</w:t>
      </w:r>
      <w:r w:rsidR="00300309" w:rsidRPr="005B4C52">
        <w:t>egetic Method Accordin</w:t>
      </w:r>
      <w:r w:rsidR="009E0A5E" w:rsidRPr="005B4C52">
        <w:t>g</w:t>
      </w:r>
      <w:r w:rsidR="00300309" w:rsidRPr="005B4C52">
        <w:t xml:space="preserve"> to his Commentary to </w:t>
      </w:r>
      <w:proofErr w:type="spellStart"/>
      <w:r w:rsidR="00300309" w:rsidRPr="005B4C52">
        <w:t>Neveim</w:t>
      </w:r>
      <w:proofErr w:type="spellEnd"/>
      <w:r w:rsidR="00300309" w:rsidRPr="005B4C52">
        <w:t xml:space="preserve"> </w:t>
      </w:r>
      <w:proofErr w:type="spellStart"/>
      <w:r w:rsidR="00300309" w:rsidRPr="005B4C52">
        <w:t>Aharonim</w:t>
      </w:r>
      <w:proofErr w:type="spellEnd"/>
      <w:r w:rsidR="00FE149A" w:rsidRPr="005B4C52">
        <w:t xml:space="preserve">, </w:t>
      </w:r>
      <w:r w:rsidR="00300309" w:rsidRPr="005B4C52">
        <w:t xml:space="preserve">PhD </w:t>
      </w:r>
      <w:r w:rsidR="00564012" w:rsidRPr="005B4C52">
        <w:t xml:space="preserve">dissertation </w:t>
      </w:r>
      <w:r w:rsidR="00300309" w:rsidRPr="005B4C52">
        <w:t>(</w:t>
      </w:r>
      <w:r w:rsidR="00F82B5B">
        <w:t xml:space="preserve">Ramat Gan: </w:t>
      </w:r>
      <w:r w:rsidR="00300309" w:rsidRPr="005B4C52">
        <w:t xml:space="preserve">Bar Ilan University, 1984); G. Brin, </w:t>
      </w:r>
      <w:r w:rsidR="00300309" w:rsidRPr="005B4C52">
        <w:rPr>
          <w:i/>
          <w:iCs/>
        </w:rPr>
        <w:t>Studies in the Biblical Exegesis of R. Joseph Qara</w:t>
      </w:r>
      <w:r w:rsidR="00300309" w:rsidRPr="005B4C52">
        <w:t xml:space="preserve"> (in Hebrew) (</w:t>
      </w:r>
      <w:r w:rsidR="00321877">
        <w:t>Tel Aviv: Tel Aviv University</w:t>
      </w:r>
      <w:r w:rsidR="00300309" w:rsidRPr="005B4C52">
        <w:t xml:space="preserve">, 1990); N. </w:t>
      </w:r>
      <w:proofErr w:type="spellStart"/>
      <w:r w:rsidR="00300309" w:rsidRPr="005B4C52">
        <w:t>Nehoray</w:t>
      </w:r>
      <w:proofErr w:type="spellEnd"/>
      <w:r w:rsidR="00300309" w:rsidRPr="005B4C52">
        <w:t xml:space="preserve">, </w:t>
      </w:r>
      <w:r w:rsidR="00300309" w:rsidRPr="005B4C52">
        <w:rPr>
          <w:i/>
          <w:iCs/>
        </w:rPr>
        <w:t>Rabbi Yosef Kara – Interpret</w:t>
      </w:r>
      <w:r w:rsidR="00A14119" w:rsidRPr="005B4C52">
        <w:rPr>
          <w:i/>
          <w:iCs/>
        </w:rPr>
        <w:t>e</w:t>
      </w:r>
      <w:r w:rsidR="00300309" w:rsidRPr="005B4C52">
        <w:rPr>
          <w:i/>
          <w:iCs/>
        </w:rPr>
        <w:t>r of the Bible</w:t>
      </w:r>
      <w:r w:rsidR="00300309" w:rsidRPr="005B4C52">
        <w:t xml:space="preserve"> (in Hebrew) (Tel Aviv</w:t>
      </w:r>
      <w:r w:rsidR="00321877">
        <w:t xml:space="preserve">: Otzar </w:t>
      </w:r>
      <w:proofErr w:type="spellStart"/>
      <w:r w:rsidR="00321877">
        <w:t>Hamoreh</w:t>
      </w:r>
      <w:proofErr w:type="spellEnd"/>
      <w:r w:rsidR="00321877">
        <w:t>,</w:t>
      </w:r>
      <w:r w:rsidR="00300309" w:rsidRPr="005B4C52">
        <w:t xml:space="preserve"> 1994).</w:t>
      </w:r>
    </w:p>
  </w:footnote>
  <w:footnote w:id="2">
    <w:p w14:paraId="0D7695A6" w14:textId="062EEC09" w:rsidR="006E3A54" w:rsidRPr="009E0A5E" w:rsidRDefault="006E3A54">
      <w:pPr>
        <w:pStyle w:val="FootnoteText"/>
      </w:pPr>
      <w:r w:rsidRPr="005B4C52">
        <w:rPr>
          <w:rStyle w:val="FootnoteReference"/>
        </w:rPr>
        <w:footnoteRef/>
      </w:r>
      <w:r w:rsidRPr="005B4C52">
        <w:t xml:space="preserve"> On this topic see, among others, Geiger, </w:t>
      </w:r>
      <w:proofErr w:type="spellStart"/>
      <w:r w:rsidRPr="005B4C52">
        <w:rPr>
          <w:i/>
          <w:iCs/>
        </w:rPr>
        <w:t>Parshandata</w:t>
      </w:r>
      <w:proofErr w:type="spellEnd"/>
      <w:r w:rsidR="009E0A5E" w:rsidRPr="005B4C52">
        <w:t xml:space="preserve">, pp. 23-26; Poznanski, </w:t>
      </w:r>
      <w:proofErr w:type="spellStart"/>
      <w:r w:rsidR="009E0A5E" w:rsidRPr="005B4C52">
        <w:rPr>
          <w:i/>
          <w:iCs/>
        </w:rPr>
        <w:t>Mavo</w:t>
      </w:r>
      <w:proofErr w:type="spellEnd"/>
      <w:r w:rsidR="009E0A5E" w:rsidRPr="005B4C52">
        <w:t xml:space="preserve">, pp. 25-31; Littmann, </w:t>
      </w:r>
      <w:r w:rsidR="009E0A5E" w:rsidRPr="005B4C52">
        <w:rPr>
          <w:i/>
          <w:iCs/>
        </w:rPr>
        <w:t>Josef ben Simeon</w:t>
      </w:r>
      <w:r w:rsidR="009E0A5E" w:rsidRPr="005B4C52">
        <w:t xml:space="preserve">, pp. 5-7; Brin, </w:t>
      </w:r>
      <w:r w:rsidR="009E0A5E" w:rsidRPr="005B4C52">
        <w:rPr>
          <w:i/>
          <w:iCs/>
        </w:rPr>
        <w:t>Studies</w:t>
      </w:r>
      <w:r w:rsidR="009E0A5E" w:rsidRPr="005B4C52">
        <w:t>, pp. 12-14; Grossman</w:t>
      </w:r>
      <w:r w:rsidR="009E0A5E">
        <w:t xml:space="preserve">, </w:t>
      </w:r>
      <w:r w:rsidR="009E0A5E">
        <w:rPr>
          <w:i/>
          <w:iCs/>
        </w:rPr>
        <w:t>The Early Sages</w:t>
      </w:r>
      <w:r w:rsidR="009E0A5E">
        <w:t>, pp. 305-316.</w:t>
      </w:r>
    </w:p>
  </w:footnote>
  <w:footnote w:id="3">
    <w:p w14:paraId="7C47BBBA" w14:textId="40E85B27" w:rsidR="00CD362F" w:rsidRPr="006D7EF4" w:rsidRDefault="00CD362F">
      <w:pPr>
        <w:pStyle w:val="FootnoteText"/>
      </w:pPr>
      <w:r>
        <w:rPr>
          <w:rStyle w:val="FootnoteReference"/>
        </w:rPr>
        <w:footnoteRef/>
      </w:r>
      <w:r>
        <w:t xml:space="preserve"> See Geiger, </w:t>
      </w:r>
      <w:proofErr w:type="spellStart"/>
      <w:r>
        <w:rPr>
          <w:i/>
          <w:iCs/>
        </w:rPr>
        <w:t>Parshandata</w:t>
      </w:r>
      <w:proofErr w:type="spellEnd"/>
      <w:r>
        <w:t xml:space="preserve">, p. 21; A. Berliner, ‘Introduction’, </w:t>
      </w:r>
      <w:r>
        <w:rPr>
          <w:i/>
          <w:iCs/>
        </w:rPr>
        <w:t>Rashi on the Torah</w:t>
      </w:r>
      <w:r>
        <w:t xml:space="preserve">, ed. A. Berliner (Frankfurt, 1905), p. X; S. Poznanski, </w:t>
      </w:r>
      <w:proofErr w:type="spellStart"/>
      <w:r w:rsidR="006D7EF4">
        <w:rPr>
          <w:i/>
          <w:iCs/>
        </w:rPr>
        <w:t>Mavo</w:t>
      </w:r>
      <w:proofErr w:type="spellEnd"/>
      <w:r w:rsidR="006D7EF4">
        <w:t xml:space="preserve">, p. 25; S. Epstein, ‘Introduction’, </w:t>
      </w:r>
      <w:r w:rsidR="006D7EF4">
        <w:rPr>
          <w:i/>
          <w:iCs/>
        </w:rPr>
        <w:t>R. Joseph Kara on First Prophets</w:t>
      </w:r>
      <w:r w:rsidR="006D7EF4">
        <w:t xml:space="preserve">, ed. S. Epstein </w:t>
      </w:r>
      <w:r w:rsidR="0017164F">
        <w:t xml:space="preserve">(in Hebrew) </w:t>
      </w:r>
      <w:r w:rsidR="006D7EF4">
        <w:t xml:space="preserve">(Jerusalem, 1973), p. 19; </w:t>
      </w:r>
      <w:r w:rsidR="00166318" w:rsidRPr="002C0304">
        <w:t xml:space="preserve">Moshe </w:t>
      </w:r>
      <w:r w:rsidR="006D7EF4" w:rsidRPr="00166318">
        <w:t xml:space="preserve">Arend, ‘Introduction’, </w:t>
      </w:r>
      <w:r w:rsidR="00842BEA" w:rsidRPr="00166318">
        <w:rPr>
          <w:i/>
          <w:iCs/>
        </w:rPr>
        <w:t>Rabbi Joseph Kara's Commentary on Job</w:t>
      </w:r>
      <w:r w:rsidR="00842BEA" w:rsidRPr="00166318">
        <w:t>, ed. Moshe M. Ahrend, (in Hebrew</w:t>
      </w:r>
      <w:r w:rsidR="0017164F">
        <w:t>)</w:t>
      </w:r>
      <w:r w:rsidR="0017164F" w:rsidRPr="0017164F">
        <w:t xml:space="preserve"> </w:t>
      </w:r>
      <w:r w:rsidR="0017164F">
        <w:t>(</w:t>
      </w:r>
      <w:r w:rsidR="0017164F" w:rsidRPr="00166318">
        <w:t>Jerusalem</w:t>
      </w:r>
      <w:r w:rsidR="0017164F">
        <w:t>:</w:t>
      </w:r>
      <w:r w:rsidR="0017164F" w:rsidRPr="00166318">
        <w:t xml:space="preserve"> </w:t>
      </w:r>
      <w:proofErr w:type="spellStart"/>
      <w:r w:rsidR="0017164F">
        <w:t>Mosad</w:t>
      </w:r>
      <w:proofErr w:type="spellEnd"/>
      <w:r w:rsidR="0017164F">
        <w:t xml:space="preserve"> Harav Kook, </w:t>
      </w:r>
      <w:r w:rsidR="0017164F" w:rsidRPr="00166318">
        <w:t>1988</w:t>
      </w:r>
      <w:r w:rsidR="00842BEA" w:rsidRPr="00166318">
        <w:t>)</w:t>
      </w:r>
      <w:r w:rsidR="00166318" w:rsidRPr="00166318">
        <w:t xml:space="preserve">, </w:t>
      </w:r>
      <w:r w:rsidR="006D7EF4" w:rsidRPr="00166318">
        <w:t>p.</w:t>
      </w:r>
      <w:r w:rsidR="00166318">
        <w:t xml:space="preserve"> 13</w:t>
      </w:r>
      <w:r w:rsidR="006D7EF4" w:rsidRPr="00166318">
        <w:t>; Brin</w:t>
      </w:r>
      <w:r w:rsidR="006D7EF4">
        <w:t xml:space="preserve">, </w:t>
      </w:r>
      <w:r w:rsidR="006D7EF4">
        <w:rPr>
          <w:i/>
          <w:iCs/>
        </w:rPr>
        <w:t>Studies</w:t>
      </w:r>
      <w:r w:rsidR="006D7EF4">
        <w:t>, p. 12, 124.</w:t>
      </w:r>
    </w:p>
  </w:footnote>
  <w:footnote w:id="4">
    <w:p w14:paraId="44D0A2FB" w14:textId="1DF9DB14" w:rsidR="009C4B86" w:rsidRPr="009C4B86" w:rsidRDefault="009C4B86">
      <w:pPr>
        <w:pStyle w:val="FootnoteText"/>
      </w:pPr>
      <w:r>
        <w:rPr>
          <w:rStyle w:val="FootnoteReference"/>
        </w:rPr>
        <w:footnoteRef/>
      </w:r>
      <w:r>
        <w:t xml:space="preserve"> Urbach, </w:t>
      </w:r>
      <w:r>
        <w:rPr>
          <w:i/>
          <w:iCs/>
        </w:rPr>
        <w:t xml:space="preserve">Sefer </w:t>
      </w:r>
      <w:proofErr w:type="spellStart"/>
      <w:r>
        <w:rPr>
          <w:i/>
          <w:iCs/>
        </w:rPr>
        <w:t>Arugot</w:t>
      </w:r>
      <w:proofErr w:type="spellEnd"/>
      <w:r>
        <w:t xml:space="preserve"> I, p. 221, n 19.</w:t>
      </w:r>
    </w:p>
  </w:footnote>
  <w:footnote w:id="5">
    <w:p w14:paraId="32927542" w14:textId="34182CD3" w:rsidR="009C4B86" w:rsidRPr="00180F7F" w:rsidRDefault="009C4B86">
      <w:pPr>
        <w:pStyle w:val="FootnoteText"/>
      </w:pPr>
      <w:r>
        <w:rPr>
          <w:rStyle w:val="FootnoteReference"/>
        </w:rPr>
        <w:footnoteRef/>
      </w:r>
      <w:r>
        <w:t xml:space="preserve"> A. Grossman, ‘From the Italian Geniza – Remnants of the Commentary by R. Yosef Qara on the Torah’, </w:t>
      </w:r>
      <w:proofErr w:type="spellStart"/>
      <w:r>
        <w:rPr>
          <w:i/>
          <w:iCs/>
        </w:rPr>
        <w:t>Pe’amim</w:t>
      </w:r>
      <w:proofErr w:type="spellEnd"/>
      <w:r>
        <w:rPr>
          <w:i/>
          <w:iCs/>
        </w:rPr>
        <w:t>: Studies in Oriental Jewry</w:t>
      </w:r>
      <w:r>
        <w:t xml:space="preserve"> 552 (1982), pp. 16-36; A. Grossman, ‘The Importance of the Italian “Genizah” for the Commentaries of R. Joseph Kara’, </w:t>
      </w:r>
      <w:r>
        <w:rPr>
          <w:i/>
          <w:iCs/>
        </w:rPr>
        <w:t>The Italian Genizah</w:t>
      </w:r>
      <w:r>
        <w:t xml:space="preserve">, eds. A. David and J. </w:t>
      </w:r>
      <w:proofErr w:type="spellStart"/>
      <w:r>
        <w:t>Tabory</w:t>
      </w:r>
      <w:proofErr w:type="spellEnd"/>
      <w:r>
        <w:t xml:space="preserve"> (Jerusalem: </w:t>
      </w:r>
      <w:proofErr w:type="spellStart"/>
      <w:r w:rsidR="0017164F">
        <w:t>Orhot</w:t>
      </w:r>
      <w:proofErr w:type="spellEnd"/>
      <w:r w:rsidR="0017164F">
        <w:t xml:space="preserve">, </w:t>
      </w:r>
      <w:r>
        <w:t xml:space="preserve">1988), pp. 39-51. To the evidence from the Italian </w:t>
      </w:r>
      <w:proofErr w:type="spellStart"/>
      <w:r>
        <w:rPr>
          <w:i/>
          <w:iCs/>
        </w:rPr>
        <w:t>geniza</w:t>
      </w:r>
      <w:proofErr w:type="spellEnd"/>
      <w:r>
        <w:t xml:space="preserve">, Grossman added the reference </w:t>
      </w:r>
      <w:r w:rsidR="004E2EF0">
        <w:t xml:space="preserve">Kara </w:t>
      </w:r>
      <w:r>
        <w:t>made to his commentary on Genesis: ‘</w:t>
      </w:r>
      <w:r w:rsidR="00180F7F">
        <w:t>And it its place I explained it, and it should not be changed here’ (1Sam. 1:3)</w:t>
      </w:r>
      <w:r w:rsidR="00D50821">
        <w:t>.</w:t>
      </w:r>
      <w:r w:rsidR="00180F7F">
        <w:t xml:space="preserve"> implying that RJG composed a commentary on Genesis. See also M. </w:t>
      </w:r>
      <w:proofErr w:type="spellStart"/>
      <w:r w:rsidR="00180F7F">
        <w:t>Perani</w:t>
      </w:r>
      <w:proofErr w:type="spellEnd"/>
      <w:r w:rsidR="00180F7F">
        <w:t xml:space="preserve">, ‘Yosef ben </w:t>
      </w:r>
      <w:proofErr w:type="spellStart"/>
      <w:r w:rsidR="00180F7F">
        <w:t>Sim’on</w:t>
      </w:r>
      <w:proofErr w:type="spellEnd"/>
      <w:r w:rsidR="00180F7F">
        <w:t xml:space="preserve"> Kara’s Lost Commentary on the Psalms: The Imola Fragment from the “Italian Geniza”’, </w:t>
      </w:r>
      <w:r w:rsidR="00180F7F">
        <w:rPr>
          <w:i/>
          <w:iCs/>
        </w:rPr>
        <w:t>‘The Words of a Wise Man’s Mouth are Gracious’ (</w:t>
      </w:r>
      <w:proofErr w:type="spellStart"/>
      <w:r w:rsidR="00180F7F">
        <w:rPr>
          <w:i/>
          <w:iCs/>
        </w:rPr>
        <w:t>Qoh</w:t>
      </w:r>
      <w:proofErr w:type="spellEnd"/>
      <w:r w:rsidR="00180F7F">
        <w:rPr>
          <w:i/>
          <w:iCs/>
        </w:rPr>
        <w:t xml:space="preserve"> 10, 12): Festschrift for Gunter Stemberger on the Occasion of his 65th Birthday</w:t>
      </w:r>
      <w:r w:rsidR="00180F7F">
        <w:t xml:space="preserve">, ed. M. </w:t>
      </w:r>
      <w:proofErr w:type="spellStart"/>
      <w:r w:rsidR="00180F7F">
        <w:t>Perani</w:t>
      </w:r>
      <w:proofErr w:type="spellEnd"/>
      <w:r w:rsidR="00180F7F">
        <w:t xml:space="preserve"> (Berlin:</w:t>
      </w:r>
      <w:r w:rsidR="00226C7B">
        <w:t xml:space="preserve"> De Gruyter,</w:t>
      </w:r>
      <w:r w:rsidR="00180F7F">
        <w:t xml:space="preserve"> 2005), pp. 400-401.</w:t>
      </w:r>
    </w:p>
  </w:footnote>
  <w:footnote w:id="6">
    <w:p w14:paraId="16665BF5" w14:textId="20DB0E22" w:rsidR="00BB7264" w:rsidRPr="007F4C76" w:rsidRDefault="00BB7264" w:rsidP="007F4C76">
      <w:pPr>
        <w:pStyle w:val="a"/>
        <w:bidi w:val="0"/>
        <w:jc w:val="left"/>
        <w:rPr>
          <w:rFonts w:eastAsia="Aptos"/>
          <w14:ligatures w14:val="none"/>
        </w:rPr>
      </w:pPr>
      <w:r>
        <w:rPr>
          <w:rStyle w:val="FootnoteReference"/>
        </w:rPr>
        <w:footnoteRef/>
      </w:r>
      <w:r>
        <w:t xml:space="preserve"> </w:t>
      </w:r>
      <w:r w:rsidR="007F4C76">
        <w:t xml:space="preserve">Grossman, </w:t>
      </w:r>
      <w:r w:rsidR="007F4C76">
        <w:rPr>
          <w:i/>
          <w:iCs/>
        </w:rPr>
        <w:t>The Early Sages</w:t>
      </w:r>
      <w:r w:rsidR="007F4C76">
        <w:t>, p. 300.</w:t>
      </w:r>
    </w:p>
  </w:footnote>
  <w:footnote w:id="7">
    <w:p w14:paraId="5FA29CE2" w14:textId="638E3683" w:rsidR="007C35BD" w:rsidRPr="007C35BD" w:rsidRDefault="007C35BD">
      <w:pPr>
        <w:pStyle w:val="FootnoteText"/>
      </w:pPr>
      <w:r>
        <w:rPr>
          <w:rStyle w:val="FootnoteReference"/>
        </w:rPr>
        <w:footnoteRef/>
      </w:r>
      <w:r>
        <w:t xml:space="preserve"> </w:t>
      </w:r>
      <w:r w:rsidR="007F4C76">
        <w:t xml:space="preserve">See H. </w:t>
      </w:r>
      <w:proofErr w:type="spellStart"/>
      <w:r w:rsidR="007F4C76">
        <w:t>Novitzky</w:t>
      </w:r>
      <w:proofErr w:type="spellEnd"/>
      <w:r w:rsidR="007F4C76">
        <w:t xml:space="preserve">, ‘R. Yosef Kara’s Torah Commentary: Introduction’, </w:t>
      </w:r>
      <w:hyperlink r:id="rId1" w:history="1">
        <w:r w:rsidR="007F4C76" w:rsidRPr="00B338A0">
          <w:rPr>
            <w:rStyle w:val="Hyperlink"/>
            <w:rFonts w:eastAsia="Aptos"/>
            <w14:ligatures w14:val="none"/>
          </w:rPr>
          <w:t>https://alhatorah.org/Commentators:R._Yosef_Kara's_Torah_Commentary/1/he</w:t>
        </w:r>
      </w:hyperlink>
      <w:r w:rsidR="007F4C76" w:rsidRPr="007F4C76">
        <w:rPr>
          <w:rFonts w:eastAsia="Aptos"/>
          <w:color w:val="000000" w:themeColor="text1"/>
          <w14:ligatures w14:val="none"/>
        </w:rPr>
        <w:t>, accessed 25 July 2024.</w:t>
      </w:r>
    </w:p>
  </w:footnote>
  <w:footnote w:id="8">
    <w:p w14:paraId="49D5A646" w14:textId="3ABC3C10" w:rsidR="007C35BD" w:rsidRPr="007F4C76" w:rsidRDefault="007C35BD">
      <w:pPr>
        <w:pStyle w:val="FootnoteText"/>
      </w:pPr>
      <w:r>
        <w:rPr>
          <w:rStyle w:val="FootnoteReference"/>
        </w:rPr>
        <w:footnoteRef/>
      </w:r>
      <w:r>
        <w:t xml:space="preserve"> </w:t>
      </w:r>
      <w:r w:rsidR="007F4C76">
        <w:t xml:space="preserve">Mondschein suggested that </w:t>
      </w:r>
      <w:r w:rsidR="004E2EF0">
        <w:t>Kara</w:t>
      </w:r>
      <w:r w:rsidR="007F4C76">
        <w:t xml:space="preserve">’s students orally disseminated his teachings, see A. Mondschein, ‘Did R. Abraham Ibn Ezra Know the Biblical Commentary of R. Joseph Kara?’, </w:t>
      </w:r>
      <w:proofErr w:type="spellStart"/>
      <w:r w:rsidR="007F4C76">
        <w:rPr>
          <w:i/>
          <w:iCs/>
        </w:rPr>
        <w:t>Tarbiz</w:t>
      </w:r>
      <w:proofErr w:type="spellEnd"/>
      <w:r w:rsidR="007F4C76">
        <w:rPr>
          <w:i/>
          <w:iCs/>
        </w:rPr>
        <w:t xml:space="preserve"> </w:t>
      </w:r>
      <w:r w:rsidR="007F4C76">
        <w:t xml:space="preserve">73 (2004), p. 257. </w:t>
      </w:r>
      <w:r w:rsidR="002B2335">
        <w:t xml:space="preserve">Geiger had already suggested this: </w:t>
      </w:r>
      <w:r w:rsidR="007F4C76">
        <w:t xml:space="preserve">Geiger, </w:t>
      </w:r>
      <w:proofErr w:type="spellStart"/>
      <w:r w:rsidR="007F4C76">
        <w:rPr>
          <w:i/>
          <w:iCs/>
        </w:rPr>
        <w:t>Parshandata</w:t>
      </w:r>
      <w:proofErr w:type="spellEnd"/>
      <w:r w:rsidR="007F4C76">
        <w:t xml:space="preserve">, </w:t>
      </w:r>
      <w:r w:rsidR="002B2335">
        <w:t>p. 38</w:t>
      </w:r>
      <w:r w:rsidR="007F4C76">
        <w:t>.</w:t>
      </w:r>
    </w:p>
  </w:footnote>
  <w:footnote w:id="9">
    <w:p w14:paraId="2BE05795" w14:textId="2BBBFCD3" w:rsidR="00FA1A06" w:rsidRPr="00FA1A06" w:rsidRDefault="00FA1A06">
      <w:pPr>
        <w:pStyle w:val="FootnoteText"/>
      </w:pPr>
      <w:r>
        <w:rPr>
          <w:rStyle w:val="FootnoteReference"/>
        </w:rPr>
        <w:footnoteRef/>
      </w:r>
      <w:r>
        <w:t xml:space="preserve"> For example: ‘The is the </w:t>
      </w:r>
      <w:r w:rsidR="007F04C0">
        <w:t>commentary of R. Yosef Kara’ (Gen. 24:60); ‘From our colleague R. Yosef Kara’ (Gen. 37:13); ‘R. Yosef Kara erred here’ (Num. 4:10).</w:t>
      </w:r>
    </w:p>
  </w:footnote>
  <w:footnote w:id="10">
    <w:p w14:paraId="189025F0" w14:textId="3E3ADD47" w:rsidR="00FA1A06" w:rsidRPr="007F04C0" w:rsidRDefault="00FA1A06">
      <w:pPr>
        <w:pStyle w:val="FootnoteText"/>
      </w:pPr>
      <w:r>
        <w:rPr>
          <w:rStyle w:val="FootnoteReference"/>
        </w:rPr>
        <w:footnoteRef/>
      </w:r>
      <w:r>
        <w:t xml:space="preserve"> </w:t>
      </w:r>
      <w:r w:rsidR="007F04C0">
        <w:t xml:space="preserve">For a comprehensive broad survey of </w:t>
      </w:r>
      <w:proofErr w:type="spellStart"/>
      <w:r w:rsidR="004A2CE2">
        <w:t>Ribash</w:t>
      </w:r>
      <w:r w:rsidR="007F04C0">
        <w:t>’s</w:t>
      </w:r>
      <w:proofErr w:type="spellEnd"/>
      <w:r w:rsidR="007F04C0">
        <w:t xml:space="preserve"> attitude toward </w:t>
      </w:r>
      <w:r w:rsidR="004E2EF0">
        <w:t xml:space="preserve">Kara </w:t>
      </w:r>
      <w:r w:rsidR="007F04C0">
        <w:t xml:space="preserve">see J. Jacobs, </w:t>
      </w:r>
      <w:proofErr w:type="spellStart"/>
      <w:r w:rsidR="007F04C0">
        <w:rPr>
          <w:i/>
          <w:iCs/>
        </w:rPr>
        <w:t>Bekhor</w:t>
      </w:r>
      <w:proofErr w:type="spellEnd"/>
      <w:r w:rsidR="007F04C0">
        <w:rPr>
          <w:i/>
          <w:iCs/>
        </w:rPr>
        <w:t xml:space="preserve"> Shoro Hadar Lo – R. Joseph </w:t>
      </w:r>
      <w:proofErr w:type="spellStart"/>
      <w:r w:rsidR="007F04C0">
        <w:rPr>
          <w:i/>
          <w:iCs/>
        </w:rPr>
        <w:t>Bekhor</w:t>
      </w:r>
      <w:proofErr w:type="spellEnd"/>
      <w:r w:rsidR="007F04C0">
        <w:rPr>
          <w:i/>
          <w:iCs/>
        </w:rPr>
        <w:t xml:space="preserve"> Shor between Continuity and Innovation</w:t>
      </w:r>
      <w:r w:rsidR="007F04C0">
        <w:t xml:space="preserve"> (in Hebrew) (Jerusalem: </w:t>
      </w:r>
      <w:r w:rsidR="00226C7B">
        <w:t xml:space="preserve">Magnes, </w:t>
      </w:r>
      <w:r w:rsidR="007F04C0">
        <w:t>2017), pp. 92-113.</w:t>
      </w:r>
    </w:p>
  </w:footnote>
  <w:footnote w:id="11">
    <w:p w14:paraId="304271F3" w14:textId="4C941319" w:rsidR="007F04C0" w:rsidRPr="00BF32C8" w:rsidRDefault="007F04C0">
      <w:pPr>
        <w:pStyle w:val="FootnoteText"/>
        <w:rPr>
          <w:rtl/>
        </w:rPr>
      </w:pPr>
      <w:r>
        <w:rPr>
          <w:rStyle w:val="FootnoteReference"/>
        </w:rPr>
        <w:footnoteRef/>
      </w:r>
      <w:r>
        <w:t xml:space="preserve"> Such as R. Eliezer of Worms (see </w:t>
      </w:r>
      <w:proofErr w:type="spellStart"/>
      <w:r>
        <w:t>L.Y</w:t>
      </w:r>
      <w:proofErr w:type="spellEnd"/>
      <w:r>
        <w:t xml:space="preserve">. </w:t>
      </w:r>
      <w:proofErr w:type="spellStart"/>
      <w:r>
        <w:t>Haritan</w:t>
      </w:r>
      <w:proofErr w:type="spellEnd"/>
      <w:r>
        <w:t>, ‘Shaar-</w:t>
      </w:r>
      <w:proofErr w:type="spellStart"/>
      <w:r>
        <w:t>Semuchim</w:t>
      </w:r>
      <w:proofErr w:type="spellEnd"/>
      <w:r>
        <w:t xml:space="preserve"> from R. Eliezer of Worms – “Ha-</w:t>
      </w:r>
      <w:proofErr w:type="spellStart"/>
      <w:r>
        <w:t>Rokea</w:t>
      </w:r>
      <w:r w:rsidR="00DF0EAB">
        <w:rPr>
          <w:rFonts w:cs="Times New Roman"/>
        </w:rPr>
        <w:t>ḥ</w:t>
      </w:r>
      <w:proofErr w:type="spellEnd"/>
      <w:r>
        <w:t xml:space="preserve">”’, </w:t>
      </w:r>
      <w:r>
        <w:rPr>
          <w:i/>
          <w:iCs/>
        </w:rPr>
        <w:t xml:space="preserve">Hitzey </w:t>
      </w:r>
      <w:proofErr w:type="spellStart"/>
      <w:r>
        <w:rPr>
          <w:i/>
          <w:iCs/>
        </w:rPr>
        <w:t>Giborim</w:t>
      </w:r>
      <w:proofErr w:type="spellEnd"/>
      <w:r>
        <w:rPr>
          <w:i/>
          <w:iCs/>
        </w:rPr>
        <w:t xml:space="preserve"> </w:t>
      </w:r>
      <w:r>
        <w:t>10 [2017], pp. 371-372);</w:t>
      </w:r>
      <w:r w:rsidR="00DF0EAB">
        <w:t xml:space="preserve"> </w:t>
      </w:r>
      <w:r w:rsidR="00DF0EAB">
        <w:rPr>
          <w:i/>
          <w:iCs/>
        </w:rPr>
        <w:t>‘</w:t>
      </w:r>
      <w:proofErr w:type="spellStart"/>
      <w:r w:rsidR="00DF0EAB">
        <w:rPr>
          <w:i/>
          <w:iCs/>
        </w:rPr>
        <w:t>Arugat</w:t>
      </w:r>
      <w:proofErr w:type="spellEnd"/>
      <w:r w:rsidR="00DF0EAB">
        <w:rPr>
          <w:i/>
          <w:iCs/>
        </w:rPr>
        <w:t xml:space="preserve"> </w:t>
      </w:r>
      <w:proofErr w:type="spellStart"/>
      <w:r w:rsidR="00DF0EAB">
        <w:rPr>
          <w:i/>
          <w:iCs/>
        </w:rPr>
        <w:t>Habosem</w:t>
      </w:r>
      <w:proofErr w:type="spellEnd"/>
      <w:r w:rsidR="00DF0EAB">
        <w:t xml:space="preserve"> (see Mondschein, </w:t>
      </w:r>
      <w:r w:rsidR="00DF0EAB">
        <w:rPr>
          <w:i/>
          <w:iCs/>
        </w:rPr>
        <w:t>Did R. Ibn Ezra Know</w:t>
      </w:r>
      <w:r w:rsidR="00DF0EAB">
        <w:t xml:space="preserve">, pp. 250-253); </w:t>
      </w:r>
      <w:r w:rsidR="00DF0EAB">
        <w:rPr>
          <w:i/>
          <w:iCs/>
        </w:rPr>
        <w:t>Sefer Hagan</w:t>
      </w:r>
      <w:r w:rsidR="00DF0EAB">
        <w:t xml:space="preserve"> (see </w:t>
      </w:r>
      <w:proofErr w:type="spellStart"/>
      <w:r w:rsidR="00DF0EAB">
        <w:t>Orlian</w:t>
      </w:r>
      <w:proofErr w:type="spellEnd"/>
      <w:r w:rsidR="00DF0EAB">
        <w:t xml:space="preserve">, ‘Introduction’, p. 37); R. Hezkiah bar Manoah (see below for details); The commentaries of R. Hayyim Paltiel (see </w:t>
      </w:r>
      <w:r w:rsidR="00DF0EAB">
        <w:rPr>
          <w:i/>
          <w:iCs/>
        </w:rPr>
        <w:t>The Commentaries of R. Hayyim Paltiel to the Pentateuch</w:t>
      </w:r>
      <w:r w:rsidR="00DF0EAB">
        <w:t xml:space="preserve">, ed. I.S. Lange [in Hebrew] [Jerusalem: </w:t>
      </w:r>
      <w:r w:rsidR="00226C7B">
        <w:t xml:space="preserve">Publisher Unknown, </w:t>
      </w:r>
      <w:r w:rsidR="00DF0EAB">
        <w:t>1981], index p. 650); ‘</w:t>
      </w:r>
      <w:proofErr w:type="spellStart"/>
      <w:r w:rsidR="00DF0EAB">
        <w:t>Paanea</w:t>
      </w:r>
      <w:r w:rsidR="00DF0EAB">
        <w:rPr>
          <w:rFonts w:cs="Times New Roman"/>
        </w:rPr>
        <w:t>ḥ</w:t>
      </w:r>
      <w:proofErr w:type="spellEnd"/>
      <w:r w:rsidR="00DF0EAB">
        <w:rPr>
          <w:rFonts w:cs="Times New Roman"/>
        </w:rPr>
        <w:t xml:space="preserve"> Raza’ (see </w:t>
      </w:r>
      <w:proofErr w:type="spellStart"/>
      <w:r w:rsidR="00DF0EAB">
        <w:rPr>
          <w:rFonts w:cs="Times New Roman"/>
        </w:rPr>
        <w:t>Orlian</w:t>
      </w:r>
      <w:proofErr w:type="spellEnd"/>
      <w:r w:rsidR="00DF0EAB">
        <w:rPr>
          <w:rFonts w:cs="Times New Roman"/>
        </w:rPr>
        <w:t xml:space="preserve">, ‘Introduction’, p. 38), </w:t>
      </w:r>
      <w:r w:rsidR="00DF0EAB">
        <w:rPr>
          <w:rFonts w:cs="Times New Roman"/>
          <w:i/>
          <w:iCs/>
        </w:rPr>
        <w:t xml:space="preserve">Hadar </w:t>
      </w:r>
      <w:proofErr w:type="spellStart"/>
      <w:r w:rsidR="00DF0EAB">
        <w:rPr>
          <w:rFonts w:cs="Times New Roman"/>
          <w:i/>
          <w:iCs/>
        </w:rPr>
        <w:t>Zekenim</w:t>
      </w:r>
      <w:proofErr w:type="spellEnd"/>
      <w:r w:rsidR="00DF0EAB">
        <w:rPr>
          <w:rFonts w:cs="Times New Roman"/>
        </w:rPr>
        <w:t xml:space="preserve">, </w:t>
      </w:r>
      <w:r w:rsidR="00DF0EAB">
        <w:rPr>
          <w:rFonts w:cs="Times New Roman"/>
          <w:i/>
          <w:iCs/>
        </w:rPr>
        <w:t xml:space="preserve">Daat </w:t>
      </w:r>
      <w:proofErr w:type="spellStart"/>
      <w:r w:rsidR="00DF0EAB">
        <w:rPr>
          <w:rFonts w:cs="Times New Roman"/>
          <w:i/>
          <w:iCs/>
        </w:rPr>
        <w:t>Zekenim</w:t>
      </w:r>
      <w:proofErr w:type="spellEnd"/>
      <w:r w:rsidR="00DF0EAB">
        <w:rPr>
          <w:rFonts w:cs="Times New Roman"/>
        </w:rPr>
        <w:t xml:space="preserve">, </w:t>
      </w:r>
      <w:proofErr w:type="spellStart"/>
      <w:r w:rsidR="00DF0EAB">
        <w:rPr>
          <w:rFonts w:cs="Times New Roman"/>
          <w:i/>
          <w:iCs/>
        </w:rPr>
        <w:t>Minḥat</w:t>
      </w:r>
      <w:proofErr w:type="spellEnd"/>
      <w:r w:rsidR="00DF0EAB">
        <w:rPr>
          <w:rFonts w:cs="Times New Roman"/>
          <w:i/>
          <w:iCs/>
        </w:rPr>
        <w:t xml:space="preserve"> Yehuda</w:t>
      </w:r>
      <w:r w:rsidR="00DF0EAB">
        <w:rPr>
          <w:rFonts w:cs="Times New Roman"/>
        </w:rPr>
        <w:t xml:space="preserve"> (see </w:t>
      </w:r>
      <w:r w:rsidR="00BF32C8">
        <w:rPr>
          <w:rFonts w:cs="Times New Roman"/>
        </w:rPr>
        <w:t xml:space="preserve">Touitou, ‘Introduction’, R. Yehuda ben Elazar, </w:t>
      </w:r>
      <w:r w:rsidR="00BF32C8">
        <w:rPr>
          <w:rFonts w:cs="Times New Roman"/>
          <w:i/>
          <w:iCs/>
        </w:rPr>
        <w:t xml:space="preserve">Minhat </w:t>
      </w:r>
      <w:proofErr w:type="spellStart"/>
      <w:r w:rsidR="00BF32C8">
        <w:rPr>
          <w:rFonts w:cs="Times New Roman"/>
          <w:i/>
          <w:iCs/>
        </w:rPr>
        <w:t>Yehouda</w:t>
      </w:r>
      <w:proofErr w:type="spellEnd"/>
      <w:r w:rsidR="00BF32C8">
        <w:rPr>
          <w:rFonts w:cs="Times New Roman"/>
          <w:i/>
          <w:iCs/>
        </w:rPr>
        <w:t xml:space="preserve"> Commentary on the Torah, ed. J. Touitou</w:t>
      </w:r>
      <w:r w:rsidR="00BF32C8">
        <w:rPr>
          <w:rFonts w:cs="Times New Roman"/>
        </w:rPr>
        <w:t xml:space="preserve"> [in Hebrew] [Jerusalem: </w:t>
      </w:r>
      <w:proofErr w:type="spellStart"/>
      <w:r w:rsidR="00226C7B">
        <w:rPr>
          <w:rFonts w:cs="Times New Roman"/>
        </w:rPr>
        <w:t>Mosad</w:t>
      </w:r>
      <w:proofErr w:type="spellEnd"/>
      <w:r w:rsidR="00226C7B">
        <w:rPr>
          <w:rFonts w:cs="Times New Roman"/>
        </w:rPr>
        <w:t xml:space="preserve"> Harav Kook, </w:t>
      </w:r>
      <w:r w:rsidR="00BF32C8">
        <w:rPr>
          <w:rFonts w:cs="Times New Roman"/>
        </w:rPr>
        <w:t xml:space="preserve">2017], p. 76, n. 49), </w:t>
      </w:r>
      <w:r w:rsidR="00BF32C8">
        <w:rPr>
          <w:rFonts w:cs="Times New Roman"/>
          <w:i/>
          <w:iCs/>
        </w:rPr>
        <w:t>Imrei Noam</w:t>
      </w:r>
      <w:r w:rsidR="00BF32C8">
        <w:rPr>
          <w:rFonts w:cs="Times New Roman"/>
        </w:rPr>
        <w:t xml:space="preserve">, </w:t>
      </w:r>
      <w:proofErr w:type="spellStart"/>
      <w:r w:rsidR="00BF32C8">
        <w:rPr>
          <w:rFonts w:cs="Times New Roman"/>
          <w:i/>
          <w:iCs/>
        </w:rPr>
        <w:t>Perush</w:t>
      </w:r>
      <w:proofErr w:type="spellEnd"/>
      <w:r w:rsidR="00BF32C8">
        <w:rPr>
          <w:rFonts w:cs="Times New Roman"/>
          <w:i/>
          <w:iCs/>
        </w:rPr>
        <w:t xml:space="preserve"> </w:t>
      </w:r>
      <w:proofErr w:type="spellStart"/>
      <w:r w:rsidR="00BF32C8">
        <w:rPr>
          <w:rFonts w:cs="Times New Roman"/>
          <w:i/>
          <w:iCs/>
        </w:rPr>
        <w:t>HaTur</w:t>
      </w:r>
      <w:proofErr w:type="spellEnd"/>
      <w:r w:rsidR="00BF32C8">
        <w:rPr>
          <w:rFonts w:cs="Times New Roman"/>
          <w:i/>
          <w:iCs/>
        </w:rPr>
        <w:t xml:space="preserve"> </w:t>
      </w:r>
      <w:proofErr w:type="spellStart"/>
      <w:r w:rsidR="00BF32C8">
        <w:rPr>
          <w:rFonts w:cs="Times New Roman"/>
          <w:i/>
          <w:iCs/>
        </w:rPr>
        <w:t>Haarokh</w:t>
      </w:r>
      <w:proofErr w:type="spellEnd"/>
      <w:r w:rsidR="00BF32C8">
        <w:rPr>
          <w:rFonts w:cs="Times New Roman"/>
        </w:rPr>
        <w:t>, and more.</w:t>
      </w:r>
    </w:p>
  </w:footnote>
  <w:footnote w:id="12">
    <w:p w14:paraId="1A2F8764" w14:textId="02DBE2E3" w:rsidR="007F04C0" w:rsidRPr="007F04C0" w:rsidRDefault="007F04C0">
      <w:pPr>
        <w:pStyle w:val="FootnoteText"/>
        <w:rPr>
          <w:rtl/>
        </w:rPr>
      </w:pPr>
      <w:r>
        <w:rPr>
          <w:rStyle w:val="FootnoteReference"/>
        </w:rPr>
        <w:footnoteRef/>
      </w:r>
      <w:r>
        <w:t xml:space="preserve"> S.Z. Heilberg, </w:t>
      </w:r>
      <w:r>
        <w:rPr>
          <w:i/>
          <w:iCs/>
        </w:rPr>
        <w:t xml:space="preserve">Nitey </w:t>
      </w:r>
      <w:proofErr w:type="spellStart"/>
      <w:r>
        <w:rPr>
          <w:i/>
          <w:iCs/>
        </w:rPr>
        <w:t>Neemanim</w:t>
      </w:r>
      <w:proofErr w:type="spellEnd"/>
      <w:r>
        <w:t xml:space="preserve"> (Breslau</w:t>
      </w:r>
      <w:r w:rsidR="00226C7B">
        <w:t>:</w:t>
      </w:r>
      <w:r>
        <w:t xml:space="preserve"> 1847), pp. a-b (the author is Geiger); Geiger, </w:t>
      </w:r>
      <w:proofErr w:type="spellStart"/>
      <w:r>
        <w:rPr>
          <w:i/>
          <w:iCs/>
        </w:rPr>
        <w:t>Parshandata</w:t>
      </w:r>
      <w:proofErr w:type="spellEnd"/>
      <w:r>
        <w:t xml:space="preserve">, pp. 21-23. According to Mack (H. Mack, ‘New Fragments from the Biblical Commentary of R. Joseph Kara’, </w:t>
      </w:r>
      <w:proofErr w:type="spellStart"/>
      <w:r>
        <w:rPr>
          <w:i/>
          <w:iCs/>
        </w:rPr>
        <w:t>Tarbiz</w:t>
      </w:r>
      <w:proofErr w:type="spellEnd"/>
      <w:r>
        <w:t xml:space="preserve"> 63 [1994], p. 534, n. 12) some of the fragments collected by Geiger were not written by </w:t>
      </w:r>
      <w:r w:rsidR="004E2EF0">
        <w:t>Kara</w:t>
      </w:r>
      <w:r>
        <w:t>.</w:t>
      </w:r>
    </w:p>
  </w:footnote>
  <w:footnote w:id="13">
    <w:p w14:paraId="428BD3E3" w14:textId="3F8AD191" w:rsidR="00BF32C8" w:rsidRPr="00BF32C8" w:rsidRDefault="00BF32C8">
      <w:pPr>
        <w:pStyle w:val="FootnoteText"/>
      </w:pPr>
      <w:r>
        <w:rPr>
          <w:rStyle w:val="FootnoteReference"/>
        </w:rPr>
        <w:footnoteRef/>
      </w:r>
      <w:r>
        <w:t xml:space="preserve"> Berliner, ‘Introduction’, pp. 12-25, 49.</w:t>
      </w:r>
    </w:p>
  </w:footnote>
  <w:footnote w:id="14">
    <w:p w14:paraId="7DF7D5E0" w14:textId="333B7181" w:rsidR="00BF32C8" w:rsidRPr="00BF32C8" w:rsidRDefault="00BF32C8">
      <w:pPr>
        <w:pStyle w:val="FootnoteText"/>
      </w:pPr>
      <w:r>
        <w:rPr>
          <w:rStyle w:val="FootnoteReference"/>
        </w:rPr>
        <w:footnoteRef/>
      </w:r>
      <w:r>
        <w:t xml:space="preserve"> Poznanski, </w:t>
      </w:r>
      <w:proofErr w:type="spellStart"/>
      <w:r>
        <w:rPr>
          <w:i/>
          <w:iCs/>
        </w:rPr>
        <w:t>Mavo</w:t>
      </w:r>
      <w:proofErr w:type="spellEnd"/>
      <w:r>
        <w:t>, p. XXV and n. 1.</w:t>
      </w:r>
    </w:p>
  </w:footnote>
  <w:footnote w:id="15">
    <w:p w14:paraId="7EF40B79" w14:textId="1CC3FC4F" w:rsidR="00BF32C8" w:rsidRPr="00BF32C8" w:rsidRDefault="00BF32C8">
      <w:pPr>
        <w:pStyle w:val="FootnoteText"/>
      </w:pPr>
      <w:r>
        <w:rPr>
          <w:rStyle w:val="FootnoteReference"/>
        </w:rPr>
        <w:footnoteRef/>
      </w:r>
      <w:r>
        <w:t xml:space="preserve"> Mack, ‘New Fragments’; Y. </w:t>
      </w:r>
      <w:proofErr w:type="spellStart"/>
      <w:r>
        <w:t>Tzeitkin</w:t>
      </w:r>
      <w:proofErr w:type="spellEnd"/>
      <w:r>
        <w:t xml:space="preserve">, ‘Rabbi Yitzchak De Lattes – A Maimonidean Provencal Author and his Manuscript Torah Commentary’, </w:t>
      </w:r>
      <w:proofErr w:type="spellStart"/>
      <w:r>
        <w:rPr>
          <w:i/>
          <w:iCs/>
        </w:rPr>
        <w:t>Shnaton</w:t>
      </w:r>
      <w:proofErr w:type="spellEnd"/>
      <w:r>
        <w:t xml:space="preserve"> 22 (2013), p. 237.</w:t>
      </w:r>
    </w:p>
  </w:footnote>
  <w:footnote w:id="16">
    <w:p w14:paraId="5994F902" w14:textId="38DC5C99" w:rsidR="00B13D1A" w:rsidRPr="00A058D5" w:rsidRDefault="00B13D1A">
      <w:pPr>
        <w:pStyle w:val="FootnoteText"/>
      </w:pPr>
      <w:r>
        <w:rPr>
          <w:rStyle w:val="FootnoteReference"/>
        </w:rPr>
        <w:footnoteRef/>
      </w:r>
      <w:r>
        <w:t xml:space="preserve"> Grossman, </w:t>
      </w:r>
      <w:r w:rsidR="00A058D5">
        <w:rPr>
          <w:i/>
          <w:iCs/>
        </w:rPr>
        <w:t>The Early Sages</w:t>
      </w:r>
      <w:r w:rsidR="00A058D5">
        <w:t>, pp. 315-316.</w:t>
      </w:r>
    </w:p>
  </w:footnote>
  <w:footnote w:id="17">
    <w:p w14:paraId="1D327489" w14:textId="03A46E92" w:rsidR="00A058D5" w:rsidRPr="00A058D5" w:rsidRDefault="00A058D5">
      <w:pPr>
        <w:pStyle w:val="FootnoteText"/>
      </w:pPr>
      <w:r>
        <w:rPr>
          <w:rStyle w:val="FootnoteReference"/>
        </w:rPr>
        <w:footnoteRef/>
      </w:r>
      <w:r>
        <w:t xml:space="preserve"> Significant differences between the commentary on Exodus and the commentary on Deuteronomy are discussed in </w:t>
      </w:r>
      <w:proofErr w:type="spellStart"/>
      <w:r>
        <w:t>Novitzky</w:t>
      </w:r>
      <w:proofErr w:type="spellEnd"/>
      <w:r>
        <w:t>, ‘Introduction’.</w:t>
      </w:r>
    </w:p>
  </w:footnote>
  <w:footnote w:id="18">
    <w:p w14:paraId="6EC55F6A" w14:textId="4DF7A4A8" w:rsidR="00CB7221" w:rsidRPr="005809C3" w:rsidRDefault="00CB7221" w:rsidP="00CB7221">
      <w:pPr>
        <w:pStyle w:val="FootnoteText"/>
        <w:rPr>
          <w:rtl/>
        </w:rPr>
      </w:pPr>
      <w:r>
        <w:rPr>
          <w:rStyle w:val="FootnoteReference"/>
        </w:rPr>
        <w:footnoteRef/>
      </w:r>
      <w:r>
        <w:t xml:space="preserve"> See Chavel, ‘Introduction’, </w:t>
      </w:r>
      <w:proofErr w:type="spellStart"/>
      <w:r>
        <w:rPr>
          <w:i/>
          <w:iCs/>
        </w:rPr>
        <w:t>Hizkuni</w:t>
      </w:r>
      <w:proofErr w:type="spellEnd"/>
      <w:r>
        <w:rPr>
          <w:i/>
          <w:iCs/>
        </w:rPr>
        <w:t>: R. Hizkiya bar Manoach Commentary on the Torah</w:t>
      </w:r>
      <w:r>
        <w:t xml:space="preserve">, ed. H.D. Chavel (in Hebrew) (Jerusalem: </w:t>
      </w:r>
      <w:proofErr w:type="spellStart"/>
      <w:r w:rsidR="00226C7B">
        <w:t>Mosad</w:t>
      </w:r>
      <w:proofErr w:type="spellEnd"/>
      <w:r w:rsidR="00226C7B">
        <w:t xml:space="preserve"> Harav Kook, </w:t>
      </w:r>
      <w:r>
        <w:t xml:space="preserve">1981), pp. 5-7; S. Japhet, </w:t>
      </w:r>
      <w:r>
        <w:rPr>
          <w:i/>
          <w:iCs/>
        </w:rPr>
        <w:t xml:space="preserve">Dor </w:t>
      </w:r>
      <w:proofErr w:type="spellStart"/>
      <w:r>
        <w:rPr>
          <w:i/>
          <w:iCs/>
        </w:rPr>
        <w:t>Dor</w:t>
      </w:r>
      <w:proofErr w:type="spellEnd"/>
      <w:r>
        <w:rPr>
          <w:i/>
          <w:iCs/>
        </w:rPr>
        <w:t xml:space="preserve"> U-</w:t>
      </w:r>
      <w:proofErr w:type="spellStart"/>
      <w:r>
        <w:rPr>
          <w:i/>
          <w:iCs/>
        </w:rPr>
        <w:t>parshanav</w:t>
      </w:r>
      <w:proofErr w:type="spellEnd"/>
      <w:r>
        <w:rPr>
          <w:i/>
          <w:iCs/>
        </w:rPr>
        <w:t>: Collected Studies in Biblical Exegesis</w:t>
      </w:r>
      <w:r>
        <w:t xml:space="preserve"> (in Hebrew) (Jerusalem:</w:t>
      </w:r>
      <w:r w:rsidR="00226C7B">
        <w:t xml:space="preserve"> </w:t>
      </w:r>
      <w:proofErr w:type="spellStart"/>
      <w:r w:rsidR="00226C7B">
        <w:t>Mosad</w:t>
      </w:r>
      <w:proofErr w:type="spellEnd"/>
      <w:r w:rsidR="00226C7B">
        <w:t xml:space="preserve"> Bialik,</w:t>
      </w:r>
      <w:r>
        <w:t xml:space="preserve"> 2008), pp. 266-375; Y. Priel, </w:t>
      </w:r>
      <w:r>
        <w:rPr>
          <w:i/>
          <w:iCs/>
        </w:rPr>
        <w:t xml:space="preserve">Halev </w:t>
      </w:r>
      <w:proofErr w:type="spellStart"/>
      <w:r>
        <w:rPr>
          <w:i/>
          <w:iCs/>
        </w:rPr>
        <w:t>Yodea</w:t>
      </w:r>
      <w:proofErr w:type="spellEnd"/>
      <w:r>
        <w:rPr>
          <w:i/>
          <w:iCs/>
        </w:rPr>
        <w:t xml:space="preserve">: The Commentary by </w:t>
      </w:r>
      <w:proofErr w:type="spellStart"/>
      <w:r w:rsidRPr="00BF7F4D">
        <w:rPr>
          <w:i/>
          <w:iCs/>
        </w:rPr>
        <w:t>Hizquni</w:t>
      </w:r>
      <w:proofErr w:type="spellEnd"/>
      <w:r>
        <w:rPr>
          <w:i/>
          <w:iCs/>
        </w:rPr>
        <w:t xml:space="preserve"> on the Torah: Between Rational Interpretation and Emotional Interpretation </w:t>
      </w:r>
      <w:r>
        <w:t xml:space="preserve">(in Hebrew) (Alon Shvut: </w:t>
      </w:r>
      <w:proofErr w:type="spellStart"/>
      <w:r w:rsidR="00095EAE">
        <w:t>Tvunot</w:t>
      </w:r>
      <w:proofErr w:type="spellEnd"/>
      <w:r w:rsidR="00095EAE">
        <w:t xml:space="preserve">, </w:t>
      </w:r>
      <w:r>
        <w:t>2022), pp. 93-115.</w:t>
      </w:r>
    </w:p>
  </w:footnote>
  <w:footnote w:id="19">
    <w:p w14:paraId="507E6F02" w14:textId="63D10186" w:rsidR="001F634F" w:rsidRPr="001F634F" w:rsidRDefault="001F634F">
      <w:pPr>
        <w:pStyle w:val="FootnoteText"/>
      </w:pPr>
      <w:r>
        <w:rPr>
          <w:rStyle w:val="FootnoteReference"/>
        </w:rPr>
        <w:footnoteRef/>
      </w:r>
      <w:r>
        <w:t xml:space="preserve"> N. Porges, ‘R. Samuel b. Meir </w:t>
      </w:r>
      <w:proofErr w:type="spellStart"/>
      <w:r>
        <w:t>als</w:t>
      </w:r>
      <w:proofErr w:type="spellEnd"/>
      <w:r>
        <w:t xml:space="preserve"> </w:t>
      </w:r>
      <w:proofErr w:type="spellStart"/>
      <w:r>
        <w:t>Exeget</w:t>
      </w:r>
      <w:proofErr w:type="spellEnd"/>
      <w:r>
        <w:t xml:space="preserve">, und die </w:t>
      </w:r>
      <w:proofErr w:type="spellStart"/>
      <w:r>
        <w:t>erste</w:t>
      </w:r>
      <w:proofErr w:type="spellEnd"/>
      <w:r>
        <w:t xml:space="preserve"> </w:t>
      </w:r>
      <w:proofErr w:type="spellStart"/>
      <w:r>
        <w:t>kritische</w:t>
      </w:r>
      <w:proofErr w:type="spellEnd"/>
      <w:r>
        <w:t xml:space="preserve"> </w:t>
      </w:r>
      <w:proofErr w:type="spellStart"/>
      <w:r>
        <w:t>Ausgabe</w:t>
      </w:r>
      <w:proofErr w:type="spellEnd"/>
      <w:r>
        <w:t xml:space="preserve"> seines Pentateuch </w:t>
      </w:r>
      <w:proofErr w:type="spellStart"/>
      <w:r>
        <w:t>Commentars</w:t>
      </w:r>
      <w:proofErr w:type="spellEnd"/>
      <w:r>
        <w:t>’,</w:t>
      </w:r>
      <w:r>
        <w:rPr>
          <w:i/>
          <w:iCs/>
        </w:rPr>
        <w:t xml:space="preserve"> </w:t>
      </w:r>
      <w:proofErr w:type="spellStart"/>
      <w:r>
        <w:rPr>
          <w:i/>
          <w:iCs/>
        </w:rPr>
        <w:t>MGWJ</w:t>
      </w:r>
      <w:proofErr w:type="spellEnd"/>
      <w:r>
        <w:t xml:space="preserve"> 32 (1883), pp. 221-227.</w:t>
      </w:r>
    </w:p>
  </w:footnote>
  <w:footnote w:id="20">
    <w:p w14:paraId="74B9C397" w14:textId="78A002A9" w:rsidR="00676982" w:rsidRPr="00676982" w:rsidRDefault="00676982">
      <w:pPr>
        <w:pStyle w:val="FootnoteText"/>
      </w:pPr>
      <w:r>
        <w:rPr>
          <w:rStyle w:val="FootnoteReference"/>
        </w:rPr>
        <w:footnoteRef/>
      </w:r>
      <w:r>
        <w:t xml:space="preserve"> I. Kislev, ‘</w:t>
      </w:r>
      <w:proofErr w:type="spellStart"/>
      <w:r>
        <w:t>Hizkuni’s</w:t>
      </w:r>
      <w:proofErr w:type="spellEnd"/>
      <w:r>
        <w:t xml:space="preserve"> Commentary as a Textual Witness for </w:t>
      </w:r>
      <w:proofErr w:type="spellStart"/>
      <w:r>
        <w:t>Rashbam’s</w:t>
      </w:r>
      <w:proofErr w:type="spellEnd"/>
      <w:r>
        <w:t xml:space="preserve"> Torah Commentary’, in M. Bar-Asher, D. Rom-</w:t>
      </w:r>
      <w:proofErr w:type="spellStart"/>
      <w:r>
        <w:t>Shiloni</w:t>
      </w:r>
      <w:proofErr w:type="spellEnd"/>
      <w:r>
        <w:t>, E.</w:t>
      </w:r>
      <w:r w:rsidR="007443D7">
        <w:t xml:space="preserve"> </w:t>
      </w:r>
      <w:r>
        <w:t xml:space="preserve">Tov, and N. </w:t>
      </w:r>
      <w:proofErr w:type="spellStart"/>
      <w:r>
        <w:t>Vazana</w:t>
      </w:r>
      <w:proofErr w:type="spellEnd"/>
      <w:r>
        <w:t xml:space="preserve"> (eds), </w:t>
      </w:r>
      <w:r>
        <w:rPr>
          <w:i/>
          <w:iCs/>
        </w:rPr>
        <w:t>Shai le-Sara Japhet, Studies in the Bible, its Exegesis and its Language</w:t>
      </w:r>
      <w:r>
        <w:t xml:space="preserve"> (Jerusalem: </w:t>
      </w:r>
      <w:proofErr w:type="spellStart"/>
      <w:r w:rsidR="00095EAE">
        <w:t>Mosad</w:t>
      </w:r>
      <w:proofErr w:type="spellEnd"/>
      <w:r w:rsidR="00095EAE">
        <w:t xml:space="preserve"> </w:t>
      </w:r>
      <w:r>
        <w:t xml:space="preserve">Bialik, 2007), pp. 173-193. At the end of his article (pp. 188-192) he proposed a reconstruction of two ‘new’ commentaries that </w:t>
      </w:r>
      <w:proofErr w:type="spellStart"/>
      <w:r>
        <w:t>Rashbam</w:t>
      </w:r>
      <w:proofErr w:type="spellEnd"/>
      <w:r>
        <w:t xml:space="preserve"> had referenced in the commentary we have today.</w:t>
      </w:r>
    </w:p>
  </w:footnote>
  <w:footnote w:id="21">
    <w:p w14:paraId="3E90CE60" w14:textId="2BB00119" w:rsidR="00676982" w:rsidRPr="00676982" w:rsidRDefault="00676982">
      <w:pPr>
        <w:pStyle w:val="FootnoteText"/>
      </w:pPr>
      <w:r>
        <w:rPr>
          <w:rStyle w:val="FootnoteReference"/>
        </w:rPr>
        <w:footnoteRef/>
      </w:r>
      <w:r>
        <w:t xml:space="preserve"> </w:t>
      </w:r>
      <w:r w:rsidR="00AD3A72">
        <w:t xml:space="preserve">H. </w:t>
      </w:r>
      <w:proofErr w:type="spellStart"/>
      <w:r w:rsidR="00AD3A72">
        <w:t>Novitzky</w:t>
      </w:r>
      <w:proofErr w:type="spellEnd"/>
      <w:r w:rsidR="00AD3A72">
        <w:t xml:space="preserve">, ‘A reconstruction of </w:t>
      </w:r>
      <w:proofErr w:type="spellStart"/>
      <w:r w:rsidR="00AD3A72">
        <w:t>Rashbam’s</w:t>
      </w:r>
      <w:proofErr w:type="spellEnd"/>
      <w:r w:rsidR="00AD3A72">
        <w:t xml:space="preserve"> lost commentary on </w:t>
      </w:r>
      <w:proofErr w:type="spellStart"/>
      <w:r w:rsidR="00AD3A72">
        <w:t>Bereshit</w:t>
      </w:r>
      <w:proofErr w:type="spellEnd"/>
      <w:r w:rsidR="00AD3A72">
        <w:t xml:space="preserve"> 1-17’, PhD </w:t>
      </w:r>
      <w:r w:rsidR="00564012">
        <w:t>dissertation</w:t>
      </w:r>
      <w:r w:rsidR="00AD3A72">
        <w:t xml:space="preserve"> (Haifa</w:t>
      </w:r>
      <w:r w:rsidR="00095EAE">
        <w:t>: Haifa</w:t>
      </w:r>
      <w:r w:rsidR="00AD3A72">
        <w:t xml:space="preserve"> University, 2010), pp. 325-345.</w:t>
      </w:r>
    </w:p>
  </w:footnote>
  <w:footnote w:id="22">
    <w:p w14:paraId="4CB5D835" w14:textId="4B9B03F5" w:rsidR="00AD3A72" w:rsidRPr="00AD3A72" w:rsidRDefault="00AD3A72">
      <w:pPr>
        <w:pStyle w:val="FootnoteText"/>
      </w:pPr>
      <w:r>
        <w:rPr>
          <w:rStyle w:val="FootnoteReference"/>
        </w:rPr>
        <w:footnoteRef/>
      </w:r>
      <w:r>
        <w:t xml:space="preserve"> </w:t>
      </w:r>
      <w:r w:rsidR="00C92F1D">
        <w:t xml:space="preserve">The first example compares the </w:t>
      </w:r>
      <w:proofErr w:type="spellStart"/>
      <w:r w:rsidR="00C92F1D">
        <w:t>Hizkuni’s</w:t>
      </w:r>
      <w:proofErr w:type="spellEnd"/>
      <w:r w:rsidR="00C92F1D">
        <w:t xml:space="preserve"> commentary on Ex. 12:27 to </w:t>
      </w:r>
      <w:r w:rsidR="00DF0286">
        <w:t>Kara</w:t>
      </w:r>
      <w:r w:rsidR="00C92F1D">
        <w:t xml:space="preserve">’s commentary on Ex. 12:26. This comparison shows that the content of the question that the exegetes asked is similar, and the answer can be completed using </w:t>
      </w:r>
      <w:proofErr w:type="spellStart"/>
      <w:r w:rsidR="00C92F1D">
        <w:t>Hizkuni’s</w:t>
      </w:r>
      <w:proofErr w:type="spellEnd"/>
      <w:r w:rsidR="00C92F1D">
        <w:t xml:space="preserve"> extant one. The second example compares </w:t>
      </w:r>
      <w:proofErr w:type="spellStart"/>
      <w:r w:rsidR="00C92F1D">
        <w:t>Hizkuni’s</w:t>
      </w:r>
      <w:proofErr w:type="spellEnd"/>
      <w:r w:rsidR="00C92F1D">
        <w:t xml:space="preserve"> commentary on Lev. 17:4 to </w:t>
      </w:r>
      <w:r w:rsidR="00BF40AA">
        <w:t>Kara</w:t>
      </w:r>
      <w:r w:rsidR="00C92F1D">
        <w:t xml:space="preserve">’s commentary on Deut. 12:15-16. In this case, I see a similarity between the two, but I don’t see how </w:t>
      </w:r>
      <w:proofErr w:type="spellStart"/>
      <w:r w:rsidR="00C92F1D">
        <w:t>Hizkuni’s</w:t>
      </w:r>
      <w:proofErr w:type="spellEnd"/>
      <w:r w:rsidR="00C92F1D">
        <w:t xml:space="preserve"> extant commentary can complete the gap found in </w:t>
      </w:r>
      <w:r w:rsidR="00DF0286">
        <w:t>Kara</w:t>
      </w:r>
      <w:r w:rsidR="00C92F1D">
        <w:t>.</w:t>
      </w:r>
    </w:p>
  </w:footnote>
  <w:footnote w:id="23">
    <w:p w14:paraId="6B1A45D1" w14:textId="05650846" w:rsidR="004B535E" w:rsidRPr="00246DF6" w:rsidRDefault="004B535E" w:rsidP="00246DF6">
      <w:pPr>
        <w:pStyle w:val="FootnoteText"/>
        <w:rPr>
          <w:rtl/>
        </w:rPr>
      </w:pPr>
      <w:r>
        <w:rPr>
          <w:rStyle w:val="FootnoteReference"/>
        </w:rPr>
        <w:footnoteRef/>
      </w:r>
      <w:r>
        <w:t xml:space="preserve"> </w:t>
      </w:r>
      <w:r w:rsidR="0024698B">
        <w:t xml:space="preserve">On this phenomenon characterizing the medieval </w:t>
      </w:r>
      <w:proofErr w:type="spellStart"/>
      <w:r w:rsidR="0024698B">
        <w:rPr>
          <w:i/>
          <w:iCs/>
        </w:rPr>
        <w:t>peshat</w:t>
      </w:r>
      <w:proofErr w:type="spellEnd"/>
      <w:r w:rsidR="0024698B">
        <w:t xml:space="preserve"> exegetes see S. Kamin, </w:t>
      </w:r>
      <w:r w:rsidR="0024698B">
        <w:rPr>
          <w:i/>
          <w:iCs/>
        </w:rPr>
        <w:t>Jews and Christians Interpret the Bible</w:t>
      </w:r>
      <w:r w:rsidR="0024698B">
        <w:t xml:space="preserve"> </w:t>
      </w:r>
      <w:r w:rsidR="00095EAE">
        <w:t xml:space="preserve">(in Hebrew) </w:t>
      </w:r>
      <w:r w:rsidR="0024698B">
        <w:t>(Jerusalem</w:t>
      </w:r>
      <w:r w:rsidR="00095EAE">
        <w:t>: Magnes,</w:t>
      </w:r>
      <w:r w:rsidR="0024698B">
        <w:t xml:space="preserve"> 2008), p. xiv. On the anticipatory principle in </w:t>
      </w:r>
      <w:r w:rsidR="00C61D96">
        <w:t>Kara</w:t>
      </w:r>
      <w:r w:rsidR="0024698B">
        <w:t>’s writings see J. Jacobs, ‘The “</w:t>
      </w:r>
      <w:r w:rsidR="00147847" w:rsidRPr="00CC5762">
        <w:t xml:space="preserve">Anticipatory </w:t>
      </w:r>
      <w:r w:rsidR="0024698B" w:rsidRPr="00CC5762">
        <w:t>Principle</w:t>
      </w:r>
      <w:r w:rsidR="0024698B">
        <w:t xml:space="preserve">” in </w:t>
      </w:r>
      <w:proofErr w:type="spellStart"/>
      <w:r w:rsidR="0024698B">
        <w:t>Rashbam’s</w:t>
      </w:r>
      <w:proofErr w:type="spellEnd"/>
      <w:r w:rsidR="0024698B">
        <w:t xml:space="preserve"> Commentary on the Torah</w:t>
      </w:r>
      <w:r w:rsidR="00246DF6">
        <w:t>’</w:t>
      </w:r>
      <w:r w:rsidR="0024698B">
        <w:t xml:space="preserve">, in S. </w:t>
      </w:r>
      <w:proofErr w:type="spellStart"/>
      <w:r w:rsidR="0024698B">
        <w:t>Vargon</w:t>
      </w:r>
      <w:proofErr w:type="spellEnd"/>
      <w:r w:rsidR="0024698B">
        <w:t xml:space="preserve">, A. Frisch, and M. </w:t>
      </w:r>
      <w:proofErr w:type="spellStart"/>
      <w:r w:rsidR="0024698B">
        <w:t>Rachimi</w:t>
      </w:r>
      <w:proofErr w:type="spellEnd"/>
      <w:r w:rsidR="0024698B">
        <w:t xml:space="preserve"> (eds.), </w:t>
      </w:r>
      <w:r w:rsidR="0024698B">
        <w:rPr>
          <w:i/>
          <w:iCs/>
        </w:rPr>
        <w:t>Studies in Bible and Exegesis, Vol. 8, Presented to Elazar Touitou</w:t>
      </w:r>
      <w:r w:rsidR="00246DF6">
        <w:t xml:space="preserve"> (in Hebrew), submitted for publication; and additional bibliography on p. 451 n. 1. On the anticipatory principle in </w:t>
      </w:r>
      <w:proofErr w:type="spellStart"/>
      <w:r w:rsidR="004A2CE2">
        <w:t>Ribash</w:t>
      </w:r>
      <w:r w:rsidR="00246DF6">
        <w:t>’s</w:t>
      </w:r>
      <w:proofErr w:type="spellEnd"/>
      <w:r w:rsidR="00246DF6">
        <w:t xml:space="preserve"> writings see Jacobs, </w:t>
      </w:r>
      <w:proofErr w:type="spellStart"/>
      <w:r w:rsidR="00246DF6">
        <w:rPr>
          <w:i/>
          <w:iCs/>
        </w:rPr>
        <w:t>Bekhor</w:t>
      </w:r>
      <w:proofErr w:type="spellEnd"/>
      <w:r w:rsidR="00246DF6">
        <w:rPr>
          <w:i/>
          <w:iCs/>
        </w:rPr>
        <w:t xml:space="preserve"> Shoro</w:t>
      </w:r>
      <w:r w:rsidR="00246DF6">
        <w:t xml:space="preserve">, pp. 141-161. On the anticipatory principle in R. Eliezer of </w:t>
      </w:r>
      <w:proofErr w:type="spellStart"/>
      <w:r w:rsidR="00246DF6" w:rsidRPr="00246DF6">
        <w:t>Beaugency</w:t>
      </w:r>
      <w:proofErr w:type="spellEnd"/>
      <w:r w:rsidR="00246DF6">
        <w:t xml:space="preserve"> see R.A. Harris, ‘The Literary Herm</w:t>
      </w:r>
      <w:r w:rsidR="0098357A">
        <w:t>e</w:t>
      </w:r>
      <w:r w:rsidR="00246DF6">
        <w:t xml:space="preserve">neutic of Rabbi Eliezer of </w:t>
      </w:r>
      <w:proofErr w:type="spellStart"/>
      <w:r w:rsidR="00246DF6">
        <w:t>Beaugency</w:t>
      </w:r>
      <w:proofErr w:type="spellEnd"/>
      <w:r w:rsidR="00246DF6">
        <w:t>’, PhD dissertation (</w:t>
      </w:r>
      <w:r w:rsidR="00095EAE">
        <w:t xml:space="preserve">New York: </w:t>
      </w:r>
      <w:r w:rsidR="00246DF6">
        <w:t xml:space="preserve">Jewish Theological Seminary, 1997), pp. 172-186. On the introductions in the commentary on Chronicles attributed to Rashi see Viezel, </w:t>
      </w:r>
      <w:r w:rsidR="00246DF6">
        <w:rPr>
          <w:i/>
          <w:iCs/>
        </w:rPr>
        <w:t>Commentary on Chronicles</w:t>
      </w:r>
      <w:r w:rsidR="00246DF6">
        <w:t>, pp. 214-216.</w:t>
      </w:r>
    </w:p>
  </w:footnote>
  <w:footnote w:id="24">
    <w:p w14:paraId="7E821BEE" w14:textId="6925CD1E" w:rsidR="006F66C3" w:rsidRPr="00246DF6" w:rsidRDefault="006F66C3">
      <w:pPr>
        <w:pStyle w:val="FootnoteText"/>
      </w:pPr>
      <w:r>
        <w:rPr>
          <w:rStyle w:val="FootnoteReference"/>
        </w:rPr>
        <w:footnoteRef/>
      </w:r>
      <w:r>
        <w:t xml:space="preserve"> </w:t>
      </w:r>
      <w:r w:rsidR="00246DF6">
        <w:t>On this terminology see Jacobs, ‘</w:t>
      </w:r>
      <w:proofErr w:type="spellStart"/>
      <w:r w:rsidR="00246DF6" w:rsidRPr="00246DF6">
        <w:t>Rashbam’s</w:t>
      </w:r>
      <w:proofErr w:type="spellEnd"/>
      <w:r w:rsidR="00246DF6" w:rsidRPr="00246DF6">
        <w:t xml:space="preserve"> Commentary</w:t>
      </w:r>
      <w:r w:rsidR="00246DF6">
        <w:t>’, p. 452 and ns. 3-4.</w:t>
      </w:r>
    </w:p>
  </w:footnote>
  <w:footnote w:id="25">
    <w:p w14:paraId="5EBB59E0" w14:textId="38BC3AF5" w:rsidR="0024698B" w:rsidRPr="001E5B2E" w:rsidRDefault="0024698B">
      <w:pPr>
        <w:pStyle w:val="FootnoteText"/>
        <w:rPr>
          <w:rtl/>
        </w:rPr>
      </w:pPr>
      <w:r>
        <w:rPr>
          <w:rStyle w:val="FootnoteReference"/>
        </w:rPr>
        <w:footnoteRef/>
      </w:r>
      <w:r>
        <w:t xml:space="preserve"> </w:t>
      </w:r>
      <w:proofErr w:type="spellStart"/>
      <w:r w:rsidR="00246DF6">
        <w:t>Rashbam</w:t>
      </w:r>
      <w:proofErr w:type="spellEnd"/>
      <w:r w:rsidR="00246DF6">
        <w:t xml:space="preserve"> mentions this example in his commentaries on Gen. 1:1; 24:1; 26:15; Ex. 2:23; 18:2. Rashi also mentions this </w:t>
      </w:r>
      <w:r w:rsidR="00BE3699">
        <w:t>explanation</w:t>
      </w:r>
      <w:r w:rsidR="00246DF6">
        <w:t xml:space="preserve"> (Gen. 9:18). However, Rashi’s commentary on the Torah does not develop or expand on this principle, and it seems that Rashi did not view this as a general principle used in the Torah. Rashi may have even learned this explanation</w:t>
      </w:r>
      <w:r w:rsidR="001E5B2E">
        <w:t xml:space="preserve"> on this verse from </w:t>
      </w:r>
      <w:proofErr w:type="spellStart"/>
      <w:r w:rsidR="001E5B2E">
        <w:t>Rashbam</w:t>
      </w:r>
      <w:proofErr w:type="spellEnd"/>
      <w:r w:rsidR="001E5B2E">
        <w:t xml:space="preserve">, his grandson. Touitou noted that Hugh of Saint Victor (twelfth century, Paris) also mentions this explanation on this verse. See E. Touitou, </w:t>
      </w:r>
      <w:r w:rsidR="001E5B2E">
        <w:rPr>
          <w:i/>
          <w:iCs/>
        </w:rPr>
        <w:t>Exegesis in Perpetual Motion – Studies in the Pentateuchal Commentary of Rabbi Samuel Ben Meir</w:t>
      </w:r>
      <w:r w:rsidR="001E5B2E">
        <w:t xml:space="preserve"> (in Hebrew) (Ramat Gan</w:t>
      </w:r>
      <w:r w:rsidR="00095EAE">
        <w:t>: Bar Ilan University</w:t>
      </w:r>
      <w:r w:rsidR="001E5B2E">
        <w:t>, 2003), p. 31.</w:t>
      </w:r>
    </w:p>
  </w:footnote>
  <w:footnote w:id="26">
    <w:p w14:paraId="1E5280E4" w14:textId="4680A0B5" w:rsidR="00EC38A3" w:rsidRPr="00380BDF" w:rsidRDefault="00EC38A3">
      <w:pPr>
        <w:pStyle w:val="FootnoteText"/>
      </w:pPr>
      <w:r>
        <w:rPr>
          <w:rStyle w:val="FootnoteReference"/>
        </w:rPr>
        <w:footnoteRef/>
      </w:r>
      <w:r>
        <w:t xml:space="preserve"> </w:t>
      </w:r>
      <w:r w:rsidR="00380BDF">
        <w:t xml:space="preserve">The question of which of these two exegetes first implemented the anticipatory principle will be discussed below. In any case, the following generations attributed the phenomenon to </w:t>
      </w:r>
      <w:proofErr w:type="spellStart"/>
      <w:r w:rsidR="00380BDF">
        <w:t>Rashbam</w:t>
      </w:r>
      <w:proofErr w:type="spellEnd"/>
      <w:r w:rsidR="00380BDF">
        <w:t xml:space="preserve">. See, for example </w:t>
      </w:r>
      <w:r w:rsidR="00380BDF">
        <w:rPr>
          <w:i/>
          <w:iCs/>
        </w:rPr>
        <w:t>Sefer Hagan</w:t>
      </w:r>
      <w:r w:rsidR="00380BDF">
        <w:t>, Gen. 48:12.</w:t>
      </w:r>
    </w:p>
  </w:footnote>
  <w:footnote w:id="27">
    <w:p w14:paraId="2AEA24ED" w14:textId="61B3A852" w:rsidR="002E75EC" w:rsidRPr="00380BDF" w:rsidRDefault="002E75EC" w:rsidP="002E75EC">
      <w:pPr>
        <w:pStyle w:val="FootnoteText"/>
      </w:pPr>
      <w:r>
        <w:rPr>
          <w:rStyle w:val="FootnoteReference"/>
        </w:rPr>
        <w:footnoteRef/>
      </w:r>
      <w:r>
        <w:t xml:space="preserve"> </w:t>
      </w:r>
      <w:r w:rsidR="00380BDF">
        <w:t xml:space="preserve">This is the place to note that the abovementioned exegetes broadened the </w:t>
      </w:r>
      <w:proofErr w:type="gramStart"/>
      <w:r w:rsidR="00380BDF">
        <w:t>principle</w:t>
      </w:r>
      <w:r w:rsidR="00B22C87">
        <w:t>,</w:t>
      </w:r>
      <w:r w:rsidR="00380BDF">
        <w:t xml:space="preserve"> and</w:t>
      </w:r>
      <w:proofErr w:type="gramEnd"/>
      <w:r w:rsidR="00380BDF">
        <w:t xml:space="preserve"> applied it in cases that do not fulfil all three conditions. See J. Jacobs, ‘Rabbi Joseph Kara as an Exegete of Biblical Narrative: Discovering the Phenomenon of Exposition’, </w:t>
      </w:r>
      <w:r w:rsidR="00380BDF">
        <w:rPr>
          <w:i/>
          <w:iCs/>
        </w:rPr>
        <w:t>JSQ</w:t>
      </w:r>
      <w:r w:rsidR="00380BDF">
        <w:t xml:space="preserve"> 19 (2012), pp. 73-89; Jacobs, ‘</w:t>
      </w:r>
      <w:proofErr w:type="spellStart"/>
      <w:r w:rsidR="00380BDF">
        <w:t>Rashbam’s</w:t>
      </w:r>
      <w:proofErr w:type="spellEnd"/>
      <w:r w:rsidR="00380BDF">
        <w:t xml:space="preserve"> Commentary’; Jacobs, </w:t>
      </w:r>
      <w:proofErr w:type="spellStart"/>
      <w:r w:rsidR="00380BDF">
        <w:rPr>
          <w:i/>
          <w:iCs/>
        </w:rPr>
        <w:t>Bekhor</w:t>
      </w:r>
      <w:proofErr w:type="spellEnd"/>
      <w:r w:rsidR="00380BDF">
        <w:rPr>
          <w:i/>
          <w:iCs/>
        </w:rPr>
        <w:t xml:space="preserve"> Shoro</w:t>
      </w:r>
      <w:r w:rsidR="00380BDF">
        <w:t>, pp. 153-161.</w:t>
      </w:r>
    </w:p>
  </w:footnote>
  <w:footnote w:id="28">
    <w:p w14:paraId="65493E4C" w14:textId="73DD4215" w:rsidR="004F6431" w:rsidRPr="004F6431" w:rsidRDefault="004F6431">
      <w:pPr>
        <w:pStyle w:val="FootnoteText"/>
      </w:pPr>
      <w:r>
        <w:rPr>
          <w:rStyle w:val="FootnoteReference"/>
        </w:rPr>
        <w:footnoteRef/>
      </w:r>
      <w:r>
        <w:t xml:space="preserve"> </w:t>
      </w:r>
      <w:r w:rsidR="00380BDF">
        <w:t>J. Jacobs, ‘The “</w:t>
      </w:r>
      <w:r w:rsidR="00147847" w:rsidRPr="00BF7F4D">
        <w:t>Anticipatory</w:t>
      </w:r>
      <w:r w:rsidR="00147847" w:rsidRPr="00096A4A">
        <w:t xml:space="preserve"> </w:t>
      </w:r>
      <w:r w:rsidR="00380BDF" w:rsidRPr="00BF7F4D">
        <w:t>Principle</w:t>
      </w:r>
      <w:r w:rsidR="00380BDF">
        <w:t xml:space="preserve">” in </w:t>
      </w:r>
      <w:proofErr w:type="spellStart"/>
      <w:r w:rsidR="00380BDF">
        <w:t>Hizkuni’s</w:t>
      </w:r>
      <w:proofErr w:type="spellEnd"/>
      <w:r w:rsidR="00380BDF">
        <w:t xml:space="preserve"> Commentary on the Torah’, submitted for publication.</w:t>
      </w:r>
    </w:p>
  </w:footnote>
  <w:footnote w:id="29">
    <w:p w14:paraId="4755A217" w14:textId="4F353CF3" w:rsidR="004F6431" w:rsidRPr="004F6431" w:rsidRDefault="004F6431">
      <w:pPr>
        <w:pStyle w:val="FootnoteText"/>
      </w:pPr>
      <w:r>
        <w:rPr>
          <w:rStyle w:val="FootnoteReference"/>
        </w:rPr>
        <w:footnoteRef/>
      </w:r>
      <w:r>
        <w:t xml:space="preserve"> </w:t>
      </w:r>
      <w:r w:rsidR="00380BDF">
        <w:t xml:space="preserve">Gen. 19:15; 24:42; </w:t>
      </w:r>
      <w:r w:rsidR="00174ECA">
        <w:t>24:59; 25:27 (twice); 26:35 (twice); 28:5; 35:22; 37:2; Ex. 2:5; 2:23; 9:32; 10:3; 13:18; 17:10; Lev. 13:2; Num. 13:22; Deut. 1:4.</w:t>
      </w:r>
    </w:p>
  </w:footnote>
  <w:footnote w:id="30">
    <w:p w14:paraId="4BA72EFC" w14:textId="20FB8DC7" w:rsidR="00F14A66" w:rsidRPr="00174ECA" w:rsidRDefault="00F14A66">
      <w:pPr>
        <w:pStyle w:val="FootnoteText"/>
      </w:pPr>
      <w:r>
        <w:rPr>
          <w:rStyle w:val="FootnoteReference"/>
        </w:rPr>
        <w:footnoteRef/>
      </w:r>
      <w:r>
        <w:t xml:space="preserve"> </w:t>
      </w:r>
      <w:r w:rsidR="00174ECA">
        <w:t xml:space="preserve">On the use of consistent terms in commentaries related to the anticipatory principle in </w:t>
      </w:r>
      <w:r w:rsidR="0098357A">
        <w:t xml:space="preserve">Kara </w:t>
      </w:r>
      <w:r w:rsidR="00174ECA">
        <w:t xml:space="preserve">see Brin, </w:t>
      </w:r>
      <w:r w:rsidR="00174ECA">
        <w:rPr>
          <w:i/>
          <w:iCs/>
        </w:rPr>
        <w:t>Studies</w:t>
      </w:r>
      <w:r w:rsidR="00174ECA">
        <w:t xml:space="preserve">, pp. 86-89; and in </w:t>
      </w:r>
      <w:proofErr w:type="spellStart"/>
      <w:r w:rsidR="00174ECA">
        <w:t>Rashbam</w:t>
      </w:r>
      <w:proofErr w:type="spellEnd"/>
      <w:r w:rsidR="00174ECA">
        <w:t xml:space="preserve"> see Jacobs, ‘</w:t>
      </w:r>
      <w:proofErr w:type="spellStart"/>
      <w:r w:rsidR="00174ECA">
        <w:t>Rashbam’s</w:t>
      </w:r>
      <w:proofErr w:type="spellEnd"/>
      <w:r w:rsidR="00174ECA">
        <w:t xml:space="preserve"> Commentary’, p. 459.</w:t>
      </w:r>
    </w:p>
  </w:footnote>
  <w:footnote w:id="31">
    <w:p w14:paraId="08F5CB57" w14:textId="4A98D45A" w:rsidR="00564012" w:rsidRPr="00564012" w:rsidRDefault="00564012">
      <w:pPr>
        <w:pStyle w:val="FootnoteText"/>
      </w:pPr>
      <w:r>
        <w:rPr>
          <w:rStyle w:val="FootnoteReference"/>
        </w:rPr>
        <w:footnoteRef/>
      </w:r>
      <w:r>
        <w:t xml:space="preserve"> </w:t>
      </w:r>
      <w:r w:rsidR="00841070">
        <w:t>Gen. 26:15; Ex. 9:32; 16:35; Jud. 4:11; 1Sam. 1:3; 1:9; 1Kgs. 11:29; 22:10; Job 1:4; Ruth 2:14; Est. 1:1.</w:t>
      </w:r>
    </w:p>
  </w:footnote>
  <w:footnote w:id="32">
    <w:p w14:paraId="67BC1FDC" w14:textId="23F55507" w:rsidR="00564012" w:rsidRPr="00841070" w:rsidRDefault="00564012">
      <w:pPr>
        <w:pStyle w:val="FootnoteText"/>
        <w:rPr>
          <w:i/>
          <w:iCs/>
        </w:rPr>
      </w:pPr>
      <w:r>
        <w:rPr>
          <w:rStyle w:val="FootnoteReference"/>
        </w:rPr>
        <w:footnoteRef/>
      </w:r>
      <w:r>
        <w:t xml:space="preserve"> </w:t>
      </w:r>
      <w:r w:rsidR="00841070">
        <w:t xml:space="preserve">Nor in the other commentaries that </w:t>
      </w:r>
      <w:proofErr w:type="spellStart"/>
      <w:r w:rsidR="00841070">
        <w:t>Hizkuni</w:t>
      </w:r>
      <w:proofErr w:type="spellEnd"/>
      <w:r w:rsidR="00841070">
        <w:t xml:space="preserve"> used, such as </w:t>
      </w:r>
      <w:r w:rsidR="00841070">
        <w:rPr>
          <w:i/>
          <w:iCs/>
        </w:rPr>
        <w:t>Sefer Hagan.</w:t>
      </w:r>
    </w:p>
  </w:footnote>
  <w:footnote w:id="33">
    <w:p w14:paraId="51EF918C" w14:textId="115A438E" w:rsidR="00013B69" w:rsidRPr="007413E7" w:rsidRDefault="00013B69">
      <w:pPr>
        <w:pStyle w:val="FootnoteText"/>
      </w:pPr>
      <w:r>
        <w:rPr>
          <w:rStyle w:val="FootnoteReference"/>
        </w:rPr>
        <w:footnoteRef/>
      </w:r>
      <w:r>
        <w:t xml:space="preserve"> </w:t>
      </w:r>
      <w:r w:rsidR="0098685D">
        <w:t>Kislev assumed</w:t>
      </w:r>
      <w:r w:rsidR="00581477">
        <w:t xml:space="preserve"> that it was obvious that</w:t>
      </w:r>
      <w:r w:rsidR="0098685D">
        <w:t xml:space="preserve"> </w:t>
      </w:r>
      <w:proofErr w:type="spellStart"/>
      <w:r w:rsidR="0098685D">
        <w:t>Hizkuni</w:t>
      </w:r>
      <w:proofErr w:type="spellEnd"/>
      <w:r w:rsidR="0098685D">
        <w:t xml:space="preserve"> </w:t>
      </w:r>
      <w:r w:rsidR="00581477">
        <w:t>was quoting</w:t>
      </w:r>
      <w:r w:rsidR="0098685D">
        <w:t xml:space="preserve"> </w:t>
      </w:r>
      <w:proofErr w:type="spellStart"/>
      <w:r w:rsidR="0098685D">
        <w:t>Rashbam</w:t>
      </w:r>
      <w:proofErr w:type="spellEnd"/>
      <w:r w:rsidR="0098685D">
        <w:t xml:space="preserve"> here, and wondered whether we could complete </w:t>
      </w:r>
      <w:proofErr w:type="spellStart"/>
      <w:r w:rsidR="0098685D">
        <w:t>Rashbam’s</w:t>
      </w:r>
      <w:proofErr w:type="spellEnd"/>
      <w:r w:rsidR="0098685D">
        <w:t xml:space="preserve"> fragmented commentary with what we have in </w:t>
      </w:r>
      <w:proofErr w:type="spellStart"/>
      <w:r w:rsidR="0098685D">
        <w:t>Hizkuni</w:t>
      </w:r>
      <w:proofErr w:type="spellEnd"/>
      <w:r w:rsidR="0098685D">
        <w:t xml:space="preserve">. See </w:t>
      </w:r>
      <w:r w:rsidR="007413E7">
        <w:t xml:space="preserve">I. Kislev, ‘The Contribution of MS Hamburg 52 for Improving the Text of </w:t>
      </w:r>
      <w:proofErr w:type="spellStart"/>
      <w:r w:rsidR="007413E7">
        <w:t>Rashbam’s</w:t>
      </w:r>
      <w:proofErr w:type="spellEnd"/>
      <w:r w:rsidR="007413E7">
        <w:t xml:space="preserve"> Torah Commentary’, </w:t>
      </w:r>
      <w:r w:rsidR="007413E7">
        <w:rPr>
          <w:i/>
          <w:iCs/>
        </w:rPr>
        <w:t>Alei Sefer</w:t>
      </w:r>
      <w:r w:rsidR="007413E7">
        <w:t xml:space="preserve"> 26-27 (2017), pp. 41-69.</w:t>
      </w:r>
    </w:p>
  </w:footnote>
  <w:footnote w:id="34">
    <w:p w14:paraId="205E1DD3" w14:textId="7136E37B" w:rsidR="003808B7" w:rsidRPr="00E030CD" w:rsidRDefault="003808B7">
      <w:pPr>
        <w:pStyle w:val="FootnoteText"/>
      </w:pPr>
      <w:r>
        <w:rPr>
          <w:rStyle w:val="FootnoteReference"/>
        </w:rPr>
        <w:footnoteRef/>
      </w:r>
      <w:r>
        <w:t xml:space="preserve"> </w:t>
      </w:r>
      <w:r w:rsidR="00E030CD">
        <w:t xml:space="preserve">The editor noted several other sources among the </w:t>
      </w:r>
      <w:proofErr w:type="spellStart"/>
      <w:r w:rsidR="00E030CD">
        <w:t>Tosafists</w:t>
      </w:r>
      <w:proofErr w:type="spellEnd"/>
      <w:r w:rsidR="00E030CD">
        <w:t xml:space="preserve">’ writings on the Torah that includes a similar explanation. See ben Yosi, </w:t>
      </w:r>
      <w:r w:rsidR="00E030CD">
        <w:rPr>
          <w:i/>
          <w:iCs/>
        </w:rPr>
        <w:t>Sefer Hagan</w:t>
      </w:r>
      <w:r w:rsidR="00E030CD">
        <w:t>, p. 172, n. 65.</w:t>
      </w:r>
    </w:p>
  </w:footnote>
  <w:footnote w:id="35">
    <w:p w14:paraId="705C1DB6" w14:textId="45A7242B" w:rsidR="003808B7" w:rsidRPr="003808B7" w:rsidRDefault="003808B7">
      <w:pPr>
        <w:pStyle w:val="FootnoteText"/>
      </w:pPr>
      <w:r>
        <w:rPr>
          <w:rStyle w:val="FootnoteReference"/>
        </w:rPr>
        <w:footnoteRef/>
      </w:r>
      <w:r>
        <w:t xml:space="preserve"> </w:t>
      </w:r>
      <w:r w:rsidR="00E030CD">
        <w:t xml:space="preserve">See </w:t>
      </w:r>
      <w:proofErr w:type="spellStart"/>
      <w:r w:rsidR="00E030CD">
        <w:t>Orlian</w:t>
      </w:r>
      <w:proofErr w:type="spellEnd"/>
      <w:r w:rsidR="00E030CD">
        <w:t>, ‘Introduction’, pp. 87-88.</w:t>
      </w:r>
    </w:p>
  </w:footnote>
  <w:footnote w:id="36">
    <w:p w14:paraId="40BF260A" w14:textId="0E02BC46" w:rsidR="003808B7" w:rsidRPr="00E030CD" w:rsidRDefault="003808B7">
      <w:pPr>
        <w:pStyle w:val="FootnoteText"/>
      </w:pPr>
      <w:r>
        <w:rPr>
          <w:rStyle w:val="FootnoteReference"/>
        </w:rPr>
        <w:footnoteRef/>
      </w:r>
      <w:r>
        <w:t xml:space="preserve"> </w:t>
      </w:r>
      <w:r w:rsidR="00E030CD">
        <w:t xml:space="preserve">On his attitude toward </w:t>
      </w:r>
      <w:r w:rsidR="00E030CD">
        <w:rPr>
          <w:i/>
          <w:iCs/>
        </w:rPr>
        <w:t>Sefer Hagan</w:t>
      </w:r>
      <w:r w:rsidR="00E030CD">
        <w:t xml:space="preserve"> see </w:t>
      </w:r>
      <w:proofErr w:type="spellStart"/>
      <w:r w:rsidR="00E030CD">
        <w:t>Orlian</w:t>
      </w:r>
      <w:proofErr w:type="spellEnd"/>
      <w:r w:rsidR="00E030CD">
        <w:t>, ‘Introduction’, pp. 37-38.</w:t>
      </w:r>
    </w:p>
  </w:footnote>
  <w:footnote w:id="37">
    <w:p w14:paraId="1A8351B0" w14:textId="681B584A" w:rsidR="000A6BA0" w:rsidRPr="000A6BA0" w:rsidRDefault="000A6BA0">
      <w:pPr>
        <w:pStyle w:val="FootnoteText"/>
      </w:pPr>
      <w:r>
        <w:rPr>
          <w:rStyle w:val="FootnoteReference"/>
        </w:rPr>
        <w:footnoteRef/>
      </w:r>
      <w:r>
        <w:t xml:space="preserve"> </w:t>
      </w:r>
      <w:proofErr w:type="spellStart"/>
      <w:r w:rsidR="004A2CE2">
        <w:t>Ribash</w:t>
      </w:r>
      <w:proofErr w:type="spellEnd"/>
      <w:r>
        <w:t xml:space="preserve"> also hinted at the anticipatory principle, see his gloss here. On the relationship between the commentaries of </w:t>
      </w:r>
      <w:proofErr w:type="spellStart"/>
      <w:r>
        <w:t>Rashbam</w:t>
      </w:r>
      <w:proofErr w:type="spellEnd"/>
      <w:r>
        <w:t xml:space="preserve"> and </w:t>
      </w:r>
      <w:proofErr w:type="spellStart"/>
      <w:r>
        <w:t>Ri</w:t>
      </w:r>
      <w:r w:rsidR="00661BFF">
        <w:t>b</w:t>
      </w:r>
      <w:r>
        <w:t>ash</w:t>
      </w:r>
      <w:proofErr w:type="spellEnd"/>
      <w:r>
        <w:t xml:space="preserve"> on this verse see Jacobs, </w:t>
      </w:r>
      <w:proofErr w:type="spellStart"/>
      <w:r>
        <w:rPr>
          <w:i/>
          <w:iCs/>
        </w:rPr>
        <w:t>Bekhor</w:t>
      </w:r>
      <w:proofErr w:type="spellEnd"/>
      <w:r>
        <w:rPr>
          <w:i/>
          <w:iCs/>
        </w:rPr>
        <w:t xml:space="preserve"> Shoro</w:t>
      </w:r>
      <w:r>
        <w:t>, p. 149.</w:t>
      </w:r>
    </w:p>
  </w:footnote>
  <w:footnote w:id="38">
    <w:p w14:paraId="4DEFF08C" w14:textId="2F9B27F1" w:rsidR="00A57DC9" w:rsidRPr="008B4952" w:rsidRDefault="00A57DC9">
      <w:pPr>
        <w:pStyle w:val="FootnoteText"/>
      </w:pPr>
      <w:r>
        <w:rPr>
          <w:rStyle w:val="FootnoteReference"/>
        </w:rPr>
        <w:footnoteRef/>
      </w:r>
      <w:r>
        <w:t xml:space="preserve"> Another example where </w:t>
      </w:r>
      <w:proofErr w:type="spellStart"/>
      <w:r>
        <w:t>Hizkuni</w:t>
      </w:r>
      <w:proofErr w:type="spellEnd"/>
      <w:r>
        <w:t xml:space="preserve"> quoted two exegetes is discussed in Kislev, ‘</w:t>
      </w:r>
      <w:proofErr w:type="spellStart"/>
      <w:r>
        <w:t>Hizkuni’s</w:t>
      </w:r>
      <w:proofErr w:type="spellEnd"/>
      <w:r>
        <w:t xml:space="preserve"> Commentary’, pp. 184-185. See also example 13, below. The section (until the words ‘because they are late crops’) is found in fragments in the Pieve di Cento 1 manuscript (which is one of the European </w:t>
      </w:r>
      <w:proofErr w:type="spellStart"/>
      <w:r>
        <w:rPr>
          <w:i/>
          <w:iCs/>
        </w:rPr>
        <w:t>geniza</w:t>
      </w:r>
      <w:proofErr w:type="spellEnd"/>
      <w:r>
        <w:t xml:space="preserve"> manuscripts mentioned above containing </w:t>
      </w:r>
      <w:r w:rsidR="004D2E11">
        <w:t>Kara</w:t>
      </w:r>
      <w:r>
        <w:t xml:space="preserve">’s commentary on the Torah). This, of course, supports the theory that </w:t>
      </w:r>
      <w:proofErr w:type="spellStart"/>
      <w:r>
        <w:t>Hizkuni</w:t>
      </w:r>
      <w:proofErr w:type="spellEnd"/>
      <w:r>
        <w:t xml:space="preserve"> took </w:t>
      </w:r>
      <w:r w:rsidR="008B4952">
        <w:t xml:space="preserve">it from </w:t>
      </w:r>
      <w:r w:rsidR="004D2E11">
        <w:t>Kara</w:t>
      </w:r>
      <w:r w:rsidR="008B4952">
        <w:t xml:space="preserve">’s lost commentary. For a description of this manuscript see </w:t>
      </w:r>
      <w:proofErr w:type="spellStart"/>
      <w:r w:rsidR="008B4952">
        <w:t>Perani</w:t>
      </w:r>
      <w:proofErr w:type="spellEnd"/>
      <w:r w:rsidR="008B4952">
        <w:t xml:space="preserve">, ‘Yosef ben </w:t>
      </w:r>
      <w:proofErr w:type="spellStart"/>
      <w:r w:rsidR="008B4952">
        <w:t>Sim’on</w:t>
      </w:r>
      <w:proofErr w:type="spellEnd"/>
      <w:r w:rsidR="008B4952">
        <w:t xml:space="preserve"> Kara’, p. 400. The </w:t>
      </w:r>
      <w:r w:rsidR="008B4952">
        <w:rPr>
          <w:i/>
          <w:iCs/>
        </w:rPr>
        <w:t xml:space="preserve">‘Al </w:t>
      </w:r>
      <w:proofErr w:type="spellStart"/>
      <w:r w:rsidR="008B4952">
        <w:rPr>
          <w:i/>
          <w:iCs/>
        </w:rPr>
        <w:t>Hatorah</w:t>
      </w:r>
      <w:proofErr w:type="spellEnd"/>
      <w:r w:rsidR="008B4952">
        <w:t xml:space="preserve"> edition completed the missing sections in the manuscript with </w:t>
      </w:r>
      <w:proofErr w:type="spellStart"/>
      <w:r w:rsidR="008B4952">
        <w:t>Hizkuni’s</w:t>
      </w:r>
      <w:proofErr w:type="spellEnd"/>
      <w:r w:rsidR="008B4952">
        <w:t xml:space="preserve"> gloss.</w:t>
      </w:r>
    </w:p>
  </w:footnote>
  <w:footnote w:id="39">
    <w:p w14:paraId="12005158" w14:textId="0C0E224A" w:rsidR="008B64C5" w:rsidRPr="008B64C5" w:rsidRDefault="008B64C5">
      <w:pPr>
        <w:pStyle w:val="FootnoteText"/>
      </w:pPr>
      <w:r>
        <w:rPr>
          <w:rStyle w:val="FootnoteReference"/>
        </w:rPr>
        <w:footnoteRef/>
      </w:r>
      <w:r>
        <w:t xml:space="preserve"> ‘</w:t>
      </w:r>
      <w:proofErr w:type="spellStart"/>
      <w:r>
        <w:rPr>
          <w:i/>
          <w:iCs/>
        </w:rPr>
        <w:t>Perush</w:t>
      </w:r>
      <w:proofErr w:type="spellEnd"/>
      <w:r>
        <w:rPr>
          <w:i/>
          <w:iCs/>
        </w:rPr>
        <w:t xml:space="preserve"> me-</w:t>
      </w:r>
      <w:proofErr w:type="spellStart"/>
      <w:r>
        <w:rPr>
          <w:i/>
          <w:iCs/>
        </w:rPr>
        <w:t>Hokhmei</w:t>
      </w:r>
      <w:proofErr w:type="spellEnd"/>
      <w:r>
        <w:rPr>
          <w:i/>
          <w:iCs/>
        </w:rPr>
        <w:t xml:space="preserve"> </w:t>
      </w:r>
      <w:proofErr w:type="spellStart"/>
      <w:r>
        <w:rPr>
          <w:i/>
          <w:iCs/>
        </w:rPr>
        <w:t>Tzarefat</w:t>
      </w:r>
      <w:proofErr w:type="spellEnd"/>
      <w:r>
        <w:t xml:space="preserve">’ is an anonymous commentary (Berlin MS 121) on Deut. 1-4 (found in the </w:t>
      </w:r>
      <w:r>
        <w:rPr>
          <w:i/>
          <w:iCs/>
        </w:rPr>
        <w:t xml:space="preserve">‘Al </w:t>
      </w:r>
      <w:proofErr w:type="spellStart"/>
      <w:r>
        <w:rPr>
          <w:i/>
          <w:iCs/>
        </w:rPr>
        <w:t>Hatorah</w:t>
      </w:r>
      <w:proofErr w:type="spellEnd"/>
      <w:r>
        <w:rPr>
          <w:i/>
          <w:iCs/>
        </w:rPr>
        <w:t xml:space="preserve"> </w:t>
      </w:r>
      <w:r>
        <w:t xml:space="preserve">edition) that wrote something very similar, see there. I don’t know whether </w:t>
      </w:r>
      <w:proofErr w:type="spellStart"/>
      <w:r>
        <w:t>Hizkuni</w:t>
      </w:r>
      <w:proofErr w:type="spellEnd"/>
      <w:r>
        <w:t xml:space="preserve"> had access to this commentary, whether </w:t>
      </w:r>
      <w:r w:rsidR="00A62752">
        <w:t>its author</w:t>
      </w:r>
      <w:r>
        <w:t xml:space="preserve"> drew the idea from </w:t>
      </w:r>
      <w:proofErr w:type="spellStart"/>
      <w:r>
        <w:t>Hizkuni</w:t>
      </w:r>
      <w:proofErr w:type="spellEnd"/>
      <w:r>
        <w:t xml:space="preserve">, or perhaps the common source they both used was </w:t>
      </w:r>
      <w:r w:rsidR="004D2E11">
        <w:t>Kara</w:t>
      </w:r>
      <w:r>
        <w:t>’s commentary.</w:t>
      </w:r>
    </w:p>
  </w:footnote>
  <w:footnote w:id="40">
    <w:p w14:paraId="2B7D9114" w14:textId="4ADB38C9" w:rsidR="00A25722" w:rsidRPr="00A25722" w:rsidRDefault="00A25722">
      <w:pPr>
        <w:pStyle w:val="FootnoteText"/>
      </w:pPr>
      <w:r>
        <w:rPr>
          <w:rStyle w:val="FootnoteReference"/>
        </w:rPr>
        <w:footnoteRef/>
      </w:r>
      <w:r>
        <w:t xml:space="preserve"> Ex. 9:32; 17:10; Jud. 13:19; 1Kgs. 11:29; 22:10; Est. 1:1.</w:t>
      </w:r>
    </w:p>
  </w:footnote>
  <w:footnote w:id="41">
    <w:p w14:paraId="61538BD0" w14:textId="0BB89909" w:rsidR="00A25722" w:rsidRPr="00A25722" w:rsidRDefault="00A25722">
      <w:pPr>
        <w:pStyle w:val="FootnoteText"/>
      </w:pPr>
      <w:r>
        <w:rPr>
          <w:rStyle w:val="FootnoteReference"/>
        </w:rPr>
        <w:footnoteRef/>
      </w:r>
      <w:r>
        <w:t xml:space="preserve"> </w:t>
      </w:r>
      <w:proofErr w:type="spellStart"/>
      <w:r>
        <w:t>Rashbam</w:t>
      </w:r>
      <w:proofErr w:type="spellEnd"/>
      <w:r>
        <w:t xml:space="preserve">: Gen. 26:35, see example 3 above; </w:t>
      </w:r>
      <w:proofErr w:type="spellStart"/>
      <w:r w:rsidR="004A2CE2">
        <w:t>Ribash</w:t>
      </w:r>
      <w:proofErr w:type="spellEnd"/>
      <w:r>
        <w:t>: Num. 13:22, see the following note.</w:t>
      </w:r>
    </w:p>
  </w:footnote>
  <w:footnote w:id="42">
    <w:p w14:paraId="1A7CE0F5" w14:textId="2024F4AD" w:rsidR="00F35E31" w:rsidRPr="007825E9" w:rsidRDefault="00F35E31">
      <w:pPr>
        <w:pStyle w:val="FootnoteText"/>
        <w:rPr>
          <w:lang w:val="fr-FR"/>
        </w:rPr>
      </w:pPr>
      <w:r>
        <w:rPr>
          <w:rStyle w:val="FootnoteReference"/>
        </w:rPr>
        <w:footnoteRef/>
      </w:r>
      <w:r w:rsidRPr="007825E9">
        <w:rPr>
          <w:lang w:val="fr-FR"/>
        </w:rPr>
        <w:t xml:space="preserve"> </w:t>
      </w:r>
      <w:r w:rsidR="005470F4" w:rsidRPr="007825E9">
        <w:rPr>
          <w:lang w:val="fr-FR"/>
        </w:rPr>
        <w:t>Gen. 19:15; 25:27a; 25:27b; Ex. 2:5; 9:32; 10:3; 17:10; Lev. 13:2; Num. 13:22.</w:t>
      </w:r>
    </w:p>
  </w:footnote>
  <w:footnote w:id="43">
    <w:p w14:paraId="5F222116" w14:textId="48A4A3DA" w:rsidR="00A25722" w:rsidRPr="002141CA" w:rsidRDefault="00A25722">
      <w:pPr>
        <w:pStyle w:val="FootnoteText"/>
      </w:pPr>
      <w:r>
        <w:rPr>
          <w:rStyle w:val="FootnoteReference"/>
        </w:rPr>
        <w:footnoteRef/>
      </w:r>
      <w:r>
        <w:t xml:space="preserve"> </w:t>
      </w:r>
      <w:r w:rsidR="002141CA">
        <w:t xml:space="preserve">The tenth case is taken from </w:t>
      </w:r>
      <w:proofErr w:type="spellStart"/>
      <w:r w:rsidR="004A2CE2">
        <w:t>Ribash</w:t>
      </w:r>
      <w:proofErr w:type="spellEnd"/>
      <w:r w:rsidR="002141CA">
        <w:t xml:space="preserve">: See the glosses of </w:t>
      </w:r>
      <w:proofErr w:type="spellStart"/>
      <w:r w:rsidR="004A2CE2">
        <w:t>Ribash</w:t>
      </w:r>
      <w:proofErr w:type="spellEnd"/>
      <w:r w:rsidR="002141CA">
        <w:t xml:space="preserve"> and </w:t>
      </w:r>
      <w:proofErr w:type="spellStart"/>
      <w:r w:rsidR="002141CA">
        <w:t>Hizkuni</w:t>
      </w:r>
      <w:proofErr w:type="spellEnd"/>
      <w:r w:rsidR="002141CA">
        <w:t xml:space="preserve"> on Num. 13:22, the wording is verbally identical in both (and also in the </w:t>
      </w:r>
      <w:r w:rsidR="002141CA">
        <w:rPr>
          <w:i/>
          <w:iCs/>
        </w:rPr>
        <w:t xml:space="preserve">Hadar </w:t>
      </w:r>
      <w:proofErr w:type="spellStart"/>
      <w:r w:rsidR="002141CA">
        <w:rPr>
          <w:i/>
          <w:iCs/>
        </w:rPr>
        <w:t>Zekeinim</w:t>
      </w:r>
      <w:proofErr w:type="spellEnd"/>
      <w:r w:rsidR="002141CA">
        <w:t xml:space="preserve"> anthology), and it seems that the source is </w:t>
      </w:r>
      <w:proofErr w:type="spellStart"/>
      <w:r w:rsidR="004A2CE2">
        <w:t>Ribash</w:t>
      </w:r>
      <w:proofErr w:type="spellEnd"/>
      <w:r w:rsidR="002141CA">
        <w:t xml:space="preserve">. We can, however, propose an alternative theory, that both </w:t>
      </w:r>
      <w:proofErr w:type="spellStart"/>
      <w:r w:rsidR="004A2CE2">
        <w:t>Ribash</w:t>
      </w:r>
      <w:proofErr w:type="spellEnd"/>
      <w:r w:rsidR="002141CA">
        <w:t xml:space="preserve"> and </w:t>
      </w:r>
      <w:proofErr w:type="spellStart"/>
      <w:r w:rsidR="002141CA">
        <w:t>Hizkuni</w:t>
      </w:r>
      <w:proofErr w:type="spellEnd"/>
      <w:r w:rsidR="002141CA">
        <w:t xml:space="preserve"> copied a gloss they found in </w:t>
      </w:r>
      <w:r w:rsidR="004E2EF0">
        <w:t>Kara</w:t>
      </w:r>
      <w:r w:rsidR="002141CA">
        <w:t>, verbatim.</w:t>
      </w:r>
    </w:p>
  </w:footnote>
  <w:footnote w:id="44">
    <w:p w14:paraId="672A7666" w14:textId="773DF380" w:rsidR="002141CA" w:rsidRPr="00C02289" w:rsidRDefault="002141CA" w:rsidP="006E0307">
      <w:pPr>
        <w:pStyle w:val="FootnoteText"/>
        <w:rPr>
          <w:i/>
          <w:iCs/>
        </w:rPr>
      </w:pPr>
      <w:r>
        <w:rPr>
          <w:rStyle w:val="FootnoteReference"/>
        </w:rPr>
        <w:footnoteRef/>
      </w:r>
      <w:r>
        <w:t xml:space="preserve"> </w:t>
      </w:r>
      <w:r w:rsidR="006E0307" w:rsidRPr="006E0307">
        <w:t xml:space="preserve">Oxford, Bodleian Library MS. Marsh </w:t>
      </w:r>
      <w:r w:rsidR="006E0307">
        <w:t>225</w:t>
      </w:r>
      <w:r w:rsidR="006E0307" w:rsidRPr="006E0307">
        <w:t xml:space="preserve"> </w:t>
      </w:r>
      <w:r w:rsidR="006E0307">
        <w:t>(Neuberger 284; 16752)</w:t>
      </w:r>
      <w:r w:rsidR="00C02289">
        <w:t xml:space="preserve"> starts in the middle of the Torah portion of </w:t>
      </w:r>
      <w:proofErr w:type="spellStart"/>
      <w:r w:rsidR="00C02289">
        <w:rPr>
          <w:i/>
          <w:iCs/>
        </w:rPr>
        <w:t>Bereshit</w:t>
      </w:r>
      <w:proofErr w:type="spellEnd"/>
      <w:r w:rsidR="00C02289">
        <w:t xml:space="preserve"> and reaches the beginning of the portion of </w:t>
      </w:r>
      <w:r w:rsidR="00C02289">
        <w:rPr>
          <w:i/>
          <w:iCs/>
        </w:rPr>
        <w:t>Ki Tisa</w:t>
      </w:r>
      <w:r w:rsidR="00C02289">
        <w:t xml:space="preserve">, and Munich MS 252 (1112) starts at the beginning of </w:t>
      </w:r>
      <w:proofErr w:type="spellStart"/>
      <w:r w:rsidR="00C02289">
        <w:rPr>
          <w:i/>
          <w:iCs/>
        </w:rPr>
        <w:t>Bereshit</w:t>
      </w:r>
      <w:proofErr w:type="spellEnd"/>
      <w:r w:rsidR="00C02289">
        <w:t xml:space="preserve"> and reaches until </w:t>
      </w:r>
      <w:proofErr w:type="spellStart"/>
      <w:r w:rsidR="00C02289">
        <w:rPr>
          <w:i/>
          <w:iCs/>
        </w:rPr>
        <w:t>Shofetim</w:t>
      </w:r>
      <w:proofErr w:type="spellEnd"/>
      <w:r w:rsidR="00C02289">
        <w:t xml:space="preserve">. These two manuscripts are almost identical in content and wording. The author of this anthology and is precise time are unknown. See </w:t>
      </w:r>
      <w:proofErr w:type="spellStart"/>
      <w:r w:rsidR="00C02289">
        <w:t>Novitzky</w:t>
      </w:r>
      <w:proofErr w:type="spellEnd"/>
      <w:r w:rsidR="00C02289">
        <w:t>, ‘A Reconstruction’, pp. 17-23.</w:t>
      </w:r>
    </w:p>
  </w:footnote>
  <w:footnote w:id="45">
    <w:p w14:paraId="5F57DE0F" w14:textId="5A7A5478" w:rsidR="002141CA" w:rsidRPr="00C02289" w:rsidRDefault="002141CA">
      <w:pPr>
        <w:pStyle w:val="FootnoteText"/>
      </w:pPr>
      <w:r>
        <w:rPr>
          <w:rStyle w:val="FootnoteReference"/>
        </w:rPr>
        <w:footnoteRef/>
      </w:r>
      <w:r>
        <w:t xml:space="preserve"> </w:t>
      </w:r>
      <w:r w:rsidR="00C02289">
        <w:t xml:space="preserve">A study of </w:t>
      </w:r>
      <w:proofErr w:type="spellStart"/>
      <w:r w:rsidR="004A2CE2">
        <w:t>Ribash</w:t>
      </w:r>
      <w:r w:rsidR="00C02289">
        <w:t>’s</w:t>
      </w:r>
      <w:proofErr w:type="spellEnd"/>
      <w:r w:rsidR="00C02289">
        <w:t xml:space="preserve"> commentary shows that he, too, hinted at the anticipatory principle, but without knowing </w:t>
      </w:r>
      <w:r w:rsidR="00395EA3">
        <w:t>Kara</w:t>
      </w:r>
      <w:r w:rsidR="00C02289">
        <w:t xml:space="preserve">’s commentary we cannot determine that it refers here to this principle. </w:t>
      </w:r>
      <w:proofErr w:type="spellStart"/>
      <w:r w:rsidR="004A2CE2">
        <w:t>Ribash</w:t>
      </w:r>
      <w:r w:rsidR="00C02289">
        <w:t>’s</w:t>
      </w:r>
      <w:proofErr w:type="spellEnd"/>
      <w:r w:rsidR="00C02289">
        <w:t xml:space="preserve"> source was probably </w:t>
      </w:r>
      <w:r w:rsidR="00395EA3">
        <w:t>Kara</w:t>
      </w:r>
      <w:r w:rsidR="00C02289">
        <w:t xml:space="preserve">, and this is yet another example of cases where </w:t>
      </w:r>
      <w:proofErr w:type="spellStart"/>
      <w:r w:rsidR="004A2CE2">
        <w:t>Ribash</w:t>
      </w:r>
      <w:proofErr w:type="spellEnd"/>
      <w:r w:rsidR="00C02289">
        <w:t xml:space="preserve"> blurred – I believe, deliberately – the anticipatory principle. On </w:t>
      </w:r>
      <w:r w:rsidR="00395EA3">
        <w:t xml:space="preserve">Kara </w:t>
      </w:r>
      <w:r w:rsidR="00C02289">
        <w:t xml:space="preserve">as a source for </w:t>
      </w:r>
      <w:proofErr w:type="spellStart"/>
      <w:r w:rsidR="004A2CE2">
        <w:t>Ribash</w:t>
      </w:r>
      <w:r w:rsidR="00C02289">
        <w:t>’s</w:t>
      </w:r>
      <w:proofErr w:type="spellEnd"/>
      <w:r w:rsidR="00C02289">
        <w:t xml:space="preserve"> commentary see Jacobs, </w:t>
      </w:r>
      <w:proofErr w:type="spellStart"/>
      <w:r w:rsidR="00C02289">
        <w:rPr>
          <w:i/>
          <w:iCs/>
        </w:rPr>
        <w:t>Bekhor</w:t>
      </w:r>
      <w:proofErr w:type="spellEnd"/>
      <w:r w:rsidR="00C02289">
        <w:rPr>
          <w:i/>
          <w:iCs/>
        </w:rPr>
        <w:t xml:space="preserve"> Shoro</w:t>
      </w:r>
      <w:r w:rsidR="00C02289">
        <w:t xml:space="preserve">, pp. 92-113. We should add this example to the ones mentioned there. On the blurring of the anticipatory principle that appears in commentaries that predate </w:t>
      </w:r>
      <w:proofErr w:type="spellStart"/>
      <w:r w:rsidR="004A2CE2">
        <w:t>Ribash</w:t>
      </w:r>
      <w:proofErr w:type="spellEnd"/>
      <w:r w:rsidR="00C02289">
        <w:t xml:space="preserve">, by </w:t>
      </w:r>
      <w:proofErr w:type="spellStart"/>
      <w:r w:rsidR="004A2CE2">
        <w:t>Ribash</w:t>
      </w:r>
      <w:proofErr w:type="spellEnd"/>
      <w:r w:rsidR="00C02289">
        <w:t>, see ibid., pp. 141-161.</w:t>
      </w:r>
    </w:p>
  </w:footnote>
  <w:footnote w:id="46">
    <w:p w14:paraId="16F6F5EF" w14:textId="524A38B1" w:rsidR="00DE3235" w:rsidRPr="00FC67CF" w:rsidRDefault="00DE3235">
      <w:pPr>
        <w:pStyle w:val="FootnoteText"/>
      </w:pPr>
      <w:r>
        <w:rPr>
          <w:rStyle w:val="FootnoteReference"/>
        </w:rPr>
        <w:footnoteRef/>
      </w:r>
      <w:r>
        <w:t xml:space="preserve"> </w:t>
      </w:r>
      <w:r w:rsidR="00AD4E89">
        <w:t xml:space="preserve">As far as I know, no extensive research has yet been </w:t>
      </w:r>
      <w:r w:rsidR="00FC67CF">
        <w:t>done</w:t>
      </w:r>
      <w:r w:rsidR="00AD4E89">
        <w:t xml:space="preserve"> on</w:t>
      </w:r>
      <w:r w:rsidR="00FC67CF">
        <w:t xml:space="preserve"> </w:t>
      </w:r>
      <w:proofErr w:type="spellStart"/>
      <w:r w:rsidR="00FC67CF">
        <w:t>Hizkuni’s</w:t>
      </w:r>
      <w:proofErr w:type="spellEnd"/>
      <w:r w:rsidR="00FC67CF">
        <w:t xml:space="preserve"> dependence on Ibn Ezra. The following have briefly commented on this: L. Zunz, </w:t>
      </w:r>
      <w:r w:rsidR="00FC67CF">
        <w:rPr>
          <w:i/>
          <w:iCs/>
        </w:rPr>
        <w:t xml:space="preserve">Zur </w:t>
      </w:r>
      <w:proofErr w:type="spellStart"/>
      <w:r w:rsidR="00FC67CF">
        <w:rPr>
          <w:i/>
          <w:iCs/>
        </w:rPr>
        <w:t>Geschichte</w:t>
      </w:r>
      <w:proofErr w:type="spellEnd"/>
      <w:r w:rsidR="00FC67CF">
        <w:rPr>
          <w:i/>
          <w:iCs/>
        </w:rPr>
        <w:t xml:space="preserve"> und Literature</w:t>
      </w:r>
      <w:r w:rsidR="00FC67CF">
        <w:t xml:space="preserve"> (Berlin, 1845), p. 92; Chavel, ‘Introduction’</w:t>
      </w:r>
      <w:r w:rsidR="00E45443">
        <w:t>,</w:t>
      </w:r>
      <w:r w:rsidR="00FC67CF">
        <w:t xml:space="preserve"> p. 5; Japhet, </w:t>
      </w:r>
      <w:r w:rsidR="00FC67CF">
        <w:rPr>
          <w:i/>
          <w:iCs/>
        </w:rPr>
        <w:t xml:space="preserve">Dor </w:t>
      </w:r>
      <w:proofErr w:type="spellStart"/>
      <w:r w:rsidR="00FC67CF">
        <w:rPr>
          <w:i/>
          <w:iCs/>
        </w:rPr>
        <w:t>Dor</w:t>
      </w:r>
      <w:proofErr w:type="spellEnd"/>
      <w:r w:rsidR="00FC67CF">
        <w:t>, p. 374; and somewhat more broadly Y. Priel, ‘The Exegetical Method of R. Hezekiah ben Manoach (</w:t>
      </w:r>
      <w:proofErr w:type="spellStart"/>
      <w:r w:rsidR="00FC67CF">
        <w:t>Hizquni</w:t>
      </w:r>
      <w:proofErr w:type="spellEnd"/>
      <w:r w:rsidR="00FC67CF">
        <w:t>) on the Torah’, PhD dissertation (</w:t>
      </w:r>
      <w:r w:rsidR="00095EAE">
        <w:t xml:space="preserve">Ramat Gan: </w:t>
      </w:r>
      <w:r w:rsidR="00FC67CF">
        <w:t xml:space="preserve">Bar Ilan University, 2010), pp. 178-185; Priel, </w:t>
      </w:r>
      <w:r w:rsidR="00FC67CF">
        <w:rPr>
          <w:i/>
          <w:iCs/>
        </w:rPr>
        <w:t xml:space="preserve">Halev </w:t>
      </w:r>
      <w:proofErr w:type="spellStart"/>
      <w:r w:rsidR="00FC67CF">
        <w:rPr>
          <w:i/>
          <w:iCs/>
        </w:rPr>
        <w:t>Yodea</w:t>
      </w:r>
      <w:proofErr w:type="spellEnd"/>
      <w:r w:rsidR="00FC67CF">
        <w:t xml:space="preserve">, pp. 102-104. </w:t>
      </w:r>
      <w:proofErr w:type="spellStart"/>
      <w:r w:rsidR="00FC67CF">
        <w:t>Hizkuni</w:t>
      </w:r>
      <w:proofErr w:type="spellEnd"/>
      <w:r w:rsidR="00FC67CF">
        <w:t xml:space="preserve"> probably only had access to Ibn Ezra’s long commentary on Exodus and not the short commentary, see Priel, ‘Exegetical Method’, pp. 185-186.</w:t>
      </w:r>
    </w:p>
  </w:footnote>
  <w:footnote w:id="47">
    <w:p w14:paraId="517A724F" w14:textId="4714208D" w:rsidR="009E3269" w:rsidRPr="009E3269" w:rsidRDefault="009E3269">
      <w:pPr>
        <w:pStyle w:val="FootnoteText"/>
      </w:pPr>
      <w:r>
        <w:rPr>
          <w:rStyle w:val="FootnoteReference"/>
        </w:rPr>
        <w:footnoteRef/>
      </w:r>
      <w:r>
        <w:t xml:space="preserve"> </w:t>
      </w:r>
      <w:r w:rsidR="00046430">
        <w:t xml:space="preserve">We could theoretically propose a third option – that the source of the glosses is </w:t>
      </w:r>
      <w:proofErr w:type="spellStart"/>
      <w:r w:rsidR="00046430">
        <w:t>Rashbam</w:t>
      </w:r>
      <w:proofErr w:type="spellEnd"/>
      <w:r w:rsidR="00046430">
        <w:t xml:space="preserve">, and </w:t>
      </w:r>
      <w:proofErr w:type="spellStart"/>
      <w:r w:rsidR="00046430">
        <w:t>Hizkuni</w:t>
      </w:r>
      <w:proofErr w:type="spellEnd"/>
      <w:r w:rsidR="00046430">
        <w:t xml:space="preserve"> adapted the wording and switched the formulation that appears in </w:t>
      </w:r>
      <w:proofErr w:type="spellStart"/>
      <w:r w:rsidR="00046430">
        <w:t>Rashbam</w:t>
      </w:r>
      <w:proofErr w:type="spellEnd"/>
      <w:r w:rsidR="00046430">
        <w:t xml:space="preserve"> with words ‘since it will later say’. I find it difficult to accept this, since my conclusions (presented above) regarding </w:t>
      </w:r>
      <w:proofErr w:type="spellStart"/>
      <w:r w:rsidR="00046430">
        <w:t>Hizkuni’s</w:t>
      </w:r>
      <w:proofErr w:type="spellEnd"/>
      <w:r w:rsidR="00046430">
        <w:t xml:space="preserve"> lack of awareness of the anticipatory principle in general make it hard to suppose that he was sensitive enough to </w:t>
      </w:r>
      <w:r w:rsidR="00EB73C1">
        <w:t>switch</w:t>
      </w:r>
      <w:r w:rsidR="00046430">
        <w:t xml:space="preserve"> a given formulation with singular formulations of the anticipatory principle that are </w:t>
      </w:r>
      <w:r w:rsidR="00667C08">
        <w:t>particularly</w:t>
      </w:r>
      <w:r w:rsidR="00046430">
        <w:t xml:space="preserve"> associated with </w:t>
      </w:r>
      <w:r w:rsidR="004E2EF0">
        <w:t>Kara</w:t>
      </w:r>
      <w:r w:rsidR="00046430">
        <w:t>.</w:t>
      </w:r>
    </w:p>
  </w:footnote>
  <w:footnote w:id="48">
    <w:p w14:paraId="769703D1" w14:textId="616DE71A" w:rsidR="00E20D3A" w:rsidRPr="00D715C9" w:rsidRDefault="00E20D3A">
      <w:pPr>
        <w:pStyle w:val="FootnoteText"/>
        <w:rPr>
          <w:lang w:val="fr-FR"/>
        </w:rPr>
      </w:pPr>
      <w:r>
        <w:rPr>
          <w:rStyle w:val="FootnoteReference"/>
        </w:rPr>
        <w:footnoteRef/>
      </w:r>
      <w:r w:rsidRPr="00F31A6B">
        <w:rPr>
          <w:lang w:val="fr-FR"/>
        </w:rPr>
        <w:t xml:space="preserve"> </w:t>
      </w:r>
      <w:r w:rsidR="0017228F" w:rsidRPr="00F31A6B">
        <w:rPr>
          <w:lang w:val="fr-FR"/>
        </w:rPr>
        <w:t xml:space="preserve">Ex. </w:t>
      </w:r>
      <w:proofErr w:type="gramStart"/>
      <w:r w:rsidR="0017228F" w:rsidRPr="00F31A6B">
        <w:rPr>
          <w:lang w:val="fr-FR"/>
        </w:rPr>
        <w:t>13:</w:t>
      </w:r>
      <w:proofErr w:type="gramEnd"/>
      <w:r w:rsidR="0017228F" w:rsidRPr="00F31A6B">
        <w:rPr>
          <w:lang w:val="fr-FR"/>
        </w:rPr>
        <w:t xml:space="preserve">18; </w:t>
      </w:r>
      <w:proofErr w:type="spellStart"/>
      <w:r w:rsidR="0017228F" w:rsidRPr="00F31A6B">
        <w:rPr>
          <w:lang w:val="fr-FR"/>
        </w:rPr>
        <w:t>Jud</w:t>
      </w:r>
      <w:proofErr w:type="spellEnd"/>
      <w:r w:rsidR="0017228F" w:rsidRPr="00F31A6B">
        <w:rPr>
          <w:lang w:val="fr-FR"/>
        </w:rPr>
        <w:t xml:space="preserve">. </w:t>
      </w:r>
      <w:proofErr w:type="gramStart"/>
      <w:r w:rsidR="0017228F" w:rsidRPr="00F31A6B">
        <w:rPr>
          <w:lang w:val="fr-FR"/>
        </w:rPr>
        <w:t>1:</w:t>
      </w:r>
      <w:proofErr w:type="gramEnd"/>
      <w:r w:rsidR="0017228F" w:rsidRPr="00F31A6B">
        <w:rPr>
          <w:lang w:val="fr-FR"/>
        </w:rPr>
        <w:t xml:space="preserve">16; 3:17; 4:11; 19:16; 1Sam. 2:18; 13:22; 21;8; 28:3; 1Kgs. </w:t>
      </w:r>
      <w:proofErr w:type="gramStart"/>
      <w:r w:rsidR="0017228F" w:rsidRPr="00F31A6B">
        <w:rPr>
          <w:lang w:val="fr-FR"/>
        </w:rPr>
        <w:t>18:</w:t>
      </w:r>
      <w:proofErr w:type="gramEnd"/>
      <w:r w:rsidR="0017228F" w:rsidRPr="00F31A6B">
        <w:rPr>
          <w:lang w:val="fr-FR"/>
        </w:rPr>
        <w:t xml:space="preserve">3; Job 1:4; 2:8; Est. </w:t>
      </w:r>
      <w:proofErr w:type="gramStart"/>
      <w:r w:rsidR="0017228F" w:rsidRPr="00F31A6B">
        <w:rPr>
          <w:lang w:val="fr-FR"/>
        </w:rPr>
        <w:t>1:</w:t>
      </w:r>
      <w:proofErr w:type="gramEnd"/>
      <w:r w:rsidR="0017228F" w:rsidRPr="00F31A6B">
        <w:rPr>
          <w:lang w:val="fr-FR"/>
        </w:rPr>
        <w:t>1.</w:t>
      </w:r>
    </w:p>
  </w:footnote>
  <w:footnote w:id="49">
    <w:p w14:paraId="6D58262D" w14:textId="21A70162" w:rsidR="00E20D3A" w:rsidRPr="0017228F" w:rsidRDefault="00E20D3A">
      <w:pPr>
        <w:pStyle w:val="FootnoteText"/>
      </w:pPr>
      <w:r>
        <w:rPr>
          <w:rStyle w:val="FootnoteReference"/>
        </w:rPr>
        <w:footnoteRef/>
      </w:r>
      <w:r>
        <w:t xml:space="preserve"> </w:t>
      </w:r>
      <w:proofErr w:type="spellStart"/>
      <w:r w:rsidR="0017228F">
        <w:t>Rashbam</w:t>
      </w:r>
      <w:proofErr w:type="spellEnd"/>
      <w:r w:rsidR="0017228F">
        <w:t xml:space="preserve">: Gen. 1:1; </w:t>
      </w:r>
      <w:proofErr w:type="spellStart"/>
      <w:r w:rsidR="004A2CE2">
        <w:t>Ribash</w:t>
      </w:r>
      <w:proofErr w:type="spellEnd"/>
      <w:r w:rsidR="0017228F">
        <w:t xml:space="preserve">: Gen. 9:24; 13:7; 27:1; Num. 13:16; and a fifth time in a gloss that has to do with the Retrospection principle, see Jacobs, </w:t>
      </w:r>
      <w:proofErr w:type="spellStart"/>
      <w:r w:rsidR="0017228F">
        <w:rPr>
          <w:i/>
          <w:iCs/>
        </w:rPr>
        <w:t>Bekhor</w:t>
      </w:r>
      <w:proofErr w:type="spellEnd"/>
      <w:r w:rsidR="0017228F">
        <w:rPr>
          <w:i/>
          <w:iCs/>
        </w:rPr>
        <w:t xml:space="preserve"> Shoro</w:t>
      </w:r>
      <w:r w:rsidR="0017228F">
        <w:t>, p. 174.</w:t>
      </w:r>
    </w:p>
  </w:footnote>
  <w:footnote w:id="50">
    <w:p w14:paraId="1BB11239" w14:textId="55834392" w:rsidR="005F3540" w:rsidRDefault="005F3540">
      <w:pPr>
        <w:pStyle w:val="FootnoteText"/>
      </w:pPr>
      <w:r>
        <w:rPr>
          <w:rStyle w:val="FootnoteReference"/>
        </w:rPr>
        <w:footnoteRef/>
      </w:r>
      <w:r>
        <w:t xml:space="preserve"> Gen. 24:42; 24:59; 28:5; 35:22; Ex. 13:18.</w:t>
      </w:r>
    </w:p>
  </w:footnote>
  <w:footnote w:id="51">
    <w:p w14:paraId="7AAB1222" w14:textId="02E9ABBE" w:rsidR="00A90024" w:rsidRPr="00A90024" w:rsidRDefault="00E20D3A" w:rsidP="00A90024">
      <w:pPr>
        <w:pStyle w:val="FootnoteText"/>
      </w:pPr>
      <w:r>
        <w:rPr>
          <w:rStyle w:val="FootnoteReference"/>
        </w:rPr>
        <w:footnoteRef/>
      </w:r>
      <w:r w:rsidR="00A90024">
        <w:t xml:space="preserve"> </w:t>
      </w:r>
      <w:r w:rsidR="00A90024" w:rsidRPr="00A90024">
        <w:t xml:space="preserve">The fifth mention (Gen. 28:5) is taken </w:t>
      </w:r>
      <w:r w:rsidR="00A83179">
        <w:t>verbatim</w:t>
      </w:r>
      <w:r w:rsidR="00A90024" w:rsidRPr="00A90024">
        <w:t xml:space="preserve"> from R. Aron ben Yosi's anthology of commentaries, </w:t>
      </w:r>
      <w:r w:rsidR="00A90024" w:rsidRPr="00A90024">
        <w:rPr>
          <w:i/>
          <w:iCs/>
        </w:rPr>
        <w:t>Sefer Hagan. </w:t>
      </w:r>
      <w:r w:rsidR="00A90024" w:rsidRPr="00A90024">
        <w:t>He cites the gloss in the name of R. Makhir (‘I heard from R. Makhir’). The identity of this R. Makhir, who suggested an explanation related to the ‘anticipatory principle’, is unclear to me.</w:t>
      </w:r>
      <w:r w:rsidR="00A90024">
        <w:t xml:space="preserve"> Perhaps </w:t>
      </w:r>
      <w:r w:rsidR="00A83179">
        <w:t>this is</w:t>
      </w:r>
      <w:r w:rsidR="00A90024">
        <w:t xml:space="preserve"> the renowned copyist R. Makhir, who copied Rashi’s commentary on the Torah and was himself a Torah scholar who dealt extensively with the Bible and the </w:t>
      </w:r>
      <w:r w:rsidR="00A90024">
        <w:rPr>
          <w:i/>
          <w:iCs/>
        </w:rPr>
        <w:t>mesorah</w:t>
      </w:r>
      <w:r w:rsidR="00A90024">
        <w:t>. Grossman</w:t>
      </w:r>
      <w:r w:rsidR="00A83179">
        <w:t xml:space="preserve"> offered</w:t>
      </w:r>
      <w:r w:rsidR="00A90024">
        <w:t xml:space="preserve"> two suggestions </w:t>
      </w:r>
      <w:r w:rsidR="00A83179">
        <w:t>for</w:t>
      </w:r>
      <w:r w:rsidR="00A90024">
        <w:t xml:space="preserve"> the identity of this R. Makhir (see </w:t>
      </w:r>
      <w:r w:rsidR="00A90024" w:rsidRPr="00A90024">
        <w:t>A</w:t>
      </w:r>
      <w:r w:rsidR="00A83179">
        <w:t>.</w:t>
      </w:r>
      <w:r w:rsidR="00A90024" w:rsidRPr="00A90024">
        <w:t xml:space="preserve"> Grossman, </w:t>
      </w:r>
      <w:r w:rsidR="00A83179">
        <w:t>‘</w:t>
      </w:r>
      <w:r w:rsidR="00A90024" w:rsidRPr="00A90024">
        <w:t>Marginal Notes and Addenda of R. Shemaiah and the Text of Rashi's Biblical Commentary</w:t>
      </w:r>
      <w:r w:rsidR="00A83179">
        <w:t xml:space="preserve"> [in Hebrew]</w:t>
      </w:r>
      <w:r w:rsidR="00A90024" w:rsidRPr="00A90024">
        <w:t xml:space="preserve">, </w:t>
      </w:r>
      <w:proofErr w:type="spellStart"/>
      <w:r w:rsidR="00A90024" w:rsidRPr="00A90024">
        <w:rPr>
          <w:i/>
          <w:iCs/>
        </w:rPr>
        <w:t>Tarbiz</w:t>
      </w:r>
      <w:proofErr w:type="spellEnd"/>
      <w:r w:rsidR="00A90024" w:rsidRPr="00A90024">
        <w:t xml:space="preserve"> 60 </w:t>
      </w:r>
      <w:r w:rsidR="00A83179">
        <w:t>[</w:t>
      </w:r>
      <w:r w:rsidR="00A90024" w:rsidRPr="00A90024">
        <w:t>1981</w:t>
      </w:r>
      <w:r w:rsidR="00A83179">
        <w:t>]</w:t>
      </w:r>
      <w:r w:rsidR="00A90024" w:rsidRPr="00A90024">
        <w:t xml:space="preserve">, pp. </w:t>
      </w:r>
      <w:r w:rsidR="00A90024">
        <w:t>88–93). The second of these identifies him as the son of R. Kresh</w:t>
      </w:r>
      <w:r w:rsidR="00A83179">
        <w:t>biyahu</w:t>
      </w:r>
      <w:r w:rsidR="00A90024">
        <w:t xml:space="preserve"> Hanakdan b</w:t>
      </w:r>
      <w:r w:rsidR="00A83179">
        <w:t>ar</w:t>
      </w:r>
      <w:r w:rsidR="00A90024">
        <w:t xml:space="preserve"> Yitzchak, who lived during the second half of the thirteenth century</w:t>
      </w:r>
      <w:r w:rsidR="00A83179">
        <w:t>,</w:t>
      </w:r>
      <w:r w:rsidR="00A90024">
        <w:t xml:space="preserve"> when </w:t>
      </w:r>
      <w:r w:rsidR="00A90024">
        <w:rPr>
          <w:i/>
          <w:iCs/>
        </w:rPr>
        <w:t>Sefer Hagan</w:t>
      </w:r>
      <w:r w:rsidR="00A90024">
        <w:t xml:space="preserve"> was </w:t>
      </w:r>
      <w:r w:rsidR="00A83179">
        <w:t>composed</w:t>
      </w:r>
      <w:r w:rsidR="00A90024">
        <w:t xml:space="preserve">; perhaps R. Aron had heard this explanation from him. On Hizkuni’s attitude toward </w:t>
      </w:r>
      <w:r w:rsidR="00A90024">
        <w:rPr>
          <w:i/>
          <w:iCs/>
        </w:rPr>
        <w:t>Sefer Hagan</w:t>
      </w:r>
      <w:r w:rsidR="00A90024">
        <w:t xml:space="preserve"> see Priel, </w:t>
      </w:r>
      <w:r w:rsidR="00A90024" w:rsidRPr="00A90024">
        <w:rPr>
          <w:i/>
          <w:iCs/>
        </w:rPr>
        <w:t>Halev Yodea</w:t>
      </w:r>
      <w:r w:rsidR="00A90024">
        <w:t>, pp. 108</w:t>
      </w:r>
      <w:r w:rsidR="00A90024" w:rsidRPr="00A90024">
        <w:t>–</w:t>
      </w:r>
      <w:r w:rsidR="00A90024">
        <w:t>109.</w:t>
      </w:r>
    </w:p>
  </w:footnote>
  <w:footnote w:id="52">
    <w:p w14:paraId="44B00755" w14:textId="19FE27AA" w:rsidR="00081E2C" w:rsidRDefault="00081E2C" w:rsidP="00AF41CD">
      <w:pPr>
        <w:pStyle w:val="FootnoteText"/>
      </w:pPr>
      <w:ins w:id="10" w:author="Jonathan Jacobs" w:date="2024-09-02T12:13:00Z" w16du:dateUtc="2024-09-02T09:13:00Z">
        <w:r>
          <w:rPr>
            <w:rStyle w:val="FootnoteReference"/>
          </w:rPr>
          <w:footnoteRef/>
        </w:r>
        <w:r>
          <w:t xml:space="preserve"> </w:t>
        </w:r>
      </w:ins>
      <w:r w:rsidR="00950454">
        <w:t xml:space="preserve">Epstein (‘Introduction’, p. 22) wrote a few comments on this; as well as Grossman, </w:t>
      </w:r>
      <w:r w:rsidR="00950454">
        <w:rPr>
          <w:i/>
          <w:iCs/>
        </w:rPr>
        <w:t>The Early Sages</w:t>
      </w:r>
      <w:r w:rsidR="00950454">
        <w:t xml:space="preserve">, p. 261; </w:t>
      </w:r>
      <w:r w:rsidR="00AF41CD" w:rsidRPr="00AF41CD">
        <w:t xml:space="preserve">Jair Haas, </w:t>
      </w:r>
      <w:r w:rsidR="006B488B">
        <w:t>‘“</w:t>
      </w:r>
      <w:r w:rsidR="00AF41CD" w:rsidRPr="00AF41CD">
        <w:t>Repetition of Meaning</w:t>
      </w:r>
      <w:r w:rsidR="006B488B">
        <w:t>”</w:t>
      </w:r>
      <w:r w:rsidR="00AF41CD" w:rsidRPr="00AF41CD">
        <w:t xml:space="preserve"> and its relation to </w:t>
      </w:r>
      <w:r w:rsidR="006B488B">
        <w:t>“</w:t>
      </w:r>
      <w:r w:rsidR="00AF41CD" w:rsidRPr="00AF41CD">
        <w:t>Scripture's Flow</w:t>
      </w:r>
      <w:r w:rsidR="006B488B">
        <w:t>”</w:t>
      </w:r>
      <w:r w:rsidR="00AF41CD" w:rsidRPr="00AF41CD">
        <w:t xml:space="preserve"> in the commentaries of R. Joseph Kara and the commentary on Chronicles Attributed to Him</w:t>
      </w:r>
      <w:r w:rsidR="00E45443">
        <w:t>’,</w:t>
      </w:r>
      <w:r w:rsidR="00AF41CD" w:rsidRPr="00AF41CD">
        <w:t xml:space="preserve"> </w:t>
      </w:r>
      <w:proofErr w:type="spellStart"/>
      <w:r w:rsidR="00AF41CD" w:rsidRPr="00AF41CD">
        <w:rPr>
          <w:i/>
          <w:iCs/>
        </w:rPr>
        <w:t>Moreshet</w:t>
      </w:r>
      <w:proofErr w:type="spellEnd"/>
      <w:r w:rsidR="00AF41CD" w:rsidRPr="00AF41CD">
        <w:t xml:space="preserve"> </w:t>
      </w:r>
      <w:r w:rsidR="00AF41CD" w:rsidRPr="00AF41CD">
        <w:rPr>
          <w:i/>
          <w:iCs/>
        </w:rPr>
        <w:t>Israel</w:t>
      </w:r>
      <w:r w:rsidR="00AF41CD" w:rsidRPr="00AF41CD">
        <w:t xml:space="preserve"> 10 (2010), pp. </w:t>
      </w:r>
      <w:r w:rsidR="00AF41CD">
        <w:t>86</w:t>
      </w:r>
      <w:r w:rsidR="00AF41CD" w:rsidRPr="00AF41CD">
        <w:t>–</w:t>
      </w:r>
      <w:r w:rsidR="00AF41CD">
        <w:t xml:space="preserve">87; and </w:t>
      </w:r>
      <w:r w:rsidR="00AF41CD" w:rsidRPr="00AF41CD">
        <w:t xml:space="preserve">Leyra Curia Montse, </w:t>
      </w:r>
      <w:r w:rsidR="006B488B">
        <w:t>‘</w:t>
      </w:r>
      <w:r w:rsidR="00AF41CD" w:rsidRPr="00AF41CD">
        <w:t xml:space="preserve">Josef Qara and the </w:t>
      </w:r>
      <w:r w:rsidR="006B488B">
        <w:t>“</w:t>
      </w:r>
      <w:r w:rsidR="00AF41CD" w:rsidRPr="00AF41CD">
        <w:t xml:space="preserve">In </w:t>
      </w:r>
      <w:proofErr w:type="spellStart"/>
      <w:r w:rsidR="00AF41CD" w:rsidRPr="00AF41CD">
        <w:t>Hebreo</w:t>
      </w:r>
      <w:proofErr w:type="spellEnd"/>
      <w:r w:rsidR="006B488B">
        <w:t>”</w:t>
      </w:r>
      <w:r w:rsidR="00AF41CD" w:rsidRPr="00AF41CD">
        <w:t xml:space="preserve"> Interpretations in Hugh and Andrew of St. Victors Commentaries on Genesis, Judges and 1-2 Samuel</w:t>
      </w:r>
      <w:r w:rsidR="00AF41CD">
        <w:t>,</w:t>
      </w:r>
      <w:r w:rsidR="006B488B">
        <w:t>’</w:t>
      </w:r>
      <w:r w:rsidR="00AF41CD" w:rsidRPr="00AF41CD">
        <w:t xml:space="preserve"> </w:t>
      </w:r>
      <w:r w:rsidR="00AF41CD" w:rsidRPr="00AF41CD">
        <w:rPr>
          <w:i/>
          <w:iCs/>
        </w:rPr>
        <w:t>REJ</w:t>
      </w:r>
      <w:r w:rsidR="00AF41CD" w:rsidRPr="00AF41CD">
        <w:t xml:space="preserve"> 174 (2015), pp. 1</w:t>
      </w:r>
      <w:r w:rsidR="00AF41CD">
        <w:t>4</w:t>
      </w:r>
      <w:r w:rsidR="00AF41CD" w:rsidRPr="00AF41CD">
        <w:t>1–1</w:t>
      </w:r>
      <w:r w:rsidR="00AF41CD">
        <w:t>42</w:t>
      </w:r>
      <w:ins w:id="11" w:author="Jonathan Jacobs" w:date="2024-09-02T12:13:00Z" w16du:dateUtc="2024-09-02T09:13:00Z">
        <w:r w:rsidR="00461A0C" w:rsidRPr="00F33D75">
          <w:rPr>
            <w:rFonts w:hint="cs"/>
            <w:sz w:val="22"/>
            <w:szCs w:val="22"/>
            <w:rtl/>
          </w:rPr>
          <w:t>.</w:t>
        </w:r>
      </w:ins>
    </w:p>
  </w:footnote>
  <w:footnote w:id="53">
    <w:p w14:paraId="2D60190B" w14:textId="6EFAF713" w:rsidR="0047780B" w:rsidRDefault="0047780B" w:rsidP="0012165C">
      <w:pPr>
        <w:pStyle w:val="FootnoteText"/>
      </w:pPr>
      <w:ins w:id="13" w:author="Jonathan Jacobs" w:date="2024-09-02T12:12:00Z" w16du:dateUtc="2024-09-02T09:12:00Z">
        <w:r>
          <w:rPr>
            <w:rStyle w:val="FootnoteReference"/>
          </w:rPr>
          <w:footnoteRef/>
        </w:r>
      </w:ins>
      <w:r w:rsidR="00AF41CD">
        <w:t xml:space="preserve"> </w:t>
      </w:r>
      <w:r w:rsidR="00AF41CD" w:rsidRPr="00AF41CD">
        <w:t xml:space="preserve">David Razin, </w:t>
      </w:r>
      <w:proofErr w:type="spellStart"/>
      <w:r w:rsidR="00AF41CD" w:rsidRPr="00AF41CD">
        <w:rPr>
          <w:i/>
          <w:iCs/>
        </w:rPr>
        <w:t>Perush</w:t>
      </w:r>
      <w:proofErr w:type="spellEnd"/>
      <w:r w:rsidR="00AF41CD" w:rsidRPr="00AF41CD">
        <w:rPr>
          <w:i/>
          <w:iCs/>
        </w:rPr>
        <w:t xml:space="preserve"> ha-Torah, </w:t>
      </w:r>
      <w:proofErr w:type="spellStart"/>
      <w:r w:rsidR="00AF41CD" w:rsidRPr="00AF41CD">
        <w:rPr>
          <w:i/>
          <w:iCs/>
        </w:rPr>
        <w:t>Rashbam</w:t>
      </w:r>
      <w:proofErr w:type="spellEnd"/>
      <w:r w:rsidR="00A40FA8">
        <w:t>,</w:t>
      </w:r>
      <w:r w:rsidR="00AF41CD" w:rsidRPr="00AF41CD">
        <w:t xml:space="preserve"> </w:t>
      </w:r>
      <w:r w:rsidR="00A40FA8" w:rsidRPr="00AF41CD">
        <w:t xml:space="preserve">David Razin edition, </w:t>
      </w:r>
      <w:r w:rsidR="00AF41CD" w:rsidRPr="00AF41CD">
        <w:t>(</w:t>
      </w:r>
      <w:r w:rsidR="008320DE">
        <w:t xml:space="preserve">in </w:t>
      </w:r>
      <w:r w:rsidR="00AF41CD" w:rsidRPr="00AF41CD">
        <w:t>Heb</w:t>
      </w:r>
      <w:r w:rsidR="008320DE">
        <w:t>rew</w:t>
      </w:r>
      <w:r w:rsidR="00AF41CD" w:rsidRPr="00AF41CD">
        <w:t>)</w:t>
      </w:r>
      <w:r w:rsidR="00A40FA8">
        <w:t xml:space="preserve"> (</w:t>
      </w:r>
      <w:r w:rsidR="00AF41CD" w:rsidRPr="00AF41CD">
        <w:t>Breslau</w:t>
      </w:r>
      <w:r w:rsidR="00A40FA8">
        <w:t xml:space="preserve">: S. </w:t>
      </w:r>
      <w:proofErr w:type="spellStart"/>
      <w:r w:rsidR="0012165C" w:rsidRPr="0012165C">
        <w:t>Schottlaender</w:t>
      </w:r>
      <w:proofErr w:type="spellEnd"/>
      <w:r w:rsidR="0012165C">
        <w:t xml:space="preserve">, </w:t>
      </w:r>
      <w:r w:rsidR="00AF41CD" w:rsidRPr="00AF41CD">
        <w:t>1882</w:t>
      </w:r>
      <w:r w:rsidR="0012165C">
        <w:t>)</w:t>
      </w:r>
      <w:r w:rsidR="00AF41CD" w:rsidRPr="00AF41CD">
        <w:t>, p</w:t>
      </w:r>
      <w:r w:rsidR="00AF41CD">
        <w:t xml:space="preserve">. 88; Littman, </w:t>
      </w:r>
      <w:r w:rsidR="00AF41CD">
        <w:rPr>
          <w:i/>
          <w:iCs/>
        </w:rPr>
        <w:t>Josef ben Simeon</w:t>
      </w:r>
      <w:r w:rsidR="00AF41CD">
        <w:t>, p. 16.</w:t>
      </w:r>
    </w:p>
  </w:footnote>
  <w:footnote w:id="54">
    <w:p w14:paraId="1A1512BB" w14:textId="1754325B" w:rsidR="00C93BB1" w:rsidRDefault="00C93BB1">
      <w:pPr>
        <w:pStyle w:val="FootnoteText"/>
      </w:pPr>
      <w:ins w:id="15" w:author="Jonathan Jacobs" w:date="2024-09-02T12:14:00Z" w16du:dateUtc="2024-09-02T09:14:00Z">
        <w:r>
          <w:rPr>
            <w:rStyle w:val="FootnoteReference"/>
          </w:rPr>
          <w:footnoteRef/>
        </w:r>
      </w:ins>
      <w:r w:rsidR="00024C5E">
        <w:t xml:space="preserve"> Touitou, </w:t>
      </w:r>
      <w:r w:rsidR="00024C5E">
        <w:rPr>
          <w:i/>
          <w:iCs/>
        </w:rPr>
        <w:t>Exegesis</w:t>
      </w:r>
      <w:r w:rsidR="00024C5E">
        <w:t>, pp. 146–149.</w:t>
      </w:r>
      <w:ins w:id="16" w:author="Jonathan Jacobs" w:date="2024-09-02T12:14:00Z" w16du:dateUtc="2024-09-02T09:14:00Z">
        <w:r>
          <w:t xml:space="preserve"> </w:t>
        </w:r>
      </w:ins>
    </w:p>
  </w:footnote>
  <w:footnote w:id="55">
    <w:p w14:paraId="3DDDD1F7" w14:textId="6571E147" w:rsidR="0071470E" w:rsidRDefault="0071470E" w:rsidP="005848B0">
      <w:pPr>
        <w:pStyle w:val="FootnoteText"/>
      </w:pPr>
      <w:ins w:id="18" w:author="Jonathan Jacobs" w:date="2024-09-02T12:16:00Z" w16du:dateUtc="2024-09-02T09:16:00Z">
        <w:r>
          <w:rPr>
            <w:rStyle w:val="FootnoteReference"/>
          </w:rPr>
          <w:footnoteRef/>
        </w:r>
      </w:ins>
      <w:r w:rsidR="00901853">
        <w:t xml:space="preserve"> See Brin, </w:t>
      </w:r>
      <w:r w:rsidR="00901853">
        <w:rPr>
          <w:i/>
          <w:iCs/>
        </w:rPr>
        <w:t>Studies</w:t>
      </w:r>
      <w:r w:rsidR="00901853">
        <w:t>, pp. 86</w:t>
      </w:r>
      <w:r w:rsidR="00901853" w:rsidRPr="00901853">
        <w:t>–</w:t>
      </w:r>
      <w:r w:rsidR="00901853">
        <w:t xml:space="preserve">87. </w:t>
      </w:r>
      <w:r w:rsidR="0093543B">
        <w:t xml:space="preserve">Brin and Touitou follow Poznanski, </w:t>
      </w:r>
      <w:proofErr w:type="spellStart"/>
      <w:r w:rsidR="0093543B">
        <w:rPr>
          <w:i/>
          <w:iCs/>
        </w:rPr>
        <w:t>Mavo</w:t>
      </w:r>
      <w:proofErr w:type="spellEnd"/>
      <w:r w:rsidR="0093543B">
        <w:t xml:space="preserve">, p. 33. See also Grossman, </w:t>
      </w:r>
      <w:r w:rsidR="0093543B">
        <w:rPr>
          <w:i/>
          <w:iCs/>
        </w:rPr>
        <w:t>The Early Sages</w:t>
      </w:r>
      <w:r w:rsidR="0093543B">
        <w:t xml:space="preserve">, p. 321. Both of Brin’s arguments prove the opposite of what he says, since the more developed a phenomenon is, the more likely it is to have appeared later. If Brin finds that Kara’s </w:t>
      </w:r>
      <w:r w:rsidR="00E96EB9">
        <w:t>commentary</w:t>
      </w:r>
      <w:r w:rsidR="0093543B">
        <w:t xml:space="preserve"> used the anticipatory principle more extensively and in a more developed manner, then Kara had likely drawn the notion from </w:t>
      </w:r>
      <w:proofErr w:type="spellStart"/>
      <w:r w:rsidR="0093543B">
        <w:t>Rashbam</w:t>
      </w:r>
      <w:proofErr w:type="spellEnd"/>
      <w:r w:rsidR="0093543B">
        <w:t xml:space="preserve">. </w:t>
      </w:r>
      <w:r w:rsidR="005848B0">
        <w:t>In any case, I elsewhere argued against both of Brin’s arguments, regarding both the quantity and the development and sub-types. See Jacobs, ‘</w:t>
      </w:r>
      <w:proofErr w:type="spellStart"/>
      <w:r w:rsidR="005848B0">
        <w:t>Rashbam’s</w:t>
      </w:r>
      <w:proofErr w:type="spellEnd"/>
      <w:r w:rsidR="005848B0">
        <w:t xml:space="preserve"> Commentary’, p. 477</w:t>
      </w:r>
      <w:ins w:id="19" w:author="Jonathan Jacobs" w:date="2024-09-02T12:16:00Z" w16du:dateUtc="2024-09-02T09:16:00Z">
        <w:r w:rsidRPr="00F33D75">
          <w:rPr>
            <w:rFonts w:hint="cs"/>
            <w:sz w:val="22"/>
            <w:szCs w:val="22"/>
            <w:rtl/>
          </w:rPr>
          <w:t>.</w:t>
        </w:r>
      </w:ins>
    </w:p>
  </w:footnote>
  <w:footnote w:id="56">
    <w:p w14:paraId="39BB2998" w14:textId="0D8735DF" w:rsidR="004058BC" w:rsidRDefault="004058BC" w:rsidP="00E96EB9">
      <w:pPr>
        <w:pStyle w:val="FootnoteText"/>
      </w:pPr>
      <w:ins w:id="21" w:author="Jonathan Jacobs" w:date="2024-09-02T12:17:00Z" w16du:dateUtc="2024-09-02T09:17:00Z">
        <w:r>
          <w:rPr>
            <w:rStyle w:val="FootnoteReference"/>
          </w:rPr>
          <w:footnoteRef/>
        </w:r>
      </w:ins>
      <w:r w:rsidR="007C05C9">
        <w:t xml:space="preserve"> See, for example, </w:t>
      </w:r>
      <w:proofErr w:type="spellStart"/>
      <w:r w:rsidR="007C05C9">
        <w:t>Rashbam</w:t>
      </w:r>
      <w:proofErr w:type="spellEnd"/>
      <w:r w:rsidR="007C05C9">
        <w:t xml:space="preserve"> on Gen. 24:60; 37:13; Num. 4:10; Rabbi Joseph Kara on Amos 3:12; Job 11:17 (though there are those who claim that these are later additions to the commentary)</w:t>
      </w:r>
      <w:ins w:id="22" w:author="Jonathan Jacobs" w:date="2024-09-02T12:17:00Z" w16du:dateUtc="2024-09-02T09:17:00Z">
        <w:r w:rsidRPr="00F33D75">
          <w:rPr>
            <w:rFonts w:hint="cs"/>
            <w:sz w:val="22"/>
            <w:szCs w:val="22"/>
            <w:rtl/>
          </w:rPr>
          <w:t>.</w:t>
        </w:r>
      </w:ins>
    </w:p>
  </w:footnote>
  <w:footnote w:id="57">
    <w:p w14:paraId="7328DE11" w14:textId="1C03600C" w:rsidR="00C96316" w:rsidRDefault="00C96316" w:rsidP="001E28EE">
      <w:pPr>
        <w:pStyle w:val="FootnoteText"/>
      </w:pPr>
      <w:ins w:id="24" w:author="Jonathan Jacobs" w:date="2024-09-02T12:18:00Z" w16du:dateUtc="2024-09-02T09:18:00Z">
        <w:r>
          <w:rPr>
            <w:rStyle w:val="FootnoteReference"/>
          </w:rPr>
          <w:footnoteRef/>
        </w:r>
      </w:ins>
      <w:r w:rsidR="008320DE">
        <w:t xml:space="preserve"> Rozin had already determined that </w:t>
      </w:r>
      <w:proofErr w:type="spellStart"/>
      <w:r w:rsidR="008320DE">
        <w:t>Rashbam</w:t>
      </w:r>
      <w:proofErr w:type="spellEnd"/>
      <w:r w:rsidR="008320DE">
        <w:t xml:space="preserve"> wrote his commentary near the end of his life. See Rozin, ‘Introduction’, p. XVIII. </w:t>
      </w:r>
      <w:proofErr w:type="spellStart"/>
      <w:r w:rsidR="008320DE">
        <w:t>Lockshin</w:t>
      </w:r>
      <w:proofErr w:type="spellEnd"/>
      <w:r w:rsidR="008320DE">
        <w:t xml:space="preserve"> (</w:t>
      </w:r>
      <w:r w:rsidR="008320DE" w:rsidRPr="008320DE">
        <w:t xml:space="preserve">Martin I. </w:t>
      </w:r>
      <w:proofErr w:type="spellStart"/>
      <w:r w:rsidR="008320DE" w:rsidRPr="008320DE">
        <w:t>Lockshin</w:t>
      </w:r>
      <w:proofErr w:type="spellEnd"/>
      <w:r w:rsidR="008320DE" w:rsidRPr="008320DE">
        <w:t xml:space="preserve">, "The Connection between R. Samuel ben Meir's Torah Commentary and Midrash </w:t>
      </w:r>
      <w:proofErr w:type="spellStart"/>
      <w:r w:rsidR="008320DE" w:rsidRPr="008320DE">
        <w:t>Sekhel</w:t>
      </w:r>
      <w:proofErr w:type="spellEnd"/>
      <w:r w:rsidR="008320DE" w:rsidRPr="008320DE">
        <w:t xml:space="preserve"> Tov", </w:t>
      </w:r>
      <w:r w:rsidR="008320DE" w:rsidRPr="008320DE">
        <w:rPr>
          <w:i/>
          <w:iCs/>
        </w:rPr>
        <w:t>Proceedings of the Eleventh World Congress of Jewish Studies, the Bible and its World</w:t>
      </w:r>
      <w:r w:rsidR="008320DE">
        <w:rPr>
          <w:i/>
          <w:iCs/>
        </w:rPr>
        <w:t xml:space="preserve"> </w:t>
      </w:r>
      <w:r w:rsidR="008320DE">
        <w:t>[in Hebrew]</w:t>
      </w:r>
      <w:r w:rsidR="008320DE" w:rsidRPr="008320DE">
        <w:rPr>
          <w:i/>
          <w:iCs/>
        </w:rPr>
        <w:t xml:space="preserve"> </w:t>
      </w:r>
      <w:r w:rsidR="008320DE" w:rsidRPr="008320DE">
        <w:t>Jerusalem: World Union of Jewish Studies, 1994, p. 142)</w:t>
      </w:r>
      <w:r w:rsidR="008320DE">
        <w:t xml:space="preserve"> claimed that </w:t>
      </w:r>
      <w:proofErr w:type="spellStart"/>
      <w:r w:rsidR="008320DE">
        <w:t>Rashbam</w:t>
      </w:r>
      <w:proofErr w:type="spellEnd"/>
      <w:r w:rsidR="008320DE">
        <w:t xml:space="preserve"> was acquainted with </w:t>
      </w:r>
      <w:proofErr w:type="spellStart"/>
      <w:r w:rsidR="008320DE">
        <w:rPr>
          <w:i/>
          <w:iCs/>
        </w:rPr>
        <w:t>Sekhel</w:t>
      </w:r>
      <w:proofErr w:type="spellEnd"/>
      <w:r w:rsidR="008320DE">
        <w:rPr>
          <w:i/>
          <w:iCs/>
        </w:rPr>
        <w:t xml:space="preserve"> Tov</w:t>
      </w:r>
      <w:r w:rsidR="008320DE">
        <w:t xml:space="preserve"> when he wrote his commentary, thus dating the composition of </w:t>
      </w:r>
      <w:proofErr w:type="spellStart"/>
      <w:r w:rsidR="008320DE">
        <w:t>Rashbam’s</w:t>
      </w:r>
      <w:proofErr w:type="spellEnd"/>
      <w:r w:rsidR="008320DE">
        <w:t xml:space="preserve"> commentary on the Torah to sometime between 1139</w:t>
      </w:r>
      <w:r w:rsidR="008320DE" w:rsidRPr="008320DE">
        <w:t>–</w:t>
      </w:r>
      <w:r w:rsidR="008320DE">
        <w:t xml:space="preserve">1156. We can derive a more precise date from checking the interactions between </w:t>
      </w:r>
      <w:proofErr w:type="spellStart"/>
      <w:r w:rsidR="008320DE">
        <w:t>Rashbam</w:t>
      </w:r>
      <w:proofErr w:type="spellEnd"/>
      <w:r w:rsidR="008320DE">
        <w:t xml:space="preserve"> and Ibn Ezra. </w:t>
      </w:r>
      <w:r w:rsidR="001E28EE">
        <w:t>When</w:t>
      </w:r>
      <w:r w:rsidR="008320DE">
        <w:t xml:space="preserve"> </w:t>
      </w:r>
      <w:proofErr w:type="spellStart"/>
      <w:r w:rsidR="008320DE">
        <w:t>Rashbam</w:t>
      </w:r>
      <w:proofErr w:type="spellEnd"/>
      <w:r w:rsidR="008320DE">
        <w:t xml:space="preserve"> wrote his commentary on the Torah, he </w:t>
      </w:r>
      <w:r w:rsidR="001E28EE">
        <w:t xml:space="preserve">seems to have </w:t>
      </w:r>
      <w:r w:rsidR="008320DE">
        <w:t xml:space="preserve">had access to Ibn Ezra’s short commentary on the Torah, which was written in </w:t>
      </w:r>
      <w:r w:rsidR="001E28EE">
        <w:t>Luca between 1142</w:t>
      </w:r>
      <w:r w:rsidR="001E28EE" w:rsidRPr="001E28EE">
        <w:t>–</w:t>
      </w:r>
      <w:r w:rsidR="001E28EE">
        <w:t xml:space="preserve">1145. On this, see J. Jacobs, </w:t>
      </w:r>
      <w:r w:rsidR="006B488B">
        <w:t>‘</w:t>
      </w:r>
      <w:r w:rsidR="001E28EE" w:rsidRPr="001E28EE">
        <w:t xml:space="preserve">Does </w:t>
      </w:r>
      <w:proofErr w:type="spellStart"/>
      <w:r w:rsidR="001E28EE" w:rsidRPr="001E28EE">
        <w:t>Rashbam’s</w:t>
      </w:r>
      <w:proofErr w:type="spellEnd"/>
      <w:r w:rsidR="001E28EE" w:rsidRPr="001E28EE">
        <w:t xml:space="preserve"> Commentary on the Torah Acknowledge the Commentaries of Rabbi Abraham Ibn Ezra?</w:t>
      </w:r>
      <w:proofErr w:type="gramStart"/>
      <w:r w:rsidR="006B488B">
        <w:t>’,</w:t>
      </w:r>
      <w:proofErr w:type="gramEnd"/>
      <w:r w:rsidR="006B488B">
        <w:t xml:space="preserve"> </w:t>
      </w:r>
      <w:r w:rsidR="001E28EE" w:rsidRPr="001E28EE">
        <w:rPr>
          <w:i/>
          <w:iCs/>
        </w:rPr>
        <w:t>JJS</w:t>
      </w:r>
      <w:r w:rsidR="001E28EE" w:rsidRPr="001E28EE">
        <w:t xml:space="preserve"> 61,2 (2010), pp. 291–304</w:t>
      </w:r>
      <w:r w:rsidR="001E28EE">
        <w:t xml:space="preserve">; </w:t>
      </w:r>
      <w:r w:rsidR="001E28EE" w:rsidRPr="001E28EE">
        <w:t>I</w:t>
      </w:r>
      <w:r w:rsidR="001E28EE">
        <w:t>. Ki</w:t>
      </w:r>
      <w:r w:rsidR="001E28EE" w:rsidRPr="001E28EE">
        <w:t xml:space="preserve">slev, </w:t>
      </w:r>
      <w:r w:rsidR="006B488B">
        <w:t>‘“</w:t>
      </w:r>
      <w:r w:rsidR="001E28EE" w:rsidRPr="001E28EE">
        <w:t>Exegesis in Perpetual Motion</w:t>
      </w:r>
      <w:r w:rsidR="006B488B">
        <w:t>”</w:t>
      </w:r>
      <w:r w:rsidR="001E28EE" w:rsidRPr="001E28EE">
        <w:t xml:space="preserve"> - The short commentary of Ibn Ezra as a source for </w:t>
      </w:r>
      <w:proofErr w:type="spellStart"/>
      <w:r w:rsidR="001E28EE" w:rsidRPr="001E28EE">
        <w:t>Rashbam</w:t>
      </w:r>
      <w:proofErr w:type="spellEnd"/>
      <w:r w:rsidR="001E28EE" w:rsidRPr="001E28EE">
        <w:t xml:space="preserve"> in his commentary on the Pentateuch</w:t>
      </w:r>
      <w:r w:rsidR="006B488B">
        <w:t>’</w:t>
      </w:r>
      <w:r w:rsidR="001E28EE" w:rsidRPr="001E28EE">
        <w:t xml:space="preserve">, </w:t>
      </w:r>
      <w:proofErr w:type="spellStart"/>
      <w:r w:rsidR="001E28EE" w:rsidRPr="001E28EE">
        <w:rPr>
          <w:i/>
          <w:iCs/>
        </w:rPr>
        <w:t>Tarbiz</w:t>
      </w:r>
      <w:proofErr w:type="spellEnd"/>
      <w:r w:rsidR="001E28EE" w:rsidRPr="001E28EE">
        <w:t xml:space="preserve"> 79 (2011), pp. 413–438.</w:t>
      </w:r>
      <w:r w:rsidR="001E28EE">
        <w:t xml:space="preserve"> However, when Ibn Ezra wrote his long commentary on the Torah, in 1153 (Northern France), he was already familiar with </w:t>
      </w:r>
      <w:proofErr w:type="spellStart"/>
      <w:r w:rsidR="001E28EE">
        <w:t>Rashbam’s</w:t>
      </w:r>
      <w:proofErr w:type="spellEnd"/>
      <w:r w:rsidR="001E28EE">
        <w:t xml:space="preserve"> commentary on the Torah. See I. Kislev, </w:t>
      </w:r>
      <w:r w:rsidR="006B488B">
        <w:t>‘</w:t>
      </w:r>
      <w:r w:rsidR="001E28EE" w:rsidRPr="001E28EE">
        <w:t xml:space="preserve">The Commentaries of Ibn Ezra and </w:t>
      </w:r>
      <w:proofErr w:type="spellStart"/>
      <w:r w:rsidR="001E28EE" w:rsidRPr="001E28EE">
        <w:t>Rashbam</w:t>
      </w:r>
      <w:proofErr w:type="spellEnd"/>
      <w:r w:rsidR="001E28EE" w:rsidRPr="001E28EE">
        <w:t xml:space="preserve"> and the Dispute over the Ingredients of the Altar Incense</w:t>
      </w:r>
      <w:r w:rsidR="006B488B">
        <w:t>’</w:t>
      </w:r>
      <w:r w:rsidR="001E28EE">
        <w:t xml:space="preserve"> (in Hebrew)</w:t>
      </w:r>
      <w:r w:rsidR="001E28EE" w:rsidRPr="001E28EE">
        <w:t xml:space="preserve">, </w:t>
      </w:r>
      <w:proofErr w:type="spellStart"/>
      <w:r w:rsidR="001E28EE" w:rsidRPr="001E28EE">
        <w:rPr>
          <w:i/>
          <w:iCs/>
        </w:rPr>
        <w:t>Tarbiz</w:t>
      </w:r>
      <w:proofErr w:type="spellEnd"/>
      <w:r w:rsidR="001E28EE" w:rsidRPr="001E28EE">
        <w:t xml:space="preserve"> 78 (2008), pp. 61–80</w:t>
      </w:r>
      <w:ins w:id="25" w:author="Jonathan Jacobs" w:date="2024-09-02T12:18:00Z" w16du:dateUtc="2024-09-02T09:18:00Z">
        <w:r w:rsidRPr="00F33D75">
          <w:rPr>
            <w:rFonts w:hint="cs"/>
            <w:rtl/>
          </w:rPr>
          <w:t>.</w:t>
        </w:r>
      </w:ins>
    </w:p>
  </w:footnote>
  <w:footnote w:id="58">
    <w:p w14:paraId="0B002CF8" w14:textId="12713E3A" w:rsidR="00E81DFC" w:rsidRDefault="00E81DFC" w:rsidP="006B488B">
      <w:pPr>
        <w:pStyle w:val="FootnoteText"/>
      </w:pPr>
      <w:ins w:id="27" w:author="Jonathan Jacobs" w:date="2024-09-02T12:19:00Z" w16du:dateUtc="2024-09-02T09:19:00Z">
        <w:r>
          <w:rPr>
            <w:rStyle w:val="FootnoteReference"/>
          </w:rPr>
          <w:footnoteRef/>
        </w:r>
      </w:ins>
      <w:r w:rsidR="001E28EE">
        <w:t xml:space="preserve"> Jacobs, </w:t>
      </w:r>
      <w:r w:rsidR="006B488B">
        <w:t>‘Rabbi Joseph Kara’, pp. 87</w:t>
      </w:r>
      <w:r w:rsidR="006B488B" w:rsidRPr="006B488B">
        <w:t>–</w:t>
      </w:r>
      <w:r w:rsidR="006B488B">
        <w:t>89.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682AB9"/>
    <w:multiLevelType w:val="hybridMultilevel"/>
    <w:tmpl w:val="2B0CEFC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FCE1D48"/>
    <w:multiLevelType w:val="hybridMultilevel"/>
    <w:tmpl w:val="D6BA17F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46DD590C"/>
    <w:multiLevelType w:val="hybridMultilevel"/>
    <w:tmpl w:val="EA5C54B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675579BE"/>
    <w:multiLevelType w:val="hybridMultilevel"/>
    <w:tmpl w:val="E454EB1E"/>
    <w:lvl w:ilvl="0" w:tplc="D278E09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679B76C7"/>
    <w:multiLevelType w:val="hybridMultilevel"/>
    <w:tmpl w:val="3A54F606"/>
    <w:lvl w:ilvl="0" w:tplc="F176D75A">
      <w:numFmt w:val="bullet"/>
      <w:lvlText w:val=""/>
      <w:lvlJc w:val="left"/>
      <w:pPr>
        <w:ind w:left="720" w:hanging="360"/>
      </w:pPr>
      <w:rPr>
        <w:rFonts w:ascii="Symbol" w:eastAsiaTheme="minorHAnsi" w:hAnsi="Symbol" w:cs="David"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6BDC1972"/>
    <w:multiLevelType w:val="hybridMultilevel"/>
    <w:tmpl w:val="D1F42E16"/>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74825F55"/>
    <w:multiLevelType w:val="hybridMultilevel"/>
    <w:tmpl w:val="5048496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727025503">
    <w:abstractNumId w:val="4"/>
  </w:num>
  <w:num w:numId="2" w16cid:durableId="497038982">
    <w:abstractNumId w:val="2"/>
  </w:num>
  <w:num w:numId="3" w16cid:durableId="692265101">
    <w:abstractNumId w:val="5"/>
  </w:num>
  <w:num w:numId="4" w16cid:durableId="1053192558">
    <w:abstractNumId w:val="1"/>
  </w:num>
  <w:num w:numId="5" w16cid:durableId="1020859977">
    <w:abstractNumId w:val="0"/>
  </w:num>
  <w:num w:numId="6" w16cid:durableId="1874803838">
    <w:abstractNumId w:val="3"/>
  </w:num>
  <w:num w:numId="7" w16cid:durableId="33561472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hulamit Finkelman Suna">
    <w15:presenceInfo w15:providerId="AD" w15:userId="S::shulamitf@on.huji.ac.il::e84d37e0-a72f-4fb3-9b89-d5ce40258b5a"/>
  </w15:person>
  <w15:person w15:author="Jonathan Jacobs">
    <w15:presenceInfo w15:providerId="AD" w15:userId="S::JACOBSJ@biu.ac.il::f21e6279-9a0f-4ac3-96e3-84ae34c467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zQyMjGzNDcxNTYwMbZQ0lEKTi0uzszPAykwrgUAX1C/3CwAAAA="/>
  </w:docVars>
  <w:rsids>
    <w:rsidRoot w:val="00455F2C"/>
    <w:rsid w:val="0000638D"/>
    <w:rsid w:val="00006F2D"/>
    <w:rsid w:val="0001260A"/>
    <w:rsid w:val="00013B69"/>
    <w:rsid w:val="00020513"/>
    <w:rsid w:val="00024C5E"/>
    <w:rsid w:val="000306B1"/>
    <w:rsid w:val="00030D1E"/>
    <w:rsid w:val="000317E9"/>
    <w:rsid w:val="000333EA"/>
    <w:rsid w:val="00033776"/>
    <w:rsid w:val="00040698"/>
    <w:rsid w:val="00046430"/>
    <w:rsid w:val="00046963"/>
    <w:rsid w:val="00047A49"/>
    <w:rsid w:val="00067369"/>
    <w:rsid w:val="00073DB5"/>
    <w:rsid w:val="00081E2C"/>
    <w:rsid w:val="0008321D"/>
    <w:rsid w:val="000867AC"/>
    <w:rsid w:val="000904A6"/>
    <w:rsid w:val="00095EAE"/>
    <w:rsid w:val="00096630"/>
    <w:rsid w:val="00096A4A"/>
    <w:rsid w:val="000A3D30"/>
    <w:rsid w:val="000A6BA0"/>
    <w:rsid w:val="000D7BFB"/>
    <w:rsid w:val="000E211D"/>
    <w:rsid w:val="000E2C95"/>
    <w:rsid w:val="000E3B27"/>
    <w:rsid w:val="000E72F4"/>
    <w:rsid w:val="000F6001"/>
    <w:rsid w:val="001012AA"/>
    <w:rsid w:val="0012165C"/>
    <w:rsid w:val="00123C1D"/>
    <w:rsid w:val="001348F6"/>
    <w:rsid w:val="00137022"/>
    <w:rsid w:val="00137CDC"/>
    <w:rsid w:val="0014207A"/>
    <w:rsid w:val="00143511"/>
    <w:rsid w:val="00144143"/>
    <w:rsid w:val="00147847"/>
    <w:rsid w:val="00154A3B"/>
    <w:rsid w:val="00166318"/>
    <w:rsid w:val="00167A7C"/>
    <w:rsid w:val="001711B2"/>
    <w:rsid w:val="0017164F"/>
    <w:rsid w:val="0017228F"/>
    <w:rsid w:val="00174849"/>
    <w:rsid w:val="00174ECA"/>
    <w:rsid w:val="00180F7F"/>
    <w:rsid w:val="00181FF6"/>
    <w:rsid w:val="0019074C"/>
    <w:rsid w:val="00192CEC"/>
    <w:rsid w:val="0019468D"/>
    <w:rsid w:val="00195986"/>
    <w:rsid w:val="001A53BA"/>
    <w:rsid w:val="001B0B0C"/>
    <w:rsid w:val="001B255F"/>
    <w:rsid w:val="001C6D03"/>
    <w:rsid w:val="001D0B47"/>
    <w:rsid w:val="001D263A"/>
    <w:rsid w:val="001E2246"/>
    <w:rsid w:val="001E28EE"/>
    <w:rsid w:val="001E5B2E"/>
    <w:rsid w:val="001E7BEA"/>
    <w:rsid w:val="001F0DA6"/>
    <w:rsid w:val="001F634F"/>
    <w:rsid w:val="00211920"/>
    <w:rsid w:val="002141CA"/>
    <w:rsid w:val="002151C3"/>
    <w:rsid w:val="002219C5"/>
    <w:rsid w:val="00222C9B"/>
    <w:rsid w:val="00223055"/>
    <w:rsid w:val="00223E66"/>
    <w:rsid w:val="00226C7B"/>
    <w:rsid w:val="00233810"/>
    <w:rsid w:val="00236941"/>
    <w:rsid w:val="0024546D"/>
    <w:rsid w:val="0024698B"/>
    <w:rsid w:val="00246DF6"/>
    <w:rsid w:val="002646B8"/>
    <w:rsid w:val="00272DA6"/>
    <w:rsid w:val="002736AA"/>
    <w:rsid w:val="002A4717"/>
    <w:rsid w:val="002B19B4"/>
    <w:rsid w:val="002B2335"/>
    <w:rsid w:val="002B30D7"/>
    <w:rsid w:val="002C20D6"/>
    <w:rsid w:val="002C21FA"/>
    <w:rsid w:val="002C23F8"/>
    <w:rsid w:val="002C6D12"/>
    <w:rsid w:val="002E75EC"/>
    <w:rsid w:val="002F35D7"/>
    <w:rsid w:val="00300309"/>
    <w:rsid w:val="00302BF8"/>
    <w:rsid w:val="00305A37"/>
    <w:rsid w:val="0031268A"/>
    <w:rsid w:val="003173FC"/>
    <w:rsid w:val="003209FB"/>
    <w:rsid w:val="00320DC8"/>
    <w:rsid w:val="00321877"/>
    <w:rsid w:val="00323259"/>
    <w:rsid w:val="003350C3"/>
    <w:rsid w:val="00351222"/>
    <w:rsid w:val="00360FC4"/>
    <w:rsid w:val="00365068"/>
    <w:rsid w:val="0037213E"/>
    <w:rsid w:val="00373B0E"/>
    <w:rsid w:val="0037782D"/>
    <w:rsid w:val="003808B7"/>
    <w:rsid w:val="00380BDF"/>
    <w:rsid w:val="003825B6"/>
    <w:rsid w:val="0038797B"/>
    <w:rsid w:val="00387E8A"/>
    <w:rsid w:val="00395EA3"/>
    <w:rsid w:val="003A4448"/>
    <w:rsid w:val="003A53A5"/>
    <w:rsid w:val="003A731C"/>
    <w:rsid w:val="003B0FCC"/>
    <w:rsid w:val="003B585E"/>
    <w:rsid w:val="003C317B"/>
    <w:rsid w:val="003C5A63"/>
    <w:rsid w:val="003E3C7E"/>
    <w:rsid w:val="003E3D69"/>
    <w:rsid w:val="003E7E63"/>
    <w:rsid w:val="003F5A15"/>
    <w:rsid w:val="003F5D2A"/>
    <w:rsid w:val="003F7AC5"/>
    <w:rsid w:val="00400122"/>
    <w:rsid w:val="004058BC"/>
    <w:rsid w:val="00407756"/>
    <w:rsid w:val="0041152A"/>
    <w:rsid w:val="004139B8"/>
    <w:rsid w:val="00415685"/>
    <w:rsid w:val="00426B9D"/>
    <w:rsid w:val="0043071D"/>
    <w:rsid w:val="0043760B"/>
    <w:rsid w:val="0044287D"/>
    <w:rsid w:val="00442EA4"/>
    <w:rsid w:val="004555F5"/>
    <w:rsid w:val="00455F2C"/>
    <w:rsid w:val="00461A0C"/>
    <w:rsid w:val="00464ACE"/>
    <w:rsid w:val="004741F7"/>
    <w:rsid w:val="0047780B"/>
    <w:rsid w:val="00492FF6"/>
    <w:rsid w:val="004A08CF"/>
    <w:rsid w:val="004A128C"/>
    <w:rsid w:val="004A2CE2"/>
    <w:rsid w:val="004B1052"/>
    <w:rsid w:val="004B16A5"/>
    <w:rsid w:val="004B1787"/>
    <w:rsid w:val="004B35B0"/>
    <w:rsid w:val="004B535E"/>
    <w:rsid w:val="004C64B8"/>
    <w:rsid w:val="004D2E11"/>
    <w:rsid w:val="004D53AC"/>
    <w:rsid w:val="004E1831"/>
    <w:rsid w:val="004E2EE8"/>
    <w:rsid w:val="004E2EF0"/>
    <w:rsid w:val="004E6A00"/>
    <w:rsid w:val="004F6431"/>
    <w:rsid w:val="00502E85"/>
    <w:rsid w:val="00510DDD"/>
    <w:rsid w:val="00511F86"/>
    <w:rsid w:val="00515D98"/>
    <w:rsid w:val="00520802"/>
    <w:rsid w:val="0052258F"/>
    <w:rsid w:val="00526FDA"/>
    <w:rsid w:val="00527152"/>
    <w:rsid w:val="00532E7F"/>
    <w:rsid w:val="0053672A"/>
    <w:rsid w:val="005439E5"/>
    <w:rsid w:val="0054552E"/>
    <w:rsid w:val="005470F4"/>
    <w:rsid w:val="00553FB3"/>
    <w:rsid w:val="005550AA"/>
    <w:rsid w:val="00555B3F"/>
    <w:rsid w:val="005611F4"/>
    <w:rsid w:val="00564012"/>
    <w:rsid w:val="0057395A"/>
    <w:rsid w:val="005802E6"/>
    <w:rsid w:val="005809C3"/>
    <w:rsid w:val="00581477"/>
    <w:rsid w:val="005848B0"/>
    <w:rsid w:val="00593B1F"/>
    <w:rsid w:val="005A3139"/>
    <w:rsid w:val="005B05CD"/>
    <w:rsid w:val="005B27C3"/>
    <w:rsid w:val="005B4C52"/>
    <w:rsid w:val="005D17DB"/>
    <w:rsid w:val="005D5FD2"/>
    <w:rsid w:val="005F3540"/>
    <w:rsid w:val="00603DCF"/>
    <w:rsid w:val="00605A14"/>
    <w:rsid w:val="006107F0"/>
    <w:rsid w:val="006256FC"/>
    <w:rsid w:val="0063536D"/>
    <w:rsid w:val="00637131"/>
    <w:rsid w:val="00640872"/>
    <w:rsid w:val="0064260A"/>
    <w:rsid w:val="006454D7"/>
    <w:rsid w:val="00657C1D"/>
    <w:rsid w:val="00660F30"/>
    <w:rsid w:val="00661BFF"/>
    <w:rsid w:val="00663D15"/>
    <w:rsid w:val="00664DB6"/>
    <w:rsid w:val="00667C08"/>
    <w:rsid w:val="00675E4F"/>
    <w:rsid w:val="00676982"/>
    <w:rsid w:val="006837B5"/>
    <w:rsid w:val="00685595"/>
    <w:rsid w:val="00692AAB"/>
    <w:rsid w:val="006A0EB0"/>
    <w:rsid w:val="006B488B"/>
    <w:rsid w:val="006B5C1C"/>
    <w:rsid w:val="006B7AB4"/>
    <w:rsid w:val="006C0ED0"/>
    <w:rsid w:val="006D4277"/>
    <w:rsid w:val="006D7EF4"/>
    <w:rsid w:val="006E0307"/>
    <w:rsid w:val="006E1B8C"/>
    <w:rsid w:val="006E3A54"/>
    <w:rsid w:val="006F5B8C"/>
    <w:rsid w:val="006F66C3"/>
    <w:rsid w:val="007114D0"/>
    <w:rsid w:val="00711B62"/>
    <w:rsid w:val="007136EA"/>
    <w:rsid w:val="0071470E"/>
    <w:rsid w:val="0071696E"/>
    <w:rsid w:val="00726D00"/>
    <w:rsid w:val="00727C61"/>
    <w:rsid w:val="007413E7"/>
    <w:rsid w:val="007443D7"/>
    <w:rsid w:val="00745A76"/>
    <w:rsid w:val="00753950"/>
    <w:rsid w:val="00756616"/>
    <w:rsid w:val="007727E3"/>
    <w:rsid w:val="0077745F"/>
    <w:rsid w:val="0078082E"/>
    <w:rsid w:val="007825E9"/>
    <w:rsid w:val="0078623C"/>
    <w:rsid w:val="0078674F"/>
    <w:rsid w:val="00787C67"/>
    <w:rsid w:val="007A4D13"/>
    <w:rsid w:val="007A780F"/>
    <w:rsid w:val="007B0AB1"/>
    <w:rsid w:val="007B249F"/>
    <w:rsid w:val="007B32E9"/>
    <w:rsid w:val="007C05C9"/>
    <w:rsid w:val="007C35BD"/>
    <w:rsid w:val="007C62D1"/>
    <w:rsid w:val="007C76D2"/>
    <w:rsid w:val="007D4264"/>
    <w:rsid w:val="007D6329"/>
    <w:rsid w:val="007D67F6"/>
    <w:rsid w:val="007D7288"/>
    <w:rsid w:val="007D7BB6"/>
    <w:rsid w:val="007E32CE"/>
    <w:rsid w:val="007F04C0"/>
    <w:rsid w:val="007F3634"/>
    <w:rsid w:val="007F3AA8"/>
    <w:rsid w:val="007F4C76"/>
    <w:rsid w:val="007F4FA6"/>
    <w:rsid w:val="008048CF"/>
    <w:rsid w:val="00813D07"/>
    <w:rsid w:val="008202AA"/>
    <w:rsid w:val="008228C4"/>
    <w:rsid w:val="00823CA7"/>
    <w:rsid w:val="008279FD"/>
    <w:rsid w:val="00831447"/>
    <w:rsid w:val="008320DE"/>
    <w:rsid w:val="00832BBE"/>
    <w:rsid w:val="00833713"/>
    <w:rsid w:val="00841070"/>
    <w:rsid w:val="0084232F"/>
    <w:rsid w:val="00842B75"/>
    <w:rsid w:val="00842BEA"/>
    <w:rsid w:val="00852B63"/>
    <w:rsid w:val="0086032A"/>
    <w:rsid w:val="008605CA"/>
    <w:rsid w:val="00863188"/>
    <w:rsid w:val="00865EC0"/>
    <w:rsid w:val="00867A37"/>
    <w:rsid w:val="00867CB2"/>
    <w:rsid w:val="00887746"/>
    <w:rsid w:val="008B4952"/>
    <w:rsid w:val="008B5F5B"/>
    <w:rsid w:val="008B64C5"/>
    <w:rsid w:val="008B6588"/>
    <w:rsid w:val="008B7FD8"/>
    <w:rsid w:val="008C69B9"/>
    <w:rsid w:val="008D5C9F"/>
    <w:rsid w:val="008D70EE"/>
    <w:rsid w:val="008E5CCE"/>
    <w:rsid w:val="00901853"/>
    <w:rsid w:val="00902F80"/>
    <w:rsid w:val="00911DB2"/>
    <w:rsid w:val="009224AA"/>
    <w:rsid w:val="009225C6"/>
    <w:rsid w:val="00933EF1"/>
    <w:rsid w:val="0093422E"/>
    <w:rsid w:val="0093543B"/>
    <w:rsid w:val="009372D3"/>
    <w:rsid w:val="009402C0"/>
    <w:rsid w:val="00945513"/>
    <w:rsid w:val="0094707E"/>
    <w:rsid w:val="009471B6"/>
    <w:rsid w:val="00950454"/>
    <w:rsid w:val="00955568"/>
    <w:rsid w:val="009564A0"/>
    <w:rsid w:val="0096245D"/>
    <w:rsid w:val="009630D8"/>
    <w:rsid w:val="00965C6A"/>
    <w:rsid w:val="009735AB"/>
    <w:rsid w:val="00975E68"/>
    <w:rsid w:val="00982F73"/>
    <w:rsid w:val="0098357A"/>
    <w:rsid w:val="0098685D"/>
    <w:rsid w:val="00987A5C"/>
    <w:rsid w:val="009A43F1"/>
    <w:rsid w:val="009C28E5"/>
    <w:rsid w:val="009C36B0"/>
    <w:rsid w:val="009C4B86"/>
    <w:rsid w:val="009D1D4C"/>
    <w:rsid w:val="009D410A"/>
    <w:rsid w:val="009E0A5E"/>
    <w:rsid w:val="009E3269"/>
    <w:rsid w:val="00A02259"/>
    <w:rsid w:val="00A058D5"/>
    <w:rsid w:val="00A14119"/>
    <w:rsid w:val="00A14887"/>
    <w:rsid w:val="00A22721"/>
    <w:rsid w:val="00A247E4"/>
    <w:rsid w:val="00A25722"/>
    <w:rsid w:val="00A27B4C"/>
    <w:rsid w:val="00A348B6"/>
    <w:rsid w:val="00A40FA8"/>
    <w:rsid w:val="00A57DC9"/>
    <w:rsid w:val="00A6094D"/>
    <w:rsid w:val="00A62752"/>
    <w:rsid w:val="00A64DE8"/>
    <w:rsid w:val="00A83179"/>
    <w:rsid w:val="00A83BF6"/>
    <w:rsid w:val="00A84D85"/>
    <w:rsid w:val="00A90024"/>
    <w:rsid w:val="00A944A5"/>
    <w:rsid w:val="00AA63CB"/>
    <w:rsid w:val="00AA6939"/>
    <w:rsid w:val="00AA7047"/>
    <w:rsid w:val="00AC2FA0"/>
    <w:rsid w:val="00AD2AA6"/>
    <w:rsid w:val="00AD2C55"/>
    <w:rsid w:val="00AD3A72"/>
    <w:rsid w:val="00AD4E89"/>
    <w:rsid w:val="00AD737D"/>
    <w:rsid w:val="00AE056D"/>
    <w:rsid w:val="00AE33C8"/>
    <w:rsid w:val="00AE3A75"/>
    <w:rsid w:val="00AF364E"/>
    <w:rsid w:val="00AF41CD"/>
    <w:rsid w:val="00AF6BAE"/>
    <w:rsid w:val="00B01B97"/>
    <w:rsid w:val="00B03C60"/>
    <w:rsid w:val="00B04937"/>
    <w:rsid w:val="00B06028"/>
    <w:rsid w:val="00B13D1A"/>
    <w:rsid w:val="00B22C87"/>
    <w:rsid w:val="00B23375"/>
    <w:rsid w:val="00B27D2C"/>
    <w:rsid w:val="00B30BC4"/>
    <w:rsid w:val="00B31BD9"/>
    <w:rsid w:val="00B5074B"/>
    <w:rsid w:val="00B54F4A"/>
    <w:rsid w:val="00B63775"/>
    <w:rsid w:val="00B665D7"/>
    <w:rsid w:val="00B74306"/>
    <w:rsid w:val="00B815F7"/>
    <w:rsid w:val="00B8329F"/>
    <w:rsid w:val="00BB1B7C"/>
    <w:rsid w:val="00BB307D"/>
    <w:rsid w:val="00BB4EB0"/>
    <w:rsid w:val="00BB7264"/>
    <w:rsid w:val="00BC60EC"/>
    <w:rsid w:val="00BD0332"/>
    <w:rsid w:val="00BD64AB"/>
    <w:rsid w:val="00BE06CD"/>
    <w:rsid w:val="00BE108D"/>
    <w:rsid w:val="00BE1198"/>
    <w:rsid w:val="00BE3699"/>
    <w:rsid w:val="00BE6051"/>
    <w:rsid w:val="00BF2F4B"/>
    <w:rsid w:val="00BF32C8"/>
    <w:rsid w:val="00BF40AA"/>
    <w:rsid w:val="00BF7F4D"/>
    <w:rsid w:val="00C018A0"/>
    <w:rsid w:val="00C02289"/>
    <w:rsid w:val="00C02ED3"/>
    <w:rsid w:val="00C05BF8"/>
    <w:rsid w:val="00C065D3"/>
    <w:rsid w:val="00C10A44"/>
    <w:rsid w:val="00C158EF"/>
    <w:rsid w:val="00C206CA"/>
    <w:rsid w:val="00C20B48"/>
    <w:rsid w:val="00C27DBE"/>
    <w:rsid w:val="00C6170A"/>
    <w:rsid w:val="00C61D96"/>
    <w:rsid w:val="00C65218"/>
    <w:rsid w:val="00C65C57"/>
    <w:rsid w:val="00C74613"/>
    <w:rsid w:val="00C772C9"/>
    <w:rsid w:val="00C824DD"/>
    <w:rsid w:val="00C92F1D"/>
    <w:rsid w:val="00C93BB1"/>
    <w:rsid w:val="00C9478E"/>
    <w:rsid w:val="00C96316"/>
    <w:rsid w:val="00CA5DA6"/>
    <w:rsid w:val="00CB7221"/>
    <w:rsid w:val="00CC294E"/>
    <w:rsid w:val="00CC3133"/>
    <w:rsid w:val="00CC3FCD"/>
    <w:rsid w:val="00CC5762"/>
    <w:rsid w:val="00CC5E22"/>
    <w:rsid w:val="00CC70E4"/>
    <w:rsid w:val="00CD0845"/>
    <w:rsid w:val="00CD1D24"/>
    <w:rsid w:val="00CD362F"/>
    <w:rsid w:val="00CD3C88"/>
    <w:rsid w:val="00CE6040"/>
    <w:rsid w:val="00CF0F17"/>
    <w:rsid w:val="00CF4ABF"/>
    <w:rsid w:val="00D15F28"/>
    <w:rsid w:val="00D32F50"/>
    <w:rsid w:val="00D34B28"/>
    <w:rsid w:val="00D441A1"/>
    <w:rsid w:val="00D50821"/>
    <w:rsid w:val="00D609E5"/>
    <w:rsid w:val="00D70F40"/>
    <w:rsid w:val="00D71026"/>
    <w:rsid w:val="00D715C9"/>
    <w:rsid w:val="00D7703F"/>
    <w:rsid w:val="00D843B5"/>
    <w:rsid w:val="00D84698"/>
    <w:rsid w:val="00D847EE"/>
    <w:rsid w:val="00DB416B"/>
    <w:rsid w:val="00DC1A3B"/>
    <w:rsid w:val="00DD04AB"/>
    <w:rsid w:val="00DD5AD0"/>
    <w:rsid w:val="00DE3235"/>
    <w:rsid w:val="00DF0286"/>
    <w:rsid w:val="00DF0EAB"/>
    <w:rsid w:val="00E007A5"/>
    <w:rsid w:val="00E030CD"/>
    <w:rsid w:val="00E11FC5"/>
    <w:rsid w:val="00E13F16"/>
    <w:rsid w:val="00E14753"/>
    <w:rsid w:val="00E20D3A"/>
    <w:rsid w:val="00E23166"/>
    <w:rsid w:val="00E259EA"/>
    <w:rsid w:val="00E45443"/>
    <w:rsid w:val="00E477B8"/>
    <w:rsid w:val="00E57D6D"/>
    <w:rsid w:val="00E63BF6"/>
    <w:rsid w:val="00E721C9"/>
    <w:rsid w:val="00E7391C"/>
    <w:rsid w:val="00E77058"/>
    <w:rsid w:val="00E81819"/>
    <w:rsid w:val="00E81DFC"/>
    <w:rsid w:val="00E91B0B"/>
    <w:rsid w:val="00E96EB9"/>
    <w:rsid w:val="00E97487"/>
    <w:rsid w:val="00EA3DE3"/>
    <w:rsid w:val="00EB0EC9"/>
    <w:rsid w:val="00EB4B9E"/>
    <w:rsid w:val="00EB73C1"/>
    <w:rsid w:val="00EB7C6B"/>
    <w:rsid w:val="00EC38A3"/>
    <w:rsid w:val="00EC54B0"/>
    <w:rsid w:val="00EC6C88"/>
    <w:rsid w:val="00ED7C15"/>
    <w:rsid w:val="00EF23FE"/>
    <w:rsid w:val="00EF6264"/>
    <w:rsid w:val="00EF7E24"/>
    <w:rsid w:val="00F14A66"/>
    <w:rsid w:val="00F230B9"/>
    <w:rsid w:val="00F31A6B"/>
    <w:rsid w:val="00F322AE"/>
    <w:rsid w:val="00F35E31"/>
    <w:rsid w:val="00F57992"/>
    <w:rsid w:val="00F66E55"/>
    <w:rsid w:val="00F67D13"/>
    <w:rsid w:val="00F759B9"/>
    <w:rsid w:val="00F80385"/>
    <w:rsid w:val="00F82B5B"/>
    <w:rsid w:val="00F86FC4"/>
    <w:rsid w:val="00F921AE"/>
    <w:rsid w:val="00F926AD"/>
    <w:rsid w:val="00FA1A06"/>
    <w:rsid w:val="00FA22C8"/>
    <w:rsid w:val="00FA6A2C"/>
    <w:rsid w:val="00FC67CF"/>
    <w:rsid w:val="00FD3F90"/>
    <w:rsid w:val="00FD75AB"/>
    <w:rsid w:val="00FE149A"/>
    <w:rsid w:val="00FE313E"/>
    <w:rsid w:val="00FE582F"/>
    <w:rsid w:val="00FE6AE8"/>
    <w:rsid w:val="00FF1A8F"/>
    <w:rsid w:val="00FF1B94"/>
    <w:rsid w:val="00FF1F21"/>
    <w:rsid w:val="00FF38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B69B11"/>
  <w15:chartTrackingRefBased/>
  <w15:docId w15:val="{B62695D5-F1CF-46CE-BA59-E8203A906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David"/>
        <w:kern w:val="2"/>
        <w:sz w:val="24"/>
        <w:szCs w:val="24"/>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5F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5F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5F2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5F2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55F2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55F2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55F2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55F2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55F2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nhideWhenUsed/>
    <w:rsid w:val="00E81819"/>
    <w:rPr>
      <w:rFonts w:asciiTheme="majorBidi" w:hAnsiTheme="majorBidi" w:cstheme="majorBidi"/>
      <w:sz w:val="24"/>
      <w:szCs w:val="24"/>
      <w:vertAlign w:val="superscript"/>
    </w:rPr>
  </w:style>
  <w:style w:type="character" w:customStyle="1" w:styleId="Heading1Char">
    <w:name w:val="Heading 1 Char"/>
    <w:basedOn w:val="DefaultParagraphFont"/>
    <w:link w:val="Heading1"/>
    <w:uiPriority w:val="9"/>
    <w:rsid w:val="00455F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5F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5F2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5F2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55F2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55F2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55F2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55F2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55F2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55F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5F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5F2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5F2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A3DE3"/>
    <w:pPr>
      <w:spacing w:line="360" w:lineRule="auto"/>
      <w:ind w:left="720"/>
    </w:pPr>
  </w:style>
  <w:style w:type="character" w:customStyle="1" w:styleId="QuoteChar">
    <w:name w:val="Quote Char"/>
    <w:basedOn w:val="DefaultParagraphFont"/>
    <w:link w:val="Quote"/>
    <w:uiPriority w:val="29"/>
    <w:rsid w:val="00EA3DE3"/>
  </w:style>
  <w:style w:type="paragraph" w:styleId="ListParagraph">
    <w:name w:val="List Paragraph"/>
    <w:basedOn w:val="Normal"/>
    <w:uiPriority w:val="34"/>
    <w:qFormat/>
    <w:rsid w:val="00455F2C"/>
    <w:pPr>
      <w:ind w:left="720"/>
      <w:contextualSpacing/>
    </w:pPr>
  </w:style>
  <w:style w:type="character" w:styleId="IntenseEmphasis">
    <w:name w:val="Intense Emphasis"/>
    <w:basedOn w:val="DefaultParagraphFont"/>
    <w:uiPriority w:val="21"/>
    <w:qFormat/>
    <w:rsid w:val="00455F2C"/>
    <w:rPr>
      <w:i/>
      <w:iCs/>
      <w:color w:val="0F4761" w:themeColor="accent1" w:themeShade="BF"/>
    </w:rPr>
  </w:style>
  <w:style w:type="paragraph" w:styleId="IntenseQuote">
    <w:name w:val="Intense Quote"/>
    <w:basedOn w:val="Normal"/>
    <w:next w:val="Normal"/>
    <w:link w:val="IntenseQuoteChar"/>
    <w:uiPriority w:val="30"/>
    <w:qFormat/>
    <w:rsid w:val="00455F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5F2C"/>
    <w:rPr>
      <w:i/>
      <w:iCs/>
      <w:color w:val="0F4761" w:themeColor="accent1" w:themeShade="BF"/>
    </w:rPr>
  </w:style>
  <w:style w:type="character" w:styleId="IntenseReference">
    <w:name w:val="Intense Reference"/>
    <w:basedOn w:val="DefaultParagraphFont"/>
    <w:uiPriority w:val="32"/>
    <w:qFormat/>
    <w:rsid w:val="00455F2C"/>
    <w:rPr>
      <w:b/>
      <w:bCs/>
      <w:smallCaps/>
      <w:color w:val="0F4761" w:themeColor="accent1" w:themeShade="BF"/>
      <w:spacing w:val="5"/>
    </w:rPr>
  </w:style>
  <w:style w:type="paragraph" w:styleId="FootnoteText">
    <w:name w:val="footnote text"/>
    <w:basedOn w:val="Normal"/>
    <w:link w:val="FootnoteTextChar"/>
    <w:uiPriority w:val="99"/>
    <w:unhideWhenUsed/>
    <w:rsid w:val="00D843B5"/>
    <w:pPr>
      <w:spacing w:after="0" w:line="240" w:lineRule="auto"/>
    </w:pPr>
    <w:rPr>
      <w:sz w:val="20"/>
      <w:szCs w:val="20"/>
    </w:rPr>
  </w:style>
  <w:style w:type="character" w:customStyle="1" w:styleId="FootnoteTextChar">
    <w:name w:val="Footnote Text Char"/>
    <w:basedOn w:val="DefaultParagraphFont"/>
    <w:link w:val="FootnoteText"/>
    <w:uiPriority w:val="99"/>
    <w:rsid w:val="00D843B5"/>
    <w:rPr>
      <w:sz w:val="20"/>
      <w:szCs w:val="20"/>
    </w:rPr>
  </w:style>
  <w:style w:type="paragraph" w:customStyle="1" w:styleId="a">
    <w:name w:val="ביבליו"/>
    <w:basedOn w:val="Normal"/>
    <w:rsid w:val="007F4C76"/>
    <w:pPr>
      <w:bidi/>
      <w:spacing w:after="0" w:line="240" w:lineRule="auto"/>
      <w:jc w:val="both"/>
    </w:pPr>
    <w:rPr>
      <w:kern w:val="0"/>
      <w:sz w:val="20"/>
      <w:szCs w:val="20"/>
    </w:rPr>
  </w:style>
  <w:style w:type="character" w:styleId="Hyperlink">
    <w:name w:val="Hyperlink"/>
    <w:basedOn w:val="DefaultParagraphFont"/>
    <w:uiPriority w:val="99"/>
    <w:unhideWhenUsed/>
    <w:rsid w:val="007F4C76"/>
    <w:rPr>
      <w:color w:val="467886" w:themeColor="hyperlink"/>
      <w:u w:val="single"/>
    </w:rPr>
  </w:style>
  <w:style w:type="character" w:styleId="UnresolvedMention">
    <w:name w:val="Unresolved Mention"/>
    <w:basedOn w:val="DefaultParagraphFont"/>
    <w:uiPriority w:val="99"/>
    <w:semiHidden/>
    <w:unhideWhenUsed/>
    <w:rsid w:val="007F4C76"/>
    <w:rPr>
      <w:color w:val="605E5C"/>
      <w:shd w:val="clear" w:color="auto" w:fill="E1DFDD"/>
    </w:rPr>
  </w:style>
  <w:style w:type="character" w:styleId="FollowedHyperlink">
    <w:name w:val="FollowedHyperlink"/>
    <w:basedOn w:val="DefaultParagraphFont"/>
    <w:uiPriority w:val="99"/>
    <w:semiHidden/>
    <w:unhideWhenUsed/>
    <w:rsid w:val="007F4C76"/>
    <w:rPr>
      <w:color w:val="96607D" w:themeColor="followedHyperlink"/>
      <w:u w:val="single"/>
    </w:rPr>
  </w:style>
  <w:style w:type="character" w:styleId="CommentReference">
    <w:name w:val="annotation reference"/>
    <w:basedOn w:val="DefaultParagraphFont"/>
    <w:uiPriority w:val="99"/>
    <w:semiHidden/>
    <w:unhideWhenUsed/>
    <w:rsid w:val="00013B69"/>
    <w:rPr>
      <w:sz w:val="16"/>
      <w:szCs w:val="16"/>
    </w:rPr>
  </w:style>
  <w:style w:type="paragraph" w:styleId="CommentText">
    <w:name w:val="annotation text"/>
    <w:basedOn w:val="Normal"/>
    <w:link w:val="CommentTextChar"/>
    <w:uiPriority w:val="99"/>
    <w:unhideWhenUsed/>
    <w:rsid w:val="00013B69"/>
    <w:pPr>
      <w:spacing w:line="240" w:lineRule="auto"/>
    </w:pPr>
    <w:rPr>
      <w:sz w:val="20"/>
      <w:szCs w:val="20"/>
    </w:rPr>
  </w:style>
  <w:style w:type="character" w:customStyle="1" w:styleId="CommentTextChar">
    <w:name w:val="Comment Text Char"/>
    <w:basedOn w:val="DefaultParagraphFont"/>
    <w:link w:val="CommentText"/>
    <w:uiPriority w:val="99"/>
    <w:rsid w:val="00013B69"/>
    <w:rPr>
      <w:sz w:val="20"/>
      <w:szCs w:val="20"/>
    </w:rPr>
  </w:style>
  <w:style w:type="paragraph" w:styleId="CommentSubject">
    <w:name w:val="annotation subject"/>
    <w:basedOn w:val="CommentText"/>
    <w:next w:val="CommentText"/>
    <w:link w:val="CommentSubjectChar"/>
    <w:uiPriority w:val="99"/>
    <w:semiHidden/>
    <w:unhideWhenUsed/>
    <w:rsid w:val="00013B69"/>
    <w:rPr>
      <w:b/>
      <w:bCs/>
    </w:rPr>
  </w:style>
  <w:style w:type="character" w:customStyle="1" w:styleId="CommentSubjectChar">
    <w:name w:val="Comment Subject Char"/>
    <w:basedOn w:val="CommentTextChar"/>
    <w:link w:val="CommentSubject"/>
    <w:uiPriority w:val="99"/>
    <w:semiHidden/>
    <w:rsid w:val="00013B69"/>
    <w:rPr>
      <w:b/>
      <w:bCs/>
      <w:sz w:val="20"/>
      <w:szCs w:val="20"/>
    </w:rPr>
  </w:style>
  <w:style w:type="paragraph" w:styleId="Revision">
    <w:name w:val="Revision"/>
    <w:hidden/>
    <w:uiPriority w:val="99"/>
    <w:semiHidden/>
    <w:rsid w:val="007867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55744">
      <w:bodyDiv w:val="1"/>
      <w:marLeft w:val="0"/>
      <w:marRight w:val="0"/>
      <w:marTop w:val="0"/>
      <w:marBottom w:val="0"/>
      <w:divBdr>
        <w:top w:val="none" w:sz="0" w:space="0" w:color="auto"/>
        <w:left w:val="none" w:sz="0" w:space="0" w:color="auto"/>
        <w:bottom w:val="none" w:sz="0" w:space="0" w:color="auto"/>
        <w:right w:val="none" w:sz="0" w:space="0" w:color="auto"/>
      </w:divBdr>
      <w:divsChild>
        <w:div w:id="540092709">
          <w:marLeft w:val="0"/>
          <w:marRight w:val="0"/>
          <w:marTop w:val="0"/>
          <w:marBottom w:val="0"/>
          <w:divBdr>
            <w:top w:val="none" w:sz="0" w:space="0" w:color="auto"/>
            <w:left w:val="none" w:sz="0" w:space="0" w:color="auto"/>
            <w:bottom w:val="none" w:sz="0" w:space="0" w:color="auto"/>
            <w:right w:val="none" w:sz="0" w:space="0" w:color="auto"/>
          </w:divBdr>
        </w:div>
      </w:divsChild>
    </w:div>
    <w:div w:id="162360588">
      <w:bodyDiv w:val="1"/>
      <w:marLeft w:val="0"/>
      <w:marRight w:val="0"/>
      <w:marTop w:val="0"/>
      <w:marBottom w:val="0"/>
      <w:divBdr>
        <w:top w:val="none" w:sz="0" w:space="0" w:color="auto"/>
        <w:left w:val="none" w:sz="0" w:space="0" w:color="auto"/>
        <w:bottom w:val="none" w:sz="0" w:space="0" w:color="auto"/>
        <w:right w:val="none" w:sz="0" w:space="0" w:color="auto"/>
      </w:divBdr>
      <w:divsChild>
        <w:div w:id="1774352019">
          <w:marLeft w:val="0"/>
          <w:marRight w:val="0"/>
          <w:marTop w:val="0"/>
          <w:marBottom w:val="0"/>
          <w:divBdr>
            <w:top w:val="none" w:sz="0" w:space="0" w:color="auto"/>
            <w:left w:val="none" w:sz="0" w:space="0" w:color="auto"/>
            <w:bottom w:val="none" w:sz="0" w:space="0" w:color="auto"/>
            <w:right w:val="none" w:sz="0" w:space="0" w:color="auto"/>
          </w:divBdr>
        </w:div>
      </w:divsChild>
    </w:div>
    <w:div w:id="185407187">
      <w:bodyDiv w:val="1"/>
      <w:marLeft w:val="0"/>
      <w:marRight w:val="0"/>
      <w:marTop w:val="0"/>
      <w:marBottom w:val="0"/>
      <w:divBdr>
        <w:top w:val="none" w:sz="0" w:space="0" w:color="auto"/>
        <w:left w:val="none" w:sz="0" w:space="0" w:color="auto"/>
        <w:bottom w:val="none" w:sz="0" w:space="0" w:color="auto"/>
        <w:right w:val="none" w:sz="0" w:space="0" w:color="auto"/>
      </w:divBdr>
      <w:divsChild>
        <w:div w:id="139924765">
          <w:marLeft w:val="0"/>
          <w:marRight w:val="0"/>
          <w:marTop w:val="0"/>
          <w:marBottom w:val="0"/>
          <w:divBdr>
            <w:top w:val="none" w:sz="0" w:space="0" w:color="auto"/>
            <w:left w:val="none" w:sz="0" w:space="0" w:color="auto"/>
            <w:bottom w:val="none" w:sz="0" w:space="0" w:color="auto"/>
            <w:right w:val="none" w:sz="0" w:space="0" w:color="auto"/>
          </w:divBdr>
        </w:div>
      </w:divsChild>
    </w:div>
    <w:div w:id="730151178">
      <w:bodyDiv w:val="1"/>
      <w:marLeft w:val="0"/>
      <w:marRight w:val="0"/>
      <w:marTop w:val="0"/>
      <w:marBottom w:val="0"/>
      <w:divBdr>
        <w:top w:val="none" w:sz="0" w:space="0" w:color="auto"/>
        <w:left w:val="none" w:sz="0" w:space="0" w:color="auto"/>
        <w:bottom w:val="none" w:sz="0" w:space="0" w:color="auto"/>
        <w:right w:val="none" w:sz="0" w:space="0" w:color="auto"/>
      </w:divBdr>
      <w:divsChild>
        <w:div w:id="585580606">
          <w:marLeft w:val="0"/>
          <w:marRight w:val="0"/>
          <w:marTop w:val="0"/>
          <w:marBottom w:val="0"/>
          <w:divBdr>
            <w:top w:val="none" w:sz="0" w:space="0" w:color="auto"/>
            <w:left w:val="none" w:sz="0" w:space="0" w:color="auto"/>
            <w:bottom w:val="none" w:sz="0" w:space="0" w:color="auto"/>
            <w:right w:val="none" w:sz="0" w:space="0" w:color="auto"/>
          </w:divBdr>
        </w:div>
      </w:divsChild>
    </w:div>
    <w:div w:id="1264650828">
      <w:bodyDiv w:val="1"/>
      <w:marLeft w:val="0"/>
      <w:marRight w:val="0"/>
      <w:marTop w:val="0"/>
      <w:marBottom w:val="0"/>
      <w:divBdr>
        <w:top w:val="none" w:sz="0" w:space="0" w:color="auto"/>
        <w:left w:val="none" w:sz="0" w:space="0" w:color="auto"/>
        <w:bottom w:val="none" w:sz="0" w:space="0" w:color="auto"/>
        <w:right w:val="none" w:sz="0" w:space="0" w:color="auto"/>
      </w:divBdr>
      <w:divsChild>
        <w:div w:id="1456176439">
          <w:marLeft w:val="0"/>
          <w:marRight w:val="0"/>
          <w:marTop w:val="0"/>
          <w:marBottom w:val="0"/>
          <w:divBdr>
            <w:top w:val="none" w:sz="0" w:space="0" w:color="auto"/>
            <w:left w:val="none" w:sz="0" w:space="0" w:color="auto"/>
            <w:bottom w:val="none" w:sz="0" w:space="0" w:color="auto"/>
            <w:right w:val="none" w:sz="0" w:space="0" w:color="auto"/>
          </w:divBdr>
        </w:div>
      </w:divsChild>
    </w:div>
    <w:div w:id="1969779339">
      <w:bodyDiv w:val="1"/>
      <w:marLeft w:val="0"/>
      <w:marRight w:val="0"/>
      <w:marTop w:val="0"/>
      <w:marBottom w:val="0"/>
      <w:divBdr>
        <w:top w:val="none" w:sz="0" w:space="0" w:color="auto"/>
        <w:left w:val="none" w:sz="0" w:space="0" w:color="auto"/>
        <w:bottom w:val="none" w:sz="0" w:space="0" w:color="auto"/>
        <w:right w:val="none" w:sz="0" w:space="0" w:color="auto"/>
      </w:divBdr>
      <w:divsChild>
        <w:div w:id="740717782">
          <w:marLeft w:val="0"/>
          <w:marRight w:val="0"/>
          <w:marTop w:val="0"/>
          <w:marBottom w:val="0"/>
          <w:divBdr>
            <w:top w:val="none" w:sz="0" w:space="0" w:color="auto"/>
            <w:left w:val="none" w:sz="0" w:space="0" w:color="auto"/>
            <w:bottom w:val="none" w:sz="0" w:space="0" w:color="auto"/>
            <w:right w:val="none" w:sz="0" w:space="0" w:color="auto"/>
          </w:divBdr>
          <w:divsChild>
            <w:div w:id="159655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alhatorah.org/Commentators:R._Yosef_Kara's_Torah_Commentary/1/h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C188D-97DB-4887-AF7C-A4D382C65B77}">
  <ds:schemaRefs>
    <ds:schemaRef ds:uri="http://schemas.openxmlformats.org/officeDocument/2006/bibliography"/>
  </ds:schemaRefs>
</ds:datastoreItem>
</file>

<file path=docMetadata/LabelInfo.xml><?xml version="1.0" encoding="utf-8"?>
<clbl:labelList xmlns:clbl="http://schemas.microsoft.com/office/2020/mipLabelMetadata">
  <clbl:label id="{61234e14-5b87-4b67-ac19-8feaa8ba8f12}" enabled="0" method="" siteId="{61234e14-5b87-4b67-ac19-8feaa8ba8f12}" removed="1"/>
</clbl:labelList>
</file>

<file path=docProps/app.xml><?xml version="1.0" encoding="utf-8"?>
<Properties xmlns="http://schemas.openxmlformats.org/officeDocument/2006/extended-properties" xmlns:vt="http://schemas.openxmlformats.org/officeDocument/2006/docPropsVTypes">
  <Template>Normal.dotm</Template>
  <TotalTime>65</TotalTime>
  <Pages>23</Pages>
  <Words>7190</Words>
  <Characters>35199</Characters>
  <Application>Microsoft Office Word</Application>
  <DocSecurity>0</DocSecurity>
  <Lines>560</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Shulamit Finkelman Suna</dc:creator>
  <cp:keywords/>
  <dc:description/>
  <cp:lastModifiedBy>JA</cp:lastModifiedBy>
  <cp:revision>33</cp:revision>
  <dcterms:created xsi:type="dcterms:W3CDTF">2024-09-16T13:13:00Z</dcterms:created>
  <dcterms:modified xsi:type="dcterms:W3CDTF">2024-09-17T14:19:00Z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286eaf2d-0a3a-4927-b584-f6f24632dc97</vt:lpwstr>
  </property>
</Properties>
</file>