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D750A" w14:textId="56CEBA23" w:rsidR="00DE7485" w:rsidRDefault="00DE7485">
      <w:pPr>
        <w:bidi w:val="0"/>
        <w:rPr>
          <w:rtl/>
        </w:rPr>
      </w:pPr>
    </w:p>
    <w:p w14:paraId="3F4AA9A4" w14:textId="77777777" w:rsidR="00115B8B" w:rsidRDefault="00115B8B">
      <w:pPr>
        <w:rPr>
          <w:rtl/>
        </w:rPr>
      </w:pPr>
    </w:p>
    <w:p w14:paraId="4DEA7B14" w14:textId="29C3C1AC" w:rsidR="001C2854" w:rsidRDefault="002F4AD5">
      <w:pPr>
        <w:bidi w:val="0"/>
        <w:rPr>
          <w:rtl/>
        </w:rPr>
      </w:pPr>
      <w:r>
        <w:rPr>
          <w:rFonts w:hint="cs"/>
          <w:lang w:val="en"/>
        </w:rPr>
        <w:t xml:space="preserve">Moshe Bar-Asher, </w:t>
      </w:r>
      <w:r w:rsidRPr="00470ABD">
        <w:rPr>
          <w:rFonts w:hint="cs"/>
          <w:i/>
          <w:iCs/>
          <w:lang w:val="en"/>
        </w:rPr>
        <w:t xml:space="preserve">Studies in the </w:t>
      </w:r>
      <w:commentRangeStart w:id="0"/>
      <w:r w:rsidRPr="00470ABD">
        <w:rPr>
          <w:rFonts w:hint="cs"/>
          <w:i/>
          <w:iCs/>
          <w:lang w:val="en"/>
        </w:rPr>
        <w:t>Language of the Sages</w:t>
      </w:r>
      <w:commentRangeEnd w:id="0"/>
      <w:r w:rsidR="00EA43AF">
        <w:rPr>
          <w:rStyle w:val="CommentReference"/>
        </w:rPr>
        <w:commentReference w:id="0"/>
      </w:r>
      <w:r>
        <w:rPr>
          <w:rFonts w:hint="cs"/>
          <w:lang w:val="en"/>
        </w:rPr>
        <w:t>, Volume 4. Mossad Bialik, Jerusalem, 2024.</w:t>
      </w:r>
    </w:p>
    <w:p w14:paraId="548B3ABF" w14:textId="77777777" w:rsidR="00115B8B" w:rsidRDefault="00115B8B">
      <w:pPr>
        <w:rPr>
          <w:rtl/>
        </w:rPr>
      </w:pPr>
    </w:p>
    <w:p w14:paraId="1DA9A1A5" w14:textId="78893841" w:rsidR="00F83B1B" w:rsidRDefault="002F4AD5" w:rsidP="001C2854">
      <w:pPr>
        <w:bidi w:val="0"/>
        <w:spacing w:line="360" w:lineRule="auto"/>
        <w:jc w:val="both"/>
        <w:rPr>
          <w:rtl/>
        </w:rPr>
      </w:pPr>
      <w:r>
        <w:rPr>
          <w:rFonts w:hint="cs"/>
          <w:lang w:val="en"/>
        </w:rPr>
        <w:t xml:space="preserve">This is the fourth book in a series by one of the leading scholars of Rabbinic Hebrew in recent times, Prof. Moshe Bar-Asher. The nineteen articles in this collection join dozens of articles in previous volumes, bringing the total series to over seventy chapters for the benefit of scholars of Rabbinic Hebrew and those interested in the field. </w:t>
      </w:r>
    </w:p>
    <w:p w14:paraId="4888CA4F" w14:textId="484B643B" w:rsidR="005076B4" w:rsidRDefault="002F4AD5" w:rsidP="001C2854">
      <w:pPr>
        <w:bidi w:val="0"/>
        <w:spacing w:line="360" w:lineRule="auto"/>
        <w:jc w:val="both"/>
        <w:rPr>
          <w:rtl/>
        </w:rPr>
      </w:pPr>
      <w:r>
        <w:rPr>
          <w:rFonts w:hint="cs"/>
          <w:lang w:val="en"/>
        </w:rPr>
        <w:t xml:space="preserve">Like in its predecessors in the series, most of the articles in this volume were previously published on various platforms. A number of articles appear for the first time in this volume. The book is divided into six sections: </w:t>
      </w:r>
      <w:r w:rsidR="00AF6AA4">
        <w:rPr>
          <w:lang w:val="en"/>
        </w:rPr>
        <w:t>“</w:t>
      </w:r>
      <w:r>
        <w:rPr>
          <w:rFonts w:hint="cs"/>
          <w:lang w:val="en"/>
        </w:rPr>
        <w:t>Central Questions in the Study of the Language of the Sages</w:t>
      </w:r>
      <w:r w:rsidR="00AF6AA4">
        <w:rPr>
          <w:rFonts w:hint="cs"/>
          <w:lang w:val="en"/>
        </w:rPr>
        <w:t>,</w:t>
      </w:r>
      <w:r w:rsidR="00AF6AA4">
        <w:rPr>
          <w:lang w:val="en"/>
        </w:rPr>
        <w:t>”</w:t>
      </w:r>
      <w:r>
        <w:rPr>
          <w:rFonts w:hint="cs"/>
          <w:lang w:val="en"/>
        </w:rPr>
        <w:t xml:space="preserve"> </w:t>
      </w:r>
      <w:r w:rsidR="00AF6AA4">
        <w:rPr>
          <w:lang w:val="en"/>
        </w:rPr>
        <w:t>“</w:t>
      </w:r>
      <w:r>
        <w:rPr>
          <w:rFonts w:hint="cs"/>
          <w:lang w:val="en"/>
        </w:rPr>
        <w:t>Various Grammar Issues</w:t>
      </w:r>
      <w:r w:rsidR="00AF6AA4">
        <w:rPr>
          <w:rFonts w:hint="cs"/>
          <w:lang w:val="en"/>
        </w:rPr>
        <w:t>,</w:t>
      </w:r>
      <w:r w:rsidR="00AF6AA4">
        <w:rPr>
          <w:lang w:val="en"/>
        </w:rPr>
        <w:t>”</w:t>
      </w:r>
      <w:r>
        <w:rPr>
          <w:rFonts w:hint="cs"/>
          <w:lang w:val="en"/>
        </w:rPr>
        <w:t xml:space="preserve"> </w:t>
      </w:r>
      <w:r w:rsidR="00AF6AA4">
        <w:rPr>
          <w:lang w:val="en"/>
        </w:rPr>
        <w:t>“</w:t>
      </w:r>
      <w:r>
        <w:rPr>
          <w:rFonts w:hint="cs"/>
          <w:lang w:val="en"/>
        </w:rPr>
        <w:t>Noun Forms</w:t>
      </w:r>
      <w:r w:rsidR="00AF6AA4">
        <w:rPr>
          <w:rFonts w:hint="cs"/>
          <w:lang w:val="en"/>
        </w:rPr>
        <w:t>,</w:t>
      </w:r>
      <w:r w:rsidR="00AF6AA4">
        <w:rPr>
          <w:lang w:val="en"/>
        </w:rPr>
        <w:t>”</w:t>
      </w:r>
      <w:r>
        <w:rPr>
          <w:rFonts w:hint="cs"/>
          <w:lang w:val="en"/>
        </w:rPr>
        <w:t xml:space="preserve"> </w:t>
      </w:r>
      <w:r w:rsidR="00AF6AA4">
        <w:rPr>
          <w:lang w:val="en"/>
        </w:rPr>
        <w:t>“</w:t>
      </w:r>
      <w:r>
        <w:rPr>
          <w:rFonts w:hint="cs"/>
          <w:lang w:val="en"/>
        </w:rPr>
        <w:t>Passive Participle Forms</w:t>
      </w:r>
      <w:r w:rsidR="00AF6AA4">
        <w:rPr>
          <w:rFonts w:hint="cs"/>
          <w:lang w:val="en"/>
        </w:rPr>
        <w:t>,</w:t>
      </w:r>
      <w:r w:rsidR="00AF6AA4">
        <w:rPr>
          <w:lang w:val="en"/>
        </w:rPr>
        <w:t>”</w:t>
      </w:r>
      <w:r>
        <w:rPr>
          <w:rFonts w:hint="cs"/>
          <w:lang w:val="en"/>
        </w:rPr>
        <w:t xml:space="preserve"> </w:t>
      </w:r>
      <w:r w:rsidR="00AF6AA4">
        <w:rPr>
          <w:lang w:val="en"/>
        </w:rPr>
        <w:t>“</w:t>
      </w:r>
      <w:r>
        <w:rPr>
          <w:rFonts w:hint="cs"/>
          <w:lang w:val="en"/>
        </w:rPr>
        <w:t>Midrash and Language</w:t>
      </w:r>
      <w:r w:rsidR="00AF6AA4">
        <w:rPr>
          <w:rFonts w:hint="cs"/>
          <w:lang w:val="en"/>
        </w:rPr>
        <w:t>,</w:t>
      </w:r>
      <w:r w:rsidR="00AF6AA4">
        <w:rPr>
          <w:lang w:val="en"/>
        </w:rPr>
        <w:t>”</w:t>
      </w:r>
      <w:r>
        <w:rPr>
          <w:rFonts w:hint="cs"/>
          <w:lang w:val="en"/>
        </w:rPr>
        <w:t xml:space="preserve"> and </w:t>
      </w:r>
      <w:r w:rsidR="00AF6AA4">
        <w:rPr>
          <w:lang w:val="en"/>
        </w:rPr>
        <w:t>“</w:t>
      </w:r>
      <w:r>
        <w:rPr>
          <w:rFonts w:hint="cs"/>
          <w:lang w:val="en"/>
        </w:rPr>
        <w:t xml:space="preserve">Evaluations of </w:t>
      </w:r>
      <w:r w:rsidR="00697590">
        <w:rPr>
          <w:lang w:val="en"/>
        </w:rPr>
        <w:t>Transmission</w:t>
      </w:r>
      <w:r>
        <w:rPr>
          <w:rFonts w:hint="cs"/>
          <w:lang w:val="en"/>
        </w:rPr>
        <w:t xml:space="preserve"> and Research</w:t>
      </w:r>
      <w:r w:rsidR="00AF6AA4">
        <w:rPr>
          <w:rFonts w:hint="cs"/>
          <w:lang w:val="en"/>
        </w:rPr>
        <w:t>.</w:t>
      </w:r>
      <w:r w:rsidR="00AF6AA4">
        <w:rPr>
          <w:lang w:val="en"/>
        </w:rPr>
        <w:t>”</w:t>
      </w:r>
      <w:r>
        <w:rPr>
          <w:rFonts w:hint="cs"/>
          <w:lang w:val="en"/>
        </w:rPr>
        <w:t xml:space="preserve"> As is evident from this division, most of the book</w:t>
      </w:r>
      <w:r w:rsidR="00AF6AA4">
        <w:rPr>
          <w:lang w:val="en"/>
        </w:rPr>
        <w:t>’</w:t>
      </w:r>
      <w:r>
        <w:rPr>
          <w:rFonts w:hint="cs"/>
          <w:lang w:val="en"/>
        </w:rPr>
        <w:t xml:space="preserve">s chapters deal with grammatical issues, but a significant portion of the chapters deal with other matters. Particularly noteworthy is the section on Midrash and language, which, although only </w:t>
      </w:r>
      <w:r w:rsidR="0079288A">
        <w:rPr>
          <w:lang w:val="en"/>
        </w:rPr>
        <w:t>part</w:t>
      </w:r>
      <w:r>
        <w:rPr>
          <w:rFonts w:hint="cs"/>
          <w:lang w:val="en"/>
        </w:rPr>
        <w:t xml:space="preserve"> of it deals with </w:t>
      </w:r>
      <w:r w:rsidR="0079288A">
        <w:rPr>
          <w:lang w:val="en"/>
        </w:rPr>
        <w:t>Rabbinic Hebrew</w:t>
      </w:r>
      <w:r>
        <w:rPr>
          <w:rFonts w:hint="cs"/>
          <w:lang w:val="en"/>
        </w:rPr>
        <w:t>, offers insights into a field that has not been extensively studied.</w:t>
      </w:r>
    </w:p>
    <w:p w14:paraId="5A6DB468" w14:textId="371BD75B" w:rsidR="001C2854" w:rsidRDefault="002F4AD5" w:rsidP="001C2854">
      <w:pPr>
        <w:bidi w:val="0"/>
        <w:spacing w:line="360" w:lineRule="auto"/>
        <w:jc w:val="both"/>
        <w:rPr>
          <w:rtl/>
        </w:rPr>
      </w:pPr>
      <w:r>
        <w:rPr>
          <w:rFonts w:hint="cs"/>
          <w:lang w:val="en"/>
        </w:rPr>
        <w:t xml:space="preserve">The first section contains two articles that address core issues in Mishnaic Hebrew. The first chapter discusses the question of the </w:t>
      </w:r>
      <w:r w:rsidR="003C231C">
        <w:rPr>
          <w:lang w:val="en"/>
        </w:rPr>
        <w:t>originality</w:t>
      </w:r>
      <w:r>
        <w:rPr>
          <w:rFonts w:hint="cs"/>
          <w:lang w:val="en"/>
        </w:rPr>
        <w:t xml:space="preserve"> of the language features found in the early manuscripts of the Mishnah. </w:t>
      </w:r>
      <w:r w:rsidR="00AF6AA4">
        <w:rPr>
          <w:lang w:val="en"/>
        </w:rPr>
        <w:t>“</w:t>
      </w:r>
      <w:r w:rsidR="00B07F77">
        <w:rPr>
          <w:lang w:val="en"/>
        </w:rPr>
        <w:t>Original</w:t>
      </w:r>
      <w:r w:rsidR="00AF6AA4">
        <w:rPr>
          <w:lang w:val="en"/>
        </w:rPr>
        <w:t>”</w:t>
      </w:r>
      <w:r>
        <w:rPr>
          <w:rFonts w:hint="cs"/>
          <w:lang w:val="en"/>
        </w:rPr>
        <w:t xml:space="preserve"> in this context refers to the language as it was spoken in everyday life during the Tannaic period. According to Bar-Asher, parallel documentation of a linguistic feature in manuscripts on </w:t>
      </w:r>
      <w:r w:rsidR="00390DC5">
        <w:rPr>
          <w:lang w:val="en"/>
        </w:rPr>
        <w:t xml:space="preserve">the </w:t>
      </w:r>
      <w:r>
        <w:rPr>
          <w:rFonts w:hint="cs"/>
          <w:lang w:val="en"/>
        </w:rPr>
        <w:t xml:space="preserve">one hand, and in epigraphy, early transcriptions, or the Samaritan tradition on the other hand – is evidence of </w:t>
      </w:r>
      <w:r w:rsidR="00B07F77">
        <w:rPr>
          <w:lang w:val="en"/>
        </w:rPr>
        <w:t>originality</w:t>
      </w:r>
      <w:r>
        <w:rPr>
          <w:rFonts w:hint="cs"/>
          <w:lang w:val="en"/>
        </w:rPr>
        <w:t xml:space="preserve">. However, in his opinion, </w:t>
      </w:r>
      <w:r w:rsidR="00DD15BD">
        <w:rPr>
          <w:lang w:val="en"/>
        </w:rPr>
        <w:t xml:space="preserve">solid evidence from reliable manuscripts is enough to consider a documented feature as </w:t>
      </w:r>
      <w:r w:rsidR="00865A3B">
        <w:rPr>
          <w:lang w:val="en"/>
        </w:rPr>
        <w:t>original</w:t>
      </w:r>
      <w:r w:rsidR="00DD15BD">
        <w:rPr>
          <w:lang w:val="en"/>
        </w:rPr>
        <w:t>, even without parallel documentation</w:t>
      </w:r>
      <w:r>
        <w:rPr>
          <w:rFonts w:hint="cs"/>
          <w:lang w:val="en"/>
        </w:rPr>
        <w:t xml:space="preserve">. </w:t>
      </w:r>
      <w:r w:rsidR="00B07F77">
        <w:rPr>
          <w:lang w:val="en"/>
        </w:rPr>
        <w:t>T</w:t>
      </w:r>
      <w:r>
        <w:rPr>
          <w:rFonts w:hint="cs"/>
          <w:lang w:val="en"/>
        </w:rPr>
        <w:t xml:space="preserve">here are </w:t>
      </w:r>
      <w:r w:rsidR="002F2535">
        <w:rPr>
          <w:lang w:val="en"/>
        </w:rPr>
        <w:t>borderline</w:t>
      </w:r>
      <w:r>
        <w:rPr>
          <w:rFonts w:hint="cs"/>
          <w:lang w:val="en"/>
        </w:rPr>
        <w:t xml:space="preserve"> cases and cases where the language forms in the manuscripts are not original, and Bar-Asher provides examples of th</w:t>
      </w:r>
      <w:r w:rsidR="000A4FC1">
        <w:rPr>
          <w:lang w:val="en"/>
        </w:rPr>
        <w:t>e</w:t>
      </w:r>
      <w:r>
        <w:rPr>
          <w:rFonts w:hint="cs"/>
          <w:lang w:val="en"/>
        </w:rPr>
        <w:t>s</w:t>
      </w:r>
      <w:r w:rsidR="000A4FC1">
        <w:rPr>
          <w:lang w:val="en"/>
        </w:rPr>
        <w:t>e</w:t>
      </w:r>
      <w:r>
        <w:rPr>
          <w:rFonts w:hint="cs"/>
          <w:lang w:val="en"/>
        </w:rPr>
        <w:t>.</w:t>
      </w:r>
    </w:p>
    <w:p w14:paraId="51468551" w14:textId="027BCB33" w:rsidR="00FC40F0" w:rsidRDefault="002F4AD5" w:rsidP="001C2854">
      <w:pPr>
        <w:bidi w:val="0"/>
        <w:spacing w:line="360" w:lineRule="auto"/>
        <w:jc w:val="both"/>
        <w:rPr>
          <w:rtl/>
        </w:rPr>
      </w:pPr>
      <w:r>
        <w:rPr>
          <w:rFonts w:hint="cs"/>
          <w:lang w:val="en"/>
        </w:rPr>
        <w:t xml:space="preserve">The second chapter deals with the existence of literary elements in Mishnaic Hebrew that do not stem from the spoken language. The assumption underlying the study is that the regular language in the Mishnah is the spoken language of the Tannaitic period, and therefore, when it is possible to identify </w:t>
      </w:r>
      <w:r w:rsidR="00A473BA">
        <w:rPr>
          <w:lang w:val="en"/>
        </w:rPr>
        <w:t>deviations in the</w:t>
      </w:r>
      <w:r w:rsidR="00B9218C">
        <w:rPr>
          <w:rFonts w:hint="cs"/>
          <w:lang w:val="en"/>
        </w:rPr>
        <w:t xml:space="preserve"> language </w:t>
      </w:r>
      <w:r>
        <w:rPr>
          <w:rFonts w:hint="cs"/>
          <w:lang w:val="en"/>
        </w:rPr>
        <w:t xml:space="preserve">in the Mishnah for literary reasons, </w:t>
      </w:r>
      <w:r w:rsidR="00B9218C">
        <w:rPr>
          <w:lang w:val="en"/>
        </w:rPr>
        <w:t>one should conclude</w:t>
      </w:r>
      <w:r>
        <w:rPr>
          <w:rFonts w:hint="cs"/>
          <w:lang w:val="en"/>
        </w:rPr>
        <w:t xml:space="preserve"> that these are language elements that do not </w:t>
      </w:r>
      <w:r>
        <w:rPr>
          <w:rFonts w:hint="cs"/>
          <w:lang w:val="en"/>
        </w:rPr>
        <w:lastRenderedPageBreak/>
        <w:t xml:space="preserve">reflect the spoken language. Bar-Asher presents examples </w:t>
      </w:r>
      <w:r w:rsidR="009B08A8">
        <w:rPr>
          <w:lang w:val="en"/>
        </w:rPr>
        <w:t>of this in cases of</w:t>
      </w:r>
      <w:r>
        <w:rPr>
          <w:rFonts w:hint="cs"/>
          <w:lang w:val="en"/>
        </w:rPr>
        <w:t xml:space="preserve"> vocabulary borrowed from the Bible, in biblical grammatical forms, and in biblical insertions</w:t>
      </w:r>
      <w:r w:rsidR="00DB14D9">
        <w:rPr>
          <w:lang w:val="en"/>
        </w:rPr>
        <w:t xml:space="preserve"> into the text</w:t>
      </w:r>
      <w:r>
        <w:rPr>
          <w:rFonts w:hint="cs"/>
          <w:lang w:val="en"/>
        </w:rPr>
        <w:t>. To these, he adds examples of passages whose vocabulary or structure is distinctly literary.</w:t>
      </w:r>
    </w:p>
    <w:p w14:paraId="1773827C" w14:textId="4340160A" w:rsidR="00B465BB" w:rsidRDefault="002F4AD5" w:rsidP="001C2854">
      <w:pPr>
        <w:bidi w:val="0"/>
        <w:spacing w:line="360" w:lineRule="auto"/>
        <w:jc w:val="both"/>
        <w:rPr>
          <w:rtl/>
        </w:rPr>
      </w:pPr>
      <w:r>
        <w:rPr>
          <w:rFonts w:hint="cs"/>
          <w:lang w:val="en"/>
        </w:rPr>
        <w:t>It should be noted that these two chapters incorporate concise reviews that are not directly related to the main topics</w:t>
      </w:r>
      <w:r w:rsidR="00F130A9">
        <w:rPr>
          <w:lang w:val="en"/>
        </w:rPr>
        <w:t>. Still,</w:t>
      </w:r>
      <w:r>
        <w:rPr>
          <w:rFonts w:hint="cs"/>
          <w:lang w:val="en"/>
        </w:rPr>
        <w:t xml:space="preserve"> the reader may find them highly beneficial: a review of the important manuscripts of Tannaitic literature (pp. 10-12), a review of the state of research on </w:t>
      </w:r>
      <w:r w:rsidR="009F48B6">
        <w:rPr>
          <w:lang w:val="en"/>
        </w:rPr>
        <w:t>Rabbinic Hebrew</w:t>
      </w:r>
      <w:r>
        <w:rPr>
          <w:rFonts w:hint="cs"/>
          <w:lang w:val="en"/>
        </w:rPr>
        <w:t xml:space="preserve"> (pp. 28-30), and a review of the work of the renowned Hebrew and Aramaic scholar, Professor Yechezkel Kutscher (pp. 32-34).</w:t>
      </w:r>
    </w:p>
    <w:p w14:paraId="71A34942" w14:textId="54E2CD60" w:rsidR="002F082D" w:rsidRDefault="002F4AD5" w:rsidP="001C2854">
      <w:pPr>
        <w:bidi w:val="0"/>
        <w:spacing w:line="360" w:lineRule="auto"/>
        <w:jc w:val="both"/>
        <w:rPr>
          <w:rtl/>
        </w:rPr>
      </w:pPr>
      <w:r>
        <w:rPr>
          <w:rFonts w:hint="cs"/>
          <w:lang w:val="en"/>
        </w:rPr>
        <w:t xml:space="preserve">The second part, </w:t>
      </w:r>
      <w:r w:rsidR="00AF6AA4">
        <w:rPr>
          <w:lang w:val="en"/>
        </w:rPr>
        <w:t>“</w:t>
      </w:r>
      <w:r>
        <w:rPr>
          <w:rFonts w:hint="cs"/>
          <w:lang w:val="en"/>
        </w:rPr>
        <w:t>Various Grammar Issues,</w:t>
      </w:r>
      <w:r w:rsidR="00AF6AA4">
        <w:rPr>
          <w:lang w:val="en"/>
        </w:rPr>
        <w:t>”</w:t>
      </w:r>
      <w:r>
        <w:rPr>
          <w:rFonts w:hint="cs"/>
          <w:lang w:val="en"/>
        </w:rPr>
        <w:t xml:space="preserve"> opens with an article documenting exceptional grammatical forms, the common denominator of which is that they all appear in the participle form in the </w:t>
      </w:r>
      <w:r w:rsidR="004459FD">
        <w:rPr>
          <w:rFonts w:hint="cs"/>
          <w:lang w:val="en"/>
        </w:rPr>
        <w:t>Kaufmann</w:t>
      </w:r>
      <w:r>
        <w:rPr>
          <w:rFonts w:hint="cs"/>
          <w:lang w:val="en"/>
        </w:rPr>
        <w:t xml:space="preserve"> Manuscript. There are specific forms that appear primarily in isolated instances, such as the vocalization of the </w:t>
      </w:r>
      <w:r w:rsidR="00400F80">
        <w:rPr>
          <w:lang w:val="en"/>
        </w:rPr>
        <w:t>middle letter of the root (</w:t>
      </w:r>
      <w:r w:rsidR="00400F80">
        <w:rPr>
          <w:rFonts w:hint="cs"/>
          <w:rtl/>
          <w:lang w:val="en"/>
        </w:rPr>
        <w:t>עי</w:t>
      </w:r>
      <w:r w:rsidR="00B2326D">
        <w:rPr>
          <w:rFonts w:hint="eastAsia"/>
          <w:rtl/>
          <w:lang w:val="en"/>
        </w:rPr>
        <w:t>”</w:t>
      </w:r>
      <w:r w:rsidR="00B2326D">
        <w:rPr>
          <w:rtl/>
          <w:lang w:val="en"/>
        </w:rPr>
        <w:t xml:space="preserve"> </w:t>
      </w:r>
      <w:r w:rsidR="00400F80">
        <w:rPr>
          <w:rFonts w:hint="cs"/>
          <w:rtl/>
          <w:lang w:val="en"/>
        </w:rPr>
        <w:t>ן הפו</w:t>
      </w:r>
      <w:r w:rsidR="002A497C">
        <w:rPr>
          <w:rFonts w:hint="cs"/>
          <w:rtl/>
          <w:lang w:val="en"/>
        </w:rPr>
        <w:t>על</w:t>
      </w:r>
      <w:r w:rsidR="002A497C">
        <w:t>)</w:t>
      </w:r>
      <w:r>
        <w:rPr>
          <w:rFonts w:hint="cs"/>
          <w:lang w:val="en"/>
        </w:rPr>
        <w:t xml:space="preserve"> with a </w:t>
      </w:r>
      <w:r w:rsidR="00AF51B7" w:rsidRPr="00AF51B7">
        <w:rPr>
          <w:i/>
          <w:iCs/>
          <w:lang w:val="en"/>
        </w:rPr>
        <w:t>pata</w:t>
      </w:r>
      <w:r w:rsidR="00AF51B7" w:rsidRPr="00AF51B7">
        <w:rPr>
          <w:rFonts w:ascii="Calibri" w:hAnsi="Calibri" w:cs="Calibri"/>
          <w:i/>
          <w:iCs/>
          <w:lang w:val="en"/>
        </w:rPr>
        <w:t>ḥ</w:t>
      </w:r>
      <w:r>
        <w:rPr>
          <w:rFonts w:hint="cs"/>
          <w:lang w:val="en"/>
        </w:rPr>
        <w:t xml:space="preserve"> instead of a </w:t>
      </w:r>
      <w:r w:rsidR="002A497C" w:rsidRPr="002A497C">
        <w:rPr>
          <w:i/>
          <w:iCs/>
          <w:lang w:val="en"/>
        </w:rPr>
        <w:t>t</w:t>
      </w:r>
      <w:r w:rsidRPr="002A497C">
        <w:rPr>
          <w:rFonts w:hint="cs"/>
          <w:i/>
          <w:iCs/>
          <w:lang w:val="en"/>
        </w:rPr>
        <w:t>sere</w:t>
      </w:r>
      <w:r>
        <w:rPr>
          <w:rFonts w:hint="cs"/>
          <w:lang w:val="en"/>
        </w:rPr>
        <w:t xml:space="preserve"> before a guttural consonant (e.g., </w:t>
      </w:r>
      <w:r w:rsidR="00AF6AA4">
        <w:rPr>
          <w:lang w:val="en"/>
        </w:rPr>
        <w:t>“</w:t>
      </w:r>
      <w:r>
        <w:rPr>
          <w:rFonts w:hint="cs"/>
          <w:lang w:val="en"/>
        </w:rPr>
        <w:t>מְגַלַּח</w:t>
      </w:r>
      <w:r w:rsidR="00AF6AA4">
        <w:rPr>
          <w:lang w:val="en"/>
        </w:rPr>
        <w:t>”</w:t>
      </w:r>
      <w:r>
        <w:rPr>
          <w:rFonts w:hint="cs"/>
          <w:lang w:val="en"/>
        </w:rPr>
        <w:t>)</w:t>
      </w:r>
      <w:r w:rsidR="00F935B4">
        <w:rPr>
          <w:lang w:val="en"/>
        </w:rPr>
        <w:t>.</w:t>
      </w:r>
      <w:r>
        <w:rPr>
          <w:rFonts w:hint="cs"/>
          <w:lang w:val="en"/>
        </w:rPr>
        <w:t xml:space="preserve"> </w:t>
      </w:r>
      <w:r w:rsidR="00F935B4">
        <w:rPr>
          <w:lang w:val="en"/>
        </w:rPr>
        <w:t>T</w:t>
      </w:r>
      <w:r>
        <w:rPr>
          <w:rFonts w:hint="cs"/>
          <w:lang w:val="en"/>
        </w:rPr>
        <w:t>here are</w:t>
      </w:r>
      <w:r w:rsidR="00F935B4">
        <w:rPr>
          <w:lang w:val="en"/>
        </w:rPr>
        <w:t xml:space="preserve"> also</w:t>
      </w:r>
      <w:r>
        <w:rPr>
          <w:rFonts w:hint="cs"/>
          <w:lang w:val="en"/>
        </w:rPr>
        <w:t xml:space="preserve"> broader phenomena that appear both in </w:t>
      </w:r>
      <w:r w:rsidR="0094539F">
        <w:rPr>
          <w:lang w:val="en"/>
        </w:rPr>
        <w:t xml:space="preserve">the </w:t>
      </w:r>
      <w:r>
        <w:rPr>
          <w:rFonts w:hint="cs"/>
          <w:lang w:val="en"/>
        </w:rPr>
        <w:t>participle form and in other forms, such as the</w:t>
      </w:r>
      <w:r w:rsidR="0094539F">
        <w:rPr>
          <w:lang w:val="en"/>
        </w:rPr>
        <w:t xml:space="preserve"> </w:t>
      </w:r>
      <w:r w:rsidR="0094539F" w:rsidRPr="0094539F">
        <w:rPr>
          <w:i/>
          <w:iCs/>
          <w:lang w:val="en"/>
        </w:rPr>
        <w:t>y</w:t>
      </w:r>
      <w:r w:rsidRPr="0094539F">
        <w:rPr>
          <w:rFonts w:hint="cs"/>
          <w:i/>
          <w:iCs/>
          <w:lang w:val="en"/>
        </w:rPr>
        <w:t>od</w:t>
      </w:r>
      <w:r>
        <w:rPr>
          <w:rFonts w:hint="cs"/>
          <w:lang w:val="en"/>
        </w:rPr>
        <w:t xml:space="preserve"> that </w:t>
      </w:r>
      <w:r w:rsidR="0028760D">
        <w:rPr>
          <w:lang w:val="en"/>
        </w:rPr>
        <w:t>serves</w:t>
      </w:r>
      <w:r>
        <w:rPr>
          <w:rFonts w:hint="cs"/>
          <w:lang w:val="en"/>
        </w:rPr>
        <w:t xml:space="preserve"> as a mater lectionis after a </w:t>
      </w:r>
      <w:r w:rsidRPr="0094539F">
        <w:rPr>
          <w:rFonts w:hint="cs"/>
          <w:i/>
          <w:iCs/>
          <w:lang w:val="en"/>
        </w:rPr>
        <w:t>schwa</w:t>
      </w:r>
      <w:r>
        <w:rPr>
          <w:rFonts w:hint="cs"/>
          <w:lang w:val="en"/>
        </w:rPr>
        <w:t xml:space="preserve"> (see Y.N. Epstein, </w:t>
      </w:r>
      <w:r w:rsidRPr="0028760D">
        <w:rPr>
          <w:rFonts w:hint="cs"/>
          <w:i/>
          <w:iCs/>
          <w:lang w:val="en"/>
        </w:rPr>
        <w:t>Introduction to the Text of the Mishnah</w:t>
      </w:r>
      <w:r>
        <w:rPr>
          <w:rFonts w:hint="cs"/>
          <w:lang w:val="en"/>
        </w:rPr>
        <w:t>, Jerusalem 1948, p. 1243).</w:t>
      </w:r>
    </w:p>
    <w:p w14:paraId="4BD7261B" w14:textId="61B3CDC8" w:rsidR="00B84947" w:rsidRDefault="002F4AD5" w:rsidP="001C2854">
      <w:pPr>
        <w:bidi w:val="0"/>
        <w:spacing w:line="360" w:lineRule="auto"/>
        <w:jc w:val="both"/>
        <w:rPr>
          <w:rtl/>
        </w:rPr>
      </w:pPr>
      <w:r>
        <w:rPr>
          <w:rFonts w:hint="cs"/>
          <w:lang w:val="en"/>
        </w:rPr>
        <w:t xml:space="preserve">The following chapter, although included </w:t>
      </w:r>
      <w:r w:rsidR="0028760D">
        <w:rPr>
          <w:lang w:val="en"/>
        </w:rPr>
        <w:t>in the “</w:t>
      </w:r>
      <w:r w:rsidR="0028760D">
        <w:rPr>
          <w:rFonts w:hint="cs"/>
          <w:lang w:val="en"/>
        </w:rPr>
        <w:t>Various Grammar Issues</w:t>
      </w:r>
      <w:r w:rsidR="0028760D">
        <w:rPr>
          <w:lang w:val="en"/>
        </w:rPr>
        <w:t>”</w:t>
      </w:r>
      <w:r w:rsidR="0028760D">
        <w:rPr>
          <w:rFonts w:hint="cs"/>
          <w:lang w:val="en"/>
        </w:rPr>
        <w:t xml:space="preserve"> </w:t>
      </w:r>
      <w:r w:rsidR="0028760D">
        <w:rPr>
          <w:lang w:val="en"/>
        </w:rPr>
        <w:t>section</w:t>
      </w:r>
      <w:r w:rsidR="00C81337">
        <w:rPr>
          <w:lang w:val="en"/>
        </w:rPr>
        <w:t>,</w:t>
      </w:r>
      <w:r w:rsidR="0028760D">
        <w:rPr>
          <w:lang w:val="en"/>
        </w:rPr>
        <w:t xml:space="preserve"> </w:t>
      </w:r>
      <w:r>
        <w:rPr>
          <w:rFonts w:hint="cs"/>
          <w:lang w:val="en"/>
        </w:rPr>
        <w:t xml:space="preserve">actually deals with two semantic issues: 1. </w:t>
      </w:r>
      <w:r w:rsidR="00C81337">
        <w:rPr>
          <w:lang w:val="en"/>
        </w:rPr>
        <w:t>Bar-Asher</w:t>
      </w:r>
      <w:r>
        <w:rPr>
          <w:rFonts w:hint="cs"/>
          <w:lang w:val="en"/>
        </w:rPr>
        <w:t xml:space="preserve"> shows that the word </w:t>
      </w:r>
      <w:r w:rsidR="00AF6AA4">
        <w:rPr>
          <w:lang w:val="en"/>
        </w:rPr>
        <w:t>“</w:t>
      </w:r>
      <w:r>
        <w:rPr>
          <w:rFonts w:hint="cs"/>
          <w:lang w:val="en"/>
        </w:rPr>
        <w:t>תחילה</w:t>
      </w:r>
      <w:r w:rsidR="00AF6AA4">
        <w:rPr>
          <w:rFonts w:hint="cs"/>
          <w:lang w:val="en"/>
        </w:rPr>
        <w:t>,</w:t>
      </w:r>
      <w:r w:rsidR="00AF6AA4">
        <w:rPr>
          <w:lang w:val="en"/>
        </w:rPr>
        <w:t>”</w:t>
      </w:r>
      <w:r>
        <w:rPr>
          <w:rFonts w:hint="cs"/>
          <w:lang w:val="en"/>
        </w:rPr>
        <w:t xml:space="preserve"> which usually serves as an adverb, in one place serves as an adjective according to some </w:t>
      </w:r>
      <w:r w:rsidR="00186FB0">
        <w:rPr>
          <w:lang w:val="en"/>
        </w:rPr>
        <w:t xml:space="preserve">textual </w:t>
      </w:r>
      <w:r>
        <w:rPr>
          <w:rFonts w:hint="cs"/>
          <w:lang w:val="en"/>
        </w:rPr>
        <w:t xml:space="preserve">versions. 2. </w:t>
      </w:r>
      <w:r w:rsidR="00186FB0">
        <w:rPr>
          <w:lang w:val="en"/>
        </w:rPr>
        <w:t>He</w:t>
      </w:r>
      <w:r>
        <w:rPr>
          <w:rFonts w:hint="cs"/>
          <w:lang w:val="en"/>
        </w:rPr>
        <w:t xml:space="preserve"> discusses two terms in which ellipsis occurred: </w:t>
      </w:r>
      <w:r w:rsidR="00AF6AA4">
        <w:rPr>
          <w:lang w:val="en"/>
        </w:rPr>
        <w:t>“</w:t>
      </w:r>
      <w:r w:rsidR="00317304">
        <w:rPr>
          <w:rFonts w:hint="cs"/>
          <w:rtl/>
          <w:lang w:val="en"/>
        </w:rPr>
        <w:t>תשמיש</w:t>
      </w:r>
      <w:r w:rsidR="00AF6AA4">
        <w:rPr>
          <w:lang w:val="en"/>
        </w:rPr>
        <w:t>”</w:t>
      </w:r>
      <w:r>
        <w:rPr>
          <w:rFonts w:hint="cs"/>
          <w:lang w:val="en"/>
        </w:rPr>
        <w:t xml:space="preserve"> instead of </w:t>
      </w:r>
      <w:r w:rsidR="00AF6AA4">
        <w:rPr>
          <w:lang w:val="en"/>
        </w:rPr>
        <w:t>“</w:t>
      </w:r>
      <w:r w:rsidR="00317304">
        <w:rPr>
          <w:rFonts w:hint="cs"/>
          <w:rtl/>
          <w:lang w:val="en"/>
        </w:rPr>
        <w:t>תשמיש המיטה</w:t>
      </w:r>
      <w:r w:rsidR="00AF6AA4">
        <w:rPr>
          <w:lang w:val="en"/>
        </w:rPr>
        <w:t>”</w:t>
      </w:r>
      <w:r>
        <w:rPr>
          <w:rFonts w:hint="cs"/>
          <w:lang w:val="en"/>
        </w:rPr>
        <w:t xml:space="preserve"> and </w:t>
      </w:r>
      <w:r w:rsidR="00AF6AA4">
        <w:rPr>
          <w:lang w:val="en"/>
        </w:rPr>
        <w:t>“</w:t>
      </w:r>
      <w:r w:rsidR="00317304">
        <w:rPr>
          <w:rFonts w:hint="cs"/>
          <w:rtl/>
          <w:lang w:val="en"/>
        </w:rPr>
        <w:t>מגילה</w:t>
      </w:r>
      <w:r w:rsidR="00AF6AA4">
        <w:rPr>
          <w:lang w:val="en"/>
        </w:rPr>
        <w:t>”</w:t>
      </w:r>
      <w:r>
        <w:rPr>
          <w:rFonts w:hint="cs"/>
          <w:lang w:val="en"/>
        </w:rPr>
        <w:t xml:space="preserve"> instead of </w:t>
      </w:r>
      <w:r w:rsidR="00AF6AA4">
        <w:rPr>
          <w:lang w:val="en"/>
        </w:rPr>
        <w:t>“</w:t>
      </w:r>
      <w:r w:rsidR="00317304">
        <w:rPr>
          <w:rFonts w:hint="cs"/>
          <w:rtl/>
          <w:lang w:val="en"/>
        </w:rPr>
        <w:t>מגילת תענית</w:t>
      </w:r>
      <w:r w:rsidR="00AF6AA4">
        <w:rPr>
          <w:rFonts w:hint="cs"/>
          <w:lang w:val="en"/>
        </w:rPr>
        <w:t>.</w:t>
      </w:r>
      <w:r w:rsidR="00AF6AA4">
        <w:rPr>
          <w:lang w:val="en"/>
        </w:rPr>
        <w:t>”</w:t>
      </w:r>
    </w:p>
    <w:p w14:paraId="63F9323E" w14:textId="0C9A645D" w:rsidR="00D656FA" w:rsidRDefault="002F4AD5" w:rsidP="009513C3">
      <w:pPr>
        <w:bidi w:val="0"/>
        <w:spacing w:line="360" w:lineRule="auto"/>
        <w:jc w:val="both"/>
        <w:rPr>
          <w:rtl/>
        </w:rPr>
      </w:pPr>
      <w:r>
        <w:rPr>
          <w:rFonts w:hint="cs"/>
          <w:lang w:val="en"/>
        </w:rPr>
        <w:t xml:space="preserve">The next chapter, the fifth in the book, discusses two expressions that </w:t>
      </w:r>
      <w:r w:rsidR="00096E0D">
        <w:rPr>
          <w:lang w:val="en"/>
        </w:rPr>
        <w:t>have</w:t>
      </w:r>
      <w:r>
        <w:rPr>
          <w:rFonts w:hint="cs"/>
          <w:lang w:val="en"/>
        </w:rPr>
        <w:t xml:space="preserve"> contradictory</w:t>
      </w:r>
      <w:r w:rsidR="00096E0D">
        <w:rPr>
          <w:lang w:val="en"/>
        </w:rPr>
        <w:t xml:space="preserve"> meanings</w:t>
      </w:r>
      <w:r>
        <w:rPr>
          <w:rFonts w:hint="cs"/>
          <w:lang w:val="en"/>
        </w:rPr>
        <w:t xml:space="preserve">: one is the word </w:t>
      </w:r>
      <w:r w:rsidR="00AF6AA4">
        <w:rPr>
          <w:lang w:val="en"/>
        </w:rPr>
        <w:t>“</w:t>
      </w:r>
      <w:r>
        <w:rPr>
          <w:rFonts w:hint="cs"/>
          <w:lang w:val="en"/>
        </w:rPr>
        <w:t>אפשר</w:t>
      </w:r>
      <w:r w:rsidR="00B521F2">
        <w:rPr>
          <w:lang w:val="en"/>
        </w:rPr>
        <w:t>,</w:t>
      </w:r>
      <w:r w:rsidR="00AF6AA4">
        <w:rPr>
          <w:lang w:val="en"/>
        </w:rPr>
        <w:t>”</w:t>
      </w:r>
      <w:r w:rsidR="00096E0D">
        <w:rPr>
          <w:lang w:val="en"/>
        </w:rPr>
        <w:t xml:space="preserve"> which can mean</w:t>
      </w:r>
      <w:r w:rsidR="004107C2">
        <w:rPr>
          <w:lang w:val="en"/>
        </w:rPr>
        <w:t xml:space="preserve"> both</w:t>
      </w:r>
      <w:r>
        <w:rPr>
          <w:rFonts w:hint="cs"/>
          <w:lang w:val="en"/>
        </w:rPr>
        <w:t xml:space="preserve"> </w:t>
      </w:r>
      <w:r w:rsidR="00AF6AA4">
        <w:rPr>
          <w:lang w:val="en"/>
        </w:rPr>
        <w:t>“</w:t>
      </w:r>
      <w:r>
        <w:rPr>
          <w:rFonts w:hint="cs"/>
          <w:lang w:val="en"/>
        </w:rPr>
        <w:t>possible</w:t>
      </w:r>
      <w:r w:rsidR="00AF6AA4">
        <w:rPr>
          <w:lang w:val="en"/>
        </w:rPr>
        <w:t>”</w:t>
      </w:r>
      <w:r>
        <w:rPr>
          <w:rFonts w:hint="cs"/>
          <w:lang w:val="en"/>
        </w:rPr>
        <w:t xml:space="preserve"> or </w:t>
      </w:r>
      <w:r w:rsidR="00AF6AA4">
        <w:rPr>
          <w:lang w:val="en"/>
        </w:rPr>
        <w:t>“</w:t>
      </w:r>
      <w:r>
        <w:rPr>
          <w:rFonts w:hint="cs"/>
          <w:lang w:val="en"/>
        </w:rPr>
        <w:t>impossible</w:t>
      </w:r>
      <w:r w:rsidR="00AF6AA4">
        <w:rPr>
          <w:rFonts w:hint="cs"/>
          <w:lang w:val="en"/>
        </w:rPr>
        <w:t>.</w:t>
      </w:r>
      <w:r w:rsidR="00AF6AA4">
        <w:rPr>
          <w:lang w:val="en"/>
        </w:rPr>
        <w:t>”</w:t>
      </w:r>
      <w:r>
        <w:rPr>
          <w:rFonts w:hint="cs"/>
          <w:lang w:val="en"/>
        </w:rPr>
        <w:t xml:space="preserve"> The author agrees with the view that this situation is a result of the </w:t>
      </w:r>
      <w:r w:rsidR="00DA2B3B">
        <w:t>haplo</w:t>
      </w:r>
      <w:r w:rsidR="00A74F43">
        <w:t>logy</w:t>
      </w:r>
      <w:r>
        <w:rPr>
          <w:rFonts w:hint="cs"/>
          <w:lang w:val="en"/>
        </w:rPr>
        <w:t xml:space="preserve"> of the negation element and shows several variations in the </w:t>
      </w:r>
      <w:r w:rsidR="00A64E38">
        <w:t>vocalization</w:t>
      </w:r>
      <w:r>
        <w:rPr>
          <w:rFonts w:hint="cs"/>
          <w:lang w:val="en"/>
        </w:rPr>
        <w:t xml:space="preserve"> of the form. The second expression is </w:t>
      </w:r>
      <w:r w:rsidR="006707E6">
        <w:rPr>
          <w:lang w:val="en"/>
        </w:rPr>
        <w:t>“</w:t>
      </w:r>
      <w:r w:rsidR="006707E6">
        <w:rPr>
          <w:rFonts w:hint="cs"/>
          <w:rtl/>
        </w:rPr>
        <w:t>מוּסָף על</w:t>
      </w:r>
      <w:r w:rsidR="006707E6">
        <w:rPr>
          <w:lang w:val="en"/>
        </w:rPr>
        <w:t>”</w:t>
      </w:r>
      <w:r w:rsidR="006707E6">
        <w:rPr>
          <w:rFonts w:hint="cs"/>
          <w:lang w:val="en"/>
        </w:rPr>
        <w:t xml:space="preserve"> </w:t>
      </w:r>
      <w:r>
        <w:rPr>
          <w:rFonts w:hint="cs"/>
          <w:lang w:val="en"/>
        </w:rPr>
        <w:t xml:space="preserve">which is a passive form, sometimes replaced by the expression </w:t>
      </w:r>
      <w:r w:rsidR="00AF6AA4">
        <w:rPr>
          <w:lang w:val="en"/>
        </w:rPr>
        <w:t>“</w:t>
      </w:r>
      <w:r w:rsidR="00B0389B">
        <w:rPr>
          <w:rFonts w:hint="cs"/>
          <w:rtl/>
        </w:rPr>
        <w:t xml:space="preserve">מוֹסִיף </w:t>
      </w:r>
      <w:r w:rsidR="0081540C">
        <w:rPr>
          <w:rFonts w:hint="cs"/>
          <w:rtl/>
        </w:rPr>
        <w:t>על</w:t>
      </w:r>
      <w:r w:rsidR="00AF6AA4">
        <w:rPr>
          <w:lang w:val="en"/>
        </w:rPr>
        <w:t>”</w:t>
      </w:r>
      <w:r>
        <w:rPr>
          <w:rFonts w:hint="cs"/>
          <w:lang w:val="en"/>
        </w:rPr>
        <w:t xml:space="preserve"> </w:t>
      </w:r>
      <w:r w:rsidR="00B0389B">
        <w:rPr>
          <w:lang w:val="en"/>
        </w:rPr>
        <w:t xml:space="preserve">– </w:t>
      </w:r>
      <w:r>
        <w:rPr>
          <w:rFonts w:hint="cs"/>
          <w:lang w:val="en"/>
        </w:rPr>
        <w:t xml:space="preserve">an active form. In </w:t>
      </w:r>
      <w:r w:rsidR="0081540C">
        <w:rPr>
          <w:lang w:val="en"/>
        </w:rPr>
        <w:t>Bar-Asher’s</w:t>
      </w:r>
      <w:r>
        <w:rPr>
          <w:rFonts w:hint="cs"/>
          <w:lang w:val="en"/>
        </w:rPr>
        <w:t xml:space="preserve"> opinion, the first form is the original, and he is uncertain </w:t>
      </w:r>
      <w:r w:rsidR="00B0389B">
        <w:rPr>
          <w:lang w:val="en"/>
        </w:rPr>
        <w:t>when</w:t>
      </w:r>
      <w:r>
        <w:rPr>
          <w:rFonts w:hint="cs"/>
          <w:lang w:val="en"/>
        </w:rPr>
        <w:t xml:space="preserve"> the second form</w:t>
      </w:r>
      <w:r w:rsidR="00B0389B">
        <w:rPr>
          <w:lang w:val="en"/>
        </w:rPr>
        <w:t xml:space="preserve"> began to be used</w:t>
      </w:r>
      <w:r>
        <w:rPr>
          <w:rFonts w:hint="cs"/>
          <w:lang w:val="en"/>
        </w:rPr>
        <w:t>.</w:t>
      </w:r>
    </w:p>
    <w:p w14:paraId="303E651E" w14:textId="0FA59FDA" w:rsidR="009513C3" w:rsidRDefault="002F4AD5" w:rsidP="009513C3">
      <w:pPr>
        <w:bidi w:val="0"/>
        <w:spacing w:line="360" w:lineRule="auto"/>
        <w:jc w:val="both"/>
        <w:rPr>
          <w:rtl/>
        </w:rPr>
      </w:pPr>
      <w:r>
        <w:rPr>
          <w:rFonts w:hint="cs"/>
          <w:lang w:val="en"/>
        </w:rPr>
        <w:t>The sixth chapter deals with the phenomenon of</w:t>
      </w:r>
      <w:r w:rsidR="008B14A8">
        <w:rPr>
          <w:lang w:val="en"/>
        </w:rPr>
        <w:t xml:space="preserve"> attraction (</w:t>
      </w:r>
      <w:r w:rsidR="00E3122E" w:rsidRPr="00E3122E">
        <w:rPr>
          <w:i/>
          <w:iCs/>
          <w:lang w:val="en"/>
        </w:rPr>
        <w:t>hagrarah</w:t>
      </w:r>
      <w:r w:rsidR="008B14A8">
        <w:rPr>
          <w:lang w:val="en"/>
        </w:rPr>
        <w:t>)</w:t>
      </w:r>
      <w:r>
        <w:rPr>
          <w:rFonts w:hint="cs"/>
          <w:lang w:val="en"/>
        </w:rPr>
        <w:t xml:space="preserve"> in pairs of words. This is a well-known phenomenon in languages in general and in Hebrew in particular, where the form of one word influences the form of another. Usually, the influence is </w:t>
      </w:r>
      <w:r>
        <w:rPr>
          <w:rFonts w:hint="cs"/>
          <w:lang w:val="en"/>
        </w:rPr>
        <w:lastRenderedPageBreak/>
        <w:t>unidirectional, but here</w:t>
      </w:r>
      <w:r w:rsidR="00DE425C">
        <w:rPr>
          <w:lang w:val="en"/>
        </w:rPr>
        <w:t>,</w:t>
      </w:r>
      <w:r>
        <w:rPr>
          <w:rFonts w:hint="cs"/>
          <w:lang w:val="en"/>
        </w:rPr>
        <w:t xml:space="preserve"> Bar-Asher argues for an innovation </w:t>
      </w:r>
      <w:r w:rsidR="00227DAF">
        <w:rPr>
          <w:lang w:val="en"/>
        </w:rPr>
        <w:t>–</w:t>
      </w:r>
      <w:r>
        <w:rPr>
          <w:rFonts w:hint="cs"/>
          <w:lang w:val="en"/>
        </w:rPr>
        <w:t xml:space="preserve"> a mutual influence between a pair of words, where each one affects its counterpart. The terms in question are two from the </w:t>
      </w:r>
      <w:r w:rsidR="002729F3">
        <w:rPr>
          <w:lang w:val="en"/>
        </w:rPr>
        <w:t>halakhot</w:t>
      </w:r>
      <w:r>
        <w:rPr>
          <w:rFonts w:hint="cs"/>
          <w:lang w:val="en"/>
        </w:rPr>
        <w:t xml:space="preserve"> of the leper: </w:t>
      </w:r>
      <w:r w:rsidR="00AF6AA4">
        <w:rPr>
          <w:lang w:val="en"/>
        </w:rPr>
        <w:t>“</w:t>
      </w:r>
      <w:r w:rsidR="00012AF9">
        <w:rPr>
          <w:rFonts w:hint="cs"/>
          <w:rtl/>
        </w:rPr>
        <w:t>הֶסְגֵּר</w:t>
      </w:r>
      <w:r w:rsidR="00AF6AA4">
        <w:rPr>
          <w:lang w:val="en"/>
        </w:rPr>
        <w:t>”</w:t>
      </w:r>
      <w:r>
        <w:rPr>
          <w:rFonts w:hint="cs"/>
          <w:lang w:val="en"/>
        </w:rPr>
        <w:t xml:space="preserve"> and </w:t>
      </w:r>
      <w:r w:rsidR="00AF6AA4">
        <w:rPr>
          <w:lang w:val="en"/>
        </w:rPr>
        <w:t>“</w:t>
      </w:r>
      <w:r w:rsidR="00D9040A">
        <w:rPr>
          <w:rFonts w:hint="cs"/>
          <w:rtl/>
        </w:rPr>
        <w:t>הַחְלֵט</w:t>
      </w:r>
      <w:r w:rsidR="00AF6AA4">
        <w:rPr>
          <w:rFonts w:hint="cs"/>
          <w:lang w:val="en"/>
        </w:rPr>
        <w:t>.</w:t>
      </w:r>
      <w:r w:rsidR="00AF6AA4">
        <w:rPr>
          <w:lang w:val="en"/>
        </w:rPr>
        <w:t>”</w:t>
      </w:r>
      <w:r>
        <w:rPr>
          <w:rFonts w:hint="cs"/>
          <w:lang w:val="en"/>
        </w:rPr>
        <w:t xml:space="preserve"> The vowelization of the</w:t>
      </w:r>
      <w:r w:rsidR="00D9040A">
        <w:rPr>
          <w:rFonts w:hint="cs"/>
          <w:rtl/>
          <w:lang w:val="en"/>
        </w:rPr>
        <w:t xml:space="preserve"> </w:t>
      </w:r>
      <w:r w:rsidR="00D9040A">
        <w:rPr>
          <w:lang w:val="en"/>
        </w:rPr>
        <w:t>“</w:t>
      </w:r>
      <w:r w:rsidR="00D9040A">
        <w:rPr>
          <w:rFonts w:hint="cs"/>
          <w:rtl/>
          <w:lang w:val="en"/>
        </w:rPr>
        <w:t>ה</w:t>
      </w:r>
      <w:r w:rsidR="00D9040A">
        <w:rPr>
          <w:lang w:val="en"/>
        </w:rPr>
        <w:t>”</w:t>
      </w:r>
      <w:r>
        <w:rPr>
          <w:rFonts w:hint="cs"/>
          <w:lang w:val="en"/>
        </w:rPr>
        <w:t xml:space="preserve"> with a </w:t>
      </w:r>
      <w:r w:rsidR="00AF51B7" w:rsidRPr="00AF51B7">
        <w:rPr>
          <w:rFonts w:hint="cs"/>
          <w:i/>
          <w:iCs/>
          <w:lang w:val="en"/>
        </w:rPr>
        <w:t>pata</w:t>
      </w:r>
      <w:r w:rsidR="00AF51B7" w:rsidRPr="00AF51B7">
        <w:rPr>
          <w:rFonts w:ascii="Calibri" w:hAnsi="Calibri" w:cs="Calibri"/>
          <w:i/>
          <w:iCs/>
          <w:lang w:val="en"/>
        </w:rPr>
        <w:t>ḥ</w:t>
      </w:r>
      <w:r>
        <w:rPr>
          <w:rFonts w:hint="cs"/>
          <w:lang w:val="en"/>
        </w:rPr>
        <w:t xml:space="preserve"> in this form is unusual, and in the word </w:t>
      </w:r>
      <w:r w:rsidR="00AF6AA4">
        <w:rPr>
          <w:lang w:val="en"/>
        </w:rPr>
        <w:t>“</w:t>
      </w:r>
      <w:r>
        <w:rPr>
          <w:rFonts w:hint="cs"/>
          <w:lang w:val="en"/>
        </w:rPr>
        <w:t>הַחְלֵט</w:t>
      </w:r>
      <w:r w:rsidR="00AF6AA4">
        <w:rPr>
          <w:lang w:val="en"/>
        </w:rPr>
        <w:t>”</w:t>
      </w:r>
      <w:r>
        <w:rPr>
          <w:rFonts w:hint="cs"/>
          <w:lang w:val="en"/>
        </w:rPr>
        <w:t xml:space="preserve"> it can be speculated that it is influenced by the guttural stop. In the word </w:t>
      </w:r>
      <w:r w:rsidR="00AF6AA4">
        <w:rPr>
          <w:lang w:val="en"/>
        </w:rPr>
        <w:t>“</w:t>
      </w:r>
      <w:r>
        <w:rPr>
          <w:rFonts w:hint="cs"/>
          <w:lang w:val="en"/>
        </w:rPr>
        <w:t>הסגר</w:t>
      </w:r>
      <w:r w:rsidR="00AF6AA4">
        <w:rPr>
          <w:lang w:val="en"/>
        </w:rPr>
        <w:t>”</w:t>
      </w:r>
      <w:r>
        <w:rPr>
          <w:rFonts w:hint="cs"/>
          <w:lang w:val="en"/>
        </w:rPr>
        <w:t xml:space="preserve"> the </w:t>
      </w:r>
      <w:r w:rsidR="00AF6AA4">
        <w:rPr>
          <w:lang w:val="en"/>
        </w:rPr>
        <w:t>“</w:t>
      </w:r>
      <w:r>
        <w:rPr>
          <w:rFonts w:hint="cs"/>
          <w:lang w:val="en"/>
        </w:rPr>
        <w:t>ה</w:t>
      </w:r>
      <w:r w:rsidR="00AF6AA4">
        <w:rPr>
          <w:lang w:val="en"/>
        </w:rPr>
        <w:t>”</w:t>
      </w:r>
      <w:r>
        <w:rPr>
          <w:rFonts w:hint="cs"/>
          <w:lang w:val="en"/>
        </w:rPr>
        <w:t xml:space="preserve"> is vowelized with a </w:t>
      </w:r>
      <w:r w:rsidRPr="007E6AAA">
        <w:rPr>
          <w:rFonts w:hint="cs"/>
          <w:i/>
          <w:iCs/>
          <w:lang w:val="en"/>
        </w:rPr>
        <w:t>segol</w:t>
      </w:r>
      <w:r>
        <w:rPr>
          <w:rFonts w:hint="cs"/>
          <w:lang w:val="en"/>
        </w:rPr>
        <w:t xml:space="preserve">, except for two instances in the </w:t>
      </w:r>
      <w:r w:rsidR="004459FD">
        <w:rPr>
          <w:rFonts w:hint="cs"/>
          <w:lang w:val="en"/>
        </w:rPr>
        <w:t>Kaufman</w:t>
      </w:r>
      <w:r>
        <w:rPr>
          <w:rFonts w:hint="cs"/>
          <w:lang w:val="en"/>
        </w:rPr>
        <w:t xml:space="preserve">n Manuscript of the Mishnah, where the </w:t>
      </w:r>
      <w:r w:rsidR="00AF6AA4">
        <w:rPr>
          <w:lang w:val="en"/>
        </w:rPr>
        <w:t>“</w:t>
      </w:r>
      <w:r>
        <w:rPr>
          <w:rFonts w:hint="cs"/>
          <w:lang w:val="en"/>
        </w:rPr>
        <w:t>ה</w:t>
      </w:r>
      <w:r w:rsidR="00AF6AA4">
        <w:rPr>
          <w:lang w:val="en"/>
        </w:rPr>
        <w:t>”</w:t>
      </w:r>
      <w:r>
        <w:rPr>
          <w:rFonts w:hint="cs"/>
          <w:lang w:val="en"/>
        </w:rPr>
        <w:t xml:space="preserve"> appears with a </w:t>
      </w:r>
      <w:r w:rsidR="00AF51B7" w:rsidRPr="00AF51B7">
        <w:rPr>
          <w:rFonts w:hint="cs"/>
          <w:i/>
          <w:iCs/>
          <w:lang w:val="en"/>
        </w:rPr>
        <w:t>pata</w:t>
      </w:r>
      <w:r w:rsidR="00AF51B7" w:rsidRPr="00AF51B7">
        <w:rPr>
          <w:rFonts w:ascii="Calibri" w:hAnsi="Calibri" w:cs="Calibri"/>
          <w:i/>
          <w:iCs/>
          <w:lang w:val="en"/>
        </w:rPr>
        <w:t>ḥ</w:t>
      </w:r>
      <w:r>
        <w:rPr>
          <w:rFonts w:hint="cs"/>
          <w:lang w:val="en"/>
        </w:rPr>
        <w:t xml:space="preserve">, likely influenced by the parallel term </w:t>
      </w:r>
      <w:r w:rsidR="00AF6AA4">
        <w:rPr>
          <w:lang w:val="en"/>
        </w:rPr>
        <w:t>“</w:t>
      </w:r>
      <w:r>
        <w:rPr>
          <w:rFonts w:hint="cs"/>
          <w:lang w:val="en"/>
        </w:rPr>
        <w:t>הַחְלֵט</w:t>
      </w:r>
      <w:r w:rsidR="00AF6AA4">
        <w:rPr>
          <w:rFonts w:hint="cs"/>
          <w:lang w:val="en"/>
        </w:rPr>
        <w:t>.</w:t>
      </w:r>
      <w:r w:rsidR="00AF6AA4">
        <w:rPr>
          <w:lang w:val="en"/>
        </w:rPr>
        <w:t>”</w:t>
      </w:r>
      <w:r>
        <w:rPr>
          <w:rFonts w:hint="cs"/>
          <w:lang w:val="en"/>
        </w:rPr>
        <w:t xml:space="preserve"> Bar-Asher suggests that there was also influence in the opposite direction: in the inflected forms of </w:t>
      </w:r>
      <w:r w:rsidR="00AF6AA4">
        <w:rPr>
          <w:lang w:val="en"/>
        </w:rPr>
        <w:t>“</w:t>
      </w:r>
      <w:r w:rsidR="00371209">
        <w:rPr>
          <w:rFonts w:hint="cs"/>
          <w:rtl/>
          <w:lang w:val="en"/>
        </w:rPr>
        <w:t>החלט</w:t>
      </w:r>
      <w:r w:rsidR="00AF6AA4">
        <w:rPr>
          <w:rFonts w:hint="cs"/>
          <w:lang w:val="en"/>
        </w:rPr>
        <w:t>,</w:t>
      </w:r>
      <w:r w:rsidR="00AF6AA4">
        <w:rPr>
          <w:lang w:val="en"/>
        </w:rPr>
        <w:t>”</w:t>
      </w:r>
      <w:r>
        <w:rPr>
          <w:rFonts w:hint="cs"/>
          <w:lang w:val="en"/>
        </w:rPr>
        <w:t xml:space="preserve"> we find that the initial </w:t>
      </w:r>
      <w:r w:rsidR="00AF6AA4">
        <w:rPr>
          <w:lang w:val="en"/>
        </w:rPr>
        <w:t>“</w:t>
      </w:r>
      <w:r w:rsidR="00371209">
        <w:rPr>
          <w:rFonts w:hint="cs"/>
          <w:rtl/>
          <w:lang w:val="en"/>
        </w:rPr>
        <w:t>ה</w:t>
      </w:r>
      <w:r w:rsidR="00AF6AA4">
        <w:rPr>
          <w:lang w:val="en"/>
        </w:rPr>
        <w:t>”</w:t>
      </w:r>
      <w:r>
        <w:rPr>
          <w:rFonts w:hint="cs"/>
          <w:lang w:val="en"/>
        </w:rPr>
        <w:t xml:space="preserve"> was dropped as a result of haplology, </w:t>
      </w:r>
      <w:r w:rsidR="004C4C77">
        <w:rPr>
          <w:lang w:val="en"/>
        </w:rPr>
        <w:t>rendering it</w:t>
      </w:r>
      <w:r>
        <w:rPr>
          <w:rFonts w:hint="cs"/>
          <w:lang w:val="en"/>
        </w:rPr>
        <w:t xml:space="preserve"> </w:t>
      </w:r>
      <w:r w:rsidR="00AF6AA4">
        <w:rPr>
          <w:lang w:val="en"/>
        </w:rPr>
        <w:t>“</w:t>
      </w:r>
      <w:r>
        <w:rPr>
          <w:rFonts w:hint="cs"/>
          <w:lang w:val="en"/>
        </w:rPr>
        <w:t>חֲלֵיטוֹ</w:t>
      </w:r>
      <w:r w:rsidR="00AF6AA4">
        <w:rPr>
          <w:lang w:val="en"/>
        </w:rPr>
        <w:t>”</w:t>
      </w:r>
      <w:r>
        <w:rPr>
          <w:rFonts w:hint="cs"/>
          <w:lang w:val="en"/>
        </w:rPr>
        <w:t xml:space="preserve"> instead of </w:t>
      </w:r>
      <w:r w:rsidR="00AF6AA4">
        <w:rPr>
          <w:lang w:val="en"/>
        </w:rPr>
        <w:t>“</w:t>
      </w:r>
      <w:r>
        <w:rPr>
          <w:rFonts w:hint="cs"/>
          <w:lang w:val="en"/>
        </w:rPr>
        <w:t>החליטו</w:t>
      </w:r>
      <w:r w:rsidR="00AF6AA4">
        <w:rPr>
          <w:lang w:val="en"/>
        </w:rPr>
        <w:t>”</w:t>
      </w:r>
      <w:r>
        <w:rPr>
          <w:rFonts w:hint="cs"/>
          <w:lang w:val="en"/>
        </w:rPr>
        <w:t xml:space="preserve"> (Negaim 7,4). </w:t>
      </w:r>
      <w:r w:rsidR="00106DC8">
        <w:rPr>
          <w:lang w:val="en"/>
        </w:rPr>
        <w:t>W</w:t>
      </w:r>
      <w:r>
        <w:rPr>
          <w:rFonts w:hint="cs"/>
          <w:lang w:val="en"/>
        </w:rPr>
        <w:t>e did not find such a shift in</w:t>
      </w:r>
      <w:r w:rsidR="00106DC8">
        <w:rPr>
          <w:lang w:val="en"/>
        </w:rPr>
        <w:t xml:space="preserve"> the basic form</w:t>
      </w:r>
      <w:r>
        <w:rPr>
          <w:rFonts w:hint="cs"/>
          <w:lang w:val="en"/>
        </w:rPr>
        <w:t xml:space="preserve"> </w:t>
      </w:r>
      <w:r w:rsidR="00AF6AA4">
        <w:rPr>
          <w:lang w:val="en"/>
        </w:rPr>
        <w:t>“</w:t>
      </w:r>
      <w:r w:rsidR="00525931">
        <w:rPr>
          <w:rFonts w:hint="cs"/>
          <w:rtl/>
          <w:lang w:val="en"/>
        </w:rPr>
        <w:t>החלט</w:t>
      </w:r>
      <w:r w:rsidR="00525931">
        <w:t>,”</w:t>
      </w:r>
      <w:r>
        <w:rPr>
          <w:rFonts w:hint="cs"/>
          <w:lang w:val="en"/>
        </w:rPr>
        <w:t xml:space="preserve"> and according to Bar-Asher, the original form was preserved thanks to its </w:t>
      </w:r>
      <w:r w:rsidR="00990BEB">
        <w:rPr>
          <w:lang w:val="en"/>
        </w:rPr>
        <w:t>attraction</w:t>
      </w:r>
      <w:r>
        <w:rPr>
          <w:rFonts w:hint="cs"/>
          <w:lang w:val="en"/>
        </w:rPr>
        <w:t xml:space="preserve"> to </w:t>
      </w:r>
      <w:r w:rsidR="00AF6AA4">
        <w:rPr>
          <w:lang w:val="en"/>
        </w:rPr>
        <w:t>“</w:t>
      </w:r>
      <w:r w:rsidR="00990BEB">
        <w:rPr>
          <w:rFonts w:hint="cs"/>
          <w:rtl/>
          <w:lang w:val="en"/>
        </w:rPr>
        <w:t>הסגר</w:t>
      </w:r>
      <w:r w:rsidR="00950B75">
        <w:rPr>
          <w:lang w:val="en"/>
        </w:rPr>
        <w:t>.</w:t>
      </w:r>
      <w:r w:rsidR="00AF6AA4">
        <w:rPr>
          <w:lang w:val="en"/>
        </w:rPr>
        <w:t>”</w:t>
      </w:r>
      <w:r>
        <w:rPr>
          <w:rFonts w:hint="cs"/>
          <w:lang w:val="en"/>
        </w:rPr>
        <w:t xml:space="preserve"> There is no doubt that this is a bold hypothesis, yet </w:t>
      </w:r>
      <w:r w:rsidR="00A445CE">
        <w:t xml:space="preserve">the possibility </w:t>
      </w:r>
      <w:r>
        <w:rPr>
          <w:rFonts w:hint="cs"/>
          <w:lang w:val="en"/>
        </w:rPr>
        <w:t xml:space="preserve">that phonetic factors prevented the </w:t>
      </w:r>
      <w:r w:rsidR="00A445CE">
        <w:rPr>
          <w:lang w:val="en"/>
        </w:rPr>
        <w:t>dropping</w:t>
      </w:r>
      <w:r>
        <w:rPr>
          <w:rFonts w:hint="cs"/>
          <w:lang w:val="en"/>
        </w:rPr>
        <w:t xml:space="preserve"> of this </w:t>
      </w:r>
      <w:r w:rsidR="00AF6AA4">
        <w:rPr>
          <w:lang w:val="en"/>
        </w:rPr>
        <w:t>“</w:t>
      </w:r>
      <w:r w:rsidR="00A445CE">
        <w:rPr>
          <w:rFonts w:hint="cs"/>
          <w:rtl/>
          <w:lang w:val="en"/>
        </w:rPr>
        <w:t>ה</w:t>
      </w:r>
      <w:r w:rsidR="00AF6AA4">
        <w:rPr>
          <w:lang w:val="en"/>
        </w:rPr>
        <w:t>”</w:t>
      </w:r>
      <w:r>
        <w:rPr>
          <w:rFonts w:hint="cs"/>
          <w:lang w:val="en"/>
        </w:rPr>
        <w:t xml:space="preserve"> cannot be completely ruled out. According to the data we currently have on the phonetics of Rabbinic Hebrew, it seems that a definitive negation of this possibility is not within reach.</w:t>
      </w:r>
    </w:p>
    <w:p w14:paraId="77E7D362" w14:textId="75599A43" w:rsidR="002E211E" w:rsidRDefault="002F4AD5" w:rsidP="009513C3">
      <w:pPr>
        <w:bidi w:val="0"/>
        <w:spacing w:line="360" w:lineRule="auto"/>
        <w:jc w:val="both"/>
        <w:rPr>
          <w:rtl/>
        </w:rPr>
      </w:pPr>
      <w:r>
        <w:rPr>
          <w:rFonts w:hint="cs"/>
          <w:lang w:val="en"/>
        </w:rPr>
        <w:t xml:space="preserve">The </w:t>
      </w:r>
      <w:r w:rsidR="00435BC0">
        <w:rPr>
          <w:lang w:val="en"/>
        </w:rPr>
        <w:t>book</w:t>
      </w:r>
      <w:r w:rsidR="00A47671">
        <w:rPr>
          <w:lang w:val="en"/>
        </w:rPr>
        <w:t>’</w:t>
      </w:r>
      <w:r w:rsidR="00435BC0">
        <w:rPr>
          <w:lang w:val="en"/>
        </w:rPr>
        <w:t>s third section</w:t>
      </w:r>
      <w:r>
        <w:rPr>
          <w:rFonts w:hint="cs"/>
          <w:lang w:val="en"/>
        </w:rPr>
        <w:t xml:space="preserve"> includes two chapters that present a detailed review of selected noun forms in Mishnaic Hebrew. Chapter 7 is taken from Bar-Asher</w:t>
      </w:r>
      <w:r w:rsidR="00AF6AA4">
        <w:rPr>
          <w:lang w:val="en"/>
        </w:rPr>
        <w:t>’</w:t>
      </w:r>
      <w:r>
        <w:rPr>
          <w:rFonts w:hint="cs"/>
          <w:lang w:val="en"/>
        </w:rPr>
        <w:t xml:space="preserve">s comprehensive book on noun </w:t>
      </w:r>
      <w:r w:rsidR="00935454">
        <w:rPr>
          <w:lang w:val="en"/>
        </w:rPr>
        <w:t>forms</w:t>
      </w:r>
      <w:r>
        <w:rPr>
          <w:rFonts w:hint="cs"/>
          <w:lang w:val="en"/>
        </w:rPr>
        <w:t xml:space="preserve"> in the Mishnah, and it examines the מַפְעָל </w:t>
      </w:r>
      <w:r w:rsidR="006A361B">
        <w:rPr>
          <w:lang w:val="en"/>
        </w:rPr>
        <w:t>form</w:t>
      </w:r>
      <w:r>
        <w:rPr>
          <w:rFonts w:hint="cs"/>
          <w:lang w:val="en"/>
        </w:rPr>
        <w:t xml:space="preserve">. Chapter 8 examines three forms: פַעְלֹק, פַעְלוֹק and פַעְלוּק (the </w:t>
      </w:r>
      <w:r w:rsidR="00AF6AA4">
        <w:rPr>
          <w:lang w:val="en"/>
        </w:rPr>
        <w:t>“</w:t>
      </w:r>
      <w:r w:rsidR="006A361B">
        <w:rPr>
          <w:rFonts w:hint="cs"/>
          <w:rtl/>
          <w:lang w:val="en"/>
        </w:rPr>
        <w:t>ק</w:t>
      </w:r>
      <w:r w:rsidR="00AF6AA4">
        <w:rPr>
          <w:lang w:val="en"/>
        </w:rPr>
        <w:t>”</w:t>
      </w:r>
      <w:r>
        <w:rPr>
          <w:rFonts w:hint="cs"/>
          <w:lang w:val="en"/>
        </w:rPr>
        <w:t xml:space="preserve"> represents the fourth consonant in the root). The review is done in great detail, as is the author</w:t>
      </w:r>
      <w:r w:rsidR="00AF6AA4">
        <w:rPr>
          <w:lang w:val="en"/>
        </w:rPr>
        <w:t>’</w:t>
      </w:r>
      <w:r>
        <w:rPr>
          <w:rFonts w:hint="cs"/>
          <w:lang w:val="en"/>
        </w:rPr>
        <w:t xml:space="preserve">s custom, and there is no name in the Mishnah that belongs to these </w:t>
      </w:r>
      <w:r w:rsidR="00164562">
        <w:rPr>
          <w:lang w:val="en"/>
        </w:rPr>
        <w:t>forms</w:t>
      </w:r>
      <w:r>
        <w:rPr>
          <w:rFonts w:hint="cs"/>
          <w:lang w:val="en"/>
        </w:rPr>
        <w:t xml:space="preserve"> that has not been recorded and</w:t>
      </w:r>
      <w:r w:rsidR="004824D4">
        <w:rPr>
          <w:lang w:val="en"/>
        </w:rPr>
        <w:t>,</w:t>
      </w:r>
      <w:r>
        <w:rPr>
          <w:rFonts w:hint="cs"/>
          <w:lang w:val="en"/>
        </w:rPr>
        <w:t xml:space="preserve"> </w:t>
      </w:r>
      <w:r w:rsidR="004824D4">
        <w:rPr>
          <w:lang w:val="en"/>
        </w:rPr>
        <w:t xml:space="preserve">where necessary, </w:t>
      </w:r>
      <w:r>
        <w:rPr>
          <w:rFonts w:hint="cs"/>
          <w:lang w:val="en"/>
        </w:rPr>
        <w:t>discussed.</w:t>
      </w:r>
    </w:p>
    <w:p w14:paraId="09C44AE6" w14:textId="652DB512" w:rsidR="00CC4C66" w:rsidRDefault="002F4AD5" w:rsidP="009513C3">
      <w:pPr>
        <w:bidi w:val="0"/>
        <w:spacing w:line="360" w:lineRule="auto"/>
        <w:jc w:val="both"/>
        <w:rPr>
          <w:rtl/>
        </w:rPr>
      </w:pPr>
      <w:r>
        <w:rPr>
          <w:rFonts w:hint="cs"/>
          <w:lang w:val="en"/>
        </w:rPr>
        <w:t>The first chapter in the fourth section (</w:t>
      </w:r>
      <w:r w:rsidR="00AF6AA4">
        <w:rPr>
          <w:lang w:val="en"/>
        </w:rPr>
        <w:t>“</w:t>
      </w:r>
      <w:r w:rsidR="0031106A">
        <w:rPr>
          <w:lang w:val="en"/>
        </w:rPr>
        <w:t>Pa</w:t>
      </w:r>
      <w:r w:rsidR="00A822AF">
        <w:rPr>
          <w:lang w:val="en"/>
        </w:rPr>
        <w:t>ssive Participle</w:t>
      </w:r>
      <w:r>
        <w:rPr>
          <w:rFonts w:hint="cs"/>
          <w:lang w:val="en"/>
        </w:rPr>
        <w:t xml:space="preserve"> Forms</w:t>
      </w:r>
      <w:r w:rsidR="00AF6AA4">
        <w:rPr>
          <w:lang w:val="en"/>
        </w:rPr>
        <w:t>”</w:t>
      </w:r>
      <w:r>
        <w:rPr>
          <w:rFonts w:hint="cs"/>
          <w:lang w:val="en"/>
        </w:rPr>
        <w:t xml:space="preserve">), the ninth chapter in the book, also </w:t>
      </w:r>
      <w:r w:rsidR="00A822AF">
        <w:rPr>
          <w:lang w:val="en"/>
        </w:rPr>
        <w:t>addresses</w:t>
      </w:r>
      <w:r>
        <w:rPr>
          <w:rFonts w:hint="cs"/>
          <w:lang w:val="en"/>
        </w:rPr>
        <w:t xml:space="preserve"> noun forms but takes a different approach. The chapter deals with the participle form מְפֻעָל, </w:t>
      </w:r>
      <w:r w:rsidR="0059263A">
        <w:rPr>
          <w:lang w:val="en"/>
        </w:rPr>
        <w:t>which</w:t>
      </w:r>
      <w:r>
        <w:rPr>
          <w:rFonts w:hint="cs"/>
          <w:lang w:val="en"/>
        </w:rPr>
        <w:t xml:space="preserve"> includes, out of over a hundred forms documented in the Mishnah, only six forms, each of which raises question</w:t>
      </w:r>
      <w:r w:rsidR="00FA65B2">
        <w:rPr>
          <w:lang w:val="en"/>
        </w:rPr>
        <w:t>s</w:t>
      </w:r>
      <w:r>
        <w:rPr>
          <w:rFonts w:hint="cs"/>
          <w:lang w:val="en"/>
        </w:rPr>
        <w:t xml:space="preserve"> for clarification. For example, the form </w:t>
      </w:r>
      <w:r w:rsidR="00AF6AA4">
        <w:rPr>
          <w:lang w:val="en"/>
        </w:rPr>
        <w:t>“</w:t>
      </w:r>
      <w:r>
        <w:rPr>
          <w:rFonts w:hint="cs"/>
          <w:lang w:val="en"/>
        </w:rPr>
        <w:t>מְרוּסָּס</w:t>
      </w:r>
      <w:r w:rsidR="00AF6AA4">
        <w:rPr>
          <w:lang w:val="en"/>
        </w:rPr>
        <w:t>”</w:t>
      </w:r>
      <w:r>
        <w:rPr>
          <w:rFonts w:hint="cs"/>
          <w:lang w:val="en"/>
        </w:rPr>
        <w:t xml:space="preserve"> (= broken into pieces) appears in</w:t>
      </w:r>
      <w:r w:rsidR="002A6E97">
        <w:rPr>
          <w:lang w:val="en"/>
        </w:rPr>
        <w:t xml:space="preserve"> that form in</w:t>
      </w:r>
      <w:r>
        <w:rPr>
          <w:rFonts w:hint="cs"/>
          <w:lang w:val="en"/>
        </w:rPr>
        <w:t xml:space="preserve"> most versions of the text, but in some of them, the form </w:t>
      </w:r>
      <w:r w:rsidR="00AF6AA4">
        <w:rPr>
          <w:lang w:val="en"/>
        </w:rPr>
        <w:t>“</w:t>
      </w:r>
      <w:r>
        <w:rPr>
          <w:rFonts w:hint="cs"/>
          <w:lang w:val="en"/>
        </w:rPr>
        <w:t>מרוצץ</w:t>
      </w:r>
      <w:r w:rsidR="00AF6AA4">
        <w:rPr>
          <w:lang w:val="en"/>
        </w:rPr>
        <w:t>”</w:t>
      </w:r>
      <w:r>
        <w:rPr>
          <w:rFonts w:hint="cs"/>
          <w:lang w:val="en"/>
        </w:rPr>
        <w:t xml:space="preserve"> appears in its place. Bar-Asher is uncertain whether the root רס</w:t>
      </w:r>
      <w:r w:rsidR="00AF6AA4">
        <w:rPr>
          <w:lang w:val="en"/>
        </w:rPr>
        <w:t>”</w:t>
      </w:r>
      <w:r>
        <w:rPr>
          <w:rFonts w:hint="cs"/>
          <w:lang w:val="en"/>
        </w:rPr>
        <w:t xml:space="preserve">ס is a </w:t>
      </w:r>
      <w:r w:rsidR="007D6A97">
        <w:rPr>
          <w:lang w:val="en"/>
        </w:rPr>
        <w:t>secondary</w:t>
      </w:r>
      <w:r>
        <w:rPr>
          <w:rFonts w:hint="cs"/>
          <w:lang w:val="en"/>
        </w:rPr>
        <w:t xml:space="preserve"> variant of רצ</w:t>
      </w:r>
      <w:r w:rsidR="00AF6AA4">
        <w:rPr>
          <w:lang w:val="en"/>
        </w:rPr>
        <w:t>”</w:t>
      </w:r>
      <w:r>
        <w:rPr>
          <w:rFonts w:hint="cs"/>
          <w:lang w:val="en"/>
        </w:rPr>
        <w:t>ץ or an independent root and that its replacement with רצ</w:t>
      </w:r>
      <w:r w:rsidR="00AF6AA4">
        <w:rPr>
          <w:lang w:val="en"/>
        </w:rPr>
        <w:t>”</w:t>
      </w:r>
      <w:r>
        <w:rPr>
          <w:rFonts w:hint="cs"/>
          <w:lang w:val="en"/>
        </w:rPr>
        <w:t xml:space="preserve">ץ in some of the </w:t>
      </w:r>
      <w:r w:rsidR="00EE4B7D">
        <w:rPr>
          <w:lang w:val="en"/>
        </w:rPr>
        <w:t>witnesses</w:t>
      </w:r>
      <w:r>
        <w:rPr>
          <w:rFonts w:hint="cs"/>
          <w:lang w:val="en"/>
        </w:rPr>
        <w:t xml:space="preserve"> is </w:t>
      </w:r>
      <w:r w:rsidR="00EE4B7D">
        <w:rPr>
          <w:lang w:val="en"/>
        </w:rPr>
        <w:t>the</w:t>
      </w:r>
      <w:r>
        <w:rPr>
          <w:rFonts w:hint="cs"/>
          <w:lang w:val="en"/>
        </w:rPr>
        <w:t xml:space="preserve"> product of later interpretation. H</w:t>
      </w:r>
      <w:r w:rsidR="00EE4B7D">
        <w:rPr>
          <w:lang w:val="en"/>
        </w:rPr>
        <w:t xml:space="preserve">e favors </w:t>
      </w:r>
      <w:r>
        <w:rPr>
          <w:rFonts w:hint="cs"/>
          <w:lang w:val="en"/>
        </w:rPr>
        <w:t xml:space="preserve">the second option. </w:t>
      </w:r>
    </w:p>
    <w:p w14:paraId="6D28CFA9" w14:textId="5FF21887" w:rsidR="00F34784" w:rsidRDefault="002F4AD5" w:rsidP="00F34784">
      <w:pPr>
        <w:bidi w:val="0"/>
        <w:spacing w:line="360" w:lineRule="auto"/>
        <w:jc w:val="both"/>
        <w:rPr>
          <w:rtl/>
        </w:rPr>
      </w:pPr>
      <w:r>
        <w:rPr>
          <w:rFonts w:hint="cs"/>
          <w:lang w:val="en"/>
        </w:rPr>
        <w:t xml:space="preserve">The following chapter discusses the participle form מְפַעָל, which is a variant of the </w:t>
      </w:r>
      <w:r w:rsidR="006E7638">
        <w:rPr>
          <w:lang w:val="en"/>
        </w:rPr>
        <w:t>standard</w:t>
      </w:r>
      <w:r>
        <w:rPr>
          <w:rFonts w:hint="cs"/>
          <w:lang w:val="en"/>
        </w:rPr>
        <w:t xml:space="preserve"> passive participle form מְפֻעָל. These are forms that Hanoch Yelon has already </w:t>
      </w:r>
      <w:r>
        <w:rPr>
          <w:rFonts w:hint="cs"/>
          <w:lang w:val="en"/>
        </w:rPr>
        <w:lastRenderedPageBreak/>
        <w:t xml:space="preserve">described. Their existence can be inferred </w:t>
      </w:r>
      <w:r w:rsidR="000E407F">
        <w:rPr>
          <w:rFonts w:hint="cs"/>
          <w:lang w:val="en"/>
        </w:rPr>
        <w:t xml:space="preserve">only </w:t>
      </w:r>
      <w:r>
        <w:rPr>
          <w:rFonts w:hint="cs"/>
          <w:lang w:val="en"/>
        </w:rPr>
        <w:t xml:space="preserve">from the defective spelling </w:t>
      </w:r>
      <w:r w:rsidR="006836CE">
        <w:rPr>
          <w:lang w:val="en"/>
        </w:rPr>
        <w:t>missing a “</w:t>
      </w:r>
      <w:r w:rsidR="006836CE">
        <w:rPr>
          <w:rFonts w:hint="cs"/>
          <w:rtl/>
          <w:lang w:val="en"/>
        </w:rPr>
        <w:t>ו</w:t>
      </w:r>
      <w:r w:rsidR="006836CE">
        <w:t>”</w:t>
      </w:r>
      <w:r>
        <w:rPr>
          <w:rFonts w:hint="cs"/>
          <w:lang w:val="en"/>
        </w:rPr>
        <w:t xml:space="preserve"> </w:t>
      </w:r>
      <w:r w:rsidR="001543E6">
        <w:rPr>
          <w:lang w:val="en"/>
        </w:rPr>
        <w:t>in the</w:t>
      </w:r>
      <w:r>
        <w:rPr>
          <w:rFonts w:hint="cs"/>
          <w:lang w:val="en"/>
        </w:rPr>
        <w:t xml:space="preserve"> middle vowel, such as </w:t>
      </w:r>
      <w:r w:rsidR="00AF6AA4">
        <w:rPr>
          <w:lang w:val="en"/>
        </w:rPr>
        <w:t>“</w:t>
      </w:r>
      <w:r>
        <w:rPr>
          <w:rFonts w:hint="cs"/>
          <w:lang w:val="en"/>
        </w:rPr>
        <w:t>מְסַכָּן</w:t>
      </w:r>
      <w:r w:rsidR="00AF6AA4">
        <w:rPr>
          <w:lang w:val="en"/>
        </w:rPr>
        <w:t>”</w:t>
      </w:r>
      <w:r>
        <w:rPr>
          <w:rFonts w:hint="cs"/>
          <w:lang w:val="en"/>
        </w:rPr>
        <w:t xml:space="preserve"> (=</w:t>
      </w:r>
      <w:r w:rsidR="001543E6">
        <w:rPr>
          <w:rFonts w:hint="cs"/>
          <w:rtl/>
          <w:lang w:val="en"/>
        </w:rPr>
        <w:t>מסוכן</w:t>
      </w:r>
      <w:r>
        <w:rPr>
          <w:rFonts w:hint="cs"/>
          <w:lang w:val="en"/>
        </w:rPr>
        <w:t xml:space="preserve">), </w:t>
      </w:r>
      <w:r w:rsidR="00AF6AA4">
        <w:rPr>
          <w:lang w:val="en"/>
        </w:rPr>
        <w:t>“</w:t>
      </w:r>
      <w:r>
        <w:rPr>
          <w:rFonts w:hint="cs"/>
          <w:lang w:val="en"/>
        </w:rPr>
        <w:t>מְפָרָשׁ</w:t>
      </w:r>
      <w:r w:rsidR="00AF6AA4">
        <w:rPr>
          <w:lang w:val="en"/>
        </w:rPr>
        <w:t>”</w:t>
      </w:r>
      <w:r>
        <w:rPr>
          <w:rFonts w:hint="cs"/>
          <w:lang w:val="en"/>
        </w:rPr>
        <w:t xml:space="preserve"> (=</w:t>
      </w:r>
      <w:r w:rsidR="001543E6">
        <w:rPr>
          <w:rFonts w:hint="cs"/>
          <w:rtl/>
          <w:lang w:val="en"/>
        </w:rPr>
        <w:t>מפורש</w:t>
      </w:r>
      <w:r>
        <w:rPr>
          <w:rFonts w:hint="cs"/>
          <w:lang w:val="en"/>
        </w:rPr>
        <w:t xml:space="preserve">), </w:t>
      </w:r>
      <w:r w:rsidR="0008744D">
        <w:rPr>
          <w:lang w:val="en"/>
        </w:rPr>
        <w:t>where</w:t>
      </w:r>
      <w:r>
        <w:rPr>
          <w:rFonts w:hint="cs"/>
          <w:lang w:val="en"/>
        </w:rPr>
        <w:t xml:space="preserve"> the vowel</w:t>
      </w:r>
      <w:r w:rsidR="0075613F">
        <w:rPr>
          <w:lang w:val="en"/>
        </w:rPr>
        <w:t>ization</w:t>
      </w:r>
      <w:r>
        <w:rPr>
          <w:rFonts w:hint="cs"/>
          <w:lang w:val="en"/>
        </w:rPr>
        <w:t xml:space="preserve"> always indicates a u/o vowel in the first letter of the </w:t>
      </w:r>
      <w:r w:rsidR="00E87AF2">
        <w:rPr>
          <w:lang w:val="en"/>
        </w:rPr>
        <w:t>root</w:t>
      </w:r>
      <w:r w:rsidR="0008744D">
        <w:rPr>
          <w:lang w:val="en"/>
        </w:rPr>
        <w:t xml:space="preserve"> (</w:t>
      </w:r>
      <w:r w:rsidR="0008744D">
        <w:rPr>
          <w:rFonts w:hint="cs"/>
          <w:rtl/>
          <w:lang w:val="en"/>
        </w:rPr>
        <w:t>פ</w:t>
      </w:r>
      <w:r w:rsidR="00C60FC1">
        <w:rPr>
          <w:rFonts w:hint="eastAsia"/>
          <w:rtl/>
          <w:lang w:val="en"/>
        </w:rPr>
        <w:t>”</w:t>
      </w:r>
      <w:r w:rsidR="00C60FC1">
        <w:rPr>
          <w:rtl/>
          <w:lang w:val="en"/>
        </w:rPr>
        <w:t xml:space="preserve"> </w:t>
      </w:r>
      <w:r w:rsidR="0008744D">
        <w:rPr>
          <w:rFonts w:hint="cs"/>
          <w:rtl/>
          <w:lang w:val="en"/>
        </w:rPr>
        <w:t>א הפועל</w:t>
      </w:r>
      <w:r w:rsidR="0008744D">
        <w:t>)</w:t>
      </w:r>
      <w:r>
        <w:rPr>
          <w:rFonts w:hint="cs"/>
          <w:lang w:val="en"/>
        </w:rPr>
        <w:t xml:space="preserve">, contrary to the form documented in the consonantal text. Bar-Asher accepts the explanation that these forms follow the </w:t>
      </w:r>
      <w:r w:rsidR="007F129B">
        <w:rPr>
          <w:lang w:val="en"/>
        </w:rPr>
        <w:t>form of</w:t>
      </w:r>
      <w:r w:rsidR="007F129B">
        <w:rPr>
          <w:rFonts w:hint="cs"/>
          <w:lang w:val="en"/>
        </w:rPr>
        <w:t xml:space="preserve"> </w:t>
      </w:r>
      <w:r>
        <w:rPr>
          <w:rFonts w:hint="cs"/>
          <w:lang w:val="en"/>
        </w:rPr>
        <w:t xml:space="preserve">Aramaic, but unlike Yelon, who vocalizes the </w:t>
      </w:r>
      <w:r w:rsidR="001C4EBE">
        <w:rPr>
          <w:lang w:val="en"/>
        </w:rPr>
        <w:t>middle letter of the root (</w:t>
      </w:r>
      <w:r w:rsidR="001C4EBE">
        <w:rPr>
          <w:rFonts w:hint="cs"/>
          <w:rtl/>
          <w:lang w:val="en"/>
        </w:rPr>
        <w:t>עי</w:t>
      </w:r>
      <w:r w:rsidR="00C60FC1">
        <w:rPr>
          <w:rFonts w:hint="eastAsia"/>
          <w:rtl/>
          <w:lang w:val="en"/>
        </w:rPr>
        <w:t>”</w:t>
      </w:r>
      <w:r w:rsidR="001C4EBE">
        <w:rPr>
          <w:rFonts w:hint="cs"/>
          <w:rtl/>
          <w:lang w:val="en"/>
        </w:rPr>
        <w:t>ן הפועל</w:t>
      </w:r>
      <w:r w:rsidR="001C4EBE">
        <w:t xml:space="preserve">) </w:t>
      </w:r>
      <w:r>
        <w:rPr>
          <w:rFonts w:hint="cs"/>
          <w:lang w:val="en"/>
        </w:rPr>
        <w:t xml:space="preserve">with a </w:t>
      </w:r>
      <w:r w:rsidR="00AF51B7" w:rsidRPr="00AF51B7">
        <w:rPr>
          <w:rFonts w:hint="cs"/>
          <w:i/>
          <w:iCs/>
          <w:lang w:val="en"/>
        </w:rPr>
        <w:t>pata</w:t>
      </w:r>
      <w:r w:rsidR="00AF51B7" w:rsidRPr="00AF51B7">
        <w:rPr>
          <w:rFonts w:ascii="Calibri" w:hAnsi="Calibri" w:cs="Calibri"/>
          <w:i/>
          <w:iCs/>
          <w:lang w:val="en"/>
        </w:rPr>
        <w:t>ḥ</w:t>
      </w:r>
      <w:r>
        <w:rPr>
          <w:rFonts w:hint="cs"/>
          <w:lang w:val="en"/>
        </w:rPr>
        <w:t xml:space="preserve">, as in Aramaic, he prefers to vocalize it with a </w:t>
      </w:r>
      <w:r w:rsidR="00AF51B7" w:rsidRPr="00AF51B7">
        <w:rPr>
          <w:i/>
          <w:iCs/>
          <w:lang w:val="en"/>
        </w:rPr>
        <w:t>kamatz</w:t>
      </w:r>
      <w:r>
        <w:rPr>
          <w:rFonts w:hint="cs"/>
          <w:lang w:val="en"/>
        </w:rPr>
        <w:t>, as is customary in Hebrew. He describes in detail several forms of this type that are documented in the Mishnah and suggests that</w:t>
      </w:r>
      <w:r w:rsidR="001C2B3A">
        <w:rPr>
          <w:lang w:val="en"/>
        </w:rPr>
        <w:t xml:space="preserve"> </w:t>
      </w:r>
      <w:r>
        <w:rPr>
          <w:rFonts w:hint="cs"/>
          <w:lang w:val="en"/>
        </w:rPr>
        <w:t xml:space="preserve">two forms that appear in the Mishnah only once </w:t>
      </w:r>
      <w:r w:rsidR="00CF7E3D">
        <w:rPr>
          <w:lang w:val="en"/>
        </w:rPr>
        <w:t xml:space="preserve">– </w:t>
      </w:r>
      <w:r w:rsidR="00AF6AA4">
        <w:rPr>
          <w:lang w:val="en"/>
        </w:rPr>
        <w:t>“</w:t>
      </w:r>
      <w:r>
        <w:rPr>
          <w:rFonts w:hint="cs"/>
          <w:lang w:val="en"/>
        </w:rPr>
        <w:t>מְנַפְנֶפֶת</w:t>
      </w:r>
      <w:r w:rsidR="00AF6AA4">
        <w:rPr>
          <w:lang w:val="en"/>
        </w:rPr>
        <w:t>”</w:t>
      </w:r>
      <w:r>
        <w:rPr>
          <w:rFonts w:hint="cs"/>
          <w:lang w:val="en"/>
        </w:rPr>
        <w:t xml:space="preserve"> (Ohalot 8:5)</w:t>
      </w:r>
      <w:r w:rsidR="00CF7E3D">
        <w:rPr>
          <w:lang w:val="en"/>
        </w:rPr>
        <w:t xml:space="preserve"> and</w:t>
      </w:r>
      <w:r>
        <w:rPr>
          <w:rFonts w:hint="cs"/>
          <w:lang w:val="en"/>
        </w:rPr>
        <w:t xml:space="preserve"> </w:t>
      </w:r>
      <w:r w:rsidR="00AF6AA4">
        <w:rPr>
          <w:lang w:val="en"/>
        </w:rPr>
        <w:t>“</w:t>
      </w:r>
      <w:r>
        <w:rPr>
          <w:rFonts w:hint="cs"/>
          <w:lang w:val="en"/>
        </w:rPr>
        <w:t>מְנַתְּזִים</w:t>
      </w:r>
      <w:r w:rsidR="00AF6AA4">
        <w:rPr>
          <w:lang w:val="en"/>
        </w:rPr>
        <w:t>”</w:t>
      </w:r>
      <w:r>
        <w:rPr>
          <w:rFonts w:hint="cs"/>
          <w:lang w:val="en"/>
        </w:rPr>
        <w:t xml:space="preserve"> (Baba Kama 2:1) </w:t>
      </w:r>
      <w:r w:rsidR="00CF7E3D">
        <w:rPr>
          <w:lang w:val="en"/>
        </w:rPr>
        <w:t>–</w:t>
      </w:r>
      <w:r>
        <w:rPr>
          <w:rFonts w:hint="cs"/>
          <w:lang w:val="en"/>
        </w:rPr>
        <w:t xml:space="preserve"> also belong to this pattern.</w:t>
      </w:r>
    </w:p>
    <w:p w14:paraId="1E16FDC0" w14:textId="7B381AF2" w:rsidR="00B16F6F" w:rsidRDefault="002F4AD5" w:rsidP="00F34784">
      <w:pPr>
        <w:bidi w:val="0"/>
        <w:spacing w:line="360" w:lineRule="auto"/>
        <w:jc w:val="both"/>
        <w:rPr>
          <w:rtl/>
        </w:rPr>
      </w:pPr>
      <w:r>
        <w:rPr>
          <w:rFonts w:hint="cs"/>
          <w:lang w:val="en"/>
        </w:rPr>
        <w:t>The chapter concludes with a brief discussion o</w:t>
      </w:r>
      <w:r w:rsidR="00AF51B7">
        <w:rPr>
          <w:lang w:val="en"/>
        </w:rPr>
        <w:t>f</w:t>
      </w:r>
      <w:r>
        <w:rPr>
          <w:rFonts w:hint="cs"/>
          <w:lang w:val="en"/>
        </w:rPr>
        <w:t xml:space="preserve"> </w:t>
      </w:r>
      <w:r w:rsidR="00C60FC1">
        <w:rPr>
          <w:lang w:val="en"/>
        </w:rPr>
        <w:t>when</w:t>
      </w:r>
      <w:r>
        <w:rPr>
          <w:rFonts w:hint="cs"/>
          <w:lang w:val="en"/>
        </w:rPr>
        <w:t xml:space="preserve"> this form</w:t>
      </w:r>
      <w:r w:rsidR="00C60FC1">
        <w:rPr>
          <w:lang w:val="en"/>
        </w:rPr>
        <w:t xml:space="preserve"> </w:t>
      </w:r>
      <w:r w:rsidR="00AF51B7">
        <w:rPr>
          <w:lang w:val="en"/>
        </w:rPr>
        <w:t>began to be used</w:t>
      </w:r>
      <w:r>
        <w:rPr>
          <w:rFonts w:hint="cs"/>
          <w:lang w:val="en"/>
        </w:rPr>
        <w:t>. Bar-Asher insists on the fact that the change in the vowel of the first letter of the verb (</w:t>
      </w:r>
      <w:r w:rsidR="00AF51B7" w:rsidRPr="00AF51B7">
        <w:rPr>
          <w:rFonts w:hint="cs"/>
          <w:i/>
          <w:iCs/>
          <w:lang w:val="en"/>
        </w:rPr>
        <w:t>pata</w:t>
      </w:r>
      <w:r w:rsidR="00AF51B7" w:rsidRPr="00AF51B7">
        <w:rPr>
          <w:rFonts w:ascii="Calibri" w:hAnsi="Calibri" w:cs="Calibri"/>
          <w:i/>
          <w:iCs/>
          <w:lang w:val="en"/>
        </w:rPr>
        <w:t>ḥ</w:t>
      </w:r>
      <w:r>
        <w:rPr>
          <w:rFonts w:hint="cs"/>
          <w:lang w:val="en"/>
        </w:rPr>
        <w:t>/</w:t>
      </w:r>
      <w:r w:rsidR="00AF51B7" w:rsidRPr="00AF51B7">
        <w:rPr>
          <w:rFonts w:hint="cs"/>
          <w:i/>
          <w:iCs/>
          <w:lang w:val="en"/>
        </w:rPr>
        <w:t>kamatz</w:t>
      </w:r>
      <w:r>
        <w:rPr>
          <w:rFonts w:hint="cs"/>
          <w:lang w:val="en"/>
        </w:rPr>
        <w:t xml:space="preserve"> instead of </w:t>
      </w:r>
      <w:r w:rsidR="00AF51B7" w:rsidRPr="00AF51B7">
        <w:rPr>
          <w:rFonts w:ascii="Calibri" w:hAnsi="Calibri" w:cs="Calibri"/>
          <w:i/>
          <w:iCs/>
          <w:lang w:val="en"/>
        </w:rPr>
        <w:t>ḥ</w:t>
      </w:r>
      <w:r w:rsidRPr="00AF51B7">
        <w:rPr>
          <w:rFonts w:hint="cs"/>
          <w:i/>
          <w:iCs/>
          <w:lang w:val="en"/>
        </w:rPr>
        <w:t>olam/shuruk</w:t>
      </w:r>
      <w:r>
        <w:rPr>
          <w:rFonts w:hint="cs"/>
          <w:lang w:val="en"/>
        </w:rPr>
        <w:t xml:space="preserve">) eliminates the distinction between active and passive in the feminine forms, which in any case come in the </w:t>
      </w:r>
      <w:r w:rsidR="005D0FC1">
        <w:rPr>
          <w:lang w:val="en"/>
        </w:rPr>
        <w:t>form</w:t>
      </w:r>
      <w:r>
        <w:rPr>
          <w:rFonts w:hint="cs"/>
          <w:lang w:val="en"/>
        </w:rPr>
        <w:t xml:space="preserve"> of מְפַעֶלֶת, and in the forms of roots </w:t>
      </w:r>
      <w:r w:rsidR="005D0FC1">
        <w:rPr>
          <w:lang w:val="en"/>
        </w:rPr>
        <w:t xml:space="preserve">whose </w:t>
      </w:r>
      <w:r w:rsidR="00372EF7">
        <w:rPr>
          <w:lang w:val="en"/>
        </w:rPr>
        <w:t xml:space="preserve">third letter is </w:t>
      </w:r>
      <w:r w:rsidR="00372EF7" w:rsidRPr="00372EF7">
        <w:rPr>
          <w:i/>
          <w:iCs/>
          <w:lang w:val="en"/>
        </w:rPr>
        <w:t>yod</w:t>
      </w:r>
      <w:r>
        <w:rPr>
          <w:rFonts w:hint="cs"/>
          <w:lang w:val="en"/>
        </w:rPr>
        <w:t xml:space="preserve"> </w:t>
      </w:r>
      <w:r w:rsidR="00372EF7">
        <w:rPr>
          <w:lang w:val="en"/>
        </w:rPr>
        <w:t>(</w:t>
      </w:r>
      <w:r w:rsidR="00F50A64">
        <w:rPr>
          <w:rFonts w:hint="cs"/>
          <w:rtl/>
          <w:lang w:val="en"/>
        </w:rPr>
        <w:t>(</w:t>
      </w:r>
      <w:r w:rsidR="00F50A64">
        <w:rPr>
          <w:rFonts w:hint="cs"/>
          <w:rtl/>
        </w:rPr>
        <w:t>שורשי ל</w:t>
      </w:r>
      <w:r w:rsidR="00C51197">
        <w:rPr>
          <w:rFonts w:hint="eastAsia"/>
          <w:rtl/>
        </w:rPr>
        <w:t>”</w:t>
      </w:r>
      <w:r w:rsidR="00C51197">
        <w:rPr>
          <w:rtl/>
        </w:rPr>
        <w:t xml:space="preserve"> </w:t>
      </w:r>
      <w:r w:rsidR="00F50A64">
        <w:rPr>
          <w:rFonts w:hint="cs"/>
          <w:rtl/>
        </w:rPr>
        <w:t>י</w:t>
      </w:r>
      <w:r w:rsidR="00F50A64">
        <w:rPr>
          <w:rFonts w:hint="cs"/>
          <w:lang w:val="en"/>
        </w:rPr>
        <w:t xml:space="preserve"> </w:t>
      </w:r>
      <w:r>
        <w:rPr>
          <w:rFonts w:hint="cs"/>
          <w:lang w:val="en"/>
        </w:rPr>
        <w:t xml:space="preserve">there is no distinction between active and passive in all inflections. </w:t>
      </w:r>
      <w:r w:rsidR="00B077DF">
        <w:rPr>
          <w:lang w:val="en"/>
        </w:rPr>
        <w:t>According to Bar-Asher</w:t>
      </w:r>
      <w:r>
        <w:rPr>
          <w:rFonts w:hint="cs"/>
          <w:lang w:val="en"/>
        </w:rPr>
        <w:t xml:space="preserve">, it is </w:t>
      </w:r>
      <w:r w:rsidR="00B077DF">
        <w:rPr>
          <w:lang w:val="en"/>
        </w:rPr>
        <w:t>unlikely</w:t>
      </w:r>
      <w:r>
        <w:rPr>
          <w:rFonts w:hint="cs"/>
          <w:lang w:val="en"/>
        </w:rPr>
        <w:t xml:space="preserve"> that this occurred in the spoken language, and therefore</w:t>
      </w:r>
      <w:r w:rsidR="00DA2A7B">
        <w:rPr>
          <w:lang w:val="en"/>
        </w:rPr>
        <w:t>,</w:t>
      </w:r>
      <w:r>
        <w:rPr>
          <w:rFonts w:hint="cs"/>
          <w:lang w:val="en"/>
        </w:rPr>
        <w:t xml:space="preserve"> </w:t>
      </w:r>
      <w:r w:rsidR="00965FA8">
        <w:rPr>
          <w:lang w:val="en"/>
        </w:rPr>
        <w:t>one should conclude</w:t>
      </w:r>
      <w:r>
        <w:rPr>
          <w:rFonts w:hint="cs"/>
          <w:lang w:val="en"/>
        </w:rPr>
        <w:t xml:space="preserve"> that these forms came into use under the influence of Aramaic only after Hebrew ceased to be spoken. </w:t>
      </w:r>
      <w:r w:rsidR="00564838">
        <w:rPr>
          <w:lang w:val="en"/>
        </w:rPr>
        <w:t>In this context, i</w:t>
      </w:r>
      <w:r>
        <w:rPr>
          <w:rFonts w:hint="cs"/>
          <w:lang w:val="en"/>
        </w:rPr>
        <w:t xml:space="preserve">t should be noted that Aramaic was already a dominant, perhaps primary, language during the Tannaitic period, and it </w:t>
      </w:r>
      <w:r w:rsidR="003F15F9">
        <w:rPr>
          <w:lang w:val="en"/>
        </w:rPr>
        <w:t>profoundly influenced</w:t>
      </w:r>
      <w:r>
        <w:rPr>
          <w:rFonts w:hint="cs"/>
          <w:lang w:val="en"/>
        </w:rPr>
        <w:t xml:space="preserve"> Hebrew even </w:t>
      </w:r>
      <w:r w:rsidR="00DC6D30">
        <w:rPr>
          <w:lang w:val="en"/>
        </w:rPr>
        <w:t>when it was a spoken language</w:t>
      </w:r>
      <w:r>
        <w:rPr>
          <w:rFonts w:hint="cs"/>
          <w:lang w:val="en"/>
        </w:rPr>
        <w:t>.</w:t>
      </w:r>
      <w:r w:rsidR="00DC6D30">
        <w:rPr>
          <w:lang w:val="en"/>
        </w:rPr>
        <w:t xml:space="preserve"> </w:t>
      </w:r>
      <w:r w:rsidR="003F15F9">
        <w:rPr>
          <w:lang w:val="en"/>
        </w:rPr>
        <w:t xml:space="preserve">Therefore, </w:t>
      </w:r>
      <w:r w:rsidR="00B20E3C">
        <w:rPr>
          <w:lang w:val="en"/>
        </w:rPr>
        <w:t>assuming that Aramaic influence could not have occurred in the spoken language is unnecessary</w:t>
      </w:r>
      <w:r>
        <w:rPr>
          <w:rFonts w:hint="cs"/>
          <w:lang w:val="en"/>
        </w:rPr>
        <w:t xml:space="preserve">. </w:t>
      </w:r>
      <w:r w:rsidR="00A46785">
        <w:rPr>
          <w:lang w:val="en"/>
        </w:rPr>
        <w:t>Furthermore,</w:t>
      </w:r>
      <w:r>
        <w:rPr>
          <w:rFonts w:hint="cs"/>
          <w:lang w:val="en"/>
        </w:rPr>
        <w:t xml:space="preserve"> a similar cancellation of the contrast between active and passive</w:t>
      </w:r>
      <w:r w:rsidR="00A46785">
        <w:rPr>
          <w:lang w:val="en"/>
        </w:rPr>
        <w:t xml:space="preserve"> occu</w:t>
      </w:r>
      <w:r w:rsidR="00B33DC5">
        <w:rPr>
          <w:lang w:val="en"/>
        </w:rPr>
        <w:t>r</w:t>
      </w:r>
      <w:r w:rsidR="00A46785">
        <w:rPr>
          <w:lang w:val="en"/>
        </w:rPr>
        <w:t>red</w:t>
      </w:r>
      <w:r>
        <w:rPr>
          <w:rFonts w:hint="cs"/>
          <w:lang w:val="en"/>
        </w:rPr>
        <w:t xml:space="preserve"> in Biblical Hebrew, in the inflection of the verb forms </w:t>
      </w:r>
      <w:r w:rsidR="00B37898">
        <w:rPr>
          <w:rFonts w:hint="cs"/>
          <w:rtl/>
        </w:rPr>
        <w:t>פּוֹלֵל</w:t>
      </w:r>
      <w:r w:rsidR="00B37898">
        <w:t xml:space="preserve"> </w:t>
      </w:r>
      <w:r>
        <w:rPr>
          <w:rFonts w:hint="cs"/>
          <w:lang w:val="en"/>
        </w:rPr>
        <w:t xml:space="preserve">and </w:t>
      </w:r>
      <w:r w:rsidR="00DD7999">
        <w:rPr>
          <w:rFonts w:hint="cs"/>
          <w:rtl/>
        </w:rPr>
        <w:t>פוֹלַל</w:t>
      </w:r>
      <w:r w:rsidR="00DD7999">
        <w:t xml:space="preserve"> </w:t>
      </w:r>
      <w:r>
        <w:rPr>
          <w:rFonts w:hint="cs"/>
          <w:lang w:val="en"/>
        </w:rPr>
        <w:t xml:space="preserve">in roots </w:t>
      </w:r>
      <w:r w:rsidR="00DD7999">
        <w:rPr>
          <w:lang w:val="en"/>
        </w:rPr>
        <w:t xml:space="preserve">whose middle letter is </w:t>
      </w:r>
      <w:r w:rsidR="002D59C5">
        <w:rPr>
          <w:lang w:val="en"/>
        </w:rPr>
        <w:t>“</w:t>
      </w:r>
      <w:r w:rsidR="002D59C5">
        <w:rPr>
          <w:rFonts w:hint="cs"/>
          <w:rtl/>
          <w:lang w:val="en"/>
        </w:rPr>
        <w:t>ו</w:t>
      </w:r>
      <w:r w:rsidR="002D59C5">
        <w:t>” or “</w:t>
      </w:r>
      <w:r w:rsidR="002D59C5">
        <w:rPr>
          <w:rFonts w:hint="cs"/>
          <w:rtl/>
        </w:rPr>
        <w:t>ע</w:t>
      </w:r>
      <w:r w:rsidR="002D59C5">
        <w:t>” (</w:t>
      </w:r>
      <w:r w:rsidR="002D59C5">
        <w:rPr>
          <w:rFonts w:hint="cs"/>
          <w:rtl/>
        </w:rPr>
        <w:t>פועלי ע</w:t>
      </w:r>
      <w:r w:rsidR="00C51197">
        <w:rPr>
          <w:rFonts w:hint="eastAsia"/>
          <w:rtl/>
        </w:rPr>
        <w:t>”</w:t>
      </w:r>
      <w:r w:rsidR="00C51197">
        <w:rPr>
          <w:rtl/>
        </w:rPr>
        <w:t xml:space="preserve"> </w:t>
      </w:r>
      <w:r w:rsidR="002D59C5">
        <w:rPr>
          <w:rFonts w:hint="cs"/>
          <w:rtl/>
        </w:rPr>
        <w:t>ו וע</w:t>
      </w:r>
      <w:r w:rsidR="00C51197">
        <w:rPr>
          <w:rFonts w:hint="eastAsia"/>
          <w:rtl/>
        </w:rPr>
        <w:t>”</w:t>
      </w:r>
      <w:r w:rsidR="00C51197">
        <w:rPr>
          <w:rtl/>
        </w:rPr>
        <w:t xml:space="preserve"> </w:t>
      </w:r>
      <w:r w:rsidR="002D59C5">
        <w:rPr>
          <w:rFonts w:hint="cs"/>
          <w:rtl/>
        </w:rPr>
        <w:t>ע</w:t>
      </w:r>
      <w:r w:rsidR="002D59C5">
        <w:t xml:space="preserve">) </w:t>
      </w:r>
      <w:r>
        <w:rPr>
          <w:rFonts w:hint="cs"/>
          <w:lang w:val="en"/>
        </w:rPr>
        <w:t xml:space="preserve">which are identical in most of their forms (for example, the form </w:t>
      </w:r>
      <w:r w:rsidR="00AF6AA4">
        <w:rPr>
          <w:lang w:val="en"/>
        </w:rPr>
        <w:t>“</w:t>
      </w:r>
      <w:r w:rsidR="00DA5B68">
        <w:rPr>
          <w:rFonts w:hint="cs"/>
          <w:rtl/>
        </w:rPr>
        <w:t>כּוֹנְנוּ</w:t>
      </w:r>
      <w:r w:rsidR="00AF6AA4">
        <w:rPr>
          <w:lang w:val="en"/>
        </w:rPr>
        <w:t>”</w:t>
      </w:r>
      <w:r>
        <w:rPr>
          <w:rFonts w:hint="cs"/>
          <w:lang w:val="en"/>
        </w:rPr>
        <w:t xml:space="preserve"> could be either active or passive, and only context determines </w:t>
      </w:r>
      <w:r w:rsidR="00DA5B68">
        <w:rPr>
          <w:lang w:val="en"/>
        </w:rPr>
        <w:t>which</w:t>
      </w:r>
      <w:r>
        <w:rPr>
          <w:rFonts w:hint="cs"/>
          <w:lang w:val="en"/>
        </w:rPr>
        <w:t>).</w:t>
      </w:r>
    </w:p>
    <w:p w14:paraId="1EAE5F97" w14:textId="65A3E4EF" w:rsidR="005F24AA" w:rsidRDefault="002F4AD5" w:rsidP="00F34784">
      <w:pPr>
        <w:bidi w:val="0"/>
        <w:spacing w:line="360" w:lineRule="auto"/>
        <w:jc w:val="both"/>
        <w:rPr>
          <w:rtl/>
        </w:rPr>
      </w:pPr>
      <w:r>
        <w:rPr>
          <w:rFonts w:hint="cs"/>
          <w:lang w:val="en"/>
        </w:rPr>
        <w:t xml:space="preserve">The eleventh chapter of the book deals with the change that occurred in the form מִטַּלְטְלִין </w:t>
      </w:r>
      <w:r w:rsidR="00D859D5">
        <w:rPr>
          <w:lang w:val="en"/>
        </w:rPr>
        <w:t>–</w:t>
      </w:r>
      <w:r>
        <w:rPr>
          <w:rFonts w:hint="cs"/>
          <w:lang w:val="en"/>
        </w:rPr>
        <w:t xml:space="preserve"> as it usually appears in the early manuscripts, that is, the </w:t>
      </w:r>
      <w:r w:rsidR="003A6B43">
        <w:rPr>
          <w:lang w:val="en"/>
        </w:rPr>
        <w:t>passive</w:t>
      </w:r>
      <w:r>
        <w:rPr>
          <w:rFonts w:hint="cs"/>
          <w:lang w:val="en"/>
        </w:rPr>
        <w:t xml:space="preserve"> form, which is </w:t>
      </w:r>
      <w:r w:rsidR="003A6B43">
        <w:rPr>
          <w:rFonts w:hint="cs"/>
          <w:lang w:val="en"/>
        </w:rPr>
        <w:t>morpho-semantic</w:t>
      </w:r>
      <w:r w:rsidR="003A6B43">
        <w:rPr>
          <w:lang w:val="en"/>
        </w:rPr>
        <w:t>ally</w:t>
      </w:r>
      <w:r w:rsidR="003A6B43">
        <w:rPr>
          <w:rFonts w:hint="cs"/>
          <w:lang w:val="en"/>
        </w:rPr>
        <w:t xml:space="preserve"> </w:t>
      </w:r>
      <w:r>
        <w:rPr>
          <w:rFonts w:hint="cs"/>
          <w:lang w:val="en"/>
        </w:rPr>
        <w:t xml:space="preserve">appropriate (a </w:t>
      </w:r>
      <w:r w:rsidR="003A6B43">
        <w:rPr>
          <w:lang w:val="en"/>
        </w:rPr>
        <w:t>passive</w:t>
      </w:r>
      <w:r>
        <w:rPr>
          <w:rFonts w:hint="cs"/>
          <w:lang w:val="en"/>
        </w:rPr>
        <w:t xml:space="preserve"> form of the </w:t>
      </w:r>
      <w:r w:rsidR="005537CA">
        <w:rPr>
          <w:rFonts w:hint="cs"/>
          <w:rtl/>
          <w:lang w:val="en"/>
        </w:rPr>
        <w:t>נפע</w:t>
      </w:r>
      <w:r w:rsidR="00C51197">
        <w:rPr>
          <w:rtl/>
          <w:lang w:val="en"/>
        </w:rPr>
        <w:t xml:space="preserve"> “</w:t>
      </w:r>
      <w:r w:rsidR="005537CA">
        <w:rPr>
          <w:rFonts w:hint="cs"/>
          <w:rtl/>
          <w:lang w:val="en"/>
        </w:rPr>
        <w:t>ל</w:t>
      </w:r>
      <w:r w:rsidR="005537CA">
        <w:t xml:space="preserve"> </w:t>
      </w:r>
      <w:r w:rsidR="005B13DE">
        <w:t>stem</w:t>
      </w:r>
      <w:r>
        <w:rPr>
          <w:rFonts w:hint="cs"/>
          <w:lang w:val="en"/>
        </w:rPr>
        <w:t xml:space="preserve"> </w:t>
      </w:r>
      <w:r w:rsidR="00B20E3C">
        <w:rPr>
          <w:lang w:val="en"/>
        </w:rPr>
        <w:t>–</w:t>
      </w:r>
      <w:r w:rsidR="008E765A">
        <w:rPr>
          <w:lang w:val="en"/>
        </w:rPr>
        <w:t xml:space="preserve"> </w:t>
      </w:r>
      <w:r w:rsidR="00AF6AA4">
        <w:rPr>
          <w:lang w:val="en"/>
        </w:rPr>
        <w:t>“</w:t>
      </w:r>
      <w:r>
        <w:rPr>
          <w:rFonts w:hint="cs"/>
          <w:lang w:val="en"/>
        </w:rPr>
        <w:t>things that can be moved</w:t>
      </w:r>
      <w:r w:rsidR="00AF6AA4">
        <w:rPr>
          <w:lang w:val="en"/>
        </w:rPr>
        <w:t>”</w:t>
      </w:r>
      <w:r>
        <w:rPr>
          <w:rFonts w:hint="cs"/>
          <w:lang w:val="en"/>
        </w:rPr>
        <w:t xml:space="preserve">). However, in oral traditions and also in Modern Hebrew, it appears in the form </w:t>
      </w:r>
      <w:r w:rsidR="00AF6AA4">
        <w:rPr>
          <w:lang w:val="en"/>
        </w:rPr>
        <w:t>“</w:t>
      </w:r>
      <w:r>
        <w:rPr>
          <w:rFonts w:hint="cs"/>
          <w:lang w:val="en"/>
        </w:rPr>
        <w:t>מְטַלְטְלִין</w:t>
      </w:r>
      <w:r w:rsidR="00AF6AA4">
        <w:rPr>
          <w:lang w:val="en"/>
        </w:rPr>
        <w:t>”</w:t>
      </w:r>
      <w:r>
        <w:rPr>
          <w:rFonts w:hint="cs"/>
          <w:lang w:val="en"/>
        </w:rPr>
        <w:t xml:space="preserve"> </w:t>
      </w:r>
      <w:r w:rsidR="00492013">
        <w:rPr>
          <w:lang w:val="en"/>
        </w:rPr>
        <w:t xml:space="preserve">– </w:t>
      </w:r>
      <w:r>
        <w:rPr>
          <w:rFonts w:hint="cs"/>
          <w:lang w:val="en"/>
        </w:rPr>
        <w:t xml:space="preserve">an active form </w:t>
      </w:r>
      <w:r w:rsidR="005B13DE">
        <w:rPr>
          <w:lang w:val="en"/>
        </w:rPr>
        <w:t>of</w:t>
      </w:r>
      <w:r>
        <w:rPr>
          <w:rFonts w:hint="cs"/>
          <w:lang w:val="en"/>
        </w:rPr>
        <w:t xml:space="preserve"> the </w:t>
      </w:r>
      <w:r w:rsidR="00FE0CA8">
        <w:rPr>
          <w:rFonts w:hint="cs"/>
          <w:rtl/>
        </w:rPr>
        <w:t>פיע</w:t>
      </w:r>
      <w:r w:rsidR="00FE0CA8">
        <w:rPr>
          <w:rFonts w:hint="eastAsia"/>
          <w:rtl/>
        </w:rPr>
        <w:t>”</w:t>
      </w:r>
      <w:r w:rsidR="00FE0CA8">
        <w:rPr>
          <w:rFonts w:hint="cs"/>
          <w:rtl/>
        </w:rPr>
        <w:t>ל</w:t>
      </w:r>
      <w:r w:rsidR="00FE0CA8">
        <w:rPr>
          <w:rFonts w:hint="cs"/>
          <w:lang w:val="en"/>
        </w:rPr>
        <w:t xml:space="preserve"> </w:t>
      </w:r>
      <w:r w:rsidR="00FE0CA8">
        <w:t>stem</w:t>
      </w:r>
      <w:r>
        <w:rPr>
          <w:rFonts w:hint="cs"/>
          <w:lang w:val="en"/>
        </w:rPr>
        <w:t xml:space="preserve">. Bar-Asher hypothesizes that this form </w:t>
      </w:r>
      <w:r w:rsidR="00201CD0">
        <w:rPr>
          <w:lang w:val="en"/>
        </w:rPr>
        <w:t>arose</w:t>
      </w:r>
      <w:r>
        <w:rPr>
          <w:rFonts w:hint="cs"/>
          <w:lang w:val="en"/>
        </w:rPr>
        <w:t xml:space="preserve"> by analogy to the Aramaic form </w:t>
      </w:r>
      <w:r w:rsidR="00AF6AA4">
        <w:rPr>
          <w:lang w:val="en"/>
        </w:rPr>
        <w:t>“</w:t>
      </w:r>
      <w:r>
        <w:rPr>
          <w:rFonts w:hint="cs"/>
          <w:lang w:val="en"/>
        </w:rPr>
        <w:t>מְקַרְקְעֵי</w:t>
      </w:r>
      <w:r w:rsidR="00AF6AA4">
        <w:rPr>
          <w:rFonts w:hint="cs"/>
          <w:lang w:val="en"/>
        </w:rPr>
        <w:t>,</w:t>
      </w:r>
      <w:r w:rsidR="00AF6AA4">
        <w:rPr>
          <w:lang w:val="en"/>
        </w:rPr>
        <w:t>”</w:t>
      </w:r>
      <w:r>
        <w:rPr>
          <w:rFonts w:hint="cs"/>
          <w:lang w:val="en"/>
        </w:rPr>
        <w:t xml:space="preserve"> which is commonly paired with the form </w:t>
      </w:r>
      <w:r w:rsidR="00AF6AA4">
        <w:rPr>
          <w:lang w:val="en"/>
        </w:rPr>
        <w:t>“</w:t>
      </w:r>
      <w:r>
        <w:rPr>
          <w:rFonts w:hint="cs"/>
          <w:lang w:val="en"/>
        </w:rPr>
        <w:t>מטלטלי</w:t>
      </w:r>
      <w:r w:rsidR="00754024">
        <w:rPr>
          <w:lang w:val="en"/>
        </w:rPr>
        <w:t>,</w:t>
      </w:r>
      <w:r w:rsidR="00AF6AA4">
        <w:rPr>
          <w:lang w:val="en"/>
        </w:rPr>
        <w:t>”</w:t>
      </w:r>
      <w:r>
        <w:rPr>
          <w:rFonts w:hint="cs"/>
          <w:lang w:val="en"/>
        </w:rPr>
        <w:t xml:space="preserve"> </w:t>
      </w:r>
      <w:r w:rsidR="00754024">
        <w:rPr>
          <w:rFonts w:hint="cs"/>
          <w:lang w:val="en"/>
        </w:rPr>
        <w:t xml:space="preserve">the Aramaic equivalent of </w:t>
      </w:r>
      <w:r w:rsidR="00754024">
        <w:rPr>
          <w:lang w:val="en"/>
        </w:rPr>
        <w:t>“</w:t>
      </w:r>
      <w:r w:rsidR="00754024">
        <w:rPr>
          <w:rFonts w:hint="cs"/>
          <w:lang w:val="en"/>
        </w:rPr>
        <w:t>מטלטלין</w:t>
      </w:r>
      <w:r w:rsidR="0072087E">
        <w:rPr>
          <w:lang w:val="en"/>
        </w:rPr>
        <w:t>,”</w:t>
      </w:r>
      <w:r w:rsidR="00754024">
        <w:rPr>
          <w:rFonts w:hint="cs"/>
          <w:lang w:val="en"/>
        </w:rPr>
        <w:t xml:space="preserve"> </w:t>
      </w:r>
      <w:r>
        <w:rPr>
          <w:rFonts w:hint="cs"/>
          <w:lang w:val="en"/>
        </w:rPr>
        <w:t>in the Babylonian Talmud</w:t>
      </w:r>
      <w:r w:rsidR="0072087E">
        <w:rPr>
          <w:lang w:val="en"/>
        </w:rPr>
        <w:t>.</w:t>
      </w:r>
    </w:p>
    <w:p w14:paraId="6A842F77" w14:textId="326EBFEF" w:rsidR="00FC01A2" w:rsidRDefault="002F4AD5" w:rsidP="00F34784">
      <w:pPr>
        <w:bidi w:val="0"/>
        <w:spacing w:line="360" w:lineRule="auto"/>
        <w:jc w:val="both"/>
        <w:rPr>
          <w:rtl/>
        </w:rPr>
      </w:pPr>
      <w:r>
        <w:rPr>
          <w:rFonts w:hint="cs"/>
          <w:lang w:val="en"/>
        </w:rPr>
        <w:lastRenderedPageBreak/>
        <w:t xml:space="preserve">The next chapter, the last in this section, deals with the vowel pointing of the passive participle form מֻפְעָל in the </w:t>
      </w:r>
      <w:r w:rsidR="004459FD">
        <w:rPr>
          <w:rFonts w:hint="cs"/>
          <w:lang w:val="en"/>
        </w:rPr>
        <w:t>Kaufmann</w:t>
      </w:r>
      <w:r>
        <w:rPr>
          <w:rFonts w:hint="cs"/>
          <w:lang w:val="en"/>
        </w:rPr>
        <w:t xml:space="preserve"> Manuscript. Bar-Asher found that a relatively high percentage of the forms are vowelized with a </w:t>
      </w:r>
      <w:r w:rsidR="00AF51B7" w:rsidRPr="00AF51B7">
        <w:rPr>
          <w:rFonts w:hint="cs"/>
          <w:i/>
          <w:iCs/>
          <w:lang w:val="en"/>
        </w:rPr>
        <w:t>pata</w:t>
      </w:r>
      <w:r w:rsidR="00AF51B7" w:rsidRPr="00AF51B7">
        <w:rPr>
          <w:rFonts w:ascii="Calibri" w:hAnsi="Calibri" w:cs="Calibri"/>
          <w:i/>
          <w:iCs/>
          <w:lang w:val="en"/>
        </w:rPr>
        <w:t>ḥ</w:t>
      </w:r>
      <w:r>
        <w:rPr>
          <w:rFonts w:hint="cs"/>
          <w:lang w:val="en"/>
        </w:rPr>
        <w:t xml:space="preserve"> instead of the usual </w:t>
      </w:r>
      <w:r w:rsidR="00AF51B7" w:rsidRPr="00AF51B7">
        <w:rPr>
          <w:rFonts w:hint="cs"/>
          <w:i/>
          <w:iCs/>
          <w:lang w:val="en"/>
        </w:rPr>
        <w:t>kamatz</w:t>
      </w:r>
      <w:r>
        <w:rPr>
          <w:rFonts w:hint="cs"/>
          <w:lang w:val="en"/>
        </w:rPr>
        <w:t xml:space="preserve"> in the Tiberian tradition of vowelization, such as </w:t>
      </w:r>
      <w:r w:rsidR="00AF6AA4">
        <w:rPr>
          <w:lang w:val="en"/>
        </w:rPr>
        <w:t>“</w:t>
      </w:r>
      <w:r w:rsidR="00397C92">
        <w:rPr>
          <w:rFonts w:hint="cs"/>
          <w:rtl/>
        </w:rPr>
        <w:t>מוּבְחַר</w:t>
      </w:r>
      <w:r w:rsidR="00AF6AA4">
        <w:rPr>
          <w:rFonts w:hint="cs"/>
          <w:lang w:val="en"/>
        </w:rPr>
        <w:t>,</w:t>
      </w:r>
      <w:r w:rsidR="00AF6AA4">
        <w:rPr>
          <w:lang w:val="en"/>
        </w:rPr>
        <w:t>”</w:t>
      </w:r>
      <w:r>
        <w:rPr>
          <w:rFonts w:hint="cs"/>
          <w:lang w:val="en"/>
        </w:rPr>
        <w:t xml:space="preserve"> </w:t>
      </w:r>
      <w:r w:rsidR="00AF6AA4">
        <w:rPr>
          <w:lang w:val="en"/>
        </w:rPr>
        <w:t>“</w:t>
      </w:r>
      <w:r w:rsidR="00201CD0">
        <w:rPr>
          <w:rFonts w:hint="cs"/>
          <w:rtl/>
        </w:rPr>
        <w:t>מוּחְלַט</w:t>
      </w:r>
      <w:r w:rsidR="00AF6AA4">
        <w:rPr>
          <w:lang w:val="en"/>
        </w:rPr>
        <w:t>”</w:t>
      </w:r>
      <w:r>
        <w:rPr>
          <w:rFonts w:hint="cs"/>
          <w:lang w:val="en"/>
        </w:rPr>
        <w:t xml:space="preserve"> and more. </w:t>
      </w:r>
      <w:r w:rsidR="00201CD0">
        <w:rPr>
          <w:lang w:val="en"/>
        </w:rPr>
        <w:t>H</w:t>
      </w:r>
      <w:r>
        <w:rPr>
          <w:rFonts w:hint="cs"/>
          <w:lang w:val="en"/>
        </w:rPr>
        <w:t xml:space="preserve">e hypothesizes that this was the tradition of the vocalizer </w:t>
      </w:r>
      <w:r w:rsidR="00EA2ED6">
        <w:rPr>
          <w:lang w:val="en"/>
        </w:rPr>
        <w:t>for</w:t>
      </w:r>
      <w:r>
        <w:rPr>
          <w:rFonts w:hint="cs"/>
          <w:lang w:val="en"/>
        </w:rPr>
        <w:t xml:space="preserve"> this form, </w:t>
      </w:r>
      <w:r w:rsidR="00EA2ED6">
        <w:rPr>
          <w:lang w:val="en"/>
        </w:rPr>
        <w:t>while</w:t>
      </w:r>
      <w:r>
        <w:rPr>
          <w:rFonts w:hint="cs"/>
          <w:lang w:val="en"/>
        </w:rPr>
        <w:t xml:space="preserve"> in most places he vocalized with a </w:t>
      </w:r>
      <w:r w:rsidR="00AF51B7" w:rsidRPr="00AF51B7">
        <w:rPr>
          <w:rFonts w:hint="cs"/>
          <w:i/>
          <w:iCs/>
          <w:lang w:val="en"/>
        </w:rPr>
        <w:t>kamatz</w:t>
      </w:r>
      <w:r>
        <w:rPr>
          <w:rFonts w:hint="cs"/>
          <w:lang w:val="en"/>
        </w:rPr>
        <w:t xml:space="preserve"> </w:t>
      </w:r>
      <w:r w:rsidR="00250570">
        <w:rPr>
          <w:lang w:val="en"/>
        </w:rPr>
        <w:t>per</w:t>
      </w:r>
      <w:r>
        <w:rPr>
          <w:rFonts w:hint="cs"/>
          <w:lang w:val="en"/>
        </w:rPr>
        <w:t xml:space="preserve"> the Tiberian tradition. Regarding the very existence of </w:t>
      </w:r>
      <w:r w:rsidR="00250570">
        <w:rPr>
          <w:lang w:val="en"/>
        </w:rPr>
        <w:t>vocalization with a pata</w:t>
      </w:r>
      <w:r w:rsidR="00250570">
        <w:rPr>
          <w:rFonts w:ascii="Calibri" w:hAnsi="Calibri" w:cs="Calibri"/>
          <w:lang w:val="en"/>
        </w:rPr>
        <w:t>ḥ</w:t>
      </w:r>
      <w:r>
        <w:rPr>
          <w:rFonts w:hint="cs"/>
          <w:lang w:val="en"/>
        </w:rPr>
        <w:t xml:space="preserve">, he explains that it </w:t>
      </w:r>
      <w:r w:rsidR="00250570">
        <w:rPr>
          <w:lang w:val="en"/>
        </w:rPr>
        <w:t>resulted from an</w:t>
      </w:r>
      <w:r>
        <w:rPr>
          <w:rFonts w:hint="cs"/>
          <w:lang w:val="en"/>
        </w:rPr>
        <w:t xml:space="preserve"> analogy to the past tense form (</w:t>
      </w:r>
      <w:r w:rsidR="0081191C">
        <w:rPr>
          <w:rFonts w:hint="cs"/>
          <w:rtl/>
        </w:rPr>
        <w:t>הֻפְעַל</w:t>
      </w:r>
      <w:r>
        <w:rPr>
          <w:rFonts w:hint="cs"/>
          <w:lang w:val="en"/>
        </w:rPr>
        <w:t>).</w:t>
      </w:r>
    </w:p>
    <w:p w14:paraId="13179AD5" w14:textId="5B928242" w:rsidR="004F17A6" w:rsidRDefault="002F4AD5" w:rsidP="00F34784">
      <w:pPr>
        <w:bidi w:val="0"/>
        <w:spacing w:line="360" w:lineRule="auto"/>
        <w:jc w:val="both"/>
        <w:rPr>
          <w:rtl/>
        </w:rPr>
      </w:pPr>
      <w:r>
        <w:rPr>
          <w:rFonts w:hint="cs"/>
          <w:lang w:val="en"/>
        </w:rPr>
        <w:t xml:space="preserve">The </w:t>
      </w:r>
      <w:r w:rsidR="0081191C">
        <w:rPr>
          <w:lang w:val="en"/>
        </w:rPr>
        <w:t>fifth</w:t>
      </w:r>
      <w:r>
        <w:rPr>
          <w:rFonts w:hint="cs"/>
          <w:lang w:val="en"/>
        </w:rPr>
        <w:t xml:space="preserve"> section</w:t>
      </w:r>
      <w:r w:rsidR="0081191C">
        <w:rPr>
          <w:lang w:val="en"/>
        </w:rPr>
        <w:t xml:space="preserve"> is</w:t>
      </w:r>
      <w:r>
        <w:rPr>
          <w:rFonts w:hint="cs"/>
          <w:lang w:val="en"/>
        </w:rPr>
        <w:t xml:space="preserve"> </w:t>
      </w:r>
      <w:r w:rsidR="00AF6AA4">
        <w:rPr>
          <w:lang w:val="en"/>
        </w:rPr>
        <w:t>“</w:t>
      </w:r>
      <w:r>
        <w:rPr>
          <w:rFonts w:hint="cs"/>
          <w:lang w:val="en"/>
        </w:rPr>
        <w:t>Midrash and Language</w:t>
      </w:r>
      <w:r w:rsidR="00AF6AA4">
        <w:rPr>
          <w:rFonts w:hint="cs"/>
          <w:lang w:val="en"/>
        </w:rPr>
        <w:t>.</w:t>
      </w:r>
      <w:r w:rsidR="00AF6AA4">
        <w:rPr>
          <w:lang w:val="en"/>
        </w:rPr>
        <w:t>”</w:t>
      </w:r>
      <w:r>
        <w:rPr>
          <w:rFonts w:hint="cs"/>
          <w:lang w:val="en"/>
        </w:rPr>
        <w:t xml:space="preserve"> </w:t>
      </w:r>
      <w:r w:rsidR="0081191C">
        <w:rPr>
          <w:lang w:val="en"/>
        </w:rPr>
        <w:t>Its</w:t>
      </w:r>
      <w:r>
        <w:rPr>
          <w:rFonts w:hint="cs"/>
          <w:lang w:val="en"/>
        </w:rPr>
        <w:t xml:space="preserve"> first chapter, chapter 13 of the book, </w:t>
      </w:r>
      <w:r w:rsidR="005D09B7">
        <w:rPr>
          <w:lang w:val="en"/>
        </w:rPr>
        <w:t>presents</w:t>
      </w:r>
      <w:r>
        <w:rPr>
          <w:rFonts w:hint="cs"/>
          <w:lang w:val="en"/>
        </w:rPr>
        <w:t xml:space="preserve"> a study of one homily from Esther Rabbah (</w:t>
      </w:r>
      <w:r w:rsidR="005D09B7" w:rsidRPr="005D09B7">
        <w:rPr>
          <w:i/>
          <w:iCs/>
          <w:lang w:val="en"/>
        </w:rPr>
        <w:t>siman</w:t>
      </w:r>
      <w:r>
        <w:rPr>
          <w:rFonts w:hint="cs"/>
          <w:lang w:val="en"/>
        </w:rPr>
        <w:t xml:space="preserve"> 10). Th</w:t>
      </w:r>
      <w:r w:rsidR="00670366">
        <w:rPr>
          <w:lang w:val="en"/>
        </w:rPr>
        <w:t>is study focuses on the homily</w:t>
      </w:r>
      <w:r w:rsidR="00B65E69">
        <w:rPr>
          <w:lang w:val="en"/>
        </w:rPr>
        <w:t>’</w:t>
      </w:r>
      <w:r w:rsidR="00670366">
        <w:rPr>
          <w:lang w:val="en"/>
        </w:rPr>
        <w:t>s content</w:t>
      </w:r>
      <w:r>
        <w:rPr>
          <w:rFonts w:hint="cs"/>
          <w:lang w:val="en"/>
        </w:rPr>
        <w:t xml:space="preserve">, while a </w:t>
      </w:r>
      <w:r w:rsidR="001D0B44">
        <w:rPr>
          <w:lang w:val="en"/>
        </w:rPr>
        <w:t xml:space="preserve">minor part </w:t>
      </w:r>
      <w:r>
        <w:rPr>
          <w:rFonts w:hint="cs"/>
          <w:lang w:val="en"/>
        </w:rPr>
        <w:t>deals with its language or</w:t>
      </w:r>
      <w:r w:rsidR="001D0B44">
        <w:rPr>
          <w:lang w:val="en"/>
        </w:rPr>
        <w:t>,</w:t>
      </w:r>
      <w:r>
        <w:rPr>
          <w:rFonts w:hint="cs"/>
          <w:lang w:val="en"/>
        </w:rPr>
        <w:t xml:space="preserve"> more precisely, its style. Bar-Asher argues (</w:t>
      </w:r>
      <w:r w:rsidR="0031101C">
        <w:rPr>
          <w:lang w:val="en"/>
        </w:rPr>
        <w:t>sections</w:t>
      </w:r>
      <w:r>
        <w:rPr>
          <w:rFonts w:hint="cs"/>
          <w:lang w:val="en"/>
        </w:rPr>
        <w:t xml:space="preserve"> </w:t>
      </w:r>
      <w:r w:rsidR="0013740B">
        <w:rPr>
          <w:rFonts w:hint="cs"/>
          <w:lang w:val="en"/>
        </w:rPr>
        <w:t>37</w:t>
      </w:r>
      <w:r w:rsidR="0013740B">
        <w:rPr>
          <w:lang w:val="en"/>
        </w:rPr>
        <w:t xml:space="preserve">, </w:t>
      </w:r>
      <w:r>
        <w:rPr>
          <w:rFonts w:hint="cs"/>
          <w:lang w:val="en"/>
        </w:rPr>
        <w:t xml:space="preserve">41) that most of the </w:t>
      </w:r>
      <w:r w:rsidR="0013740B">
        <w:rPr>
          <w:lang w:val="en"/>
        </w:rPr>
        <w:t>m</w:t>
      </w:r>
      <w:r>
        <w:rPr>
          <w:rFonts w:hint="cs"/>
          <w:lang w:val="en"/>
        </w:rPr>
        <w:t>idrash is in Biblical Hebrew, but it seems better to say, in the spirit of what he wrote at the end of the article (</w:t>
      </w:r>
      <w:r w:rsidR="0031101C">
        <w:rPr>
          <w:lang w:val="en"/>
        </w:rPr>
        <w:t>sections</w:t>
      </w:r>
      <w:r>
        <w:rPr>
          <w:rFonts w:hint="cs"/>
          <w:lang w:val="en"/>
        </w:rPr>
        <w:t xml:space="preserve"> </w:t>
      </w:r>
      <w:r w:rsidR="00EA0503">
        <w:rPr>
          <w:rFonts w:hint="cs"/>
          <w:lang w:val="en"/>
        </w:rPr>
        <w:t>58</w:t>
      </w:r>
      <w:r w:rsidR="00EA0503">
        <w:rPr>
          <w:lang w:val="en"/>
        </w:rPr>
        <w:t xml:space="preserve">, </w:t>
      </w:r>
      <w:r>
        <w:rPr>
          <w:rFonts w:hint="cs"/>
          <w:lang w:val="en"/>
        </w:rPr>
        <w:t xml:space="preserve">60), that most of the </w:t>
      </w:r>
      <w:r w:rsidR="0031101C">
        <w:rPr>
          <w:lang w:val="en"/>
        </w:rPr>
        <w:t>m</w:t>
      </w:r>
      <w:r>
        <w:rPr>
          <w:rFonts w:hint="cs"/>
          <w:lang w:val="en"/>
        </w:rPr>
        <w:t xml:space="preserve">idrash is </w:t>
      </w:r>
      <w:r w:rsidR="0031101C">
        <w:rPr>
          <w:lang w:val="en"/>
        </w:rPr>
        <w:t>constructed</w:t>
      </w:r>
      <w:r>
        <w:rPr>
          <w:rFonts w:hint="cs"/>
          <w:lang w:val="en"/>
        </w:rPr>
        <w:t xml:space="preserve"> from paraphrases of the Bible. </w:t>
      </w:r>
      <w:r w:rsidR="00875041">
        <w:rPr>
          <w:lang w:val="en"/>
        </w:rPr>
        <w:t>Besides</w:t>
      </w:r>
      <w:r>
        <w:rPr>
          <w:rFonts w:hint="cs"/>
          <w:lang w:val="en"/>
        </w:rPr>
        <w:t xml:space="preserve"> the characteristics of </w:t>
      </w:r>
      <w:r w:rsidR="00875041">
        <w:rPr>
          <w:lang w:val="en"/>
        </w:rPr>
        <w:t xml:space="preserve">the </w:t>
      </w:r>
      <w:r w:rsidR="00393E3E">
        <w:rPr>
          <w:lang w:val="en"/>
        </w:rPr>
        <w:t>Rabbinic Hebrew</w:t>
      </w:r>
      <w:r w:rsidR="009B7AD6">
        <w:rPr>
          <w:lang w:val="en"/>
        </w:rPr>
        <w:t xml:space="preserve"> found in the </w:t>
      </w:r>
      <w:r w:rsidR="00875041">
        <w:rPr>
          <w:lang w:val="en"/>
        </w:rPr>
        <w:t>text of the homily</w:t>
      </w:r>
      <w:r>
        <w:rPr>
          <w:rFonts w:hint="cs"/>
          <w:lang w:val="en"/>
        </w:rPr>
        <w:t xml:space="preserve"> that Bar-Asher point</w:t>
      </w:r>
      <w:r w:rsidR="00007F16">
        <w:rPr>
          <w:lang w:val="en"/>
        </w:rPr>
        <w:t>s</w:t>
      </w:r>
      <w:r>
        <w:rPr>
          <w:rFonts w:hint="cs"/>
          <w:lang w:val="en"/>
        </w:rPr>
        <w:t xml:space="preserve"> out (paragraphs 47-49), it is worth adding the repetitive structure </w:t>
      </w:r>
      <w:r w:rsidR="00AF6AA4">
        <w:rPr>
          <w:lang w:val="en"/>
        </w:rPr>
        <w:t>“</w:t>
      </w:r>
      <w:r w:rsidR="008F180A" w:rsidRPr="00786360">
        <w:rPr>
          <w:rFonts w:hint="cs"/>
          <w:rtl/>
        </w:rPr>
        <w:t>ראש ל</w:t>
      </w:r>
      <w:r w:rsidR="00AF6AA4">
        <w:rPr>
          <w:lang w:val="en"/>
        </w:rPr>
        <w:t>”</w:t>
      </w:r>
      <w:r>
        <w:rPr>
          <w:rFonts w:hint="cs"/>
          <w:lang w:val="en"/>
        </w:rPr>
        <w:t xml:space="preserve"> + [collective noun] in the sense of </w:t>
      </w:r>
      <w:r w:rsidR="00AF6AA4">
        <w:rPr>
          <w:lang w:val="en"/>
        </w:rPr>
        <w:t>“</w:t>
      </w:r>
      <w:r>
        <w:rPr>
          <w:rFonts w:hint="cs"/>
          <w:lang w:val="en"/>
        </w:rPr>
        <w:t>the important one in the group, the leader</w:t>
      </w:r>
      <w:r w:rsidR="00AF6AA4">
        <w:rPr>
          <w:rFonts w:hint="cs"/>
          <w:lang w:val="en"/>
        </w:rPr>
        <w:t>.</w:t>
      </w:r>
      <w:r w:rsidR="00AF6AA4">
        <w:rPr>
          <w:lang w:val="en"/>
        </w:rPr>
        <w:t>”</w:t>
      </w:r>
      <w:r>
        <w:rPr>
          <w:rFonts w:hint="cs"/>
          <w:lang w:val="en"/>
        </w:rPr>
        <w:t xml:space="preserve"> This is very familiar from the Mishnah in Tractate Avot (</w:t>
      </w:r>
      <w:r w:rsidR="00AF6AA4">
        <w:rPr>
          <w:lang w:val="en"/>
        </w:rPr>
        <w:t>“</w:t>
      </w:r>
      <w:r w:rsidR="001B7983">
        <w:rPr>
          <w:rFonts w:hint="cs"/>
          <w:rtl/>
          <w:lang w:val="en"/>
        </w:rPr>
        <w:t>ראש לשועלים</w:t>
      </w:r>
      <w:r w:rsidR="00AF6AA4">
        <w:rPr>
          <w:lang w:val="en"/>
        </w:rPr>
        <w:t>”</w:t>
      </w:r>
      <w:r w:rsidR="001B7983">
        <w:rPr>
          <w:rFonts w:hint="cs"/>
          <w:rtl/>
          <w:lang w:val="en"/>
        </w:rPr>
        <w:t xml:space="preserve"> </w:t>
      </w:r>
      <w:r w:rsidR="001B7983">
        <w:t>[leader of foxes]</w:t>
      </w:r>
      <w:r w:rsidR="00492013">
        <w:rPr>
          <w:rFonts w:hint="cs"/>
          <w:lang w:val="en"/>
        </w:rPr>
        <w:t xml:space="preserve"> – </w:t>
      </w:r>
      <w:r>
        <w:rPr>
          <w:rFonts w:hint="cs"/>
          <w:lang w:val="en"/>
        </w:rPr>
        <w:t xml:space="preserve">Avot 4:15) and </w:t>
      </w:r>
      <w:r w:rsidR="00007F16">
        <w:rPr>
          <w:lang w:val="en"/>
        </w:rPr>
        <w:t xml:space="preserve">is not found </w:t>
      </w:r>
      <w:r>
        <w:rPr>
          <w:rFonts w:hint="cs"/>
          <w:lang w:val="en"/>
        </w:rPr>
        <w:t>in the Bible.</w:t>
      </w:r>
    </w:p>
    <w:p w14:paraId="126F72DA" w14:textId="5DC5FDC7" w:rsidR="007F4F0B" w:rsidRDefault="002F4AD5" w:rsidP="00F34784">
      <w:pPr>
        <w:bidi w:val="0"/>
        <w:spacing w:line="360" w:lineRule="auto"/>
        <w:jc w:val="both"/>
        <w:rPr>
          <w:rtl/>
        </w:rPr>
      </w:pPr>
      <w:r>
        <w:rPr>
          <w:rFonts w:hint="cs"/>
          <w:lang w:val="en"/>
        </w:rPr>
        <w:t xml:space="preserve">The fourteenth chapter deals with the </w:t>
      </w:r>
      <w:r w:rsidR="00007F16">
        <w:rPr>
          <w:lang w:val="en"/>
        </w:rPr>
        <w:t>homiletical</w:t>
      </w:r>
      <w:r>
        <w:rPr>
          <w:rFonts w:hint="cs"/>
          <w:lang w:val="en"/>
        </w:rPr>
        <w:t xml:space="preserve"> technique in three sermons where the preacher seizes on a </w:t>
      </w:r>
      <w:r w:rsidR="00632344">
        <w:rPr>
          <w:lang w:val="en"/>
        </w:rPr>
        <w:t xml:space="preserve">deficient </w:t>
      </w:r>
      <w:r>
        <w:rPr>
          <w:rFonts w:hint="cs"/>
          <w:lang w:val="en"/>
        </w:rPr>
        <w:t xml:space="preserve">spelling lacking a </w:t>
      </w:r>
      <w:r w:rsidR="00AF6AA4">
        <w:rPr>
          <w:lang w:val="en"/>
        </w:rPr>
        <w:t>“</w:t>
      </w:r>
      <w:r>
        <w:rPr>
          <w:rFonts w:hint="cs"/>
          <w:lang w:val="en"/>
        </w:rPr>
        <w:t>yod</w:t>
      </w:r>
      <w:r w:rsidR="00AF6AA4">
        <w:rPr>
          <w:lang w:val="en"/>
        </w:rPr>
        <w:t>”</w:t>
      </w:r>
      <w:r>
        <w:rPr>
          <w:rFonts w:hint="cs"/>
          <w:lang w:val="en"/>
        </w:rPr>
        <w:t xml:space="preserve"> to propose an alternative reading of the biblical word, adding an additional dimension to the</w:t>
      </w:r>
      <w:r w:rsidR="00671090">
        <w:rPr>
          <w:lang w:val="en"/>
        </w:rPr>
        <w:t xml:space="preserve"> biblical</w:t>
      </w:r>
      <w:r>
        <w:rPr>
          <w:rFonts w:hint="cs"/>
          <w:lang w:val="en"/>
        </w:rPr>
        <w:t xml:space="preserve"> text. For example, regarding the word </w:t>
      </w:r>
      <w:r w:rsidR="00AF6AA4">
        <w:rPr>
          <w:lang w:val="en"/>
        </w:rPr>
        <w:t>“</w:t>
      </w:r>
      <w:r w:rsidR="008E7787">
        <w:rPr>
          <w:rFonts w:hint="cs"/>
          <w:rtl/>
        </w:rPr>
        <w:t>הַפִּלַּגְשִׁים</w:t>
      </w:r>
      <w:r w:rsidR="00AF6AA4">
        <w:rPr>
          <w:lang w:val="en"/>
        </w:rPr>
        <w:t>”</w:t>
      </w:r>
      <w:r>
        <w:rPr>
          <w:rFonts w:hint="cs"/>
          <w:lang w:val="en"/>
        </w:rPr>
        <w:t xml:space="preserve"> </w:t>
      </w:r>
      <w:r w:rsidR="008E7787">
        <w:rPr>
          <w:lang w:val="en"/>
        </w:rPr>
        <w:t xml:space="preserve">[the concubines] </w:t>
      </w:r>
      <w:r>
        <w:rPr>
          <w:rFonts w:hint="cs"/>
          <w:lang w:val="en"/>
        </w:rPr>
        <w:t xml:space="preserve">(Genesis 25:6), </w:t>
      </w:r>
      <w:r w:rsidR="00CD59E0">
        <w:rPr>
          <w:lang w:val="en"/>
        </w:rPr>
        <w:t>referring to</w:t>
      </w:r>
      <w:r>
        <w:rPr>
          <w:rFonts w:hint="cs"/>
          <w:lang w:val="en"/>
        </w:rPr>
        <w:t xml:space="preserve"> Abraham</w:t>
      </w:r>
      <w:r w:rsidR="00AF6AA4">
        <w:rPr>
          <w:lang w:val="en"/>
        </w:rPr>
        <w:t>’</w:t>
      </w:r>
      <w:r>
        <w:rPr>
          <w:rFonts w:hint="cs"/>
          <w:lang w:val="en"/>
        </w:rPr>
        <w:t xml:space="preserve">s wives, Genesis Rabbah (61:4) </w:t>
      </w:r>
      <w:r w:rsidR="00375319">
        <w:rPr>
          <w:lang w:val="en"/>
        </w:rPr>
        <w:t xml:space="preserve">suggests </w:t>
      </w:r>
      <w:r>
        <w:rPr>
          <w:rFonts w:hint="cs"/>
          <w:lang w:val="en"/>
        </w:rPr>
        <w:t>that the deficient</w:t>
      </w:r>
      <w:r w:rsidR="00375319">
        <w:rPr>
          <w:lang w:val="en"/>
        </w:rPr>
        <w:t xml:space="preserve"> spelling</w:t>
      </w:r>
      <w:r w:rsidR="00492013">
        <w:rPr>
          <w:rFonts w:hint="cs"/>
          <w:lang w:val="en"/>
        </w:rPr>
        <w:t xml:space="preserve"> – </w:t>
      </w:r>
      <w:r w:rsidR="00AF6AA4">
        <w:rPr>
          <w:lang w:val="en"/>
        </w:rPr>
        <w:t>“</w:t>
      </w:r>
      <w:r w:rsidR="00D00451">
        <w:rPr>
          <w:rFonts w:hint="cs"/>
          <w:rtl/>
        </w:rPr>
        <w:t>הַפִּלַּגְשִׁם</w:t>
      </w:r>
      <w:r w:rsidR="00AF6AA4">
        <w:rPr>
          <w:lang w:val="en"/>
        </w:rPr>
        <w:t>”</w:t>
      </w:r>
      <w:r w:rsidR="00492013">
        <w:rPr>
          <w:rFonts w:hint="cs"/>
          <w:lang w:val="en"/>
        </w:rPr>
        <w:t xml:space="preserve"> </w:t>
      </w:r>
      <w:r w:rsidR="00D00451">
        <w:rPr>
          <w:lang w:val="en"/>
        </w:rPr>
        <w:t>implies</w:t>
      </w:r>
      <w:r>
        <w:rPr>
          <w:rFonts w:hint="cs"/>
          <w:lang w:val="en"/>
        </w:rPr>
        <w:t xml:space="preserve"> that he had only one concubine.</w:t>
      </w:r>
    </w:p>
    <w:p w14:paraId="04485EAE" w14:textId="1E8DD229" w:rsidR="00BA012E" w:rsidRDefault="002F4AD5" w:rsidP="00F34784">
      <w:pPr>
        <w:bidi w:val="0"/>
        <w:spacing w:line="360" w:lineRule="auto"/>
        <w:jc w:val="both"/>
        <w:rPr>
          <w:rtl/>
        </w:rPr>
      </w:pPr>
      <w:r>
        <w:rPr>
          <w:rFonts w:hint="cs"/>
          <w:lang w:val="en"/>
        </w:rPr>
        <w:t xml:space="preserve">Interpretive reading of this kind </w:t>
      </w:r>
      <w:r w:rsidR="00E27762">
        <w:rPr>
          <w:lang w:val="en"/>
        </w:rPr>
        <w:t>does not</w:t>
      </w:r>
      <w:r>
        <w:rPr>
          <w:rFonts w:hint="cs"/>
          <w:lang w:val="en"/>
        </w:rPr>
        <w:t xml:space="preserve"> usually </w:t>
      </w:r>
      <w:r w:rsidR="00E27762">
        <w:rPr>
          <w:lang w:val="en"/>
        </w:rPr>
        <w:t>match</w:t>
      </w:r>
      <w:r>
        <w:rPr>
          <w:rFonts w:hint="cs"/>
          <w:lang w:val="en"/>
        </w:rPr>
        <w:t xml:space="preserve"> the tradition of </w:t>
      </w:r>
      <w:r w:rsidR="002F28FF">
        <w:rPr>
          <w:lang w:val="en"/>
        </w:rPr>
        <w:t>vocalization</w:t>
      </w:r>
      <w:r w:rsidR="003629CD">
        <w:rPr>
          <w:lang w:val="en"/>
        </w:rPr>
        <w:t xml:space="preserve">. </w:t>
      </w:r>
      <w:r>
        <w:rPr>
          <w:rFonts w:hint="cs"/>
          <w:lang w:val="en"/>
        </w:rPr>
        <w:t>Bar-Asher</w:t>
      </w:r>
      <w:r w:rsidR="003629CD">
        <w:rPr>
          <w:lang w:val="en"/>
        </w:rPr>
        <w:t xml:space="preserve"> nevertheless</w:t>
      </w:r>
      <w:r>
        <w:rPr>
          <w:rFonts w:hint="cs"/>
          <w:lang w:val="en"/>
        </w:rPr>
        <w:t xml:space="preserve"> believes that such interpretations were created both before and after the </w:t>
      </w:r>
      <w:r w:rsidR="00BA4E1B">
        <w:rPr>
          <w:lang w:val="en"/>
        </w:rPr>
        <w:t>establishment of vocalization</w:t>
      </w:r>
      <w:r>
        <w:rPr>
          <w:rFonts w:hint="cs"/>
          <w:lang w:val="en"/>
        </w:rPr>
        <w:t xml:space="preserve">, and even interpreters familiar with the written </w:t>
      </w:r>
      <w:r w:rsidR="0074087B">
        <w:rPr>
          <w:lang w:val="en"/>
        </w:rPr>
        <w:t>vocalization</w:t>
      </w:r>
      <w:r>
        <w:rPr>
          <w:rFonts w:hint="cs"/>
          <w:lang w:val="en"/>
        </w:rPr>
        <w:t xml:space="preserve"> tradition referred </w:t>
      </w:r>
      <w:r w:rsidR="0090050D">
        <w:rPr>
          <w:lang w:val="en"/>
        </w:rPr>
        <w:t xml:space="preserve">at times </w:t>
      </w:r>
      <w:r>
        <w:rPr>
          <w:rFonts w:hint="cs"/>
          <w:lang w:val="en"/>
        </w:rPr>
        <w:t>only to the consonantal text</w:t>
      </w:r>
      <w:r w:rsidR="0090050D">
        <w:rPr>
          <w:lang w:val="en"/>
        </w:rPr>
        <w:t xml:space="preserve"> in their homilies</w:t>
      </w:r>
      <w:r>
        <w:rPr>
          <w:rFonts w:hint="cs"/>
          <w:lang w:val="en"/>
        </w:rPr>
        <w:t>.</w:t>
      </w:r>
    </w:p>
    <w:p w14:paraId="50B94848" w14:textId="395321B8" w:rsidR="007C5B7D" w:rsidRDefault="007023BF" w:rsidP="00F34784">
      <w:pPr>
        <w:bidi w:val="0"/>
        <w:spacing w:line="360" w:lineRule="auto"/>
        <w:jc w:val="both"/>
        <w:rPr>
          <w:rtl/>
        </w:rPr>
      </w:pPr>
      <w:r>
        <w:rPr>
          <w:rFonts w:hint="cs"/>
          <w:lang w:val="en"/>
        </w:rPr>
        <w:t>Rashi</w:t>
      </w:r>
      <w:r>
        <w:rPr>
          <w:lang w:val="en"/>
        </w:rPr>
        <w:t>’</w:t>
      </w:r>
      <w:r>
        <w:rPr>
          <w:rFonts w:hint="cs"/>
          <w:lang w:val="en"/>
        </w:rPr>
        <w:t>s commentary</w:t>
      </w:r>
      <w:r>
        <w:rPr>
          <w:rFonts w:hint="cs"/>
          <w:lang w:val="en"/>
        </w:rPr>
        <w:t xml:space="preserve"> </w:t>
      </w:r>
      <w:r>
        <w:rPr>
          <w:lang w:val="en"/>
        </w:rPr>
        <w:t>cites th</w:t>
      </w:r>
      <w:r w:rsidR="002F4AD5">
        <w:rPr>
          <w:rFonts w:hint="cs"/>
          <w:lang w:val="en"/>
        </w:rPr>
        <w:t xml:space="preserve">e three </w:t>
      </w:r>
      <w:r w:rsidR="0090050D">
        <w:rPr>
          <w:lang w:val="en"/>
        </w:rPr>
        <w:t>homilies discussed</w:t>
      </w:r>
      <w:r w:rsidR="002F4AD5">
        <w:rPr>
          <w:rFonts w:hint="cs"/>
          <w:lang w:val="en"/>
        </w:rPr>
        <w:t>, and Bar-Asher quotes Rashi</w:t>
      </w:r>
      <w:r>
        <w:rPr>
          <w:lang w:val="en"/>
        </w:rPr>
        <w:t xml:space="preserve"> </w:t>
      </w:r>
      <w:r w:rsidR="002F4AD5">
        <w:rPr>
          <w:rFonts w:hint="cs"/>
          <w:lang w:val="en"/>
        </w:rPr>
        <w:t xml:space="preserve">and compares </w:t>
      </w:r>
      <w:r w:rsidR="00614D6C">
        <w:rPr>
          <w:lang w:val="en"/>
        </w:rPr>
        <w:t>his</w:t>
      </w:r>
      <w:r w:rsidR="002F4AD5">
        <w:rPr>
          <w:rFonts w:hint="cs"/>
          <w:lang w:val="en"/>
        </w:rPr>
        <w:t xml:space="preserve"> version</w:t>
      </w:r>
      <w:r w:rsidR="00614D6C">
        <w:rPr>
          <w:lang w:val="en"/>
        </w:rPr>
        <w:t xml:space="preserve"> of the text</w:t>
      </w:r>
      <w:r w:rsidR="002F4AD5">
        <w:rPr>
          <w:rFonts w:hint="cs"/>
          <w:lang w:val="en"/>
        </w:rPr>
        <w:t xml:space="preserve"> to the version in the Midrashim. In this context, it is worth noting that the only source Bar-Asher cites for one of the </w:t>
      </w:r>
      <w:r w:rsidR="00E965CA">
        <w:rPr>
          <w:lang w:val="en"/>
        </w:rPr>
        <w:t>homilies</w:t>
      </w:r>
      <w:r w:rsidR="002F4AD5">
        <w:rPr>
          <w:rFonts w:hint="cs"/>
          <w:lang w:val="en"/>
        </w:rPr>
        <w:t xml:space="preserve"> is </w:t>
      </w:r>
      <w:r w:rsidR="00E965CA">
        <w:rPr>
          <w:lang w:val="en"/>
        </w:rPr>
        <w:t>Numbers</w:t>
      </w:r>
      <w:r w:rsidR="002F4AD5">
        <w:rPr>
          <w:rFonts w:hint="cs"/>
          <w:lang w:val="en"/>
        </w:rPr>
        <w:t xml:space="preserve"> Rabbah, which</w:t>
      </w:r>
      <w:r w:rsidR="00893F40">
        <w:rPr>
          <w:lang w:val="en"/>
        </w:rPr>
        <w:t>,</w:t>
      </w:r>
      <w:r w:rsidR="002F4AD5">
        <w:rPr>
          <w:rFonts w:hint="cs"/>
          <w:lang w:val="en"/>
        </w:rPr>
        <w:t xml:space="preserve"> according to Bar-Asher</w:t>
      </w:r>
      <w:r w:rsidR="00893F40">
        <w:rPr>
          <w:lang w:val="en"/>
        </w:rPr>
        <w:t>,</w:t>
      </w:r>
      <w:r w:rsidR="002F4AD5">
        <w:rPr>
          <w:rFonts w:hint="cs"/>
          <w:lang w:val="en"/>
        </w:rPr>
        <w:t xml:space="preserve"> was compiled between the years </w:t>
      </w:r>
      <w:r w:rsidR="00893F40">
        <w:rPr>
          <w:lang w:val="en"/>
        </w:rPr>
        <w:t>1100-1500</w:t>
      </w:r>
      <w:r w:rsidR="002F4AD5">
        <w:rPr>
          <w:rFonts w:hint="cs"/>
          <w:lang w:val="en"/>
        </w:rPr>
        <w:t xml:space="preserve"> (this is true for the first part, Parashot 1-14)</w:t>
      </w:r>
      <w:r w:rsidR="00893F40">
        <w:rPr>
          <w:lang w:val="en"/>
        </w:rPr>
        <w:t xml:space="preserve"> which is </w:t>
      </w:r>
      <w:r w:rsidR="002F4AD5">
        <w:rPr>
          <w:rFonts w:hint="cs"/>
          <w:lang w:val="en"/>
        </w:rPr>
        <w:t xml:space="preserve">after </w:t>
      </w:r>
      <w:r w:rsidR="00893F40">
        <w:rPr>
          <w:rFonts w:hint="cs"/>
          <w:lang w:val="en"/>
        </w:rPr>
        <w:t>Rashi</w:t>
      </w:r>
      <w:r w:rsidR="00B35E51">
        <w:rPr>
          <w:lang w:val="en"/>
        </w:rPr>
        <w:t>’s</w:t>
      </w:r>
      <w:r w:rsidR="00893F40">
        <w:rPr>
          <w:rFonts w:hint="cs"/>
          <w:lang w:val="en"/>
        </w:rPr>
        <w:t xml:space="preserve"> </w:t>
      </w:r>
      <w:r w:rsidR="002F4AD5">
        <w:rPr>
          <w:rFonts w:hint="cs"/>
          <w:lang w:val="en"/>
        </w:rPr>
        <w:t xml:space="preserve">death (1105). Therefore, Numbers </w:t>
      </w:r>
      <w:r w:rsidR="002F4AD5">
        <w:rPr>
          <w:rFonts w:hint="cs"/>
          <w:lang w:val="en"/>
        </w:rPr>
        <w:lastRenderedPageBreak/>
        <w:t>Rabbah is not the source for Rashi</w:t>
      </w:r>
      <w:r w:rsidR="00AF6AA4">
        <w:rPr>
          <w:lang w:val="en"/>
        </w:rPr>
        <w:t>’</w:t>
      </w:r>
      <w:r w:rsidR="002F4AD5">
        <w:rPr>
          <w:rFonts w:hint="cs"/>
          <w:lang w:val="en"/>
        </w:rPr>
        <w:t>s commentary, but rather some earlier source</w:t>
      </w:r>
      <w:r w:rsidR="00492013">
        <w:rPr>
          <w:rFonts w:hint="cs"/>
          <w:lang w:val="en"/>
        </w:rPr>
        <w:t xml:space="preserve"> – </w:t>
      </w:r>
      <w:r w:rsidR="002F4AD5">
        <w:rPr>
          <w:rFonts w:hint="cs"/>
          <w:lang w:val="en"/>
        </w:rPr>
        <w:t>perhaps Rabbi Moshe Hadarshan</w:t>
      </w:r>
      <w:r w:rsidR="00492013">
        <w:rPr>
          <w:rFonts w:hint="cs"/>
          <w:lang w:val="en"/>
        </w:rPr>
        <w:t xml:space="preserve"> – </w:t>
      </w:r>
      <w:r w:rsidR="002F4AD5">
        <w:rPr>
          <w:rFonts w:hint="cs"/>
          <w:lang w:val="en"/>
        </w:rPr>
        <w:t xml:space="preserve">was the source for both versions (see Ch. </w:t>
      </w:r>
      <w:r w:rsidR="002F4AD5" w:rsidRPr="000A5E3C">
        <w:rPr>
          <w:rFonts w:hint="cs"/>
        </w:rPr>
        <w:t xml:space="preserve">Mack, </w:t>
      </w:r>
      <w:r w:rsidR="00AF6AA4" w:rsidRPr="000A5E3C">
        <w:t>“</w:t>
      </w:r>
      <w:r w:rsidR="00975ED9" w:rsidRPr="000A5E3C">
        <w:rPr>
          <w:i/>
          <w:iCs/>
        </w:rPr>
        <w:t>Zemano</w:t>
      </w:r>
      <w:r w:rsidR="00810BBA" w:rsidRPr="000A5E3C">
        <w:rPr>
          <w:i/>
          <w:iCs/>
        </w:rPr>
        <w:t>, mekomo u-tefutsato</w:t>
      </w:r>
      <w:r w:rsidR="000A5E3C" w:rsidRPr="000A5E3C">
        <w:rPr>
          <w:i/>
          <w:iCs/>
        </w:rPr>
        <w:t xml:space="preserve"> shel midrash be-midbar rabbah</w:t>
      </w:r>
      <w:r w:rsidR="00AF6AA4" w:rsidRPr="000A5E3C">
        <w:rPr>
          <w:rFonts w:hint="cs"/>
        </w:rPr>
        <w:t>,</w:t>
      </w:r>
      <w:r w:rsidR="00AF6AA4" w:rsidRPr="000A5E3C">
        <w:t>”</w:t>
      </w:r>
      <w:r w:rsidR="002F4AD5" w:rsidRPr="000A5E3C">
        <w:rPr>
          <w:rFonts w:hint="cs"/>
        </w:rPr>
        <w:t xml:space="preserve"> in M.B. Lerner et al. </w:t>
      </w:r>
      <w:r w:rsidR="002F4AD5">
        <w:rPr>
          <w:rFonts w:hint="cs"/>
          <w:lang w:val="en"/>
        </w:rPr>
        <w:t xml:space="preserve">[eds.], </w:t>
      </w:r>
      <w:r w:rsidR="00975ED9" w:rsidRPr="00543B8D">
        <w:rPr>
          <w:i/>
          <w:iCs/>
          <w:lang w:val="en"/>
        </w:rPr>
        <w:t>Te’udah</w:t>
      </w:r>
      <w:r w:rsidR="002F4AD5" w:rsidRPr="00543B8D">
        <w:rPr>
          <w:rFonts w:hint="cs"/>
          <w:i/>
          <w:iCs/>
          <w:lang w:val="en"/>
        </w:rPr>
        <w:t xml:space="preserve"> 11: </w:t>
      </w:r>
      <w:r w:rsidR="005F3FF7" w:rsidRPr="00543B8D">
        <w:rPr>
          <w:i/>
          <w:iCs/>
          <w:lang w:val="en"/>
        </w:rPr>
        <w:t>me</w:t>
      </w:r>
      <w:r w:rsidR="005F3FF7" w:rsidRPr="00543B8D">
        <w:rPr>
          <w:rFonts w:ascii="Calibri" w:hAnsi="Calibri" w:cs="Calibri"/>
          <w:i/>
          <w:iCs/>
          <w:lang w:val="en"/>
        </w:rPr>
        <w:t>ḥ</w:t>
      </w:r>
      <w:r w:rsidR="005F3FF7" w:rsidRPr="00543B8D">
        <w:rPr>
          <w:i/>
          <w:iCs/>
          <w:lang w:val="en"/>
        </w:rPr>
        <w:t>karim</w:t>
      </w:r>
      <w:r w:rsidR="00FF3EC7" w:rsidRPr="00543B8D">
        <w:rPr>
          <w:i/>
          <w:iCs/>
          <w:lang w:val="en"/>
        </w:rPr>
        <w:t xml:space="preserve"> be-midrashei ha-agadah – sefer zikaron le-</w:t>
      </w:r>
      <w:r w:rsidR="00CF5802" w:rsidRPr="00543B8D">
        <w:rPr>
          <w:i/>
          <w:iCs/>
          <w:lang w:val="en"/>
        </w:rPr>
        <w:t>T</w:t>
      </w:r>
      <w:r w:rsidR="00FF3EC7" w:rsidRPr="00543B8D">
        <w:rPr>
          <w:i/>
          <w:iCs/>
          <w:lang w:val="en"/>
        </w:rPr>
        <w:t>svi</w:t>
      </w:r>
      <w:r w:rsidR="00CF5802" w:rsidRPr="00543B8D">
        <w:rPr>
          <w:i/>
          <w:iCs/>
          <w:lang w:val="en"/>
        </w:rPr>
        <w:t xml:space="preserve"> Me‘ir Rabinov</w:t>
      </w:r>
      <w:r w:rsidR="00543B8D" w:rsidRPr="00543B8D">
        <w:rPr>
          <w:i/>
          <w:iCs/>
          <w:lang w:val="en"/>
        </w:rPr>
        <w:t>its</w:t>
      </w:r>
      <w:r w:rsidR="002F4AD5">
        <w:rPr>
          <w:rFonts w:hint="cs"/>
          <w:lang w:val="en"/>
        </w:rPr>
        <w:t>, Tel Aviv</w:t>
      </w:r>
      <w:r w:rsidR="00543B8D">
        <w:rPr>
          <w:lang w:val="en"/>
        </w:rPr>
        <w:t>,</w:t>
      </w:r>
      <w:r w:rsidR="002F4AD5">
        <w:rPr>
          <w:rFonts w:hint="cs"/>
          <w:lang w:val="en"/>
        </w:rPr>
        <w:t xml:space="preserve"> 1996, pp. 93-94).</w:t>
      </w:r>
    </w:p>
    <w:p w14:paraId="7AD2A6BF" w14:textId="54389644" w:rsidR="00086BDF" w:rsidRDefault="002F4AD5" w:rsidP="00F34784">
      <w:pPr>
        <w:bidi w:val="0"/>
        <w:spacing w:line="360" w:lineRule="auto"/>
        <w:jc w:val="both"/>
        <w:rPr>
          <w:rtl/>
        </w:rPr>
      </w:pPr>
      <w:r>
        <w:rPr>
          <w:rFonts w:hint="cs"/>
          <w:lang w:val="en"/>
        </w:rPr>
        <w:t xml:space="preserve">The following chapter discusses the peculiar vocalization found in the </w:t>
      </w:r>
      <w:r w:rsidR="004459FD">
        <w:rPr>
          <w:rFonts w:hint="cs"/>
          <w:lang w:val="en"/>
        </w:rPr>
        <w:t>Kaufman</w:t>
      </w:r>
      <w:r>
        <w:rPr>
          <w:rFonts w:hint="cs"/>
          <w:lang w:val="en"/>
        </w:rPr>
        <w:t xml:space="preserve">n Manuscript of the Mishnah: in eight of the occurrences of </w:t>
      </w:r>
      <w:r w:rsidR="00AF6AA4">
        <w:rPr>
          <w:lang w:val="en"/>
        </w:rPr>
        <w:t>“</w:t>
      </w:r>
      <w:r>
        <w:rPr>
          <w:rFonts w:hint="cs"/>
          <w:lang w:val="en"/>
        </w:rPr>
        <w:t>עגלה</w:t>
      </w:r>
      <w:r w:rsidR="00AF6AA4">
        <w:rPr>
          <w:lang w:val="en"/>
        </w:rPr>
        <w:t>”</w:t>
      </w:r>
      <w:r>
        <w:rPr>
          <w:rFonts w:hint="cs"/>
          <w:lang w:val="en"/>
        </w:rPr>
        <w:t xml:space="preserve"> (</w:t>
      </w:r>
      <w:r w:rsidR="00D00679">
        <w:rPr>
          <w:lang w:val="en"/>
        </w:rPr>
        <w:t>a</w:t>
      </w:r>
      <w:r>
        <w:rPr>
          <w:rFonts w:hint="cs"/>
          <w:lang w:val="en"/>
        </w:rPr>
        <w:t xml:space="preserve"> female calf), the vocalization is </w:t>
      </w:r>
      <w:r w:rsidR="00AF6AA4">
        <w:rPr>
          <w:lang w:val="en"/>
        </w:rPr>
        <w:t>“</w:t>
      </w:r>
      <w:r>
        <w:rPr>
          <w:rFonts w:hint="cs"/>
          <w:lang w:val="en"/>
        </w:rPr>
        <w:t>עֲגָלָה</w:t>
      </w:r>
      <w:r w:rsidR="00AF6AA4">
        <w:rPr>
          <w:rFonts w:hint="cs"/>
          <w:lang w:val="en"/>
        </w:rPr>
        <w:t>.</w:t>
      </w:r>
      <w:r w:rsidR="00AF6AA4">
        <w:rPr>
          <w:lang w:val="en"/>
        </w:rPr>
        <w:t>”</w:t>
      </w:r>
      <w:r>
        <w:rPr>
          <w:rFonts w:hint="cs"/>
          <w:lang w:val="en"/>
        </w:rPr>
        <w:t xml:space="preserve"> </w:t>
      </w:r>
      <w:r w:rsidR="00095D42">
        <w:rPr>
          <w:lang w:val="en"/>
        </w:rPr>
        <w:t>I</w:t>
      </w:r>
      <w:r>
        <w:rPr>
          <w:rFonts w:hint="cs"/>
          <w:lang w:val="en"/>
        </w:rPr>
        <w:t xml:space="preserve">n most of these, the word </w:t>
      </w:r>
      <w:r w:rsidR="00095D42">
        <w:rPr>
          <w:lang w:val="en"/>
        </w:rPr>
        <w:t>has a definite article</w:t>
      </w:r>
      <w:r>
        <w:rPr>
          <w:rFonts w:hint="cs"/>
          <w:lang w:val="en"/>
        </w:rPr>
        <w:t xml:space="preserve">. Bar-Asher offers a brilliant explanation: In Genesis Rabbah (94:3), there is a </w:t>
      </w:r>
      <w:r w:rsidR="0015645D">
        <w:rPr>
          <w:lang w:val="en"/>
        </w:rPr>
        <w:t>homily</w:t>
      </w:r>
      <w:r>
        <w:rPr>
          <w:rFonts w:hint="cs"/>
          <w:lang w:val="en"/>
        </w:rPr>
        <w:t xml:space="preserve"> that </w:t>
      </w:r>
      <w:r w:rsidR="00AF236F">
        <w:rPr>
          <w:lang w:val="en"/>
        </w:rPr>
        <w:t xml:space="preserve">claims that </w:t>
      </w:r>
      <w:r>
        <w:rPr>
          <w:rFonts w:hint="cs"/>
          <w:lang w:val="en"/>
        </w:rPr>
        <w:t>the wagons Joseph sent to Jacob were a</w:t>
      </w:r>
      <w:r w:rsidR="00AF236F">
        <w:rPr>
          <w:lang w:val="en"/>
        </w:rPr>
        <w:t>n</w:t>
      </w:r>
      <w:r>
        <w:rPr>
          <w:rFonts w:hint="cs"/>
          <w:lang w:val="en"/>
        </w:rPr>
        <w:t xml:space="preserve"> </w:t>
      </w:r>
      <w:r w:rsidR="00AF236F">
        <w:rPr>
          <w:lang w:val="en"/>
        </w:rPr>
        <w:t>allusion</w:t>
      </w:r>
      <w:r>
        <w:rPr>
          <w:rFonts w:hint="cs"/>
          <w:lang w:val="en"/>
        </w:rPr>
        <w:t xml:space="preserve"> to the </w:t>
      </w:r>
      <w:r w:rsidR="00AF236F">
        <w:rPr>
          <w:lang w:val="en"/>
        </w:rPr>
        <w:t xml:space="preserve">topic of </w:t>
      </w:r>
      <w:r w:rsidR="00267B10" w:rsidRPr="00267B10">
        <w:rPr>
          <w:i/>
          <w:iCs/>
          <w:lang w:val="en"/>
        </w:rPr>
        <w:t>‘eglah ‘arufah</w:t>
      </w:r>
      <w:r>
        <w:rPr>
          <w:rFonts w:hint="cs"/>
          <w:lang w:val="en"/>
        </w:rPr>
        <w:t xml:space="preserve"> </w:t>
      </w:r>
      <w:r w:rsidR="00267B10">
        <w:rPr>
          <w:lang w:val="en"/>
        </w:rPr>
        <w:t>(</w:t>
      </w:r>
      <w:r>
        <w:rPr>
          <w:rFonts w:hint="cs"/>
          <w:lang w:val="en"/>
        </w:rPr>
        <w:t>the beheaded heifer</w:t>
      </w:r>
      <w:r w:rsidR="00267B10">
        <w:rPr>
          <w:lang w:val="en"/>
        </w:rPr>
        <w:t>)</w:t>
      </w:r>
      <w:r>
        <w:rPr>
          <w:rFonts w:hint="cs"/>
          <w:lang w:val="en"/>
        </w:rPr>
        <w:t xml:space="preserve">. </w:t>
      </w:r>
      <w:r w:rsidR="00267B10">
        <w:rPr>
          <w:lang w:val="en"/>
        </w:rPr>
        <w:t>Bar-Asher suggests</w:t>
      </w:r>
      <w:r>
        <w:rPr>
          <w:rFonts w:hint="cs"/>
          <w:lang w:val="en"/>
        </w:rPr>
        <w:t xml:space="preserve"> that this </w:t>
      </w:r>
      <w:r w:rsidR="00267B10">
        <w:rPr>
          <w:lang w:val="en"/>
        </w:rPr>
        <w:t xml:space="preserve">homiletical </w:t>
      </w:r>
      <w:r>
        <w:rPr>
          <w:rFonts w:hint="cs"/>
          <w:lang w:val="en"/>
        </w:rPr>
        <w:t>interpretation</w:t>
      </w:r>
      <w:r w:rsidR="00267B10">
        <w:rPr>
          <w:lang w:val="en"/>
        </w:rPr>
        <w:t xml:space="preserve"> possibly</w:t>
      </w:r>
      <w:r>
        <w:rPr>
          <w:rFonts w:hint="cs"/>
          <w:lang w:val="en"/>
        </w:rPr>
        <w:t xml:space="preserve"> </w:t>
      </w:r>
      <w:r w:rsidR="00F7288D">
        <w:rPr>
          <w:lang w:val="en"/>
        </w:rPr>
        <w:t xml:space="preserve">inspired </w:t>
      </w:r>
      <w:r w:rsidR="005C3CB8">
        <w:rPr>
          <w:lang w:val="en"/>
        </w:rPr>
        <w:t xml:space="preserve">the </w:t>
      </w:r>
      <w:r>
        <w:rPr>
          <w:rFonts w:hint="cs"/>
          <w:lang w:val="en"/>
        </w:rPr>
        <w:t>c</w:t>
      </w:r>
      <w:r w:rsidR="00F7288D">
        <w:rPr>
          <w:lang w:val="en"/>
        </w:rPr>
        <w:t>onnect</w:t>
      </w:r>
      <w:r w:rsidR="005C3CB8">
        <w:rPr>
          <w:lang w:val="en"/>
        </w:rPr>
        <w:t>ion of</w:t>
      </w:r>
      <w:r>
        <w:rPr>
          <w:rFonts w:hint="cs"/>
          <w:lang w:val="en"/>
        </w:rPr>
        <w:t xml:space="preserve"> the two words, influenc</w:t>
      </w:r>
      <w:r w:rsidR="008D3688">
        <w:rPr>
          <w:lang w:val="en"/>
        </w:rPr>
        <w:t>ing</w:t>
      </w:r>
      <w:r>
        <w:rPr>
          <w:rFonts w:hint="cs"/>
          <w:lang w:val="en"/>
        </w:rPr>
        <w:t xml:space="preserve"> the </w:t>
      </w:r>
      <w:r w:rsidR="008D3688">
        <w:rPr>
          <w:lang w:val="en"/>
        </w:rPr>
        <w:t>vocalization</w:t>
      </w:r>
      <w:r>
        <w:rPr>
          <w:rFonts w:hint="cs"/>
          <w:lang w:val="en"/>
        </w:rPr>
        <w:t xml:space="preserve"> tradition of </w:t>
      </w:r>
      <w:r w:rsidR="008D3688">
        <w:rPr>
          <w:lang w:val="en"/>
        </w:rPr>
        <w:t>the</w:t>
      </w:r>
      <w:r>
        <w:rPr>
          <w:rFonts w:hint="cs"/>
          <w:lang w:val="en"/>
        </w:rPr>
        <w:t xml:space="preserve"> </w:t>
      </w:r>
      <w:r w:rsidR="004459FD">
        <w:rPr>
          <w:rFonts w:hint="cs"/>
          <w:lang w:val="en"/>
        </w:rPr>
        <w:t>Kaufmann</w:t>
      </w:r>
      <w:r w:rsidR="00F7288D">
        <w:rPr>
          <w:lang w:val="en"/>
        </w:rPr>
        <w:t xml:space="preserve"> </w:t>
      </w:r>
      <w:r w:rsidR="00766F62">
        <w:rPr>
          <w:lang w:val="en"/>
        </w:rPr>
        <w:t>M</w:t>
      </w:r>
      <w:r w:rsidR="00F7288D">
        <w:rPr>
          <w:lang w:val="en"/>
        </w:rPr>
        <w:t>anuscript</w:t>
      </w:r>
      <w:r>
        <w:rPr>
          <w:rFonts w:hint="cs"/>
          <w:lang w:val="en"/>
        </w:rPr>
        <w:t>.</w:t>
      </w:r>
    </w:p>
    <w:p w14:paraId="257AC715" w14:textId="5EDD61D5" w:rsidR="007A1BBF" w:rsidRDefault="002F4AD5" w:rsidP="00F34784">
      <w:pPr>
        <w:bidi w:val="0"/>
        <w:spacing w:line="360" w:lineRule="auto"/>
        <w:jc w:val="both"/>
        <w:rPr>
          <w:rtl/>
        </w:rPr>
      </w:pPr>
      <w:r>
        <w:rPr>
          <w:rFonts w:hint="cs"/>
          <w:lang w:val="en"/>
        </w:rPr>
        <w:t xml:space="preserve">The sixteenth chapter </w:t>
      </w:r>
      <w:r w:rsidR="004F0DAE">
        <w:rPr>
          <w:lang w:val="en"/>
        </w:rPr>
        <w:t>examines</w:t>
      </w:r>
      <w:r>
        <w:rPr>
          <w:rFonts w:hint="cs"/>
          <w:lang w:val="en"/>
        </w:rPr>
        <w:t xml:space="preserve"> three </w:t>
      </w:r>
      <w:r w:rsidR="00425609">
        <w:rPr>
          <w:lang w:val="en"/>
        </w:rPr>
        <w:t>homiletical interpretations</w:t>
      </w:r>
      <w:r>
        <w:rPr>
          <w:rFonts w:hint="cs"/>
          <w:lang w:val="en"/>
        </w:rPr>
        <w:t>, each of which</w:t>
      </w:r>
      <w:r w:rsidR="00BC6BD7">
        <w:rPr>
          <w:lang w:val="en"/>
        </w:rPr>
        <w:t xml:space="preserve"> is </w:t>
      </w:r>
      <w:r w:rsidR="00A16DFF">
        <w:rPr>
          <w:lang w:val="en"/>
        </w:rPr>
        <w:t>based</w:t>
      </w:r>
      <w:r w:rsidR="00A5507B">
        <w:rPr>
          <w:lang w:val="en"/>
        </w:rPr>
        <w:t xml:space="preserve"> on a </w:t>
      </w:r>
      <w:r w:rsidR="00D7427E">
        <w:rPr>
          <w:lang w:val="en"/>
        </w:rPr>
        <w:t xml:space="preserve">substantial </w:t>
      </w:r>
      <w:r w:rsidR="00A5507B">
        <w:rPr>
          <w:lang w:val="en"/>
        </w:rPr>
        <w:t xml:space="preserve">linguistic </w:t>
      </w:r>
      <w:r w:rsidR="0055770C">
        <w:rPr>
          <w:lang w:val="en"/>
        </w:rPr>
        <w:t>point</w:t>
      </w:r>
      <w:r>
        <w:rPr>
          <w:rFonts w:hint="cs"/>
          <w:lang w:val="en"/>
        </w:rPr>
        <w:t xml:space="preserve">. One of them is the interpretation </w:t>
      </w:r>
      <w:r w:rsidR="00971045">
        <w:rPr>
          <w:lang w:val="en"/>
        </w:rPr>
        <w:t>found in the prayer book:</w:t>
      </w:r>
      <w:r>
        <w:rPr>
          <w:rFonts w:hint="cs"/>
          <w:lang w:val="en"/>
        </w:rPr>
        <w:t xml:space="preserve"> </w:t>
      </w:r>
      <w:r w:rsidR="00AF6AA4">
        <w:rPr>
          <w:lang w:val="en"/>
        </w:rPr>
        <w:t>“</w:t>
      </w:r>
      <w:r>
        <w:rPr>
          <w:rFonts w:hint="cs"/>
          <w:lang w:val="en"/>
        </w:rPr>
        <w:t xml:space="preserve">Do not read </w:t>
      </w:r>
      <w:r w:rsidR="00AF6AA4">
        <w:rPr>
          <w:lang w:val="en"/>
        </w:rPr>
        <w:t>‘</w:t>
      </w:r>
      <w:r w:rsidR="00971045">
        <w:rPr>
          <w:rFonts w:hint="cs"/>
          <w:rtl/>
          <w:lang w:val="en"/>
        </w:rPr>
        <w:t>הליכות</w:t>
      </w:r>
      <w:r w:rsidR="00B4127D">
        <w:t>,’</w:t>
      </w:r>
      <w:r>
        <w:rPr>
          <w:rFonts w:hint="cs"/>
          <w:lang w:val="en"/>
        </w:rPr>
        <w:t xml:space="preserve"> but </w:t>
      </w:r>
      <w:r w:rsidR="00AF6AA4">
        <w:rPr>
          <w:lang w:val="en"/>
        </w:rPr>
        <w:t>‘</w:t>
      </w:r>
      <w:r w:rsidR="00B4127D">
        <w:rPr>
          <w:rFonts w:hint="cs"/>
          <w:rtl/>
          <w:lang w:val="en"/>
        </w:rPr>
        <w:t>הלכות</w:t>
      </w:r>
      <w:r w:rsidR="00B4127D">
        <w:t>’</w:t>
      </w:r>
      <w:r w:rsidR="00693C94">
        <w:t>”</w:t>
      </w:r>
      <w:r w:rsidR="00492013">
        <w:rPr>
          <w:rFonts w:hint="cs"/>
          <w:lang w:val="en"/>
        </w:rPr>
        <w:t xml:space="preserve"> – </w:t>
      </w:r>
      <w:r>
        <w:rPr>
          <w:rFonts w:hint="cs"/>
          <w:lang w:val="en"/>
        </w:rPr>
        <w:t xml:space="preserve">meaning, the word </w:t>
      </w:r>
      <w:r w:rsidR="00AF6AA4">
        <w:rPr>
          <w:lang w:val="en"/>
        </w:rPr>
        <w:t>“</w:t>
      </w:r>
      <w:r w:rsidRPr="00693C94">
        <w:rPr>
          <w:rFonts w:hint="cs"/>
          <w:i/>
          <w:iCs/>
          <w:lang w:val="en"/>
        </w:rPr>
        <w:t>halikhot</w:t>
      </w:r>
      <w:r w:rsidR="00AF6AA4">
        <w:rPr>
          <w:lang w:val="en"/>
        </w:rPr>
        <w:t>”</w:t>
      </w:r>
      <w:r>
        <w:rPr>
          <w:rFonts w:hint="cs"/>
          <w:lang w:val="en"/>
        </w:rPr>
        <w:t xml:space="preserve"> (which is a plural form of the noun </w:t>
      </w:r>
      <w:r w:rsidR="00AF6AA4">
        <w:rPr>
          <w:lang w:val="en"/>
        </w:rPr>
        <w:t>“</w:t>
      </w:r>
      <w:r w:rsidRPr="00693C94">
        <w:rPr>
          <w:rFonts w:hint="cs"/>
          <w:i/>
          <w:iCs/>
          <w:lang w:val="en"/>
        </w:rPr>
        <w:t>halikha</w:t>
      </w:r>
      <w:r w:rsidR="00AF6AA4">
        <w:rPr>
          <w:lang w:val="en"/>
        </w:rPr>
        <w:t>”</w:t>
      </w:r>
      <w:r w:rsidR="00261DC8">
        <w:rPr>
          <w:lang w:val="en"/>
        </w:rPr>
        <w:t xml:space="preserve"> [walking]</w:t>
      </w:r>
      <w:r>
        <w:rPr>
          <w:rFonts w:hint="cs"/>
          <w:lang w:val="en"/>
        </w:rPr>
        <w:t xml:space="preserve">) in the verse under discussion should be interpreted as if it were written </w:t>
      </w:r>
      <w:r w:rsidR="00AF6AA4">
        <w:rPr>
          <w:lang w:val="en"/>
        </w:rPr>
        <w:t>“</w:t>
      </w:r>
      <w:r>
        <w:rPr>
          <w:rFonts w:hint="cs"/>
          <w:lang w:val="en"/>
        </w:rPr>
        <w:t>halakhot</w:t>
      </w:r>
      <w:r w:rsidR="00AF6AA4">
        <w:rPr>
          <w:lang w:val="en"/>
        </w:rPr>
        <w:t>”</w:t>
      </w:r>
      <w:r>
        <w:rPr>
          <w:rFonts w:hint="cs"/>
          <w:lang w:val="en"/>
        </w:rPr>
        <w:t xml:space="preserve"> (= religious laws). Bar-Asher notes that the form </w:t>
      </w:r>
      <w:r w:rsidR="00AF6AA4">
        <w:rPr>
          <w:lang w:val="en"/>
        </w:rPr>
        <w:t>“</w:t>
      </w:r>
      <w:r>
        <w:rPr>
          <w:rFonts w:hint="cs"/>
          <w:lang w:val="en"/>
        </w:rPr>
        <w:t>halakhot</w:t>
      </w:r>
      <w:r w:rsidR="00AF6AA4">
        <w:rPr>
          <w:lang w:val="en"/>
        </w:rPr>
        <w:t>”</w:t>
      </w:r>
      <w:r>
        <w:rPr>
          <w:rFonts w:hint="cs"/>
          <w:lang w:val="en"/>
        </w:rPr>
        <w:t xml:space="preserve"> is also an action noun from the same root, and we find that there are words in the Mishnah that come in both forms</w:t>
      </w:r>
      <w:r w:rsidR="00492013">
        <w:rPr>
          <w:rFonts w:hint="cs"/>
          <w:lang w:val="en"/>
        </w:rPr>
        <w:t xml:space="preserve"> – </w:t>
      </w:r>
      <w:r w:rsidR="0004465F">
        <w:rPr>
          <w:rFonts w:hint="cs"/>
          <w:rtl/>
        </w:rPr>
        <w:t>פְּעִילָה</w:t>
      </w:r>
      <w:r w:rsidR="0004465F">
        <w:t xml:space="preserve"> </w:t>
      </w:r>
      <w:r>
        <w:rPr>
          <w:rFonts w:hint="cs"/>
          <w:lang w:val="en"/>
        </w:rPr>
        <w:t xml:space="preserve">and </w:t>
      </w:r>
      <w:r w:rsidR="00232C8F">
        <w:rPr>
          <w:rFonts w:hint="cs"/>
          <w:rtl/>
        </w:rPr>
        <w:t>פְעָלָה</w:t>
      </w:r>
      <w:r w:rsidR="00232C8F">
        <w:t xml:space="preserve"> </w:t>
      </w:r>
      <w:r w:rsidR="00492013">
        <w:rPr>
          <w:rFonts w:hint="cs"/>
          <w:lang w:val="en"/>
        </w:rPr>
        <w:t xml:space="preserve">– </w:t>
      </w:r>
      <w:r>
        <w:rPr>
          <w:rFonts w:hint="cs"/>
          <w:lang w:val="en"/>
        </w:rPr>
        <w:t xml:space="preserve">without any difference in meaning between them. Therefore, reading </w:t>
      </w:r>
      <w:r w:rsidR="00AF6AA4">
        <w:rPr>
          <w:lang w:val="en"/>
        </w:rPr>
        <w:t>“</w:t>
      </w:r>
      <w:r>
        <w:rPr>
          <w:rFonts w:hint="cs"/>
          <w:lang w:val="en"/>
        </w:rPr>
        <w:t>halakhot</w:t>
      </w:r>
      <w:r w:rsidR="00AF6AA4">
        <w:rPr>
          <w:lang w:val="en"/>
        </w:rPr>
        <w:t>”</w:t>
      </w:r>
      <w:r>
        <w:rPr>
          <w:rFonts w:hint="cs"/>
          <w:lang w:val="en"/>
        </w:rPr>
        <w:t xml:space="preserve"> instead of </w:t>
      </w:r>
      <w:r w:rsidR="00AF6AA4">
        <w:rPr>
          <w:lang w:val="en"/>
        </w:rPr>
        <w:t>“</w:t>
      </w:r>
      <w:r>
        <w:rPr>
          <w:rFonts w:hint="cs"/>
          <w:lang w:val="en"/>
        </w:rPr>
        <w:t>halikhot</w:t>
      </w:r>
      <w:r w:rsidR="00AF6AA4">
        <w:rPr>
          <w:lang w:val="en"/>
        </w:rPr>
        <w:t>”</w:t>
      </w:r>
      <w:r>
        <w:rPr>
          <w:rFonts w:hint="cs"/>
          <w:lang w:val="en"/>
        </w:rPr>
        <w:t xml:space="preserve"> does not </w:t>
      </w:r>
      <w:r w:rsidR="00E062BB">
        <w:rPr>
          <w:lang w:val="en"/>
        </w:rPr>
        <w:t>entir</w:t>
      </w:r>
      <w:r>
        <w:rPr>
          <w:rFonts w:hint="cs"/>
          <w:lang w:val="en"/>
        </w:rPr>
        <w:t xml:space="preserve">ely detach the term </w:t>
      </w:r>
      <w:r w:rsidR="00AF6AA4">
        <w:rPr>
          <w:lang w:val="en"/>
        </w:rPr>
        <w:t>“</w:t>
      </w:r>
      <w:r>
        <w:rPr>
          <w:rFonts w:hint="cs"/>
          <w:lang w:val="en"/>
        </w:rPr>
        <w:t>halikhot</w:t>
      </w:r>
      <w:r w:rsidR="00AF6AA4">
        <w:rPr>
          <w:lang w:val="en"/>
        </w:rPr>
        <w:t>”</w:t>
      </w:r>
      <w:r>
        <w:rPr>
          <w:rFonts w:hint="cs"/>
          <w:lang w:val="en"/>
        </w:rPr>
        <w:t xml:space="preserve"> from its original meaning.</w:t>
      </w:r>
    </w:p>
    <w:p w14:paraId="576C9169" w14:textId="0CF8D0B7" w:rsidR="00031172" w:rsidRDefault="002F4AD5" w:rsidP="00F34784">
      <w:pPr>
        <w:bidi w:val="0"/>
        <w:spacing w:line="360" w:lineRule="auto"/>
        <w:jc w:val="both"/>
        <w:rPr>
          <w:rtl/>
        </w:rPr>
      </w:pPr>
      <w:r>
        <w:rPr>
          <w:rFonts w:hint="cs"/>
          <w:lang w:val="en"/>
        </w:rPr>
        <w:t xml:space="preserve">The seventeenth chapter, the last chapter in this section, deals with the </w:t>
      </w:r>
      <w:r w:rsidR="00E062BB">
        <w:rPr>
          <w:lang w:val="en"/>
        </w:rPr>
        <w:t>homiletical interpretation</w:t>
      </w:r>
      <w:r>
        <w:rPr>
          <w:rFonts w:hint="cs"/>
          <w:lang w:val="en"/>
        </w:rPr>
        <w:t xml:space="preserve"> of names. The first part of the chapter presents</w:t>
      </w:r>
      <w:r w:rsidR="00E062BB">
        <w:rPr>
          <w:lang w:val="en"/>
        </w:rPr>
        <w:t xml:space="preserve"> the</w:t>
      </w:r>
      <w:r>
        <w:rPr>
          <w:rFonts w:hint="cs"/>
          <w:lang w:val="en"/>
        </w:rPr>
        <w:t xml:space="preserve"> various approaches in </w:t>
      </w:r>
      <w:r w:rsidR="00E062BB">
        <w:rPr>
          <w:lang w:val="en"/>
        </w:rPr>
        <w:t>R</w:t>
      </w:r>
      <w:r>
        <w:rPr>
          <w:rFonts w:hint="cs"/>
          <w:lang w:val="en"/>
        </w:rPr>
        <w:t xml:space="preserve">abbinic literature </w:t>
      </w:r>
      <w:r w:rsidR="00E062BB">
        <w:rPr>
          <w:lang w:val="en"/>
        </w:rPr>
        <w:t>to</w:t>
      </w:r>
      <w:r>
        <w:rPr>
          <w:rFonts w:hint="cs"/>
          <w:lang w:val="en"/>
        </w:rPr>
        <w:t xml:space="preserve"> the meaning of names. </w:t>
      </w:r>
      <w:r w:rsidR="00431C7E">
        <w:rPr>
          <w:lang w:val="en"/>
        </w:rPr>
        <w:t>Bar-Asher</w:t>
      </w:r>
      <w:r>
        <w:rPr>
          <w:rFonts w:hint="cs"/>
          <w:lang w:val="en"/>
        </w:rPr>
        <w:t xml:space="preserve"> then </w:t>
      </w:r>
      <w:r w:rsidR="00C456FB">
        <w:rPr>
          <w:lang w:val="en"/>
        </w:rPr>
        <w:t>discusses</w:t>
      </w:r>
      <w:r>
        <w:rPr>
          <w:rFonts w:hint="cs"/>
          <w:lang w:val="en"/>
        </w:rPr>
        <w:t xml:space="preserve"> the</w:t>
      </w:r>
      <w:r w:rsidR="00431C7E">
        <w:rPr>
          <w:lang w:val="en"/>
        </w:rPr>
        <w:t xml:space="preserve"> </w:t>
      </w:r>
      <w:r w:rsidR="00431C7E">
        <w:rPr>
          <w:lang w:val="en"/>
        </w:rPr>
        <w:t>homiletical interpretation</w:t>
      </w:r>
      <w:r w:rsidR="00431C7E">
        <w:rPr>
          <w:lang w:val="en"/>
        </w:rPr>
        <w:t>s</w:t>
      </w:r>
      <w:r w:rsidR="00431C7E">
        <w:rPr>
          <w:rFonts w:hint="cs"/>
          <w:lang w:val="en"/>
        </w:rPr>
        <w:t xml:space="preserve"> of </w:t>
      </w:r>
      <w:r w:rsidR="007D106B">
        <w:rPr>
          <w:lang w:val="en"/>
        </w:rPr>
        <w:t xml:space="preserve">the </w:t>
      </w:r>
      <w:r w:rsidR="00431C7E">
        <w:rPr>
          <w:rFonts w:hint="cs"/>
          <w:lang w:val="en"/>
        </w:rPr>
        <w:t>names</w:t>
      </w:r>
      <w:r>
        <w:rPr>
          <w:rFonts w:hint="cs"/>
          <w:lang w:val="en"/>
        </w:rPr>
        <w:t xml:space="preserve"> </w:t>
      </w:r>
      <w:r w:rsidR="007D106B">
        <w:rPr>
          <w:lang w:val="en"/>
        </w:rPr>
        <w:t>in the</w:t>
      </w:r>
      <w:r>
        <w:rPr>
          <w:rFonts w:hint="cs"/>
          <w:lang w:val="en"/>
        </w:rPr>
        <w:t xml:space="preserve"> lists</w:t>
      </w:r>
      <w:r w:rsidR="007D106B">
        <w:rPr>
          <w:lang w:val="en"/>
        </w:rPr>
        <w:t xml:space="preserve"> of names</w:t>
      </w:r>
      <w:r>
        <w:rPr>
          <w:rFonts w:hint="cs"/>
          <w:lang w:val="en"/>
        </w:rPr>
        <w:t xml:space="preserve"> in the Book of Chronicles</w:t>
      </w:r>
      <w:r w:rsidR="00C456FB">
        <w:rPr>
          <w:lang w:val="en"/>
        </w:rPr>
        <w:t>.</w:t>
      </w:r>
      <w:r>
        <w:rPr>
          <w:rFonts w:hint="cs"/>
          <w:lang w:val="en"/>
        </w:rPr>
        <w:t xml:space="preserve"> </w:t>
      </w:r>
      <w:r w:rsidR="00C456FB">
        <w:rPr>
          <w:lang w:val="en"/>
        </w:rPr>
        <w:t>I</w:t>
      </w:r>
      <w:r>
        <w:rPr>
          <w:rFonts w:hint="cs"/>
          <w:lang w:val="en"/>
        </w:rPr>
        <w:t xml:space="preserve">n the </w:t>
      </w:r>
      <w:r w:rsidR="00C456FB">
        <w:rPr>
          <w:lang w:val="en"/>
        </w:rPr>
        <w:t>final</w:t>
      </w:r>
      <w:r>
        <w:rPr>
          <w:rFonts w:hint="cs"/>
          <w:lang w:val="en"/>
        </w:rPr>
        <w:t xml:space="preserve"> and main part</w:t>
      </w:r>
      <w:r w:rsidR="00C456FB">
        <w:rPr>
          <w:lang w:val="en"/>
        </w:rPr>
        <w:t xml:space="preserve"> of the chapter</w:t>
      </w:r>
      <w:r>
        <w:rPr>
          <w:rFonts w:hint="cs"/>
          <w:lang w:val="en"/>
        </w:rPr>
        <w:t>, he discusses the names in the Book of Ruth, their etymology, and their literary significance.</w:t>
      </w:r>
    </w:p>
    <w:p w14:paraId="3F2DDFC7" w14:textId="5BB5ECAE" w:rsidR="007623E3" w:rsidRDefault="002F4AD5" w:rsidP="00F34784">
      <w:pPr>
        <w:bidi w:val="0"/>
        <w:spacing w:line="360" w:lineRule="auto"/>
        <w:jc w:val="both"/>
        <w:rPr>
          <w:rtl/>
        </w:rPr>
      </w:pPr>
      <w:r>
        <w:rPr>
          <w:rFonts w:hint="cs"/>
          <w:lang w:val="en"/>
        </w:rPr>
        <w:t xml:space="preserve">The sixth and final part of the book includes two chapters </w:t>
      </w:r>
      <w:r w:rsidR="00225AF6">
        <w:rPr>
          <w:lang w:val="en"/>
        </w:rPr>
        <w:t>whose</w:t>
      </w:r>
      <w:r>
        <w:rPr>
          <w:rFonts w:hint="cs"/>
          <w:lang w:val="en"/>
        </w:rPr>
        <w:t xml:space="preserve"> common theme is </w:t>
      </w:r>
      <w:r w:rsidR="00697590">
        <w:rPr>
          <w:lang w:val="en"/>
        </w:rPr>
        <w:t>e</w:t>
      </w:r>
      <w:r w:rsidR="00523321">
        <w:rPr>
          <w:rFonts w:hint="cs"/>
          <w:lang w:val="en"/>
        </w:rPr>
        <w:t xml:space="preserve">valuations of </w:t>
      </w:r>
      <w:r w:rsidR="00697590">
        <w:rPr>
          <w:lang w:val="en"/>
        </w:rPr>
        <w:t>transmission</w:t>
      </w:r>
      <w:r w:rsidR="00523321">
        <w:rPr>
          <w:rFonts w:hint="cs"/>
          <w:lang w:val="en"/>
        </w:rPr>
        <w:t xml:space="preserve"> and </w:t>
      </w:r>
      <w:r w:rsidR="00697590">
        <w:rPr>
          <w:lang w:val="en"/>
        </w:rPr>
        <w:t>r</w:t>
      </w:r>
      <w:r w:rsidR="00523321">
        <w:rPr>
          <w:rFonts w:hint="cs"/>
          <w:lang w:val="en"/>
        </w:rPr>
        <w:t>esearch</w:t>
      </w:r>
      <w:r w:rsidR="00697590">
        <w:rPr>
          <w:lang w:val="en"/>
        </w:rPr>
        <w:t>.</w:t>
      </w:r>
      <w:r w:rsidR="00523321">
        <w:rPr>
          <w:rFonts w:hint="cs"/>
          <w:lang w:val="en"/>
        </w:rPr>
        <w:t xml:space="preserve"> </w:t>
      </w:r>
      <w:r>
        <w:rPr>
          <w:rFonts w:hint="cs"/>
          <w:lang w:val="en"/>
        </w:rPr>
        <w:t xml:space="preserve">The first </w:t>
      </w:r>
      <w:r w:rsidR="005B7833">
        <w:rPr>
          <w:lang w:val="en"/>
        </w:rPr>
        <w:t>chapter addresses</w:t>
      </w:r>
      <w:r>
        <w:rPr>
          <w:rFonts w:hint="cs"/>
          <w:lang w:val="en"/>
        </w:rPr>
        <w:t xml:space="preserve"> the nature of the corrections added by </w:t>
      </w:r>
      <w:r w:rsidR="00610031">
        <w:rPr>
          <w:lang w:val="en"/>
        </w:rPr>
        <w:t>a scribe who added comments in the margins of</w:t>
      </w:r>
      <w:r>
        <w:rPr>
          <w:rFonts w:hint="cs"/>
          <w:lang w:val="en"/>
        </w:rPr>
        <w:t xml:space="preserve"> the </w:t>
      </w:r>
      <w:r w:rsidR="004459FD">
        <w:rPr>
          <w:rFonts w:hint="cs"/>
          <w:lang w:val="en"/>
        </w:rPr>
        <w:t>Kaufman</w:t>
      </w:r>
      <w:r>
        <w:rPr>
          <w:rFonts w:hint="cs"/>
          <w:lang w:val="en"/>
        </w:rPr>
        <w:t xml:space="preserve">n </w:t>
      </w:r>
      <w:r w:rsidR="00766F62">
        <w:rPr>
          <w:lang w:val="en"/>
        </w:rPr>
        <w:t>M</w:t>
      </w:r>
      <w:r>
        <w:rPr>
          <w:rFonts w:hint="cs"/>
          <w:lang w:val="en"/>
        </w:rPr>
        <w:t xml:space="preserve">anuscript, </w:t>
      </w:r>
      <w:r w:rsidR="00FC305F">
        <w:rPr>
          <w:lang w:val="en"/>
        </w:rPr>
        <w:t xml:space="preserve">who did so </w:t>
      </w:r>
      <w:r>
        <w:rPr>
          <w:rFonts w:hint="cs"/>
          <w:lang w:val="en"/>
        </w:rPr>
        <w:t xml:space="preserve">later than the </w:t>
      </w:r>
      <w:r w:rsidR="0055759B">
        <w:rPr>
          <w:lang w:val="en"/>
        </w:rPr>
        <w:t xml:space="preserve">original </w:t>
      </w:r>
      <w:r>
        <w:rPr>
          <w:rFonts w:hint="cs"/>
          <w:lang w:val="en"/>
        </w:rPr>
        <w:t xml:space="preserve">scribe and the </w:t>
      </w:r>
      <w:r w:rsidR="00FC305F">
        <w:rPr>
          <w:lang w:val="en"/>
        </w:rPr>
        <w:t>scribe who vocalized the text</w:t>
      </w:r>
      <w:r>
        <w:rPr>
          <w:rFonts w:hint="cs"/>
          <w:lang w:val="en"/>
        </w:rPr>
        <w:t>. According to Bar-Asher, his corrections distort original versions</w:t>
      </w:r>
      <w:r w:rsidR="006C399F">
        <w:rPr>
          <w:lang w:val="en"/>
        </w:rPr>
        <w:t xml:space="preserve"> of the </w:t>
      </w:r>
      <w:r w:rsidR="006C399F">
        <w:rPr>
          <w:lang w:val="en"/>
        </w:rPr>
        <w:lastRenderedPageBreak/>
        <w:t>test</w:t>
      </w:r>
      <w:r>
        <w:rPr>
          <w:rFonts w:hint="cs"/>
          <w:lang w:val="en"/>
        </w:rPr>
        <w:t xml:space="preserve">, and </w:t>
      </w:r>
      <w:r w:rsidR="00AF6AA4">
        <w:rPr>
          <w:lang w:val="en"/>
        </w:rPr>
        <w:t>“</w:t>
      </w:r>
      <w:r>
        <w:rPr>
          <w:rFonts w:hint="cs"/>
          <w:lang w:val="en"/>
        </w:rPr>
        <w:t>his contribution as a</w:t>
      </w:r>
      <w:r w:rsidR="0060024F">
        <w:rPr>
          <w:lang w:val="en"/>
        </w:rPr>
        <w:t xml:space="preserve">n annotator </w:t>
      </w:r>
      <w:r>
        <w:rPr>
          <w:rFonts w:hint="cs"/>
          <w:lang w:val="en"/>
        </w:rPr>
        <w:t xml:space="preserve">of </w:t>
      </w:r>
      <w:r w:rsidR="006C399F">
        <w:rPr>
          <w:lang w:val="en"/>
        </w:rPr>
        <w:t xml:space="preserve">the </w:t>
      </w:r>
      <w:r w:rsidR="006C399F">
        <w:rPr>
          <w:rFonts w:hint="cs"/>
          <w:lang w:val="en"/>
        </w:rPr>
        <w:t>Kaufmann</w:t>
      </w:r>
      <w:r w:rsidR="006C399F">
        <w:rPr>
          <w:rFonts w:hint="cs"/>
          <w:lang w:val="en"/>
        </w:rPr>
        <w:t xml:space="preserve"> </w:t>
      </w:r>
      <w:r w:rsidR="00766F62">
        <w:rPr>
          <w:lang w:val="en"/>
        </w:rPr>
        <w:t>M</w:t>
      </w:r>
      <w:r>
        <w:rPr>
          <w:rFonts w:hint="cs"/>
          <w:lang w:val="en"/>
        </w:rPr>
        <w:t xml:space="preserve">anuscript </w:t>
      </w:r>
      <w:r w:rsidR="001337B7">
        <w:rPr>
          <w:lang w:val="en"/>
        </w:rPr>
        <w:t xml:space="preserve">is </w:t>
      </w:r>
      <w:r>
        <w:rPr>
          <w:rFonts w:hint="cs"/>
          <w:lang w:val="en"/>
        </w:rPr>
        <w:t>marginal and unimportant, and to a large extent superfluous.</w:t>
      </w:r>
      <w:r w:rsidR="00AF6AA4">
        <w:rPr>
          <w:lang w:val="en"/>
        </w:rPr>
        <w:t>”</w:t>
      </w:r>
    </w:p>
    <w:p w14:paraId="74B3499D" w14:textId="2AF1A0DF" w:rsidR="007623E3" w:rsidRDefault="002F4AD5" w:rsidP="00F34784">
      <w:pPr>
        <w:bidi w:val="0"/>
        <w:spacing w:line="360" w:lineRule="auto"/>
        <w:jc w:val="both"/>
        <w:rPr>
          <w:rtl/>
        </w:rPr>
      </w:pPr>
      <w:r>
        <w:rPr>
          <w:rFonts w:hint="cs"/>
          <w:lang w:val="en"/>
        </w:rPr>
        <w:t xml:space="preserve">The second chapter in this section and the last in the book reviews the work of Prof. Shimon Sharvit in the study of </w:t>
      </w:r>
      <w:r w:rsidR="00B6123D">
        <w:rPr>
          <w:lang w:val="en"/>
        </w:rPr>
        <w:t>Rabbinic Hebrew</w:t>
      </w:r>
      <w:r>
        <w:rPr>
          <w:rFonts w:hint="cs"/>
          <w:lang w:val="en"/>
        </w:rPr>
        <w:t xml:space="preserve">. </w:t>
      </w:r>
      <w:r w:rsidR="0054565D">
        <w:rPr>
          <w:lang w:val="en"/>
        </w:rPr>
        <w:t>Most</w:t>
      </w:r>
      <w:r>
        <w:rPr>
          <w:rFonts w:hint="cs"/>
          <w:lang w:val="en"/>
        </w:rPr>
        <w:t xml:space="preserve"> of </w:t>
      </w:r>
      <w:r w:rsidR="00B6123D">
        <w:rPr>
          <w:lang w:val="en"/>
        </w:rPr>
        <w:t>the</w:t>
      </w:r>
      <w:r>
        <w:rPr>
          <w:rFonts w:hint="cs"/>
          <w:lang w:val="en"/>
        </w:rPr>
        <w:t xml:space="preserve"> review focuses on the book </w:t>
      </w:r>
      <w:r w:rsidR="004B4E61" w:rsidRPr="004B4E61">
        <w:rPr>
          <w:i/>
          <w:iCs/>
          <w:lang w:val="en"/>
        </w:rPr>
        <w:t>A Phonology of Mishnaic Hebrew (Analyzed Materials)</w:t>
      </w:r>
      <w:r w:rsidR="004B4E61" w:rsidRPr="004B4E61">
        <w:rPr>
          <w:rFonts w:hint="cs"/>
          <w:lang w:val="en"/>
        </w:rPr>
        <w:t xml:space="preserve"> </w:t>
      </w:r>
      <w:r>
        <w:rPr>
          <w:rFonts w:hint="cs"/>
          <w:lang w:val="en"/>
        </w:rPr>
        <w:t xml:space="preserve">(Jerusalem, 2016). </w:t>
      </w:r>
      <w:r w:rsidR="0022421C">
        <w:rPr>
          <w:lang w:val="en"/>
        </w:rPr>
        <w:t>Bar-Asher also presents</w:t>
      </w:r>
      <w:r w:rsidR="00B87E40">
        <w:rPr>
          <w:lang w:val="en"/>
        </w:rPr>
        <w:t xml:space="preserve"> his own</w:t>
      </w:r>
      <w:r>
        <w:rPr>
          <w:rFonts w:hint="cs"/>
          <w:lang w:val="en"/>
        </w:rPr>
        <w:t xml:space="preserve"> innovations on several matters, such as the word </w:t>
      </w:r>
      <w:r w:rsidR="00AF6AA4">
        <w:rPr>
          <w:lang w:val="en"/>
        </w:rPr>
        <w:t>“</w:t>
      </w:r>
      <w:r>
        <w:rPr>
          <w:rFonts w:hint="cs"/>
          <w:lang w:val="en"/>
        </w:rPr>
        <w:t>רֵיקָם</w:t>
      </w:r>
      <w:r w:rsidR="00AF6AA4">
        <w:rPr>
          <w:rFonts w:hint="cs"/>
          <w:lang w:val="en"/>
        </w:rPr>
        <w:t>,</w:t>
      </w:r>
      <w:r w:rsidR="00AF6AA4">
        <w:rPr>
          <w:lang w:val="en"/>
        </w:rPr>
        <w:t>”</w:t>
      </w:r>
      <w:r>
        <w:rPr>
          <w:rFonts w:hint="cs"/>
          <w:lang w:val="en"/>
        </w:rPr>
        <w:t xml:space="preserve"> </w:t>
      </w:r>
      <w:r w:rsidR="008B628F">
        <w:rPr>
          <w:lang w:val="en"/>
        </w:rPr>
        <w:t>about</w:t>
      </w:r>
      <w:r w:rsidR="00185EBB">
        <w:rPr>
          <w:lang w:val="en"/>
        </w:rPr>
        <w:t xml:space="preserve"> which</w:t>
      </w:r>
      <w:r>
        <w:rPr>
          <w:rFonts w:hint="cs"/>
          <w:lang w:val="en"/>
        </w:rPr>
        <w:t xml:space="preserve"> Bar-Asher concludes from its </w:t>
      </w:r>
      <w:r w:rsidR="006B6231">
        <w:rPr>
          <w:lang w:val="en"/>
        </w:rPr>
        <w:t>declensions that there is</w:t>
      </w:r>
      <w:r>
        <w:rPr>
          <w:rFonts w:hint="cs"/>
          <w:lang w:val="en"/>
        </w:rPr>
        <w:t xml:space="preserve"> a [m] &gt; [n] transformation at the ends of words.</w:t>
      </w:r>
    </w:p>
    <w:p w14:paraId="2DB95FCD" w14:textId="66F404FD" w:rsidR="00C35039" w:rsidRDefault="002F4AD5" w:rsidP="00F34784">
      <w:pPr>
        <w:bidi w:val="0"/>
        <w:spacing w:line="360" w:lineRule="auto"/>
        <w:jc w:val="both"/>
        <w:rPr>
          <w:rtl/>
        </w:rPr>
      </w:pPr>
      <w:r>
        <w:rPr>
          <w:rFonts w:hint="cs"/>
          <w:lang w:val="en"/>
        </w:rPr>
        <w:t xml:space="preserve">In </w:t>
      </w:r>
      <w:r w:rsidR="009B6191">
        <w:rPr>
          <w:lang w:val="en"/>
        </w:rPr>
        <w:t>conclusion</w:t>
      </w:r>
      <w:r>
        <w:rPr>
          <w:rFonts w:hint="cs"/>
          <w:lang w:val="en"/>
        </w:rPr>
        <w:t xml:space="preserve">, the book is </w:t>
      </w:r>
      <w:r w:rsidR="00BF70C0">
        <w:rPr>
          <w:lang w:val="en"/>
        </w:rPr>
        <w:t>outstanding, full of</w:t>
      </w:r>
      <w:r>
        <w:rPr>
          <w:rFonts w:hint="cs"/>
          <w:lang w:val="en"/>
        </w:rPr>
        <w:t xml:space="preserve"> innovative research on </w:t>
      </w:r>
      <w:r w:rsidR="0054565D">
        <w:rPr>
          <w:lang w:val="en"/>
        </w:rPr>
        <w:t>various topics in</w:t>
      </w:r>
      <w:r w:rsidR="00BF70C0">
        <w:rPr>
          <w:lang w:val="en"/>
        </w:rPr>
        <w:t xml:space="preserve"> Rabbinic Hebrew</w:t>
      </w:r>
      <w:r>
        <w:rPr>
          <w:rFonts w:hint="cs"/>
          <w:lang w:val="en"/>
        </w:rPr>
        <w:t xml:space="preserve"> and related fields, and it joins the author</w:t>
      </w:r>
      <w:r w:rsidR="00AF6AA4">
        <w:rPr>
          <w:lang w:val="en"/>
        </w:rPr>
        <w:t>’</w:t>
      </w:r>
      <w:r>
        <w:rPr>
          <w:rFonts w:hint="cs"/>
          <w:lang w:val="en"/>
        </w:rPr>
        <w:t xml:space="preserve">s previous books in </w:t>
      </w:r>
      <w:r w:rsidR="009B6191">
        <w:rPr>
          <w:lang w:val="en"/>
        </w:rPr>
        <w:t xml:space="preserve">making </w:t>
      </w:r>
      <w:r w:rsidR="0054565D">
        <w:rPr>
          <w:lang w:val="en"/>
        </w:rPr>
        <w:t>signific</w:t>
      </w:r>
      <w:r>
        <w:rPr>
          <w:rFonts w:hint="cs"/>
          <w:lang w:val="en"/>
        </w:rPr>
        <w:t xml:space="preserve">ant contributions to our knowledge </w:t>
      </w:r>
      <w:r w:rsidR="009B6191">
        <w:rPr>
          <w:lang w:val="en"/>
        </w:rPr>
        <w:t>of</w:t>
      </w:r>
      <w:r>
        <w:rPr>
          <w:rFonts w:hint="cs"/>
          <w:lang w:val="en"/>
        </w:rPr>
        <w:t xml:space="preserve"> the history of the Hebrew language. We hope that the author will continue to enrich the study of the Hebrew language with his insights and innovations for many more years.</w:t>
      </w:r>
    </w:p>
    <w:sectPr w:rsidR="00C35039" w:rsidSect="002F253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pgNumType w:start="1"/>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 w:date="2024-07-31T17:14:00Z" w:initials="JA">
    <w:p w14:paraId="2FDF055D" w14:textId="2BAE48C9" w:rsidR="00EA43AF" w:rsidRDefault="00EA43AF" w:rsidP="00EA43AF">
      <w:pPr>
        <w:pStyle w:val="CommentText"/>
        <w:bidi w:val="0"/>
      </w:pPr>
      <w:r>
        <w:rPr>
          <w:rStyle w:val="CommentReference"/>
        </w:rPr>
        <w:annotationRef/>
      </w:r>
      <w:r>
        <w:t>Or: Studies in Rabbinic Hebrew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FDF05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2AC98E" w16cex:dateUtc="2024-07-31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DF055D" w16cid:durableId="212AC9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650ED" w14:textId="77777777" w:rsidR="00B873AB" w:rsidRDefault="00B873AB" w:rsidP="002F2535">
      <w:pPr>
        <w:spacing w:after="0" w:line="240" w:lineRule="auto"/>
      </w:pPr>
      <w:r>
        <w:separator/>
      </w:r>
    </w:p>
  </w:endnote>
  <w:endnote w:type="continuationSeparator" w:id="0">
    <w:p w14:paraId="7804EBA1" w14:textId="77777777" w:rsidR="00B873AB" w:rsidRDefault="00B873AB" w:rsidP="002F2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81138" w14:textId="77777777" w:rsidR="002F2535" w:rsidRDefault="002F2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12887609"/>
      <w:docPartObj>
        <w:docPartGallery w:val="Page Numbers (Bottom of Page)"/>
        <w:docPartUnique/>
      </w:docPartObj>
    </w:sdtPr>
    <w:sdtEndPr>
      <w:rPr>
        <w:noProof/>
      </w:rPr>
    </w:sdtEndPr>
    <w:sdtContent>
      <w:p w14:paraId="42E56803" w14:textId="61A45D9E" w:rsidR="00D76394" w:rsidRDefault="00D763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595832" w14:textId="77777777" w:rsidR="002F2535" w:rsidRDefault="002F25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99440" w14:textId="77777777" w:rsidR="002F2535" w:rsidRDefault="002F2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0C155" w14:textId="77777777" w:rsidR="00B873AB" w:rsidRDefault="00B873AB" w:rsidP="002F2535">
      <w:pPr>
        <w:spacing w:after="0" w:line="240" w:lineRule="auto"/>
      </w:pPr>
      <w:r>
        <w:separator/>
      </w:r>
    </w:p>
  </w:footnote>
  <w:footnote w:type="continuationSeparator" w:id="0">
    <w:p w14:paraId="7924DF9D" w14:textId="77777777" w:rsidR="00B873AB" w:rsidRDefault="00B873AB" w:rsidP="002F2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E08F1" w14:textId="77777777" w:rsidR="002F2535" w:rsidRDefault="002F2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91061" w14:textId="73EC5A6E" w:rsidR="002F2535" w:rsidRDefault="002F2535">
    <w:pPr>
      <w:pStyle w:val="Header"/>
      <w:jc w:val="center"/>
    </w:pPr>
  </w:p>
  <w:p w14:paraId="37F3C293" w14:textId="77777777" w:rsidR="002F2535" w:rsidRDefault="002F25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6DEA7" w14:textId="77777777" w:rsidR="002F2535" w:rsidRDefault="002F253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M0MDe0MDQ1MjQxNjVS0lEKTi0uzszPAykwqwUASwUveCwAAAA="/>
  </w:docVars>
  <w:rsids>
    <w:rsidRoot w:val="001C2854"/>
    <w:rsid w:val="00002A26"/>
    <w:rsid w:val="00007F16"/>
    <w:rsid w:val="00012AF9"/>
    <w:rsid w:val="00031172"/>
    <w:rsid w:val="0004465F"/>
    <w:rsid w:val="0005633C"/>
    <w:rsid w:val="00066143"/>
    <w:rsid w:val="00077C49"/>
    <w:rsid w:val="00081C73"/>
    <w:rsid w:val="00086BDF"/>
    <w:rsid w:val="0008744D"/>
    <w:rsid w:val="00095D42"/>
    <w:rsid w:val="00096E0D"/>
    <w:rsid w:val="000A4FC1"/>
    <w:rsid w:val="000A5E3C"/>
    <w:rsid w:val="000E407F"/>
    <w:rsid w:val="00106DC8"/>
    <w:rsid w:val="00115B8B"/>
    <w:rsid w:val="001337B7"/>
    <w:rsid w:val="0013740B"/>
    <w:rsid w:val="001543E6"/>
    <w:rsid w:val="0015645D"/>
    <w:rsid w:val="00164562"/>
    <w:rsid w:val="00185EBB"/>
    <w:rsid w:val="00186FB0"/>
    <w:rsid w:val="001B7983"/>
    <w:rsid w:val="001C2854"/>
    <w:rsid w:val="001C2B3A"/>
    <w:rsid w:val="001C3A97"/>
    <w:rsid w:val="001C4EBE"/>
    <w:rsid w:val="001D0B44"/>
    <w:rsid w:val="00201CD0"/>
    <w:rsid w:val="0022421C"/>
    <w:rsid w:val="00225AF6"/>
    <w:rsid w:val="00227DAF"/>
    <w:rsid w:val="00232C8F"/>
    <w:rsid w:val="002336C4"/>
    <w:rsid w:val="00250570"/>
    <w:rsid w:val="00261DC8"/>
    <w:rsid w:val="00267B10"/>
    <w:rsid w:val="002729F3"/>
    <w:rsid w:val="002776EF"/>
    <w:rsid w:val="00282C7B"/>
    <w:rsid w:val="0028760D"/>
    <w:rsid w:val="00294041"/>
    <w:rsid w:val="002A497C"/>
    <w:rsid w:val="002A6E97"/>
    <w:rsid w:val="002A6EF2"/>
    <w:rsid w:val="002C1586"/>
    <w:rsid w:val="002D59C5"/>
    <w:rsid w:val="002E211E"/>
    <w:rsid w:val="002F082D"/>
    <w:rsid w:val="002F2535"/>
    <w:rsid w:val="002F28FF"/>
    <w:rsid w:val="002F4AD5"/>
    <w:rsid w:val="00305577"/>
    <w:rsid w:val="0031101C"/>
    <w:rsid w:val="0031106A"/>
    <w:rsid w:val="00317304"/>
    <w:rsid w:val="00327E45"/>
    <w:rsid w:val="003629CD"/>
    <w:rsid w:val="00371209"/>
    <w:rsid w:val="00372EF7"/>
    <w:rsid w:val="00375319"/>
    <w:rsid w:val="00387868"/>
    <w:rsid w:val="00390DC5"/>
    <w:rsid w:val="00393E3E"/>
    <w:rsid w:val="00397C92"/>
    <w:rsid w:val="003A6B43"/>
    <w:rsid w:val="003C231C"/>
    <w:rsid w:val="003F15F9"/>
    <w:rsid w:val="00400F80"/>
    <w:rsid w:val="004107C2"/>
    <w:rsid w:val="00425609"/>
    <w:rsid w:val="00431C7E"/>
    <w:rsid w:val="00432CF3"/>
    <w:rsid w:val="00435BC0"/>
    <w:rsid w:val="004459FD"/>
    <w:rsid w:val="00453D64"/>
    <w:rsid w:val="00470ABD"/>
    <w:rsid w:val="004824D4"/>
    <w:rsid w:val="00492013"/>
    <w:rsid w:val="0049445B"/>
    <w:rsid w:val="004B4E61"/>
    <w:rsid w:val="004C4C77"/>
    <w:rsid w:val="004C79F4"/>
    <w:rsid w:val="004E3E72"/>
    <w:rsid w:val="004F0DAE"/>
    <w:rsid w:val="004F17A6"/>
    <w:rsid w:val="005076B4"/>
    <w:rsid w:val="00523321"/>
    <w:rsid w:val="00525931"/>
    <w:rsid w:val="00543B8D"/>
    <w:rsid w:val="0054565D"/>
    <w:rsid w:val="00547DF9"/>
    <w:rsid w:val="005537CA"/>
    <w:rsid w:val="0055759B"/>
    <w:rsid w:val="0055770C"/>
    <w:rsid w:val="00564838"/>
    <w:rsid w:val="0059263A"/>
    <w:rsid w:val="005B13DE"/>
    <w:rsid w:val="005B3557"/>
    <w:rsid w:val="005B7833"/>
    <w:rsid w:val="005C3CB8"/>
    <w:rsid w:val="005D09B7"/>
    <w:rsid w:val="005D0FC1"/>
    <w:rsid w:val="005F24AA"/>
    <w:rsid w:val="005F34FB"/>
    <w:rsid w:val="005F3FF7"/>
    <w:rsid w:val="005F6EB1"/>
    <w:rsid w:val="0060024F"/>
    <w:rsid w:val="00610031"/>
    <w:rsid w:val="00614D6C"/>
    <w:rsid w:val="00632344"/>
    <w:rsid w:val="006357C3"/>
    <w:rsid w:val="00670366"/>
    <w:rsid w:val="006707E6"/>
    <w:rsid w:val="00671090"/>
    <w:rsid w:val="006836CE"/>
    <w:rsid w:val="006911A7"/>
    <w:rsid w:val="00693C94"/>
    <w:rsid w:val="00694F29"/>
    <w:rsid w:val="00697590"/>
    <w:rsid w:val="006A361B"/>
    <w:rsid w:val="006A75E7"/>
    <w:rsid w:val="006B0C54"/>
    <w:rsid w:val="006B6231"/>
    <w:rsid w:val="006C2D1F"/>
    <w:rsid w:val="006C399F"/>
    <w:rsid w:val="006E7638"/>
    <w:rsid w:val="007023BF"/>
    <w:rsid w:val="0072087E"/>
    <w:rsid w:val="00722D96"/>
    <w:rsid w:val="0074087B"/>
    <w:rsid w:val="00754024"/>
    <w:rsid w:val="007540B5"/>
    <w:rsid w:val="0075613F"/>
    <w:rsid w:val="007623E3"/>
    <w:rsid w:val="00766F62"/>
    <w:rsid w:val="007746F8"/>
    <w:rsid w:val="00786360"/>
    <w:rsid w:val="0079288A"/>
    <w:rsid w:val="00794D12"/>
    <w:rsid w:val="00795736"/>
    <w:rsid w:val="007A1BBF"/>
    <w:rsid w:val="007C5B7D"/>
    <w:rsid w:val="007D106B"/>
    <w:rsid w:val="007D6A97"/>
    <w:rsid w:val="007E6AAA"/>
    <w:rsid w:val="007F129B"/>
    <w:rsid w:val="007F4F0B"/>
    <w:rsid w:val="007F7516"/>
    <w:rsid w:val="008001AD"/>
    <w:rsid w:val="00810BBA"/>
    <w:rsid w:val="0081191C"/>
    <w:rsid w:val="0081540C"/>
    <w:rsid w:val="008318ED"/>
    <w:rsid w:val="00835300"/>
    <w:rsid w:val="008561A1"/>
    <w:rsid w:val="00865A3B"/>
    <w:rsid w:val="00871A32"/>
    <w:rsid w:val="00875041"/>
    <w:rsid w:val="0088115B"/>
    <w:rsid w:val="00893F40"/>
    <w:rsid w:val="008B14A8"/>
    <w:rsid w:val="008B5559"/>
    <w:rsid w:val="008B628F"/>
    <w:rsid w:val="008D3688"/>
    <w:rsid w:val="008D3C1A"/>
    <w:rsid w:val="008E765A"/>
    <w:rsid w:val="008E7787"/>
    <w:rsid w:val="008F180A"/>
    <w:rsid w:val="008F240C"/>
    <w:rsid w:val="0090050D"/>
    <w:rsid w:val="0090575B"/>
    <w:rsid w:val="00917A71"/>
    <w:rsid w:val="00934890"/>
    <w:rsid w:val="00935454"/>
    <w:rsid w:val="0094539F"/>
    <w:rsid w:val="00950B75"/>
    <w:rsid w:val="009513C3"/>
    <w:rsid w:val="00956945"/>
    <w:rsid w:val="00965FA8"/>
    <w:rsid w:val="00971045"/>
    <w:rsid w:val="00975ED9"/>
    <w:rsid w:val="0098757A"/>
    <w:rsid w:val="00990BEB"/>
    <w:rsid w:val="009A09D1"/>
    <w:rsid w:val="009B08A8"/>
    <w:rsid w:val="009B36D4"/>
    <w:rsid w:val="009B6191"/>
    <w:rsid w:val="009B7AD6"/>
    <w:rsid w:val="009D64EC"/>
    <w:rsid w:val="009F48B6"/>
    <w:rsid w:val="009F5DAC"/>
    <w:rsid w:val="00A07DC8"/>
    <w:rsid w:val="00A12696"/>
    <w:rsid w:val="00A16DFF"/>
    <w:rsid w:val="00A16F87"/>
    <w:rsid w:val="00A179A9"/>
    <w:rsid w:val="00A40259"/>
    <w:rsid w:val="00A445CE"/>
    <w:rsid w:val="00A46785"/>
    <w:rsid w:val="00A473BA"/>
    <w:rsid w:val="00A47671"/>
    <w:rsid w:val="00A5507B"/>
    <w:rsid w:val="00A64E38"/>
    <w:rsid w:val="00A679DF"/>
    <w:rsid w:val="00A74F43"/>
    <w:rsid w:val="00A817F6"/>
    <w:rsid w:val="00A822AF"/>
    <w:rsid w:val="00A8265C"/>
    <w:rsid w:val="00AF236F"/>
    <w:rsid w:val="00AF51B7"/>
    <w:rsid w:val="00AF5F5A"/>
    <w:rsid w:val="00AF6AA4"/>
    <w:rsid w:val="00B03761"/>
    <w:rsid w:val="00B0389B"/>
    <w:rsid w:val="00B077DF"/>
    <w:rsid w:val="00B07F77"/>
    <w:rsid w:val="00B16F6F"/>
    <w:rsid w:val="00B20E3C"/>
    <w:rsid w:val="00B2326D"/>
    <w:rsid w:val="00B33DC5"/>
    <w:rsid w:val="00B35E51"/>
    <w:rsid w:val="00B37898"/>
    <w:rsid w:val="00B4127D"/>
    <w:rsid w:val="00B465BB"/>
    <w:rsid w:val="00B521F2"/>
    <w:rsid w:val="00B54EED"/>
    <w:rsid w:val="00B6123D"/>
    <w:rsid w:val="00B64A0D"/>
    <w:rsid w:val="00B65E69"/>
    <w:rsid w:val="00B84947"/>
    <w:rsid w:val="00B873AB"/>
    <w:rsid w:val="00B87E40"/>
    <w:rsid w:val="00B9218C"/>
    <w:rsid w:val="00B97251"/>
    <w:rsid w:val="00BA012E"/>
    <w:rsid w:val="00BA4E1B"/>
    <w:rsid w:val="00BC6BD7"/>
    <w:rsid w:val="00BD51AD"/>
    <w:rsid w:val="00BF4922"/>
    <w:rsid w:val="00BF70C0"/>
    <w:rsid w:val="00C35039"/>
    <w:rsid w:val="00C437E8"/>
    <w:rsid w:val="00C456FB"/>
    <w:rsid w:val="00C507C2"/>
    <w:rsid w:val="00C51197"/>
    <w:rsid w:val="00C51592"/>
    <w:rsid w:val="00C55675"/>
    <w:rsid w:val="00C60FC1"/>
    <w:rsid w:val="00C81337"/>
    <w:rsid w:val="00CB1C81"/>
    <w:rsid w:val="00CB56FA"/>
    <w:rsid w:val="00CC32D7"/>
    <w:rsid w:val="00CC4C66"/>
    <w:rsid w:val="00CC52B9"/>
    <w:rsid w:val="00CD59E0"/>
    <w:rsid w:val="00CD6F15"/>
    <w:rsid w:val="00CF5802"/>
    <w:rsid w:val="00CF7E3D"/>
    <w:rsid w:val="00D00451"/>
    <w:rsid w:val="00D00679"/>
    <w:rsid w:val="00D06253"/>
    <w:rsid w:val="00D238C8"/>
    <w:rsid w:val="00D522DE"/>
    <w:rsid w:val="00D656FA"/>
    <w:rsid w:val="00D7427E"/>
    <w:rsid w:val="00D76394"/>
    <w:rsid w:val="00D859D5"/>
    <w:rsid w:val="00D9040A"/>
    <w:rsid w:val="00D92D17"/>
    <w:rsid w:val="00DA2A7B"/>
    <w:rsid w:val="00DA2B3B"/>
    <w:rsid w:val="00DA5B68"/>
    <w:rsid w:val="00DB14D9"/>
    <w:rsid w:val="00DC6D30"/>
    <w:rsid w:val="00DD15BD"/>
    <w:rsid w:val="00DD7999"/>
    <w:rsid w:val="00DE425C"/>
    <w:rsid w:val="00DE7485"/>
    <w:rsid w:val="00E0591B"/>
    <w:rsid w:val="00E062BB"/>
    <w:rsid w:val="00E27762"/>
    <w:rsid w:val="00E3122E"/>
    <w:rsid w:val="00E43351"/>
    <w:rsid w:val="00E47C1B"/>
    <w:rsid w:val="00E87AF2"/>
    <w:rsid w:val="00E91F2D"/>
    <w:rsid w:val="00E965CA"/>
    <w:rsid w:val="00EA0503"/>
    <w:rsid w:val="00EA2ED6"/>
    <w:rsid w:val="00EA43AF"/>
    <w:rsid w:val="00EA47E7"/>
    <w:rsid w:val="00EE4B7D"/>
    <w:rsid w:val="00EF3708"/>
    <w:rsid w:val="00F05C92"/>
    <w:rsid w:val="00F130A9"/>
    <w:rsid w:val="00F23A09"/>
    <w:rsid w:val="00F34784"/>
    <w:rsid w:val="00F35843"/>
    <w:rsid w:val="00F50A64"/>
    <w:rsid w:val="00F7288D"/>
    <w:rsid w:val="00F83B1B"/>
    <w:rsid w:val="00F935B4"/>
    <w:rsid w:val="00FA65B2"/>
    <w:rsid w:val="00FC01A2"/>
    <w:rsid w:val="00FC305F"/>
    <w:rsid w:val="00FC3A02"/>
    <w:rsid w:val="00FC40F0"/>
    <w:rsid w:val="00FE0CA8"/>
    <w:rsid w:val="00FF2407"/>
    <w:rsid w:val="00FF3E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7ED3F"/>
  <w15:chartTrackingRefBased/>
  <w15:docId w15:val="{2D0F39CF-763C-493A-A880-F90F699F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1C28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28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28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28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28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28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8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8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8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8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28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8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8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8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8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8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8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854"/>
    <w:rPr>
      <w:rFonts w:eastAsiaTheme="majorEastAsia" w:cstheme="majorBidi"/>
      <w:color w:val="272727" w:themeColor="text1" w:themeTint="D8"/>
    </w:rPr>
  </w:style>
  <w:style w:type="paragraph" w:styleId="Title">
    <w:name w:val="Title"/>
    <w:basedOn w:val="Normal"/>
    <w:next w:val="Normal"/>
    <w:link w:val="TitleChar"/>
    <w:uiPriority w:val="10"/>
    <w:qFormat/>
    <w:rsid w:val="001C2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8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8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854"/>
    <w:pPr>
      <w:spacing w:before="160"/>
      <w:jc w:val="center"/>
    </w:pPr>
    <w:rPr>
      <w:i/>
      <w:iCs/>
      <w:color w:val="404040" w:themeColor="text1" w:themeTint="BF"/>
    </w:rPr>
  </w:style>
  <w:style w:type="character" w:customStyle="1" w:styleId="QuoteChar">
    <w:name w:val="Quote Char"/>
    <w:basedOn w:val="DefaultParagraphFont"/>
    <w:link w:val="Quote"/>
    <w:uiPriority w:val="29"/>
    <w:rsid w:val="001C2854"/>
    <w:rPr>
      <w:i/>
      <w:iCs/>
      <w:color w:val="404040" w:themeColor="text1" w:themeTint="BF"/>
    </w:rPr>
  </w:style>
  <w:style w:type="paragraph" w:styleId="ListParagraph">
    <w:name w:val="List Paragraph"/>
    <w:basedOn w:val="Normal"/>
    <w:uiPriority w:val="34"/>
    <w:qFormat/>
    <w:rsid w:val="001C2854"/>
    <w:pPr>
      <w:ind w:left="720"/>
      <w:contextualSpacing/>
    </w:pPr>
  </w:style>
  <w:style w:type="character" w:styleId="IntenseEmphasis">
    <w:name w:val="Intense Emphasis"/>
    <w:basedOn w:val="DefaultParagraphFont"/>
    <w:uiPriority w:val="21"/>
    <w:qFormat/>
    <w:rsid w:val="001C2854"/>
    <w:rPr>
      <w:i/>
      <w:iCs/>
      <w:color w:val="0F4761" w:themeColor="accent1" w:themeShade="BF"/>
    </w:rPr>
  </w:style>
  <w:style w:type="paragraph" w:styleId="IntenseQuote">
    <w:name w:val="Intense Quote"/>
    <w:basedOn w:val="Normal"/>
    <w:next w:val="Normal"/>
    <w:link w:val="IntenseQuoteChar"/>
    <w:uiPriority w:val="30"/>
    <w:qFormat/>
    <w:rsid w:val="001C2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854"/>
    <w:rPr>
      <w:i/>
      <w:iCs/>
      <w:color w:val="0F4761" w:themeColor="accent1" w:themeShade="BF"/>
    </w:rPr>
  </w:style>
  <w:style w:type="character" w:styleId="IntenseReference">
    <w:name w:val="Intense Reference"/>
    <w:basedOn w:val="DefaultParagraphFont"/>
    <w:uiPriority w:val="32"/>
    <w:qFormat/>
    <w:rsid w:val="001C2854"/>
    <w:rPr>
      <w:b/>
      <w:bCs/>
      <w:smallCaps/>
      <w:color w:val="0F4761" w:themeColor="accent1" w:themeShade="BF"/>
      <w:spacing w:val="5"/>
    </w:rPr>
  </w:style>
  <w:style w:type="paragraph" w:styleId="Header">
    <w:name w:val="header"/>
    <w:basedOn w:val="Normal"/>
    <w:link w:val="HeaderChar"/>
    <w:uiPriority w:val="99"/>
    <w:unhideWhenUsed/>
    <w:rsid w:val="002F2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535"/>
  </w:style>
  <w:style w:type="paragraph" w:styleId="Footer">
    <w:name w:val="footer"/>
    <w:basedOn w:val="Normal"/>
    <w:link w:val="FooterChar"/>
    <w:uiPriority w:val="99"/>
    <w:unhideWhenUsed/>
    <w:rsid w:val="002F2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535"/>
  </w:style>
  <w:style w:type="character" w:styleId="CommentReference">
    <w:name w:val="annotation reference"/>
    <w:basedOn w:val="DefaultParagraphFont"/>
    <w:uiPriority w:val="99"/>
    <w:semiHidden/>
    <w:unhideWhenUsed/>
    <w:rsid w:val="00EA43AF"/>
    <w:rPr>
      <w:sz w:val="16"/>
      <w:szCs w:val="16"/>
    </w:rPr>
  </w:style>
  <w:style w:type="paragraph" w:styleId="CommentText">
    <w:name w:val="annotation text"/>
    <w:basedOn w:val="Normal"/>
    <w:link w:val="CommentTextChar"/>
    <w:uiPriority w:val="99"/>
    <w:semiHidden/>
    <w:unhideWhenUsed/>
    <w:rsid w:val="00EA43AF"/>
    <w:pPr>
      <w:spacing w:line="240" w:lineRule="auto"/>
    </w:pPr>
    <w:rPr>
      <w:sz w:val="20"/>
      <w:szCs w:val="20"/>
    </w:rPr>
  </w:style>
  <w:style w:type="character" w:customStyle="1" w:styleId="CommentTextChar">
    <w:name w:val="Comment Text Char"/>
    <w:basedOn w:val="DefaultParagraphFont"/>
    <w:link w:val="CommentText"/>
    <w:uiPriority w:val="99"/>
    <w:semiHidden/>
    <w:rsid w:val="00EA43AF"/>
    <w:rPr>
      <w:sz w:val="20"/>
      <w:szCs w:val="20"/>
    </w:rPr>
  </w:style>
  <w:style w:type="paragraph" w:styleId="CommentSubject">
    <w:name w:val="annotation subject"/>
    <w:basedOn w:val="CommentText"/>
    <w:next w:val="CommentText"/>
    <w:link w:val="CommentSubjectChar"/>
    <w:uiPriority w:val="99"/>
    <w:semiHidden/>
    <w:unhideWhenUsed/>
    <w:rsid w:val="00EA43AF"/>
    <w:rPr>
      <w:b/>
      <w:bCs/>
    </w:rPr>
  </w:style>
  <w:style w:type="character" w:customStyle="1" w:styleId="CommentSubjectChar">
    <w:name w:val="Comment Subject Char"/>
    <w:basedOn w:val="CommentTextChar"/>
    <w:link w:val="CommentSubject"/>
    <w:uiPriority w:val="99"/>
    <w:semiHidden/>
    <w:rsid w:val="00EA43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40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1186</TotalTime>
  <Pages>7</Pages>
  <Words>2781</Words>
  <Characters>14346</Characters>
  <Application>Microsoft Office Word</Application>
  <DocSecurity>0</DocSecurity>
  <Lines>209</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JA</cp:lastModifiedBy>
  <cp:revision>246</cp:revision>
  <dcterms:created xsi:type="dcterms:W3CDTF">2024-07-17T08:15:00Z</dcterms:created>
  <dcterms:modified xsi:type="dcterms:W3CDTF">2024-08-01T14:44:00Z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bd9c78e3bad9a4131f695aef9a434e50958317daad67066fa343e1955c66cb30</vt:lpwstr>
  </property>
</Properties>
</file>