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2"/>
        <w:gridCol w:w="812"/>
        <w:gridCol w:w="811"/>
        <w:gridCol w:w="1623"/>
        <w:gridCol w:w="1622"/>
        <w:gridCol w:w="812"/>
        <w:gridCol w:w="811"/>
        <w:gridCol w:w="1623"/>
      </w:tblGrid>
      <w:tr w:rsidR="00C03E74" w14:paraId="2EEE15D4" w14:textId="77777777">
        <w:tc>
          <w:tcPr>
            <w:tcW w:w="9736" w:type="dxa"/>
            <w:gridSpan w:val="8"/>
            <w:vAlign w:val="center"/>
          </w:tcPr>
          <w:p w14:paraId="59C9D49B" w14:textId="77777777" w:rsidR="00C03E74" w:rsidRPr="00096176" w:rsidRDefault="00567FE3" w:rsidP="00AD6B24">
            <w:pPr>
              <w:jc w:val="center"/>
              <w:rPr>
                <w:rFonts w:ascii="Arial" w:hAnsi="Arial"/>
                <w:b/>
                <w:bCs/>
                <w:sz w:val="26"/>
                <w:szCs w:val="26"/>
                <w:rtl/>
              </w:rPr>
            </w:pPr>
            <w:r>
              <w:rPr>
                <w:rFonts w:ascii="Arial" w:hAnsi="Arial"/>
                <w:b/>
                <w:bCs/>
                <w:sz w:val="26"/>
                <w:szCs w:val="26"/>
              </w:rPr>
              <w:t>SOCIAL CHANGE DOMAIN</w:t>
            </w:r>
          </w:p>
        </w:tc>
      </w:tr>
      <w:tr w:rsidR="00C03E74" w14:paraId="5E6CBE19" w14:textId="77777777" w:rsidTr="00626BF8">
        <w:trPr>
          <w:trHeight w:hRule="exact" w:val="397"/>
        </w:trPr>
        <w:tc>
          <w:tcPr>
            <w:tcW w:w="9736" w:type="dxa"/>
            <w:gridSpan w:val="8"/>
            <w:shd w:val="clear" w:color="auto" w:fill="D9D9D9"/>
            <w:vAlign w:val="center"/>
          </w:tcPr>
          <w:p w14:paraId="7EC81F7B" w14:textId="77777777" w:rsidR="00C03E74" w:rsidRPr="00C24E99" w:rsidRDefault="00C03E74" w:rsidP="00626BF8">
            <w:pPr>
              <w:bidi w:val="0"/>
              <w:spacing w:after="0" w:line="276" w:lineRule="auto"/>
              <w:jc w:val="center"/>
              <w:rPr>
                <w:rFonts w:ascii="Arial" w:hAnsi="Arial"/>
                <w:b/>
                <w:bCs/>
              </w:rPr>
            </w:pPr>
            <w:r>
              <w:rPr>
                <w:rFonts w:ascii="Arial" w:hAnsi="Arial"/>
                <w:b/>
                <w:bCs/>
              </w:rPr>
              <w:t>STRATEGIES</w:t>
            </w:r>
          </w:p>
        </w:tc>
      </w:tr>
      <w:tr w:rsidR="00C03E74" w14:paraId="3B3AEC7E" w14:textId="77777777">
        <w:tc>
          <w:tcPr>
            <w:tcW w:w="1622" w:type="dxa"/>
          </w:tcPr>
          <w:p w14:paraId="0CC5AE0F" w14:textId="77777777" w:rsidR="00C03E74" w:rsidRPr="00626BF8" w:rsidRDefault="00C03E74" w:rsidP="00626BF8">
            <w:pPr>
              <w:bidi w:val="0"/>
              <w:spacing w:after="0" w:line="276" w:lineRule="auto"/>
              <w:jc w:val="center"/>
              <w:rPr>
                <w:rFonts w:ascii="Arial" w:hAnsi="Arial"/>
                <w:sz w:val="20"/>
                <w:szCs w:val="20"/>
              </w:rPr>
            </w:pPr>
            <w:r w:rsidRPr="00626BF8">
              <w:rPr>
                <w:rFonts w:ascii="Arial" w:hAnsi="Arial"/>
                <w:sz w:val="20"/>
                <w:szCs w:val="20"/>
                <w:lang w:bidi="he"/>
              </w:rPr>
              <w:t xml:space="preserve">Safeguarding Civil Society and Activists: The Civil Society Protection Hub Ensuring </w:t>
            </w:r>
          </w:p>
        </w:tc>
        <w:tc>
          <w:tcPr>
            <w:tcW w:w="1623" w:type="dxa"/>
            <w:gridSpan w:val="2"/>
          </w:tcPr>
          <w:p w14:paraId="16B33B49" w14:textId="77777777" w:rsidR="00C03E74" w:rsidRPr="00626BF8" w:rsidRDefault="00C03E74" w:rsidP="00626BF8">
            <w:pPr>
              <w:bidi w:val="0"/>
              <w:spacing w:after="0" w:line="276" w:lineRule="auto"/>
              <w:jc w:val="center"/>
              <w:rPr>
                <w:rFonts w:ascii="Arial" w:hAnsi="Arial"/>
                <w:sz w:val="20"/>
                <w:szCs w:val="20"/>
              </w:rPr>
            </w:pPr>
            <w:r w:rsidRPr="00626BF8">
              <w:rPr>
                <w:rFonts w:ascii="Arial" w:hAnsi="Arial"/>
                <w:sz w:val="20"/>
                <w:szCs w:val="20"/>
              </w:rPr>
              <w:t>Advancing Religious Freedom and Fighting Religious Extremism</w:t>
            </w:r>
          </w:p>
        </w:tc>
        <w:tc>
          <w:tcPr>
            <w:tcW w:w="1623" w:type="dxa"/>
          </w:tcPr>
          <w:p w14:paraId="74F61E15" w14:textId="77777777" w:rsidR="00C03E74" w:rsidRPr="00626BF8" w:rsidRDefault="00C03E74" w:rsidP="00626BF8">
            <w:pPr>
              <w:bidi w:val="0"/>
              <w:spacing w:after="0" w:line="276" w:lineRule="auto"/>
              <w:jc w:val="center"/>
              <w:rPr>
                <w:rFonts w:ascii="Arial" w:hAnsi="Arial"/>
                <w:sz w:val="20"/>
                <w:szCs w:val="20"/>
              </w:rPr>
            </w:pPr>
            <w:r w:rsidRPr="00626BF8">
              <w:rPr>
                <w:rFonts w:ascii="Arial" w:hAnsi="Arial"/>
                <w:sz w:val="20"/>
                <w:szCs w:val="20"/>
              </w:rPr>
              <w:t>Combating Crime &amp; Violence in Palestinian Israeli Society</w:t>
            </w:r>
          </w:p>
        </w:tc>
        <w:tc>
          <w:tcPr>
            <w:tcW w:w="1622" w:type="dxa"/>
          </w:tcPr>
          <w:p w14:paraId="20ECFF2C" w14:textId="77777777" w:rsidR="00C03E74" w:rsidRPr="00626BF8" w:rsidRDefault="00C03E74" w:rsidP="00626BF8">
            <w:pPr>
              <w:bidi w:val="0"/>
              <w:spacing w:after="0" w:line="276" w:lineRule="auto"/>
              <w:jc w:val="center"/>
              <w:rPr>
                <w:rFonts w:ascii="Arial" w:hAnsi="Arial"/>
                <w:sz w:val="20"/>
                <w:szCs w:val="20"/>
              </w:rPr>
            </w:pPr>
            <w:r w:rsidRPr="00626BF8">
              <w:rPr>
                <w:rFonts w:ascii="Arial" w:hAnsi="Arial"/>
                <w:sz w:val="20"/>
                <w:szCs w:val="20"/>
              </w:rPr>
              <w:t>Strengthening Anti-Racism Initiatives &amp; Organizations</w:t>
            </w:r>
          </w:p>
        </w:tc>
        <w:tc>
          <w:tcPr>
            <w:tcW w:w="1623" w:type="dxa"/>
            <w:gridSpan w:val="2"/>
          </w:tcPr>
          <w:p w14:paraId="3F05F1E8" w14:textId="77777777" w:rsidR="00C03E74" w:rsidRPr="00626BF8" w:rsidRDefault="00C03E74" w:rsidP="00626BF8">
            <w:pPr>
              <w:bidi w:val="0"/>
              <w:spacing w:after="0" w:line="276" w:lineRule="auto"/>
              <w:jc w:val="center"/>
              <w:rPr>
                <w:rFonts w:ascii="Arial" w:hAnsi="Arial"/>
                <w:sz w:val="20"/>
                <w:szCs w:val="20"/>
              </w:rPr>
            </w:pPr>
            <w:r w:rsidRPr="00626BF8">
              <w:rPr>
                <w:rFonts w:ascii="Arial" w:hAnsi="Arial"/>
                <w:sz w:val="20"/>
                <w:szCs w:val="20"/>
              </w:rPr>
              <w:t xml:space="preserve">Fighting the Occupation </w:t>
            </w:r>
          </w:p>
        </w:tc>
        <w:tc>
          <w:tcPr>
            <w:tcW w:w="1623" w:type="dxa"/>
          </w:tcPr>
          <w:p w14:paraId="621E3097" w14:textId="77777777" w:rsidR="00C03E74" w:rsidRPr="00626BF8" w:rsidRDefault="00C03E74" w:rsidP="00626BF8">
            <w:pPr>
              <w:bidi w:val="0"/>
              <w:spacing w:after="0" w:line="276" w:lineRule="auto"/>
              <w:jc w:val="center"/>
              <w:rPr>
                <w:rFonts w:ascii="Arial" w:hAnsi="Arial"/>
                <w:sz w:val="20"/>
                <w:szCs w:val="20"/>
              </w:rPr>
            </w:pPr>
            <w:r w:rsidRPr="00626BF8">
              <w:rPr>
                <w:rFonts w:ascii="Arial" w:hAnsi="Arial"/>
                <w:sz w:val="20"/>
                <w:szCs w:val="20"/>
              </w:rPr>
              <w:t>Promoting Shared Society</w:t>
            </w:r>
          </w:p>
        </w:tc>
      </w:tr>
      <w:tr w:rsidR="00C03E74" w14:paraId="23B09756" w14:textId="77777777">
        <w:tc>
          <w:tcPr>
            <w:tcW w:w="2434" w:type="dxa"/>
            <w:gridSpan w:val="2"/>
          </w:tcPr>
          <w:p w14:paraId="5E8F7D3B" w14:textId="77777777" w:rsidR="00C03E74" w:rsidRPr="00626BF8" w:rsidRDefault="00C03E74" w:rsidP="00626BF8">
            <w:pPr>
              <w:bidi w:val="0"/>
              <w:spacing w:after="0" w:line="276" w:lineRule="auto"/>
              <w:jc w:val="center"/>
              <w:rPr>
                <w:rFonts w:ascii="Arial" w:hAnsi="Arial"/>
                <w:sz w:val="20"/>
                <w:szCs w:val="20"/>
              </w:rPr>
            </w:pPr>
            <w:r w:rsidRPr="00626BF8">
              <w:rPr>
                <w:rFonts w:ascii="Arial" w:hAnsi="Arial"/>
                <w:sz w:val="20"/>
                <w:szCs w:val="20"/>
              </w:rPr>
              <w:t>Advancing Equity in Land, Planning &amp; Housing</w:t>
            </w:r>
          </w:p>
        </w:tc>
        <w:tc>
          <w:tcPr>
            <w:tcW w:w="2434" w:type="dxa"/>
            <w:gridSpan w:val="2"/>
            <w:shd w:val="clear" w:color="auto" w:fill="B4C6E7"/>
          </w:tcPr>
          <w:p w14:paraId="41C42A02" w14:textId="77777777" w:rsidR="00C03E74" w:rsidRPr="00626BF8" w:rsidRDefault="00C03E74" w:rsidP="00626BF8">
            <w:pPr>
              <w:bidi w:val="0"/>
              <w:spacing w:after="0" w:line="276" w:lineRule="auto"/>
              <w:jc w:val="center"/>
              <w:rPr>
                <w:rFonts w:ascii="Arial" w:hAnsi="Arial"/>
                <w:b/>
                <w:bCs/>
                <w:sz w:val="20"/>
                <w:szCs w:val="20"/>
              </w:rPr>
            </w:pPr>
            <w:bookmarkStart w:id="0" w:name="_Hlk142977477"/>
            <w:r w:rsidRPr="00626BF8">
              <w:rPr>
                <w:rFonts w:ascii="Arial" w:hAnsi="Arial"/>
                <w:b/>
                <w:bCs/>
                <w:sz w:val="20"/>
                <w:szCs w:val="20"/>
              </w:rPr>
              <w:t>Strengthening Gender Equality NGOs</w:t>
            </w:r>
            <w:bookmarkEnd w:id="0"/>
          </w:p>
        </w:tc>
        <w:tc>
          <w:tcPr>
            <w:tcW w:w="2434" w:type="dxa"/>
            <w:gridSpan w:val="2"/>
          </w:tcPr>
          <w:p w14:paraId="1D8C65F2" w14:textId="77777777" w:rsidR="00C03E74" w:rsidRPr="00626BF8" w:rsidRDefault="00C03E74" w:rsidP="00626BF8">
            <w:pPr>
              <w:bidi w:val="0"/>
              <w:spacing w:after="0" w:line="276" w:lineRule="auto"/>
              <w:jc w:val="center"/>
              <w:rPr>
                <w:rFonts w:ascii="Arial" w:hAnsi="Arial"/>
                <w:sz w:val="20"/>
                <w:szCs w:val="20"/>
              </w:rPr>
            </w:pPr>
            <w:r w:rsidRPr="00626BF8">
              <w:rPr>
                <w:rFonts w:ascii="Arial" w:hAnsi="Arial"/>
                <w:sz w:val="20"/>
                <w:szCs w:val="20"/>
              </w:rPr>
              <w:t>Safeguarding Human &amp; Civil Rights</w:t>
            </w:r>
          </w:p>
        </w:tc>
        <w:tc>
          <w:tcPr>
            <w:tcW w:w="2434" w:type="dxa"/>
            <w:gridSpan w:val="2"/>
          </w:tcPr>
          <w:p w14:paraId="2E2FB8E0" w14:textId="77777777" w:rsidR="00C03E74" w:rsidRPr="00626BF8" w:rsidRDefault="00C03E74" w:rsidP="00626BF8">
            <w:pPr>
              <w:bidi w:val="0"/>
              <w:spacing w:after="0" w:line="276" w:lineRule="auto"/>
              <w:jc w:val="center"/>
              <w:rPr>
                <w:rFonts w:ascii="Arial" w:hAnsi="Arial"/>
                <w:sz w:val="20"/>
                <w:szCs w:val="20"/>
              </w:rPr>
            </w:pPr>
            <w:r w:rsidRPr="00626BF8">
              <w:rPr>
                <w:rFonts w:ascii="Arial" w:hAnsi="Arial"/>
                <w:sz w:val="20"/>
                <w:szCs w:val="20"/>
              </w:rPr>
              <w:t>Strengthening Palestinian-Israeli Society</w:t>
            </w:r>
          </w:p>
          <w:p w14:paraId="77D4398C" w14:textId="77777777" w:rsidR="00C03E74" w:rsidRPr="00626BF8" w:rsidRDefault="00C03E74" w:rsidP="00626BF8">
            <w:pPr>
              <w:spacing w:after="0" w:line="276" w:lineRule="auto"/>
              <w:rPr>
                <w:rFonts w:ascii="Arial" w:hAnsi="Arial"/>
                <w:sz w:val="20"/>
                <w:szCs w:val="20"/>
              </w:rPr>
            </w:pPr>
          </w:p>
        </w:tc>
      </w:tr>
      <w:tr w:rsidR="00C03E74" w:rsidRPr="009C6201" w14:paraId="1D4432E5" w14:textId="77777777" w:rsidTr="001911B3">
        <w:tc>
          <w:tcPr>
            <w:tcW w:w="9736" w:type="dxa"/>
            <w:gridSpan w:val="8"/>
          </w:tcPr>
          <w:p w14:paraId="48AA923D" w14:textId="77777777" w:rsidR="00CC7616" w:rsidRPr="009C6201" w:rsidRDefault="00CC7616" w:rsidP="00626BF8">
            <w:pPr>
              <w:bidi w:val="0"/>
              <w:spacing w:after="0" w:line="276" w:lineRule="auto"/>
              <w:rPr>
                <w:rFonts w:ascii="Arial" w:hAnsi="Arial"/>
                <w:sz w:val="16"/>
                <w:szCs w:val="16"/>
                <w:highlight w:val="yellow"/>
              </w:rPr>
            </w:pPr>
          </w:p>
          <w:p w14:paraId="52B8F963" w14:textId="77777777" w:rsidR="00C03E74" w:rsidRPr="009C6201" w:rsidRDefault="004245C2" w:rsidP="00626BF8">
            <w:pPr>
              <w:bidi w:val="0"/>
              <w:spacing w:after="0" w:line="276" w:lineRule="auto"/>
              <w:jc w:val="center"/>
              <w:rPr>
                <w:rFonts w:ascii="Arial" w:hAnsi="Arial"/>
                <w:sz w:val="16"/>
                <w:szCs w:val="16"/>
                <w:highlight w:val="yellow"/>
              </w:rPr>
            </w:pPr>
            <w:r w:rsidRPr="009C6201">
              <w:rPr>
                <w:noProof/>
                <w:highlight w:val="yellow"/>
              </w:rPr>
              <w:object w:dxaOrig="7220" w:dyaOrig="4340" w14:anchorId="086A7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alt="" style="width:361.1pt;height:217.1pt;visibility:visible;mso-width-percent:0;mso-height-percent:0;mso-width-percent:0;mso-height-percent:0" o:ole="">
                  <v:imagedata r:id="rId8" o:title=""/>
                  <o:lock v:ext="edit" aspectratio="f"/>
                </v:shape>
                <o:OLEObject Type="Embed" ProgID="Excel.Sheet.8" ShapeID="Chart 1" DrawAspect="Content" ObjectID="_1786179178" r:id="rId9">
                  <o:FieldCodes>\s</o:FieldCodes>
                </o:OLEObject>
              </w:object>
            </w:r>
          </w:p>
        </w:tc>
      </w:tr>
      <w:tr w:rsidR="00C03E74" w14:paraId="587740D2" w14:textId="77777777">
        <w:tc>
          <w:tcPr>
            <w:tcW w:w="9736" w:type="dxa"/>
            <w:gridSpan w:val="8"/>
          </w:tcPr>
          <w:p w14:paraId="5C612C31" w14:textId="77777777" w:rsidR="00C03E74" w:rsidRDefault="00C03E74" w:rsidP="00626BF8">
            <w:pPr>
              <w:bidi w:val="0"/>
              <w:spacing w:after="0" w:line="276" w:lineRule="auto"/>
              <w:rPr>
                <w:rFonts w:ascii="Arial" w:hAnsi="Arial"/>
                <w:bCs/>
                <w:sz w:val="20"/>
                <w:szCs w:val="20"/>
                <w:lang w:bidi="he"/>
              </w:rPr>
            </w:pPr>
            <w:r>
              <w:rPr>
                <w:rFonts w:ascii="Arial" w:hAnsi="Arial"/>
                <w:b/>
                <w:bCs/>
                <w:sz w:val="20"/>
                <w:szCs w:val="20"/>
              </w:rPr>
              <w:t xml:space="preserve">The organization was established in: </w:t>
            </w:r>
            <w:r>
              <w:rPr>
                <w:rFonts w:ascii="Arial" w:hAnsi="Arial"/>
                <w:bCs/>
                <w:sz w:val="20"/>
                <w:szCs w:val="20"/>
                <w:lang w:bidi="he"/>
              </w:rPr>
              <w:t>1984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000" w:firstRow="0" w:lastRow="0" w:firstColumn="0" w:lastColumn="0" w:noHBand="0" w:noVBand="0"/>
            </w:tblPr>
            <w:tblGrid>
              <w:gridCol w:w="1938"/>
              <w:gridCol w:w="2327"/>
            </w:tblGrid>
            <w:tr w:rsidR="00C03E74" w14:paraId="1EA36640" w14:textId="77777777" w:rsidTr="00626BF8">
              <w:trPr>
                <w:trHeight w:hRule="exact" w:val="397"/>
                <w:jc w:val="center"/>
              </w:trPr>
              <w:tc>
                <w:tcPr>
                  <w:tcW w:w="1938"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14:paraId="16E94C10" w14:textId="77777777" w:rsidR="00C03E74" w:rsidRPr="00C24E99" w:rsidRDefault="00C03E74" w:rsidP="00626BF8">
                  <w:pPr>
                    <w:bidi w:val="0"/>
                    <w:spacing w:after="0" w:line="276" w:lineRule="auto"/>
                    <w:jc w:val="center"/>
                    <w:rPr>
                      <w:rFonts w:ascii="Arial" w:hAnsi="Arial"/>
                      <w:b/>
                      <w:sz w:val="20"/>
                      <w:szCs w:val="20"/>
                    </w:rPr>
                  </w:pPr>
                  <w:r>
                    <w:rPr>
                      <w:rFonts w:ascii="Arial" w:hAnsi="Arial"/>
                      <w:b/>
                      <w:sz w:val="20"/>
                      <w:szCs w:val="20"/>
                    </w:rPr>
                    <w:t>NIF Funding Type</w:t>
                  </w:r>
                </w:p>
              </w:tc>
              <w:tc>
                <w:tcPr>
                  <w:tcW w:w="23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17C9BF" w14:textId="77777777" w:rsidR="00C03E74" w:rsidRPr="00C24E99" w:rsidRDefault="00C03E74" w:rsidP="00626BF8">
                  <w:pPr>
                    <w:bidi w:val="0"/>
                    <w:spacing w:after="0" w:line="276" w:lineRule="auto"/>
                    <w:jc w:val="center"/>
                    <w:rPr>
                      <w:rFonts w:ascii="Arial" w:hAnsi="Arial"/>
                      <w:b/>
                      <w:sz w:val="20"/>
                      <w:szCs w:val="20"/>
                    </w:rPr>
                  </w:pPr>
                  <w:r>
                    <w:rPr>
                      <w:rFonts w:ascii="Arial" w:hAnsi="Arial"/>
                      <w:b/>
                      <w:sz w:val="20"/>
                      <w:szCs w:val="20"/>
                    </w:rPr>
                    <w:t>Past Years of Support</w:t>
                  </w:r>
                </w:p>
              </w:tc>
            </w:tr>
            <w:tr w:rsidR="00C03E74" w14:paraId="4C65C1EC" w14:textId="77777777" w:rsidTr="00626BF8">
              <w:trPr>
                <w:trHeight w:hRule="exact" w:val="397"/>
                <w:jc w:val="center"/>
              </w:trPr>
              <w:tc>
                <w:tcPr>
                  <w:tcW w:w="1938"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14:paraId="7D96721F" w14:textId="77777777" w:rsidR="00C03E74" w:rsidRPr="00626BF8" w:rsidRDefault="00C03E74" w:rsidP="00626BF8">
                  <w:pPr>
                    <w:bidi w:val="0"/>
                    <w:spacing w:after="0" w:line="276" w:lineRule="auto"/>
                    <w:jc w:val="center"/>
                    <w:rPr>
                      <w:rFonts w:ascii="Arial" w:hAnsi="Arial"/>
                      <w:bCs/>
                      <w:sz w:val="20"/>
                      <w:szCs w:val="20"/>
                    </w:rPr>
                  </w:pPr>
                  <w:r w:rsidRPr="00626BF8">
                    <w:rPr>
                      <w:rFonts w:ascii="Arial" w:hAnsi="Arial"/>
                      <w:bCs/>
                      <w:sz w:val="20"/>
                      <w:szCs w:val="20"/>
                    </w:rPr>
                    <w:t>General Support</w:t>
                  </w:r>
                </w:p>
              </w:tc>
              <w:tc>
                <w:tcPr>
                  <w:tcW w:w="232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A51D67" w14:textId="77777777" w:rsidR="00C03E74" w:rsidRPr="00626BF8" w:rsidRDefault="00C03E74" w:rsidP="00626BF8">
                  <w:pPr>
                    <w:bidi w:val="0"/>
                    <w:spacing w:after="0" w:line="276" w:lineRule="auto"/>
                    <w:jc w:val="center"/>
                    <w:rPr>
                      <w:rFonts w:ascii="Arial" w:hAnsi="Arial"/>
                      <w:bCs/>
                      <w:i/>
                      <w:iCs/>
                      <w:color w:val="00B050"/>
                      <w:sz w:val="16"/>
                      <w:szCs w:val="16"/>
                    </w:rPr>
                  </w:pPr>
                  <w:r w:rsidRPr="00626BF8">
                    <w:rPr>
                      <w:rFonts w:ascii="Arial" w:hAnsi="Arial"/>
                      <w:bCs/>
                      <w:sz w:val="20"/>
                      <w:szCs w:val="20"/>
                      <w:lang w:bidi="he"/>
                    </w:rPr>
                    <w:t>1986-2006, 2019-202</w:t>
                  </w:r>
                  <w:r w:rsidR="009C6201">
                    <w:rPr>
                      <w:rFonts w:ascii="Arial" w:hAnsi="Arial" w:hint="cs"/>
                      <w:bCs/>
                      <w:sz w:val="20"/>
                      <w:szCs w:val="20"/>
                      <w:rtl/>
                      <w:lang w:bidi="he"/>
                    </w:rPr>
                    <w:t>4</w:t>
                  </w:r>
                </w:p>
              </w:tc>
            </w:tr>
          </w:tbl>
          <w:p w14:paraId="76CD5BD7" w14:textId="77777777" w:rsidR="00C03E74" w:rsidRPr="001417AF" w:rsidRDefault="00C03E74" w:rsidP="00626BF8">
            <w:pPr>
              <w:bidi w:val="0"/>
              <w:spacing w:after="0" w:line="276" w:lineRule="auto"/>
              <w:rPr>
                <w:rFonts w:ascii="Arial" w:hAnsi="Arial"/>
                <w:sz w:val="20"/>
                <w:szCs w:val="20"/>
                <w:highlight w:val="yellow"/>
                <w:rtl/>
              </w:rPr>
            </w:pPr>
            <w:r w:rsidRPr="001417AF">
              <w:rPr>
                <w:rFonts w:ascii="Arial" w:hAnsi="Arial"/>
                <w:b/>
                <w:bCs/>
                <w:sz w:val="20"/>
                <w:szCs w:val="20"/>
                <w:highlight w:val="yellow"/>
              </w:rPr>
              <w:t>DA Support (in 202</w:t>
            </w:r>
            <w:r w:rsidR="009C6201" w:rsidRPr="001417AF">
              <w:rPr>
                <w:rFonts w:ascii="Arial" w:hAnsi="Arial" w:hint="cs"/>
                <w:b/>
                <w:bCs/>
                <w:sz w:val="20"/>
                <w:szCs w:val="20"/>
                <w:highlight w:val="yellow"/>
                <w:rtl/>
              </w:rPr>
              <w:t>3</w:t>
            </w:r>
            <w:r w:rsidRPr="001417AF">
              <w:rPr>
                <w:rFonts w:ascii="Arial" w:hAnsi="Arial"/>
                <w:b/>
                <w:bCs/>
                <w:sz w:val="20"/>
                <w:szCs w:val="20"/>
                <w:highlight w:val="yellow"/>
              </w:rPr>
              <w:t>):</w:t>
            </w:r>
            <w:r w:rsidRPr="001417AF">
              <w:rPr>
                <w:rFonts w:ascii="Arial" w:hAnsi="Arial"/>
                <w:sz w:val="20"/>
                <w:szCs w:val="20"/>
                <w:highlight w:val="yellow"/>
              </w:rPr>
              <w:t xml:space="preserve"> $125,835</w:t>
            </w:r>
          </w:p>
          <w:p w14:paraId="3F493088" w14:textId="77777777" w:rsidR="00C03E74" w:rsidRPr="001417AF" w:rsidRDefault="00C03E74" w:rsidP="00626BF8">
            <w:pPr>
              <w:bidi w:val="0"/>
              <w:spacing w:after="0" w:line="276" w:lineRule="auto"/>
              <w:rPr>
                <w:rFonts w:ascii="Arial" w:hAnsi="Arial"/>
                <w:sz w:val="20"/>
                <w:szCs w:val="20"/>
                <w:highlight w:val="yellow"/>
              </w:rPr>
            </w:pPr>
            <w:r w:rsidRPr="001417AF">
              <w:rPr>
                <w:rFonts w:ascii="Arial" w:hAnsi="Arial"/>
                <w:b/>
                <w:bCs/>
                <w:sz w:val="20"/>
                <w:szCs w:val="20"/>
                <w:highlight w:val="yellow"/>
              </w:rPr>
              <w:t>Rapid Response Support (in 202</w:t>
            </w:r>
            <w:r w:rsidR="001417AF" w:rsidRPr="001417AF">
              <w:rPr>
                <w:rFonts w:ascii="Arial" w:hAnsi="Arial" w:hint="cs"/>
                <w:b/>
                <w:bCs/>
                <w:sz w:val="20"/>
                <w:szCs w:val="20"/>
                <w:highlight w:val="yellow"/>
                <w:rtl/>
              </w:rPr>
              <w:t>3</w:t>
            </w:r>
            <w:r w:rsidRPr="001417AF">
              <w:rPr>
                <w:rFonts w:ascii="Arial" w:hAnsi="Arial"/>
                <w:b/>
                <w:bCs/>
                <w:sz w:val="20"/>
                <w:szCs w:val="20"/>
                <w:highlight w:val="yellow"/>
              </w:rPr>
              <w:t>/2</w:t>
            </w:r>
            <w:r w:rsidR="001417AF" w:rsidRPr="001417AF">
              <w:rPr>
                <w:rFonts w:ascii="Arial" w:hAnsi="Arial" w:hint="cs"/>
                <w:b/>
                <w:bCs/>
                <w:sz w:val="20"/>
                <w:szCs w:val="20"/>
                <w:highlight w:val="yellow"/>
                <w:rtl/>
              </w:rPr>
              <w:t>4</w:t>
            </w:r>
            <w:r w:rsidRPr="001417AF">
              <w:rPr>
                <w:rFonts w:ascii="Arial" w:hAnsi="Arial"/>
                <w:b/>
                <w:bCs/>
                <w:sz w:val="20"/>
                <w:szCs w:val="20"/>
                <w:highlight w:val="yellow"/>
              </w:rPr>
              <w:t>):</w:t>
            </w:r>
            <w:r w:rsidRPr="001417AF">
              <w:rPr>
                <w:rFonts w:ascii="Arial" w:hAnsi="Arial"/>
                <w:sz w:val="20"/>
                <w:szCs w:val="20"/>
                <w:highlight w:val="yellow"/>
              </w:rPr>
              <w:t xml:space="preserve"> $13,000</w:t>
            </w:r>
          </w:p>
          <w:p w14:paraId="75D79AC2" w14:textId="77777777" w:rsidR="00626BF8" w:rsidRPr="001417AF" w:rsidRDefault="00626BF8" w:rsidP="00626BF8">
            <w:pPr>
              <w:bidi w:val="0"/>
              <w:spacing w:after="0" w:line="276" w:lineRule="auto"/>
              <w:rPr>
                <w:rFonts w:ascii="Arial" w:hAnsi="Arial"/>
                <w:sz w:val="20"/>
                <w:szCs w:val="20"/>
                <w:highlight w:val="yellow"/>
              </w:rPr>
            </w:pPr>
          </w:p>
          <w:p w14:paraId="6B58FE02" w14:textId="77777777" w:rsidR="00C03E74" w:rsidRPr="001417AF" w:rsidRDefault="00C03E74" w:rsidP="00626BF8">
            <w:pPr>
              <w:bidi w:val="0"/>
              <w:spacing w:after="0" w:line="276" w:lineRule="auto"/>
              <w:rPr>
                <w:rFonts w:ascii="Arial" w:hAnsi="Arial"/>
                <w:sz w:val="20"/>
                <w:szCs w:val="20"/>
                <w:highlight w:val="yellow"/>
                <w:rtl/>
              </w:rPr>
            </w:pPr>
            <w:r w:rsidRPr="001417AF">
              <w:rPr>
                <w:rFonts w:ascii="Arial" w:hAnsi="Arial"/>
                <w:b/>
                <w:bCs/>
                <w:sz w:val="20"/>
                <w:szCs w:val="20"/>
                <w:highlight w:val="yellow"/>
              </w:rPr>
              <w:t xml:space="preserve">Link to Organizational Website: </w:t>
            </w:r>
            <w:hyperlink r:id="rId10" w:history="1">
              <w:r w:rsidRPr="001417AF">
                <w:rPr>
                  <w:rStyle w:val="Hyperlink"/>
                  <w:rFonts w:ascii="Arial" w:hAnsi="Arial" w:cs="Arial"/>
                  <w:sz w:val="20"/>
                  <w:szCs w:val="20"/>
                  <w:highlight w:val="yellow"/>
                </w:rPr>
                <w:t>https://iwn.org.il/</w:t>
              </w:r>
            </w:hyperlink>
          </w:p>
          <w:p w14:paraId="50158464" w14:textId="77777777" w:rsidR="00C03E74" w:rsidRPr="001417AF" w:rsidRDefault="00C03E74" w:rsidP="00626BF8">
            <w:pPr>
              <w:bidi w:val="0"/>
              <w:spacing w:after="0" w:line="276" w:lineRule="auto"/>
              <w:rPr>
                <w:rFonts w:ascii="Arial" w:hAnsi="Arial"/>
                <w:sz w:val="20"/>
                <w:szCs w:val="20"/>
                <w:highlight w:val="yellow"/>
              </w:rPr>
            </w:pPr>
            <w:r w:rsidRPr="001417AF">
              <w:rPr>
                <w:rFonts w:ascii="Arial" w:hAnsi="Arial"/>
                <w:b/>
                <w:bCs/>
                <w:sz w:val="20"/>
                <w:szCs w:val="20"/>
                <w:highlight w:val="yellow"/>
              </w:rPr>
              <w:t>Link to Proposal:</w:t>
            </w:r>
            <w:r w:rsidRPr="001417AF">
              <w:rPr>
                <w:rFonts w:ascii="Arial" w:hAnsi="Arial"/>
                <w:sz w:val="20"/>
                <w:szCs w:val="20"/>
                <w:highlight w:val="yellow"/>
              </w:rPr>
              <w:t xml:space="preserve"> </w:t>
            </w:r>
            <w:hyperlink r:id="rId11" w:history="1">
              <w:r w:rsidR="00616902" w:rsidRPr="001417AF">
                <w:rPr>
                  <w:rStyle w:val="Hyperlink"/>
                  <w:rFonts w:ascii="Arial" w:hAnsi="Arial" w:cs="Arial"/>
                  <w:sz w:val="20"/>
                  <w:szCs w:val="20"/>
                  <w:highlight w:val="yellow"/>
                </w:rPr>
                <w:t>https://nif.my.site.com/Portal/a0NAb000000Pqb3?srPos=3&amp;srKp=a0N</w:t>
              </w:r>
            </w:hyperlink>
          </w:p>
          <w:p w14:paraId="6484DF4C" w14:textId="77777777" w:rsidR="00616902" w:rsidRPr="00C24E99" w:rsidRDefault="00C03E74" w:rsidP="00626BF8">
            <w:pPr>
              <w:bidi w:val="0"/>
              <w:spacing w:after="0" w:line="276" w:lineRule="auto"/>
              <w:rPr>
                <w:rFonts w:ascii="Arial" w:hAnsi="Arial"/>
                <w:sz w:val="20"/>
                <w:szCs w:val="20"/>
              </w:rPr>
            </w:pPr>
            <w:r w:rsidRPr="001417AF">
              <w:rPr>
                <w:rFonts w:ascii="Arial" w:hAnsi="Arial"/>
                <w:b/>
                <w:bCs/>
                <w:sz w:val="20"/>
                <w:szCs w:val="20"/>
                <w:highlight w:val="yellow"/>
                <w:lang w:bidi="ar-SA"/>
              </w:rPr>
              <w:t>Link to Interim Reports:</w:t>
            </w:r>
            <w:r w:rsidRPr="001417AF">
              <w:rPr>
                <w:rFonts w:ascii="Arial" w:hAnsi="Arial"/>
                <w:sz w:val="20"/>
                <w:szCs w:val="20"/>
                <w:highlight w:val="yellow"/>
              </w:rPr>
              <w:t xml:space="preserve"> </w:t>
            </w:r>
            <w:hyperlink r:id="rId12" w:history="1">
              <w:r w:rsidR="00616902" w:rsidRPr="001417AF">
                <w:rPr>
                  <w:rStyle w:val="Hyperlink"/>
                  <w:rFonts w:ascii="Arial" w:hAnsi="Arial" w:cs="Arial"/>
                  <w:sz w:val="20"/>
                  <w:szCs w:val="20"/>
                  <w:highlight w:val="yellow"/>
                </w:rPr>
                <w:t>https://nif.my.site.com/Portal/a0N3X00001AdWY5?srPos=2&amp;srKp=a0N</w:t>
              </w:r>
            </w:hyperlink>
          </w:p>
        </w:tc>
      </w:tr>
      <w:tr w:rsidR="00C03E74" w14:paraId="52381F9F" w14:textId="77777777" w:rsidTr="00626BF8">
        <w:trPr>
          <w:trHeight w:hRule="exact" w:val="397"/>
        </w:trPr>
        <w:tc>
          <w:tcPr>
            <w:tcW w:w="9736" w:type="dxa"/>
            <w:gridSpan w:val="8"/>
            <w:shd w:val="clear" w:color="auto" w:fill="D9D9D9"/>
            <w:vAlign w:val="center"/>
          </w:tcPr>
          <w:p w14:paraId="71FEACCD" w14:textId="77777777" w:rsidR="00C03E74" w:rsidRPr="00C24E99" w:rsidRDefault="00C03E74" w:rsidP="00626BF8">
            <w:pPr>
              <w:bidi w:val="0"/>
              <w:spacing w:after="0" w:line="276" w:lineRule="auto"/>
              <w:jc w:val="center"/>
              <w:rPr>
                <w:rFonts w:ascii="Arial" w:hAnsi="Arial"/>
                <w:b/>
                <w:bCs/>
              </w:rPr>
            </w:pPr>
            <w:r>
              <w:rPr>
                <w:rFonts w:ascii="Arial" w:hAnsi="Arial"/>
                <w:b/>
                <w:bCs/>
              </w:rPr>
              <w:t>INTRODUCTION</w:t>
            </w:r>
          </w:p>
        </w:tc>
      </w:tr>
      <w:tr w:rsidR="00C03E74" w14:paraId="42406200" w14:textId="77777777">
        <w:tc>
          <w:tcPr>
            <w:tcW w:w="9736" w:type="dxa"/>
            <w:gridSpan w:val="8"/>
          </w:tcPr>
          <w:p w14:paraId="4E21E6DC" w14:textId="77777777" w:rsidR="00C03E74" w:rsidRDefault="00C03E74" w:rsidP="00626BF8">
            <w:pPr>
              <w:bidi w:val="0"/>
              <w:spacing w:after="0" w:line="276" w:lineRule="auto"/>
              <w:jc w:val="both"/>
              <w:rPr>
                <w:rFonts w:ascii="Arial" w:hAnsi="Arial"/>
                <w:b/>
                <w:bCs/>
                <w:sz w:val="20"/>
                <w:szCs w:val="20"/>
              </w:rPr>
            </w:pPr>
            <w:r>
              <w:rPr>
                <w:rFonts w:ascii="Arial" w:hAnsi="Arial"/>
                <w:b/>
                <w:bCs/>
                <w:sz w:val="20"/>
                <w:szCs w:val="20"/>
              </w:rPr>
              <w:t xml:space="preserve">The overall current expected impact of the program as a strategy for advancing NIF’s overall mission of a just and democratic Israel is:  </w:t>
            </w:r>
          </w:p>
          <w:p w14:paraId="05A2666F" w14:textId="77777777" w:rsidR="00C03E74" w:rsidRPr="00C24E99" w:rsidRDefault="00C03E74" w:rsidP="00626BF8">
            <w:pPr>
              <w:bidi w:val="0"/>
              <w:spacing w:after="0" w:line="276" w:lineRule="auto"/>
              <w:jc w:val="both"/>
              <w:rPr>
                <w:rFonts w:ascii="Arial" w:hAnsi="Arial"/>
                <w:sz w:val="20"/>
                <w:szCs w:val="20"/>
              </w:rPr>
            </w:pPr>
            <w:r>
              <w:rPr>
                <w:rFonts w:ascii="Arial" w:hAnsi="Arial"/>
                <w:sz w:val="20"/>
                <w:szCs w:val="20"/>
              </w:rPr>
              <w:t xml:space="preserve">Especially in the current reality with the most anti-feminist government in Israel’s history, gender equality—a mandatory component of any just society—will be advanced and anti-feminist forces thwarted in measurable ways, through the expansion of public knowledge and dialogue and strengthening of activists and </w:t>
            </w:r>
            <w:r>
              <w:rPr>
                <w:rFonts w:ascii="Arial" w:hAnsi="Arial"/>
                <w:sz w:val="20"/>
                <w:szCs w:val="20"/>
              </w:rPr>
              <w:lastRenderedPageBreak/>
              <w:t xml:space="preserve">organizations that work with broader and more diverse (especially disenfranchised) populations, including the ultra-Orthodox, Palestinians, and </w:t>
            </w:r>
            <w:proofErr w:type="spellStart"/>
            <w:r>
              <w:rPr>
                <w:rFonts w:ascii="Arial" w:hAnsi="Arial"/>
                <w:sz w:val="20"/>
                <w:szCs w:val="20"/>
              </w:rPr>
              <w:t>Mizrahim</w:t>
            </w:r>
            <w:proofErr w:type="spellEnd"/>
            <w:r>
              <w:rPr>
                <w:rFonts w:ascii="Arial" w:hAnsi="Arial"/>
                <w:sz w:val="20"/>
                <w:szCs w:val="20"/>
              </w:rPr>
              <w:t xml:space="preserve">. </w:t>
            </w:r>
          </w:p>
        </w:tc>
      </w:tr>
      <w:tr w:rsidR="00C03E74" w14:paraId="7E36D1BC" w14:textId="77777777">
        <w:tc>
          <w:tcPr>
            <w:tcW w:w="9736" w:type="dxa"/>
            <w:gridSpan w:val="8"/>
          </w:tcPr>
          <w:p w14:paraId="3AFC8440" w14:textId="77777777" w:rsidR="00C03E74" w:rsidRDefault="00C03E74" w:rsidP="00626BF8">
            <w:pPr>
              <w:bidi w:val="0"/>
              <w:spacing w:after="0" w:line="276" w:lineRule="auto"/>
              <w:jc w:val="both"/>
              <w:rPr>
                <w:rFonts w:ascii="Arial" w:hAnsi="Arial"/>
                <w:sz w:val="20"/>
                <w:szCs w:val="20"/>
              </w:rPr>
            </w:pPr>
            <w:r>
              <w:rPr>
                <w:rFonts w:ascii="Arial" w:hAnsi="Arial"/>
                <w:b/>
                <w:bCs/>
                <w:sz w:val="20"/>
                <w:szCs w:val="20"/>
              </w:rPr>
              <w:lastRenderedPageBreak/>
              <w:t xml:space="preserve">The grantee uses strategies of: </w:t>
            </w:r>
            <w:r w:rsidRPr="00534B3A">
              <w:rPr>
                <w:rFonts w:ascii="Arial" w:hAnsi="Arial"/>
                <w:sz w:val="20"/>
                <w:szCs w:val="20"/>
              </w:rPr>
              <w:t>Advocacy, litigation, operation of a hotline, and public campaigns</w:t>
            </w:r>
          </w:p>
          <w:p w14:paraId="046A5475" w14:textId="77777777" w:rsidR="00626BF8" w:rsidRPr="00C24E99" w:rsidRDefault="00626BF8" w:rsidP="00626BF8">
            <w:pPr>
              <w:bidi w:val="0"/>
              <w:spacing w:after="0" w:line="276" w:lineRule="auto"/>
              <w:jc w:val="both"/>
              <w:rPr>
                <w:rFonts w:ascii="Arial" w:hAnsi="Arial"/>
                <w:sz w:val="20"/>
                <w:szCs w:val="20"/>
              </w:rPr>
            </w:pPr>
          </w:p>
        </w:tc>
      </w:tr>
      <w:tr w:rsidR="00C03E74" w14:paraId="6D6C13D4" w14:textId="77777777" w:rsidTr="00626BF8">
        <w:trPr>
          <w:trHeight w:val="2908"/>
        </w:trPr>
        <w:tc>
          <w:tcPr>
            <w:tcW w:w="9736" w:type="dxa"/>
            <w:gridSpan w:val="8"/>
          </w:tcPr>
          <w:p w14:paraId="18191335" w14:textId="77777777" w:rsidR="00C03E74" w:rsidRPr="00626BF8" w:rsidRDefault="00C03E74" w:rsidP="00626BF8">
            <w:pPr>
              <w:bidi w:val="0"/>
              <w:spacing w:after="0" w:line="276" w:lineRule="auto"/>
              <w:jc w:val="both"/>
              <w:rPr>
                <w:rFonts w:ascii="Arial" w:hAnsi="Arial"/>
                <w:b/>
                <w:bCs/>
                <w:sz w:val="20"/>
                <w:szCs w:val="20"/>
              </w:rPr>
            </w:pPr>
            <w:r w:rsidRPr="00534B3A">
              <w:rPr>
                <w:rFonts w:ascii="Arial" w:hAnsi="Arial"/>
                <w:b/>
                <w:bCs/>
                <w:sz w:val="20"/>
                <w:szCs w:val="20"/>
              </w:rPr>
              <w:t>These are the goals of the organization and then some relevant benchmarks outcomes on the way to achieving the goals:</w:t>
            </w:r>
          </w:p>
          <w:p w14:paraId="1502A01D" w14:textId="77777777" w:rsidR="00C03E74" w:rsidRDefault="00C03E74" w:rsidP="00626BF8">
            <w:pPr>
              <w:bidi w:val="0"/>
              <w:spacing w:after="0" w:line="276" w:lineRule="auto"/>
              <w:jc w:val="both"/>
              <w:rPr>
                <w:rFonts w:ascii="Arial" w:hAnsi="Arial"/>
                <w:sz w:val="20"/>
                <w:szCs w:val="20"/>
              </w:rPr>
            </w:pPr>
            <w:r>
              <w:rPr>
                <w:rFonts w:ascii="Arial" w:hAnsi="Arial"/>
                <w:sz w:val="20"/>
                <w:szCs w:val="20"/>
              </w:rPr>
              <w:t>The organization’s overarching goal is to achieve full equality for women in every sphere of life and to enhance protection of women’s rights (with the emphasis on preventing domestic violence).</w:t>
            </w:r>
          </w:p>
          <w:p w14:paraId="20C5336E" w14:textId="77777777" w:rsidR="00626BF8" w:rsidRDefault="00626BF8" w:rsidP="00626BF8">
            <w:pPr>
              <w:bidi w:val="0"/>
              <w:spacing w:after="0" w:line="276" w:lineRule="auto"/>
              <w:jc w:val="both"/>
              <w:rPr>
                <w:rFonts w:ascii="Arial" w:hAnsi="Arial"/>
                <w:sz w:val="20"/>
                <w:szCs w:val="20"/>
              </w:rPr>
            </w:pPr>
          </w:p>
          <w:p w14:paraId="4852D3F5" w14:textId="77777777" w:rsidR="00C03E74" w:rsidRDefault="00C03E74" w:rsidP="00626BF8">
            <w:pPr>
              <w:bidi w:val="0"/>
              <w:spacing w:after="0" w:line="276" w:lineRule="auto"/>
              <w:jc w:val="both"/>
              <w:rPr>
                <w:rFonts w:ascii="Arial" w:hAnsi="Arial"/>
                <w:sz w:val="20"/>
                <w:szCs w:val="20"/>
                <w:rtl/>
              </w:rPr>
            </w:pPr>
            <w:r>
              <w:rPr>
                <w:rFonts w:ascii="Arial" w:hAnsi="Arial"/>
                <w:sz w:val="20"/>
                <w:szCs w:val="20"/>
              </w:rPr>
              <w:t>Interim objectives:</w:t>
            </w:r>
          </w:p>
          <w:p w14:paraId="2C9A4568" w14:textId="77777777" w:rsidR="00C03E74" w:rsidRDefault="00C03E74" w:rsidP="00626BF8">
            <w:pPr>
              <w:pStyle w:val="ListBullet"/>
              <w:spacing w:after="0" w:line="276" w:lineRule="auto"/>
              <w:jc w:val="both"/>
            </w:pPr>
            <w:r>
              <w:t xml:space="preserve">Passage of legislation that furthers equality for women and protects their rights; thwarting laws that would infringe equality and women’s rights </w:t>
            </w:r>
          </w:p>
          <w:p w14:paraId="356573BC" w14:textId="77777777" w:rsidR="00C03E74" w:rsidRDefault="00C03E74" w:rsidP="00626BF8">
            <w:pPr>
              <w:pStyle w:val="ListBullet"/>
              <w:spacing w:after="0" w:line="276" w:lineRule="auto"/>
              <w:jc w:val="both"/>
            </w:pPr>
            <w:r>
              <w:t xml:space="preserve">A change in the policies of institutional agents—achieved via High Court petitions—in a way that furthers equality for women and protects their rights </w:t>
            </w:r>
          </w:p>
          <w:p w14:paraId="1015BBAE" w14:textId="77777777" w:rsidR="00C03E74" w:rsidRDefault="00C03E74" w:rsidP="00626BF8">
            <w:pPr>
              <w:pStyle w:val="ListBullet"/>
              <w:spacing w:after="0" w:line="276" w:lineRule="auto"/>
              <w:jc w:val="both"/>
            </w:pPr>
            <w:r>
              <w:t>A change in public opinion that increases support for women’s equality</w:t>
            </w:r>
          </w:p>
          <w:p w14:paraId="2CCDC785" w14:textId="77777777" w:rsidR="00C03E74" w:rsidRPr="00C24E99" w:rsidRDefault="00C03E74" w:rsidP="00626BF8">
            <w:pPr>
              <w:pStyle w:val="ListParagraph"/>
              <w:spacing w:after="0" w:line="276" w:lineRule="auto"/>
              <w:rPr>
                <w:rFonts w:ascii="Arial" w:hAnsi="Arial"/>
                <w:sz w:val="20"/>
                <w:szCs w:val="20"/>
              </w:rPr>
            </w:pPr>
          </w:p>
        </w:tc>
      </w:tr>
      <w:tr w:rsidR="00C03E74" w14:paraId="5914FFE9" w14:textId="77777777">
        <w:tc>
          <w:tcPr>
            <w:tcW w:w="9736" w:type="dxa"/>
            <w:gridSpan w:val="8"/>
          </w:tcPr>
          <w:p w14:paraId="6641960A" w14:textId="77777777" w:rsidR="00C03E74" w:rsidRDefault="00C03E74" w:rsidP="00626BF8">
            <w:pPr>
              <w:bidi w:val="0"/>
              <w:spacing w:after="0" w:line="276" w:lineRule="auto"/>
              <w:jc w:val="both"/>
              <w:rPr>
                <w:rFonts w:ascii="Arial" w:hAnsi="Arial"/>
                <w:b/>
                <w:bCs/>
                <w:sz w:val="20"/>
                <w:szCs w:val="20"/>
                <w:rtl/>
              </w:rPr>
            </w:pPr>
            <w:r>
              <w:rPr>
                <w:rFonts w:ascii="Arial" w:hAnsi="Arial"/>
                <w:b/>
                <w:bCs/>
                <w:sz w:val="20"/>
                <w:szCs w:val="20"/>
              </w:rPr>
              <w:t xml:space="preserve">Main Indicators for the grant include </w:t>
            </w:r>
            <w:r>
              <w:rPr>
                <w:rFonts w:ascii="Arial" w:hAnsi="Arial"/>
                <w:sz w:val="20"/>
                <w:szCs w:val="20"/>
              </w:rPr>
              <w:t>(among others, the total list of indicators and targets can be found in the Salesforce):</w:t>
            </w:r>
            <w:r>
              <w:rPr>
                <w:rFonts w:ascii="Arial" w:hAnsi="Arial"/>
                <w:b/>
                <w:bCs/>
                <w:sz w:val="20"/>
                <w:szCs w:val="20"/>
              </w:rPr>
              <w:t xml:space="preserve"> </w:t>
            </w:r>
          </w:p>
          <w:p w14:paraId="7D25D85E" w14:textId="77777777" w:rsidR="00B56E0A" w:rsidRDefault="00C03E74" w:rsidP="00626BF8">
            <w:pPr>
              <w:numPr>
                <w:ilvl w:val="0"/>
                <w:numId w:val="18"/>
              </w:numPr>
              <w:bidi w:val="0"/>
              <w:spacing w:after="0" w:line="276" w:lineRule="auto"/>
              <w:rPr>
                <w:rFonts w:ascii="Arial" w:hAnsi="Arial"/>
                <w:sz w:val="20"/>
                <w:szCs w:val="20"/>
              </w:rPr>
            </w:pPr>
            <w:r>
              <w:rPr>
                <w:rFonts w:ascii="Arial" w:hAnsi="Arial"/>
                <w:sz w:val="20"/>
                <w:szCs w:val="20"/>
              </w:rPr>
              <w:t xml:space="preserve">The number of women who contact the organization’s hotline </w:t>
            </w:r>
          </w:p>
          <w:p w14:paraId="2FEA8D14" w14:textId="77777777" w:rsidR="00B56E0A" w:rsidRDefault="00B56E0A" w:rsidP="00626BF8">
            <w:pPr>
              <w:numPr>
                <w:ilvl w:val="0"/>
                <w:numId w:val="18"/>
              </w:numPr>
              <w:bidi w:val="0"/>
              <w:spacing w:after="0" w:line="276" w:lineRule="auto"/>
              <w:rPr>
                <w:rFonts w:ascii="Arial" w:hAnsi="Arial"/>
                <w:sz w:val="20"/>
                <w:szCs w:val="20"/>
              </w:rPr>
            </w:pPr>
            <w:r>
              <w:rPr>
                <w:rFonts w:ascii="Arial" w:hAnsi="Arial"/>
                <w:sz w:val="20"/>
                <w:szCs w:val="20"/>
              </w:rPr>
              <w:t>T</w:t>
            </w:r>
            <w:r w:rsidR="00C03E74">
              <w:rPr>
                <w:rFonts w:ascii="Arial" w:hAnsi="Arial"/>
                <w:sz w:val="20"/>
                <w:szCs w:val="20"/>
              </w:rPr>
              <w:t>he number of Knesset bills it supports and the number that are passed</w:t>
            </w:r>
          </w:p>
          <w:p w14:paraId="54330691" w14:textId="77777777" w:rsidR="00B56E0A" w:rsidRDefault="00B56E0A" w:rsidP="00626BF8">
            <w:pPr>
              <w:numPr>
                <w:ilvl w:val="0"/>
                <w:numId w:val="18"/>
              </w:numPr>
              <w:bidi w:val="0"/>
              <w:spacing w:after="0" w:line="276" w:lineRule="auto"/>
              <w:rPr>
                <w:rFonts w:ascii="Arial" w:hAnsi="Arial"/>
                <w:sz w:val="20"/>
                <w:szCs w:val="20"/>
              </w:rPr>
            </w:pPr>
            <w:r>
              <w:rPr>
                <w:rFonts w:ascii="Arial" w:hAnsi="Arial"/>
                <w:sz w:val="20"/>
                <w:szCs w:val="20"/>
              </w:rPr>
              <w:t>T</w:t>
            </w:r>
            <w:r w:rsidR="00C03E74">
              <w:rPr>
                <w:rFonts w:ascii="Arial" w:hAnsi="Arial"/>
                <w:sz w:val="20"/>
                <w:szCs w:val="20"/>
              </w:rPr>
              <w:t xml:space="preserve">he number of High Court petitions </w:t>
            </w:r>
            <w:proofErr w:type="gramStart"/>
            <w:r w:rsidR="00C03E74">
              <w:rPr>
                <w:rFonts w:ascii="Arial" w:hAnsi="Arial"/>
                <w:sz w:val="20"/>
                <w:szCs w:val="20"/>
              </w:rPr>
              <w:t>submitted</w:t>
            </w:r>
            <w:proofErr w:type="gramEnd"/>
            <w:r w:rsidR="00C03E74">
              <w:rPr>
                <w:rFonts w:ascii="Arial" w:hAnsi="Arial"/>
                <w:sz w:val="20"/>
                <w:szCs w:val="20"/>
              </w:rPr>
              <w:t xml:space="preserve"> and the number sustained</w:t>
            </w:r>
          </w:p>
          <w:p w14:paraId="448FBB66" w14:textId="77777777" w:rsidR="00C03E74" w:rsidRDefault="00B56E0A" w:rsidP="00626BF8">
            <w:pPr>
              <w:numPr>
                <w:ilvl w:val="0"/>
                <w:numId w:val="18"/>
              </w:numPr>
              <w:bidi w:val="0"/>
              <w:spacing w:after="0" w:line="276" w:lineRule="auto"/>
              <w:rPr>
                <w:rFonts w:ascii="Arial" w:hAnsi="Arial"/>
                <w:sz w:val="20"/>
                <w:szCs w:val="20"/>
              </w:rPr>
            </w:pPr>
            <w:r>
              <w:rPr>
                <w:rFonts w:ascii="Arial" w:hAnsi="Arial"/>
                <w:sz w:val="20"/>
                <w:szCs w:val="20"/>
              </w:rPr>
              <w:t>T</w:t>
            </w:r>
            <w:r w:rsidR="00C03E74">
              <w:rPr>
                <w:rFonts w:ascii="Arial" w:hAnsi="Arial"/>
                <w:sz w:val="20"/>
                <w:szCs w:val="20"/>
              </w:rPr>
              <w:t>he exposure of the organization’s public campaigns</w:t>
            </w:r>
          </w:p>
        </w:tc>
      </w:tr>
      <w:tr w:rsidR="00C03E74" w14:paraId="6DC54C68" w14:textId="77777777">
        <w:tc>
          <w:tcPr>
            <w:tcW w:w="9736" w:type="dxa"/>
            <w:gridSpan w:val="8"/>
          </w:tcPr>
          <w:p w14:paraId="15AA6EE8" w14:textId="77777777" w:rsidR="00C03E74" w:rsidRDefault="00C03E74" w:rsidP="00626BF8">
            <w:pPr>
              <w:bidi w:val="0"/>
              <w:spacing w:after="0" w:line="276" w:lineRule="auto"/>
              <w:jc w:val="both"/>
              <w:rPr>
                <w:rFonts w:ascii="Arial" w:hAnsi="Arial"/>
                <w:b/>
                <w:bCs/>
                <w:sz w:val="20"/>
                <w:szCs w:val="20"/>
                <w:rtl/>
              </w:rPr>
            </w:pPr>
            <w:r>
              <w:rPr>
                <w:rFonts w:ascii="Arial" w:hAnsi="Arial"/>
                <w:b/>
                <w:bCs/>
                <w:sz w:val="20"/>
                <w:szCs w:val="20"/>
              </w:rPr>
              <w:t>Added value of this grant (for the project and in general) include that:</w:t>
            </w:r>
            <w:r>
              <w:rPr>
                <w:rFonts w:ascii="Arial" w:hAnsi="Arial"/>
                <w:sz w:val="20"/>
                <w:szCs w:val="20"/>
              </w:rPr>
              <w:t xml:space="preserve"> </w:t>
            </w:r>
            <w:r>
              <w:rPr>
                <w:rFonts w:ascii="Arial" w:hAnsi="Arial"/>
                <w:b/>
                <w:bCs/>
                <w:sz w:val="20"/>
                <w:szCs w:val="20"/>
              </w:rPr>
              <w:t xml:space="preserve"> </w:t>
            </w:r>
          </w:p>
          <w:p w14:paraId="466D64EA" w14:textId="77777777" w:rsidR="00C03E74" w:rsidRPr="00C24E99" w:rsidRDefault="00C03E74" w:rsidP="00850A37">
            <w:pPr>
              <w:bidi w:val="0"/>
              <w:spacing w:after="0" w:line="276" w:lineRule="auto"/>
              <w:jc w:val="both"/>
              <w:rPr>
                <w:rFonts w:ascii="Arial" w:hAnsi="Arial"/>
                <w:sz w:val="20"/>
                <w:szCs w:val="20"/>
              </w:rPr>
            </w:pPr>
            <w:r>
              <w:rPr>
                <w:rFonts w:ascii="Arial" w:hAnsi="Arial"/>
                <w:sz w:val="20"/>
                <w:szCs w:val="20"/>
              </w:rPr>
              <w:t xml:space="preserve"> IWN occupies a central location on the map of women’s organizations in Israel </w:t>
            </w:r>
            <w:proofErr w:type="gramStart"/>
            <w:r>
              <w:rPr>
                <w:rFonts w:ascii="Arial" w:hAnsi="Arial"/>
                <w:sz w:val="20"/>
                <w:szCs w:val="20"/>
              </w:rPr>
              <w:t>with regard to</w:t>
            </w:r>
            <w:proofErr w:type="gramEnd"/>
            <w:r>
              <w:rPr>
                <w:rFonts w:ascii="Arial" w:hAnsi="Arial"/>
                <w:sz w:val="20"/>
                <w:szCs w:val="20"/>
              </w:rPr>
              <w:t xml:space="preserve"> policy planning and promotion (by means of advocacy and litigation) and its impact on the public discourse.</w:t>
            </w:r>
            <w:r w:rsidR="00850A37">
              <w:rPr>
                <w:rFonts w:ascii="Arial" w:hAnsi="Arial"/>
                <w:sz w:val="20"/>
                <w:szCs w:val="20"/>
              </w:rPr>
              <w:t xml:space="preserve"> We have witnessed the current government, and the nationalist right in particular, make continuous efforts to narrow the space occupied by liberalism and feminism under the pretext of the war and to gnaw away at gender equality. We expect this trend to continue and amplify once the situation is normalized. Israel Women’s Network has played an important role in the fight against anti-feminist forces, in blocking the government’s regressive actions, and in linking democratic-liberal causes to the feminist struggle. </w:t>
            </w:r>
          </w:p>
        </w:tc>
      </w:tr>
      <w:tr w:rsidR="00C03E74" w14:paraId="417ED232" w14:textId="77777777">
        <w:tc>
          <w:tcPr>
            <w:tcW w:w="9736" w:type="dxa"/>
            <w:gridSpan w:val="8"/>
            <w:vAlign w:val="center"/>
          </w:tcPr>
          <w:p w14:paraId="45112519" w14:textId="77777777" w:rsidR="00C03E74" w:rsidRDefault="00C03E74" w:rsidP="00626BF8">
            <w:pPr>
              <w:bidi w:val="0"/>
              <w:spacing w:after="0" w:line="276" w:lineRule="auto"/>
              <w:jc w:val="both"/>
              <w:rPr>
                <w:rFonts w:ascii="Arial" w:hAnsi="Arial"/>
                <w:b/>
                <w:bCs/>
                <w:sz w:val="20"/>
                <w:szCs w:val="20"/>
              </w:rPr>
            </w:pPr>
            <w:r>
              <w:rPr>
                <w:rFonts w:ascii="Arial" w:hAnsi="Arial"/>
                <w:b/>
                <w:bCs/>
                <w:sz w:val="20"/>
                <w:szCs w:val="20"/>
              </w:rPr>
              <w:t xml:space="preserve">For organizations receiving support 5 or more years Significant PAST achievements - relevant to this program or not - of the grantee since NIF began support include: </w:t>
            </w:r>
          </w:p>
          <w:p w14:paraId="3DC8F88A" w14:textId="77777777" w:rsidR="00C03E74" w:rsidRDefault="00C03E74" w:rsidP="00626BF8">
            <w:pPr>
              <w:pStyle w:val="ListBullet"/>
              <w:spacing w:after="0" w:line="276" w:lineRule="auto"/>
              <w:jc w:val="both"/>
              <w:rPr>
                <w:rtl/>
              </w:rPr>
            </w:pPr>
            <w:r>
              <w:t xml:space="preserve">Over the past </w:t>
            </w:r>
            <w:proofErr w:type="gramStart"/>
            <w:r>
              <w:t>decade  IWN</w:t>
            </w:r>
            <w:proofErr w:type="gramEnd"/>
            <w:r>
              <w:t xml:space="preserve"> has been among the leaders of the campaign against the exclusion of women in the public space. In this role it filed and won several legal cases that eliminated such exclusionary practices implemented by ministries and local authorities (e.g., the elimination of gender segregation in a Tourism Ministry course for tour guides; the cancellation of an event to be sponsored by the Haifa municipality restricted to men; the Supreme Court’s decision that cancelled an event sponsored by the Afula municipality). In addition, the organization represented several women who had been harmed by gender segregation in their successful damage suits against the responsible agencies (e.g., a monetary award to a wom</w:t>
            </w:r>
            <w:r w:rsidR="006E1E0C">
              <w:t>a</w:t>
            </w:r>
            <w:r>
              <w:t>n who was sent to take a gender-segregated defensive driving course; a verdict against a bus driver who refused to allow a woman to board because of her “immodest clothing”).</w:t>
            </w:r>
          </w:p>
          <w:p w14:paraId="61F39268" w14:textId="77777777" w:rsidR="00C03E74" w:rsidRDefault="00C03E74" w:rsidP="00626BF8">
            <w:pPr>
              <w:pStyle w:val="ListBullet"/>
              <w:spacing w:after="0" w:line="276" w:lineRule="auto"/>
              <w:jc w:val="both"/>
            </w:pPr>
            <w:r>
              <w:t>The IWN was in the forefront of the discussions and action about the major ramifications of the COVID-19 pandemic on women’s rights and status in Israel and spurred the creation of a government roundtable led by the Prime Ministe</w:t>
            </w:r>
            <w:r w:rsidR="006E1E0C">
              <w:t>r office.</w:t>
            </w:r>
          </w:p>
          <w:p w14:paraId="58449C89" w14:textId="77777777" w:rsidR="00AD6B24" w:rsidRDefault="00AD6B24" w:rsidP="00AD6B24">
            <w:pPr>
              <w:pStyle w:val="ListBullet"/>
              <w:numPr>
                <w:ilvl w:val="0"/>
                <w:numId w:val="0"/>
              </w:numPr>
              <w:spacing w:after="0" w:line="276" w:lineRule="auto"/>
              <w:ind w:left="360" w:hanging="360"/>
              <w:jc w:val="both"/>
            </w:pPr>
          </w:p>
          <w:p w14:paraId="5B361E2B" w14:textId="77777777" w:rsidR="00F3143E" w:rsidRDefault="00F3143E" w:rsidP="00AD6B24">
            <w:pPr>
              <w:pStyle w:val="ListBullet"/>
              <w:numPr>
                <w:ilvl w:val="0"/>
                <w:numId w:val="0"/>
              </w:numPr>
              <w:spacing w:after="0" w:line="276" w:lineRule="auto"/>
              <w:ind w:left="360" w:hanging="360"/>
              <w:jc w:val="both"/>
            </w:pPr>
          </w:p>
          <w:p w14:paraId="46302EC3" w14:textId="77777777" w:rsidR="00AD6B24" w:rsidRPr="00626BF8" w:rsidRDefault="00AD6B24" w:rsidP="00AD6B24">
            <w:pPr>
              <w:pStyle w:val="ListBullet"/>
              <w:numPr>
                <w:ilvl w:val="0"/>
                <w:numId w:val="0"/>
              </w:numPr>
              <w:spacing w:after="0" w:line="276" w:lineRule="auto"/>
              <w:ind w:left="360" w:hanging="360"/>
              <w:jc w:val="both"/>
            </w:pPr>
          </w:p>
        </w:tc>
      </w:tr>
      <w:tr w:rsidR="00C03E74" w14:paraId="31491B9B" w14:textId="77777777">
        <w:tc>
          <w:tcPr>
            <w:tcW w:w="9736" w:type="dxa"/>
            <w:gridSpan w:val="8"/>
            <w:shd w:val="clear" w:color="auto" w:fill="D9D9D9"/>
            <w:vAlign w:val="center"/>
          </w:tcPr>
          <w:p w14:paraId="39529C76" w14:textId="77777777" w:rsidR="00C03E74" w:rsidRPr="00C24E99" w:rsidRDefault="00C03E74" w:rsidP="00626BF8">
            <w:pPr>
              <w:bidi w:val="0"/>
              <w:spacing w:after="0" w:line="276" w:lineRule="auto"/>
              <w:jc w:val="center"/>
              <w:rPr>
                <w:rFonts w:ascii="Arial" w:hAnsi="Arial"/>
                <w:b/>
                <w:bCs/>
              </w:rPr>
            </w:pPr>
            <w:r>
              <w:rPr>
                <w:rFonts w:ascii="Arial" w:hAnsi="Arial"/>
                <w:b/>
                <w:bCs/>
              </w:rPr>
              <w:lastRenderedPageBreak/>
              <w:t>PROGRESS</w:t>
            </w:r>
          </w:p>
        </w:tc>
      </w:tr>
      <w:tr w:rsidR="00C03E74" w14:paraId="4D9E1F89" w14:textId="77777777">
        <w:tc>
          <w:tcPr>
            <w:tcW w:w="9736" w:type="dxa"/>
            <w:gridSpan w:val="8"/>
          </w:tcPr>
          <w:p w14:paraId="5CB4E0C0" w14:textId="77777777" w:rsidR="00C03E74" w:rsidRPr="00866EE6" w:rsidRDefault="00C03E74" w:rsidP="00626BF8">
            <w:pPr>
              <w:bidi w:val="0"/>
              <w:spacing w:after="0" w:line="276" w:lineRule="auto"/>
              <w:jc w:val="both"/>
              <w:rPr>
                <w:rFonts w:ascii="Arial" w:hAnsi="Arial"/>
                <w:sz w:val="20"/>
                <w:szCs w:val="20"/>
                <w:shd w:val="clear" w:color="auto" w:fill="F6FB99"/>
                <w:lang w:bidi="he"/>
              </w:rPr>
            </w:pPr>
            <w:r w:rsidRPr="00866EE6">
              <w:rPr>
                <w:rFonts w:ascii="Arial" w:hAnsi="Arial"/>
                <w:b/>
                <w:bCs/>
                <w:sz w:val="20"/>
                <w:szCs w:val="20"/>
              </w:rPr>
              <w:t xml:space="preserve">Overall Progress Evaluation: </w:t>
            </w:r>
            <w:r w:rsidRPr="00866EE6">
              <w:rPr>
                <w:rFonts w:ascii="Arial" w:hAnsi="Arial"/>
                <w:sz w:val="20"/>
                <w:szCs w:val="20"/>
                <w:shd w:val="clear" w:color="auto" w:fill="F6FB99"/>
                <w:lang w:bidi="he"/>
              </w:rPr>
              <w:t>Partially Met Expectations</w:t>
            </w:r>
          </w:p>
          <w:p w14:paraId="221EFE9E" w14:textId="77777777" w:rsidR="00C03E74" w:rsidRDefault="00C03E74" w:rsidP="00626BF8">
            <w:pPr>
              <w:bidi w:val="0"/>
              <w:spacing w:after="0" w:line="276" w:lineRule="auto"/>
              <w:jc w:val="both"/>
              <w:rPr>
                <w:rFonts w:ascii="Arial" w:hAnsi="Arial"/>
                <w:b/>
                <w:bCs/>
                <w:sz w:val="20"/>
                <w:szCs w:val="20"/>
              </w:rPr>
            </w:pPr>
            <w:r w:rsidRPr="00866EE6">
              <w:rPr>
                <w:rFonts w:ascii="Arial" w:hAnsi="Arial"/>
                <w:b/>
                <w:bCs/>
                <w:sz w:val="20"/>
                <w:szCs w:val="20"/>
              </w:rPr>
              <w:t xml:space="preserve">Explanation re. Score: </w:t>
            </w:r>
          </w:p>
          <w:p w14:paraId="1A1AB736" w14:textId="4112B15C" w:rsidR="00850A37" w:rsidRPr="00850A37" w:rsidRDefault="00850A37" w:rsidP="00850A37">
            <w:pPr>
              <w:bidi w:val="0"/>
              <w:spacing w:after="0" w:line="276" w:lineRule="auto"/>
              <w:jc w:val="both"/>
              <w:rPr>
                <w:rFonts w:ascii="Arial" w:hAnsi="Arial"/>
                <w:sz w:val="20"/>
                <w:szCs w:val="20"/>
              </w:rPr>
            </w:pPr>
            <w:r>
              <w:rPr>
                <w:rFonts w:ascii="Arial" w:hAnsi="Arial"/>
                <w:sz w:val="20"/>
                <w:szCs w:val="20"/>
              </w:rPr>
              <w:t xml:space="preserve">Over the past year, it has been evident that </w:t>
            </w:r>
            <w:r w:rsidR="002A78C6">
              <w:rPr>
                <w:rFonts w:ascii="Arial" w:hAnsi="Arial"/>
                <w:sz w:val="20"/>
                <w:szCs w:val="20"/>
              </w:rPr>
              <w:t xml:space="preserve">the </w:t>
            </w:r>
            <w:r>
              <w:rPr>
                <w:rFonts w:ascii="Arial" w:hAnsi="Arial"/>
                <w:sz w:val="20"/>
                <w:szCs w:val="20"/>
              </w:rPr>
              <w:t>IWN has developed new action strategies to compl</w:t>
            </w:r>
            <w:r w:rsidR="002A78C6">
              <w:rPr>
                <w:rFonts w:ascii="Arial" w:hAnsi="Arial"/>
                <w:sz w:val="20"/>
                <w:szCs w:val="20"/>
              </w:rPr>
              <w:t>e</w:t>
            </w:r>
            <w:r>
              <w:rPr>
                <w:rFonts w:ascii="Arial" w:hAnsi="Arial"/>
                <w:sz w:val="20"/>
                <w:szCs w:val="20"/>
              </w:rPr>
              <w:t xml:space="preserve">ment the strategies of lobbying and advocacy that have dominated its activity in the past. It has broadened its hotline activity and established </w:t>
            </w:r>
            <w:r w:rsidR="002A78C6">
              <w:rPr>
                <w:rFonts w:ascii="Arial" w:hAnsi="Arial"/>
                <w:sz w:val="20"/>
                <w:szCs w:val="20"/>
              </w:rPr>
              <w:t xml:space="preserve">an international division </w:t>
            </w:r>
            <w:r>
              <w:rPr>
                <w:rFonts w:ascii="Arial" w:hAnsi="Arial"/>
                <w:sz w:val="20"/>
                <w:szCs w:val="20"/>
              </w:rPr>
              <w:t>with the goal of establishing collaborations with women’s organizations around the world. It has also established a research division and branched out into dealing with additional feminist issues—such as sex</w:t>
            </w:r>
            <w:r w:rsidR="002A78C6">
              <w:rPr>
                <w:rFonts w:ascii="Arial" w:hAnsi="Arial"/>
                <w:sz w:val="20"/>
                <w:szCs w:val="20"/>
              </w:rPr>
              <w:t>ual</w:t>
            </w:r>
            <w:r>
              <w:rPr>
                <w:rFonts w:ascii="Arial" w:hAnsi="Arial"/>
                <w:sz w:val="20"/>
                <w:szCs w:val="20"/>
              </w:rPr>
              <w:t xml:space="preserve"> crimes during wartime—</w:t>
            </w:r>
            <w:r w:rsidR="00805859">
              <w:rPr>
                <w:rFonts w:ascii="Arial" w:hAnsi="Arial"/>
                <w:sz w:val="20"/>
                <w:szCs w:val="20"/>
              </w:rPr>
              <w:t xml:space="preserve">some of which have come to replace the core issues it </w:t>
            </w:r>
            <w:r w:rsidR="002A78C6">
              <w:rPr>
                <w:rFonts w:ascii="Arial" w:hAnsi="Arial"/>
                <w:sz w:val="20"/>
                <w:szCs w:val="20"/>
              </w:rPr>
              <w:t xml:space="preserve">had </w:t>
            </w:r>
            <w:r w:rsidR="00805859">
              <w:rPr>
                <w:rFonts w:ascii="Arial" w:hAnsi="Arial"/>
                <w:sz w:val="20"/>
                <w:szCs w:val="20"/>
              </w:rPr>
              <w:t xml:space="preserve">dealt with traditionally. This has been a transitional year for IWN, both in terms of personnel changeover and due to the political situation in Israel. Alongside continued growth and successes, it has become apparent that the IWN </w:t>
            </w:r>
            <w:r w:rsidR="004C0D2C">
              <w:rPr>
                <w:rFonts w:ascii="Arial" w:hAnsi="Arial"/>
                <w:sz w:val="20"/>
                <w:szCs w:val="20"/>
              </w:rPr>
              <w:t>must</w:t>
            </w:r>
            <w:r w:rsidR="00805859">
              <w:rPr>
                <w:rFonts w:ascii="Arial" w:hAnsi="Arial"/>
                <w:sz w:val="20"/>
                <w:szCs w:val="20"/>
              </w:rPr>
              <w:t xml:space="preserve"> reassess its strategies going forward and decide which issues it wishes to focus on primarily. </w:t>
            </w:r>
          </w:p>
          <w:p w14:paraId="0DF354DB" w14:textId="77777777" w:rsidR="00C03E74" w:rsidRPr="00866EE6" w:rsidRDefault="00C03E74" w:rsidP="00626BF8">
            <w:pPr>
              <w:bidi w:val="0"/>
              <w:spacing w:after="0" w:line="276" w:lineRule="auto"/>
              <w:jc w:val="both"/>
              <w:rPr>
                <w:rFonts w:ascii="Arial" w:hAnsi="Arial"/>
                <w:sz w:val="20"/>
                <w:szCs w:val="20"/>
                <w:rtl/>
              </w:rPr>
            </w:pPr>
          </w:p>
          <w:p w14:paraId="4B0B1EEA" w14:textId="77777777" w:rsidR="00C03E74" w:rsidRPr="00866EE6" w:rsidRDefault="00C03E74" w:rsidP="00626BF8">
            <w:pPr>
              <w:tabs>
                <w:tab w:val="left" w:pos="6730"/>
              </w:tabs>
              <w:bidi w:val="0"/>
              <w:spacing w:after="0" w:line="276" w:lineRule="auto"/>
              <w:jc w:val="both"/>
              <w:rPr>
                <w:rFonts w:ascii="Arial" w:hAnsi="Arial"/>
                <w:b/>
                <w:bCs/>
                <w:sz w:val="20"/>
                <w:szCs w:val="20"/>
              </w:rPr>
            </w:pPr>
            <w:r w:rsidRPr="00866EE6">
              <w:rPr>
                <w:rFonts w:ascii="Arial" w:hAnsi="Arial"/>
                <w:b/>
                <w:bCs/>
                <w:sz w:val="20"/>
                <w:szCs w:val="20"/>
              </w:rPr>
              <w:t>Main Progress in 202</w:t>
            </w:r>
            <w:r w:rsidR="00B703F2">
              <w:rPr>
                <w:rFonts w:ascii="Arial" w:hAnsi="Arial" w:hint="cs"/>
                <w:b/>
                <w:bCs/>
                <w:sz w:val="20"/>
                <w:szCs w:val="20"/>
                <w:rtl/>
              </w:rPr>
              <w:t>3</w:t>
            </w:r>
            <w:r w:rsidRPr="00866EE6">
              <w:rPr>
                <w:rFonts w:ascii="Arial" w:hAnsi="Arial"/>
                <w:b/>
                <w:bCs/>
                <w:sz w:val="20"/>
                <w:szCs w:val="20"/>
              </w:rPr>
              <w:t>/2</w:t>
            </w:r>
            <w:r w:rsidR="00B703F2">
              <w:rPr>
                <w:rFonts w:ascii="Arial" w:hAnsi="Arial" w:hint="cs"/>
                <w:b/>
                <w:bCs/>
                <w:sz w:val="20"/>
                <w:szCs w:val="20"/>
                <w:rtl/>
              </w:rPr>
              <w:t>4</w:t>
            </w:r>
            <w:r w:rsidRPr="00866EE6">
              <w:rPr>
                <w:rFonts w:ascii="Arial" w:hAnsi="Arial"/>
                <w:b/>
                <w:bCs/>
                <w:sz w:val="20"/>
                <w:szCs w:val="20"/>
              </w:rPr>
              <w:t xml:space="preserve">: </w:t>
            </w:r>
          </w:p>
          <w:p w14:paraId="04ADCA2F" w14:textId="77777777" w:rsidR="00C03E74" w:rsidRDefault="00C03E74" w:rsidP="00626BF8">
            <w:pPr>
              <w:bidi w:val="0"/>
              <w:spacing w:after="0" w:line="276" w:lineRule="auto"/>
              <w:jc w:val="both"/>
              <w:rPr>
                <w:rFonts w:ascii="Arial" w:hAnsi="Arial"/>
                <w:b/>
                <w:bCs/>
                <w:sz w:val="20"/>
                <w:szCs w:val="20"/>
              </w:rPr>
            </w:pPr>
            <w:r w:rsidRPr="00866EE6">
              <w:rPr>
                <w:rFonts w:ascii="Arial" w:hAnsi="Arial"/>
                <w:b/>
                <w:bCs/>
                <w:sz w:val="20"/>
                <w:szCs w:val="20"/>
              </w:rPr>
              <w:t xml:space="preserve">Outcomes:  </w:t>
            </w:r>
          </w:p>
          <w:p w14:paraId="1A321204" w14:textId="1FE3A543" w:rsidR="00805859" w:rsidRDefault="00805859" w:rsidP="00805859">
            <w:pPr>
              <w:pStyle w:val="ListParagraph"/>
              <w:numPr>
                <w:ilvl w:val="0"/>
                <w:numId w:val="19"/>
              </w:numPr>
              <w:bidi w:val="0"/>
              <w:spacing w:after="0" w:line="276" w:lineRule="auto"/>
              <w:jc w:val="both"/>
              <w:rPr>
                <w:rFonts w:ascii="Arial" w:hAnsi="Arial"/>
                <w:sz w:val="20"/>
                <w:szCs w:val="20"/>
              </w:rPr>
            </w:pPr>
            <w:r>
              <w:rPr>
                <w:rFonts w:ascii="Arial" w:hAnsi="Arial"/>
                <w:sz w:val="20"/>
                <w:szCs w:val="20"/>
              </w:rPr>
              <w:t xml:space="preserve">The IWN championed the lawsuit against the ultra-Orthodox “Beit </w:t>
            </w:r>
            <w:proofErr w:type="spellStart"/>
            <w:r>
              <w:rPr>
                <w:rFonts w:ascii="Arial" w:hAnsi="Arial"/>
                <w:sz w:val="20"/>
                <w:szCs w:val="20"/>
              </w:rPr>
              <w:t>Ya’akov</w:t>
            </w:r>
            <w:proofErr w:type="spellEnd"/>
            <w:r>
              <w:rPr>
                <w:rFonts w:ascii="Arial" w:hAnsi="Arial"/>
                <w:sz w:val="20"/>
                <w:szCs w:val="20"/>
              </w:rPr>
              <w:t xml:space="preserve">” institutions for depriving the caretakers and instructors they employ of their social rights. The courts awarded the plaintiffs </w:t>
            </w:r>
            <w:r w:rsidR="004C0D2C">
              <w:rPr>
                <w:rFonts w:ascii="Arial" w:hAnsi="Arial"/>
                <w:sz w:val="20"/>
                <w:szCs w:val="20"/>
              </w:rPr>
              <w:t>7</w:t>
            </w:r>
            <w:r>
              <w:rPr>
                <w:rFonts w:ascii="Arial" w:hAnsi="Arial"/>
                <w:sz w:val="20"/>
                <w:szCs w:val="20"/>
              </w:rPr>
              <w:t xml:space="preserve"> million shekels in compensation.</w:t>
            </w:r>
          </w:p>
          <w:p w14:paraId="0DE9EBFD" w14:textId="210C901B" w:rsidR="00805859" w:rsidRDefault="00805859" w:rsidP="00805859">
            <w:pPr>
              <w:pStyle w:val="ListParagraph"/>
              <w:numPr>
                <w:ilvl w:val="0"/>
                <w:numId w:val="19"/>
              </w:numPr>
              <w:bidi w:val="0"/>
              <w:spacing w:after="0" w:line="276" w:lineRule="auto"/>
              <w:jc w:val="both"/>
              <w:rPr>
                <w:rFonts w:ascii="Arial" w:hAnsi="Arial"/>
                <w:sz w:val="20"/>
                <w:szCs w:val="20"/>
              </w:rPr>
            </w:pPr>
            <w:r>
              <w:rPr>
                <w:rFonts w:ascii="Arial" w:hAnsi="Arial"/>
                <w:sz w:val="20"/>
                <w:szCs w:val="20"/>
              </w:rPr>
              <w:t xml:space="preserve">The </w:t>
            </w:r>
            <w:r w:rsidR="0063054D">
              <w:rPr>
                <w:rFonts w:ascii="Arial" w:hAnsi="Arial"/>
                <w:sz w:val="20"/>
                <w:szCs w:val="20"/>
              </w:rPr>
              <w:t>Executive Director</w:t>
            </w:r>
            <w:r>
              <w:rPr>
                <w:rFonts w:ascii="Arial" w:hAnsi="Arial"/>
                <w:sz w:val="20"/>
                <w:szCs w:val="20"/>
              </w:rPr>
              <w:t xml:space="preserve"> of </w:t>
            </w:r>
            <w:r w:rsidR="002A78C6">
              <w:rPr>
                <w:rFonts w:ascii="Arial" w:hAnsi="Arial"/>
                <w:sz w:val="20"/>
                <w:szCs w:val="20"/>
              </w:rPr>
              <w:t xml:space="preserve">the </w:t>
            </w:r>
            <w:r>
              <w:rPr>
                <w:rFonts w:ascii="Arial" w:hAnsi="Arial"/>
                <w:sz w:val="20"/>
                <w:szCs w:val="20"/>
              </w:rPr>
              <w:t xml:space="preserve">IWN participated in the UN forum on the gender-based war crimes perpetrated on October 7. In the </w:t>
            </w:r>
            <w:r w:rsidR="004C0D2C">
              <w:rPr>
                <w:rFonts w:ascii="Arial" w:hAnsi="Arial"/>
                <w:sz w:val="20"/>
                <w:szCs w:val="20"/>
              </w:rPr>
              <w:t>run-up</w:t>
            </w:r>
            <w:r>
              <w:rPr>
                <w:rFonts w:ascii="Arial" w:hAnsi="Arial"/>
                <w:sz w:val="20"/>
                <w:szCs w:val="20"/>
              </w:rPr>
              <w:t xml:space="preserve"> to the forum, t</w:t>
            </w:r>
            <w:r w:rsidRPr="00805859">
              <w:rPr>
                <w:rFonts w:ascii="Arial" w:hAnsi="Arial"/>
                <w:sz w:val="20"/>
                <w:szCs w:val="20"/>
              </w:rPr>
              <w:t>he organization</w:t>
            </w:r>
            <w:r>
              <w:rPr>
                <w:rFonts w:ascii="Arial" w:hAnsi="Arial"/>
                <w:sz w:val="20"/>
                <w:szCs w:val="20"/>
              </w:rPr>
              <w:t xml:space="preserve"> submitted two appeals to the UN and UN Women with signatures from over 170 women’s rights organizations from Israel and the world (Spain, Australia, Germany, and more)</w:t>
            </w:r>
            <w:r w:rsidR="004C0D2C">
              <w:rPr>
                <w:rFonts w:ascii="Arial" w:hAnsi="Arial"/>
                <w:sz w:val="20"/>
                <w:szCs w:val="20"/>
              </w:rPr>
              <w:t>. T</w:t>
            </w:r>
            <w:r>
              <w:rPr>
                <w:rFonts w:ascii="Arial" w:hAnsi="Arial"/>
                <w:sz w:val="20"/>
                <w:szCs w:val="20"/>
              </w:rPr>
              <w:t xml:space="preserve">hanks to </w:t>
            </w:r>
            <w:r w:rsidR="004C0D2C">
              <w:rPr>
                <w:rFonts w:ascii="Arial" w:hAnsi="Arial"/>
                <w:sz w:val="20"/>
                <w:szCs w:val="20"/>
              </w:rPr>
              <w:t>this,</w:t>
            </w:r>
            <w:r>
              <w:rPr>
                <w:rFonts w:ascii="Arial" w:hAnsi="Arial"/>
                <w:sz w:val="20"/>
                <w:szCs w:val="20"/>
              </w:rPr>
              <w:t xml:space="preserve"> it now has professional ties with these institutions. </w:t>
            </w:r>
          </w:p>
          <w:p w14:paraId="620EF5CA" w14:textId="06367995" w:rsidR="00610C61" w:rsidRDefault="003A5514" w:rsidP="00610C61">
            <w:pPr>
              <w:pStyle w:val="ListParagraph"/>
              <w:numPr>
                <w:ilvl w:val="0"/>
                <w:numId w:val="19"/>
              </w:numPr>
              <w:bidi w:val="0"/>
              <w:spacing w:after="0" w:line="276" w:lineRule="auto"/>
              <w:jc w:val="both"/>
              <w:rPr>
                <w:rFonts w:ascii="Arial" w:hAnsi="Arial"/>
                <w:sz w:val="20"/>
                <w:szCs w:val="20"/>
              </w:rPr>
            </w:pPr>
            <w:r>
              <w:rPr>
                <w:rFonts w:ascii="Arial" w:hAnsi="Arial"/>
                <w:sz w:val="20"/>
                <w:szCs w:val="20"/>
              </w:rPr>
              <w:t xml:space="preserve">The </w:t>
            </w:r>
            <w:r w:rsidR="00610C61">
              <w:rPr>
                <w:rFonts w:ascii="Arial" w:hAnsi="Arial"/>
                <w:sz w:val="20"/>
                <w:szCs w:val="20"/>
              </w:rPr>
              <w:t xml:space="preserve">IWN was a leader in raising awareness </w:t>
            </w:r>
            <w:r w:rsidR="004C0D2C">
              <w:rPr>
                <w:rFonts w:ascii="Arial" w:hAnsi="Arial"/>
                <w:sz w:val="20"/>
                <w:szCs w:val="20"/>
              </w:rPr>
              <w:t>of</w:t>
            </w:r>
            <w:r w:rsidR="00610C61">
              <w:rPr>
                <w:rFonts w:ascii="Arial" w:hAnsi="Arial"/>
                <w:sz w:val="20"/>
                <w:szCs w:val="20"/>
              </w:rPr>
              <w:t xml:space="preserve"> gender inequality in the context of the war. The organization produced a detailed document presenting to the government all the repercussions of the war that pertain exclusively or predominantly to women and the solutions they need to implement </w:t>
            </w:r>
            <w:proofErr w:type="gramStart"/>
            <w:r w:rsidR="00610C61">
              <w:rPr>
                <w:rFonts w:ascii="Arial" w:hAnsi="Arial"/>
                <w:sz w:val="20"/>
                <w:szCs w:val="20"/>
              </w:rPr>
              <w:t>in order to</w:t>
            </w:r>
            <w:proofErr w:type="gramEnd"/>
            <w:r w:rsidR="00610C61">
              <w:rPr>
                <w:rFonts w:ascii="Arial" w:hAnsi="Arial"/>
                <w:sz w:val="20"/>
                <w:szCs w:val="20"/>
              </w:rPr>
              <w:t xml:space="preserve"> address the problem. The document was composed under the guidance of </w:t>
            </w:r>
            <w:r>
              <w:rPr>
                <w:rFonts w:ascii="Arial" w:hAnsi="Arial"/>
                <w:sz w:val="20"/>
                <w:szCs w:val="20"/>
              </w:rPr>
              <w:t xml:space="preserve">the </w:t>
            </w:r>
            <w:r w:rsidR="00610C61">
              <w:rPr>
                <w:rFonts w:ascii="Arial" w:hAnsi="Arial"/>
                <w:sz w:val="20"/>
                <w:szCs w:val="20"/>
              </w:rPr>
              <w:t xml:space="preserve">IWN and signed by over forty organizations—an extraordinary and significant collaboration initiated by </w:t>
            </w:r>
            <w:r>
              <w:rPr>
                <w:rFonts w:ascii="Arial" w:hAnsi="Arial"/>
                <w:sz w:val="20"/>
                <w:szCs w:val="20"/>
              </w:rPr>
              <w:t xml:space="preserve">the </w:t>
            </w:r>
            <w:r w:rsidR="00610C61">
              <w:rPr>
                <w:rFonts w:ascii="Arial" w:hAnsi="Arial"/>
                <w:sz w:val="20"/>
                <w:szCs w:val="20"/>
              </w:rPr>
              <w:t>IWN.</w:t>
            </w:r>
          </w:p>
          <w:p w14:paraId="72F83F04" w14:textId="06A31346" w:rsidR="00610C61" w:rsidRPr="00805859" w:rsidRDefault="00610C61" w:rsidP="00610C61">
            <w:pPr>
              <w:pStyle w:val="ListParagraph"/>
              <w:numPr>
                <w:ilvl w:val="0"/>
                <w:numId w:val="19"/>
              </w:numPr>
              <w:bidi w:val="0"/>
              <w:spacing w:after="0" w:line="276" w:lineRule="auto"/>
              <w:jc w:val="both"/>
              <w:rPr>
                <w:rFonts w:ascii="Arial" w:hAnsi="Arial"/>
                <w:sz w:val="20"/>
                <w:szCs w:val="20"/>
                <w:rtl/>
              </w:rPr>
            </w:pPr>
            <w:r>
              <w:rPr>
                <w:rFonts w:ascii="Arial" w:hAnsi="Arial"/>
                <w:sz w:val="20"/>
                <w:szCs w:val="20"/>
              </w:rPr>
              <w:t xml:space="preserve">In April, </w:t>
            </w:r>
            <w:r w:rsidR="003A5514">
              <w:rPr>
                <w:rFonts w:ascii="Arial" w:hAnsi="Arial"/>
                <w:sz w:val="20"/>
                <w:szCs w:val="20"/>
              </w:rPr>
              <w:t xml:space="preserve">the </w:t>
            </w:r>
            <w:r>
              <w:rPr>
                <w:rFonts w:ascii="Arial" w:hAnsi="Arial"/>
                <w:sz w:val="20"/>
                <w:szCs w:val="20"/>
              </w:rPr>
              <w:t xml:space="preserve">IWN launched the “Alice </w:t>
            </w:r>
            <w:r w:rsidR="003A5514">
              <w:rPr>
                <w:rFonts w:ascii="Arial" w:hAnsi="Arial"/>
                <w:sz w:val="20"/>
                <w:szCs w:val="20"/>
              </w:rPr>
              <w:t>L</w:t>
            </w:r>
            <w:r>
              <w:rPr>
                <w:rFonts w:ascii="Arial" w:hAnsi="Arial"/>
                <w:sz w:val="20"/>
                <w:szCs w:val="20"/>
              </w:rPr>
              <w:t xml:space="preserve">ine”—a help hotline for women victims of the war in honor of Alice </w:t>
            </w:r>
            <w:proofErr w:type="spellStart"/>
            <w:r>
              <w:rPr>
                <w:rFonts w:ascii="Arial" w:hAnsi="Arial"/>
                <w:sz w:val="20"/>
                <w:szCs w:val="20"/>
              </w:rPr>
              <w:t>Shalvi</w:t>
            </w:r>
            <w:proofErr w:type="spellEnd"/>
            <w:r>
              <w:rPr>
                <w:rFonts w:ascii="Arial" w:hAnsi="Arial"/>
                <w:sz w:val="20"/>
                <w:szCs w:val="20"/>
              </w:rPr>
              <w:t xml:space="preserve">. A digital campaign accompanied the launch, thanks to which 8,000 people learned about the hotline online. </w:t>
            </w:r>
            <w:r w:rsidRPr="00610C61">
              <w:rPr>
                <w:rFonts w:ascii="Arial" w:hAnsi="Arial"/>
                <w:sz w:val="20"/>
                <w:szCs w:val="20"/>
                <w:highlight w:val="yellow"/>
              </w:rPr>
              <w:t xml:space="preserve">An ad was likewise broadcast on </w:t>
            </w:r>
            <w:r w:rsidR="004C0D2C">
              <w:rPr>
                <w:rFonts w:ascii="Arial" w:hAnsi="Arial"/>
                <w:sz w:val="20"/>
                <w:szCs w:val="20"/>
                <w:highlight w:val="yellow"/>
              </w:rPr>
              <w:t>prime-time</w:t>
            </w:r>
            <w:r w:rsidRPr="00610C61">
              <w:rPr>
                <w:rFonts w:ascii="Arial" w:hAnsi="Arial"/>
                <w:sz w:val="20"/>
                <w:szCs w:val="20"/>
                <w:highlight w:val="yellow"/>
              </w:rPr>
              <w:t xml:space="preserve"> television</w:t>
            </w:r>
            <w:r>
              <w:rPr>
                <w:rFonts w:ascii="Arial" w:hAnsi="Arial"/>
                <w:sz w:val="20"/>
                <w:szCs w:val="20"/>
              </w:rPr>
              <w:t xml:space="preserve">. </w:t>
            </w:r>
          </w:p>
          <w:p w14:paraId="3896673A" w14:textId="77777777" w:rsidR="00C03E74" w:rsidRPr="00866EE6" w:rsidRDefault="00C03E74" w:rsidP="00F9520D">
            <w:pPr>
              <w:spacing w:after="0" w:line="276" w:lineRule="auto"/>
              <w:jc w:val="both"/>
              <w:rPr>
                <w:rFonts w:ascii="Arial" w:hAnsi="Arial"/>
                <w:sz w:val="20"/>
                <w:szCs w:val="20"/>
                <w:rtl/>
              </w:rPr>
            </w:pPr>
          </w:p>
          <w:p w14:paraId="7D02EFC3" w14:textId="77777777" w:rsidR="00C03E74" w:rsidRDefault="00C03E74" w:rsidP="00626BF8">
            <w:pPr>
              <w:bidi w:val="0"/>
              <w:spacing w:after="0" w:line="276" w:lineRule="auto"/>
              <w:jc w:val="both"/>
              <w:rPr>
                <w:rFonts w:ascii="Arial" w:hAnsi="Arial"/>
                <w:sz w:val="20"/>
                <w:szCs w:val="20"/>
              </w:rPr>
            </w:pPr>
            <w:r w:rsidRPr="00866EE6">
              <w:rPr>
                <w:rFonts w:ascii="Arial" w:hAnsi="Arial"/>
                <w:b/>
                <w:bCs/>
                <w:sz w:val="20"/>
                <w:szCs w:val="20"/>
              </w:rPr>
              <w:t>Outputs:</w:t>
            </w:r>
            <w:r w:rsidRPr="00866EE6">
              <w:rPr>
                <w:rFonts w:ascii="Arial" w:hAnsi="Arial"/>
                <w:sz w:val="20"/>
                <w:szCs w:val="20"/>
              </w:rPr>
              <w:t xml:space="preserve"> </w:t>
            </w:r>
          </w:p>
          <w:p w14:paraId="74B507EB" w14:textId="757CB848" w:rsidR="00610C61" w:rsidRDefault="003A5514" w:rsidP="00610C61">
            <w:pPr>
              <w:pStyle w:val="ListParagraph"/>
              <w:numPr>
                <w:ilvl w:val="0"/>
                <w:numId w:val="20"/>
              </w:numPr>
              <w:bidi w:val="0"/>
              <w:spacing w:after="0" w:line="276" w:lineRule="auto"/>
              <w:jc w:val="both"/>
              <w:rPr>
                <w:rFonts w:ascii="Arial" w:hAnsi="Arial"/>
                <w:sz w:val="20"/>
                <w:szCs w:val="20"/>
              </w:rPr>
            </w:pPr>
            <w:r>
              <w:rPr>
                <w:rFonts w:ascii="Arial" w:hAnsi="Arial"/>
                <w:sz w:val="20"/>
                <w:szCs w:val="20"/>
              </w:rPr>
              <w:t xml:space="preserve">The </w:t>
            </w:r>
            <w:r w:rsidR="00610C61">
              <w:rPr>
                <w:rFonts w:ascii="Arial" w:hAnsi="Arial"/>
                <w:sz w:val="20"/>
                <w:szCs w:val="20"/>
              </w:rPr>
              <w:t xml:space="preserve">IWN has established two new </w:t>
            </w:r>
            <w:r>
              <w:rPr>
                <w:rFonts w:ascii="Arial" w:hAnsi="Arial"/>
                <w:sz w:val="20"/>
                <w:szCs w:val="20"/>
              </w:rPr>
              <w:t>divisions</w:t>
            </w:r>
            <w:r w:rsidR="00610C61">
              <w:rPr>
                <w:rFonts w:ascii="Arial" w:hAnsi="Arial"/>
                <w:sz w:val="20"/>
                <w:szCs w:val="20"/>
              </w:rPr>
              <w:t>—</w:t>
            </w:r>
            <w:r>
              <w:rPr>
                <w:rFonts w:ascii="Arial" w:hAnsi="Arial"/>
                <w:sz w:val="20"/>
                <w:szCs w:val="20"/>
              </w:rPr>
              <w:t>an international division</w:t>
            </w:r>
            <w:r w:rsidR="0063054D">
              <w:rPr>
                <w:rFonts w:ascii="Arial" w:hAnsi="Arial"/>
                <w:sz w:val="20"/>
                <w:szCs w:val="20"/>
              </w:rPr>
              <w:t xml:space="preserve"> </w:t>
            </w:r>
            <w:r w:rsidR="00610C61">
              <w:rPr>
                <w:rFonts w:ascii="Arial" w:hAnsi="Arial"/>
                <w:sz w:val="20"/>
                <w:szCs w:val="20"/>
              </w:rPr>
              <w:t>for developing cooperation with women’s rights organizations in the international arena and contributing to the struggle</w:t>
            </w:r>
            <w:r w:rsidR="00854D60">
              <w:rPr>
                <w:rFonts w:ascii="Arial" w:hAnsi="Arial"/>
                <w:sz w:val="20"/>
                <w:szCs w:val="20"/>
              </w:rPr>
              <w:t xml:space="preserve"> against</w:t>
            </w:r>
            <w:r w:rsidR="00610C61">
              <w:rPr>
                <w:rFonts w:ascii="Arial" w:hAnsi="Arial"/>
                <w:sz w:val="20"/>
                <w:szCs w:val="20"/>
              </w:rPr>
              <w:t xml:space="preserve"> and research </w:t>
            </w:r>
            <w:r w:rsidR="004C0D2C">
              <w:rPr>
                <w:rFonts w:ascii="Arial" w:hAnsi="Arial"/>
                <w:sz w:val="20"/>
                <w:szCs w:val="20"/>
              </w:rPr>
              <w:t>concerning</w:t>
            </w:r>
            <w:r w:rsidR="00610C61">
              <w:rPr>
                <w:rFonts w:ascii="Arial" w:hAnsi="Arial"/>
                <w:sz w:val="20"/>
                <w:szCs w:val="20"/>
              </w:rPr>
              <w:t xml:space="preserve"> threats </w:t>
            </w:r>
            <w:r w:rsidR="00854D60">
              <w:rPr>
                <w:rFonts w:ascii="Arial" w:hAnsi="Arial"/>
                <w:sz w:val="20"/>
                <w:szCs w:val="20"/>
              </w:rPr>
              <w:t xml:space="preserve">to democracy, and a </w:t>
            </w:r>
            <w:r>
              <w:rPr>
                <w:rFonts w:ascii="Arial" w:hAnsi="Arial"/>
                <w:sz w:val="20"/>
                <w:szCs w:val="20"/>
              </w:rPr>
              <w:t>research division,</w:t>
            </w:r>
            <w:r w:rsidR="00854D60">
              <w:rPr>
                <w:rFonts w:ascii="Arial" w:hAnsi="Arial"/>
                <w:sz w:val="20"/>
                <w:szCs w:val="20"/>
              </w:rPr>
              <w:t xml:space="preserve"> which, when staffed, will work to support </w:t>
            </w:r>
            <w:r>
              <w:rPr>
                <w:rFonts w:ascii="Arial" w:hAnsi="Arial"/>
                <w:sz w:val="20"/>
                <w:szCs w:val="20"/>
              </w:rPr>
              <w:t xml:space="preserve">the </w:t>
            </w:r>
            <w:r w:rsidR="00854D60">
              <w:rPr>
                <w:rFonts w:ascii="Arial" w:hAnsi="Arial"/>
                <w:sz w:val="20"/>
                <w:szCs w:val="20"/>
              </w:rPr>
              <w:t>IWN’s endeavors with relevant research.</w:t>
            </w:r>
          </w:p>
          <w:p w14:paraId="5FFDBAC7" w14:textId="26491A2A" w:rsidR="00854D60" w:rsidRDefault="003A5514" w:rsidP="00854D60">
            <w:pPr>
              <w:pStyle w:val="ListParagraph"/>
              <w:numPr>
                <w:ilvl w:val="0"/>
                <w:numId w:val="20"/>
              </w:numPr>
              <w:bidi w:val="0"/>
              <w:spacing w:after="0" w:line="276" w:lineRule="auto"/>
              <w:jc w:val="both"/>
              <w:rPr>
                <w:rFonts w:ascii="Arial" w:hAnsi="Arial"/>
                <w:sz w:val="20"/>
                <w:szCs w:val="20"/>
              </w:rPr>
            </w:pPr>
            <w:r>
              <w:rPr>
                <w:rFonts w:ascii="Arial" w:hAnsi="Arial"/>
                <w:sz w:val="20"/>
                <w:szCs w:val="20"/>
              </w:rPr>
              <w:t xml:space="preserve">The </w:t>
            </w:r>
            <w:r w:rsidR="00854D60">
              <w:rPr>
                <w:rFonts w:ascii="Arial" w:hAnsi="Arial"/>
                <w:sz w:val="20"/>
                <w:szCs w:val="20"/>
              </w:rPr>
              <w:t xml:space="preserve">IWN launched a new podcast hosted by </w:t>
            </w:r>
            <w:r w:rsidR="004C0D2C">
              <w:rPr>
                <w:rFonts w:ascii="Arial" w:hAnsi="Arial"/>
                <w:sz w:val="20"/>
                <w:szCs w:val="20"/>
              </w:rPr>
              <w:t>Channel</w:t>
            </w:r>
            <w:r w:rsidR="00854D60">
              <w:rPr>
                <w:rFonts w:ascii="Arial" w:hAnsi="Arial"/>
                <w:sz w:val="20"/>
                <w:szCs w:val="20"/>
              </w:rPr>
              <w:t xml:space="preserve"> 12 news journalist Dana Weiss, which examines women’s representation in </w:t>
            </w:r>
            <w:r w:rsidR="004C0D2C">
              <w:rPr>
                <w:rFonts w:ascii="Arial" w:hAnsi="Arial"/>
                <w:sz w:val="20"/>
                <w:szCs w:val="20"/>
              </w:rPr>
              <w:t>decision-making</w:t>
            </w:r>
            <w:r w:rsidR="00854D60">
              <w:rPr>
                <w:rFonts w:ascii="Arial" w:hAnsi="Arial"/>
                <w:sz w:val="20"/>
                <w:szCs w:val="20"/>
              </w:rPr>
              <w:t xml:space="preserve"> centers in Israel. So far, the four episodes of the podcast that have aired have accrued 2500 listens and a similar number of downloads. </w:t>
            </w:r>
          </w:p>
          <w:p w14:paraId="23F3609A" w14:textId="77777777" w:rsidR="00854D60" w:rsidRDefault="00854D60" w:rsidP="00854D60">
            <w:pPr>
              <w:pStyle w:val="ListParagraph"/>
              <w:numPr>
                <w:ilvl w:val="0"/>
                <w:numId w:val="20"/>
              </w:numPr>
              <w:bidi w:val="0"/>
              <w:spacing w:after="0" w:line="276" w:lineRule="auto"/>
              <w:jc w:val="both"/>
              <w:rPr>
                <w:rFonts w:ascii="Arial" w:hAnsi="Arial"/>
                <w:sz w:val="20"/>
                <w:szCs w:val="20"/>
              </w:rPr>
            </w:pPr>
            <w:r>
              <w:rPr>
                <w:rFonts w:ascii="Arial" w:hAnsi="Arial"/>
                <w:sz w:val="20"/>
                <w:szCs w:val="20"/>
              </w:rPr>
              <w:t xml:space="preserve">The Alice </w:t>
            </w:r>
            <w:r w:rsidR="003A5514">
              <w:rPr>
                <w:rFonts w:ascii="Arial" w:hAnsi="Arial"/>
                <w:sz w:val="20"/>
                <w:szCs w:val="20"/>
              </w:rPr>
              <w:t>Li</w:t>
            </w:r>
            <w:r>
              <w:rPr>
                <w:rFonts w:ascii="Arial" w:hAnsi="Arial"/>
                <w:sz w:val="20"/>
                <w:szCs w:val="20"/>
              </w:rPr>
              <w:t xml:space="preserve">ne has received about 1,000 calls in five languages (English, Hebrew, Arabic, Russian, and Amharic). </w:t>
            </w:r>
          </w:p>
          <w:p w14:paraId="4ACDB488" w14:textId="77777777" w:rsidR="00854D60" w:rsidRDefault="003A5514" w:rsidP="00854D60">
            <w:pPr>
              <w:pStyle w:val="ListParagraph"/>
              <w:numPr>
                <w:ilvl w:val="0"/>
                <w:numId w:val="20"/>
              </w:numPr>
              <w:bidi w:val="0"/>
              <w:spacing w:after="0" w:line="276" w:lineRule="auto"/>
              <w:jc w:val="both"/>
              <w:rPr>
                <w:rFonts w:ascii="Arial" w:hAnsi="Arial"/>
                <w:sz w:val="20"/>
                <w:szCs w:val="20"/>
              </w:rPr>
            </w:pPr>
            <w:r>
              <w:rPr>
                <w:rFonts w:ascii="Arial" w:hAnsi="Arial"/>
                <w:sz w:val="20"/>
                <w:szCs w:val="20"/>
              </w:rPr>
              <w:t xml:space="preserve">The </w:t>
            </w:r>
            <w:r w:rsidR="00854D60">
              <w:rPr>
                <w:rFonts w:ascii="Arial" w:hAnsi="Arial"/>
                <w:sz w:val="20"/>
                <w:szCs w:val="20"/>
              </w:rPr>
              <w:t xml:space="preserve">IWN has </w:t>
            </w:r>
            <w:r>
              <w:rPr>
                <w:rFonts w:ascii="Arial" w:hAnsi="Arial"/>
                <w:sz w:val="20"/>
                <w:szCs w:val="20"/>
              </w:rPr>
              <w:t>produced</w:t>
            </w:r>
            <w:r w:rsidR="00854D60">
              <w:rPr>
                <w:rFonts w:ascii="Arial" w:hAnsi="Arial"/>
                <w:sz w:val="20"/>
                <w:szCs w:val="20"/>
              </w:rPr>
              <w:t xml:space="preserve"> five bill proposals pertaining to issues of gender equality and women’s rights, especially during wartime. The bills are being promoted by </w:t>
            </w:r>
            <w:r>
              <w:rPr>
                <w:rFonts w:ascii="Arial" w:hAnsi="Arial"/>
                <w:sz w:val="20"/>
                <w:szCs w:val="20"/>
              </w:rPr>
              <w:t xml:space="preserve">both </w:t>
            </w:r>
            <w:r w:rsidR="00854D60">
              <w:rPr>
                <w:rFonts w:ascii="Arial" w:hAnsi="Arial"/>
                <w:sz w:val="20"/>
                <w:szCs w:val="20"/>
              </w:rPr>
              <w:t>the coalition and the opposition (for instance, a bill proposal to have time served in active reserve duty be counted toward maternity leave).</w:t>
            </w:r>
          </w:p>
          <w:p w14:paraId="5093B546" w14:textId="36B950DE" w:rsidR="00C03E74" w:rsidRPr="0063054D" w:rsidRDefault="00854D60" w:rsidP="0063054D">
            <w:pPr>
              <w:pStyle w:val="ListParagraph"/>
              <w:numPr>
                <w:ilvl w:val="0"/>
                <w:numId w:val="20"/>
              </w:numPr>
              <w:bidi w:val="0"/>
              <w:spacing w:after="0" w:line="276" w:lineRule="auto"/>
              <w:jc w:val="both"/>
              <w:rPr>
                <w:rFonts w:ascii="Arial" w:hAnsi="Arial"/>
                <w:sz w:val="20"/>
                <w:szCs w:val="20"/>
              </w:rPr>
            </w:pPr>
            <w:r>
              <w:rPr>
                <w:rFonts w:ascii="Arial" w:hAnsi="Arial"/>
                <w:sz w:val="20"/>
                <w:szCs w:val="20"/>
              </w:rPr>
              <w:lastRenderedPageBreak/>
              <w:t xml:space="preserve">The organization published seventeen position papers (for instance, a paper </w:t>
            </w:r>
            <w:r w:rsidR="004C0D2C">
              <w:rPr>
                <w:rFonts w:ascii="Arial" w:hAnsi="Arial"/>
                <w:sz w:val="20"/>
                <w:szCs w:val="20"/>
              </w:rPr>
              <w:t>regarding</w:t>
            </w:r>
            <w:r>
              <w:rPr>
                <w:rFonts w:ascii="Arial" w:hAnsi="Arial"/>
                <w:sz w:val="20"/>
                <w:szCs w:val="20"/>
              </w:rPr>
              <w:t xml:space="preserve"> </w:t>
            </w:r>
            <w:r w:rsidR="0063054D">
              <w:rPr>
                <w:rFonts w:ascii="Arial" w:hAnsi="Arial"/>
                <w:sz w:val="20"/>
                <w:szCs w:val="20"/>
              </w:rPr>
              <w:t>undocumented women who are victims of violence and abuse</w:t>
            </w:r>
            <w:r w:rsidR="004C0D2C">
              <w:rPr>
                <w:rFonts w:ascii="Arial" w:hAnsi="Arial"/>
                <w:sz w:val="20"/>
                <w:szCs w:val="20"/>
              </w:rPr>
              <w:t xml:space="preserve">, </w:t>
            </w:r>
            <w:r w:rsidR="0063054D">
              <w:rPr>
                <w:rFonts w:ascii="Arial" w:hAnsi="Arial"/>
                <w:sz w:val="20"/>
                <w:szCs w:val="20"/>
              </w:rPr>
              <w:t>several papers about the Electronic Monitoring Law</w:t>
            </w:r>
            <w:r w:rsidR="004C0D2C">
              <w:rPr>
                <w:rFonts w:ascii="Arial" w:hAnsi="Arial"/>
                <w:sz w:val="20"/>
                <w:szCs w:val="20"/>
              </w:rPr>
              <w:t>,</w:t>
            </w:r>
            <w:r w:rsidR="0063054D">
              <w:rPr>
                <w:rFonts w:ascii="Arial" w:hAnsi="Arial"/>
                <w:sz w:val="20"/>
                <w:szCs w:val="20"/>
              </w:rPr>
              <w:t xml:space="preserve"> and the repercussions of the dissolution of the </w:t>
            </w:r>
            <w:r w:rsidR="0063054D" w:rsidRPr="0063054D">
              <w:rPr>
                <w:rFonts w:ascii="Arial" w:hAnsi="Arial"/>
                <w:sz w:val="20"/>
                <w:szCs w:val="20"/>
              </w:rPr>
              <w:t>Authority for the Advancement of the Status of Women</w:t>
            </w:r>
            <w:r w:rsidR="0063054D">
              <w:rPr>
                <w:rFonts w:ascii="Arial" w:hAnsi="Arial"/>
                <w:sz w:val="20"/>
                <w:szCs w:val="20"/>
              </w:rPr>
              <w:t>.</w:t>
            </w:r>
          </w:p>
        </w:tc>
      </w:tr>
      <w:tr w:rsidR="00C03E74" w14:paraId="453072CF" w14:textId="77777777">
        <w:tc>
          <w:tcPr>
            <w:tcW w:w="9736" w:type="dxa"/>
            <w:gridSpan w:val="8"/>
          </w:tcPr>
          <w:p w14:paraId="462CB432" w14:textId="77777777" w:rsidR="00C03E74" w:rsidRDefault="00C03E74" w:rsidP="00B31095">
            <w:pPr>
              <w:bidi w:val="0"/>
              <w:spacing w:after="0" w:line="276" w:lineRule="auto"/>
              <w:jc w:val="both"/>
              <w:rPr>
                <w:rFonts w:ascii="Arial" w:hAnsi="Arial"/>
                <w:b/>
                <w:bCs/>
                <w:sz w:val="20"/>
                <w:szCs w:val="20"/>
              </w:rPr>
            </w:pPr>
            <w:proofErr w:type="gramStart"/>
            <w:r>
              <w:rPr>
                <w:rFonts w:ascii="Arial" w:hAnsi="Arial"/>
                <w:b/>
                <w:bCs/>
                <w:sz w:val="20"/>
                <w:szCs w:val="20"/>
              </w:rPr>
              <w:lastRenderedPageBreak/>
              <w:t xml:space="preserve">Particular </w:t>
            </w:r>
            <w:r>
              <w:rPr>
                <w:rFonts w:ascii="Arial" w:hAnsi="Arial"/>
                <w:b/>
                <w:bCs/>
                <w:sz w:val="20"/>
                <w:szCs w:val="20"/>
                <w:u w:val="single"/>
              </w:rPr>
              <w:t>challenges</w:t>
            </w:r>
            <w:proofErr w:type="gramEnd"/>
            <w:r>
              <w:rPr>
                <w:rFonts w:ascii="Arial" w:hAnsi="Arial"/>
                <w:b/>
                <w:bCs/>
                <w:sz w:val="20"/>
                <w:szCs w:val="20"/>
              </w:rPr>
              <w:t xml:space="preserve"> and/or significant program or organizational </w:t>
            </w:r>
            <w:r>
              <w:rPr>
                <w:rFonts w:ascii="Arial" w:hAnsi="Arial"/>
                <w:b/>
                <w:bCs/>
                <w:sz w:val="20"/>
                <w:szCs w:val="20"/>
                <w:u w:val="single"/>
              </w:rPr>
              <w:t>changes</w:t>
            </w:r>
            <w:r>
              <w:rPr>
                <w:rFonts w:ascii="Arial" w:hAnsi="Arial"/>
                <w:b/>
                <w:bCs/>
                <w:sz w:val="20"/>
                <w:szCs w:val="20"/>
              </w:rPr>
              <w:t xml:space="preserve">:  </w:t>
            </w:r>
          </w:p>
          <w:p w14:paraId="3C09AB72" w14:textId="7E60177B" w:rsidR="0063054D" w:rsidRDefault="0063054D" w:rsidP="0063054D">
            <w:pPr>
              <w:bidi w:val="0"/>
              <w:spacing w:after="0" w:line="276" w:lineRule="auto"/>
              <w:jc w:val="both"/>
              <w:rPr>
                <w:rFonts w:ascii="Arial" w:hAnsi="Arial"/>
                <w:sz w:val="20"/>
                <w:szCs w:val="20"/>
              </w:rPr>
            </w:pPr>
            <w:r>
              <w:rPr>
                <w:rFonts w:ascii="Arial" w:hAnsi="Arial"/>
                <w:sz w:val="20"/>
                <w:szCs w:val="20"/>
              </w:rPr>
              <w:t>After four years</w:t>
            </w:r>
            <w:r w:rsidR="004C0D2C">
              <w:rPr>
                <w:rFonts w:ascii="Arial" w:hAnsi="Arial"/>
                <w:sz w:val="20"/>
                <w:szCs w:val="20"/>
              </w:rPr>
              <w:t>,</w:t>
            </w:r>
            <w:r>
              <w:rPr>
                <w:rFonts w:ascii="Arial" w:hAnsi="Arial"/>
                <w:sz w:val="20"/>
                <w:szCs w:val="20"/>
              </w:rPr>
              <w:t xml:space="preserve"> during which the organization has seen a rapid succession of three </w:t>
            </w:r>
            <w:r w:rsidR="003A5514">
              <w:rPr>
                <w:rFonts w:ascii="Arial" w:hAnsi="Arial"/>
                <w:sz w:val="20"/>
                <w:szCs w:val="20"/>
              </w:rPr>
              <w:t>E</w:t>
            </w:r>
            <w:r>
              <w:rPr>
                <w:rFonts w:ascii="Arial" w:hAnsi="Arial"/>
                <w:sz w:val="20"/>
                <w:szCs w:val="20"/>
              </w:rPr>
              <w:t xml:space="preserve">xecutive </w:t>
            </w:r>
            <w:r w:rsidR="003A5514">
              <w:rPr>
                <w:rFonts w:ascii="Arial" w:hAnsi="Arial"/>
                <w:sz w:val="20"/>
                <w:szCs w:val="20"/>
              </w:rPr>
              <w:t>D</w:t>
            </w:r>
            <w:r>
              <w:rPr>
                <w:rFonts w:ascii="Arial" w:hAnsi="Arial"/>
                <w:sz w:val="20"/>
                <w:szCs w:val="20"/>
              </w:rPr>
              <w:t xml:space="preserve">irectors, about six months ago, the position was taken up by Executive Director Tal Hochman, who had managed the Government Relations Department at </w:t>
            </w:r>
            <w:r w:rsidR="003A5514">
              <w:rPr>
                <w:rFonts w:ascii="Arial" w:hAnsi="Arial"/>
                <w:sz w:val="20"/>
                <w:szCs w:val="20"/>
              </w:rPr>
              <w:t xml:space="preserve">the </w:t>
            </w:r>
            <w:r>
              <w:rPr>
                <w:rFonts w:ascii="Arial" w:hAnsi="Arial"/>
                <w:sz w:val="20"/>
                <w:szCs w:val="20"/>
              </w:rPr>
              <w:t xml:space="preserve">IWN for four years. The frequent </w:t>
            </w:r>
            <w:r w:rsidR="003A5514">
              <w:rPr>
                <w:rFonts w:ascii="Arial" w:hAnsi="Arial"/>
                <w:sz w:val="20"/>
                <w:szCs w:val="20"/>
              </w:rPr>
              <w:t>turnover</w:t>
            </w:r>
            <w:r>
              <w:rPr>
                <w:rFonts w:ascii="Arial" w:hAnsi="Arial"/>
                <w:sz w:val="20"/>
                <w:szCs w:val="20"/>
              </w:rPr>
              <w:t xml:space="preserve"> of directors impacted the organization and its stability. Furthermore, after many years of successful tenure, the chairwoman of </w:t>
            </w:r>
            <w:r w:rsidR="003A5514">
              <w:rPr>
                <w:rFonts w:ascii="Arial" w:hAnsi="Arial"/>
                <w:sz w:val="20"/>
                <w:szCs w:val="20"/>
              </w:rPr>
              <w:t xml:space="preserve">the </w:t>
            </w:r>
            <w:r>
              <w:rPr>
                <w:rFonts w:ascii="Arial" w:hAnsi="Arial"/>
                <w:sz w:val="20"/>
                <w:szCs w:val="20"/>
              </w:rPr>
              <w:t xml:space="preserve">IWN also left her position. </w:t>
            </w:r>
          </w:p>
          <w:p w14:paraId="5A03009D" w14:textId="7976D262" w:rsidR="0063054D" w:rsidRDefault="0063054D" w:rsidP="0063054D">
            <w:pPr>
              <w:bidi w:val="0"/>
              <w:spacing w:after="0" w:line="276" w:lineRule="auto"/>
              <w:jc w:val="both"/>
              <w:rPr>
                <w:rFonts w:ascii="Arial" w:hAnsi="Arial"/>
                <w:sz w:val="20"/>
                <w:szCs w:val="20"/>
              </w:rPr>
            </w:pPr>
            <w:r>
              <w:rPr>
                <w:rFonts w:ascii="Arial" w:hAnsi="Arial"/>
                <w:sz w:val="20"/>
                <w:szCs w:val="20"/>
              </w:rPr>
              <w:t xml:space="preserve">The IWN expanded its personnel and recruited four new </w:t>
            </w:r>
            <w:r w:rsidR="004C0D2C">
              <w:rPr>
                <w:rFonts w:ascii="Arial" w:hAnsi="Arial"/>
                <w:sz w:val="20"/>
                <w:szCs w:val="20"/>
              </w:rPr>
              <w:t>staff members</w:t>
            </w:r>
            <w:r>
              <w:rPr>
                <w:rFonts w:ascii="Arial" w:hAnsi="Arial"/>
                <w:sz w:val="20"/>
                <w:szCs w:val="20"/>
              </w:rPr>
              <w:t xml:space="preserve"> to the </w:t>
            </w:r>
            <w:r w:rsidR="003A5514">
              <w:rPr>
                <w:rFonts w:ascii="Arial" w:hAnsi="Arial"/>
                <w:sz w:val="20"/>
                <w:szCs w:val="20"/>
              </w:rPr>
              <w:t>hotline division, the international division, and the research division.</w:t>
            </w:r>
          </w:p>
          <w:p w14:paraId="403B7CD3" w14:textId="77777777" w:rsidR="006F1C3D" w:rsidRPr="00C24E99" w:rsidRDefault="0063054D" w:rsidP="002A78C6">
            <w:pPr>
              <w:bidi w:val="0"/>
              <w:spacing w:after="0" w:line="276" w:lineRule="auto"/>
              <w:jc w:val="both"/>
              <w:rPr>
                <w:rFonts w:ascii="Arial" w:hAnsi="Arial"/>
                <w:sz w:val="20"/>
                <w:szCs w:val="20"/>
                <w:rtl/>
              </w:rPr>
            </w:pPr>
            <w:r>
              <w:rPr>
                <w:rFonts w:ascii="Arial" w:hAnsi="Arial"/>
                <w:sz w:val="20"/>
                <w:szCs w:val="20"/>
              </w:rPr>
              <w:t xml:space="preserve">As part of </w:t>
            </w:r>
            <w:r w:rsidR="002A78C6">
              <w:rPr>
                <w:rFonts w:ascii="Arial" w:hAnsi="Arial"/>
                <w:sz w:val="20"/>
                <w:szCs w:val="20"/>
              </w:rPr>
              <w:t xml:space="preserve">their </w:t>
            </w:r>
            <w:r>
              <w:rPr>
                <w:rFonts w:ascii="Arial" w:hAnsi="Arial"/>
                <w:sz w:val="20"/>
                <w:szCs w:val="20"/>
              </w:rPr>
              <w:t>efforts to adapt to the reality of wartime, the IWN stopped its</w:t>
            </w:r>
            <w:r w:rsidR="002A78C6">
              <w:rPr>
                <w:rFonts w:ascii="Arial" w:hAnsi="Arial"/>
                <w:sz w:val="20"/>
                <w:szCs w:val="20"/>
              </w:rPr>
              <w:t xml:space="preserve"> municipal-level and election-oriented activity to focus on women’s rights in wartime and </w:t>
            </w:r>
            <w:r w:rsidR="003A5514">
              <w:rPr>
                <w:rFonts w:ascii="Arial" w:hAnsi="Arial"/>
                <w:sz w:val="20"/>
                <w:szCs w:val="20"/>
              </w:rPr>
              <w:t xml:space="preserve">sexual crimes perpetrated on </w:t>
            </w:r>
            <w:r w:rsidR="002A78C6">
              <w:rPr>
                <w:rFonts w:ascii="Arial" w:hAnsi="Arial"/>
                <w:sz w:val="20"/>
                <w:szCs w:val="20"/>
              </w:rPr>
              <w:t>October 7.</w:t>
            </w:r>
            <w:r w:rsidR="006F1C3D">
              <w:rPr>
                <w:rFonts w:ascii="Arial" w:hAnsi="Arial" w:hint="cs"/>
                <w:sz w:val="20"/>
                <w:szCs w:val="20"/>
                <w:rtl/>
              </w:rPr>
              <w:t xml:space="preserve"> </w:t>
            </w:r>
          </w:p>
        </w:tc>
      </w:tr>
      <w:tr w:rsidR="00C03E74" w14:paraId="29225249" w14:textId="77777777">
        <w:tc>
          <w:tcPr>
            <w:tcW w:w="9736" w:type="dxa"/>
            <w:gridSpan w:val="8"/>
          </w:tcPr>
          <w:p w14:paraId="6EB145F7" w14:textId="77777777" w:rsidR="00C03E74" w:rsidRPr="00B703F2" w:rsidRDefault="00C03E74" w:rsidP="00B31095">
            <w:pPr>
              <w:bidi w:val="0"/>
              <w:spacing w:after="0" w:line="276" w:lineRule="auto"/>
              <w:jc w:val="both"/>
              <w:rPr>
                <w:rFonts w:ascii="Arial" w:hAnsi="Arial"/>
                <w:sz w:val="20"/>
                <w:szCs w:val="20"/>
              </w:rPr>
            </w:pPr>
            <w:r w:rsidRPr="00B703F2">
              <w:rPr>
                <w:rFonts w:ascii="Arial" w:hAnsi="Arial"/>
                <w:b/>
                <w:bCs/>
                <w:sz w:val="20"/>
                <w:szCs w:val="20"/>
                <w:u w:val="single"/>
              </w:rPr>
              <w:t>Organizational</w:t>
            </w:r>
            <w:r w:rsidRPr="00B703F2">
              <w:rPr>
                <w:rFonts w:ascii="Arial" w:hAnsi="Arial"/>
                <w:b/>
                <w:bCs/>
                <w:sz w:val="20"/>
                <w:szCs w:val="20"/>
              </w:rPr>
              <w:t xml:space="preserve"> income 202</w:t>
            </w:r>
            <w:r w:rsidR="00B703F2" w:rsidRPr="00B703F2">
              <w:rPr>
                <w:rFonts w:ascii="Arial" w:hAnsi="Arial" w:hint="cs"/>
                <w:b/>
                <w:bCs/>
                <w:sz w:val="20"/>
                <w:szCs w:val="20"/>
                <w:rtl/>
              </w:rPr>
              <w:t>3</w:t>
            </w:r>
            <w:r w:rsidRPr="00B703F2">
              <w:rPr>
                <w:rFonts w:ascii="Arial" w:hAnsi="Arial"/>
                <w:b/>
                <w:bCs/>
                <w:sz w:val="20"/>
                <w:szCs w:val="20"/>
              </w:rPr>
              <w:t xml:space="preserve">: </w:t>
            </w:r>
            <w:r w:rsidRPr="00B703F2">
              <w:rPr>
                <w:rFonts w:ascii="Arial" w:hAnsi="Arial"/>
                <w:sz w:val="20"/>
                <w:szCs w:val="20"/>
              </w:rPr>
              <w:t>$</w:t>
            </w:r>
            <w:r w:rsidR="00B703F2" w:rsidRPr="00B703F2">
              <w:rPr>
                <w:rFonts w:ascii="Arial" w:hAnsi="Arial"/>
                <w:sz w:val="20"/>
                <w:szCs w:val="20"/>
              </w:rPr>
              <w:t>823,500</w:t>
            </w:r>
          </w:p>
          <w:p w14:paraId="21D5FB9C" w14:textId="77777777" w:rsidR="00626BF8" w:rsidRPr="00E735F0" w:rsidRDefault="00C03E74" w:rsidP="00AD6B24">
            <w:pPr>
              <w:bidi w:val="0"/>
              <w:spacing w:after="0" w:line="276" w:lineRule="auto"/>
              <w:jc w:val="both"/>
              <w:rPr>
                <w:rFonts w:ascii="Arial" w:hAnsi="Arial"/>
                <w:sz w:val="20"/>
                <w:szCs w:val="20"/>
                <w:highlight w:val="yellow"/>
              </w:rPr>
            </w:pPr>
            <w:r w:rsidRPr="00B703F2">
              <w:rPr>
                <w:rFonts w:ascii="Arial" w:hAnsi="Arial"/>
                <w:b/>
                <w:bCs/>
                <w:sz w:val="20"/>
                <w:szCs w:val="20"/>
              </w:rPr>
              <w:t xml:space="preserve">Expected </w:t>
            </w:r>
            <w:r w:rsidRPr="00B703F2">
              <w:rPr>
                <w:rFonts w:ascii="Arial" w:hAnsi="Arial"/>
                <w:b/>
                <w:bCs/>
                <w:sz w:val="20"/>
                <w:szCs w:val="20"/>
                <w:u w:val="single"/>
              </w:rPr>
              <w:t>Organizational</w:t>
            </w:r>
            <w:r w:rsidRPr="00B703F2">
              <w:rPr>
                <w:rFonts w:ascii="Arial" w:hAnsi="Arial"/>
                <w:b/>
                <w:bCs/>
                <w:sz w:val="20"/>
                <w:szCs w:val="20"/>
              </w:rPr>
              <w:t xml:space="preserve"> Budget 202</w:t>
            </w:r>
            <w:r w:rsidR="00B703F2" w:rsidRPr="00B703F2">
              <w:rPr>
                <w:rFonts w:ascii="Arial" w:hAnsi="Arial"/>
                <w:b/>
                <w:bCs/>
                <w:sz w:val="20"/>
                <w:szCs w:val="20"/>
              </w:rPr>
              <w:t>4</w:t>
            </w:r>
            <w:r w:rsidRPr="00B703F2">
              <w:rPr>
                <w:rFonts w:ascii="Arial" w:hAnsi="Arial"/>
                <w:b/>
                <w:bCs/>
                <w:sz w:val="20"/>
                <w:szCs w:val="20"/>
              </w:rPr>
              <w:t xml:space="preserve">: </w:t>
            </w:r>
            <w:r w:rsidRPr="00B703F2">
              <w:rPr>
                <w:rFonts w:ascii="Arial" w:hAnsi="Arial"/>
                <w:sz w:val="20"/>
                <w:szCs w:val="20"/>
              </w:rPr>
              <w:t>$</w:t>
            </w:r>
            <w:r w:rsidR="00B703F2" w:rsidRPr="00B703F2">
              <w:rPr>
                <w:rFonts w:ascii="Arial" w:hAnsi="Arial" w:hint="cs"/>
                <w:sz w:val="20"/>
                <w:szCs w:val="20"/>
                <w:rtl/>
              </w:rPr>
              <w:t>1</w:t>
            </w:r>
            <w:r w:rsidR="00B703F2" w:rsidRPr="00B703F2">
              <w:rPr>
                <w:rFonts w:ascii="Arial" w:hAnsi="Arial"/>
                <w:sz w:val="20"/>
                <w:szCs w:val="20"/>
              </w:rPr>
              <w:t>,902</w:t>
            </w:r>
            <w:r w:rsidRPr="00B703F2">
              <w:rPr>
                <w:rFonts w:ascii="Arial" w:hAnsi="Arial"/>
                <w:sz w:val="20"/>
                <w:szCs w:val="20"/>
              </w:rPr>
              <w:t>,000</w:t>
            </w:r>
          </w:p>
        </w:tc>
      </w:tr>
      <w:tr w:rsidR="00C03E74" w14:paraId="4837E1A0" w14:textId="77777777" w:rsidTr="00626BF8">
        <w:trPr>
          <w:trHeight w:hRule="exact" w:val="397"/>
        </w:trPr>
        <w:tc>
          <w:tcPr>
            <w:tcW w:w="9736" w:type="dxa"/>
            <w:gridSpan w:val="8"/>
            <w:shd w:val="clear" w:color="auto" w:fill="D9D9D9"/>
            <w:vAlign w:val="center"/>
          </w:tcPr>
          <w:p w14:paraId="24BB805B" w14:textId="77777777" w:rsidR="00C03E74" w:rsidRPr="00C24E99" w:rsidRDefault="00C03E74" w:rsidP="00626BF8">
            <w:pPr>
              <w:bidi w:val="0"/>
              <w:spacing w:after="0" w:line="276" w:lineRule="auto"/>
              <w:jc w:val="center"/>
              <w:rPr>
                <w:rFonts w:ascii="Arial" w:hAnsi="Arial"/>
                <w:b/>
                <w:bCs/>
                <w:u w:val="single"/>
              </w:rPr>
            </w:pPr>
            <w:r>
              <w:rPr>
                <w:rFonts w:ascii="Arial" w:hAnsi="Arial"/>
                <w:b/>
                <w:bCs/>
                <w:u w:val="single"/>
              </w:rPr>
              <w:t>2023 RECOMMENDATION</w:t>
            </w:r>
          </w:p>
        </w:tc>
      </w:tr>
      <w:tr w:rsidR="00C03E74" w14:paraId="388222AA" w14:textId="77777777">
        <w:tc>
          <w:tcPr>
            <w:tcW w:w="9736" w:type="dxa"/>
            <w:gridSpan w:val="8"/>
            <w:vAlign w:val="center"/>
          </w:tcPr>
          <w:p w14:paraId="22D7844E" w14:textId="77777777" w:rsidR="00C03E74" w:rsidRDefault="00C03E74" w:rsidP="00626BF8">
            <w:pPr>
              <w:bidi w:val="0"/>
              <w:spacing w:after="0" w:line="276" w:lineRule="auto"/>
              <w:rPr>
                <w:rFonts w:ascii="Arial" w:hAnsi="Arial"/>
                <w:b/>
                <w:sz w:val="20"/>
                <w:szCs w:val="20"/>
                <w:lang w:bidi="he"/>
              </w:rPr>
            </w:pPr>
            <w:r>
              <w:rPr>
                <w:rFonts w:ascii="Arial" w:hAnsi="Arial"/>
                <w:b/>
                <w:sz w:val="20"/>
                <w:szCs w:val="20"/>
                <w:lang w:bidi="he"/>
              </w:rPr>
              <w:t>202</w:t>
            </w:r>
            <w:r w:rsidR="003B115F">
              <w:rPr>
                <w:rFonts w:ascii="Arial" w:hAnsi="Arial" w:hint="cs"/>
                <w:b/>
                <w:sz w:val="20"/>
                <w:szCs w:val="20"/>
                <w:rtl/>
                <w:lang w:bidi="he"/>
              </w:rPr>
              <w:t>3</w:t>
            </w:r>
            <w:r>
              <w:rPr>
                <w:rFonts w:ascii="Arial" w:hAnsi="Arial"/>
                <w:b/>
                <w:sz w:val="20"/>
                <w:szCs w:val="20"/>
                <w:lang w:bidi="he"/>
              </w:rPr>
              <w:t xml:space="preserve"> Grant: </w:t>
            </w:r>
            <w:r>
              <w:rPr>
                <w:rFonts w:ascii="Arial" w:hAnsi="Arial"/>
                <w:bCs/>
                <w:sz w:val="20"/>
                <w:szCs w:val="20"/>
                <w:lang w:bidi="he"/>
              </w:rPr>
              <w:t>$40,000</w:t>
            </w:r>
          </w:p>
          <w:p w14:paraId="40FB5B42" w14:textId="77777777" w:rsidR="00C03E74" w:rsidRDefault="00C03E74" w:rsidP="00626BF8">
            <w:pPr>
              <w:bidi w:val="0"/>
              <w:spacing w:after="0" w:line="276" w:lineRule="auto"/>
              <w:rPr>
                <w:rFonts w:ascii="Arial" w:hAnsi="Arial"/>
                <w:b/>
                <w:sz w:val="20"/>
                <w:szCs w:val="20"/>
                <w:lang w:bidi="he"/>
              </w:rPr>
            </w:pPr>
            <w:r>
              <w:rPr>
                <w:rFonts w:ascii="Arial" w:hAnsi="Arial"/>
                <w:b/>
                <w:sz w:val="20"/>
                <w:szCs w:val="20"/>
                <w:lang w:bidi="he"/>
              </w:rPr>
              <w:t>202</w:t>
            </w:r>
            <w:r w:rsidR="003B115F">
              <w:rPr>
                <w:rFonts w:ascii="Arial" w:hAnsi="Arial" w:hint="cs"/>
                <w:b/>
                <w:sz w:val="20"/>
                <w:szCs w:val="20"/>
                <w:rtl/>
                <w:lang w:bidi="he"/>
              </w:rPr>
              <w:t>4</w:t>
            </w:r>
            <w:r>
              <w:rPr>
                <w:rFonts w:ascii="Arial" w:hAnsi="Arial"/>
                <w:b/>
                <w:sz w:val="20"/>
                <w:szCs w:val="20"/>
                <w:lang w:bidi="he"/>
              </w:rPr>
              <w:t xml:space="preserve"> Staff Recommendation: </w:t>
            </w:r>
            <w:r>
              <w:rPr>
                <w:rFonts w:ascii="Arial" w:hAnsi="Arial"/>
                <w:bCs/>
                <w:sz w:val="20"/>
                <w:szCs w:val="20"/>
                <w:lang w:bidi="he"/>
              </w:rPr>
              <w:t>$40,000</w:t>
            </w:r>
          </w:p>
          <w:p w14:paraId="05E8D24A" w14:textId="77777777" w:rsidR="00C03E74" w:rsidRDefault="00C03E74" w:rsidP="00626BF8">
            <w:pPr>
              <w:bidi w:val="0"/>
              <w:spacing w:after="0" w:line="276" w:lineRule="auto"/>
              <w:rPr>
                <w:rFonts w:ascii="Arial" w:hAnsi="Arial"/>
                <w:bCs/>
                <w:sz w:val="20"/>
                <w:szCs w:val="20"/>
                <w:lang w:bidi="he"/>
              </w:rPr>
            </w:pPr>
            <w:r>
              <w:rPr>
                <w:rFonts w:ascii="Arial" w:hAnsi="Arial"/>
                <w:b/>
                <w:sz w:val="20"/>
                <w:szCs w:val="20"/>
                <w:lang w:bidi="he"/>
              </w:rPr>
              <w:t xml:space="preserve">% of NIF Grant out of Total </w:t>
            </w:r>
            <w:r>
              <w:rPr>
                <w:rFonts w:ascii="Arial" w:hAnsi="Arial"/>
                <w:b/>
                <w:sz w:val="20"/>
                <w:szCs w:val="20"/>
                <w:u w:val="single"/>
                <w:lang w:bidi="he"/>
              </w:rPr>
              <w:t>Organizational</w:t>
            </w:r>
            <w:r>
              <w:rPr>
                <w:rFonts w:ascii="Arial" w:hAnsi="Arial"/>
                <w:b/>
                <w:sz w:val="20"/>
                <w:szCs w:val="20"/>
                <w:lang w:bidi="he"/>
              </w:rPr>
              <w:t xml:space="preserve"> Budget</w:t>
            </w:r>
            <w:r w:rsidRPr="003B115F">
              <w:rPr>
                <w:rFonts w:ascii="Arial" w:hAnsi="Arial"/>
                <w:b/>
                <w:sz w:val="20"/>
                <w:szCs w:val="20"/>
                <w:highlight w:val="yellow"/>
                <w:lang w:bidi="he"/>
              </w:rPr>
              <w:t xml:space="preserve">: </w:t>
            </w:r>
            <w:r w:rsidRPr="003B115F">
              <w:rPr>
                <w:rFonts w:ascii="Arial" w:hAnsi="Arial"/>
                <w:bCs/>
                <w:sz w:val="20"/>
                <w:szCs w:val="20"/>
                <w:highlight w:val="yellow"/>
                <w:lang w:bidi="he"/>
              </w:rPr>
              <w:t>4.8%</w:t>
            </w:r>
          </w:p>
          <w:p w14:paraId="4FD81628" w14:textId="77777777" w:rsidR="00C03E74" w:rsidRDefault="00C03E74" w:rsidP="00626BF8">
            <w:pPr>
              <w:bidi w:val="0"/>
              <w:spacing w:after="0" w:line="276" w:lineRule="auto"/>
              <w:jc w:val="both"/>
              <w:rPr>
                <w:rFonts w:ascii="Arial" w:hAnsi="Arial"/>
                <w:b/>
                <w:sz w:val="20"/>
                <w:szCs w:val="20"/>
                <w:lang w:val="en-GB" w:bidi="he"/>
              </w:rPr>
            </w:pPr>
          </w:p>
          <w:p w14:paraId="2FD6DBFE" w14:textId="77777777" w:rsidR="00C03E74" w:rsidRDefault="00C03E74" w:rsidP="00626BF8">
            <w:pPr>
              <w:bidi w:val="0"/>
              <w:spacing w:after="0" w:line="276" w:lineRule="auto"/>
              <w:jc w:val="both"/>
              <w:rPr>
                <w:rFonts w:ascii="Arial" w:hAnsi="Arial"/>
                <w:b/>
                <w:sz w:val="20"/>
                <w:szCs w:val="20"/>
                <w:lang w:val="en-GB" w:bidi="he"/>
              </w:rPr>
            </w:pPr>
            <w:r>
              <w:rPr>
                <w:rFonts w:ascii="Arial" w:hAnsi="Arial"/>
                <w:b/>
                <w:sz w:val="20"/>
                <w:szCs w:val="20"/>
                <w:lang w:val="en-GB" w:bidi="he"/>
              </w:rPr>
              <w:t xml:space="preserve">Explain Staff Recommendation: </w:t>
            </w:r>
          </w:p>
          <w:p w14:paraId="60C2627C" w14:textId="737D59A8" w:rsidR="002A78C6" w:rsidRPr="002A78C6" w:rsidRDefault="002A78C6" w:rsidP="002A78C6">
            <w:pPr>
              <w:bidi w:val="0"/>
              <w:spacing w:after="0" w:line="276" w:lineRule="auto"/>
              <w:jc w:val="both"/>
              <w:rPr>
                <w:rFonts w:ascii="Arial" w:hAnsi="Arial"/>
                <w:bCs/>
                <w:sz w:val="20"/>
                <w:szCs w:val="20"/>
                <w:rtl/>
                <w:lang w:val="en-GB" w:bidi="he"/>
              </w:rPr>
            </w:pPr>
            <w:r>
              <w:rPr>
                <w:rFonts w:ascii="Arial" w:hAnsi="Arial"/>
                <w:bCs/>
                <w:sz w:val="20"/>
                <w:szCs w:val="20"/>
                <w:lang w:val="en-GB" w:bidi="he"/>
              </w:rPr>
              <w:t xml:space="preserve">After a period of turmoil in the IWN’s leadership ranks, the organization seems to have stabilized and broadened its scope of activity to address additional core issues. </w:t>
            </w:r>
            <w:proofErr w:type="gramStart"/>
            <w:r>
              <w:rPr>
                <w:rFonts w:ascii="Arial" w:hAnsi="Arial"/>
                <w:bCs/>
                <w:sz w:val="20"/>
                <w:szCs w:val="20"/>
                <w:lang w:val="en-GB" w:bidi="he"/>
              </w:rPr>
              <w:t>In light of</w:t>
            </w:r>
            <w:proofErr w:type="gramEnd"/>
            <w:r>
              <w:rPr>
                <w:rFonts w:ascii="Arial" w:hAnsi="Arial"/>
                <w:bCs/>
                <w:sz w:val="20"/>
                <w:szCs w:val="20"/>
                <w:lang w:val="en-GB" w:bidi="he"/>
              </w:rPr>
              <w:t xml:space="preserve"> </w:t>
            </w:r>
            <w:r w:rsidR="003A5514">
              <w:rPr>
                <w:rFonts w:ascii="Arial" w:hAnsi="Arial"/>
                <w:bCs/>
                <w:sz w:val="20"/>
                <w:szCs w:val="20"/>
                <w:lang w:val="en-GB" w:bidi="he"/>
              </w:rPr>
              <w:t xml:space="preserve">the </w:t>
            </w:r>
            <w:r>
              <w:rPr>
                <w:rFonts w:ascii="Arial" w:hAnsi="Arial"/>
                <w:bCs/>
                <w:sz w:val="20"/>
                <w:szCs w:val="20"/>
                <w:lang w:val="en-GB" w:bidi="he"/>
              </w:rPr>
              <w:t xml:space="preserve">IWN’s strategic expansion in the field of individual </w:t>
            </w:r>
            <w:r w:rsidR="003A5514">
              <w:rPr>
                <w:rFonts w:ascii="Arial" w:hAnsi="Arial"/>
                <w:bCs/>
                <w:sz w:val="20"/>
                <w:szCs w:val="20"/>
                <w:lang w:val="en-GB" w:bidi="he"/>
              </w:rPr>
              <w:t xml:space="preserve">services to </w:t>
            </w:r>
            <w:r>
              <w:rPr>
                <w:rFonts w:ascii="Arial" w:hAnsi="Arial"/>
                <w:bCs/>
                <w:sz w:val="20"/>
                <w:szCs w:val="20"/>
                <w:lang w:val="en-GB" w:bidi="he"/>
              </w:rPr>
              <w:t>women, it is worth examining whether the organization has moved too far away from the fields toward which the foundation would like to see it direct its efforts—more legal advocacy and focus on the struggle against right-wing forces that threaten women’s rights.</w:t>
            </w:r>
            <w:r w:rsidR="003A5514">
              <w:rPr>
                <w:rFonts w:ascii="Arial" w:hAnsi="Arial"/>
                <w:bCs/>
                <w:sz w:val="20"/>
                <w:szCs w:val="20"/>
                <w:lang w:val="en-GB" w:bidi="he"/>
              </w:rPr>
              <w:t xml:space="preserve"> The</w:t>
            </w:r>
            <w:r>
              <w:rPr>
                <w:rFonts w:ascii="Arial" w:hAnsi="Arial"/>
                <w:bCs/>
                <w:sz w:val="20"/>
                <w:szCs w:val="20"/>
                <w:lang w:val="en-GB" w:bidi="he"/>
              </w:rPr>
              <w:t xml:space="preserve"> IWN has the potential to play a central role in setting the democratic-liberal agenda. Yet, it remains to be seen how the organization’s new leadership (the new Executive Director and Chairwoman) </w:t>
            </w:r>
            <w:r w:rsidR="004C0D2C">
              <w:rPr>
                <w:rFonts w:ascii="Arial" w:hAnsi="Arial"/>
                <w:bCs/>
                <w:sz w:val="20"/>
                <w:szCs w:val="20"/>
                <w:lang w:val="en-GB" w:bidi="he"/>
              </w:rPr>
              <w:t>intends</w:t>
            </w:r>
            <w:r>
              <w:rPr>
                <w:rFonts w:ascii="Arial" w:hAnsi="Arial"/>
                <w:bCs/>
                <w:sz w:val="20"/>
                <w:szCs w:val="20"/>
                <w:lang w:val="en-GB" w:bidi="he"/>
              </w:rPr>
              <w:t xml:space="preserve"> to champion this agenda and on which core issues they choose to focus.</w:t>
            </w:r>
          </w:p>
          <w:p w14:paraId="1C490644" w14:textId="77777777" w:rsidR="00C03E74" w:rsidRPr="00AD6B24" w:rsidRDefault="00C03E74" w:rsidP="00AD6B24">
            <w:pPr>
              <w:bidi w:val="0"/>
              <w:spacing w:after="0" w:line="276" w:lineRule="auto"/>
              <w:jc w:val="both"/>
              <w:rPr>
                <w:rFonts w:ascii="Arial" w:hAnsi="Arial"/>
                <w:b/>
                <w:sz w:val="20"/>
                <w:szCs w:val="20"/>
                <w:lang w:bidi="ar-SA"/>
              </w:rPr>
            </w:pPr>
            <w:r>
              <w:rPr>
                <w:rFonts w:ascii="Arial" w:hAnsi="Arial"/>
                <w:b/>
                <w:sz w:val="20"/>
                <w:szCs w:val="20"/>
                <w:lang w:bidi="ar-SA"/>
              </w:rPr>
              <w:t xml:space="preserve">Recommendation of Board/Grants Committee 2023: </w:t>
            </w:r>
          </w:p>
        </w:tc>
      </w:tr>
    </w:tbl>
    <w:p w14:paraId="7378A3EE" w14:textId="77777777" w:rsidR="00C03E74" w:rsidRDefault="00C03E74" w:rsidP="00626BF8">
      <w:pPr>
        <w:bidi w:val="0"/>
        <w:spacing w:after="0" w:line="276" w:lineRule="auto"/>
        <w:rPr>
          <w:rFonts w:ascii="Arial" w:hAnsi="Arial"/>
        </w:rPr>
      </w:pPr>
    </w:p>
    <w:p w14:paraId="7635C8EF" w14:textId="77777777" w:rsidR="00C03E74" w:rsidRDefault="00C03E74" w:rsidP="00626BF8">
      <w:pPr>
        <w:bidi w:val="0"/>
        <w:spacing w:after="0" w:line="276" w:lineRule="auto"/>
        <w:rPr>
          <w:rFonts w:ascii="Arial" w:hAnsi="Arial"/>
        </w:rPr>
      </w:pPr>
    </w:p>
    <w:sectPr w:rsidR="00C03E74" w:rsidSect="00446762">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567" w:footer="283" w:gutter="0"/>
      <w:pgNumType w:start="10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B9D8" w14:textId="77777777" w:rsidR="004245C2" w:rsidRDefault="004245C2">
      <w:pPr>
        <w:spacing w:after="0" w:line="240" w:lineRule="auto"/>
      </w:pPr>
      <w:r>
        <w:separator/>
      </w:r>
    </w:p>
  </w:endnote>
  <w:endnote w:type="continuationSeparator" w:id="0">
    <w:p w14:paraId="3D756069" w14:textId="77777777" w:rsidR="004245C2" w:rsidRDefault="0042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9B87" w14:textId="77777777" w:rsidR="00B703F2" w:rsidRDefault="00B70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B542" w14:textId="77777777" w:rsidR="00446762" w:rsidRPr="00446762" w:rsidRDefault="00446762">
    <w:pPr>
      <w:pStyle w:val="Footer"/>
      <w:jc w:val="center"/>
      <w:rPr>
        <w:rFonts w:ascii="Arial" w:hAnsi="Arial"/>
      </w:rPr>
    </w:pPr>
    <w:r w:rsidRPr="00446762">
      <w:rPr>
        <w:rFonts w:ascii="Arial" w:hAnsi="Arial"/>
      </w:rPr>
      <w:fldChar w:fldCharType="begin"/>
    </w:r>
    <w:r w:rsidRPr="00446762">
      <w:rPr>
        <w:rFonts w:ascii="Arial" w:hAnsi="Arial"/>
      </w:rPr>
      <w:instrText xml:space="preserve"> PAGE   \* MERGEFORMAT </w:instrText>
    </w:r>
    <w:r w:rsidRPr="00446762">
      <w:rPr>
        <w:rFonts w:ascii="Arial" w:hAnsi="Arial"/>
      </w:rPr>
      <w:fldChar w:fldCharType="separate"/>
    </w:r>
    <w:r w:rsidRPr="00446762">
      <w:rPr>
        <w:rFonts w:ascii="Arial" w:hAnsi="Arial"/>
        <w:noProof/>
      </w:rPr>
      <w:t>2</w:t>
    </w:r>
    <w:r w:rsidRPr="00446762">
      <w:rPr>
        <w:rFonts w:ascii="Arial" w:hAnsi="Arial"/>
        <w:noProof/>
      </w:rPr>
      <w:fldChar w:fldCharType="end"/>
    </w:r>
  </w:p>
  <w:p w14:paraId="7ADE7F90" w14:textId="77777777" w:rsidR="00446762" w:rsidRDefault="00446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5805" w14:textId="77777777" w:rsidR="00B703F2" w:rsidRDefault="00B70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5BDC" w14:textId="77777777" w:rsidR="004245C2" w:rsidRDefault="004245C2">
      <w:pPr>
        <w:spacing w:after="0" w:line="240" w:lineRule="auto"/>
      </w:pPr>
      <w:r>
        <w:separator/>
      </w:r>
    </w:p>
  </w:footnote>
  <w:footnote w:type="continuationSeparator" w:id="0">
    <w:p w14:paraId="5AB2E8F5" w14:textId="77777777" w:rsidR="004245C2" w:rsidRDefault="00424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789F" w14:textId="77777777" w:rsidR="00B703F2" w:rsidRDefault="00B70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66DD3" w14:textId="77777777" w:rsidR="00C03E74" w:rsidRPr="004D0FBA" w:rsidRDefault="00C03E74" w:rsidP="00626BF8">
    <w:pPr>
      <w:pStyle w:val="Header"/>
      <w:bidi w:val="0"/>
      <w:spacing w:line="276" w:lineRule="auto"/>
      <w:rPr>
        <w:rFonts w:ascii="Arial" w:hAnsi="Arial"/>
        <w:b/>
        <w:bCs/>
        <w:sz w:val="16"/>
        <w:szCs w:val="16"/>
      </w:rPr>
    </w:pPr>
    <w:r w:rsidRPr="004D0FBA">
      <w:rPr>
        <w:rFonts w:ascii="Arial" w:hAnsi="Arial"/>
        <w:b/>
        <w:bCs/>
        <w:sz w:val="16"/>
        <w:szCs w:val="16"/>
      </w:rPr>
      <w:t xml:space="preserve">On-going General &amp; Project Progress Report </w:t>
    </w:r>
  </w:p>
  <w:p w14:paraId="6060055A" w14:textId="77777777" w:rsidR="00C03E74" w:rsidRPr="004D0FBA" w:rsidRDefault="00C03E74" w:rsidP="00B703F2">
    <w:pPr>
      <w:pStyle w:val="Header"/>
      <w:tabs>
        <w:tab w:val="clear" w:pos="4153"/>
        <w:tab w:val="clear" w:pos="8306"/>
        <w:tab w:val="center" w:pos="4873"/>
        <w:tab w:val="left" w:pos="5320"/>
      </w:tabs>
      <w:bidi w:val="0"/>
      <w:spacing w:line="276" w:lineRule="auto"/>
      <w:rPr>
        <w:rFonts w:ascii="Arial" w:hAnsi="Arial"/>
        <w:b/>
        <w:bCs/>
        <w:sz w:val="16"/>
        <w:szCs w:val="16"/>
        <w:rtl/>
      </w:rPr>
    </w:pPr>
    <w:r w:rsidRPr="004D0FBA">
      <w:rPr>
        <w:rFonts w:ascii="Arial" w:hAnsi="Arial"/>
        <w:b/>
        <w:bCs/>
        <w:sz w:val="16"/>
        <w:szCs w:val="16"/>
      </w:rPr>
      <w:t>September 202</w:t>
    </w:r>
    <w:r w:rsidR="00B703F2">
      <w:rPr>
        <w:rFonts w:ascii="Arial" w:hAnsi="Arial" w:hint="cs"/>
        <w:b/>
        <w:bCs/>
        <w:sz w:val="16"/>
        <w:szCs w:val="16"/>
        <w:rtl/>
      </w:rPr>
      <w:t>4</w:t>
    </w:r>
    <w:r w:rsidRPr="004D0FBA">
      <w:rPr>
        <w:rFonts w:ascii="Arial" w:hAnsi="Arial"/>
        <w:b/>
        <w:bCs/>
        <w:sz w:val="16"/>
        <w:szCs w:val="16"/>
      </w:rPr>
      <w:t xml:space="preserve"> </w:t>
    </w:r>
    <w:r w:rsidR="00B703F2">
      <w:rPr>
        <w:rFonts w:ascii="Arial" w:hAnsi="Arial"/>
        <w:b/>
        <w:bCs/>
        <w:sz w:val="16"/>
        <w:szCs w:val="16"/>
      </w:rPr>
      <w:tab/>
    </w:r>
    <w:r w:rsidR="00B703F2">
      <w:rPr>
        <w:rFonts w:ascii="Arial" w:hAnsi="Arial"/>
        <w:b/>
        <w:bCs/>
        <w:sz w:val="16"/>
        <w:szCs w:val="16"/>
      </w:rPr>
      <w:tab/>
    </w:r>
  </w:p>
  <w:p w14:paraId="5EBA3565" w14:textId="77777777" w:rsidR="00C03E74" w:rsidRPr="00626BF8" w:rsidRDefault="00C03E74" w:rsidP="00626BF8">
    <w:pPr>
      <w:pStyle w:val="Header"/>
      <w:bidi w:val="0"/>
      <w:spacing w:line="276" w:lineRule="auto"/>
      <w:rPr>
        <w:rFonts w:ascii="Arial" w:hAnsi="Arial"/>
        <w:b/>
        <w:bCs/>
        <w:sz w:val="16"/>
        <w:szCs w:val="16"/>
      </w:rPr>
    </w:pPr>
    <w:r w:rsidRPr="00626BF8">
      <w:rPr>
        <w:rFonts w:ascii="Arial" w:hAnsi="Arial"/>
        <w:b/>
        <w:bCs/>
        <w:sz w:val="16"/>
        <w:szCs w:val="16"/>
      </w:rPr>
      <w:t xml:space="preserve">Grants Officer: </w:t>
    </w:r>
    <w:r w:rsidR="00B703F2">
      <w:rPr>
        <w:rFonts w:ascii="Arial" w:hAnsi="Arial"/>
        <w:b/>
        <w:bCs/>
        <w:sz w:val="16"/>
        <w:szCs w:val="16"/>
      </w:rPr>
      <w:t xml:space="preserve">Brit </w:t>
    </w:r>
    <w:proofErr w:type="spellStart"/>
    <w:r w:rsidR="00B703F2">
      <w:rPr>
        <w:rFonts w:ascii="Arial" w:hAnsi="Arial"/>
        <w:b/>
        <w:bCs/>
        <w:sz w:val="16"/>
        <w:szCs w:val="16"/>
      </w:rPr>
      <w:t>Yakobi</w:t>
    </w:r>
    <w:proofErr w:type="spellEnd"/>
  </w:p>
  <w:p w14:paraId="289F4C85" w14:textId="77777777" w:rsidR="00C03E74" w:rsidRPr="006D75D8" w:rsidRDefault="00C03E74">
    <w:pPr>
      <w:pStyle w:val="Header"/>
      <w:spacing w:line="276" w:lineRule="auto"/>
      <w:jc w:val="right"/>
      <w:rPr>
        <w:rFonts w:ascii="Arial" w:hAnsi="Arial"/>
        <w:sz w:val="28"/>
        <w:szCs w:val="28"/>
        <w:rtl/>
      </w:rPr>
    </w:pPr>
  </w:p>
  <w:p w14:paraId="02474238" w14:textId="77777777" w:rsidR="00C03E74" w:rsidRPr="006D75D8" w:rsidRDefault="00C03E74">
    <w:pPr>
      <w:tabs>
        <w:tab w:val="right" w:pos="5664"/>
      </w:tabs>
      <w:bidi w:val="0"/>
      <w:jc w:val="center"/>
      <w:rPr>
        <w:rFonts w:ascii="Arial" w:hAnsi="Arial"/>
        <w:b/>
        <w:bCs/>
        <w:i/>
        <w:iCs/>
        <w:color w:val="00B050"/>
        <w:sz w:val="28"/>
        <w:szCs w:val="28"/>
      </w:rPr>
    </w:pPr>
    <w:bookmarkStart w:id="1" w:name="_Hlk142977498"/>
    <w:r w:rsidRPr="006D75D8">
      <w:rPr>
        <w:rFonts w:ascii="Arial" w:hAnsi="Arial"/>
        <w:b/>
        <w:bCs/>
        <w:sz w:val="28"/>
        <w:szCs w:val="28"/>
      </w:rPr>
      <w:t>THE ISRAEL WOMEN’S NETWORK (IWN)</w:t>
    </w:r>
  </w:p>
  <w:bookmarkEnd w:id="1"/>
  <w:p w14:paraId="02C3FECB" w14:textId="77777777" w:rsidR="00C03E74" w:rsidRDefault="00C03E74">
    <w:pPr>
      <w:pStyle w:val="Header"/>
      <w:spacing w:line="276" w:lineRule="auto"/>
      <w:jc w:val="center"/>
      <w:rPr>
        <w:rFonts w:ascii="Arial" w:hAnsi="Arial"/>
        <w:b/>
        <w:bCs/>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8EE2" w14:textId="77777777" w:rsidR="00B703F2" w:rsidRDefault="00B70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98E0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536CA3"/>
    <w:multiLevelType w:val="hybridMultilevel"/>
    <w:tmpl w:val="56520154"/>
    <w:lvl w:ilvl="0" w:tplc="717C0E34">
      <w:start w:val="1"/>
      <w:numFmt w:val="bullet"/>
      <w:pStyle w:val="ListBullet"/>
      <w:lvlText w:val="-"/>
      <w:lvlJc w:val="left"/>
      <w:pPr>
        <w:tabs>
          <w:tab w:val="num" w:pos="900"/>
        </w:tabs>
        <w:ind w:left="90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0E703D"/>
    <w:multiLevelType w:val="hybridMultilevel"/>
    <w:tmpl w:val="1D9E7A6E"/>
    <w:lvl w:ilvl="0" w:tplc="A66E348A">
      <w:start w:val="1986"/>
      <w:numFmt w:val="bullet"/>
      <w:lvlText w:val=""/>
      <w:lvlJc w:val="left"/>
      <w:pPr>
        <w:ind w:left="720" w:hanging="360"/>
      </w:pPr>
      <w:rPr>
        <w:rFonts w:ascii="Symbol" w:eastAsia="Times New Roman"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71F26F0"/>
    <w:multiLevelType w:val="hybridMultilevel"/>
    <w:tmpl w:val="FDB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3294D"/>
    <w:multiLevelType w:val="hybridMultilevel"/>
    <w:tmpl w:val="73F6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45434"/>
    <w:multiLevelType w:val="hybridMultilevel"/>
    <w:tmpl w:val="32F09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AC6D54"/>
    <w:multiLevelType w:val="hybridMultilevel"/>
    <w:tmpl w:val="11C2990C"/>
    <w:lvl w:ilvl="0" w:tplc="A66E348A">
      <w:start w:val="1986"/>
      <w:numFmt w:val="bullet"/>
      <w:lvlText w:val=""/>
      <w:lvlJc w:val="left"/>
      <w:pPr>
        <w:ind w:left="720" w:hanging="360"/>
      </w:pPr>
      <w:rPr>
        <w:rFonts w:ascii="Symbol" w:eastAsia="Times New Roman"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24023411">
    <w:abstractNumId w:val="2"/>
  </w:num>
  <w:num w:numId="2" w16cid:durableId="2120025447">
    <w:abstractNumId w:val="6"/>
  </w:num>
  <w:num w:numId="3" w16cid:durableId="1947997225">
    <w:abstractNumId w:val="0"/>
  </w:num>
  <w:num w:numId="4" w16cid:durableId="363798857">
    <w:abstractNumId w:val="1"/>
  </w:num>
  <w:num w:numId="5" w16cid:durableId="403646766">
    <w:abstractNumId w:val="1"/>
  </w:num>
  <w:num w:numId="6" w16cid:durableId="360909403">
    <w:abstractNumId w:val="1"/>
  </w:num>
  <w:num w:numId="7" w16cid:durableId="1727951184">
    <w:abstractNumId w:val="1"/>
  </w:num>
  <w:num w:numId="8" w16cid:durableId="1678075680">
    <w:abstractNumId w:val="1"/>
  </w:num>
  <w:num w:numId="9" w16cid:durableId="2112510862">
    <w:abstractNumId w:val="1"/>
  </w:num>
  <w:num w:numId="10" w16cid:durableId="511451624">
    <w:abstractNumId w:val="1"/>
  </w:num>
  <w:num w:numId="11" w16cid:durableId="160512055">
    <w:abstractNumId w:val="1"/>
  </w:num>
  <w:num w:numId="12" w16cid:durableId="1633636103">
    <w:abstractNumId w:val="1"/>
  </w:num>
  <w:num w:numId="13" w16cid:durableId="363748602">
    <w:abstractNumId w:val="1"/>
  </w:num>
  <w:num w:numId="14" w16cid:durableId="666132846">
    <w:abstractNumId w:val="1"/>
  </w:num>
  <w:num w:numId="15" w16cid:durableId="323705926">
    <w:abstractNumId w:val="1"/>
  </w:num>
  <w:num w:numId="16" w16cid:durableId="837768706">
    <w:abstractNumId w:val="1"/>
  </w:num>
  <w:num w:numId="17" w16cid:durableId="1515802490">
    <w:abstractNumId w:val="1"/>
  </w:num>
  <w:num w:numId="18" w16cid:durableId="815562688">
    <w:abstractNumId w:val="5"/>
  </w:num>
  <w:num w:numId="19" w16cid:durableId="801583972">
    <w:abstractNumId w:val="4"/>
  </w:num>
  <w:num w:numId="20" w16cid:durableId="300228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EF"/>
    <w:rsid w:val="00096176"/>
    <w:rsid w:val="000F1DED"/>
    <w:rsid w:val="000F3D35"/>
    <w:rsid w:val="001417AF"/>
    <w:rsid w:val="0015181B"/>
    <w:rsid w:val="0015439E"/>
    <w:rsid w:val="001911B3"/>
    <w:rsid w:val="001F3DE1"/>
    <w:rsid w:val="0022603D"/>
    <w:rsid w:val="002A78C6"/>
    <w:rsid w:val="002B54DB"/>
    <w:rsid w:val="00377BDC"/>
    <w:rsid w:val="003A5514"/>
    <w:rsid w:val="003B115F"/>
    <w:rsid w:val="004240D4"/>
    <w:rsid w:val="004245C2"/>
    <w:rsid w:val="00446762"/>
    <w:rsid w:val="004770A0"/>
    <w:rsid w:val="004C0D2C"/>
    <w:rsid w:val="004D0FBA"/>
    <w:rsid w:val="00527999"/>
    <w:rsid w:val="00534B3A"/>
    <w:rsid w:val="00567FE3"/>
    <w:rsid w:val="005909BA"/>
    <w:rsid w:val="005B3F2C"/>
    <w:rsid w:val="00610C61"/>
    <w:rsid w:val="00616902"/>
    <w:rsid w:val="00626BF8"/>
    <w:rsid w:val="00626D60"/>
    <w:rsid w:val="0063054D"/>
    <w:rsid w:val="00687079"/>
    <w:rsid w:val="006D75D8"/>
    <w:rsid w:val="006E1E0C"/>
    <w:rsid w:val="006F1C3D"/>
    <w:rsid w:val="00765C8F"/>
    <w:rsid w:val="00796EEF"/>
    <w:rsid w:val="00803D41"/>
    <w:rsid w:val="00805859"/>
    <w:rsid w:val="00850A37"/>
    <w:rsid w:val="00854D60"/>
    <w:rsid w:val="00866EE6"/>
    <w:rsid w:val="00874C7B"/>
    <w:rsid w:val="008B51F6"/>
    <w:rsid w:val="008F7971"/>
    <w:rsid w:val="009C6201"/>
    <w:rsid w:val="00A42066"/>
    <w:rsid w:val="00AD64F0"/>
    <w:rsid w:val="00AD6B24"/>
    <w:rsid w:val="00B22ABA"/>
    <w:rsid w:val="00B31095"/>
    <w:rsid w:val="00B42117"/>
    <w:rsid w:val="00B56E0A"/>
    <w:rsid w:val="00B703F2"/>
    <w:rsid w:val="00B84A66"/>
    <w:rsid w:val="00BC1F37"/>
    <w:rsid w:val="00BD596D"/>
    <w:rsid w:val="00C03E74"/>
    <w:rsid w:val="00CC7616"/>
    <w:rsid w:val="00D20258"/>
    <w:rsid w:val="00DE4A85"/>
    <w:rsid w:val="00E735F0"/>
    <w:rsid w:val="00EE7BEA"/>
    <w:rsid w:val="00F071B5"/>
    <w:rsid w:val="00F3143E"/>
    <w:rsid w:val="00F4669B"/>
    <w:rsid w:val="00F9520D"/>
    <w:rsid w:val="00FA6EB9"/>
    <w:rsid w:val="00FE4F6E"/>
    <w:rsid w:val="00FF1F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3D448"/>
  <w15:chartTrackingRefBased/>
  <w15:docId w15:val="{E13C8311-FA5C-444A-B659-286D7DE1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style>
  <w:style w:type="character" w:customStyle="1" w:styleId="HeaderChar">
    <w:name w:val="Header Char"/>
    <w:link w:val="Header"/>
    <w:rPr>
      <w:rFonts w:cs="Times New Roman"/>
    </w:rPr>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link w:val="Footer"/>
    <w:uiPriority w:val="99"/>
    <w:rPr>
      <w:rFonts w:cs="Times New Roman"/>
    </w:rPr>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rFonts w:cs="Times New Roman"/>
      <w:color w:val="0563C1"/>
      <w:u w:val="single"/>
    </w:rPr>
  </w:style>
  <w:style w:type="character" w:styleId="UnresolvedMention">
    <w:name w:val="Unresolved Mention"/>
    <w:semiHidden/>
    <w:rPr>
      <w:rFonts w:cs="Times New Roman"/>
      <w:color w:val="605E5C"/>
      <w:shd w:val="clear" w:color="auto" w:fill="E1DFDD"/>
    </w:rPr>
  </w:style>
  <w:style w:type="paragraph" w:styleId="ListParagraph">
    <w:name w:val="List Paragraph"/>
    <w:basedOn w:val="Normal"/>
    <w:qFormat/>
    <w:pPr>
      <w:ind w:left="720"/>
      <w:contextualSpacing/>
    </w:pPr>
  </w:style>
  <w:style w:type="paragraph" w:styleId="ListBullet">
    <w:name w:val="List Bullet"/>
    <w:basedOn w:val="Normal"/>
    <w:autoRedefine/>
    <w:pPr>
      <w:numPr>
        <w:numId w:val="4"/>
      </w:numPr>
      <w:bidi w:val="0"/>
    </w:pPr>
    <w:rPr>
      <w:rFonts w:ascii="Arial" w:hAnsi="Arial"/>
      <w:sz w:val="20"/>
      <w:szCs w:val="20"/>
    </w:rPr>
  </w:style>
  <w:style w:type="character" w:styleId="CommentReference">
    <w:name w:val="annotation reference"/>
    <w:uiPriority w:val="99"/>
    <w:semiHidden/>
    <w:unhideWhenUsed/>
    <w:rsid w:val="000F1DED"/>
    <w:rPr>
      <w:sz w:val="16"/>
      <w:szCs w:val="16"/>
    </w:rPr>
  </w:style>
  <w:style w:type="paragraph" w:styleId="CommentText">
    <w:name w:val="annotation text"/>
    <w:basedOn w:val="Normal"/>
    <w:link w:val="CommentTextChar"/>
    <w:uiPriority w:val="99"/>
    <w:semiHidden/>
    <w:unhideWhenUsed/>
    <w:rsid w:val="000F1DED"/>
    <w:rPr>
      <w:sz w:val="20"/>
      <w:szCs w:val="20"/>
    </w:rPr>
  </w:style>
  <w:style w:type="character" w:customStyle="1" w:styleId="CommentTextChar">
    <w:name w:val="Comment Text Char"/>
    <w:link w:val="CommentText"/>
    <w:uiPriority w:val="99"/>
    <w:semiHidden/>
    <w:rsid w:val="000F1DED"/>
    <w:rPr>
      <w:rFonts w:eastAsia="Times New Roman"/>
    </w:rPr>
  </w:style>
  <w:style w:type="paragraph" w:styleId="CommentSubject">
    <w:name w:val="annotation subject"/>
    <w:basedOn w:val="CommentText"/>
    <w:next w:val="CommentText"/>
    <w:link w:val="CommentSubjectChar"/>
    <w:uiPriority w:val="99"/>
    <w:semiHidden/>
    <w:unhideWhenUsed/>
    <w:rsid w:val="000F1DED"/>
    <w:rPr>
      <w:b/>
      <w:bCs/>
    </w:rPr>
  </w:style>
  <w:style w:type="character" w:customStyle="1" w:styleId="CommentSubjectChar">
    <w:name w:val="Comment Subject Char"/>
    <w:link w:val="CommentSubject"/>
    <w:uiPriority w:val="99"/>
    <w:semiHidden/>
    <w:rsid w:val="000F1DED"/>
    <w:rPr>
      <w:rFonts w:eastAsia="Times New Roman"/>
      <w:b/>
      <w:bCs/>
    </w:rPr>
  </w:style>
  <w:style w:type="paragraph" w:styleId="BalloonText">
    <w:name w:val="Balloon Text"/>
    <w:basedOn w:val="Normal"/>
    <w:link w:val="BalloonTextChar"/>
    <w:uiPriority w:val="99"/>
    <w:semiHidden/>
    <w:unhideWhenUsed/>
    <w:rsid w:val="000F1D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F1DE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7099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if.my.site.com/Portal/a0N3X00001AdWY5?srPos=2&amp;srKp=a0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f.my.site.com/Portal/a0NAb000000Pqb3?srPos=3&amp;srKp=a0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wn.org.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4_Worksheet.xls"/><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winword.dot\97\wrkgrp\nif-new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E24E3A-5D37-2547-BA96-171E27BB7652}">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BC6C1-B16A-4F46-A110-9D64F81C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F:\winword.dot\97\wrkgrp\nif-newform.dot</Template>
  <TotalTime>12</TotalTime>
  <Pages>4</Pages>
  <Words>1642</Words>
  <Characters>9200</Characters>
  <Application>Microsoft Office Word</Application>
  <DocSecurity>0</DocSecurity>
  <Lines>191</Lines>
  <Paragraphs>85</Paragraphs>
  <ScaleCrop>false</ScaleCrop>
  <HeadingPairs>
    <vt:vector size="2" baseType="variant">
      <vt:variant>
        <vt:lpstr>Title</vt:lpstr>
      </vt:variant>
      <vt:variant>
        <vt:i4>1</vt:i4>
      </vt:variant>
    </vt:vector>
  </HeadingPairs>
  <TitlesOfParts>
    <vt:vector size="1" baseType="lpstr">
      <vt:lpstr>SOCIAL JUSTICE DOMAIN</vt:lpstr>
    </vt:vector>
  </TitlesOfParts>
  <Company/>
  <LinksUpToDate>false</LinksUpToDate>
  <CharactersWithSpaces>10757</CharactersWithSpaces>
  <SharedDoc>false</SharedDoc>
  <HLinks>
    <vt:vector size="18" baseType="variant">
      <vt:variant>
        <vt:i4>3276848</vt:i4>
      </vt:variant>
      <vt:variant>
        <vt:i4>9</vt:i4>
      </vt:variant>
      <vt:variant>
        <vt:i4>0</vt:i4>
      </vt:variant>
      <vt:variant>
        <vt:i4>5</vt:i4>
      </vt:variant>
      <vt:variant>
        <vt:lpwstr>https://nif.my.site.com/Portal/a0N3X00001AdWY5?srPos=2&amp;srKp=a0N</vt:lpwstr>
      </vt:variant>
      <vt:variant>
        <vt:lpwstr/>
      </vt:variant>
      <vt:variant>
        <vt:i4>7864428</vt:i4>
      </vt:variant>
      <vt:variant>
        <vt:i4>6</vt:i4>
      </vt:variant>
      <vt:variant>
        <vt:i4>0</vt:i4>
      </vt:variant>
      <vt:variant>
        <vt:i4>5</vt:i4>
      </vt:variant>
      <vt:variant>
        <vt:lpwstr>https://nif.my.site.com/Portal/a0NAb000000Pqb3?srPos=3&amp;srKp=a0N</vt:lpwstr>
      </vt:variant>
      <vt:variant>
        <vt:lpwstr/>
      </vt:variant>
      <vt:variant>
        <vt:i4>7864358</vt:i4>
      </vt:variant>
      <vt:variant>
        <vt:i4>3</vt:i4>
      </vt:variant>
      <vt:variant>
        <vt:i4>0</vt:i4>
      </vt:variant>
      <vt:variant>
        <vt:i4>5</vt:i4>
      </vt:variant>
      <vt:variant>
        <vt:lpwstr>https://iwn.org.il/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JUSTICE DOMAIN</dc:title>
  <dc:subject/>
  <dc:creator>Noga Levi</dc:creator>
  <cp:keywords/>
  <dc:description>sent -</dc:description>
  <cp:lastModifiedBy>Meredith Armstrong</cp:lastModifiedBy>
  <cp:revision>3</cp:revision>
  <dcterms:created xsi:type="dcterms:W3CDTF">2024-08-26T10:53:00Z</dcterms:created>
  <dcterms:modified xsi:type="dcterms:W3CDTF">2024-08-26T11:05:00Z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Dic">
    <vt:lpwstr>f:\spellcheck\nif.dic</vt:lpwstr>
  </property>
  <property fmtid="{D5CDD505-2E9C-101B-9397-08002B2CF9AE}" pid="3" name="grammarly_documentId">
    <vt:lpwstr>documentId_7165</vt:lpwstr>
  </property>
  <property fmtid="{D5CDD505-2E9C-101B-9397-08002B2CF9AE}" pid="4" name="grammarly_documentContext">
    <vt:lpwstr>{"goals":[],"domain":"general","emotions":[],"dialect":"american"}</vt:lpwstr>
  </property>
</Properties>
</file>