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45"/>
        <w:gridCol w:w="3245"/>
        <w:gridCol w:w="3246"/>
      </w:tblGrid>
      <w:tr w:rsidR="00DE2AEB" w14:paraId="619B3A12" w14:textId="77777777">
        <w:tc>
          <w:tcPr>
            <w:tcW w:w="9736" w:type="dxa"/>
            <w:gridSpan w:val="3"/>
            <w:vAlign w:val="center"/>
          </w:tcPr>
          <w:p w14:paraId="1B533169" w14:textId="2360EAE4" w:rsidR="00DE2AEB" w:rsidRDefault="002C0E14">
            <w:pPr>
              <w:bidi w:val="0"/>
              <w:spacing w:after="0" w:line="276" w:lineRule="auto"/>
              <w:jc w:val="center"/>
              <w:rPr>
                <w:rFonts w:ascii="Arial" w:hAnsi="Arial"/>
                <w:b/>
                <w:bCs/>
                <w:sz w:val="26"/>
                <w:szCs w:val="26"/>
                <w:rtl/>
              </w:rPr>
            </w:pPr>
            <w:r>
              <w:rPr>
                <w:rFonts w:ascii="Arial" w:hAnsi="Arial"/>
                <w:b/>
                <w:bCs/>
                <w:sz w:val="26"/>
                <w:szCs w:val="26"/>
              </w:rPr>
              <w:t>Project Negev</w:t>
            </w:r>
          </w:p>
        </w:tc>
      </w:tr>
      <w:tr w:rsidR="00DE2AEB" w14:paraId="44BF786E" w14:textId="77777777">
        <w:tc>
          <w:tcPr>
            <w:tcW w:w="9736" w:type="dxa"/>
            <w:gridSpan w:val="3"/>
            <w:shd w:val="clear" w:color="auto" w:fill="D9D9D9"/>
            <w:vAlign w:val="center"/>
          </w:tcPr>
          <w:p w14:paraId="1B0FB5D5" w14:textId="77777777" w:rsidR="00DE2AEB" w:rsidRDefault="00C16C2C">
            <w:pPr>
              <w:bidi w:val="0"/>
              <w:spacing w:after="0" w:line="276" w:lineRule="auto"/>
              <w:jc w:val="center"/>
              <w:rPr>
                <w:rFonts w:ascii="Arial" w:hAnsi="Arial"/>
                <w:b/>
                <w:bCs/>
              </w:rPr>
            </w:pPr>
            <w:r>
              <w:rPr>
                <w:rFonts w:ascii="Arial" w:hAnsi="Arial"/>
                <w:b/>
                <w:bCs/>
              </w:rPr>
              <w:t>STRATEGIES</w:t>
            </w:r>
          </w:p>
        </w:tc>
      </w:tr>
      <w:tr w:rsidR="00DE2AEB" w14:paraId="730F4545" w14:textId="77777777">
        <w:tc>
          <w:tcPr>
            <w:tcW w:w="3245" w:type="dxa"/>
          </w:tcPr>
          <w:p w14:paraId="007BFBD1" w14:textId="77777777" w:rsidR="00DE2AEB" w:rsidRDefault="00C16C2C">
            <w:pPr>
              <w:bidi w:val="0"/>
              <w:spacing w:after="0" w:line="276" w:lineRule="auto"/>
              <w:jc w:val="center"/>
              <w:rPr>
                <w:rFonts w:ascii="Arial" w:hAnsi="Arial"/>
                <w:b/>
                <w:bCs/>
                <w:sz w:val="20"/>
                <w:szCs w:val="20"/>
              </w:rPr>
            </w:pPr>
            <w:r>
              <w:rPr>
                <w:rFonts w:ascii="Arial" w:hAnsi="Arial"/>
                <w:b/>
                <w:bCs/>
                <w:sz w:val="20"/>
                <w:szCs w:val="20"/>
              </w:rPr>
              <w:t>Vision, Ideas, and Policies</w:t>
            </w:r>
          </w:p>
          <w:p w14:paraId="2F782AF6" w14:textId="77777777" w:rsidR="00DE2AEB" w:rsidRDefault="00DE2AEB">
            <w:pPr>
              <w:bidi w:val="0"/>
              <w:spacing w:after="0" w:line="276" w:lineRule="auto"/>
              <w:jc w:val="center"/>
              <w:rPr>
                <w:rFonts w:ascii="Arial" w:hAnsi="Arial"/>
                <w:b/>
                <w:bCs/>
                <w:sz w:val="20"/>
                <w:szCs w:val="20"/>
              </w:rPr>
            </w:pPr>
          </w:p>
        </w:tc>
        <w:tc>
          <w:tcPr>
            <w:tcW w:w="3245" w:type="dxa"/>
          </w:tcPr>
          <w:p w14:paraId="3014F563" w14:textId="77777777" w:rsidR="00DE2AEB" w:rsidRDefault="00C16C2C">
            <w:pPr>
              <w:bidi w:val="0"/>
              <w:spacing w:after="0" w:line="276" w:lineRule="auto"/>
              <w:jc w:val="center"/>
              <w:rPr>
                <w:rFonts w:ascii="Arial" w:hAnsi="Arial"/>
                <w:b/>
                <w:bCs/>
                <w:sz w:val="20"/>
                <w:szCs w:val="20"/>
                <w:rtl/>
              </w:rPr>
            </w:pPr>
            <w:r>
              <w:rPr>
                <w:rFonts w:ascii="Arial" w:hAnsi="Arial"/>
                <w:b/>
                <w:bCs/>
                <w:sz w:val="20"/>
                <w:szCs w:val="20"/>
              </w:rPr>
              <w:t>Public Mobilization </w:t>
            </w:r>
          </w:p>
          <w:p w14:paraId="2F16AA06" w14:textId="77777777" w:rsidR="00DE2AEB" w:rsidRDefault="00DE2AEB">
            <w:pPr>
              <w:bidi w:val="0"/>
              <w:spacing w:after="0" w:line="276" w:lineRule="auto"/>
              <w:jc w:val="center"/>
              <w:rPr>
                <w:rFonts w:ascii="Arial" w:hAnsi="Arial"/>
                <w:b/>
                <w:bCs/>
                <w:sz w:val="20"/>
                <w:szCs w:val="20"/>
              </w:rPr>
            </w:pPr>
          </w:p>
        </w:tc>
        <w:tc>
          <w:tcPr>
            <w:tcW w:w="3246" w:type="dxa"/>
            <w:shd w:val="clear" w:color="auto" w:fill="B4C6E7"/>
          </w:tcPr>
          <w:p w14:paraId="13857C37" w14:textId="77777777" w:rsidR="00DE2AEB" w:rsidRDefault="00C16C2C">
            <w:pPr>
              <w:bidi w:val="0"/>
              <w:spacing w:after="0" w:line="276" w:lineRule="auto"/>
              <w:jc w:val="center"/>
              <w:rPr>
                <w:rFonts w:ascii="Arial" w:hAnsi="Arial"/>
                <w:b/>
                <w:bCs/>
                <w:sz w:val="20"/>
                <w:szCs w:val="20"/>
              </w:rPr>
            </w:pPr>
            <w:r>
              <w:rPr>
                <w:rFonts w:ascii="Arial" w:hAnsi="Arial"/>
                <w:b/>
                <w:bCs/>
                <w:sz w:val="20"/>
                <w:szCs w:val="20"/>
              </w:rPr>
              <w:t>Leadership and Networks</w:t>
            </w:r>
          </w:p>
          <w:p w14:paraId="02FB0584" w14:textId="77777777" w:rsidR="00DE2AEB" w:rsidRDefault="00DE2AEB">
            <w:pPr>
              <w:bidi w:val="0"/>
              <w:spacing w:after="0" w:line="276" w:lineRule="auto"/>
              <w:jc w:val="center"/>
              <w:rPr>
                <w:rFonts w:ascii="Arial" w:hAnsi="Arial"/>
                <w:b/>
                <w:bCs/>
                <w:sz w:val="20"/>
                <w:szCs w:val="20"/>
              </w:rPr>
            </w:pPr>
          </w:p>
        </w:tc>
      </w:tr>
      <w:tr w:rsidR="00DE2AEB" w14:paraId="3855A69E" w14:textId="77777777">
        <w:tc>
          <w:tcPr>
            <w:tcW w:w="9736" w:type="dxa"/>
            <w:gridSpan w:val="3"/>
          </w:tcPr>
          <w:p w14:paraId="2BE165FD" w14:textId="77777777" w:rsidR="00DE2AEB" w:rsidRDefault="00C16C2C">
            <w:pPr>
              <w:bidi w:val="0"/>
              <w:spacing w:after="0" w:line="276" w:lineRule="auto"/>
              <w:jc w:val="center"/>
              <w:rPr>
                <w:rFonts w:ascii="Arial" w:hAnsi="Arial"/>
                <w:sz w:val="16"/>
                <w:szCs w:val="16"/>
              </w:rPr>
            </w:pPr>
            <w:r>
              <w:rPr>
                <w:rFonts w:ascii="Arial" w:hAnsi="Arial"/>
                <w:sz w:val="16"/>
                <w:szCs w:val="16"/>
              </w:rPr>
              <w:t>Put in here the Map of Programs</w:t>
            </w:r>
            <w:r>
              <w:rPr>
                <w:rFonts w:ascii="Arial" w:hAnsi="Arial"/>
                <w:sz w:val="16"/>
                <w:szCs w:val="16"/>
                <w:u w:val="single"/>
              </w:rPr>
              <w:t xml:space="preserve"> AND</w:t>
            </w:r>
            <w:r>
              <w:rPr>
                <w:rFonts w:ascii="Arial" w:hAnsi="Arial"/>
                <w:sz w:val="16"/>
                <w:szCs w:val="16"/>
              </w:rPr>
              <w:t xml:space="preserve"> Pie of Program Including Other</w:t>
            </w:r>
          </w:p>
          <w:p w14:paraId="01125BBA" w14:textId="77777777" w:rsidR="00DE2AEB" w:rsidRDefault="00DE2AEB">
            <w:pPr>
              <w:bidi w:val="0"/>
              <w:spacing w:after="0" w:line="276" w:lineRule="auto"/>
              <w:jc w:val="center"/>
              <w:rPr>
                <w:rFonts w:ascii="Arial" w:hAnsi="Arial"/>
                <w:sz w:val="16"/>
                <w:szCs w:val="16"/>
              </w:rPr>
            </w:pPr>
          </w:p>
        </w:tc>
      </w:tr>
      <w:tr w:rsidR="00DE2AEB" w14:paraId="7FD25D62" w14:textId="77777777">
        <w:tc>
          <w:tcPr>
            <w:tcW w:w="9736" w:type="dxa"/>
            <w:gridSpan w:val="3"/>
          </w:tcPr>
          <w:p w14:paraId="48E5D025" w14:textId="77777777" w:rsidR="00DE2AEB" w:rsidRDefault="00C16C2C">
            <w:pPr>
              <w:bidi w:val="0"/>
              <w:spacing w:after="0" w:line="276" w:lineRule="auto"/>
              <w:rPr>
                <w:rFonts w:ascii="Arial" w:hAnsi="Arial"/>
                <w:sz w:val="20"/>
                <w:szCs w:val="20"/>
              </w:rPr>
            </w:pPr>
            <w:r>
              <w:rPr>
                <w:rFonts w:ascii="Arial" w:hAnsi="Arial"/>
                <w:b/>
                <w:bCs/>
                <w:sz w:val="20"/>
                <w:szCs w:val="20"/>
              </w:rPr>
              <w:t xml:space="preserve">The organization was established in: </w:t>
            </w:r>
            <w:r w:rsidR="003B75F4">
              <w:rPr>
                <w:rFonts w:ascii="Arial" w:hAnsi="Arial" w:hint="cs"/>
                <w:sz w:val="20"/>
                <w:szCs w:val="20"/>
                <w:rtl/>
              </w:rPr>
              <w:t>1989</w:t>
            </w:r>
          </w:p>
          <w:p w14:paraId="336EEB17" w14:textId="77777777" w:rsidR="00DE2AEB" w:rsidRDefault="00C16C2C">
            <w:pPr>
              <w:bidi w:val="0"/>
              <w:spacing w:after="0" w:line="276" w:lineRule="auto"/>
              <w:rPr>
                <w:rFonts w:ascii="Arial" w:hAnsi="Arial"/>
                <w:sz w:val="20"/>
                <w:szCs w:val="20"/>
              </w:rPr>
            </w:pPr>
            <w:r>
              <w:rPr>
                <w:rFonts w:ascii="Arial" w:hAnsi="Arial"/>
                <w:b/>
                <w:bCs/>
                <w:sz w:val="20"/>
                <w:szCs w:val="20"/>
              </w:rPr>
              <w:t>DA Support (in 2024):</w:t>
            </w:r>
            <w:r>
              <w:rPr>
                <w:rFonts w:ascii="Arial" w:hAnsi="Arial"/>
                <w:sz w:val="20"/>
                <w:szCs w:val="20"/>
              </w:rPr>
              <w:t xml:space="preserve"> $2</w:t>
            </w:r>
            <w:r w:rsidR="001E2479">
              <w:rPr>
                <w:rFonts w:ascii="Arial" w:hAnsi="Arial"/>
                <w:sz w:val="20"/>
                <w:szCs w:val="20"/>
              </w:rPr>
              <w:t>0</w:t>
            </w:r>
            <w:r>
              <w:rPr>
                <w:rFonts w:ascii="Arial" w:hAnsi="Arial"/>
                <w:sz w:val="20"/>
                <w:szCs w:val="20"/>
              </w:rPr>
              <w:t xml:space="preserve">,000 </w:t>
            </w:r>
          </w:p>
          <w:p w14:paraId="413DAE6B" w14:textId="77777777" w:rsidR="00DE2AEB" w:rsidRDefault="00C16C2C">
            <w:pPr>
              <w:bidi w:val="0"/>
              <w:spacing w:after="0" w:line="276" w:lineRule="auto"/>
              <w:rPr>
                <w:rFonts w:ascii="Arial" w:hAnsi="Arial"/>
                <w:sz w:val="20"/>
                <w:szCs w:val="20"/>
              </w:rPr>
            </w:pPr>
            <w:r>
              <w:rPr>
                <w:rFonts w:ascii="Arial" w:hAnsi="Arial"/>
                <w:b/>
                <w:bCs/>
                <w:sz w:val="20"/>
                <w:szCs w:val="20"/>
              </w:rPr>
              <w:t>Rapid Response Support (in 2023)</w:t>
            </w:r>
            <w:r>
              <w:rPr>
                <w:rFonts w:ascii="Arial" w:hAnsi="Arial"/>
                <w:sz w:val="20"/>
                <w:szCs w:val="20"/>
              </w:rPr>
              <w:t>: $</w:t>
            </w:r>
            <w:r w:rsidR="001E2479">
              <w:rPr>
                <w:rFonts w:ascii="Arial" w:hAnsi="Arial" w:hint="cs"/>
                <w:sz w:val="20"/>
                <w:szCs w:val="20"/>
                <w:rtl/>
              </w:rPr>
              <w:t>100</w:t>
            </w:r>
            <w:r w:rsidR="001E2479">
              <w:rPr>
                <w:rFonts w:ascii="Arial" w:hAnsi="Arial"/>
                <w:sz w:val="20"/>
                <w:szCs w:val="20"/>
              </w:rPr>
              <w:t>,000</w:t>
            </w:r>
          </w:p>
          <w:p w14:paraId="76590946" w14:textId="77777777" w:rsidR="00DE2AEB" w:rsidRDefault="00DE2AEB">
            <w:pPr>
              <w:bidi w:val="0"/>
              <w:spacing w:after="0" w:line="276" w:lineRule="auto"/>
              <w:jc w:val="center"/>
              <w:rPr>
                <w:rFonts w:ascii="Arial" w:hAnsi="Arial"/>
                <w:sz w:val="20"/>
                <w:szCs w:val="20"/>
              </w:rPr>
            </w:pPr>
          </w:p>
          <w:p w14:paraId="50C5AA6E" w14:textId="77777777" w:rsidR="00DE2AEB" w:rsidRDefault="00C16C2C">
            <w:pPr>
              <w:bidi w:val="0"/>
              <w:spacing w:after="0" w:line="276" w:lineRule="auto"/>
              <w:rPr>
                <w:rFonts w:ascii="Arial" w:hAnsi="Arial"/>
                <w:sz w:val="20"/>
                <w:szCs w:val="20"/>
              </w:rPr>
            </w:pPr>
            <w:r>
              <w:rPr>
                <w:rFonts w:ascii="Arial" w:hAnsi="Arial"/>
                <w:b/>
                <w:bCs/>
                <w:sz w:val="20"/>
                <w:szCs w:val="20"/>
              </w:rPr>
              <w:t>Link to Organizational Website</w:t>
            </w:r>
            <w:r>
              <w:rPr>
                <w:rFonts w:ascii="Arial" w:hAnsi="Arial"/>
                <w:sz w:val="20"/>
                <w:szCs w:val="20"/>
              </w:rPr>
              <w:t xml:space="preserve">:  </w:t>
            </w:r>
            <w:r w:rsidR="001E2479" w:rsidRPr="001E2479">
              <w:rPr>
                <w:rFonts w:ascii="Arial" w:hAnsi="Arial"/>
                <w:sz w:val="20"/>
                <w:szCs w:val="20"/>
              </w:rPr>
              <w:t>https://hechalutz.com/</w:t>
            </w:r>
          </w:p>
          <w:p w14:paraId="4A281C4C" w14:textId="77777777" w:rsidR="00DE2AEB" w:rsidRDefault="00C16C2C">
            <w:pPr>
              <w:bidi w:val="0"/>
              <w:spacing w:after="0" w:line="276" w:lineRule="auto"/>
              <w:rPr>
                <w:rFonts w:ascii="Arial" w:hAnsi="Arial"/>
                <w:sz w:val="20"/>
                <w:szCs w:val="20"/>
              </w:rPr>
            </w:pPr>
            <w:r>
              <w:rPr>
                <w:rFonts w:ascii="Arial" w:hAnsi="Arial"/>
                <w:b/>
                <w:bCs/>
                <w:sz w:val="20"/>
                <w:szCs w:val="20"/>
              </w:rPr>
              <w:t>Link to Proposal:</w:t>
            </w:r>
            <w:r>
              <w:rPr>
                <w:rFonts w:ascii="Arial" w:hAnsi="Arial"/>
                <w:sz w:val="20"/>
                <w:szCs w:val="20"/>
              </w:rPr>
              <w:t xml:space="preserve"> </w:t>
            </w:r>
          </w:p>
        </w:tc>
      </w:tr>
      <w:tr w:rsidR="00DE2AEB" w14:paraId="1B67A6D9" w14:textId="77777777">
        <w:tc>
          <w:tcPr>
            <w:tcW w:w="9736" w:type="dxa"/>
            <w:gridSpan w:val="3"/>
            <w:shd w:val="clear" w:color="auto" w:fill="D9D9D9"/>
            <w:vAlign w:val="center"/>
          </w:tcPr>
          <w:p w14:paraId="44556745" w14:textId="77777777" w:rsidR="00DE2AEB" w:rsidRDefault="00C16C2C">
            <w:pPr>
              <w:bidi w:val="0"/>
              <w:spacing w:after="0" w:line="276" w:lineRule="auto"/>
              <w:jc w:val="center"/>
              <w:rPr>
                <w:rFonts w:ascii="Arial" w:hAnsi="Arial"/>
                <w:b/>
                <w:bCs/>
              </w:rPr>
            </w:pPr>
            <w:r>
              <w:rPr>
                <w:rFonts w:ascii="Arial" w:hAnsi="Arial"/>
                <w:b/>
                <w:bCs/>
              </w:rPr>
              <w:t>INTRODUCTION</w:t>
            </w:r>
          </w:p>
        </w:tc>
      </w:tr>
      <w:tr w:rsidR="00DE2AEB" w14:paraId="48803AE5" w14:textId="77777777">
        <w:tc>
          <w:tcPr>
            <w:tcW w:w="9736" w:type="dxa"/>
            <w:gridSpan w:val="3"/>
          </w:tcPr>
          <w:p w14:paraId="72789212" w14:textId="77777777" w:rsidR="00DE2AEB" w:rsidRPr="009D7B56" w:rsidRDefault="00DE2AEB">
            <w:pPr>
              <w:bidi w:val="0"/>
              <w:spacing w:after="0" w:line="276" w:lineRule="auto"/>
              <w:rPr>
                <w:rFonts w:asciiTheme="minorBidi" w:hAnsiTheme="minorBidi" w:cstheme="minorBidi"/>
                <w:color w:val="181818"/>
                <w:sz w:val="20"/>
                <w:szCs w:val="20"/>
                <w:shd w:val="clear" w:color="auto" w:fill="FFFFFF"/>
                <w:rtl/>
              </w:rPr>
            </w:pPr>
          </w:p>
          <w:p w14:paraId="4558EC88" w14:textId="598D0178" w:rsidR="00FC110F" w:rsidRDefault="00A638E0" w:rsidP="00A638E0">
            <w:pPr>
              <w:bidi w:val="0"/>
              <w:spacing w:after="0" w:line="276" w:lineRule="auto"/>
              <w:rPr>
                <w:rFonts w:asciiTheme="minorBidi" w:hAnsiTheme="minorBidi" w:cstheme="minorBidi"/>
                <w:color w:val="181818"/>
                <w:sz w:val="20"/>
                <w:szCs w:val="20"/>
                <w:shd w:val="clear" w:color="auto" w:fill="FFFFFF"/>
              </w:rPr>
            </w:pPr>
            <w:r>
              <w:rPr>
                <w:rFonts w:asciiTheme="minorBidi" w:hAnsiTheme="minorBidi" w:cstheme="minorBidi"/>
                <w:color w:val="181818"/>
                <w:sz w:val="20"/>
                <w:szCs w:val="20"/>
                <w:shd w:val="clear" w:color="auto" w:fill="FFFFFF"/>
              </w:rPr>
              <w:t xml:space="preserve">The Hechalutz movement, established by the Midrash in Oranim, is an educational organization whose aim is to develop a leadership that is committed to creating a society </w:t>
            </w:r>
            <w:r w:rsidR="00BB3198">
              <w:rPr>
                <w:rFonts w:asciiTheme="minorBidi" w:hAnsiTheme="minorBidi" w:cstheme="minorBidi"/>
                <w:color w:val="181818"/>
                <w:sz w:val="20"/>
                <w:szCs w:val="20"/>
                <w:shd w:val="clear" w:color="auto" w:fill="FFFFFF"/>
              </w:rPr>
              <w:t>that upholds</w:t>
            </w:r>
            <w:r>
              <w:rPr>
                <w:rFonts w:asciiTheme="minorBidi" w:hAnsiTheme="minorBidi" w:cstheme="minorBidi"/>
                <w:color w:val="181818"/>
                <w:sz w:val="20"/>
                <w:szCs w:val="20"/>
                <w:shd w:val="clear" w:color="auto" w:fill="FFFFFF"/>
              </w:rPr>
              <w:t xml:space="preserve"> social justice, mutual responsibility, democracy, peace, equality, and freedom.</w:t>
            </w:r>
            <w:r w:rsidR="00341F75">
              <w:rPr>
                <w:rFonts w:asciiTheme="minorBidi" w:hAnsiTheme="minorBidi" w:cstheme="minorBidi"/>
                <w:color w:val="181818"/>
                <w:sz w:val="20"/>
                <w:szCs w:val="20"/>
                <w:shd w:val="clear" w:color="auto" w:fill="FFFFFF"/>
              </w:rPr>
              <w:t xml:space="preserve"> </w:t>
            </w:r>
            <w:r w:rsidR="00BB3198">
              <w:rPr>
                <w:rFonts w:asciiTheme="minorBidi" w:hAnsiTheme="minorBidi" w:cstheme="minorBidi"/>
                <w:color w:val="181818"/>
                <w:sz w:val="20"/>
                <w:szCs w:val="20"/>
                <w:shd w:val="clear" w:color="auto" w:fill="FFFFFF"/>
              </w:rPr>
              <w:t xml:space="preserve">It </w:t>
            </w:r>
            <w:r>
              <w:rPr>
                <w:rFonts w:asciiTheme="minorBidi" w:hAnsiTheme="minorBidi" w:cstheme="minorBidi"/>
                <w:color w:val="181818"/>
                <w:sz w:val="20"/>
                <w:szCs w:val="20"/>
                <w:shd w:val="clear" w:color="auto" w:fill="FFFFFF"/>
              </w:rPr>
              <w:t xml:space="preserve">runs leadership programs for young people before, during, and after their military service, </w:t>
            </w:r>
            <w:r w:rsidR="00341F75">
              <w:rPr>
                <w:rFonts w:asciiTheme="minorBidi" w:hAnsiTheme="minorBidi" w:cstheme="minorBidi"/>
                <w:color w:val="181818"/>
                <w:sz w:val="20"/>
                <w:szCs w:val="20"/>
                <w:shd w:val="clear" w:color="auto" w:fill="FFFFFF"/>
              </w:rPr>
              <w:t>which combine</w:t>
            </w:r>
            <w:r>
              <w:rPr>
                <w:rFonts w:asciiTheme="minorBidi" w:hAnsiTheme="minorBidi" w:cstheme="minorBidi"/>
                <w:color w:val="181818"/>
                <w:sz w:val="20"/>
                <w:szCs w:val="20"/>
                <w:shd w:val="clear" w:color="auto" w:fill="FFFFFF"/>
              </w:rPr>
              <w:t xml:space="preserve"> study and community engagement. These programs educate participants about </w:t>
            </w:r>
            <w:r w:rsidR="00BB3198">
              <w:rPr>
                <w:rFonts w:asciiTheme="minorBidi" w:hAnsiTheme="minorBidi" w:cstheme="minorBidi"/>
                <w:color w:val="181818"/>
                <w:sz w:val="20"/>
                <w:szCs w:val="20"/>
                <w:shd w:val="clear" w:color="auto" w:fill="FFFFFF"/>
              </w:rPr>
              <w:t xml:space="preserve">Hechalutz’s </w:t>
            </w:r>
            <w:r>
              <w:rPr>
                <w:rFonts w:asciiTheme="minorBidi" w:hAnsiTheme="minorBidi" w:cstheme="minorBidi"/>
                <w:color w:val="181818"/>
                <w:sz w:val="20"/>
                <w:szCs w:val="20"/>
                <w:shd w:val="clear" w:color="auto" w:fill="FFFFFF"/>
              </w:rPr>
              <w:t xml:space="preserve">values, help shape their identity and sense of belonging, and foster motivation and commitment to promoting change. In addition, </w:t>
            </w:r>
            <w:r w:rsidR="00BB3198">
              <w:rPr>
                <w:rFonts w:asciiTheme="minorBidi" w:hAnsiTheme="minorBidi" w:cstheme="minorBidi"/>
                <w:color w:val="181818"/>
                <w:sz w:val="20"/>
                <w:szCs w:val="20"/>
                <w:shd w:val="clear" w:color="auto" w:fill="FFFFFF"/>
              </w:rPr>
              <w:t xml:space="preserve">Hechalutz </w:t>
            </w:r>
            <w:r>
              <w:rPr>
                <w:rFonts w:asciiTheme="minorBidi" w:hAnsiTheme="minorBidi" w:cstheme="minorBidi"/>
                <w:color w:val="181818"/>
                <w:sz w:val="20"/>
                <w:szCs w:val="20"/>
                <w:shd w:val="clear" w:color="auto" w:fill="FFFFFF"/>
              </w:rPr>
              <w:t>operates an alumni network, providing a platform for graduates of the program to engage in activist and political activities, and encouraging them to take on influential roles and be</w:t>
            </w:r>
            <w:r w:rsidR="00BB3198">
              <w:rPr>
                <w:rFonts w:asciiTheme="minorBidi" w:hAnsiTheme="minorBidi" w:cstheme="minorBidi"/>
                <w:color w:val="181818"/>
                <w:sz w:val="20"/>
                <w:szCs w:val="20"/>
                <w:shd w:val="clear" w:color="auto" w:fill="FFFFFF"/>
              </w:rPr>
              <w:t>come</w:t>
            </w:r>
            <w:r>
              <w:rPr>
                <w:rFonts w:asciiTheme="minorBidi" w:hAnsiTheme="minorBidi" w:cstheme="minorBidi"/>
                <w:color w:val="181818"/>
                <w:sz w:val="20"/>
                <w:szCs w:val="20"/>
                <w:shd w:val="clear" w:color="auto" w:fill="FFFFFF"/>
              </w:rPr>
              <w:t xml:space="preserve"> socially engaged.</w:t>
            </w:r>
          </w:p>
          <w:p w14:paraId="3566AFB3" w14:textId="77777777" w:rsidR="00BB3198" w:rsidRDefault="00BB3198" w:rsidP="00BB3198">
            <w:pPr>
              <w:bidi w:val="0"/>
              <w:spacing w:after="0" w:line="276" w:lineRule="auto"/>
              <w:rPr>
                <w:rFonts w:asciiTheme="minorBidi" w:hAnsiTheme="minorBidi" w:cstheme="minorBidi"/>
                <w:color w:val="181818"/>
                <w:sz w:val="20"/>
                <w:szCs w:val="20"/>
                <w:shd w:val="clear" w:color="auto" w:fill="FFFFFF"/>
              </w:rPr>
            </w:pPr>
          </w:p>
          <w:p w14:paraId="32A1E78F" w14:textId="18EE7885" w:rsidR="00D63A8D" w:rsidRDefault="00D63A8D" w:rsidP="00D63A8D">
            <w:pPr>
              <w:bidi w:val="0"/>
              <w:spacing w:after="0" w:line="276" w:lineRule="auto"/>
              <w:rPr>
                <w:rFonts w:asciiTheme="minorBidi" w:hAnsiTheme="minorBidi" w:cstheme="minorBidi"/>
                <w:color w:val="181818"/>
                <w:sz w:val="20"/>
                <w:szCs w:val="20"/>
                <w:shd w:val="clear" w:color="auto" w:fill="FFFFFF"/>
              </w:rPr>
            </w:pPr>
            <w:r>
              <w:rPr>
                <w:rFonts w:asciiTheme="minorBidi" w:hAnsiTheme="minorBidi" w:cstheme="minorBidi"/>
                <w:color w:val="181818"/>
                <w:sz w:val="20"/>
                <w:szCs w:val="20"/>
                <w:shd w:val="clear" w:color="auto" w:fill="FFFFFF"/>
              </w:rPr>
              <w:t xml:space="preserve">Hechalutz views itself as distinctively political, with a clear commitment to the progressive camp. </w:t>
            </w:r>
            <w:r w:rsidR="00341F75">
              <w:rPr>
                <w:rFonts w:asciiTheme="minorBidi" w:hAnsiTheme="minorBidi" w:cstheme="minorBidi"/>
                <w:color w:val="181818"/>
                <w:sz w:val="20"/>
                <w:szCs w:val="20"/>
                <w:shd w:val="clear" w:color="auto" w:fill="FFFFFF"/>
              </w:rPr>
              <w:t>Within</w:t>
            </w:r>
            <w:r>
              <w:rPr>
                <w:rFonts w:asciiTheme="minorBidi" w:hAnsiTheme="minorBidi" w:cstheme="minorBidi"/>
                <w:color w:val="181818"/>
                <w:sz w:val="20"/>
                <w:szCs w:val="20"/>
                <w:shd w:val="clear" w:color="auto" w:fill="FFFFFF"/>
              </w:rPr>
              <w:t xml:space="preserve"> this framework, Hechalutz has established numerous collaborations with NIF and various supported organizations. Hechalutz is also part of the </w:t>
            </w:r>
            <w:r w:rsidR="00B47E15">
              <w:rPr>
                <w:rFonts w:asciiTheme="minorBidi" w:hAnsiTheme="minorBidi" w:cstheme="minorBidi"/>
                <w:color w:val="181818"/>
                <w:sz w:val="20"/>
                <w:szCs w:val="20"/>
                <w:shd w:val="clear" w:color="auto" w:fill="FFFFFF"/>
              </w:rPr>
              <w:t xml:space="preserve">Ha-Migdalor (“Lighthouse”) project </w:t>
            </w:r>
            <w:r w:rsidR="00BB3198">
              <w:rPr>
                <w:rFonts w:asciiTheme="minorBidi" w:hAnsiTheme="minorBidi" w:cstheme="minorBidi"/>
                <w:color w:val="181818"/>
                <w:sz w:val="20"/>
                <w:szCs w:val="20"/>
                <w:shd w:val="clear" w:color="auto" w:fill="FFFFFF"/>
              </w:rPr>
              <w:t xml:space="preserve">alongside </w:t>
            </w:r>
            <w:r w:rsidR="00B47E15">
              <w:rPr>
                <w:rFonts w:asciiTheme="minorBidi" w:hAnsiTheme="minorBidi" w:cstheme="minorBidi"/>
                <w:color w:val="181818"/>
                <w:sz w:val="20"/>
                <w:szCs w:val="20"/>
                <w:shd w:val="clear" w:color="auto" w:fill="FFFFFF"/>
              </w:rPr>
              <w:t>Idea, which has been funded by NIF since 2022. Since February 2024, H</w:t>
            </w:r>
            <w:r w:rsidR="00341F75">
              <w:rPr>
                <w:rFonts w:asciiTheme="minorBidi" w:hAnsiTheme="minorBidi" w:cstheme="minorBidi"/>
                <w:color w:val="181818"/>
                <w:sz w:val="20"/>
                <w:szCs w:val="20"/>
                <w:shd w:val="clear" w:color="auto" w:fill="FFFFFF"/>
              </w:rPr>
              <w:t>e</w:t>
            </w:r>
            <w:r w:rsidR="00B47E15">
              <w:rPr>
                <w:rFonts w:asciiTheme="minorBidi" w:hAnsiTheme="minorBidi" w:cstheme="minorBidi"/>
                <w:color w:val="181818"/>
                <w:sz w:val="20"/>
                <w:szCs w:val="20"/>
                <w:shd w:val="clear" w:color="auto" w:fill="FFFFFF"/>
              </w:rPr>
              <w:t xml:space="preserve">chalutz has been funded by the Democratic Infrastructure </w:t>
            </w:r>
            <w:r w:rsidR="00341F75">
              <w:rPr>
                <w:rFonts w:asciiTheme="minorBidi" w:hAnsiTheme="minorBidi" w:cstheme="minorBidi"/>
                <w:color w:val="181818"/>
                <w:sz w:val="20"/>
                <w:szCs w:val="20"/>
                <w:shd w:val="clear" w:color="auto" w:fill="FFFFFF"/>
              </w:rPr>
              <w:t>f</w:t>
            </w:r>
            <w:r w:rsidR="00B47E15">
              <w:rPr>
                <w:rFonts w:asciiTheme="minorBidi" w:hAnsiTheme="minorBidi" w:cstheme="minorBidi"/>
                <w:color w:val="181818"/>
                <w:sz w:val="20"/>
                <w:szCs w:val="20"/>
                <w:shd w:val="clear" w:color="auto" w:fill="FFFFFF"/>
              </w:rPr>
              <w:t>und. Hechalutz has extensive connections and deep roots in the kibbutzim of the Western Negev, which were severely impacted by October 7.</w:t>
            </w:r>
          </w:p>
          <w:p w14:paraId="2740185C" w14:textId="77777777" w:rsidR="00BB3198" w:rsidRDefault="00BB3198" w:rsidP="00BB3198">
            <w:pPr>
              <w:bidi w:val="0"/>
              <w:spacing w:after="0" w:line="276" w:lineRule="auto"/>
              <w:rPr>
                <w:rFonts w:asciiTheme="minorBidi" w:hAnsiTheme="minorBidi" w:cstheme="minorBidi"/>
                <w:color w:val="181818"/>
                <w:sz w:val="20"/>
                <w:szCs w:val="20"/>
                <w:shd w:val="clear" w:color="auto" w:fill="FFFFFF"/>
              </w:rPr>
            </w:pPr>
          </w:p>
          <w:p w14:paraId="73964E91" w14:textId="1AAF822F" w:rsidR="00197CF9" w:rsidRDefault="00197CF9" w:rsidP="00197CF9">
            <w:pPr>
              <w:bidi w:val="0"/>
              <w:spacing w:after="0" w:line="276" w:lineRule="auto"/>
              <w:rPr>
                <w:rFonts w:asciiTheme="minorBidi" w:hAnsiTheme="minorBidi" w:cstheme="minorBidi"/>
                <w:color w:val="181818"/>
                <w:sz w:val="20"/>
                <w:szCs w:val="20"/>
                <w:shd w:val="clear" w:color="auto" w:fill="FFFFFF"/>
              </w:rPr>
            </w:pPr>
            <w:r>
              <w:rPr>
                <w:rFonts w:asciiTheme="minorBidi" w:hAnsiTheme="minorBidi" w:cstheme="minorBidi"/>
                <w:color w:val="181818"/>
                <w:sz w:val="20"/>
                <w:szCs w:val="20"/>
                <w:shd w:val="clear" w:color="auto" w:fill="FFFFFF"/>
              </w:rPr>
              <w:t xml:space="preserve">The “Protecting the Gaza Envelope Project” as created as part of a collaboration between Hechalutz and the Kibbutz Movement. Its aim is to provide a response from Israel’s democratic camp to the resettlement of the kibbutzim in the Gaza </w:t>
            </w:r>
            <w:r w:rsidR="00C90D1D">
              <w:rPr>
                <w:rFonts w:asciiTheme="minorBidi" w:hAnsiTheme="minorBidi" w:cstheme="minorBidi"/>
                <w:color w:val="181818"/>
                <w:sz w:val="20"/>
                <w:szCs w:val="20"/>
                <w:shd w:val="clear" w:color="auto" w:fill="FFFFFF"/>
              </w:rPr>
              <w:t>envelope</w:t>
            </w:r>
            <w:r>
              <w:rPr>
                <w:rFonts w:asciiTheme="minorBidi" w:hAnsiTheme="minorBidi" w:cstheme="minorBidi"/>
                <w:color w:val="181818"/>
                <w:sz w:val="20"/>
                <w:szCs w:val="20"/>
                <w:shd w:val="clear" w:color="auto" w:fill="FFFFFF"/>
              </w:rPr>
              <w:t xml:space="preserve"> region. The severe damage inflicted on these kibbutzim on October 7 – complete destruction, numerous casualties, and hostages – is a national-scale tragedy from which it will take many years to recover. Most of the Gaza </w:t>
            </w:r>
            <w:r w:rsidR="00C90D1D">
              <w:rPr>
                <w:rFonts w:asciiTheme="minorBidi" w:hAnsiTheme="minorBidi" w:cstheme="minorBidi"/>
                <w:color w:val="181818"/>
                <w:sz w:val="20"/>
                <w:szCs w:val="20"/>
                <w:shd w:val="clear" w:color="auto" w:fill="FFFFFF"/>
              </w:rPr>
              <w:t>envelope</w:t>
            </w:r>
            <w:r>
              <w:rPr>
                <w:rFonts w:asciiTheme="minorBidi" w:hAnsiTheme="minorBidi" w:cstheme="minorBidi"/>
                <w:color w:val="181818"/>
                <w:sz w:val="20"/>
                <w:szCs w:val="20"/>
                <w:shd w:val="clear" w:color="auto" w:fill="FFFFFF"/>
              </w:rPr>
              <w:t xml:space="preserve"> kibbutzim have temporarily relocated for a period ranging from one year to several years until they can return. Some residents have already returned to certain kibbutzim, while others are expected to take between 3-4 years to return. </w:t>
            </w:r>
          </w:p>
          <w:p w14:paraId="7BBC6481" w14:textId="77777777" w:rsidR="00BB3198" w:rsidRDefault="00BB3198" w:rsidP="00BB3198">
            <w:pPr>
              <w:bidi w:val="0"/>
              <w:spacing w:after="0" w:line="276" w:lineRule="auto"/>
              <w:rPr>
                <w:rFonts w:asciiTheme="minorBidi" w:hAnsiTheme="minorBidi" w:cstheme="minorBidi"/>
                <w:color w:val="181818"/>
                <w:sz w:val="20"/>
                <w:szCs w:val="20"/>
                <w:shd w:val="clear" w:color="auto" w:fill="FFFFFF"/>
              </w:rPr>
            </w:pPr>
          </w:p>
          <w:p w14:paraId="555AF5F4" w14:textId="784D13E6" w:rsidR="00197CF9" w:rsidRDefault="00197CF9" w:rsidP="00197CF9">
            <w:pPr>
              <w:bidi w:val="0"/>
              <w:spacing w:after="0" w:line="276" w:lineRule="auto"/>
              <w:rPr>
                <w:rFonts w:asciiTheme="minorBidi" w:hAnsiTheme="minorBidi" w:cstheme="minorBidi"/>
                <w:color w:val="181818"/>
                <w:sz w:val="20"/>
                <w:szCs w:val="20"/>
                <w:shd w:val="clear" w:color="auto" w:fill="FFFFFF"/>
              </w:rPr>
            </w:pPr>
            <w:r>
              <w:rPr>
                <w:rFonts w:asciiTheme="minorBidi" w:hAnsiTheme="minorBidi" w:cstheme="minorBidi"/>
                <w:color w:val="181818"/>
                <w:sz w:val="20"/>
                <w:szCs w:val="20"/>
                <w:shd w:val="clear" w:color="auto" w:fill="FFFFFF"/>
              </w:rPr>
              <w:t xml:space="preserve">The Takumah Directorate, which has been tasked with overseeing the return of residents to the Gaza </w:t>
            </w:r>
            <w:r w:rsidR="00C90D1D">
              <w:rPr>
                <w:rFonts w:asciiTheme="minorBidi" w:hAnsiTheme="minorBidi" w:cstheme="minorBidi"/>
                <w:color w:val="181818"/>
                <w:sz w:val="20"/>
                <w:szCs w:val="20"/>
                <w:shd w:val="clear" w:color="auto" w:fill="FFFFFF"/>
              </w:rPr>
              <w:t>envelope</w:t>
            </w:r>
            <w:r>
              <w:rPr>
                <w:rFonts w:asciiTheme="minorBidi" w:hAnsiTheme="minorBidi" w:cstheme="minorBidi"/>
                <w:color w:val="181818"/>
                <w:sz w:val="20"/>
                <w:szCs w:val="20"/>
                <w:shd w:val="clear" w:color="auto" w:fill="FFFFFF"/>
              </w:rPr>
              <w:t xml:space="preserve"> area, operates according to objectives and principles set by the government. It is therefore not necessarily committed to the identity of the communities, and certainly not to the liberal-democratic camp. It is </w:t>
            </w:r>
            <w:r w:rsidR="00BB3198">
              <w:rPr>
                <w:rFonts w:asciiTheme="minorBidi" w:hAnsiTheme="minorBidi" w:cstheme="minorBidi"/>
                <w:color w:val="181818"/>
                <w:sz w:val="20"/>
                <w:szCs w:val="20"/>
                <w:shd w:val="clear" w:color="auto" w:fill="FFFFFF"/>
              </w:rPr>
              <w:t>seen</w:t>
            </w:r>
            <w:r>
              <w:rPr>
                <w:rFonts w:asciiTheme="minorBidi" w:hAnsiTheme="minorBidi" w:cstheme="minorBidi"/>
                <w:color w:val="181818"/>
                <w:sz w:val="20"/>
                <w:szCs w:val="20"/>
                <w:shd w:val="clear" w:color="auto" w:fill="FFFFFF"/>
              </w:rPr>
              <w:t xml:space="preserve"> as part of the threat felt by the kibbutzim in the area. At the same time, the Zor’im Forum, which is led by the religious-Zionist movement, has emerged</w:t>
            </w:r>
            <w:r w:rsidR="00BB3198">
              <w:rPr>
                <w:rFonts w:asciiTheme="minorBidi" w:hAnsiTheme="minorBidi" w:cstheme="minorBidi"/>
                <w:color w:val="181818"/>
                <w:sz w:val="20"/>
                <w:szCs w:val="20"/>
                <w:shd w:val="clear" w:color="auto" w:fill="FFFFFF"/>
              </w:rPr>
              <w:t xml:space="preserve">, and </w:t>
            </w:r>
            <w:r>
              <w:rPr>
                <w:rFonts w:asciiTheme="minorBidi" w:hAnsiTheme="minorBidi" w:cstheme="minorBidi"/>
                <w:color w:val="181818"/>
                <w:sz w:val="20"/>
                <w:szCs w:val="20"/>
                <w:shd w:val="clear" w:color="auto" w:fill="FFFFFF"/>
              </w:rPr>
              <w:t>aims to coordinate</w:t>
            </w:r>
            <w:r w:rsidR="00BB3198">
              <w:rPr>
                <w:rFonts w:asciiTheme="minorBidi" w:hAnsiTheme="minorBidi" w:cstheme="minorBidi"/>
                <w:color w:val="181818"/>
                <w:sz w:val="20"/>
                <w:szCs w:val="20"/>
                <w:shd w:val="clear" w:color="auto" w:fill="FFFFFF"/>
              </w:rPr>
              <w:t xml:space="preserve"> </w:t>
            </w:r>
            <w:r>
              <w:rPr>
                <w:rFonts w:asciiTheme="minorBidi" w:hAnsiTheme="minorBidi" w:cstheme="minorBidi"/>
                <w:color w:val="181818"/>
                <w:sz w:val="20"/>
                <w:szCs w:val="20"/>
                <w:shd w:val="clear" w:color="auto" w:fill="FFFFFF"/>
              </w:rPr>
              <w:t>settlement and educational activities for returning residents. This forum is also not committed to the liberal-democratic camp.</w:t>
            </w:r>
          </w:p>
          <w:p w14:paraId="52322B92" w14:textId="632CF333" w:rsidR="00C90D1D" w:rsidRDefault="00C90D1D" w:rsidP="00C90D1D">
            <w:pPr>
              <w:bidi w:val="0"/>
              <w:spacing w:after="0" w:line="276" w:lineRule="auto"/>
              <w:rPr>
                <w:rFonts w:asciiTheme="minorBidi" w:hAnsiTheme="minorBidi" w:cstheme="minorBidi"/>
                <w:color w:val="181818"/>
                <w:sz w:val="20"/>
                <w:szCs w:val="20"/>
                <w:shd w:val="clear" w:color="auto" w:fill="FFFFFF"/>
              </w:rPr>
            </w:pPr>
            <w:r>
              <w:rPr>
                <w:rFonts w:asciiTheme="minorBidi" w:hAnsiTheme="minorBidi" w:cstheme="minorBidi"/>
                <w:color w:val="181818"/>
                <w:sz w:val="20"/>
                <w:szCs w:val="20"/>
                <w:shd w:val="clear" w:color="auto" w:fill="FFFFFF"/>
              </w:rPr>
              <w:t xml:space="preserve">Based on the understanding that the identity of those returning to the Gaza envelope communities will significantly impact the framing of the conclusions from the October 7 war, attitudes toward the situation in Gaza, and future war policies; and in light of the fact that the rightwing has already developed plans for resettling the kibbutzim using the “Garin Torani” (religious settler groups) model, the Kibbutz Movement and Hechalutz have developed the “Protecting the Gaza Envelope” project. The goal of the project </w:t>
            </w:r>
            <w:r w:rsidR="001B1D05">
              <w:rPr>
                <w:rFonts w:asciiTheme="minorBidi" w:hAnsiTheme="minorBidi" w:cstheme="minorBidi"/>
                <w:color w:val="181818"/>
                <w:sz w:val="20"/>
                <w:szCs w:val="20"/>
                <w:shd w:val="clear" w:color="auto" w:fill="FFFFFF"/>
              </w:rPr>
              <w:t xml:space="preserve">is to safely return kibbutz residents to their homes, encourage kibbutz members from central and northern Israel to </w:t>
            </w:r>
            <w:r w:rsidR="001B1D05">
              <w:rPr>
                <w:rFonts w:asciiTheme="minorBidi" w:hAnsiTheme="minorBidi" w:cstheme="minorBidi"/>
                <w:color w:val="181818"/>
                <w:sz w:val="20"/>
                <w:szCs w:val="20"/>
                <w:shd w:val="clear" w:color="auto" w:fill="FFFFFF"/>
              </w:rPr>
              <w:lastRenderedPageBreak/>
              <w:t>settle in the Gaza envelope communities, and provide an educational response and ideological value framework for all residents of the region.</w:t>
            </w:r>
          </w:p>
          <w:p w14:paraId="1FBEC8D8" w14:textId="64314E56" w:rsidR="00E63FE9" w:rsidRDefault="00E63FE9" w:rsidP="00E63FE9">
            <w:pPr>
              <w:bidi w:val="0"/>
              <w:spacing w:after="0" w:line="276" w:lineRule="auto"/>
              <w:rPr>
                <w:rFonts w:asciiTheme="minorBidi" w:hAnsiTheme="minorBidi" w:cstheme="minorBidi"/>
                <w:color w:val="181818"/>
                <w:sz w:val="20"/>
                <w:szCs w:val="20"/>
                <w:shd w:val="clear" w:color="auto" w:fill="FFFFFF"/>
              </w:rPr>
            </w:pPr>
            <w:r>
              <w:rPr>
                <w:rFonts w:asciiTheme="minorBidi" w:hAnsiTheme="minorBidi" w:cstheme="minorBidi"/>
                <w:color w:val="181818"/>
                <w:sz w:val="20"/>
                <w:szCs w:val="20"/>
                <w:shd w:val="clear" w:color="auto" w:fill="FFFFFF"/>
              </w:rPr>
              <w:t>This is a national-scale project aimed at providing a response and preventing rightwing messianic forces from forcibly taking over the kibbutzim using the “Garin Torani” model.</w:t>
            </w:r>
          </w:p>
          <w:p w14:paraId="358BD3DB" w14:textId="77777777" w:rsidR="00E63FE9" w:rsidRDefault="00E63FE9" w:rsidP="00E63FE9">
            <w:pPr>
              <w:bidi w:val="0"/>
              <w:spacing w:after="0" w:line="276" w:lineRule="auto"/>
              <w:rPr>
                <w:rFonts w:asciiTheme="minorBidi" w:hAnsiTheme="minorBidi" w:cstheme="minorBidi"/>
                <w:color w:val="181818"/>
                <w:sz w:val="20"/>
                <w:szCs w:val="20"/>
                <w:shd w:val="clear" w:color="auto" w:fill="FFFFFF"/>
              </w:rPr>
            </w:pPr>
          </w:p>
          <w:p w14:paraId="72B0BB3A" w14:textId="70E81349" w:rsidR="00E63FE9" w:rsidRPr="00BB3198" w:rsidRDefault="00E63FE9" w:rsidP="00E63FE9">
            <w:pPr>
              <w:bidi w:val="0"/>
              <w:spacing w:after="0" w:line="276" w:lineRule="auto"/>
              <w:rPr>
                <w:rFonts w:asciiTheme="minorBidi" w:hAnsiTheme="minorBidi" w:cstheme="minorBidi"/>
                <w:b/>
                <w:bCs/>
                <w:color w:val="181818"/>
                <w:sz w:val="20"/>
                <w:szCs w:val="20"/>
                <w:u w:val="single"/>
                <w:shd w:val="clear" w:color="auto" w:fill="FFFFFF"/>
              </w:rPr>
            </w:pPr>
            <w:r w:rsidRPr="00BB3198">
              <w:rPr>
                <w:rFonts w:asciiTheme="minorBidi" w:hAnsiTheme="minorBidi" w:cstheme="minorBidi"/>
                <w:b/>
                <w:bCs/>
                <w:color w:val="181818"/>
                <w:sz w:val="20"/>
                <w:szCs w:val="20"/>
                <w:u w:val="single"/>
                <w:shd w:val="clear" w:color="auto" w:fill="FFFFFF"/>
              </w:rPr>
              <w:t>Program details:</w:t>
            </w:r>
          </w:p>
          <w:p w14:paraId="258B5611" w14:textId="5A0C4999" w:rsidR="00E63FE9" w:rsidRDefault="00E63FE9" w:rsidP="00E63FE9">
            <w:pPr>
              <w:bidi w:val="0"/>
              <w:spacing w:after="0" w:line="276" w:lineRule="auto"/>
              <w:rPr>
                <w:rFonts w:asciiTheme="minorBidi" w:hAnsiTheme="minorBidi" w:cstheme="minorBidi"/>
                <w:color w:val="181818"/>
                <w:sz w:val="20"/>
                <w:szCs w:val="20"/>
                <w:shd w:val="clear" w:color="auto" w:fill="FFFFFF"/>
              </w:rPr>
            </w:pPr>
            <w:r>
              <w:rPr>
                <w:rFonts w:asciiTheme="minorBidi" w:hAnsiTheme="minorBidi" w:cstheme="minorBidi"/>
                <w:color w:val="181818"/>
                <w:sz w:val="20"/>
                <w:szCs w:val="20"/>
                <w:shd w:val="clear" w:color="auto" w:fill="FFFFFF"/>
              </w:rPr>
              <w:t>Phase 1:</w:t>
            </w:r>
          </w:p>
          <w:p w14:paraId="07BFA867" w14:textId="016D5C64" w:rsidR="00E63FE9" w:rsidRDefault="00E63FE9" w:rsidP="00E63FE9">
            <w:pPr>
              <w:bidi w:val="0"/>
              <w:spacing w:after="0" w:line="276" w:lineRule="auto"/>
              <w:rPr>
                <w:rFonts w:asciiTheme="minorBidi" w:hAnsiTheme="minorBidi" w:cstheme="minorBidi"/>
                <w:color w:val="181818"/>
                <w:sz w:val="20"/>
                <w:szCs w:val="20"/>
                <w:shd w:val="clear" w:color="auto" w:fill="FFFFFF"/>
              </w:rPr>
            </w:pPr>
            <w:r>
              <w:rPr>
                <w:rFonts w:asciiTheme="minorBidi" w:hAnsiTheme="minorBidi" w:cstheme="minorBidi"/>
                <w:color w:val="181818"/>
                <w:sz w:val="20"/>
                <w:szCs w:val="20"/>
                <w:shd w:val="clear" w:color="auto" w:fill="FFFFFF"/>
              </w:rPr>
              <w:t>-- Mapping the affected kibbutzim, assessing needs, and creating a support package.</w:t>
            </w:r>
          </w:p>
          <w:p w14:paraId="11BDEB56" w14:textId="00B989B9" w:rsidR="00E63FE9" w:rsidRDefault="00E63FE9" w:rsidP="00E63FE9">
            <w:pPr>
              <w:bidi w:val="0"/>
              <w:spacing w:after="0" w:line="276" w:lineRule="auto"/>
              <w:rPr>
                <w:rFonts w:asciiTheme="minorBidi" w:hAnsiTheme="minorBidi" w:cstheme="minorBidi"/>
                <w:color w:val="181818"/>
                <w:sz w:val="20"/>
                <w:szCs w:val="20"/>
                <w:shd w:val="clear" w:color="auto" w:fill="FFFFFF"/>
              </w:rPr>
            </w:pPr>
            <w:r>
              <w:rPr>
                <w:rFonts w:asciiTheme="minorBidi" w:hAnsiTheme="minorBidi" w:cstheme="minorBidi"/>
                <w:color w:val="181818"/>
                <w:sz w:val="20"/>
                <w:szCs w:val="20"/>
                <w:shd w:val="clear" w:color="auto" w:fill="FFFFFF"/>
              </w:rPr>
              <w:t xml:space="preserve">-- Establishing a coalition of movements and organizations from the liberal-democratic camp, allocating </w:t>
            </w:r>
            <w:r w:rsidR="00BB3198">
              <w:rPr>
                <w:rFonts w:asciiTheme="minorBidi" w:hAnsiTheme="minorBidi" w:cstheme="minorBidi"/>
                <w:color w:val="181818"/>
                <w:sz w:val="20"/>
                <w:szCs w:val="20"/>
                <w:shd w:val="clear" w:color="auto" w:fill="FFFFFF"/>
              </w:rPr>
              <w:t>tasks</w:t>
            </w:r>
            <w:r>
              <w:rPr>
                <w:rFonts w:asciiTheme="minorBidi" w:hAnsiTheme="minorBidi" w:cstheme="minorBidi"/>
                <w:color w:val="181818"/>
                <w:sz w:val="20"/>
                <w:szCs w:val="20"/>
                <w:shd w:val="clear" w:color="auto" w:fill="FFFFFF"/>
              </w:rPr>
              <w:t>, and deepening cooperation.</w:t>
            </w:r>
          </w:p>
          <w:p w14:paraId="101724F0" w14:textId="39EC8C8D" w:rsidR="00E63FE9" w:rsidRDefault="00E63FE9" w:rsidP="00E63FE9">
            <w:pPr>
              <w:bidi w:val="0"/>
              <w:spacing w:after="0" w:line="276" w:lineRule="auto"/>
              <w:rPr>
                <w:rFonts w:asciiTheme="minorBidi" w:hAnsiTheme="minorBidi" w:cstheme="minorBidi"/>
                <w:color w:val="181818"/>
                <w:sz w:val="20"/>
                <w:szCs w:val="20"/>
                <w:shd w:val="clear" w:color="auto" w:fill="FFFFFF"/>
              </w:rPr>
            </w:pPr>
            <w:r>
              <w:rPr>
                <w:rFonts w:asciiTheme="minorBidi" w:hAnsiTheme="minorBidi" w:cstheme="minorBidi"/>
                <w:color w:val="181818"/>
                <w:sz w:val="20"/>
                <w:szCs w:val="20"/>
                <w:shd w:val="clear" w:color="auto" w:fill="FFFFFF"/>
              </w:rPr>
              <w:t>-- Forming a coordination group comprising kibbutz settlement coordinators and representatives from regional councils.</w:t>
            </w:r>
          </w:p>
          <w:p w14:paraId="72AA39A3" w14:textId="059D9360" w:rsidR="00E63FE9" w:rsidRDefault="00E63FE9" w:rsidP="00E63FE9">
            <w:pPr>
              <w:bidi w:val="0"/>
              <w:spacing w:after="0" w:line="276" w:lineRule="auto"/>
              <w:rPr>
                <w:rFonts w:asciiTheme="minorBidi" w:hAnsiTheme="minorBidi" w:cstheme="minorBidi"/>
                <w:color w:val="181818"/>
                <w:sz w:val="20"/>
                <w:szCs w:val="20"/>
                <w:shd w:val="clear" w:color="auto" w:fill="FFFFFF"/>
              </w:rPr>
            </w:pPr>
            <w:r>
              <w:rPr>
                <w:rFonts w:asciiTheme="minorBidi" w:hAnsiTheme="minorBidi" w:cstheme="minorBidi"/>
                <w:color w:val="181818"/>
                <w:sz w:val="20"/>
                <w:szCs w:val="20"/>
                <w:shd w:val="clear" w:color="auto" w:fill="FFFFFF"/>
              </w:rPr>
              <w:t>Phase 2:</w:t>
            </w:r>
          </w:p>
          <w:p w14:paraId="628C0D5A" w14:textId="17B8621E" w:rsidR="00E63FE9" w:rsidRDefault="00E63FE9" w:rsidP="00E63FE9">
            <w:pPr>
              <w:bidi w:val="0"/>
              <w:spacing w:after="0" w:line="276" w:lineRule="auto"/>
              <w:rPr>
                <w:rFonts w:asciiTheme="minorBidi" w:hAnsiTheme="minorBidi" w:cstheme="minorBidi"/>
                <w:color w:val="181818"/>
                <w:sz w:val="20"/>
                <w:szCs w:val="20"/>
                <w:shd w:val="clear" w:color="auto" w:fill="FFFFFF"/>
              </w:rPr>
            </w:pPr>
            <w:r>
              <w:rPr>
                <w:rFonts w:asciiTheme="minorBidi" w:hAnsiTheme="minorBidi" w:cstheme="minorBidi"/>
                <w:color w:val="181818"/>
                <w:sz w:val="20"/>
                <w:szCs w:val="20"/>
                <w:shd w:val="clear" w:color="auto" w:fill="FFFFFF"/>
              </w:rPr>
              <w:t xml:space="preserve">-- Launching a campaign to recruit liberal-democratic educational staff to operate </w:t>
            </w:r>
            <w:r w:rsidR="00E61EC9">
              <w:rPr>
                <w:rFonts w:asciiTheme="minorBidi" w:hAnsiTheme="minorBidi" w:cstheme="minorBidi"/>
                <w:color w:val="181818"/>
                <w:sz w:val="20"/>
                <w:szCs w:val="20"/>
                <w:shd w:val="clear" w:color="auto" w:fill="FFFFFF"/>
              </w:rPr>
              <w:t>education systems in the Gaza envelope communities.</w:t>
            </w:r>
          </w:p>
          <w:p w14:paraId="5BF68FC5" w14:textId="6D3ABDAF" w:rsidR="00E61EC9" w:rsidRDefault="00E61EC9" w:rsidP="00E61EC9">
            <w:pPr>
              <w:bidi w:val="0"/>
              <w:spacing w:after="0" w:line="276" w:lineRule="auto"/>
              <w:rPr>
                <w:rFonts w:asciiTheme="minorBidi" w:hAnsiTheme="minorBidi" w:cstheme="minorBidi"/>
                <w:color w:val="181818"/>
                <w:sz w:val="20"/>
                <w:szCs w:val="20"/>
                <w:shd w:val="clear" w:color="auto" w:fill="FFFFFF"/>
              </w:rPr>
            </w:pPr>
            <w:r>
              <w:rPr>
                <w:rFonts w:asciiTheme="minorBidi" w:hAnsiTheme="minorBidi" w:cstheme="minorBidi"/>
                <w:color w:val="181818"/>
                <w:sz w:val="20"/>
                <w:szCs w:val="20"/>
                <w:shd w:val="clear" w:color="auto" w:fill="FFFFFF"/>
              </w:rPr>
              <w:t>-- Running a “return home” campaign that encourages residents to return to their communities.</w:t>
            </w:r>
          </w:p>
          <w:p w14:paraId="0D786009" w14:textId="59D80AC9" w:rsidR="00E61EC9" w:rsidRDefault="00E61EC9" w:rsidP="00E61EC9">
            <w:pPr>
              <w:bidi w:val="0"/>
              <w:spacing w:after="0" w:line="276" w:lineRule="auto"/>
              <w:rPr>
                <w:rFonts w:asciiTheme="minorBidi" w:hAnsiTheme="minorBidi" w:cstheme="minorBidi"/>
                <w:color w:val="181818"/>
                <w:sz w:val="20"/>
                <w:szCs w:val="20"/>
                <w:shd w:val="clear" w:color="auto" w:fill="FFFFFF"/>
              </w:rPr>
            </w:pPr>
            <w:r>
              <w:rPr>
                <w:rFonts w:asciiTheme="minorBidi" w:hAnsiTheme="minorBidi" w:cstheme="minorBidi"/>
                <w:color w:val="181818"/>
                <w:sz w:val="20"/>
                <w:szCs w:val="20"/>
                <w:shd w:val="clear" w:color="auto" w:fill="FFFFFF"/>
              </w:rPr>
              <w:t>-- Campaigning to recruit young people and volunteers for settlement in the Gaza border area.</w:t>
            </w:r>
          </w:p>
          <w:p w14:paraId="5B7631C3" w14:textId="1B96C651" w:rsidR="00E61EC9" w:rsidRDefault="00E61EC9" w:rsidP="00E61EC9">
            <w:pPr>
              <w:bidi w:val="0"/>
              <w:spacing w:after="0" w:line="276" w:lineRule="auto"/>
              <w:rPr>
                <w:rFonts w:asciiTheme="minorBidi" w:hAnsiTheme="minorBidi" w:cstheme="minorBidi"/>
                <w:color w:val="181818"/>
                <w:sz w:val="20"/>
                <w:szCs w:val="20"/>
                <w:shd w:val="clear" w:color="auto" w:fill="FFFFFF"/>
              </w:rPr>
            </w:pPr>
            <w:r>
              <w:rPr>
                <w:rFonts w:asciiTheme="minorBidi" w:hAnsiTheme="minorBidi" w:cstheme="minorBidi"/>
                <w:color w:val="181818"/>
                <w:sz w:val="20"/>
                <w:szCs w:val="20"/>
                <w:shd w:val="clear" w:color="auto" w:fill="FFFFFF"/>
              </w:rPr>
              <w:t>-- Establishing and supporting groups of young people (recently discharged soldiers, graduates, and families). The process will involve connecting young people and relationship building.</w:t>
            </w:r>
          </w:p>
          <w:p w14:paraId="5893CC0D" w14:textId="0C789DAA" w:rsidR="00E61EC9" w:rsidRDefault="00E61EC9" w:rsidP="00E61EC9">
            <w:pPr>
              <w:bidi w:val="0"/>
              <w:spacing w:after="0" w:line="276" w:lineRule="auto"/>
              <w:rPr>
                <w:rFonts w:asciiTheme="minorBidi" w:hAnsiTheme="minorBidi" w:cstheme="minorBidi"/>
                <w:color w:val="181818"/>
                <w:sz w:val="20"/>
                <w:szCs w:val="20"/>
                <w:shd w:val="clear" w:color="auto" w:fill="FFFFFF"/>
              </w:rPr>
            </w:pPr>
            <w:r>
              <w:rPr>
                <w:rFonts w:asciiTheme="minorBidi" w:hAnsiTheme="minorBidi" w:cstheme="minorBidi"/>
                <w:color w:val="181818"/>
                <w:sz w:val="20"/>
                <w:szCs w:val="20"/>
                <w:shd w:val="clear" w:color="auto" w:fill="FFFFFF"/>
              </w:rPr>
              <w:t>Phase 3:</w:t>
            </w:r>
          </w:p>
          <w:p w14:paraId="1D9D2932" w14:textId="28BCBB1C" w:rsidR="00E61EC9" w:rsidRDefault="00E61EC9" w:rsidP="00E61EC9">
            <w:pPr>
              <w:bidi w:val="0"/>
              <w:spacing w:after="0" w:line="276" w:lineRule="auto"/>
              <w:rPr>
                <w:rFonts w:asciiTheme="minorBidi" w:hAnsiTheme="minorBidi" w:cstheme="minorBidi"/>
                <w:color w:val="181818"/>
                <w:sz w:val="20"/>
                <w:szCs w:val="20"/>
                <w:shd w:val="clear" w:color="auto" w:fill="FFFFFF"/>
              </w:rPr>
            </w:pPr>
            <w:r>
              <w:rPr>
                <w:rFonts w:asciiTheme="minorBidi" w:hAnsiTheme="minorBidi" w:cstheme="minorBidi"/>
                <w:color w:val="181818"/>
                <w:sz w:val="20"/>
                <w:szCs w:val="20"/>
                <w:shd w:val="clear" w:color="auto" w:fill="FFFFFF"/>
              </w:rPr>
              <w:t>-- Creating groups and internal leadership, supporting these communities throughout the settlement process, and assisting kibbutzim with the integration of new residents.</w:t>
            </w:r>
          </w:p>
          <w:p w14:paraId="118222DD" w14:textId="34F4B563" w:rsidR="00C23084" w:rsidRPr="003F4CF2" w:rsidRDefault="00E61EC9" w:rsidP="003F4CF2">
            <w:pPr>
              <w:bidi w:val="0"/>
              <w:spacing w:after="0" w:line="276" w:lineRule="auto"/>
              <w:rPr>
                <w:rFonts w:asciiTheme="minorBidi" w:hAnsiTheme="minorBidi" w:cstheme="minorBidi"/>
                <w:color w:val="181818"/>
                <w:sz w:val="20"/>
                <w:szCs w:val="20"/>
                <w:shd w:val="clear" w:color="auto" w:fill="FFFFFF"/>
              </w:rPr>
            </w:pPr>
            <w:r>
              <w:rPr>
                <w:rFonts w:asciiTheme="minorBidi" w:hAnsiTheme="minorBidi" w:cstheme="minorBidi"/>
                <w:color w:val="181818"/>
                <w:sz w:val="20"/>
                <w:szCs w:val="20"/>
                <w:shd w:val="clear" w:color="auto" w:fill="FFFFFF"/>
              </w:rPr>
              <w:t>-- Creating a multi-year plan to establish educational institutions and leadership programs in all Gaza envelope kibbutzim, in line with their needs and wishes, including: student villages, pre-military academies, national service year centers, preferred employment programs, and more tailored initiatives.</w:t>
            </w:r>
          </w:p>
        </w:tc>
      </w:tr>
      <w:tr w:rsidR="00DE2AEB" w14:paraId="32CEB772" w14:textId="77777777">
        <w:tc>
          <w:tcPr>
            <w:tcW w:w="9736" w:type="dxa"/>
            <w:gridSpan w:val="3"/>
          </w:tcPr>
          <w:p w14:paraId="06C3A531" w14:textId="77777777" w:rsidR="00E63FE9" w:rsidRDefault="00C16C2C">
            <w:pPr>
              <w:bidi w:val="0"/>
              <w:spacing w:after="0" w:line="276" w:lineRule="auto"/>
              <w:jc w:val="both"/>
              <w:rPr>
                <w:rFonts w:ascii="Arial" w:hAnsi="Arial"/>
                <w:b/>
                <w:bCs/>
                <w:sz w:val="20"/>
                <w:szCs w:val="20"/>
              </w:rPr>
            </w:pPr>
            <w:r>
              <w:rPr>
                <w:rFonts w:ascii="Arial" w:hAnsi="Arial"/>
                <w:b/>
                <w:bCs/>
                <w:sz w:val="20"/>
                <w:szCs w:val="20"/>
              </w:rPr>
              <w:lastRenderedPageBreak/>
              <w:t xml:space="preserve">The overall current expected impact of the program </w:t>
            </w:r>
          </w:p>
          <w:p w14:paraId="47BF6954" w14:textId="77777777" w:rsidR="00E63FE9" w:rsidRDefault="00E63FE9" w:rsidP="00E63FE9">
            <w:pPr>
              <w:bidi w:val="0"/>
              <w:spacing w:after="0" w:line="276" w:lineRule="auto"/>
              <w:jc w:val="both"/>
              <w:rPr>
                <w:rFonts w:ascii="Arial" w:hAnsi="Arial"/>
                <w:b/>
                <w:bCs/>
                <w:sz w:val="20"/>
                <w:szCs w:val="20"/>
              </w:rPr>
            </w:pPr>
          </w:p>
          <w:p w14:paraId="7A604F62" w14:textId="1AA5050C" w:rsidR="00DE2AEB" w:rsidRDefault="00C16C2C" w:rsidP="00E63FE9">
            <w:pPr>
              <w:bidi w:val="0"/>
              <w:spacing w:after="0" w:line="276" w:lineRule="auto"/>
              <w:jc w:val="both"/>
              <w:rPr>
                <w:rFonts w:ascii="Arial" w:hAnsi="Arial"/>
                <w:b/>
                <w:bCs/>
                <w:sz w:val="20"/>
                <w:szCs w:val="20"/>
                <w:rtl/>
              </w:rPr>
            </w:pPr>
            <w:r>
              <w:rPr>
                <w:rFonts w:ascii="Arial" w:hAnsi="Arial"/>
                <w:b/>
                <w:bCs/>
                <w:sz w:val="20"/>
                <w:szCs w:val="20"/>
              </w:rPr>
              <w:t xml:space="preserve">as a strategy for advancing NIF’s overall mission of a just and democratic </w:t>
            </w:r>
            <w:smartTag w:uri="urn:schemas-microsoft-com:office:smarttags" w:element="place">
              <w:smartTag w:uri="urn:schemas-microsoft-com:office:smarttags" w:element="country-region">
                <w:r>
                  <w:rPr>
                    <w:rFonts w:ascii="Arial" w:hAnsi="Arial"/>
                    <w:b/>
                    <w:bCs/>
                    <w:sz w:val="20"/>
                    <w:szCs w:val="20"/>
                  </w:rPr>
                  <w:t>Israel</w:t>
                </w:r>
              </w:smartTag>
            </w:smartTag>
            <w:r>
              <w:rPr>
                <w:rFonts w:ascii="Arial" w:hAnsi="Arial"/>
                <w:b/>
                <w:bCs/>
                <w:sz w:val="20"/>
                <w:szCs w:val="20"/>
              </w:rPr>
              <w:t xml:space="preserve"> is: </w:t>
            </w:r>
          </w:p>
          <w:p w14:paraId="5BD26DE4" w14:textId="77777777" w:rsidR="00DE2AEB" w:rsidRDefault="00DE2AEB">
            <w:pPr>
              <w:pStyle w:val="ListBullet"/>
            </w:pPr>
          </w:p>
        </w:tc>
      </w:tr>
      <w:tr w:rsidR="00DE2AEB" w14:paraId="6CA8E185" w14:textId="77777777">
        <w:tc>
          <w:tcPr>
            <w:tcW w:w="9736" w:type="dxa"/>
            <w:gridSpan w:val="3"/>
          </w:tcPr>
          <w:p w14:paraId="3F604E4E" w14:textId="77777777" w:rsidR="00DE2AEB" w:rsidRDefault="00C16C2C">
            <w:pPr>
              <w:bidi w:val="0"/>
              <w:spacing w:after="0" w:line="276" w:lineRule="auto"/>
              <w:jc w:val="both"/>
              <w:rPr>
                <w:rFonts w:ascii="Arial" w:hAnsi="Arial"/>
                <w:sz w:val="20"/>
                <w:szCs w:val="20"/>
                <w:rtl/>
              </w:rPr>
            </w:pPr>
            <w:r>
              <w:rPr>
                <w:rFonts w:ascii="Arial" w:hAnsi="Arial"/>
                <w:b/>
                <w:bCs/>
                <w:sz w:val="20"/>
                <w:szCs w:val="20"/>
              </w:rPr>
              <w:t xml:space="preserve">The grantee uses strategies of: </w:t>
            </w:r>
            <w:r w:rsidR="00E250E9">
              <w:rPr>
                <w:rFonts w:ascii="Arial" w:hAnsi="Arial" w:hint="cs"/>
                <w:b/>
                <w:bCs/>
                <w:sz w:val="20"/>
                <w:szCs w:val="20"/>
                <w:rtl/>
              </w:rPr>
              <w:t>קמפיינים, עבודה קהילתית, עבודה התיישבותית</w:t>
            </w:r>
          </w:p>
        </w:tc>
      </w:tr>
      <w:tr w:rsidR="00DE2AEB" w14:paraId="5D1B3EFB" w14:textId="77777777">
        <w:tc>
          <w:tcPr>
            <w:tcW w:w="9736" w:type="dxa"/>
            <w:gridSpan w:val="3"/>
          </w:tcPr>
          <w:p w14:paraId="25E0ADB2" w14:textId="77777777" w:rsidR="00DE2AEB" w:rsidRPr="000B7404" w:rsidRDefault="00C16C2C">
            <w:pPr>
              <w:bidi w:val="0"/>
              <w:spacing w:after="0" w:line="240" w:lineRule="auto"/>
              <w:jc w:val="both"/>
              <w:rPr>
                <w:rFonts w:asciiTheme="minorBidi" w:hAnsiTheme="minorBidi" w:cstheme="minorBidi"/>
                <w:b/>
                <w:bCs/>
                <w:color w:val="181818"/>
                <w:sz w:val="20"/>
                <w:szCs w:val="20"/>
                <w:shd w:val="clear" w:color="auto" w:fill="FFFFFF"/>
                <w:rtl/>
              </w:rPr>
            </w:pPr>
            <w:r w:rsidRPr="000B7404">
              <w:rPr>
                <w:rFonts w:asciiTheme="minorBidi" w:hAnsiTheme="minorBidi" w:cstheme="minorBidi"/>
                <w:b/>
                <w:bCs/>
                <w:color w:val="181818"/>
                <w:sz w:val="20"/>
                <w:szCs w:val="20"/>
                <w:shd w:val="clear" w:color="auto" w:fill="FFFFFF"/>
              </w:rPr>
              <w:t>These are the goals of the organization and then some relevant benchmarks outcomes on the way to achieving the goals:</w:t>
            </w:r>
          </w:p>
          <w:p w14:paraId="37743B3D" w14:textId="1EF12F6F" w:rsidR="000B7404" w:rsidRPr="000B7404" w:rsidRDefault="00E61EC9" w:rsidP="00E61EC9">
            <w:pPr>
              <w:bidi w:val="0"/>
              <w:spacing w:after="0" w:line="240" w:lineRule="auto"/>
              <w:rPr>
                <w:rFonts w:asciiTheme="minorBidi" w:hAnsiTheme="minorBidi" w:cstheme="minorBidi"/>
                <w:color w:val="181818"/>
                <w:sz w:val="20"/>
                <w:szCs w:val="20"/>
                <w:shd w:val="clear" w:color="auto" w:fill="FFFFFF"/>
                <w:rtl/>
              </w:rPr>
            </w:pPr>
            <w:r>
              <w:rPr>
                <w:rFonts w:asciiTheme="minorBidi" w:hAnsiTheme="minorBidi" w:cstheme="minorBidi"/>
                <w:color w:val="181818"/>
                <w:sz w:val="20"/>
                <w:szCs w:val="20"/>
                <w:shd w:val="clear" w:color="auto" w:fill="FFFFFF"/>
              </w:rPr>
              <w:t>The primary goal of the program is to resettle the kibbutzim in the Western Negev with residents who are committed to the ideas of the liberal-democratic camp in Israel, and to prevent rightwing messianic forces from establishing “Garin Torani” groups that would replace the kibbutz residents.</w:t>
            </w:r>
          </w:p>
          <w:p w14:paraId="01116822" w14:textId="77777777" w:rsidR="00DE2AEB" w:rsidRPr="000B7404" w:rsidRDefault="00DE2AEB">
            <w:pPr>
              <w:bidi w:val="0"/>
              <w:spacing w:after="0" w:line="240" w:lineRule="auto"/>
              <w:jc w:val="both"/>
              <w:rPr>
                <w:rFonts w:asciiTheme="minorBidi" w:hAnsiTheme="minorBidi" w:cstheme="minorBidi"/>
                <w:color w:val="181818"/>
                <w:sz w:val="20"/>
                <w:szCs w:val="20"/>
                <w:shd w:val="clear" w:color="auto" w:fill="FFFFFF"/>
              </w:rPr>
            </w:pPr>
          </w:p>
          <w:p w14:paraId="13D49315" w14:textId="77777777" w:rsidR="00DE2AEB" w:rsidRPr="000B7404" w:rsidRDefault="00DE2AEB" w:rsidP="000B7404">
            <w:pPr>
              <w:pStyle w:val="ListBullet"/>
              <w:numPr>
                <w:ilvl w:val="0"/>
                <w:numId w:val="0"/>
              </w:numPr>
              <w:ind w:left="360" w:hanging="360"/>
              <w:rPr>
                <w:rFonts w:asciiTheme="minorBidi" w:hAnsiTheme="minorBidi" w:cstheme="minorBidi"/>
                <w:color w:val="181818"/>
                <w:shd w:val="clear" w:color="auto" w:fill="FFFFFF"/>
              </w:rPr>
            </w:pPr>
          </w:p>
        </w:tc>
      </w:tr>
      <w:tr w:rsidR="00DE2AEB" w14:paraId="413CEF18" w14:textId="77777777" w:rsidTr="000B7404">
        <w:trPr>
          <w:trHeight w:val="1619"/>
        </w:trPr>
        <w:tc>
          <w:tcPr>
            <w:tcW w:w="9736" w:type="dxa"/>
            <w:gridSpan w:val="3"/>
          </w:tcPr>
          <w:p w14:paraId="1CC926B4" w14:textId="77777777" w:rsidR="00E61EC9" w:rsidRDefault="00C16C2C">
            <w:pPr>
              <w:bidi w:val="0"/>
              <w:spacing w:after="0" w:line="276" w:lineRule="auto"/>
              <w:jc w:val="both"/>
              <w:rPr>
                <w:rFonts w:ascii="Arial" w:hAnsi="Arial"/>
                <w:sz w:val="20"/>
                <w:szCs w:val="20"/>
              </w:rPr>
            </w:pPr>
            <w:r>
              <w:rPr>
                <w:rFonts w:ascii="Arial" w:hAnsi="Arial"/>
                <w:b/>
                <w:bCs/>
                <w:sz w:val="20"/>
                <w:szCs w:val="20"/>
              </w:rPr>
              <w:t>Added value of this grant include that:</w:t>
            </w:r>
            <w:r>
              <w:rPr>
                <w:rFonts w:ascii="Arial" w:hAnsi="Arial"/>
                <w:sz w:val="20"/>
                <w:szCs w:val="20"/>
              </w:rPr>
              <w:t xml:space="preserve"> </w:t>
            </w:r>
          </w:p>
          <w:p w14:paraId="70A94765" w14:textId="77777777" w:rsidR="00E61EC9" w:rsidRDefault="00E61EC9" w:rsidP="00E61EC9">
            <w:pPr>
              <w:bidi w:val="0"/>
              <w:spacing w:after="0" w:line="276" w:lineRule="auto"/>
              <w:jc w:val="both"/>
              <w:rPr>
                <w:rFonts w:ascii="Arial" w:hAnsi="Arial"/>
                <w:sz w:val="20"/>
                <w:szCs w:val="20"/>
              </w:rPr>
            </w:pPr>
            <w:r>
              <w:rPr>
                <w:rFonts w:ascii="Arial" w:hAnsi="Arial"/>
                <w:sz w:val="20"/>
                <w:szCs w:val="20"/>
              </w:rPr>
              <w:t>The work carried out as part of this project by Hechalutz and the Kibbutz Movement is aimed at creating democratic infrastructures. This is a strategic, political, and critical initiative for Israel’s center-left camp. We are aware that the rightwing camp is already preparing to resettle the Gaza envelope kibbutzim, and this project offers an alternative from the democratic camp. The project of national scale, and national importance.</w:t>
            </w:r>
          </w:p>
          <w:p w14:paraId="5A074A30" w14:textId="77777777" w:rsidR="00E61EC9" w:rsidRDefault="00E61EC9" w:rsidP="00E61EC9">
            <w:pPr>
              <w:bidi w:val="0"/>
              <w:spacing w:after="0" w:line="276" w:lineRule="auto"/>
              <w:jc w:val="both"/>
              <w:rPr>
                <w:rFonts w:ascii="Arial" w:hAnsi="Arial"/>
                <w:b/>
                <w:bCs/>
                <w:sz w:val="20"/>
                <w:szCs w:val="20"/>
              </w:rPr>
            </w:pPr>
          </w:p>
          <w:p w14:paraId="180D0E34" w14:textId="29F4690E" w:rsidR="00E61EC9" w:rsidRDefault="00E61EC9" w:rsidP="00E61EC9">
            <w:pPr>
              <w:bidi w:val="0"/>
              <w:spacing w:after="0" w:line="276" w:lineRule="auto"/>
              <w:jc w:val="both"/>
              <w:rPr>
                <w:rFonts w:ascii="Arial" w:hAnsi="Arial"/>
                <w:b/>
                <w:bCs/>
                <w:sz w:val="20"/>
                <w:szCs w:val="20"/>
              </w:rPr>
            </w:pPr>
            <w:r>
              <w:rPr>
                <w:rFonts w:ascii="Arial" w:hAnsi="Arial"/>
                <w:b/>
                <w:bCs/>
                <w:sz w:val="20"/>
                <w:szCs w:val="20"/>
              </w:rPr>
              <w:t>Cooperation between the two parties:</w:t>
            </w:r>
            <w:r w:rsidR="008F0E18">
              <w:rPr>
                <w:rFonts w:ascii="Arial" w:hAnsi="Arial"/>
                <w:b/>
                <w:bCs/>
                <w:sz w:val="20"/>
                <w:szCs w:val="20"/>
              </w:rPr>
              <w:t xml:space="preserve"> </w:t>
            </w:r>
          </w:p>
          <w:p w14:paraId="61154F58" w14:textId="452F11A1" w:rsidR="008F0E18" w:rsidRPr="008F0E18" w:rsidRDefault="008F0E18" w:rsidP="008F0E18">
            <w:pPr>
              <w:bidi w:val="0"/>
              <w:spacing w:after="0" w:line="276" w:lineRule="auto"/>
              <w:jc w:val="both"/>
              <w:rPr>
                <w:rFonts w:ascii="Arial" w:hAnsi="Arial"/>
                <w:sz w:val="20"/>
                <w:szCs w:val="20"/>
              </w:rPr>
            </w:pPr>
            <w:r>
              <w:rPr>
                <w:rFonts w:ascii="Arial" w:hAnsi="Arial"/>
                <w:sz w:val="20"/>
                <w:szCs w:val="20"/>
              </w:rPr>
              <w:t>The Kibbutz Movement, recognized as the most legitimate body for work</w:t>
            </w:r>
            <w:r w:rsidR="003F4CF2">
              <w:rPr>
                <w:rFonts w:ascii="Arial" w:hAnsi="Arial"/>
                <w:sz w:val="20"/>
                <w:szCs w:val="20"/>
              </w:rPr>
              <w:t>ing</w:t>
            </w:r>
            <w:r>
              <w:rPr>
                <w:rFonts w:ascii="Arial" w:hAnsi="Arial"/>
                <w:sz w:val="20"/>
                <w:szCs w:val="20"/>
              </w:rPr>
              <w:t xml:space="preserve"> with the Gaza envelope kibbutzim, and Hechalutz, which specializes in creating content for the liberal-democratic camp, will ensure the effectiveness both </w:t>
            </w:r>
            <w:r w:rsidR="003F4CF2">
              <w:rPr>
                <w:rFonts w:ascii="Arial" w:hAnsi="Arial"/>
                <w:sz w:val="20"/>
                <w:szCs w:val="20"/>
              </w:rPr>
              <w:t xml:space="preserve">of </w:t>
            </w:r>
            <w:r>
              <w:rPr>
                <w:rFonts w:ascii="Arial" w:hAnsi="Arial"/>
                <w:sz w:val="20"/>
                <w:szCs w:val="20"/>
              </w:rPr>
              <w:t>the practical aspect of the project – resettling residents and rebuilding the kibbutzim – and its ideological aspect, by establishing a comprehensive education system, including educational teams, and ensuring that the project counters rightwing plans and serves the broader liberal-democratic camp in Israel.</w:t>
            </w:r>
          </w:p>
          <w:p w14:paraId="794C0AEB" w14:textId="6A99598B" w:rsidR="00DE2AEB" w:rsidRDefault="00C16C2C" w:rsidP="00E61EC9">
            <w:pPr>
              <w:bidi w:val="0"/>
              <w:spacing w:after="0" w:line="276" w:lineRule="auto"/>
              <w:jc w:val="both"/>
              <w:rPr>
                <w:rFonts w:ascii="Arial" w:hAnsi="Arial"/>
                <w:b/>
                <w:bCs/>
                <w:sz w:val="20"/>
                <w:szCs w:val="20"/>
                <w:rtl/>
              </w:rPr>
            </w:pPr>
            <w:r>
              <w:rPr>
                <w:rFonts w:ascii="Arial" w:hAnsi="Arial"/>
                <w:b/>
                <w:bCs/>
                <w:sz w:val="20"/>
                <w:szCs w:val="20"/>
              </w:rPr>
              <w:lastRenderedPageBreak/>
              <w:t xml:space="preserve"> </w:t>
            </w:r>
          </w:p>
          <w:p w14:paraId="79CCCF63" w14:textId="25712B53" w:rsidR="00E250E9" w:rsidRDefault="00E250E9" w:rsidP="000B7404">
            <w:pPr>
              <w:spacing w:after="0" w:line="276" w:lineRule="auto"/>
              <w:rPr>
                <w:rFonts w:ascii="Arial" w:hAnsi="Arial"/>
                <w:sz w:val="20"/>
                <w:szCs w:val="20"/>
              </w:rPr>
            </w:pPr>
          </w:p>
        </w:tc>
      </w:tr>
      <w:tr w:rsidR="00DE2AEB" w14:paraId="64E56C8E" w14:textId="77777777">
        <w:tc>
          <w:tcPr>
            <w:tcW w:w="9736" w:type="dxa"/>
            <w:gridSpan w:val="3"/>
            <w:shd w:val="clear" w:color="auto" w:fill="D9D9D9"/>
            <w:vAlign w:val="center"/>
          </w:tcPr>
          <w:p w14:paraId="59AD355F" w14:textId="77777777" w:rsidR="00DE2AEB" w:rsidRDefault="00C16C2C">
            <w:pPr>
              <w:bidi w:val="0"/>
              <w:spacing w:after="0" w:line="276" w:lineRule="auto"/>
              <w:jc w:val="center"/>
              <w:rPr>
                <w:rFonts w:ascii="Arial" w:hAnsi="Arial"/>
                <w:b/>
                <w:bCs/>
              </w:rPr>
            </w:pPr>
            <w:r>
              <w:rPr>
                <w:rFonts w:ascii="Arial" w:hAnsi="Arial"/>
                <w:b/>
                <w:bCs/>
              </w:rPr>
              <w:lastRenderedPageBreak/>
              <w:t>EXPECTED PROGRESS</w:t>
            </w:r>
          </w:p>
        </w:tc>
      </w:tr>
      <w:tr w:rsidR="00DE2AEB" w14:paraId="56A394A5" w14:textId="77777777">
        <w:tc>
          <w:tcPr>
            <w:tcW w:w="9736" w:type="dxa"/>
            <w:gridSpan w:val="3"/>
          </w:tcPr>
          <w:p w14:paraId="508264C4" w14:textId="77777777" w:rsidR="00DE2AEB" w:rsidRDefault="00C16C2C">
            <w:pPr>
              <w:bidi w:val="0"/>
              <w:spacing w:after="0" w:line="276" w:lineRule="auto"/>
              <w:jc w:val="both"/>
              <w:rPr>
                <w:rFonts w:ascii="Arial" w:hAnsi="Arial"/>
                <w:b/>
                <w:bCs/>
                <w:sz w:val="20"/>
                <w:szCs w:val="20"/>
              </w:rPr>
            </w:pPr>
            <w:r>
              <w:rPr>
                <w:rFonts w:ascii="Arial" w:hAnsi="Arial"/>
                <w:b/>
                <w:bCs/>
                <w:sz w:val="20"/>
                <w:szCs w:val="20"/>
              </w:rPr>
              <w:t xml:space="preserve">Overall Expected (1-2 Years) Impact: </w:t>
            </w:r>
          </w:p>
          <w:p w14:paraId="3560A399" w14:textId="77777777" w:rsidR="00DE2AEB" w:rsidRDefault="00DE2AEB">
            <w:pPr>
              <w:bidi w:val="0"/>
              <w:spacing w:after="0" w:line="276" w:lineRule="auto"/>
              <w:jc w:val="both"/>
              <w:rPr>
                <w:rFonts w:ascii="Arial" w:hAnsi="Arial"/>
                <w:sz w:val="20"/>
                <w:szCs w:val="20"/>
              </w:rPr>
            </w:pPr>
          </w:p>
          <w:p w14:paraId="21C3EA9A" w14:textId="2CBDF49D" w:rsidR="00DE2AEB" w:rsidRDefault="008F0E18">
            <w:pPr>
              <w:bidi w:val="0"/>
              <w:spacing w:after="0" w:line="276" w:lineRule="auto"/>
              <w:jc w:val="both"/>
              <w:rPr>
                <w:rFonts w:ascii="Arial" w:hAnsi="Arial"/>
                <w:sz w:val="20"/>
                <w:szCs w:val="20"/>
              </w:rPr>
            </w:pPr>
            <w:r>
              <w:rPr>
                <w:rFonts w:ascii="Arial" w:hAnsi="Arial"/>
                <w:sz w:val="20"/>
                <w:szCs w:val="20"/>
              </w:rPr>
              <w:t>The establishment of a body focused on resettling the Gaza envelope kibbutzim, based on a liberal-democratic vision.</w:t>
            </w:r>
          </w:p>
          <w:p w14:paraId="467827DC" w14:textId="77777777" w:rsidR="008F0E18" w:rsidRDefault="008F0E18" w:rsidP="008F0E18">
            <w:pPr>
              <w:bidi w:val="0"/>
              <w:spacing w:after="0" w:line="276" w:lineRule="auto"/>
              <w:jc w:val="both"/>
              <w:rPr>
                <w:rFonts w:ascii="Arial" w:hAnsi="Arial"/>
                <w:sz w:val="20"/>
                <w:szCs w:val="20"/>
                <w:rtl/>
              </w:rPr>
            </w:pPr>
          </w:p>
          <w:p w14:paraId="740BE1D8" w14:textId="77777777" w:rsidR="00DE2AEB" w:rsidRDefault="00C16C2C">
            <w:pPr>
              <w:bidi w:val="0"/>
              <w:spacing w:after="0" w:line="276" w:lineRule="auto"/>
              <w:jc w:val="both"/>
              <w:rPr>
                <w:rFonts w:ascii="Arial" w:hAnsi="Arial"/>
                <w:b/>
                <w:bCs/>
                <w:sz w:val="20"/>
                <w:szCs w:val="20"/>
              </w:rPr>
            </w:pPr>
            <w:r>
              <w:rPr>
                <w:rFonts w:ascii="Arial" w:hAnsi="Arial"/>
                <w:b/>
                <w:bCs/>
                <w:sz w:val="20"/>
                <w:szCs w:val="20"/>
              </w:rPr>
              <w:t xml:space="preserve">Expected Strategic Activities (and Outputs): </w:t>
            </w:r>
          </w:p>
          <w:p w14:paraId="06E41BC0" w14:textId="77777777" w:rsidR="00DE2AEB" w:rsidRDefault="00DE2AEB">
            <w:pPr>
              <w:bidi w:val="0"/>
              <w:spacing w:after="0" w:line="276" w:lineRule="auto"/>
              <w:jc w:val="both"/>
              <w:rPr>
                <w:rFonts w:ascii="Arial" w:hAnsi="Arial"/>
                <w:b/>
                <w:bCs/>
                <w:sz w:val="20"/>
                <w:szCs w:val="20"/>
                <w:rtl/>
              </w:rPr>
            </w:pPr>
          </w:p>
          <w:p w14:paraId="78094706" w14:textId="77777777" w:rsidR="00DE2AEB" w:rsidRDefault="00C16C2C">
            <w:pPr>
              <w:pStyle w:val="ListParagraph"/>
              <w:bidi w:val="0"/>
              <w:spacing w:after="0" w:line="276" w:lineRule="auto"/>
              <w:ind w:left="0"/>
              <w:rPr>
                <w:rFonts w:ascii="Arial" w:hAnsi="Arial"/>
                <w:sz w:val="20"/>
                <w:szCs w:val="20"/>
              </w:rPr>
            </w:pPr>
            <w:r>
              <w:rPr>
                <w:rFonts w:ascii="Arial" w:hAnsi="Arial"/>
                <w:sz w:val="20"/>
                <w:szCs w:val="20"/>
              </w:rPr>
              <w:t>In the coming year:</w:t>
            </w:r>
          </w:p>
          <w:p w14:paraId="2FE38ABC" w14:textId="77777777" w:rsidR="008F0E18" w:rsidRDefault="008F0E18" w:rsidP="008F0E18">
            <w:pPr>
              <w:pStyle w:val="ListParagraph"/>
              <w:bidi w:val="0"/>
              <w:spacing w:after="0" w:line="276" w:lineRule="auto"/>
              <w:ind w:left="0"/>
              <w:rPr>
                <w:rFonts w:ascii="Arial" w:hAnsi="Arial"/>
                <w:sz w:val="20"/>
                <w:szCs w:val="20"/>
              </w:rPr>
            </w:pPr>
          </w:p>
          <w:p w14:paraId="19F3F495" w14:textId="1C79BDC8" w:rsidR="008F0E18" w:rsidRDefault="008F0E18" w:rsidP="008F0E18">
            <w:pPr>
              <w:pStyle w:val="ListParagraph"/>
              <w:bidi w:val="0"/>
              <w:spacing w:after="0" w:line="276" w:lineRule="auto"/>
              <w:ind w:left="0"/>
              <w:rPr>
                <w:rFonts w:ascii="Arial" w:hAnsi="Arial"/>
                <w:sz w:val="20"/>
                <w:szCs w:val="20"/>
              </w:rPr>
            </w:pPr>
            <w:r>
              <w:rPr>
                <w:rFonts w:ascii="Arial" w:hAnsi="Arial"/>
                <w:sz w:val="20"/>
                <w:szCs w:val="20"/>
              </w:rPr>
              <w:t>Intermediate benchmark results in pursuit of these overall goals include:</w:t>
            </w:r>
          </w:p>
          <w:p w14:paraId="37253F91" w14:textId="638CAA17" w:rsidR="008F0E18" w:rsidRDefault="008F0E18" w:rsidP="008F0E18">
            <w:pPr>
              <w:pStyle w:val="ListParagraph"/>
              <w:bidi w:val="0"/>
              <w:spacing w:after="0" w:line="276" w:lineRule="auto"/>
              <w:ind w:left="0"/>
              <w:rPr>
                <w:rFonts w:ascii="Arial" w:hAnsi="Arial"/>
                <w:sz w:val="20"/>
                <w:szCs w:val="20"/>
              </w:rPr>
            </w:pPr>
            <w:r>
              <w:rPr>
                <w:rFonts w:ascii="Arial" w:hAnsi="Arial"/>
                <w:sz w:val="20"/>
                <w:szCs w:val="20"/>
              </w:rPr>
              <w:t>Goals</w:t>
            </w:r>
          </w:p>
          <w:p w14:paraId="38F2AF85" w14:textId="1326C28B" w:rsidR="008F0E18" w:rsidRDefault="008F0E18" w:rsidP="008F0E18">
            <w:pPr>
              <w:pStyle w:val="ListParagraph"/>
              <w:bidi w:val="0"/>
              <w:spacing w:after="0" w:line="276" w:lineRule="auto"/>
              <w:ind w:left="0"/>
              <w:rPr>
                <w:rFonts w:ascii="Arial" w:hAnsi="Arial"/>
                <w:sz w:val="20"/>
                <w:szCs w:val="20"/>
              </w:rPr>
            </w:pPr>
            <w:r>
              <w:rPr>
                <w:rFonts w:ascii="Arial" w:hAnsi="Arial"/>
                <w:sz w:val="20"/>
                <w:szCs w:val="20"/>
              </w:rPr>
              <w:t>-- The return of Gaza envelope residents to their homes.</w:t>
            </w:r>
          </w:p>
          <w:p w14:paraId="57F53DE4" w14:textId="7D0091AE" w:rsidR="008F0E18" w:rsidRDefault="008F0E18" w:rsidP="008F0E18">
            <w:pPr>
              <w:pStyle w:val="ListParagraph"/>
              <w:bidi w:val="0"/>
              <w:spacing w:after="0" w:line="276" w:lineRule="auto"/>
              <w:ind w:left="0"/>
              <w:rPr>
                <w:rFonts w:ascii="Arial" w:hAnsi="Arial"/>
                <w:sz w:val="20"/>
                <w:szCs w:val="20"/>
              </w:rPr>
            </w:pPr>
            <w:r>
              <w:rPr>
                <w:rFonts w:ascii="Arial" w:hAnsi="Arial"/>
                <w:sz w:val="20"/>
                <w:szCs w:val="20"/>
              </w:rPr>
              <w:t xml:space="preserve">-- Recruitment of 100 volunteers for educational activities in the </w:t>
            </w:r>
            <w:r w:rsidR="003F4CF2">
              <w:rPr>
                <w:rFonts w:ascii="Arial" w:hAnsi="Arial"/>
                <w:sz w:val="20"/>
                <w:szCs w:val="20"/>
              </w:rPr>
              <w:t>region</w:t>
            </w:r>
            <w:r>
              <w:rPr>
                <w:rFonts w:ascii="Arial" w:hAnsi="Arial"/>
                <w:sz w:val="20"/>
                <w:szCs w:val="20"/>
              </w:rPr>
              <w:t>.</w:t>
            </w:r>
          </w:p>
          <w:p w14:paraId="4E8BAFD9" w14:textId="432A2B29" w:rsidR="008F0E18" w:rsidRDefault="008F0E18" w:rsidP="008F0E18">
            <w:pPr>
              <w:pStyle w:val="ListParagraph"/>
              <w:bidi w:val="0"/>
              <w:spacing w:after="0" w:line="276" w:lineRule="auto"/>
              <w:ind w:left="0"/>
              <w:rPr>
                <w:rFonts w:ascii="Arial" w:hAnsi="Arial"/>
                <w:sz w:val="20"/>
                <w:szCs w:val="20"/>
              </w:rPr>
            </w:pPr>
            <w:r>
              <w:rPr>
                <w:rFonts w:ascii="Arial" w:hAnsi="Arial"/>
                <w:sz w:val="20"/>
                <w:szCs w:val="20"/>
              </w:rPr>
              <w:t>-- The establishment of 6 educational frameworks in line with liberal-democratic values in the Gaza envelope region.</w:t>
            </w:r>
          </w:p>
          <w:p w14:paraId="6D87E5B0" w14:textId="456ABFAC" w:rsidR="008F0E18" w:rsidRDefault="008F0E18" w:rsidP="008F0E18">
            <w:pPr>
              <w:pStyle w:val="ListParagraph"/>
              <w:bidi w:val="0"/>
              <w:spacing w:after="0" w:line="276" w:lineRule="auto"/>
              <w:ind w:left="0"/>
              <w:rPr>
                <w:rFonts w:ascii="Arial" w:hAnsi="Arial"/>
                <w:sz w:val="20"/>
                <w:szCs w:val="20"/>
              </w:rPr>
            </w:pPr>
            <w:r>
              <w:rPr>
                <w:rFonts w:ascii="Arial" w:hAnsi="Arial"/>
                <w:sz w:val="20"/>
                <w:szCs w:val="20"/>
              </w:rPr>
              <w:t xml:space="preserve">-- Recruitment of 80 educators from the liberal-democratic camp to undertake educational work in the </w:t>
            </w:r>
            <w:r w:rsidR="003F4CF2">
              <w:rPr>
                <w:rFonts w:ascii="Arial" w:hAnsi="Arial"/>
                <w:sz w:val="20"/>
                <w:szCs w:val="20"/>
              </w:rPr>
              <w:t>region</w:t>
            </w:r>
            <w:r>
              <w:rPr>
                <w:rFonts w:ascii="Arial" w:hAnsi="Arial"/>
                <w:sz w:val="20"/>
                <w:szCs w:val="20"/>
              </w:rPr>
              <w:t>.</w:t>
            </w:r>
          </w:p>
          <w:p w14:paraId="13FC6FA1" w14:textId="77777777" w:rsidR="008F0E18" w:rsidRDefault="008F0E18" w:rsidP="008F0E18">
            <w:pPr>
              <w:pStyle w:val="ListParagraph"/>
              <w:bidi w:val="0"/>
              <w:spacing w:after="0" w:line="276" w:lineRule="auto"/>
              <w:ind w:left="0"/>
              <w:rPr>
                <w:rFonts w:ascii="Arial" w:hAnsi="Arial"/>
                <w:sz w:val="20"/>
                <w:szCs w:val="20"/>
                <w:rtl/>
              </w:rPr>
            </w:pPr>
          </w:p>
          <w:p w14:paraId="0984C20D" w14:textId="77777777" w:rsidR="00DE2AEB" w:rsidRDefault="00C16C2C">
            <w:pPr>
              <w:bidi w:val="0"/>
              <w:spacing w:after="0" w:line="276" w:lineRule="auto"/>
              <w:jc w:val="both"/>
              <w:rPr>
                <w:rFonts w:ascii="Arial" w:hAnsi="Arial"/>
                <w:b/>
                <w:bCs/>
                <w:sz w:val="20"/>
                <w:szCs w:val="20"/>
              </w:rPr>
            </w:pPr>
            <w:r>
              <w:rPr>
                <w:rFonts w:ascii="Arial" w:hAnsi="Arial"/>
                <w:b/>
                <w:bCs/>
                <w:sz w:val="20"/>
                <w:szCs w:val="20"/>
              </w:rPr>
              <w:t xml:space="preserve">Expected Measurable Outcomes:   </w:t>
            </w:r>
          </w:p>
          <w:p w14:paraId="45152119" w14:textId="77777777" w:rsidR="00DE2AEB" w:rsidRDefault="00C16C2C" w:rsidP="00A409FF">
            <w:pPr>
              <w:bidi w:val="0"/>
              <w:spacing w:after="0" w:line="276" w:lineRule="auto"/>
              <w:jc w:val="both"/>
              <w:rPr>
                <w:rFonts w:ascii="Arial" w:hAnsi="Arial"/>
                <w:sz w:val="20"/>
                <w:szCs w:val="20"/>
              </w:rPr>
            </w:pPr>
            <w:r>
              <w:rPr>
                <w:rFonts w:ascii="Arial" w:hAnsi="Arial"/>
                <w:b/>
                <w:bCs/>
                <w:sz w:val="20"/>
                <w:szCs w:val="20"/>
              </w:rPr>
              <w:t xml:space="preserve">Indicator and Tools that the grantee/we will use for tracking progress: </w:t>
            </w:r>
          </w:p>
        </w:tc>
      </w:tr>
    </w:tbl>
    <w:p w14:paraId="5C8A729A" w14:textId="77777777" w:rsidR="00DE2AEB" w:rsidRDefault="00DE2AEB">
      <w:pPr>
        <w:bidi w:val="0"/>
        <w:spacing w:after="0" w:line="276" w:lineRule="auto"/>
        <w:rPr>
          <w:rFonts w:ascii="Arial" w:hAnsi="Arial"/>
        </w:rPr>
      </w:pPr>
    </w:p>
    <w:p w14:paraId="465B7708" w14:textId="77777777" w:rsidR="00DE2AEB" w:rsidRDefault="00DE2AEB">
      <w:pPr>
        <w:bidi w:val="0"/>
        <w:spacing w:after="0" w:line="276" w:lineRule="auto"/>
        <w:jc w:val="center"/>
        <w:rPr>
          <w:rFonts w:ascii="Arial" w:hAnsi="Arial"/>
          <w:b/>
          <w:bCs/>
          <w:sz w:val="20"/>
          <w:szCs w:val="20"/>
          <w:u w:val="single"/>
        </w:rPr>
      </w:pPr>
    </w:p>
    <w:p w14:paraId="3DF235C3" w14:textId="77777777" w:rsidR="00DE2AEB" w:rsidRDefault="00DE2AEB">
      <w:pPr>
        <w:bidi w:val="0"/>
        <w:spacing w:after="0" w:line="276" w:lineRule="auto"/>
        <w:jc w:val="center"/>
        <w:rPr>
          <w:rFonts w:ascii="Arial" w:hAnsi="Arial"/>
          <w:b/>
          <w:bCs/>
          <w:sz w:val="20"/>
          <w:szCs w:val="20"/>
          <w:u w:val="single"/>
        </w:rPr>
      </w:pPr>
    </w:p>
    <w:p w14:paraId="10055B1A" w14:textId="77777777" w:rsidR="00DE2AEB" w:rsidRDefault="00C16C2C">
      <w:pPr>
        <w:bidi w:val="0"/>
        <w:spacing w:after="0" w:line="276" w:lineRule="auto"/>
        <w:jc w:val="center"/>
        <w:rPr>
          <w:rFonts w:ascii="Arial" w:hAnsi="Arial"/>
          <w:b/>
          <w:bCs/>
          <w:sz w:val="20"/>
          <w:szCs w:val="20"/>
          <w:u w:val="single"/>
        </w:rPr>
      </w:pPr>
      <w:r>
        <w:rPr>
          <w:rFonts w:ascii="Arial" w:hAnsi="Arial"/>
          <w:b/>
          <w:bCs/>
          <w:sz w:val="20"/>
          <w:szCs w:val="20"/>
          <w:u w:val="single"/>
        </w:rPr>
        <w:t>202</w:t>
      </w:r>
      <w:r>
        <w:rPr>
          <w:rFonts w:ascii="Arial" w:hAnsi="Arial"/>
          <w:b/>
          <w:bCs/>
          <w:sz w:val="20"/>
          <w:szCs w:val="20"/>
          <w:u w:val="single"/>
          <w:rtl/>
        </w:rPr>
        <w:t>4</w:t>
      </w:r>
      <w:r w:rsidR="00D8536E">
        <w:rPr>
          <w:rFonts w:ascii="Arial" w:hAnsi="Arial"/>
          <w:b/>
          <w:bCs/>
          <w:sz w:val="20"/>
          <w:szCs w:val="20"/>
          <w:u w:val="single"/>
        </w:rPr>
        <w:t>-2025</w:t>
      </w:r>
      <w:r>
        <w:rPr>
          <w:rFonts w:ascii="Arial" w:hAnsi="Arial"/>
          <w:b/>
          <w:bCs/>
          <w:sz w:val="20"/>
          <w:szCs w:val="20"/>
          <w:u w:val="single"/>
        </w:rPr>
        <w:t xml:space="preserve"> Budget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17"/>
        <w:gridCol w:w="1559"/>
      </w:tblGrid>
      <w:tr w:rsidR="00DE2AEB" w14:paraId="3694D213" w14:textId="77777777">
        <w:tc>
          <w:tcPr>
            <w:tcW w:w="8217" w:type="dxa"/>
            <w:vAlign w:val="center"/>
          </w:tcPr>
          <w:p w14:paraId="38849F15" w14:textId="77777777" w:rsidR="00DE2AEB" w:rsidRDefault="00DE2AEB">
            <w:pPr>
              <w:bidi w:val="0"/>
              <w:spacing w:after="0" w:line="276" w:lineRule="auto"/>
              <w:rPr>
                <w:rFonts w:ascii="Arial" w:hAnsi="Arial"/>
                <w:b/>
                <w:bCs/>
                <w:sz w:val="20"/>
                <w:szCs w:val="20"/>
              </w:rPr>
            </w:pPr>
          </w:p>
        </w:tc>
        <w:tc>
          <w:tcPr>
            <w:tcW w:w="1559" w:type="dxa"/>
            <w:shd w:val="clear" w:color="auto" w:fill="D9D9D9"/>
            <w:vAlign w:val="center"/>
          </w:tcPr>
          <w:p w14:paraId="52D7A9AA" w14:textId="77777777" w:rsidR="00DE2AEB" w:rsidRDefault="00C16C2C">
            <w:pPr>
              <w:bidi w:val="0"/>
              <w:spacing w:after="0" w:line="276" w:lineRule="auto"/>
              <w:jc w:val="center"/>
              <w:rPr>
                <w:rFonts w:ascii="Arial" w:hAnsi="Arial"/>
                <w:b/>
                <w:bCs/>
                <w:sz w:val="20"/>
                <w:szCs w:val="20"/>
              </w:rPr>
            </w:pPr>
            <w:r>
              <w:rPr>
                <w:rFonts w:ascii="Arial" w:hAnsi="Arial"/>
                <w:b/>
                <w:bCs/>
                <w:sz w:val="20"/>
                <w:szCs w:val="20"/>
              </w:rPr>
              <w:t>202</w:t>
            </w:r>
            <w:r>
              <w:rPr>
                <w:rFonts w:ascii="Arial" w:hAnsi="Arial"/>
                <w:b/>
                <w:bCs/>
                <w:sz w:val="20"/>
                <w:szCs w:val="20"/>
                <w:rtl/>
              </w:rPr>
              <w:t>4</w:t>
            </w:r>
          </w:p>
        </w:tc>
      </w:tr>
      <w:tr w:rsidR="00DE2AEB" w14:paraId="4AC1E387" w14:textId="77777777">
        <w:tc>
          <w:tcPr>
            <w:tcW w:w="8217" w:type="dxa"/>
            <w:vAlign w:val="center"/>
          </w:tcPr>
          <w:p w14:paraId="064BEB49" w14:textId="77777777" w:rsidR="00DE2AEB" w:rsidRDefault="00C16C2C">
            <w:pPr>
              <w:bidi w:val="0"/>
              <w:spacing w:after="0" w:line="276" w:lineRule="auto"/>
              <w:rPr>
                <w:rFonts w:ascii="Arial" w:hAnsi="Arial"/>
                <w:sz w:val="20"/>
                <w:szCs w:val="20"/>
              </w:rPr>
            </w:pPr>
            <w:r>
              <w:rPr>
                <w:rFonts w:ascii="Arial" w:hAnsi="Arial"/>
                <w:sz w:val="20"/>
                <w:szCs w:val="20"/>
              </w:rPr>
              <w:t xml:space="preserve">Annual </w:t>
            </w:r>
            <w:r w:rsidR="00D8536E">
              <w:rPr>
                <w:rFonts w:ascii="Arial" w:hAnsi="Arial"/>
                <w:sz w:val="20"/>
                <w:szCs w:val="20"/>
              </w:rPr>
              <w:t>project</w:t>
            </w:r>
            <w:r>
              <w:rPr>
                <w:rFonts w:ascii="Arial" w:hAnsi="Arial"/>
                <w:sz w:val="20"/>
                <w:szCs w:val="20"/>
              </w:rPr>
              <w:t xml:space="preserve"> Expenses in US Dollars</w:t>
            </w:r>
          </w:p>
        </w:tc>
        <w:tc>
          <w:tcPr>
            <w:tcW w:w="1559" w:type="dxa"/>
            <w:shd w:val="clear" w:color="auto" w:fill="D9D9D9"/>
            <w:vAlign w:val="center"/>
          </w:tcPr>
          <w:p w14:paraId="298E14D4" w14:textId="77777777" w:rsidR="00DE2AEB" w:rsidRDefault="00C16C2C">
            <w:pPr>
              <w:bidi w:val="0"/>
              <w:spacing w:after="0" w:line="276" w:lineRule="auto"/>
              <w:jc w:val="center"/>
              <w:rPr>
                <w:rFonts w:ascii="Arial" w:hAnsi="Arial"/>
                <w:sz w:val="20"/>
                <w:szCs w:val="20"/>
                <w:rtl/>
              </w:rPr>
            </w:pPr>
            <w:r>
              <w:rPr>
                <w:rFonts w:ascii="Arial" w:hAnsi="Arial"/>
                <w:sz w:val="20"/>
                <w:szCs w:val="20"/>
              </w:rPr>
              <w:t>$</w:t>
            </w:r>
            <w:r w:rsidR="00D8536E">
              <w:rPr>
                <w:rFonts w:ascii="Arial" w:hAnsi="Arial"/>
                <w:sz w:val="20"/>
                <w:szCs w:val="20"/>
              </w:rPr>
              <w:t>343,722</w:t>
            </w:r>
          </w:p>
        </w:tc>
      </w:tr>
      <w:tr w:rsidR="00DE2AEB" w14:paraId="216193B4" w14:textId="77777777">
        <w:tc>
          <w:tcPr>
            <w:tcW w:w="8217" w:type="dxa"/>
            <w:vAlign w:val="center"/>
          </w:tcPr>
          <w:p w14:paraId="0B429C12" w14:textId="77777777" w:rsidR="00DE2AEB" w:rsidRDefault="00DE2AEB">
            <w:pPr>
              <w:bidi w:val="0"/>
              <w:spacing w:after="0" w:line="276" w:lineRule="auto"/>
              <w:rPr>
                <w:rFonts w:ascii="Arial" w:hAnsi="Arial"/>
                <w:sz w:val="20"/>
                <w:szCs w:val="20"/>
              </w:rPr>
            </w:pPr>
          </w:p>
        </w:tc>
        <w:tc>
          <w:tcPr>
            <w:tcW w:w="1559" w:type="dxa"/>
            <w:shd w:val="clear" w:color="auto" w:fill="D9D9D9"/>
            <w:vAlign w:val="center"/>
          </w:tcPr>
          <w:p w14:paraId="156A12D8" w14:textId="77777777" w:rsidR="00DE2AEB" w:rsidRDefault="00DE2AEB">
            <w:pPr>
              <w:bidi w:val="0"/>
              <w:spacing w:after="0" w:line="276" w:lineRule="auto"/>
              <w:jc w:val="center"/>
              <w:rPr>
                <w:rFonts w:ascii="Arial" w:hAnsi="Arial"/>
                <w:sz w:val="20"/>
                <w:szCs w:val="20"/>
              </w:rPr>
            </w:pPr>
          </w:p>
        </w:tc>
      </w:tr>
    </w:tbl>
    <w:p w14:paraId="376C32D0" w14:textId="77777777" w:rsidR="00DE2AEB" w:rsidRDefault="00DE2AEB">
      <w:pPr>
        <w:bidi w:val="0"/>
        <w:spacing w:after="0" w:line="276" w:lineRule="auto"/>
        <w:rPr>
          <w:rFonts w:ascii="Arial" w:hAnsi="Arial"/>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83"/>
        <w:gridCol w:w="1134"/>
        <w:gridCol w:w="1559"/>
      </w:tblGrid>
      <w:tr w:rsidR="00DE2AEB" w14:paraId="47CA4C56" w14:textId="77777777">
        <w:tc>
          <w:tcPr>
            <w:tcW w:w="7083" w:type="dxa"/>
            <w:vAlign w:val="center"/>
          </w:tcPr>
          <w:p w14:paraId="4CE627E9" w14:textId="77777777" w:rsidR="00DE2AEB" w:rsidRDefault="00C16C2C">
            <w:pPr>
              <w:bidi w:val="0"/>
              <w:spacing w:after="0" w:line="276" w:lineRule="auto"/>
              <w:rPr>
                <w:rFonts w:ascii="Arial" w:hAnsi="Arial"/>
                <w:b/>
                <w:bCs/>
                <w:sz w:val="20"/>
                <w:szCs w:val="20"/>
              </w:rPr>
            </w:pPr>
            <w:r>
              <w:rPr>
                <w:rFonts w:ascii="Arial" w:hAnsi="Arial"/>
                <w:b/>
                <w:bCs/>
                <w:sz w:val="20"/>
                <w:szCs w:val="20"/>
              </w:rPr>
              <w:t>Anticipated 202</w:t>
            </w:r>
            <w:r w:rsidR="00D8536E">
              <w:rPr>
                <w:rFonts w:ascii="Arial" w:hAnsi="Arial"/>
                <w:b/>
                <w:bCs/>
                <w:sz w:val="20"/>
                <w:szCs w:val="20"/>
              </w:rPr>
              <w:t>4-25 P</w:t>
            </w:r>
            <w:r>
              <w:rPr>
                <w:rFonts w:ascii="Arial" w:hAnsi="Arial"/>
                <w:b/>
                <w:bCs/>
                <w:sz w:val="20"/>
                <w:szCs w:val="20"/>
              </w:rPr>
              <w:t xml:space="preserve"> Income</w:t>
            </w:r>
          </w:p>
        </w:tc>
        <w:tc>
          <w:tcPr>
            <w:tcW w:w="1134" w:type="dxa"/>
            <w:vAlign w:val="center"/>
          </w:tcPr>
          <w:p w14:paraId="3495E106" w14:textId="77777777" w:rsidR="00DE2AEB" w:rsidRDefault="00C16C2C">
            <w:pPr>
              <w:bidi w:val="0"/>
              <w:spacing w:after="0" w:line="276" w:lineRule="auto"/>
              <w:jc w:val="center"/>
              <w:rPr>
                <w:rFonts w:ascii="Arial" w:hAnsi="Arial"/>
                <w:b/>
                <w:bCs/>
                <w:sz w:val="20"/>
                <w:szCs w:val="20"/>
              </w:rPr>
            </w:pPr>
            <w:r>
              <w:rPr>
                <w:rFonts w:ascii="Arial" w:hAnsi="Arial"/>
                <w:b/>
                <w:bCs/>
                <w:sz w:val="20"/>
                <w:szCs w:val="20"/>
              </w:rPr>
              <w:t>$</w:t>
            </w:r>
          </w:p>
        </w:tc>
        <w:tc>
          <w:tcPr>
            <w:tcW w:w="1559" w:type="dxa"/>
            <w:shd w:val="clear" w:color="auto" w:fill="D9D9D9"/>
            <w:vAlign w:val="center"/>
          </w:tcPr>
          <w:p w14:paraId="74E672AD" w14:textId="77777777" w:rsidR="00DE2AEB" w:rsidRDefault="00C16C2C">
            <w:pPr>
              <w:bidi w:val="0"/>
              <w:spacing w:after="0" w:line="276" w:lineRule="auto"/>
              <w:jc w:val="center"/>
              <w:rPr>
                <w:rFonts w:ascii="Arial" w:hAnsi="Arial"/>
                <w:b/>
                <w:bCs/>
                <w:sz w:val="20"/>
                <w:szCs w:val="20"/>
              </w:rPr>
            </w:pPr>
            <w:r>
              <w:rPr>
                <w:rFonts w:ascii="Arial" w:hAnsi="Arial"/>
                <w:b/>
                <w:bCs/>
                <w:sz w:val="20"/>
                <w:szCs w:val="20"/>
              </w:rPr>
              <w:t>%</w:t>
            </w:r>
          </w:p>
        </w:tc>
      </w:tr>
      <w:tr w:rsidR="00DE2AEB" w14:paraId="11D34D8C" w14:textId="77777777">
        <w:tc>
          <w:tcPr>
            <w:tcW w:w="7083" w:type="dxa"/>
            <w:vAlign w:val="center"/>
          </w:tcPr>
          <w:p w14:paraId="36DF51E4" w14:textId="77777777" w:rsidR="00DE2AEB" w:rsidRDefault="00C16C2C">
            <w:pPr>
              <w:bidi w:val="0"/>
              <w:spacing w:after="0" w:line="276" w:lineRule="auto"/>
              <w:jc w:val="both"/>
              <w:rPr>
                <w:rFonts w:ascii="Arial" w:hAnsi="Arial"/>
                <w:sz w:val="20"/>
                <w:szCs w:val="20"/>
              </w:rPr>
            </w:pPr>
            <w:r>
              <w:rPr>
                <w:rFonts w:ascii="Arial" w:hAnsi="Arial"/>
                <w:sz w:val="20"/>
                <w:szCs w:val="20"/>
              </w:rPr>
              <w:t xml:space="preserve">Total Assured </w:t>
            </w:r>
          </w:p>
        </w:tc>
        <w:tc>
          <w:tcPr>
            <w:tcW w:w="1134" w:type="dxa"/>
            <w:vAlign w:val="center"/>
          </w:tcPr>
          <w:p w14:paraId="305558B8" w14:textId="77777777" w:rsidR="00DE2AEB" w:rsidRDefault="006C4A16">
            <w:pPr>
              <w:bidi w:val="0"/>
              <w:spacing w:after="0" w:line="276" w:lineRule="auto"/>
              <w:jc w:val="center"/>
              <w:rPr>
                <w:rFonts w:ascii="Arial" w:hAnsi="Arial"/>
                <w:sz w:val="20"/>
                <w:szCs w:val="20"/>
              </w:rPr>
            </w:pPr>
            <w:r>
              <w:rPr>
                <w:rFonts w:ascii="Helvetica" w:hAnsi="Helvetica" w:hint="cs"/>
                <w:color w:val="333333"/>
                <w:sz w:val="23"/>
                <w:szCs w:val="23"/>
                <w:shd w:val="clear" w:color="auto" w:fill="FFFFFF"/>
                <w:rtl/>
              </w:rPr>
              <w:t>$</w:t>
            </w:r>
            <w:r>
              <w:rPr>
                <w:rFonts w:ascii="Helvetica" w:hAnsi="Helvetica"/>
                <w:color w:val="333333"/>
                <w:sz w:val="23"/>
                <w:szCs w:val="23"/>
                <w:shd w:val="clear" w:color="auto" w:fill="FFFFFF"/>
              </w:rPr>
              <w:t>990000</w:t>
            </w:r>
          </w:p>
        </w:tc>
        <w:tc>
          <w:tcPr>
            <w:tcW w:w="1559" w:type="dxa"/>
            <w:shd w:val="clear" w:color="auto" w:fill="D9D9D9"/>
            <w:vAlign w:val="center"/>
          </w:tcPr>
          <w:p w14:paraId="553949DC" w14:textId="77777777" w:rsidR="00DE2AEB" w:rsidRDefault="00EB14A6">
            <w:pPr>
              <w:bidi w:val="0"/>
              <w:spacing w:after="0" w:line="276" w:lineRule="auto"/>
              <w:jc w:val="center"/>
              <w:rPr>
                <w:rFonts w:ascii="Arial" w:hAnsi="Arial"/>
                <w:sz w:val="20"/>
                <w:szCs w:val="20"/>
              </w:rPr>
            </w:pPr>
            <w:r>
              <w:rPr>
                <w:rFonts w:ascii="Arial" w:hAnsi="Arial" w:hint="cs"/>
                <w:sz w:val="20"/>
                <w:szCs w:val="20"/>
                <w:rtl/>
              </w:rPr>
              <w:t>13.8$</w:t>
            </w:r>
          </w:p>
        </w:tc>
      </w:tr>
      <w:tr w:rsidR="00DE2AEB" w14:paraId="0864DE41" w14:textId="77777777">
        <w:tc>
          <w:tcPr>
            <w:tcW w:w="7083" w:type="dxa"/>
            <w:vAlign w:val="center"/>
          </w:tcPr>
          <w:p w14:paraId="7252B86B" w14:textId="77777777" w:rsidR="00DE2AEB" w:rsidRDefault="00C16C2C">
            <w:pPr>
              <w:bidi w:val="0"/>
              <w:spacing w:after="0" w:line="276" w:lineRule="auto"/>
              <w:rPr>
                <w:rFonts w:ascii="Arial" w:hAnsi="Arial"/>
                <w:sz w:val="20"/>
                <w:szCs w:val="20"/>
              </w:rPr>
            </w:pPr>
            <w:r>
              <w:rPr>
                <w:rFonts w:ascii="Arial" w:hAnsi="Arial"/>
                <w:sz w:val="20"/>
                <w:szCs w:val="20"/>
              </w:rPr>
              <w:t>Total Likely</w:t>
            </w:r>
          </w:p>
        </w:tc>
        <w:tc>
          <w:tcPr>
            <w:tcW w:w="1134" w:type="dxa"/>
            <w:vAlign w:val="center"/>
          </w:tcPr>
          <w:p w14:paraId="6A79C26D" w14:textId="77777777" w:rsidR="00DE2AEB" w:rsidRDefault="00EB14A6">
            <w:pPr>
              <w:bidi w:val="0"/>
              <w:spacing w:after="0" w:line="276" w:lineRule="auto"/>
              <w:jc w:val="center"/>
              <w:rPr>
                <w:rFonts w:ascii="Arial" w:hAnsi="Arial"/>
                <w:sz w:val="20"/>
                <w:szCs w:val="20"/>
              </w:rPr>
            </w:pPr>
            <w:r>
              <w:rPr>
                <w:rFonts w:ascii="Arial" w:hAnsi="Arial" w:hint="cs"/>
                <w:sz w:val="20"/>
                <w:szCs w:val="20"/>
                <w:rtl/>
              </w:rPr>
              <w:t>$4585000</w:t>
            </w:r>
          </w:p>
        </w:tc>
        <w:tc>
          <w:tcPr>
            <w:tcW w:w="1559" w:type="dxa"/>
            <w:shd w:val="clear" w:color="auto" w:fill="D9D9D9"/>
            <w:vAlign w:val="center"/>
          </w:tcPr>
          <w:p w14:paraId="5C24BC9E" w14:textId="77777777" w:rsidR="00DE2AEB" w:rsidRDefault="00EB14A6">
            <w:pPr>
              <w:bidi w:val="0"/>
              <w:spacing w:after="0" w:line="276" w:lineRule="auto"/>
              <w:jc w:val="center"/>
              <w:rPr>
                <w:rFonts w:ascii="Arial" w:hAnsi="Arial"/>
                <w:sz w:val="20"/>
                <w:szCs w:val="20"/>
              </w:rPr>
            </w:pPr>
            <w:r>
              <w:rPr>
                <w:rFonts w:ascii="Arial" w:hAnsi="Arial" w:hint="cs"/>
                <w:sz w:val="20"/>
                <w:szCs w:val="20"/>
                <w:rtl/>
              </w:rPr>
              <w:t>64.3%</w:t>
            </w:r>
          </w:p>
        </w:tc>
      </w:tr>
      <w:tr w:rsidR="00DE2AEB" w14:paraId="181DF9D2" w14:textId="77777777">
        <w:tc>
          <w:tcPr>
            <w:tcW w:w="7083" w:type="dxa"/>
            <w:vAlign w:val="center"/>
          </w:tcPr>
          <w:p w14:paraId="20AF29D3" w14:textId="77777777" w:rsidR="00DE2AEB" w:rsidRDefault="00C16C2C">
            <w:pPr>
              <w:bidi w:val="0"/>
              <w:spacing w:after="0" w:line="276" w:lineRule="auto"/>
              <w:rPr>
                <w:rFonts w:ascii="Arial" w:hAnsi="Arial"/>
                <w:sz w:val="20"/>
                <w:szCs w:val="20"/>
              </w:rPr>
            </w:pPr>
            <w:r>
              <w:rPr>
                <w:rFonts w:ascii="Arial" w:hAnsi="Arial"/>
                <w:sz w:val="20"/>
                <w:szCs w:val="20"/>
              </w:rPr>
              <w:t>Total Pending</w:t>
            </w:r>
          </w:p>
        </w:tc>
        <w:tc>
          <w:tcPr>
            <w:tcW w:w="1134" w:type="dxa"/>
            <w:vAlign w:val="center"/>
          </w:tcPr>
          <w:p w14:paraId="7AE43EB1" w14:textId="77777777" w:rsidR="00DE2AEB" w:rsidRDefault="00EB14A6">
            <w:pPr>
              <w:bidi w:val="0"/>
              <w:spacing w:after="0" w:line="276" w:lineRule="auto"/>
              <w:jc w:val="center"/>
              <w:rPr>
                <w:rFonts w:ascii="Arial" w:hAnsi="Arial"/>
                <w:sz w:val="20"/>
                <w:szCs w:val="20"/>
              </w:rPr>
            </w:pPr>
            <w:r>
              <w:rPr>
                <w:rFonts w:ascii="Arial" w:hAnsi="Arial" w:hint="cs"/>
                <w:sz w:val="20"/>
                <w:szCs w:val="20"/>
                <w:rtl/>
              </w:rPr>
              <w:t>$1450000</w:t>
            </w:r>
          </w:p>
        </w:tc>
        <w:tc>
          <w:tcPr>
            <w:tcW w:w="1559" w:type="dxa"/>
            <w:shd w:val="clear" w:color="auto" w:fill="D9D9D9"/>
            <w:vAlign w:val="center"/>
          </w:tcPr>
          <w:p w14:paraId="2146119A" w14:textId="77777777" w:rsidR="00DE2AEB" w:rsidRDefault="00EB14A6">
            <w:pPr>
              <w:bidi w:val="0"/>
              <w:spacing w:after="0" w:line="276" w:lineRule="auto"/>
              <w:jc w:val="center"/>
              <w:rPr>
                <w:rFonts w:ascii="Arial" w:hAnsi="Arial"/>
                <w:sz w:val="20"/>
                <w:szCs w:val="20"/>
              </w:rPr>
            </w:pPr>
            <w:r>
              <w:rPr>
                <w:rFonts w:ascii="Arial" w:hAnsi="Arial" w:hint="cs"/>
                <w:sz w:val="20"/>
                <w:szCs w:val="20"/>
                <w:rtl/>
              </w:rPr>
              <w:t>20.3%</w:t>
            </w:r>
            <w:r w:rsidR="00C16C2C">
              <w:rPr>
                <w:rFonts w:ascii="Arial" w:hAnsi="Arial"/>
                <w:sz w:val="20"/>
                <w:szCs w:val="20"/>
              </w:rPr>
              <w:t>%</w:t>
            </w:r>
          </w:p>
        </w:tc>
      </w:tr>
      <w:tr w:rsidR="00DE2AEB" w14:paraId="1EDCE171" w14:textId="77777777">
        <w:tc>
          <w:tcPr>
            <w:tcW w:w="7083" w:type="dxa"/>
            <w:vAlign w:val="center"/>
          </w:tcPr>
          <w:p w14:paraId="51059B98" w14:textId="77777777" w:rsidR="00DE2AEB" w:rsidRDefault="00C16C2C">
            <w:pPr>
              <w:bidi w:val="0"/>
              <w:spacing w:after="0" w:line="276" w:lineRule="auto"/>
              <w:rPr>
                <w:rFonts w:ascii="Arial" w:hAnsi="Arial"/>
                <w:sz w:val="20"/>
                <w:szCs w:val="20"/>
              </w:rPr>
            </w:pPr>
            <w:r>
              <w:rPr>
                <w:rFonts w:ascii="Arial" w:hAnsi="Arial"/>
                <w:sz w:val="20"/>
                <w:szCs w:val="20"/>
              </w:rPr>
              <w:t>Recommended NIF Grant</w:t>
            </w:r>
          </w:p>
        </w:tc>
        <w:tc>
          <w:tcPr>
            <w:tcW w:w="1134" w:type="dxa"/>
            <w:vAlign w:val="center"/>
          </w:tcPr>
          <w:p w14:paraId="5F2EF9CC" w14:textId="77777777" w:rsidR="00DE2AEB" w:rsidRDefault="00C16C2C">
            <w:pPr>
              <w:bidi w:val="0"/>
              <w:spacing w:after="0" w:line="276" w:lineRule="auto"/>
              <w:jc w:val="center"/>
              <w:rPr>
                <w:rFonts w:ascii="Arial" w:hAnsi="Arial"/>
                <w:sz w:val="20"/>
                <w:szCs w:val="20"/>
              </w:rPr>
            </w:pPr>
            <w:r>
              <w:rPr>
                <w:rFonts w:ascii="Arial" w:hAnsi="Arial"/>
                <w:sz w:val="20"/>
                <w:szCs w:val="20"/>
              </w:rPr>
              <w:t>$</w:t>
            </w:r>
            <w:r w:rsidR="006C4A16">
              <w:rPr>
                <w:rFonts w:ascii="Arial" w:hAnsi="Arial" w:hint="cs"/>
                <w:sz w:val="20"/>
                <w:szCs w:val="20"/>
                <w:rtl/>
              </w:rPr>
              <w:t>100</w:t>
            </w:r>
            <w:r w:rsidR="006C4A16">
              <w:rPr>
                <w:rFonts w:ascii="Arial" w:hAnsi="Arial"/>
                <w:sz w:val="20"/>
                <w:szCs w:val="20"/>
              </w:rPr>
              <w:t>,000</w:t>
            </w:r>
          </w:p>
        </w:tc>
        <w:tc>
          <w:tcPr>
            <w:tcW w:w="1559" w:type="dxa"/>
            <w:shd w:val="clear" w:color="auto" w:fill="D9D9D9"/>
            <w:vAlign w:val="center"/>
          </w:tcPr>
          <w:p w14:paraId="2831F04F" w14:textId="77777777" w:rsidR="00DE2AEB" w:rsidRDefault="006C4A16">
            <w:pPr>
              <w:bidi w:val="0"/>
              <w:spacing w:after="0" w:line="276" w:lineRule="auto"/>
              <w:jc w:val="center"/>
              <w:rPr>
                <w:rFonts w:ascii="Arial" w:hAnsi="Arial"/>
                <w:sz w:val="20"/>
                <w:szCs w:val="20"/>
              </w:rPr>
            </w:pPr>
            <w:r>
              <w:rPr>
                <w:rFonts w:ascii="Arial" w:hAnsi="Arial"/>
                <w:sz w:val="20"/>
                <w:szCs w:val="20"/>
              </w:rPr>
              <w:t>1.4%</w:t>
            </w:r>
          </w:p>
        </w:tc>
      </w:tr>
      <w:tr w:rsidR="00DE2AEB" w14:paraId="46C93DCA" w14:textId="77777777">
        <w:tc>
          <w:tcPr>
            <w:tcW w:w="7083" w:type="dxa"/>
            <w:vAlign w:val="center"/>
          </w:tcPr>
          <w:p w14:paraId="1AC15E41" w14:textId="77777777" w:rsidR="00DE2AEB" w:rsidRDefault="00C16C2C">
            <w:pPr>
              <w:bidi w:val="0"/>
              <w:spacing w:after="0" w:line="276" w:lineRule="auto"/>
              <w:rPr>
                <w:rFonts w:ascii="Arial" w:hAnsi="Arial"/>
                <w:b/>
                <w:bCs/>
                <w:sz w:val="20"/>
                <w:szCs w:val="20"/>
              </w:rPr>
            </w:pPr>
            <w:r>
              <w:rPr>
                <w:rFonts w:ascii="Arial" w:hAnsi="Arial"/>
                <w:b/>
                <w:bCs/>
                <w:sz w:val="20"/>
                <w:szCs w:val="20"/>
              </w:rPr>
              <w:t>Total Anticipated Organizational Income</w:t>
            </w:r>
          </w:p>
        </w:tc>
        <w:tc>
          <w:tcPr>
            <w:tcW w:w="1134" w:type="dxa"/>
            <w:vAlign w:val="center"/>
          </w:tcPr>
          <w:p w14:paraId="0749B1EB" w14:textId="77777777" w:rsidR="00DE2AEB" w:rsidRDefault="00C16C2C">
            <w:pPr>
              <w:bidi w:val="0"/>
              <w:spacing w:after="0" w:line="276" w:lineRule="auto"/>
              <w:jc w:val="center"/>
              <w:rPr>
                <w:rFonts w:ascii="Arial" w:hAnsi="Arial"/>
                <w:b/>
                <w:bCs/>
                <w:sz w:val="20"/>
                <w:szCs w:val="20"/>
              </w:rPr>
            </w:pPr>
            <w:r>
              <w:rPr>
                <w:rFonts w:ascii="Arial" w:hAnsi="Arial"/>
                <w:b/>
                <w:bCs/>
                <w:sz w:val="20"/>
                <w:szCs w:val="20"/>
              </w:rPr>
              <w:t>$</w:t>
            </w:r>
            <w:r>
              <w:rPr>
                <w:rFonts w:ascii="Arial" w:hAnsi="Arial"/>
                <w:b/>
                <w:bCs/>
                <w:sz w:val="20"/>
                <w:szCs w:val="20"/>
                <w:rtl/>
              </w:rPr>
              <w:t>203,000</w:t>
            </w:r>
          </w:p>
        </w:tc>
        <w:tc>
          <w:tcPr>
            <w:tcW w:w="1559" w:type="dxa"/>
            <w:shd w:val="clear" w:color="auto" w:fill="D9D9D9"/>
            <w:vAlign w:val="center"/>
          </w:tcPr>
          <w:p w14:paraId="313B30BB" w14:textId="77777777" w:rsidR="00DE2AEB" w:rsidRDefault="00C16C2C">
            <w:pPr>
              <w:bidi w:val="0"/>
              <w:spacing w:after="0" w:line="276" w:lineRule="auto"/>
              <w:jc w:val="center"/>
              <w:rPr>
                <w:rFonts w:ascii="Arial" w:hAnsi="Arial"/>
                <w:b/>
                <w:bCs/>
                <w:sz w:val="20"/>
                <w:szCs w:val="20"/>
              </w:rPr>
            </w:pPr>
            <w:r>
              <w:rPr>
                <w:rFonts w:ascii="Arial" w:hAnsi="Arial"/>
                <w:b/>
                <w:bCs/>
                <w:sz w:val="20"/>
                <w:szCs w:val="20"/>
              </w:rPr>
              <w:t>100%</w:t>
            </w:r>
          </w:p>
        </w:tc>
      </w:tr>
    </w:tbl>
    <w:p w14:paraId="31544FA4" w14:textId="77777777" w:rsidR="00DE2AEB" w:rsidRDefault="00DE2AEB">
      <w:pPr>
        <w:bidi w:val="0"/>
        <w:spacing w:after="0" w:line="276" w:lineRule="auto"/>
        <w:rPr>
          <w:rFonts w:ascii="Arial" w:hAnsi="Arial"/>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76"/>
      </w:tblGrid>
      <w:tr w:rsidR="00DE2AEB" w14:paraId="6F1549CD" w14:textId="77777777">
        <w:tc>
          <w:tcPr>
            <w:tcW w:w="9776" w:type="dxa"/>
            <w:shd w:val="clear" w:color="auto" w:fill="D9D9D9"/>
            <w:vAlign w:val="center"/>
          </w:tcPr>
          <w:p w14:paraId="0A801794" w14:textId="77777777" w:rsidR="00DE2AEB" w:rsidRDefault="00C16C2C">
            <w:pPr>
              <w:bidi w:val="0"/>
              <w:spacing w:after="0" w:line="276" w:lineRule="auto"/>
              <w:jc w:val="center"/>
              <w:rPr>
                <w:rFonts w:ascii="Arial" w:hAnsi="Arial"/>
                <w:b/>
                <w:bCs/>
              </w:rPr>
            </w:pPr>
            <w:r>
              <w:rPr>
                <w:rFonts w:ascii="Arial" w:hAnsi="Arial"/>
                <w:b/>
                <w:bCs/>
              </w:rPr>
              <w:t>RECOMMENDATIONS</w:t>
            </w:r>
          </w:p>
        </w:tc>
      </w:tr>
      <w:tr w:rsidR="00DE2AEB" w14:paraId="5A0A103D" w14:textId="77777777">
        <w:tc>
          <w:tcPr>
            <w:tcW w:w="9776" w:type="dxa"/>
          </w:tcPr>
          <w:p w14:paraId="1EBD30CA" w14:textId="77777777" w:rsidR="00DE2AEB" w:rsidRDefault="00C16C2C">
            <w:pPr>
              <w:bidi w:val="0"/>
              <w:spacing w:after="0" w:line="276" w:lineRule="auto"/>
              <w:rPr>
                <w:rFonts w:ascii="Arial" w:hAnsi="Arial"/>
                <w:b/>
                <w:bCs/>
                <w:sz w:val="20"/>
                <w:szCs w:val="20"/>
              </w:rPr>
            </w:pPr>
            <w:r>
              <w:rPr>
                <w:rFonts w:ascii="Arial" w:hAnsi="Arial"/>
                <w:b/>
                <w:bCs/>
                <w:sz w:val="20"/>
                <w:szCs w:val="20"/>
              </w:rPr>
              <w:t>202</w:t>
            </w:r>
            <w:r>
              <w:rPr>
                <w:rFonts w:ascii="Arial" w:hAnsi="Arial"/>
                <w:b/>
                <w:bCs/>
                <w:sz w:val="20"/>
                <w:szCs w:val="20"/>
                <w:rtl/>
              </w:rPr>
              <w:t>4</w:t>
            </w:r>
            <w:r>
              <w:rPr>
                <w:rFonts w:ascii="Arial" w:hAnsi="Arial"/>
                <w:b/>
                <w:bCs/>
                <w:sz w:val="20"/>
                <w:szCs w:val="20"/>
              </w:rPr>
              <w:t xml:space="preserve"> Staff Recommendation: </w:t>
            </w:r>
            <w:r>
              <w:rPr>
                <w:rFonts w:ascii="Arial" w:hAnsi="Arial"/>
                <w:b/>
                <w:bCs/>
                <w:sz w:val="20"/>
                <w:szCs w:val="20"/>
                <w:rtl/>
              </w:rPr>
              <w:t>$</w:t>
            </w:r>
            <w:r w:rsidR="000D06B8">
              <w:rPr>
                <w:rFonts w:ascii="Arial" w:hAnsi="Arial" w:hint="cs"/>
                <w:b/>
                <w:bCs/>
                <w:sz w:val="20"/>
                <w:szCs w:val="20"/>
                <w:rtl/>
              </w:rPr>
              <w:t>300</w:t>
            </w:r>
            <w:r w:rsidR="00EB14A6">
              <w:rPr>
                <w:rFonts w:ascii="Arial" w:hAnsi="Arial"/>
                <w:b/>
                <w:bCs/>
                <w:sz w:val="20"/>
                <w:szCs w:val="20"/>
              </w:rPr>
              <w:t>,000</w:t>
            </w:r>
            <w:r>
              <w:rPr>
                <w:rFonts w:ascii="Arial" w:hAnsi="Arial"/>
                <w:b/>
                <w:bCs/>
                <w:sz w:val="20"/>
                <w:szCs w:val="20"/>
              </w:rPr>
              <w:t xml:space="preserve"> </w:t>
            </w:r>
            <w:r w:rsidR="000D06B8">
              <w:rPr>
                <w:rFonts w:ascii="Arial" w:hAnsi="Arial" w:hint="cs"/>
                <w:b/>
                <w:bCs/>
                <w:sz w:val="20"/>
                <w:szCs w:val="20"/>
                <w:rtl/>
              </w:rPr>
              <w:t>(175,000 עבור התנועה הקיבוצית, 125,000 עבור החלוץ)</w:t>
            </w:r>
          </w:p>
          <w:p w14:paraId="5B057DD6" w14:textId="77777777" w:rsidR="00DE2AEB" w:rsidRDefault="00C16C2C">
            <w:pPr>
              <w:bidi w:val="0"/>
              <w:spacing w:after="0" w:line="276" w:lineRule="auto"/>
              <w:jc w:val="both"/>
              <w:rPr>
                <w:rFonts w:ascii="Arial" w:hAnsi="Arial"/>
                <w:bCs/>
                <w:sz w:val="20"/>
                <w:szCs w:val="20"/>
                <w:lang w:bidi="he"/>
              </w:rPr>
            </w:pPr>
            <w:r>
              <w:rPr>
                <w:rFonts w:ascii="Arial" w:hAnsi="Arial"/>
                <w:b/>
                <w:bCs/>
                <w:sz w:val="20"/>
                <w:szCs w:val="20"/>
              </w:rPr>
              <w:t xml:space="preserve">Staff Analysis of Risk vs. Opportunity:  </w:t>
            </w:r>
            <w:r>
              <w:rPr>
                <w:rFonts w:ascii="Arial" w:hAnsi="Arial"/>
                <w:bCs/>
                <w:sz w:val="20"/>
                <w:szCs w:val="20"/>
                <w:lang w:bidi="he"/>
              </w:rPr>
              <w:t>High opportunity/</w:t>
            </w:r>
            <w:r w:rsidR="00AE09B8">
              <w:rPr>
                <w:rFonts w:ascii="Arial" w:hAnsi="Arial" w:hint="cs"/>
                <w:bCs/>
                <w:sz w:val="20"/>
                <w:szCs w:val="20"/>
                <w:lang w:bidi="he"/>
              </w:rPr>
              <w:t>H</w:t>
            </w:r>
            <w:r w:rsidR="00AE09B8">
              <w:rPr>
                <w:rFonts w:ascii="Arial" w:hAnsi="Arial"/>
                <w:bCs/>
                <w:sz w:val="20"/>
                <w:szCs w:val="20"/>
                <w:lang w:bidi="he"/>
              </w:rPr>
              <w:t>igh</w:t>
            </w:r>
            <w:r>
              <w:rPr>
                <w:rFonts w:ascii="Arial" w:hAnsi="Arial"/>
                <w:bCs/>
                <w:sz w:val="20"/>
                <w:szCs w:val="20"/>
                <w:lang w:bidi="he"/>
              </w:rPr>
              <w:t xml:space="preserve"> Risk</w:t>
            </w:r>
          </w:p>
          <w:p w14:paraId="03616686" w14:textId="77777777" w:rsidR="008F0E18" w:rsidRDefault="008F0E18" w:rsidP="008F0E18">
            <w:pPr>
              <w:bidi w:val="0"/>
              <w:spacing w:after="0" w:line="276" w:lineRule="auto"/>
              <w:jc w:val="both"/>
              <w:rPr>
                <w:rFonts w:ascii="Arial" w:hAnsi="Arial"/>
                <w:b/>
                <w:bCs/>
                <w:sz w:val="20"/>
                <w:szCs w:val="20"/>
                <w:lang w:bidi="he"/>
              </w:rPr>
            </w:pPr>
          </w:p>
          <w:p w14:paraId="7F1EDAEE" w14:textId="0E9049FD" w:rsidR="008F0E18" w:rsidRPr="008F0E18" w:rsidRDefault="008F0E18" w:rsidP="008F0E18">
            <w:pPr>
              <w:bidi w:val="0"/>
              <w:spacing w:after="0" w:line="276" w:lineRule="auto"/>
              <w:jc w:val="both"/>
              <w:rPr>
                <w:rFonts w:ascii="Arial" w:hAnsi="Arial"/>
                <w:sz w:val="20"/>
                <w:szCs w:val="20"/>
              </w:rPr>
            </w:pPr>
            <w:r>
              <w:rPr>
                <w:rFonts w:ascii="Arial" w:hAnsi="Arial"/>
                <w:sz w:val="20"/>
                <w:szCs w:val="20"/>
              </w:rPr>
              <w:t xml:space="preserve">In terms of opportunity – if the project is successful, there is a significant chance that it will directly impact the </w:t>
            </w:r>
            <w:r w:rsidR="003F4CF2">
              <w:rPr>
                <w:rFonts w:ascii="Arial" w:hAnsi="Arial"/>
                <w:sz w:val="20"/>
                <w:szCs w:val="20"/>
              </w:rPr>
              <w:t>reality</w:t>
            </w:r>
            <w:r>
              <w:rPr>
                <w:rFonts w:ascii="Arial" w:hAnsi="Arial"/>
                <w:sz w:val="20"/>
                <w:szCs w:val="20"/>
              </w:rPr>
              <w:t xml:space="preserve"> in Israel. The potential impact of the program, if successful, is very high and will have a broad influence on the infrastructure of the democratic camp and</w:t>
            </w:r>
            <w:r w:rsidR="003F4CF2">
              <w:rPr>
                <w:rFonts w:ascii="Arial" w:hAnsi="Arial"/>
                <w:sz w:val="20"/>
                <w:szCs w:val="20"/>
              </w:rPr>
              <w:t xml:space="preserve"> on</w:t>
            </w:r>
            <w:r>
              <w:rPr>
                <w:rFonts w:ascii="Arial" w:hAnsi="Arial"/>
                <w:sz w:val="20"/>
                <w:szCs w:val="20"/>
              </w:rPr>
              <w:t xml:space="preserve"> how Gaza envelope kibbutzim are rehabilitated in the </w:t>
            </w:r>
            <w:r>
              <w:rPr>
                <w:rFonts w:ascii="Arial" w:hAnsi="Arial"/>
                <w:sz w:val="20"/>
                <w:szCs w:val="20"/>
              </w:rPr>
              <w:lastRenderedPageBreak/>
              <w:t>upcoming years. However, due to the rapidly changing situation – both politically and in terms of security – there is a high level of risk in providing funding. This risk does not stem from a lack of trust in the organizations involved, as both are well-established entities with proven capabilities in mobilization and resourcing.</w:t>
            </w:r>
          </w:p>
          <w:p w14:paraId="70A61EFE" w14:textId="47D427C3" w:rsidR="0015004A" w:rsidRDefault="00C16C2C" w:rsidP="002C0E14">
            <w:pPr>
              <w:bidi w:val="0"/>
              <w:spacing w:after="0" w:line="276" w:lineRule="auto"/>
              <w:rPr>
                <w:rFonts w:ascii="Arial" w:hAnsi="Arial"/>
                <w:b/>
                <w:bCs/>
                <w:sz w:val="20"/>
                <w:szCs w:val="20"/>
              </w:rPr>
            </w:pPr>
            <w:r>
              <w:rPr>
                <w:rFonts w:ascii="Arial" w:hAnsi="Arial"/>
                <w:b/>
                <w:bCs/>
                <w:sz w:val="20"/>
                <w:szCs w:val="20"/>
              </w:rPr>
              <w:t xml:space="preserve">Explain Staff Recommendation: </w:t>
            </w:r>
          </w:p>
          <w:p w14:paraId="5A280EF9" w14:textId="7799625E" w:rsidR="002C0E14" w:rsidRPr="002C0E14" w:rsidRDefault="002C0E14" w:rsidP="002C0E14">
            <w:pPr>
              <w:bidi w:val="0"/>
              <w:spacing w:after="0" w:line="276" w:lineRule="auto"/>
              <w:rPr>
                <w:rFonts w:ascii="Arial" w:hAnsi="Arial"/>
                <w:sz w:val="20"/>
                <w:rtl/>
              </w:rPr>
            </w:pPr>
            <w:r w:rsidRPr="002C0E14">
              <w:rPr>
                <w:rFonts w:ascii="Arial" w:hAnsi="Arial"/>
                <w:sz w:val="20"/>
              </w:rPr>
              <w:t xml:space="preserve">This budget will </w:t>
            </w:r>
            <w:r w:rsidR="003F4CF2">
              <w:rPr>
                <w:rFonts w:ascii="Arial" w:hAnsi="Arial"/>
                <w:sz w:val="20"/>
              </w:rPr>
              <w:t>enable</w:t>
            </w:r>
            <w:r w:rsidRPr="002C0E14">
              <w:rPr>
                <w:rFonts w:ascii="Arial" w:hAnsi="Arial"/>
                <w:sz w:val="20"/>
              </w:rPr>
              <w:t xml:space="preserve"> the program to run for two years and</w:t>
            </w:r>
            <w:r w:rsidR="003F4CF2">
              <w:rPr>
                <w:rFonts w:ascii="Arial" w:hAnsi="Arial"/>
                <w:sz w:val="20"/>
              </w:rPr>
              <w:t xml:space="preserve"> to</w:t>
            </w:r>
            <w:r w:rsidRPr="002C0E14">
              <w:rPr>
                <w:rFonts w:ascii="Arial" w:hAnsi="Arial"/>
                <w:sz w:val="20"/>
              </w:rPr>
              <w:t xml:space="preserve"> fully establish itself. Additionally, it will provide capacity to secure additional resources from other sources.</w:t>
            </w:r>
          </w:p>
          <w:p w14:paraId="3671D3B9" w14:textId="77777777" w:rsidR="002C0E14" w:rsidRDefault="002C0E14" w:rsidP="0015004A">
            <w:pPr>
              <w:bidi w:val="0"/>
              <w:spacing w:after="0" w:line="276" w:lineRule="auto"/>
              <w:jc w:val="both"/>
              <w:rPr>
                <w:rFonts w:ascii="Arial" w:hAnsi="Arial"/>
                <w:sz w:val="20"/>
                <w:szCs w:val="20"/>
              </w:rPr>
            </w:pPr>
          </w:p>
          <w:p w14:paraId="065DDD93" w14:textId="3DDF3144" w:rsidR="00DE2AEB" w:rsidRDefault="00C16C2C" w:rsidP="002C0E14">
            <w:pPr>
              <w:bidi w:val="0"/>
              <w:spacing w:after="0" w:line="276" w:lineRule="auto"/>
              <w:jc w:val="both"/>
              <w:rPr>
                <w:rFonts w:ascii="Arial" w:hAnsi="Arial"/>
                <w:sz w:val="20"/>
                <w:szCs w:val="20"/>
              </w:rPr>
            </w:pPr>
            <w:r>
              <w:rPr>
                <w:rFonts w:ascii="Arial" w:hAnsi="Arial"/>
                <w:b/>
                <w:bCs/>
                <w:sz w:val="20"/>
                <w:szCs w:val="20"/>
              </w:rPr>
              <w:t>Recommendation of Board/Grants Committee 202</w:t>
            </w:r>
            <w:r>
              <w:rPr>
                <w:rFonts w:ascii="Arial" w:hAnsi="Arial"/>
                <w:b/>
                <w:bCs/>
                <w:sz w:val="20"/>
                <w:szCs w:val="20"/>
                <w:rtl/>
              </w:rPr>
              <w:t>4</w:t>
            </w:r>
            <w:r>
              <w:rPr>
                <w:rFonts w:ascii="Arial" w:hAnsi="Arial"/>
                <w:b/>
                <w:bCs/>
                <w:sz w:val="20"/>
                <w:szCs w:val="20"/>
              </w:rPr>
              <w:t xml:space="preserve">: </w:t>
            </w:r>
          </w:p>
        </w:tc>
      </w:tr>
    </w:tbl>
    <w:p w14:paraId="4F1DEB12" w14:textId="77777777" w:rsidR="00C16C2C" w:rsidRDefault="00C16C2C">
      <w:pPr>
        <w:bidi w:val="0"/>
        <w:spacing w:after="0" w:line="276" w:lineRule="auto"/>
        <w:rPr>
          <w:rFonts w:ascii="Arial" w:hAnsi="Arial"/>
        </w:rPr>
      </w:pPr>
    </w:p>
    <w:sectPr w:rsidR="00C16C2C">
      <w:headerReference w:type="default" r:id="rId7"/>
      <w:pgSz w:w="11906" w:h="16838"/>
      <w:pgMar w:top="1440" w:right="1080" w:bottom="1440" w:left="1080" w:header="567" w:footer="283"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D829E5" w14:textId="77777777" w:rsidR="0004177F" w:rsidRDefault="0004177F">
      <w:pPr>
        <w:spacing w:after="0" w:line="240" w:lineRule="auto"/>
      </w:pPr>
      <w:r>
        <w:separator/>
      </w:r>
    </w:p>
  </w:endnote>
  <w:endnote w:type="continuationSeparator" w:id="0">
    <w:p w14:paraId="245B68DE" w14:textId="77777777" w:rsidR="0004177F" w:rsidRDefault="00041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B6AA02" w14:textId="77777777" w:rsidR="0004177F" w:rsidRDefault="0004177F">
      <w:pPr>
        <w:spacing w:after="0" w:line="240" w:lineRule="auto"/>
      </w:pPr>
      <w:r>
        <w:separator/>
      </w:r>
    </w:p>
  </w:footnote>
  <w:footnote w:type="continuationSeparator" w:id="0">
    <w:p w14:paraId="64AF400F" w14:textId="77777777" w:rsidR="0004177F" w:rsidRDefault="000417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BE127" w14:textId="77777777" w:rsidR="00DE2AEB" w:rsidRPr="003C7765" w:rsidRDefault="00C16C2C">
    <w:pPr>
      <w:pStyle w:val="Header"/>
      <w:spacing w:line="276" w:lineRule="auto"/>
      <w:jc w:val="right"/>
      <w:rPr>
        <w:rFonts w:ascii="Arial" w:hAnsi="Arial"/>
        <w:b/>
        <w:bCs/>
        <w:sz w:val="16"/>
        <w:szCs w:val="16"/>
      </w:rPr>
    </w:pPr>
    <w:r w:rsidRPr="003C7765">
      <w:rPr>
        <w:rFonts w:ascii="Arial" w:hAnsi="Arial"/>
        <w:b/>
        <w:bCs/>
        <w:sz w:val="16"/>
        <w:szCs w:val="16"/>
      </w:rPr>
      <w:t xml:space="preserve">New General &amp; Project Grant Proposal </w:t>
    </w:r>
  </w:p>
  <w:p w14:paraId="35395010" w14:textId="77777777" w:rsidR="00DE2AEB" w:rsidRPr="003C7765" w:rsidRDefault="00C16C2C">
    <w:pPr>
      <w:pStyle w:val="Header"/>
      <w:spacing w:line="276" w:lineRule="auto"/>
      <w:jc w:val="right"/>
      <w:rPr>
        <w:rFonts w:ascii="Arial" w:hAnsi="Arial"/>
        <w:b/>
        <w:bCs/>
        <w:sz w:val="16"/>
        <w:szCs w:val="16"/>
        <w:rtl/>
      </w:rPr>
    </w:pPr>
    <w:r>
      <w:rPr>
        <w:rFonts w:ascii="Arial" w:hAnsi="Arial"/>
        <w:b/>
        <w:bCs/>
        <w:sz w:val="16"/>
        <w:szCs w:val="16"/>
      </w:rPr>
      <w:t>April 2024</w:t>
    </w:r>
  </w:p>
  <w:p w14:paraId="72C146CF" w14:textId="77777777" w:rsidR="00DE2AEB" w:rsidRDefault="00C16C2C">
    <w:pPr>
      <w:pStyle w:val="Header"/>
      <w:spacing w:line="276" w:lineRule="auto"/>
      <w:jc w:val="right"/>
      <w:rPr>
        <w:rtl/>
      </w:rPr>
    </w:pPr>
    <w:r w:rsidRPr="003C7765">
      <w:rPr>
        <w:rFonts w:ascii="Arial" w:hAnsi="Arial"/>
        <w:b/>
        <w:bCs/>
        <w:sz w:val="16"/>
        <w:szCs w:val="16"/>
      </w:rPr>
      <w:t>Grants Officer:</w:t>
    </w:r>
    <w:r w:rsidRPr="003C7765">
      <w:t xml:space="preserve"> </w:t>
    </w:r>
    <w:r w:rsidR="00DD04D2">
      <w:rPr>
        <w:rFonts w:hint="cs"/>
      </w:rPr>
      <w:t>B</w:t>
    </w:r>
    <w:r w:rsidR="00DD04D2">
      <w:t>rit Yakobi</w:t>
    </w:r>
  </w:p>
  <w:p w14:paraId="7BC65A99" w14:textId="77777777" w:rsidR="00DE2AEB" w:rsidRDefault="00DE2AEB">
    <w:pPr>
      <w:pStyle w:val="Header"/>
      <w:spacing w:line="276" w:lineRule="auto"/>
      <w:jc w:val="right"/>
      <w:rPr>
        <w:rtl/>
      </w:rPr>
    </w:pPr>
  </w:p>
  <w:p w14:paraId="0FA64A03" w14:textId="7EDBF51E" w:rsidR="00DE2AEB" w:rsidRPr="00CA7733" w:rsidRDefault="002C0E14">
    <w:pPr>
      <w:pStyle w:val="Header"/>
      <w:spacing w:line="276" w:lineRule="auto"/>
      <w:jc w:val="center"/>
      <w:rPr>
        <w:rFonts w:ascii="Arial" w:hAnsi="Arial"/>
        <w:b/>
        <w:bCs/>
        <w:rtl/>
      </w:rPr>
    </w:pPr>
    <w:r>
      <w:rPr>
        <w:rFonts w:ascii="Arial" w:hAnsi="Arial"/>
        <w:b/>
        <w:bCs/>
        <w:sz w:val="26"/>
        <w:szCs w:val="26"/>
      </w:rPr>
      <w:t>Protecting the Gaza Envelope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2A101D92"/>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BAF269FC"/>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AA785694"/>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4AD0AC6"/>
    <w:multiLevelType w:val="hybridMultilevel"/>
    <w:tmpl w:val="0B481126"/>
    <w:lvl w:ilvl="0" w:tplc="C25492FC">
      <w:start w:val="1"/>
      <w:numFmt w:val="bullet"/>
      <w:lvlText w:val="-"/>
      <w:lvlJc w:val="left"/>
      <w:pPr>
        <w:ind w:left="720" w:hanging="360"/>
      </w:pPr>
      <w:rPr>
        <w:rFonts w:ascii="Segoe UI" w:eastAsia="Times New Roman" w:hAnsi="Segoe UI" w:cs="Segoe UI" w:hint="default"/>
        <w:color w:val="181818"/>
        <w:sz w:val="21"/>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24F878FC"/>
    <w:multiLevelType w:val="hybridMultilevel"/>
    <w:tmpl w:val="76DA2348"/>
    <w:lvl w:ilvl="0" w:tplc="C2782F12">
      <w:start w:val="20"/>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A717427"/>
    <w:multiLevelType w:val="hybridMultilevel"/>
    <w:tmpl w:val="0DFE0806"/>
    <w:lvl w:ilvl="0" w:tplc="C2782F12">
      <w:start w:val="20"/>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43183D6B"/>
    <w:multiLevelType w:val="hybridMultilevel"/>
    <w:tmpl w:val="94643924"/>
    <w:lvl w:ilvl="0" w:tplc="C1A4429A">
      <w:start w:val="2023"/>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60586040"/>
    <w:multiLevelType w:val="hybridMultilevel"/>
    <w:tmpl w:val="8754458A"/>
    <w:lvl w:ilvl="0" w:tplc="C2782F12">
      <w:start w:val="20"/>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6BE74ECD"/>
    <w:multiLevelType w:val="hybridMultilevel"/>
    <w:tmpl w:val="92B23A3A"/>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9" w15:restartNumberingAfterBreak="0">
    <w:nsid w:val="7F69466B"/>
    <w:multiLevelType w:val="hybridMultilevel"/>
    <w:tmpl w:val="5F06F1FA"/>
    <w:lvl w:ilvl="0" w:tplc="C25492FC">
      <w:start w:val="1"/>
      <w:numFmt w:val="bullet"/>
      <w:lvlText w:val="-"/>
      <w:lvlJc w:val="left"/>
      <w:pPr>
        <w:ind w:left="720" w:hanging="360"/>
      </w:pPr>
      <w:rPr>
        <w:rFonts w:ascii="Segoe UI" w:eastAsia="Times New Roman" w:hAnsi="Segoe UI" w:cs="Segoe UI" w:hint="default"/>
        <w:color w:val="181818"/>
        <w:sz w:val="21"/>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0" w15:restartNumberingAfterBreak="0">
    <w:nsid w:val="7FF10C9A"/>
    <w:multiLevelType w:val="hybridMultilevel"/>
    <w:tmpl w:val="E4D8B532"/>
    <w:lvl w:ilvl="0" w:tplc="C2782F12">
      <w:start w:val="20"/>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972396566">
    <w:abstractNumId w:val="6"/>
  </w:num>
  <w:num w:numId="2" w16cid:durableId="1887838012">
    <w:abstractNumId w:val="8"/>
  </w:num>
  <w:num w:numId="3" w16cid:durableId="1189031398">
    <w:abstractNumId w:val="5"/>
  </w:num>
  <w:num w:numId="4" w16cid:durableId="1173111240">
    <w:abstractNumId w:val="4"/>
  </w:num>
  <w:num w:numId="5" w16cid:durableId="1252469346">
    <w:abstractNumId w:val="10"/>
  </w:num>
  <w:num w:numId="6" w16cid:durableId="399063970">
    <w:abstractNumId w:val="7"/>
  </w:num>
  <w:num w:numId="7" w16cid:durableId="287665573">
    <w:abstractNumId w:val="2"/>
  </w:num>
  <w:num w:numId="8" w16cid:durableId="1381592161">
    <w:abstractNumId w:val="1"/>
  </w:num>
  <w:num w:numId="9" w16cid:durableId="1631013092">
    <w:abstractNumId w:val="0"/>
  </w:num>
  <w:num w:numId="10" w16cid:durableId="106968582">
    <w:abstractNumId w:val="9"/>
  </w:num>
  <w:num w:numId="11" w16cid:durableId="10829194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926"/>
    <w:rsid w:val="00023D91"/>
    <w:rsid w:val="0004177F"/>
    <w:rsid w:val="000439F5"/>
    <w:rsid w:val="000A1926"/>
    <w:rsid w:val="000B7404"/>
    <w:rsid w:val="000D06B8"/>
    <w:rsid w:val="00110111"/>
    <w:rsid w:val="001270A5"/>
    <w:rsid w:val="0015004A"/>
    <w:rsid w:val="00187D22"/>
    <w:rsid w:val="00197CF9"/>
    <w:rsid w:val="001B1D05"/>
    <w:rsid w:val="001B61E6"/>
    <w:rsid w:val="001E2479"/>
    <w:rsid w:val="0022581A"/>
    <w:rsid w:val="002C0E14"/>
    <w:rsid w:val="002E6D26"/>
    <w:rsid w:val="003310C2"/>
    <w:rsid w:val="00341F75"/>
    <w:rsid w:val="003B75F4"/>
    <w:rsid w:val="003F4CF2"/>
    <w:rsid w:val="00435A09"/>
    <w:rsid w:val="00444758"/>
    <w:rsid w:val="004575D6"/>
    <w:rsid w:val="004A69C9"/>
    <w:rsid w:val="004B44E7"/>
    <w:rsid w:val="004E2954"/>
    <w:rsid w:val="00567F00"/>
    <w:rsid w:val="00593860"/>
    <w:rsid w:val="005F5C43"/>
    <w:rsid w:val="00642476"/>
    <w:rsid w:val="00656797"/>
    <w:rsid w:val="006C4A16"/>
    <w:rsid w:val="00703817"/>
    <w:rsid w:val="007260E2"/>
    <w:rsid w:val="00804EB0"/>
    <w:rsid w:val="008459A7"/>
    <w:rsid w:val="00885867"/>
    <w:rsid w:val="008A5A80"/>
    <w:rsid w:val="008C7C32"/>
    <w:rsid w:val="008F0E18"/>
    <w:rsid w:val="00937682"/>
    <w:rsid w:val="00977D77"/>
    <w:rsid w:val="00984CF6"/>
    <w:rsid w:val="009B79E4"/>
    <w:rsid w:val="009D7B56"/>
    <w:rsid w:val="00A21AF4"/>
    <w:rsid w:val="00A409FF"/>
    <w:rsid w:val="00A4352B"/>
    <w:rsid w:val="00A523B8"/>
    <w:rsid w:val="00A62D32"/>
    <w:rsid w:val="00A638E0"/>
    <w:rsid w:val="00AE09B8"/>
    <w:rsid w:val="00B47E15"/>
    <w:rsid w:val="00B512BC"/>
    <w:rsid w:val="00B93872"/>
    <w:rsid w:val="00BB3198"/>
    <w:rsid w:val="00BF540B"/>
    <w:rsid w:val="00C15BAE"/>
    <w:rsid w:val="00C16C2C"/>
    <w:rsid w:val="00C23084"/>
    <w:rsid w:val="00C90D1D"/>
    <w:rsid w:val="00CB331C"/>
    <w:rsid w:val="00CE5D79"/>
    <w:rsid w:val="00D60461"/>
    <w:rsid w:val="00D63A8D"/>
    <w:rsid w:val="00D8536E"/>
    <w:rsid w:val="00DD04D2"/>
    <w:rsid w:val="00DE2AEB"/>
    <w:rsid w:val="00E22106"/>
    <w:rsid w:val="00E250E9"/>
    <w:rsid w:val="00E61EC9"/>
    <w:rsid w:val="00E63FE9"/>
    <w:rsid w:val="00E8359B"/>
    <w:rsid w:val="00E94F8D"/>
    <w:rsid w:val="00E9534D"/>
    <w:rsid w:val="00E96E55"/>
    <w:rsid w:val="00EB14A6"/>
    <w:rsid w:val="00F0107F"/>
    <w:rsid w:val="00F15DCD"/>
    <w:rsid w:val="00F9203D"/>
    <w:rsid w:val="00FC110F"/>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B4A416B"/>
  <w15:chartTrackingRefBased/>
  <w15:docId w15:val="{35771118-B4AF-496C-BF89-E81E56941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GB" w:eastAsia="en-GB"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after="160" w:line="259"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spacing w:after="0" w:line="240" w:lineRule="auto"/>
    </w:pPr>
  </w:style>
  <w:style w:type="character" w:customStyle="1" w:styleId="HeaderChar">
    <w:name w:val="Header Char"/>
    <w:basedOn w:val="DefaultParagraphFont"/>
    <w:link w:val="Header"/>
    <w:rPr>
      <w:rFonts w:cs="Times New Roman"/>
    </w:rPr>
  </w:style>
  <w:style w:type="paragraph" w:styleId="Footer">
    <w:name w:val="footer"/>
    <w:basedOn w:val="Normal"/>
    <w:link w:val="FooterChar"/>
    <w:pPr>
      <w:tabs>
        <w:tab w:val="center" w:pos="4153"/>
        <w:tab w:val="right" w:pos="8306"/>
      </w:tabs>
      <w:spacing w:after="0" w:line="240" w:lineRule="auto"/>
    </w:pPr>
  </w:style>
  <w:style w:type="character" w:customStyle="1" w:styleId="FooterChar">
    <w:name w:val="Footer Char"/>
    <w:basedOn w:val="DefaultParagraphFont"/>
    <w:link w:val="Footer"/>
    <w:rPr>
      <w:rFonts w:cs="Times New Roman"/>
    </w:rPr>
  </w:style>
  <w:style w:type="table" w:styleId="TableGrid">
    <w:name w:val="Table Grid"/>
    <w:basedOn w:val="TableNormal"/>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pPr>
      <w:ind w:left="720"/>
      <w:contextualSpacing/>
    </w:pPr>
  </w:style>
  <w:style w:type="character" w:customStyle="1" w:styleId="ListParagraphChar">
    <w:name w:val="List Paragraph Char"/>
    <w:link w:val="ListParagraph"/>
  </w:style>
  <w:style w:type="paragraph" w:styleId="ListBullet">
    <w:name w:val="List Bullet"/>
    <w:basedOn w:val="Normal"/>
    <w:autoRedefine/>
    <w:pPr>
      <w:numPr>
        <w:numId w:val="7"/>
      </w:numPr>
      <w:bidi w:val="0"/>
    </w:pPr>
    <w:rPr>
      <w:rFonts w:ascii="Arial" w:hAnsi="Arial"/>
      <w:sz w:val="20"/>
      <w:szCs w:val="20"/>
    </w:rPr>
  </w:style>
  <w:style w:type="paragraph" w:styleId="ListBullet2">
    <w:name w:val="List Bullet 2"/>
    <w:basedOn w:val="Normal"/>
    <w:autoRedefine/>
    <w:pPr>
      <w:numPr>
        <w:numId w:val="8"/>
      </w:numPr>
      <w:bidi w:val="0"/>
    </w:pPr>
    <w:rPr>
      <w:rFonts w:ascii="Arial" w:hAnsi="Arial"/>
      <w:sz w:val="20"/>
      <w:szCs w:val="20"/>
    </w:rPr>
  </w:style>
  <w:style w:type="paragraph" w:styleId="ListBullet3">
    <w:name w:val="List Bullet 3"/>
    <w:basedOn w:val="Normal"/>
    <w:autoRedefine/>
    <w:pPr>
      <w:numPr>
        <w:numId w:val="9"/>
      </w:numPr>
    </w:pPr>
  </w:style>
  <w:style w:type="character" w:styleId="Strong">
    <w:name w:val="Strong"/>
    <w:basedOn w:val="DefaultParagraphFont"/>
    <w:uiPriority w:val="22"/>
    <w:qFormat/>
    <w:rsid w:val="001E2479"/>
    <w:rPr>
      <w:b/>
      <w:bCs/>
    </w:rPr>
  </w:style>
  <w:style w:type="paragraph" w:styleId="NormalWeb">
    <w:name w:val="Normal (Web)"/>
    <w:basedOn w:val="Normal"/>
    <w:uiPriority w:val="99"/>
    <w:unhideWhenUsed/>
    <w:rsid w:val="009D7B56"/>
    <w:pPr>
      <w:bidi w:val="0"/>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727265386">
      <w:bodyDiv w:val="1"/>
      <w:marLeft w:val="0"/>
      <w:marRight w:val="0"/>
      <w:marTop w:val="0"/>
      <w:marBottom w:val="0"/>
      <w:divBdr>
        <w:top w:val="none" w:sz="0" w:space="0" w:color="auto"/>
        <w:left w:val="none" w:sz="0" w:space="0" w:color="auto"/>
        <w:bottom w:val="none" w:sz="0" w:space="0" w:color="auto"/>
        <w:right w:val="none" w:sz="0" w:space="0" w:color="auto"/>
      </w:divBdr>
    </w:div>
    <w:div w:id="1247499452">
      <w:bodyDiv w:val="1"/>
      <w:marLeft w:val="0"/>
      <w:marRight w:val="0"/>
      <w:marTop w:val="0"/>
      <w:marBottom w:val="0"/>
      <w:divBdr>
        <w:top w:val="none" w:sz="0" w:space="0" w:color="auto"/>
        <w:left w:val="none" w:sz="0" w:space="0" w:color="auto"/>
        <w:bottom w:val="none" w:sz="0" w:space="0" w:color="auto"/>
        <w:right w:val="none" w:sz="0" w:space="0" w:color="auto"/>
      </w:divBdr>
    </w:div>
    <w:div w:id="208367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winword.dot\97\wrkgrp\nif-new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nif-newform</Template>
  <TotalTime>0</TotalTime>
  <Pages>4</Pages>
  <Words>1388</Words>
  <Characters>7915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DEMOCRATIC INFRASTRUCTURES DOMAIN</vt:lpstr>
    </vt:vector>
  </TitlesOfParts>
  <Company/>
  <LinksUpToDate>false</LinksUpToDate>
  <CharactersWithSpaces>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DEMOCRATIC INFRASTRUCTURES DOMAIN</dc:title>
  <dc:subject/>
  <dc:creator>Noga Levi</dc:creator>
  <cp:keywords/>
  <dc:description>sent -</dc:description>
  <cp:lastModifiedBy>JJ</cp:lastModifiedBy>
  <cp:revision>9</cp:revision>
  <dcterms:created xsi:type="dcterms:W3CDTF">2024-08-26T08:58:00Z</dcterms:created>
  <dcterms:modified xsi:type="dcterms:W3CDTF">2024-08-26T15:32:00Z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Dic">
    <vt:lpwstr>f:\spellcheck\nif.dic</vt:lpwstr>
  </property>
</Properties>
</file>