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336B0" w14:textId="77777777" w:rsidR="00FF66B0" w:rsidRPr="00AA7F69" w:rsidRDefault="00FF66B0" w:rsidP="00FF66B0">
      <w:pPr>
        <w:rPr>
          <w:rFonts w:asciiTheme="majorBidi" w:hAnsiTheme="majorBidi" w:cstheme="majorBidi"/>
          <w:sz w:val="24"/>
          <w:szCs w:val="24"/>
        </w:rPr>
      </w:pPr>
      <w:r w:rsidRPr="00AA7F69">
        <w:rPr>
          <w:rFonts w:asciiTheme="majorBidi" w:hAnsiTheme="majorBidi" w:cstheme="majorBidi"/>
          <w:sz w:val="24"/>
          <w:szCs w:val="24"/>
        </w:rPr>
        <w:t>[Logo: SPNI]</w:t>
      </w:r>
    </w:p>
    <w:p w14:paraId="6BD5E33D" w14:textId="77777777" w:rsidR="00FF66B0" w:rsidRPr="00AA7F69" w:rsidRDefault="00FF66B0" w:rsidP="00FF66B0">
      <w:pPr>
        <w:rPr>
          <w:rFonts w:asciiTheme="majorBidi" w:hAnsiTheme="majorBidi" w:cstheme="majorBidi"/>
          <w:b/>
          <w:bCs/>
          <w:sz w:val="24"/>
          <w:szCs w:val="24"/>
        </w:rPr>
      </w:pPr>
      <w:r w:rsidRPr="00AA7F69">
        <w:rPr>
          <w:rFonts w:asciiTheme="majorBidi" w:hAnsiTheme="majorBidi" w:cstheme="majorBidi"/>
          <w:b/>
          <w:bCs/>
          <w:sz w:val="24"/>
          <w:szCs w:val="24"/>
        </w:rPr>
        <w:t>The Economic Implications of Restoring Open Spaces</w:t>
      </w:r>
    </w:p>
    <w:p w14:paraId="077B8B2F" w14:textId="77777777" w:rsidR="00FF66B0" w:rsidRPr="00AA7F69" w:rsidRDefault="00FF66B0" w:rsidP="00FF66B0">
      <w:pPr>
        <w:rPr>
          <w:rFonts w:asciiTheme="majorBidi" w:hAnsiTheme="majorBidi" w:cstheme="majorBidi"/>
          <w:sz w:val="24"/>
          <w:szCs w:val="24"/>
        </w:rPr>
      </w:pPr>
      <w:r w:rsidRPr="00AA7F69">
        <w:rPr>
          <w:rFonts w:asciiTheme="majorBidi" w:hAnsiTheme="majorBidi" w:cstheme="majorBidi"/>
          <w:sz w:val="24"/>
          <w:szCs w:val="24"/>
        </w:rPr>
        <w:t>May 2024</w:t>
      </w:r>
    </w:p>
    <w:p w14:paraId="29972C78" w14:textId="77777777" w:rsidR="00FF66B0" w:rsidRPr="00AA7F69" w:rsidRDefault="00FF66B0" w:rsidP="00FF66B0">
      <w:pPr>
        <w:spacing w:line="240" w:lineRule="auto"/>
        <w:rPr>
          <w:rFonts w:asciiTheme="majorBidi" w:hAnsiTheme="majorBidi" w:cstheme="majorBidi"/>
          <w:sz w:val="24"/>
          <w:szCs w:val="24"/>
        </w:rPr>
      </w:pPr>
      <w:r w:rsidRPr="00AA7F69">
        <w:rPr>
          <w:rFonts w:asciiTheme="majorBidi" w:hAnsiTheme="majorBidi" w:cstheme="majorBidi"/>
          <w:sz w:val="24"/>
          <w:szCs w:val="24"/>
        </w:rPr>
        <w:t>Writing and Analysis: Shiri Heffer, Expert in Environmental Economics</w:t>
      </w:r>
    </w:p>
    <w:p w14:paraId="2791B962" w14:textId="77777777" w:rsidR="00FF66B0" w:rsidRPr="00AA7F69" w:rsidRDefault="00FF66B0" w:rsidP="00FF66B0">
      <w:pPr>
        <w:spacing w:line="240" w:lineRule="auto"/>
        <w:rPr>
          <w:rFonts w:asciiTheme="majorBidi" w:hAnsiTheme="majorBidi" w:cstheme="majorBidi"/>
          <w:sz w:val="24"/>
          <w:szCs w:val="24"/>
        </w:rPr>
      </w:pPr>
      <w:r w:rsidRPr="00AA7F69">
        <w:rPr>
          <w:rFonts w:asciiTheme="majorBidi" w:hAnsiTheme="majorBidi" w:cstheme="majorBidi"/>
          <w:sz w:val="24"/>
          <w:szCs w:val="24"/>
        </w:rPr>
        <w:t>Writing Assistance: Amit Fr</w:t>
      </w:r>
      <w:r>
        <w:rPr>
          <w:rFonts w:asciiTheme="majorBidi" w:hAnsiTheme="majorBidi" w:cstheme="majorBidi"/>
          <w:sz w:val="24"/>
          <w:szCs w:val="24"/>
        </w:rPr>
        <w:t>ie</w:t>
      </w:r>
      <w:r w:rsidRPr="00AA7F69">
        <w:rPr>
          <w:rFonts w:asciiTheme="majorBidi" w:hAnsiTheme="majorBidi" w:cstheme="majorBidi"/>
          <w:sz w:val="24"/>
          <w:szCs w:val="24"/>
        </w:rPr>
        <w:t>dman Mizrahi</w:t>
      </w:r>
    </w:p>
    <w:p w14:paraId="1C81AA83" w14:textId="77777777" w:rsidR="00FF66B0" w:rsidRPr="00AA7F69" w:rsidRDefault="00FF66B0" w:rsidP="00FF66B0">
      <w:pPr>
        <w:spacing w:line="240" w:lineRule="auto"/>
        <w:rPr>
          <w:rFonts w:asciiTheme="majorBidi" w:hAnsiTheme="majorBidi" w:cstheme="majorBidi"/>
          <w:sz w:val="24"/>
          <w:szCs w:val="24"/>
        </w:rPr>
      </w:pPr>
      <w:r w:rsidRPr="00AA7F69">
        <w:rPr>
          <w:rFonts w:asciiTheme="majorBidi" w:hAnsiTheme="majorBidi" w:cstheme="majorBidi"/>
          <w:sz w:val="24"/>
          <w:szCs w:val="24"/>
        </w:rPr>
        <w:t xml:space="preserve">Linguistic Editing: Eyal </w:t>
      </w:r>
      <w:commentRangeStart w:id="0"/>
      <w:r w:rsidRPr="00AA7F69">
        <w:rPr>
          <w:rFonts w:asciiTheme="majorBidi" w:hAnsiTheme="majorBidi" w:cstheme="majorBidi"/>
          <w:sz w:val="24"/>
          <w:szCs w:val="24"/>
        </w:rPr>
        <w:t>Telman</w:t>
      </w:r>
      <w:commentRangeEnd w:id="0"/>
      <w:r w:rsidRPr="00AA7F69">
        <w:rPr>
          <w:rStyle w:val="CommentReference"/>
        </w:rPr>
        <w:commentReference w:id="0"/>
      </w:r>
    </w:p>
    <w:p w14:paraId="35772920" w14:textId="77777777" w:rsidR="00FF66B0" w:rsidRPr="00AA7F69" w:rsidRDefault="00FF66B0" w:rsidP="00FF66B0">
      <w:pPr>
        <w:spacing w:line="240" w:lineRule="auto"/>
        <w:rPr>
          <w:rFonts w:asciiTheme="majorBidi" w:hAnsiTheme="majorBidi" w:cstheme="majorBidi"/>
          <w:sz w:val="24"/>
          <w:szCs w:val="24"/>
        </w:rPr>
      </w:pPr>
      <w:r w:rsidRPr="00AA7F69">
        <w:rPr>
          <w:rFonts w:asciiTheme="majorBidi" w:hAnsiTheme="majorBidi" w:cstheme="majorBidi"/>
          <w:sz w:val="24"/>
          <w:szCs w:val="24"/>
        </w:rPr>
        <w:t>Management and Professional Editing: Yael Hamerman Solar</w:t>
      </w:r>
    </w:p>
    <w:p w14:paraId="377179AE" w14:textId="77777777" w:rsidR="00FF66B0" w:rsidRPr="00AA7F69" w:rsidRDefault="00FF66B0" w:rsidP="00FF66B0">
      <w:pPr>
        <w:spacing w:line="240" w:lineRule="auto"/>
        <w:rPr>
          <w:rFonts w:asciiTheme="majorBidi" w:hAnsiTheme="majorBidi" w:cstheme="majorBidi"/>
          <w:sz w:val="24"/>
          <w:szCs w:val="24"/>
        </w:rPr>
      </w:pPr>
      <w:r w:rsidRPr="00AA7F69">
        <w:rPr>
          <w:rFonts w:asciiTheme="majorBidi" w:hAnsiTheme="majorBidi" w:cstheme="majorBidi"/>
          <w:sz w:val="24"/>
          <w:szCs w:val="24"/>
        </w:rPr>
        <w:t xml:space="preserve">Contributed Comments to the Document: Assaf </w:t>
      </w:r>
      <w:proofErr w:type="spellStart"/>
      <w:r w:rsidRPr="00AA7F69">
        <w:rPr>
          <w:rFonts w:asciiTheme="majorBidi" w:hAnsiTheme="majorBidi" w:cstheme="majorBidi"/>
          <w:sz w:val="24"/>
          <w:szCs w:val="24"/>
        </w:rPr>
        <w:t>Zanzuri</w:t>
      </w:r>
      <w:proofErr w:type="spellEnd"/>
      <w:r w:rsidRPr="00AA7F69">
        <w:rPr>
          <w:rFonts w:asciiTheme="majorBidi" w:hAnsiTheme="majorBidi" w:cstheme="majorBidi"/>
          <w:sz w:val="24"/>
          <w:szCs w:val="24"/>
        </w:rPr>
        <w:t xml:space="preserve">, Dror </w:t>
      </w:r>
      <w:proofErr w:type="spellStart"/>
      <w:r w:rsidRPr="00AA7F69">
        <w:rPr>
          <w:rFonts w:asciiTheme="majorBidi" w:hAnsiTheme="majorBidi" w:cstheme="majorBidi"/>
          <w:sz w:val="24"/>
          <w:szCs w:val="24"/>
        </w:rPr>
        <w:t>Denneboom</w:t>
      </w:r>
      <w:proofErr w:type="spellEnd"/>
    </w:p>
    <w:p w14:paraId="1755E5E0" w14:textId="77777777" w:rsidR="00FF66B0" w:rsidRPr="00AA7F69" w:rsidRDefault="00FF66B0" w:rsidP="00FF66B0">
      <w:pPr>
        <w:rPr>
          <w:rFonts w:asciiTheme="majorBidi" w:hAnsiTheme="majorBidi" w:cstheme="majorBidi"/>
          <w:sz w:val="24"/>
          <w:szCs w:val="24"/>
        </w:rPr>
      </w:pPr>
      <w:r w:rsidRPr="00AA7F69">
        <w:rPr>
          <w:rFonts w:asciiTheme="majorBidi" w:hAnsiTheme="majorBidi" w:cstheme="majorBidi"/>
          <w:sz w:val="24"/>
          <w:szCs w:val="24"/>
        </w:rPr>
        <w:br w:type="page"/>
      </w:r>
    </w:p>
    <w:p w14:paraId="556077CC" w14:textId="77777777" w:rsidR="00FF66B0" w:rsidRPr="00AA7F69" w:rsidRDefault="00FF66B0" w:rsidP="00FF66B0">
      <w:pPr>
        <w:spacing w:line="240" w:lineRule="auto"/>
        <w:rPr>
          <w:rFonts w:asciiTheme="majorBidi" w:hAnsiTheme="majorBidi" w:cstheme="majorBidi"/>
          <w:b/>
          <w:bCs/>
          <w:sz w:val="24"/>
          <w:szCs w:val="24"/>
        </w:rPr>
      </w:pPr>
      <w:r w:rsidRPr="00AA7F69">
        <w:rPr>
          <w:rFonts w:asciiTheme="majorBidi" w:hAnsiTheme="majorBidi" w:cstheme="majorBidi"/>
          <w:b/>
          <w:bCs/>
          <w:sz w:val="24"/>
          <w:szCs w:val="24"/>
        </w:rPr>
        <w:lastRenderedPageBreak/>
        <w:t>Economic Review</w:t>
      </w:r>
    </w:p>
    <w:p w14:paraId="70E0BA81" w14:textId="77777777" w:rsidR="00FF66B0" w:rsidRPr="00AA7F69" w:rsidRDefault="00FF66B0" w:rsidP="00FF66B0">
      <w:pPr>
        <w:spacing w:line="240" w:lineRule="auto"/>
        <w:rPr>
          <w:rFonts w:asciiTheme="majorBidi" w:hAnsiTheme="majorBidi" w:cstheme="majorBidi"/>
          <w:b/>
          <w:bCs/>
          <w:sz w:val="24"/>
          <w:szCs w:val="24"/>
        </w:rPr>
      </w:pPr>
    </w:p>
    <w:p w14:paraId="785FC831" w14:textId="77777777" w:rsidR="00FF66B0" w:rsidRPr="00AA7F69" w:rsidRDefault="00FF66B0" w:rsidP="00FF66B0">
      <w:pPr>
        <w:spacing w:line="240" w:lineRule="auto"/>
        <w:rPr>
          <w:rFonts w:asciiTheme="majorBidi" w:hAnsiTheme="majorBidi" w:cstheme="majorBidi"/>
          <w:sz w:val="24"/>
          <w:szCs w:val="24"/>
        </w:rPr>
      </w:pPr>
      <w:r w:rsidRPr="00AA7F69">
        <w:rPr>
          <w:rFonts w:asciiTheme="majorBidi" w:hAnsiTheme="majorBidi" w:cstheme="majorBidi"/>
          <w:b/>
          <w:bCs/>
          <w:sz w:val="24"/>
          <w:szCs w:val="24"/>
        </w:rPr>
        <w:t>Introduction</w:t>
      </w:r>
    </w:p>
    <w:p w14:paraId="0D8FFE35" w14:textId="77777777" w:rsidR="00FF66B0" w:rsidRPr="00AA7F69" w:rsidRDefault="00FF66B0" w:rsidP="00FF66B0">
      <w:pPr>
        <w:rPr>
          <w:rFonts w:asciiTheme="majorBidi" w:hAnsiTheme="majorBidi" w:cstheme="majorBidi"/>
          <w:sz w:val="24"/>
          <w:szCs w:val="24"/>
        </w:rPr>
      </w:pPr>
      <w:r w:rsidRPr="00AA7F69">
        <w:rPr>
          <w:rFonts w:asciiTheme="majorBidi" w:hAnsiTheme="majorBidi" w:cstheme="majorBidi"/>
          <w:sz w:val="24"/>
          <w:szCs w:val="24"/>
        </w:rPr>
        <w:t>Israel’s open spaces embody natural and scenic values, and serve as an important ecological, social, touristic, historical, and spiritual asset. As such, preserving and restoring these spaces, and making them accessible to the public should be seen as a national mission. In contrast, harming or neglecting them could have severe consequences.</w:t>
      </w:r>
    </w:p>
    <w:p w14:paraId="6817FB36" w14:textId="77777777" w:rsidR="00FF66B0" w:rsidRPr="00AA7F69" w:rsidRDefault="00FF66B0" w:rsidP="00FF66B0">
      <w:pPr>
        <w:rPr>
          <w:rFonts w:asciiTheme="majorBidi" w:hAnsiTheme="majorBidi" w:cstheme="majorBidi"/>
          <w:sz w:val="24"/>
          <w:szCs w:val="24"/>
        </w:rPr>
      </w:pPr>
      <w:r w:rsidRPr="00AA7F69">
        <w:rPr>
          <w:rFonts w:asciiTheme="majorBidi" w:hAnsiTheme="majorBidi" w:cstheme="majorBidi"/>
          <w:sz w:val="24"/>
          <w:szCs w:val="24"/>
        </w:rPr>
        <w:t>When developing a workplan for developing and restoring Israel’s open spaces, it is vital to establish a set of tools for evaluating and implementing projects that are aimed at this purpose. This section of the plan reviews and presents the economic implications for land restoration projects, and provides tools that can be used to assess their economic impacts in terms of budget planning, financing, and income generation. This is based on the understanding that a clear economic plan will support the implementation of sustainable restoration projects, and that economic tools as the “engine” that can help successfully drive them forward.</w:t>
      </w:r>
    </w:p>
    <w:p w14:paraId="7B0D3D27" w14:textId="77777777" w:rsidR="00FF66B0" w:rsidRPr="00AA7F69" w:rsidRDefault="00FF66B0" w:rsidP="00FF66B0">
      <w:pPr>
        <w:rPr>
          <w:rFonts w:asciiTheme="majorBidi" w:hAnsiTheme="majorBidi" w:cstheme="majorBidi"/>
          <w:sz w:val="24"/>
          <w:szCs w:val="24"/>
        </w:rPr>
      </w:pPr>
      <w:r w:rsidRPr="00AA7F69">
        <w:rPr>
          <w:rFonts w:asciiTheme="majorBidi" w:hAnsiTheme="majorBidi" w:cstheme="majorBidi"/>
          <w:sz w:val="24"/>
          <w:szCs w:val="24"/>
        </w:rPr>
        <w:t>This review includes chapters addressing the various economic implications of open space restoration:</w:t>
      </w:r>
    </w:p>
    <w:p w14:paraId="45EFE8A5" w14:textId="77777777" w:rsidR="00FF66B0" w:rsidRPr="00AA7F69" w:rsidRDefault="00FF66B0" w:rsidP="00FF66B0">
      <w:pPr>
        <w:pStyle w:val="ListParagraph"/>
        <w:numPr>
          <w:ilvl w:val="0"/>
          <w:numId w:val="1"/>
        </w:numPr>
        <w:rPr>
          <w:rFonts w:asciiTheme="majorBidi" w:hAnsiTheme="majorBidi" w:cstheme="majorBidi"/>
          <w:sz w:val="24"/>
          <w:szCs w:val="24"/>
        </w:rPr>
      </w:pPr>
      <w:r w:rsidRPr="00AA7F69">
        <w:rPr>
          <w:rFonts w:asciiTheme="majorBidi" w:hAnsiTheme="majorBidi" w:cstheme="majorBidi"/>
          <w:sz w:val="24"/>
          <w:szCs w:val="24"/>
        </w:rPr>
        <w:t>A review of economic models and approaches currently used in land restoration.</w:t>
      </w:r>
    </w:p>
    <w:p w14:paraId="1FBCD5F0" w14:textId="77777777" w:rsidR="00FF66B0" w:rsidRPr="00AA7F69" w:rsidRDefault="00FF66B0" w:rsidP="00FF66B0">
      <w:pPr>
        <w:pStyle w:val="ListParagraph"/>
        <w:numPr>
          <w:ilvl w:val="0"/>
          <w:numId w:val="1"/>
        </w:numPr>
        <w:rPr>
          <w:rFonts w:asciiTheme="majorBidi" w:hAnsiTheme="majorBidi" w:cstheme="majorBidi"/>
          <w:sz w:val="24"/>
          <w:szCs w:val="24"/>
        </w:rPr>
      </w:pPr>
      <w:r w:rsidRPr="00AA7F69">
        <w:rPr>
          <w:rFonts w:asciiTheme="majorBidi" w:hAnsiTheme="majorBidi" w:cstheme="majorBidi"/>
          <w:sz w:val="24"/>
          <w:szCs w:val="24"/>
        </w:rPr>
        <w:t>An analysis of the costs involved in implementing land restoration projects.</w:t>
      </w:r>
    </w:p>
    <w:p w14:paraId="2A68236B" w14:textId="77777777" w:rsidR="00FF66B0" w:rsidRPr="00AA7F69" w:rsidRDefault="00FF66B0" w:rsidP="00FF66B0">
      <w:pPr>
        <w:pStyle w:val="ListParagraph"/>
        <w:numPr>
          <w:ilvl w:val="0"/>
          <w:numId w:val="1"/>
        </w:numPr>
        <w:rPr>
          <w:rFonts w:asciiTheme="majorBidi" w:hAnsiTheme="majorBidi" w:cstheme="majorBidi"/>
          <w:sz w:val="24"/>
          <w:szCs w:val="24"/>
        </w:rPr>
      </w:pPr>
      <w:r w:rsidRPr="00AA7F69">
        <w:rPr>
          <w:rFonts w:asciiTheme="majorBidi" w:hAnsiTheme="majorBidi" w:cstheme="majorBidi"/>
          <w:sz w:val="24"/>
          <w:szCs w:val="24"/>
        </w:rPr>
        <w:t>An analysis of the ongoing maintenance costs for open spaces after their restoration.</w:t>
      </w:r>
    </w:p>
    <w:p w14:paraId="7823816E" w14:textId="77777777" w:rsidR="00FF66B0" w:rsidRPr="00AA7F69" w:rsidRDefault="00FF66B0" w:rsidP="00FF66B0">
      <w:pPr>
        <w:pStyle w:val="ListParagraph"/>
        <w:numPr>
          <w:ilvl w:val="0"/>
          <w:numId w:val="1"/>
        </w:numPr>
        <w:rPr>
          <w:rFonts w:asciiTheme="majorBidi" w:hAnsiTheme="majorBidi" w:cstheme="majorBidi"/>
          <w:sz w:val="24"/>
          <w:szCs w:val="24"/>
        </w:rPr>
      </w:pPr>
      <w:r w:rsidRPr="00AA7F69">
        <w:rPr>
          <w:rFonts w:asciiTheme="majorBidi" w:hAnsiTheme="majorBidi" w:cstheme="majorBidi"/>
          <w:sz w:val="24"/>
          <w:szCs w:val="24"/>
        </w:rPr>
        <w:t>An economic analysis and evaluation of external benefits</w:t>
      </w:r>
      <w:r w:rsidRPr="00AA7F69">
        <w:rPr>
          <w:rStyle w:val="FootnoteReference"/>
          <w:rFonts w:asciiTheme="majorBidi" w:hAnsiTheme="majorBidi" w:cstheme="majorBidi"/>
          <w:sz w:val="24"/>
          <w:szCs w:val="24"/>
        </w:rPr>
        <w:footnoteReference w:id="1"/>
      </w:r>
      <w:r w:rsidRPr="00AA7F69">
        <w:rPr>
          <w:rFonts w:asciiTheme="majorBidi" w:hAnsiTheme="majorBidi" w:cstheme="majorBidi"/>
          <w:sz w:val="24"/>
          <w:szCs w:val="24"/>
        </w:rPr>
        <w:t xml:space="preserve"> – that is, the economic benefits to the public resulting from a restored natural space.</w:t>
      </w:r>
    </w:p>
    <w:p w14:paraId="052956B2" w14:textId="77777777" w:rsidR="00FF66B0" w:rsidRPr="00AA7F69" w:rsidRDefault="00FF66B0" w:rsidP="00FF66B0">
      <w:pPr>
        <w:pStyle w:val="ListParagraph"/>
        <w:numPr>
          <w:ilvl w:val="0"/>
          <w:numId w:val="1"/>
        </w:numPr>
        <w:rPr>
          <w:rFonts w:asciiTheme="majorBidi" w:hAnsiTheme="majorBidi" w:cstheme="majorBidi"/>
          <w:sz w:val="24"/>
          <w:szCs w:val="24"/>
        </w:rPr>
      </w:pPr>
      <w:r w:rsidRPr="00AA7F69">
        <w:rPr>
          <w:rFonts w:asciiTheme="majorBidi" w:hAnsiTheme="majorBidi" w:cstheme="majorBidi"/>
          <w:sz w:val="24"/>
          <w:szCs w:val="24"/>
        </w:rPr>
        <w:t>Economic analysis and evaluation of opportunity costs</w:t>
      </w:r>
      <w:r w:rsidRPr="00AA7F69">
        <w:rPr>
          <w:rStyle w:val="FootnoteReference"/>
          <w:rFonts w:asciiTheme="majorBidi" w:hAnsiTheme="majorBidi" w:cstheme="majorBidi"/>
          <w:sz w:val="24"/>
          <w:szCs w:val="24"/>
        </w:rPr>
        <w:footnoteReference w:id="2"/>
      </w:r>
      <w:r w:rsidRPr="00AA7F69">
        <w:rPr>
          <w:rFonts w:asciiTheme="majorBidi" w:hAnsiTheme="majorBidi" w:cstheme="majorBidi"/>
          <w:sz w:val="24"/>
          <w:szCs w:val="24"/>
        </w:rPr>
        <w:t xml:space="preserve"> – the costs that would arise if a space is not restored.</w:t>
      </w:r>
    </w:p>
    <w:p w14:paraId="1DEF965A" w14:textId="77777777" w:rsidR="00FF66B0" w:rsidRPr="00AA7F69" w:rsidRDefault="00FF66B0" w:rsidP="00FF66B0">
      <w:pPr>
        <w:pStyle w:val="ListParagraph"/>
        <w:rPr>
          <w:rFonts w:asciiTheme="majorBidi" w:hAnsiTheme="majorBidi" w:cstheme="majorBidi"/>
          <w:sz w:val="24"/>
          <w:szCs w:val="24"/>
        </w:rPr>
      </w:pPr>
    </w:p>
    <w:p w14:paraId="0B67AA34" w14:textId="77777777" w:rsidR="00FF66B0" w:rsidRPr="00AA7F69" w:rsidRDefault="00FF66B0" w:rsidP="00FF66B0">
      <w:pPr>
        <w:rPr>
          <w:rFonts w:asciiTheme="majorBidi" w:hAnsiTheme="majorBidi" w:cstheme="majorBidi"/>
          <w:b/>
          <w:bCs/>
          <w:sz w:val="24"/>
          <w:szCs w:val="24"/>
        </w:rPr>
      </w:pPr>
      <w:r w:rsidRPr="00AA7F69">
        <w:rPr>
          <w:rFonts w:asciiTheme="majorBidi" w:hAnsiTheme="majorBidi" w:cstheme="majorBidi"/>
          <w:b/>
          <w:bCs/>
          <w:sz w:val="24"/>
          <w:szCs w:val="24"/>
        </w:rPr>
        <w:lastRenderedPageBreak/>
        <w:t>Chapter 1: Review of economic models and approaches currently used in open space restoration</w:t>
      </w:r>
    </w:p>
    <w:p w14:paraId="22F94683" w14:textId="77777777" w:rsidR="00FF66B0" w:rsidRPr="00AA7F69" w:rsidRDefault="00FF66B0" w:rsidP="00FF66B0">
      <w:pPr>
        <w:rPr>
          <w:rFonts w:asciiTheme="majorBidi" w:hAnsiTheme="majorBidi" w:cstheme="majorBidi"/>
          <w:sz w:val="24"/>
          <w:szCs w:val="24"/>
        </w:rPr>
      </w:pPr>
      <w:r w:rsidRPr="00AA7F69">
        <w:rPr>
          <w:rFonts w:asciiTheme="majorBidi" w:hAnsiTheme="majorBidi" w:cstheme="majorBidi"/>
          <w:sz w:val="24"/>
          <w:szCs w:val="24"/>
        </w:rPr>
        <w:t>The purpose of this chapter is to review economic models from Israel and elsewhere that provide or generate economic value from open space restoration projects, in particular those that help mitigate the effects of climate change. The aim is to learn about practices that have already proven successful in supporting the realization of open space restoration projects by using economic tools (as opposed to relying solely on government funding).</w:t>
      </w:r>
    </w:p>
    <w:p w14:paraId="5012DD37" w14:textId="77777777" w:rsidR="00FF66B0" w:rsidRPr="00AA7F69" w:rsidRDefault="00FF66B0" w:rsidP="00FF66B0">
      <w:pPr>
        <w:pStyle w:val="ListParagraph"/>
        <w:numPr>
          <w:ilvl w:val="0"/>
          <w:numId w:val="2"/>
        </w:numPr>
        <w:rPr>
          <w:rFonts w:asciiTheme="majorBidi" w:hAnsiTheme="majorBidi" w:cstheme="majorBidi"/>
          <w:b/>
          <w:bCs/>
          <w:sz w:val="24"/>
          <w:szCs w:val="24"/>
        </w:rPr>
      </w:pPr>
      <w:r w:rsidRPr="00AA7F69">
        <w:rPr>
          <w:rFonts w:asciiTheme="majorBidi" w:hAnsiTheme="majorBidi" w:cstheme="majorBidi"/>
          <w:b/>
          <w:bCs/>
          <w:sz w:val="24"/>
          <w:szCs w:val="24"/>
        </w:rPr>
        <w:t>Payments for ecosystem services (PES)</w:t>
      </w:r>
    </w:p>
    <w:p w14:paraId="7EBD67B6" w14:textId="77777777" w:rsidR="00FF66B0" w:rsidRPr="00AA7F69" w:rsidRDefault="00FF66B0" w:rsidP="00FF66B0">
      <w:pPr>
        <w:rPr>
          <w:rFonts w:asciiTheme="majorBidi" w:hAnsiTheme="majorBidi" w:cstheme="majorBidi"/>
          <w:sz w:val="24"/>
          <w:szCs w:val="24"/>
        </w:rPr>
      </w:pPr>
      <w:r w:rsidRPr="00AA7F69">
        <w:rPr>
          <w:rFonts w:asciiTheme="majorBidi" w:hAnsiTheme="majorBidi" w:cstheme="majorBidi"/>
          <w:sz w:val="24"/>
          <w:szCs w:val="24"/>
        </w:rPr>
        <w:t>Payments for ecosystem service (PES) is a market-based approach, according to which landowners or farmers receive direct payments or incentives for implementing practices that enhance ecosystem services, such as biodiversity conservation, water quality maintenance, or carbon sequestration. The basic idea behind PES is that those who provide an ecosystem service should be entitled to payments just like any other service provider.</w:t>
      </w:r>
      <w:r w:rsidRPr="00AA7F69">
        <w:rPr>
          <w:rStyle w:val="FootnoteReference"/>
          <w:rFonts w:asciiTheme="majorBidi" w:hAnsiTheme="majorBidi" w:cstheme="majorBidi"/>
          <w:sz w:val="24"/>
          <w:szCs w:val="24"/>
        </w:rPr>
        <w:footnoteReference w:id="3"/>
      </w:r>
      <w:r w:rsidRPr="00AA7F69">
        <w:rPr>
          <w:rFonts w:asciiTheme="majorBidi" w:hAnsiTheme="majorBidi" w:cstheme="majorBidi"/>
          <w:sz w:val="24"/>
          <w:szCs w:val="24"/>
        </w:rPr>
        <w:t xml:space="preserve"> PES programs can be funded by government agencies, private companies, non-governmental organizations, or international organizations. </w:t>
      </w:r>
    </w:p>
    <w:p w14:paraId="43409E10" w14:textId="77777777" w:rsidR="00FF66B0" w:rsidRPr="00AA7F69" w:rsidRDefault="00FF66B0" w:rsidP="00FF66B0">
      <w:pPr>
        <w:rPr>
          <w:rFonts w:asciiTheme="majorBidi" w:hAnsiTheme="majorBidi" w:cstheme="majorBidi"/>
          <w:sz w:val="24"/>
          <w:szCs w:val="24"/>
        </w:rPr>
      </w:pPr>
      <w:r w:rsidRPr="00AA7F69">
        <w:rPr>
          <w:rFonts w:asciiTheme="majorBidi" w:hAnsiTheme="majorBidi" w:cstheme="majorBidi"/>
          <w:sz w:val="24"/>
          <w:szCs w:val="24"/>
        </w:rPr>
        <w:t xml:space="preserve">A good example of a PES project is the </w:t>
      </w:r>
      <w:proofErr w:type="spellStart"/>
      <w:r w:rsidRPr="00AA7F69">
        <w:rPr>
          <w:rFonts w:asciiTheme="majorBidi" w:hAnsiTheme="majorBidi" w:cstheme="majorBidi"/>
          <w:sz w:val="24"/>
          <w:szCs w:val="24"/>
        </w:rPr>
        <w:t>CompensACTION</w:t>
      </w:r>
      <w:proofErr w:type="spellEnd"/>
      <w:r w:rsidRPr="00AA7F69">
        <w:rPr>
          <w:rStyle w:val="FootnoteReference"/>
          <w:rFonts w:asciiTheme="majorBidi" w:hAnsiTheme="majorBidi" w:cstheme="majorBidi"/>
          <w:sz w:val="24"/>
          <w:szCs w:val="24"/>
        </w:rPr>
        <w:footnoteReference w:id="4"/>
      </w:r>
      <w:r w:rsidRPr="00AA7F69">
        <w:rPr>
          <w:rFonts w:asciiTheme="majorBidi" w:hAnsiTheme="majorBidi" w:cstheme="majorBidi"/>
          <w:sz w:val="24"/>
          <w:szCs w:val="24"/>
        </w:rPr>
        <w:t xml:space="preserve"> Initiative for Food Security and a Healthy Planet, which is run by the G7 Food Security Working Group (GFSW). The program is tailored towards low- and middle-income countries, and while Israel does not fit this category, we can nevertheless adopt some of its principles and operating methods. The initiative is based on developing methods to reward farmers through PES programs, using public and private capital, to create an infrastructure that can help implement these programs quickly.</w:t>
      </w:r>
    </w:p>
    <w:p w14:paraId="20FCA9DA" w14:textId="77777777" w:rsidR="00FF66B0" w:rsidRPr="00AA7F69" w:rsidRDefault="00FF66B0" w:rsidP="00FF66B0">
      <w:pPr>
        <w:rPr>
          <w:rFonts w:asciiTheme="majorBidi" w:hAnsiTheme="majorBidi" w:cstheme="majorBidi"/>
          <w:sz w:val="24"/>
          <w:szCs w:val="24"/>
        </w:rPr>
      </w:pPr>
      <w:r w:rsidRPr="00AA7F69">
        <w:rPr>
          <w:rFonts w:asciiTheme="majorBidi" w:hAnsiTheme="majorBidi" w:cstheme="majorBidi"/>
          <w:sz w:val="24"/>
          <w:szCs w:val="24"/>
        </w:rPr>
        <w:t xml:space="preserve">According to </w:t>
      </w:r>
      <w:proofErr w:type="spellStart"/>
      <w:r w:rsidRPr="00AA7F69">
        <w:rPr>
          <w:rFonts w:asciiTheme="majorBidi" w:hAnsiTheme="majorBidi" w:cstheme="majorBidi"/>
          <w:sz w:val="24"/>
          <w:szCs w:val="24"/>
        </w:rPr>
        <w:t>CompensACTION</w:t>
      </w:r>
      <w:proofErr w:type="spellEnd"/>
      <w:r w:rsidRPr="00AA7F69">
        <w:rPr>
          <w:rFonts w:asciiTheme="majorBidi" w:hAnsiTheme="majorBidi" w:cstheme="majorBidi"/>
          <w:sz w:val="24"/>
          <w:szCs w:val="24"/>
        </w:rPr>
        <w:t>, the main systemic actions needed to achieve its goals are:</w:t>
      </w:r>
    </w:p>
    <w:p w14:paraId="180CC21A" w14:textId="77777777" w:rsidR="00FF66B0" w:rsidRPr="00AA7F69" w:rsidRDefault="00FF66B0" w:rsidP="00FF66B0">
      <w:pPr>
        <w:pStyle w:val="ListParagraph"/>
        <w:numPr>
          <w:ilvl w:val="0"/>
          <w:numId w:val="3"/>
        </w:numPr>
        <w:rPr>
          <w:rFonts w:asciiTheme="majorBidi" w:hAnsiTheme="majorBidi" w:cstheme="majorBidi"/>
          <w:sz w:val="24"/>
          <w:szCs w:val="24"/>
        </w:rPr>
      </w:pPr>
      <w:r w:rsidRPr="00AA7F69">
        <w:rPr>
          <w:rFonts w:asciiTheme="majorBidi" w:hAnsiTheme="majorBidi" w:cstheme="majorBidi"/>
          <w:sz w:val="24"/>
          <w:szCs w:val="24"/>
        </w:rPr>
        <w:t>Support for public policy to establish national frameworks for PES programs.</w:t>
      </w:r>
      <w:r w:rsidRPr="00AA7F69">
        <w:rPr>
          <w:rFonts w:asciiTheme="majorBidi" w:hAnsiTheme="majorBidi" w:cstheme="majorBidi"/>
          <w:b/>
          <w:bCs/>
          <w:sz w:val="24"/>
          <w:szCs w:val="24"/>
        </w:rPr>
        <w:t xml:space="preserve"> </w:t>
      </w:r>
      <w:r w:rsidRPr="00AA7F69">
        <w:rPr>
          <w:rFonts w:asciiTheme="majorBidi" w:hAnsiTheme="majorBidi" w:cstheme="majorBidi"/>
          <w:sz w:val="24"/>
          <w:szCs w:val="24"/>
        </w:rPr>
        <w:t xml:space="preserve">Experience shows that there is a strong correlation between policy development and the realization of </w:t>
      </w:r>
      <w:r w:rsidRPr="00AA7F69">
        <w:rPr>
          <w:rFonts w:asciiTheme="majorBidi" w:hAnsiTheme="majorBidi" w:cstheme="majorBidi"/>
          <w:b/>
          <w:bCs/>
          <w:sz w:val="24"/>
          <w:szCs w:val="24"/>
        </w:rPr>
        <w:t>PES</w:t>
      </w:r>
      <w:r w:rsidRPr="00AA7F69">
        <w:rPr>
          <w:rFonts w:asciiTheme="majorBidi" w:hAnsiTheme="majorBidi" w:cstheme="majorBidi"/>
          <w:sz w:val="24"/>
          <w:szCs w:val="24"/>
        </w:rPr>
        <w:t xml:space="preserve"> transactions. An example of a relevant economic policy includes setting fair and minimum prices for carbon trading transactions and other ecosystem services, and recognizing the legal rights that enable compensation and mediation for ecosystem services. </w:t>
      </w:r>
    </w:p>
    <w:p w14:paraId="3C7F11DF" w14:textId="77777777" w:rsidR="00FF66B0" w:rsidRPr="00AA7F69" w:rsidRDefault="00FF66B0" w:rsidP="00FF66B0">
      <w:pPr>
        <w:pStyle w:val="ListParagraph"/>
        <w:numPr>
          <w:ilvl w:val="0"/>
          <w:numId w:val="3"/>
        </w:numPr>
        <w:rPr>
          <w:rFonts w:asciiTheme="majorBidi" w:hAnsiTheme="majorBidi" w:cstheme="majorBidi"/>
          <w:sz w:val="24"/>
          <w:szCs w:val="24"/>
        </w:rPr>
      </w:pPr>
      <w:r w:rsidRPr="00AA7F69">
        <w:rPr>
          <w:rFonts w:asciiTheme="majorBidi" w:hAnsiTheme="majorBidi" w:cstheme="majorBidi"/>
          <w:sz w:val="24"/>
          <w:szCs w:val="24"/>
        </w:rPr>
        <w:lastRenderedPageBreak/>
        <w:t xml:space="preserve"> Increasing public and private investments to support</w:t>
      </w:r>
      <w:r w:rsidRPr="00AA7F69">
        <w:rPr>
          <w:rFonts w:asciiTheme="majorBidi" w:hAnsiTheme="majorBidi" w:cstheme="majorBidi"/>
          <w:b/>
          <w:bCs/>
          <w:sz w:val="24"/>
          <w:szCs w:val="24"/>
        </w:rPr>
        <w:t xml:space="preserve"> PES</w:t>
      </w:r>
      <w:r w:rsidRPr="00AA7F69">
        <w:rPr>
          <w:rFonts w:asciiTheme="majorBidi" w:hAnsiTheme="majorBidi" w:cstheme="majorBidi"/>
          <w:sz w:val="24"/>
          <w:szCs w:val="24"/>
        </w:rPr>
        <w:t>, such as channeling public funds into subsidies for farmers in exchange for enhancing ecosystem services. In Colombia, for example, there is an option to redirect corporation tax payments as support payments to farmers for ecosystem services.</w:t>
      </w:r>
    </w:p>
    <w:p w14:paraId="71DD7B37" w14:textId="77777777" w:rsidR="00FF66B0" w:rsidRPr="00AA7F69" w:rsidRDefault="00FF66B0" w:rsidP="00FF66B0">
      <w:pPr>
        <w:pStyle w:val="ListParagraph"/>
        <w:numPr>
          <w:ilvl w:val="0"/>
          <w:numId w:val="3"/>
        </w:numPr>
        <w:rPr>
          <w:rFonts w:asciiTheme="majorBidi" w:hAnsiTheme="majorBidi" w:cstheme="majorBidi"/>
          <w:sz w:val="24"/>
          <w:szCs w:val="24"/>
        </w:rPr>
      </w:pPr>
      <w:r w:rsidRPr="00AA7F69">
        <w:rPr>
          <w:rFonts w:asciiTheme="majorBidi" w:hAnsiTheme="majorBidi" w:cstheme="majorBidi"/>
          <w:sz w:val="24"/>
          <w:szCs w:val="24"/>
        </w:rPr>
        <w:t>Adopting disruptive innovations to implement numerous low-cost</w:t>
      </w:r>
      <w:r w:rsidRPr="00AA7F69">
        <w:rPr>
          <w:rFonts w:asciiTheme="majorBidi" w:hAnsiTheme="majorBidi" w:cstheme="majorBidi"/>
          <w:b/>
          <w:bCs/>
          <w:sz w:val="24"/>
          <w:szCs w:val="24"/>
        </w:rPr>
        <w:t xml:space="preserve"> PES </w:t>
      </w:r>
      <w:r w:rsidRPr="00AA7F69">
        <w:rPr>
          <w:rFonts w:asciiTheme="majorBidi" w:hAnsiTheme="majorBidi" w:cstheme="majorBidi"/>
          <w:sz w:val="24"/>
          <w:szCs w:val="24"/>
        </w:rPr>
        <w:t>transactions</w:t>
      </w:r>
      <w:r w:rsidRPr="00AA7F69">
        <w:rPr>
          <w:rFonts w:asciiTheme="majorBidi" w:hAnsiTheme="majorBidi" w:cstheme="majorBidi"/>
          <w:b/>
          <w:bCs/>
          <w:sz w:val="24"/>
          <w:szCs w:val="24"/>
        </w:rPr>
        <w:t>,</w:t>
      </w:r>
      <w:r w:rsidRPr="00AA7F69">
        <w:rPr>
          <w:rFonts w:asciiTheme="majorBidi" w:hAnsiTheme="majorBidi" w:cstheme="majorBidi"/>
          <w:sz w:val="24"/>
          <w:szCs w:val="24"/>
        </w:rPr>
        <w:t xml:space="preserve"> such as technologies that enable carbon trading on private agricultural land (mainly measurement reporting verification (MRV) technologies</w:t>
      </w:r>
      <w:r w:rsidRPr="00AA7F69">
        <w:rPr>
          <w:rStyle w:val="FootnoteReference"/>
          <w:rFonts w:asciiTheme="majorBidi" w:hAnsiTheme="majorBidi" w:cstheme="majorBidi"/>
          <w:sz w:val="24"/>
          <w:szCs w:val="24"/>
        </w:rPr>
        <w:footnoteReference w:id="5"/>
      </w:r>
      <w:r w:rsidRPr="00AA7F69">
        <w:rPr>
          <w:rFonts w:asciiTheme="majorBidi" w:hAnsiTheme="majorBidi" w:cstheme="majorBidi"/>
          <w:sz w:val="24"/>
          <w:szCs w:val="24"/>
        </w:rPr>
        <w:t xml:space="preserve"> for monitoring and verifying the amount of carbon sequestered and assessing additional environmental system services).</w:t>
      </w:r>
    </w:p>
    <w:p w14:paraId="58CCD9B3" w14:textId="77777777" w:rsidR="00FF66B0" w:rsidRPr="00AA7F69" w:rsidRDefault="00FF66B0" w:rsidP="00FF66B0">
      <w:pPr>
        <w:rPr>
          <w:rFonts w:asciiTheme="majorBidi" w:hAnsiTheme="majorBidi" w:cstheme="majorBidi"/>
          <w:sz w:val="24"/>
          <w:szCs w:val="24"/>
        </w:rPr>
      </w:pPr>
      <w:r w:rsidRPr="00AA7F69">
        <w:rPr>
          <w:rFonts w:asciiTheme="majorBidi" w:hAnsiTheme="majorBidi" w:cstheme="majorBidi"/>
          <w:sz w:val="24"/>
          <w:szCs w:val="24"/>
        </w:rPr>
        <w:t>Various countries have adopted different PES programs that have provided economic incentives for various services, e.g.:</w:t>
      </w:r>
    </w:p>
    <w:p w14:paraId="45C89772" w14:textId="77777777" w:rsidR="00FF66B0" w:rsidRPr="00AA7F69" w:rsidRDefault="00FF66B0" w:rsidP="00FF66B0">
      <w:pPr>
        <w:pStyle w:val="ListParagraph"/>
        <w:numPr>
          <w:ilvl w:val="0"/>
          <w:numId w:val="4"/>
        </w:numPr>
        <w:rPr>
          <w:rFonts w:asciiTheme="majorBidi" w:hAnsiTheme="majorBidi" w:cstheme="majorBidi"/>
          <w:sz w:val="24"/>
          <w:szCs w:val="24"/>
        </w:rPr>
      </w:pPr>
      <w:r w:rsidRPr="00AA7F69">
        <w:rPr>
          <w:rFonts w:asciiTheme="majorBidi" w:hAnsiTheme="majorBidi" w:cstheme="majorBidi"/>
          <w:sz w:val="24"/>
          <w:szCs w:val="24"/>
        </w:rPr>
        <w:t xml:space="preserve">The Watershed Industrial </w:t>
      </w:r>
      <w:commentRangeStart w:id="1"/>
      <w:r w:rsidRPr="00AA7F69">
        <w:rPr>
          <w:rFonts w:asciiTheme="majorBidi" w:hAnsiTheme="majorBidi" w:cstheme="majorBidi"/>
          <w:sz w:val="24"/>
          <w:szCs w:val="24"/>
        </w:rPr>
        <w:t>Council</w:t>
      </w:r>
      <w:commentRangeEnd w:id="1"/>
      <w:r w:rsidRPr="00AA7F69">
        <w:rPr>
          <w:rStyle w:val="CommentReference"/>
        </w:rPr>
        <w:commentReference w:id="1"/>
      </w:r>
      <w:r w:rsidRPr="00AA7F69">
        <w:rPr>
          <w:rStyle w:val="FootnoteReference"/>
          <w:rFonts w:asciiTheme="majorBidi" w:hAnsiTheme="majorBidi" w:cstheme="majorBidi"/>
          <w:sz w:val="24"/>
          <w:szCs w:val="24"/>
        </w:rPr>
        <w:footnoteReference w:id="6"/>
      </w:r>
      <w:r w:rsidRPr="00AA7F69">
        <w:rPr>
          <w:rFonts w:asciiTheme="majorBidi" w:hAnsiTheme="majorBidi" w:cstheme="majorBidi"/>
          <w:sz w:val="24"/>
          <w:szCs w:val="24"/>
        </w:rPr>
        <w:t xml:space="preserve"> program in New York State works in cooperation with farmers and landowners of forested areas to protect state water sources, preserve open spaces, and strengthen local agriculture and forestry.</w:t>
      </w:r>
    </w:p>
    <w:p w14:paraId="3B66CE13" w14:textId="77777777" w:rsidR="00FF66B0" w:rsidRPr="00AA7F69" w:rsidRDefault="00FF66B0" w:rsidP="00FF66B0">
      <w:pPr>
        <w:pStyle w:val="ListParagraph"/>
        <w:numPr>
          <w:ilvl w:val="0"/>
          <w:numId w:val="4"/>
        </w:numPr>
        <w:rPr>
          <w:rFonts w:asciiTheme="majorBidi" w:hAnsiTheme="majorBidi" w:cstheme="majorBidi"/>
          <w:sz w:val="24"/>
          <w:szCs w:val="24"/>
        </w:rPr>
      </w:pPr>
      <w:r w:rsidRPr="00AA7F69">
        <w:rPr>
          <w:rFonts w:asciiTheme="majorBidi" w:hAnsiTheme="majorBidi" w:cstheme="majorBidi"/>
          <w:sz w:val="24"/>
          <w:szCs w:val="24"/>
        </w:rPr>
        <w:t>Ecuador’s Socio Bosque program</w:t>
      </w:r>
      <w:r w:rsidRPr="00AA7F69">
        <w:rPr>
          <w:rStyle w:val="FootnoteReference"/>
          <w:rFonts w:asciiTheme="majorBidi" w:hAnsiTheme="majorBidi" w:cstheme="majorBidi"/>
          <w:sz w:val="24"/>
          <w:szCs w:val="24"/>
        </w:rPr>
        <w:footnoteReference w:id="7"/>
      </w:r>
      <w:r w:rsidRPr="00AA7F69">
        <w:rPr>
          <w:rFonts w:asciiTheme="majorBidi" w:hAnsiTheme="majorBidi" w:cstheme="majorBidi"/>
          <w:sz w:val="24"/>
          <w:szCs w:val="24"/>
        </w:rPr>
        <w:t xml:space="preserve"> generates economic incentives to preserve forests and prevent soil erosion in Ecuador.</w:t>
      </w:r>
    </w:p>
    <w:p w14:paraId="71FC8AB0" w14:textId="77777777" w:rsidR="00FF66B0" w:rsidRPr="00AA7F69" w:rsidRDefault="00FF66B0" w:rsidP="00FF66B0">
      <w:pPr>
        <w:rPr>
          <w:rFonts w:asciiTheme="majorBidi" w:hAnsiTheme="majorBidi" w:cstheme="majorBidi"/>
          <w:sz w:val="24"/>
          <w:szCs w:val="24"/>
        </w:rPr>
      </w:pPr>
      <w:r w:rsidRPr="00AA7F69">
        <w:rPr>
          <w:rFonts w:asciiTheme="majorBidi" w:hAnsiTheme="majorBidi" w:cstheme="majorBidi"/>
          <w:sz w:val="24"/>
          <w:szCs w:val="24"/>
        </w:rPr>
        <w:t xml:space="preserve">In Israel, a pilot project has been launched to develop agricultural interface tools in the </w:t>
      </w:r>
      <w:proofErr w:type="spellStart"/>
      <w:r w:rsidRPr="00AA7F69">
        <w:rPr>
          <w:rFonts w:asciiTheme="majorBidi" w:hAnsiTheme="majorBidi" w:cstheme="majorBidi"/>
          <w:sz w:val="24"/>
          <w:szCs w:val="24"/>
        </w:rPr>
        <w:t>Tzipori</w:t>
      </w:r>
      <w:proofErr w:type="spellEnd"/>
      <w:r w:rsidRPr="00AA7F69">
        <w:rPr>
          <w:rFonts w:asciiTheme="majorBidi" w:hAnsiTheme="majorBidi" w:cstheme="majorBidi"/>
          <w:sz w:val="24"/>
          <w:szCs w:val="24"/>
        </w:rPr>
        <w:t xml:space="preserve"> river basin. This program is based on the PES principle,</w:t>
      </w:r>
      <w:r w:rsidRPr="00AA7F69">
        <w:rPr>
          <w:rStyle w:val="FootnoteReference"/>
          <w:rFonts w:asciiTheme="majorBidi" w:hAnsiTheme="majorBidi" w:cstheme="majorBidi"/>
          <w:sz w:val="24"/>
          <w:szCs w:val="24"/>
        </w:rPr>
        <w:footnoteReference w:id="8"/>
      </w:r>
      <w:r w:rsidRPr="00AA7F69">
        <w:rPr>
          <w:rFonts w:asciiTheme="majorBidi" w:hAnsiTheme="majorBidi" w:cstheme="majorBidi"/>
          <w:sz w:val="24"/>
          <w:szCs w:val="24"/>
        </w:rPr>
        <w:t xml:space="preserve"> and offers effective tools to improve the interface of agriculture with the natural environment, in particular rivers. As part of the project, funding will be offered to farmers who adopt environmentally-supportive agricultural practices. The project is being implemented in collaboration with the Ministry of Agriculture’s Department of Soil Conservation and Drainage. </w:t>
      </w:r>
      <w:r>
        <w:rPr>
          <w:rFonts w:asciiTheme="majorBidi" w:hAnsiTheme="majorBidi" w:cstheme="majorBidi"/>
          <w:sz w:val="24"/>
          <w:szCs w:val="24"/>
        </w:rPr>
        <w:t>Its documentation sets o</w:t>
      </w:r>
      <w:r w:rsidRPr="00AA7F69">
        <w:rPr>
          <w:rFonts w:asciiTheme="majorBidi" w:hAnsiTheme="majorBidi" w:cstheme="majorBidi"/>
          <w:sz w:val="24"/>
          <w:szCs w:val="24"/>
        </w:rPr>
        <w:t xml:space="preserve">ut a series of 13 </w:t>
      </w:r>
      <w:r>
        <w:rPr>
          <w:rFonts w:asciiTheme="majorBidi" w:hAnsiTheme="majorBidi" w:cstheme="majorBidi"/>
          <w:sz w:val="24"/>
          <w:szCs w:val="24"/>
        </w:rPr>
        <w:t>activities</w:t>
      </w:r>
      <w:r w:rsidRPr="00AA7F69">
        <w:rPr>
          <w:rFonts w:asciiTheme="majorBidi" w:hAnsiTheme="majorBidi" w:cstheme="majorBidi"/>
          <w:sz w:val="24"/>
          <w:szCs w:val="24"/>
        </w:rPr>
        <w:t xml:space="preserve"> that farmers can </w:t>
      </w:r>
      <w:r>
        <w:rPr>
          <w:rFonts w:asciiTheme="majorBidi" w:hAnsiTheme="majorBidi" w:cstheme="majorBidi"/>
          <w:sz w:val="24"/>
          <w:szCs w:val="24"/>
        </w:rPr>
        <w:t>undertake</w:t>
      </w:r>
      <w:r w:rsidRPr="00AA7F69">
        <w:rPr>
          <w:rFonts w:asciiTheme="majorBidi" w:hAnsiTheme="majorBidi" w:cstheme="majorBidi"/>
          <w:sz w:val="24"/>
          <w:szCs w:val="24"/>
        </w:rPr>
        <w:t xml:space="preserve"> to preserve and restore open spaces, with funding from the Drainage Authority.</w:t>
      </w:r>
    </w:p>
    <w:p w14:paraId="00616F56" w14:textId="77777777" w:rsidR="00FF66B0" w:rsidRPr="00AA7F69" w:rsidRDefault="00FF66B0" w:rsidP="00FF66B0">
      <w:pPr>
        <w:rPr>
          <w:rFonts w:asciiTheme="majorBidi" w:hAnsiTheme="majorBidi" w:cstheme="majorBidi"/>
          <w:sz w:val="24"/>
          <w:szCs w:val="24"/>
        </w:rPr>
      </w:pPr>
      <w:r w:rsidRPr="00AA7F69">
        <w:rPr>
          <w:rFonts w:asciiTheme="majorBidi" w:hAnsiTheme="majorBidi" w:cstheme="majorBidi"/>
          <w:sz w:val="24"/>
          <w:szCs w:val="24"/>
        </w:rPr>
        <w:t xml:space="preserve">It should be noted that payments are provided solely for the improvement of ecosystem services (environmental and social benefits), </w:t>
      </w:r>
      <w:r>
        <w:rPr>
          <w:rFonts w:asciiTheme="majorBidi" w:hAnsiTheme="majorBidi" w:cstheme="majorBidi"/>
          <w:sz w:val="24"/>
          <w:szCs w:val="24"/>
        </w:rPr>
        <w:t xml:space="preserve">and not for </w:t>
      </w:r>
      <w:r w:rsidRPr="00AA7F69">
        <w:rPr>
          <w:rFonts w:asciiTheme="majorBidi" w:hAnsiTheme="majorBidi" w:cstheme="majorBidi"/>
          <w:sz w:val="24"/>
          <w:szCs w:val="24"/>
        </w:rPr>
        <w:t xml:space="preserve">compliance with regulations. The </w:t>
      </w:r>
      <w:r w:rsidRPr="00AA7F69">
        <w:rPr>
          <w:rFonts w:asciiTheme="majorBidi" w:hAnsiTheme="majorBidi" w:cstheme="majorBidi"/>
          <w:sz w:val="24"/>
          <w:szCs w:val="24"/>
        </w:rPr>
        <w:lastRenderedPageBreak/>
        <w:t xml:space="preserve">starting point for the </w:t>
      </w:r>
      <w:r>
        <w:rPr>
          <w:rFonts w:asciiTheme="majorBidi" w:hAnsiTheme="majorBidi" w:cstheme="majorBidi"/>
          <w:sz w:val="24"/>
          <w:szCs w:val="24"/>
        </w:rPr>
        <w:t xml:space="preserve">program </w:t>
      </w:r>
      <w:r w:rsidRPr="00AA7F69">
        <w:rPr>
          <w:rFonts w:asciiTheme="majorBidi" w:hAnsiTheme="majorBidi" w:cstheme="majorBidi"/>
          <w:sz w:val="24"/>
          <w:szCs w:val="24"/>
        </w:rPr>
        <w:t>is that the cost</w:t>
      </w:r>
      <w:r>
        <w:rPr>
          <w:rFonts w:asciiTheme="majorBidi" w:hAnsiTheme="majorBidi" w:cstheme="majorBidi"/>
          <w:sz w:val="24"/>
          <w:szCs w:val="24"/>
        </w:rPr>
        <w:t xml:space="preserve"> of restoring </w:t>
      </w:r>
      <w:r w:rsidRPr="00AA7F69">
        <w:rPr>
          <w:rFonts w:asciiTheme="majorBidi" w:hAnsiTheme="majorBidi" w:cstheme="majorBidi"/>
          <w:sz w:val="24"/>
          <w:szCs w:val="24"/>
        </w:rPr>
        <w:t xml:space="preserve">one kilometer of river </w:t>
      </w:r>
      <w:r>
        <w:rPr>
          <w:rFonts w:asciiTheme="majorBidi" w:hAnsiTheme="majorBidi" w:cstheme="majorBidi"/>
          <w:sz w:val="24"/>
          <w:szCs w:val="24"/>
        </w:rPr>
        <w:t>is</w:t>
      </w:r>
      <w:r w:rsidRPr="00AA7F69">
        <w:rPr>
          <w:rFonts w:asciiTheme="majorBidi" w:hAnsiTheme="majorBidi" w:cstheme="majorBidi"/>
          <w:sz w:val="24"/>
          <w:szCs w:val="24"/>
        </w:rPr>
        <w:t xml:space="preserve"> around one million NIS. Th</w:t>
      </w:r>
      <w:r>
        <w:rPr>
          <w:rFonts w:asciiTheme="majorBidi" w:hAnsiTheme="majorBidi" w:cstheme="majorBidi"/>
          <w:sz w:val="24"/>
          <w:szCs w:val="24"/>
        </w:rPr>
        <w:t>e</w:t>
      </w:r>
      <w:r w:rsidRPr="00AA7F69">
        <w:rPr>
          <w:rFonts w:asciiTheme="majorBidi" w:hAnsiTheme="majorBidi" w:cstheme="majorBidi"/>
          <w:sz w:val="24"/>
          <w:szCs w:val="24"/>
        </w:rPr>
        <w:t xml:space="preserve"> program </w:t>
      </w:r>
      <w:r>
        <w:rPr>
          <w:rFonts w:asciiTheme="majorBidi" w:hAnsiTheme="majorBidi" w:cstheme="majorBidi"/>
          <w:sz w:val="24"/>
          <w:szCs w:val="24"/>
        </w:rPr>
        <w:t>aims</w:t>
      </w:r>
      <w:r w:rsidRPr="00AA7F69">
        <w:rPr>
          <w:rFonts w:asciiTheme="majorBidi" w:hAnsiTheme="majorBidi" w:cstheme="majorBidi"/>
          <w:sz w:val="24"/>
          <w:szCs w:val="24"/>
        </w:rPr>
        <w:t xml:space="preserve"> to offer alternative tools for restoring significant </w:t>
      </w:r>
      <w:r>
        <w:rPr>
          <w:rFonts w:asciiTheme="majorBidi" w:hAnsiTheme="majorBidi" w:cstheme="majorBidi"/>
          <w:sz w:val="24"/>
          <w:szCs w:val="24"/>
        </w:rPr>
        <w:t>areas of land</w:t>
      </w:r>
      <w:r w:rsidRPr="00AA7F69">
        <w:rPr>
          <w:rFonts w:asciiTheme="majorBidi" w:hAnsiTheme="majorBidi" w:cstheme="majorBidi"/>
          <w:sz w:val="24"/>
          <w:szCs w:val="24"/>
        </w:rPr>
        <w:t xml:space="preserve"> that interface with agricultural land.</w:t>
      </w:r>
    </w:p>
    <w:p w14:paraId="34F8F136" w14:textId="77777777" w:rsidR="00FF66B0" w:rsidRPr="00AA7F69" w:rsidRDefault="00FF66B0" w:rsidP="00FF66B0">
      <w:pPr>
        <w:rPr>
          <w:rFonts w:asciiTheme="majorBidi" w:hAnsiTheme="majorBidi" w:cstheme="majorBidi"/>
          <w:sz w:val="24"/>
          <w:szCs w:val="24"/>
        </w:rPr>
      </w:pPr>
      <w:r w:rsidRPr="00AA7F69">
        <w:rPr>
          <w:rFonts w:asciiTheme="majorBidi" w:hAnsiTheme="majorBidi" w:cstheme="majorBidi"/>
          <w:sz w:val="24"/>
          <w:szCs w:val="24"/>
        </w:rPr>
        <w:t xml:space="preserve">The proposed payments were calculated to create a “win-win” outcome for both the farmers and the river. Farmers would benefit, and open spaces along the river would be restored at </w:t>
      </w:r>
      <w:r>
        <w:rPr>
          <w:rFonts w:asciiTheme="majorBidi" w:hAnsiTheme="majorBidi" w:cstheme="majorBidi"/>
          <w:sz w:val="24"/>
          <w:szCs w:val="24"/>
        </w:rPr>
        <w:t xml:space="preserve">a </w:t>
      </w:r>
      <w:r w:rsidRPr="00AA7F69">
        <w:rPr>
          <w:rFonts w:asciiTheme="majorBidi" w:hAnsiTheme="majorBidi" w:cstheme="majorBidi"/>
          <w:sz w:val="24"/>
          <w:szCs w:val="24"/>
        </w:rPr>
        <w:t>lower cost</w:t>
      </w:r>
      <w:r>
        <w:rPr>
          <w:rFonts w:asciiTheme="majorBidi" w:hAnsiTheme="majorBidi" w:cstheme="majorBidi"/>
          <w:sz w:val="24"/>
          <w:szCs w:val="24"/>
        </w:rPr>
        <w:t xml:space="preserve"> when compared </w:t>
      </w:r>
      <w:r w:rsidRPr="00AA7F69">
        <w:rPr>
          <w:rFonts w:asciiTheme="majorBidi" w:hAnsiTheme="majorBidi" w:cstheme="majorBidi"/>
          <w:sz w:val="24"/>
          <w:szCs w:val="24"/>
        </w:rPr>
        <w:t xml:space="preserve">to </w:t>
      </w:r>
      <w:r>
        <w:rPr>
          <w:rFonts w:asciiTheme="majorBidi" w:hAnsiTheme="majorBidi" w:cstheme="majorBidi"/>
          <w:sz w:val="24"/>
          <w:szCs w:val="24"/>
        </w:rPr>
        <w:t>government</w:t>
      </w:r>
      <w:r w:rsidRPr="00AA7F69">
        <w:rPr>
          <w:rFonts w:asciiTheme="majorBidi" w:hAnsiTheme="majorBidi" w:cstheme="majorBidi"/>
          <w:sz w:val="24"/>
          <w:szCs w:val="24"/>
        </w:rPr>
        <w:t>-run projects</w:t>
      </w:r>
      <w:r>
        <w:rPr>
          <w:rFonts w:asciiTheme="majorBidi" w:hAnsiTheme="majorBidi" w:cstheme="majorBidi"/>
          <w:sz w:val="24"/>
          <w:szCs w:val="24"/>
        </w:rPr>
        <w:t>,</w:t>
      </w:r>
      <w:r w:rsidRPr="00AA7F69">
        <w:rPr>
          <w:rFonts w:asciiTheme="majorBidi" w:hAnsiTheme="majorBidi" w:cstheme="majorBidi"/>
          <w:sz w:val="24"/>
          <w:szCs w:val="24"/>
        </w:rPr>
        <w:t xml:space="preserve"> and </w:t>
      </w:r>
      <w:r>
        <w:rPr>
          <w:rFonts w:asciiTheme="majorBidi" w:hAnsiTheme="majorBidi" w:cstheme="majorBidi"/>
          <w:sz w:val="24"/>
          <w:szCs w:val="24"/>
        </w:rPr>
        <w:t>to the</w:t>
      </w:r>
      <w:r w:rsidRPr="00AA7F69">
        <w:rPr>
          <w:rFonts w:asciiTheme="majorBidi" w:hAnsiTheme="majorBidi" w:cstheme="majorBidi"/>
          <w:sz w:val="24"/>
          <w:szCs w:val="24"/>
        </w:rPr>
        <w:t xml:space="preserve"> cost</w:t>
      </w:r>
      <w:r>
        <w:rPr>
          <w:rFonts w:asciiTheme="majorBidi" w:hAnsiTheme="majorBidi" w:cstheme="majorBidi"/>
          <w:sz w:val="24"/>
          <w:szCs w:val="24"/>
        </w:rPr>
        <w:t xml:space="preserve"> </w:t>
      </w:r>
      <w:r w:rsidRPr="00AA7F69">
        <w:rPr>
          <w:rFonts w:asciiTheme="majorBidi" w:hAnsiTheme="majorBidi" w:cstheme="majorBidi"/>
          <w:sz w:val="24"/>
          <w:szCs w:val="24"/>
        </w:rPr>
        <w:t xml:space="preserve">of </w:t>
      </w:r>
      <w:r>
        <w:rPr>
          <w:rFonts w:asciiTheme="majorBidi" w:hAnsiTheme="majorBidi" w:cstheme="majorBidi"/>
          <w:sz w:val="24"/>
          <w:szCs w:val="24"/>
        </w:rPr>
        <w:t>work carried out retroactively</w:t>
      </w:r>
      <w:r w:rsidRPr="00AA7F69">
        <w:rPr>
          <w:rFonts w:asciiTheme="majorBidi" w:hAnsiTheme="majorBidi" w:cstheme="majorBidi"/>
          <w:sz w:val="24"/>
          <w:szCs w:val="24"/>
        </w:rPr>
        <w:t xml:space="preserve"> </w:t>
      </w:r>
      <w:r>
        <w:rPr>
          <w:rFonts w:asciiTheme="majorBidi" w:hAnsiTheme="majorBidi" w:cstheme="majorBidi"/>
          <w:sz w:val="24"/>
          <w:szCs w:val="24"/>
        </w:rPr>
        <w:t>to repair the damage</w:t>
      </w:r>
      <w:r w:rsidRPr="00AA7F69">
        <w:rPr>
          <w:rFonts w:asciiTheme="majorBidi" w:hAnsiTheme="majorBidi" w:cstheme="majorBidi"/>
          <w:sz w:val="24"/>
          <w:szCs w:val="24"/>
        </w:rPr>
        <w:t xml:space="preserve"> that would be caused if the project was not implemente</w:t>
      </w:r>
      <w:r>
        <w:rPr>
          <w:rFonts w:asciiTheme="majorBidi" w:hAnsiTheme="majorBidi" w:cstheme="majorBidi"/>
          <w:sz w:val="24"/>
          <w:szCs w:val="24"/>
        </w:rPr>
        <w:t>d. This is based on the assumption that it will be possible to make</w:t>
      </w:r>
      <w:r w:rsidRPr="00AA7F69">
        <w:rPr>
          <w:rFonts w:asciiTheme="majorBidi" w:hAnsiTheme="majorBidi" w:cstheme="majorBidi"/>
          <w:sz w:val="24"/>
          <w:szCs w:val="24"/>
        </w:rPr>
        <w:t xml:space="preserve"> accurate calculations </w:t>
      </w:r>
      <w:r>
        <w:rPr>
          <w:rFonts w:asciiTheme="majorBidi" w:hAnsiTheme="majorBidi" w:cstheme="majorBidi"/>
          <w:sz w:val="24"/>
          <w:szCs w:val="24"/>
        </w:rPr>
        <w:t>after</w:t>
      </w:r>
      <w:r w:rsidRPr="00AA7F69">
        <w:rPr>
          <w:rFonts w:asciiTheme="majorBidi" w:hAnsiTheme="majorBidi" w:cstheme="majorBidi"/>
          <w:sz w:val="24"/>
          <w:szCs w:val="24"/>
        </w:rPr>
        <w:t xml:space="preserve"> the</w:t>
      </w:r>
      <w:r>
        <w:rPr>
          <w:rFonts w:asciiTheme="majorBidi" w:hAnsiTheme="majorBidi" w:cstheme="majorBidi"/>
          <w:sz w:val="24"/>
          <w:szCs w:val="24"/>
        </w:rPr>
        <w:t xml:space="preserve"> completion of the</w:t>
      </w:r>
      <w:r w:rsidRPr="00AA7F69">
        <w:rPr>
          <w:rFonts w:asciiTheme="majorBidi" w:hAnsiTheme="majorBidi" w:cstheme="majorBidi"/>
          <w:sz w:val="24"/>
          <w:szCs w:val="24"/>
        </w:rPr>
        <w:t xml:space="preserve"> pilot.</w:t>
      </w:r>
    </w:p>
    <w:p w14:paraId="4D4A7C95" w14:textId="77777777" w:rsidR="00FF66B0" w:rsidRPr="00AA7F69" w:rsidRDefault="00FF66B0" w:rsidP="00FF66B0">
      <w:pPr>
        <w:rPr>
          <w:rFonts w:asciiTheme="majorBidi" w:hAnsiTheme="majorBidi" w:cstheme="majorBidi"/>
          <w:sz w:val="24"/>
          <w:szCs w:val="24"/>
        </w:rPr>
      </w:pPr>
      <w:r w:rsidRPr="00AA7F69">
        <w:rPr>
          <w:rFonts w:asciiTheme="majorBidi" w:hAnsiTheme="majorBidi" w:cstheme="majorBidi"/>
          <w:sz w:val="24"/>
          <w:szCs w:val="24"/>
        </w:rPr>
        <w:t xml:space="preserve">Below is a detailed list of the main activities and their costs </w:t>
      </w:r>
      <w:r>
        <w:rPr>
          <w:rFonts w:asciiTheme="majorBidi" w:hAnsiTheme="majorBidi" w:cstheme="majorBidi"/>
          <w:sz w:val="24"/>
          <w:szCs w:val="24"/>
        </w:rPr>
        <w:t>included in</w:t>
      </w:r>
      <w:r w:rsidRPr="00AA7F69">
        <w:rPr>
          <w:rFonts w:asciiTheme="majorBidi" w:hAnsiTheme="majorBidi" w:cstheme="majorBidi"/>
          <w:sz w:val="24"/>
          <w:szCs w:val="24"/>
        </w:rPr>
        <w:t xml:space="preserve"> the pilot project to develop agricultural interface tools in the </w:t>
      </w:r>
      <w:proofErr w:type="spellStart"/>
      <w:r w:rsidRPr="00AA7F69">
        <w:rPr>
          <w:rFonts w:asciiTheme="majorBidi" w:hAnsiTheme="majorBidi" w:cstheme="majorBidi"/>
          <w:sz w:val="24"/>
          <w:szCs w:val="24"/>
        </w:rPr>
        <w:t>Tzipori</w:t>
      </w:r>
      <w:proofErr w:type="spellEnd"/>
      <w:r w:rsidRPr="00AA7F69">
        <w:rPr>
          <w:rFonts w:asciiTheme="majorBidi" w:hAnsiTheme="majorBidi" w:cstheme="majorBidi"/>
          <w:sz w:val="24"/>
          <w:szCs w:val="24"/>
        </w:rPr>
        <w:t xml:space="preserve"> river basin:</w:t>
      </w:r>
    </w:p>
    <w:p w14:paraId="3D9A51CC" w14:textId="77777777" w:rsidR="00FF66B0" w:rsidRPr="00AA7F69" w:rsidRDefault="00FF66B0" w:rsidP="00FF66B0">
      <w:pPr>
        <w:rPr>
          <w:rFonts w:asciiTheme="majorBidi" w:hAnsiTheme="majorBidi" w:cstheme="majorBidi"/>
          <w:b/>
          <w:bCs/>
          <w:sz w:val="24"/>
          <w:szCs w:val="24"/>
        </w:rPr>
      </w:pPr>
      <w:r w:rsidRPr="00AA7F69">
        <w:rPr>
          <w:rFonts w:asciiTheme="majorBidi" w:hAnsiTheme="majorBidi" w:cstheme="majorBidi"/>
          <w:b/>
          <w:bCs/>
          <w:sz w:val="24"/>
          <w:szCs w:val="24"/>
        </w:rPr>
        <w:t xml:space="preserve">Table 1: Activities funded as part of the pilot project to develop agricultural interface tools in the </w:t>
      </w:r>
      <w:proofErr w:type="spellStart"/>
      <w:r w:rsidRPr="00AA7F69">
        <w:rPr>
          <w:rFonts w:asciiTheme="majorBidi" w:hAnsiTheme="majorBidi" w:cstheme="majorBidi"/>
          <w:b/>
          <w:bCs/>
          <w:sz w:val="24"/>
          <w:szCs w:val="24"/>
        </w:rPr>
        <w:t>Tzipori</w:t>
      </w:r>
      <w:proofErr w:type="spellEnd"/>
      <w:r w:rsidRPr="00AA7F69">
        <w:rPr>
          <w:rFonts w:asciiTheme="majorBidi" w:hAnsiTheme="majorBidi" w:cstheme="majorBidi"/>
          <w:b/>
          <w:bCs/>
          <w:sz w:val="24"/>
          <w:szCs w:val="24"/>
        </w:rPr>
        <w:t xml:space="preserve"> river basin</w:t>
      </w:r>
    </w:p>
    <w:tbl>
      <w:tblPr>
        <w:tblStyle w:val="TableGrid"/>
        <w:tblW w:w="0" w:type="auto"/>
        <w:tblLook w:val="04A0" w:firstRow="1" w:lastRow="0" w:firstColumn="1" w:lastColumn="0" w:noHBand="0" w:noVBand="1"/>
      </w:tblPr>
      <w:tblGrid>
        <w:gridCol w:w="2263"/>
        <w:gridCol w:w="4820"/>
        <w:gridCol w:w="1933"/>
      </w:tblGrid>
      <w:tr w:rsidR="00FF66B0" w:rsidRPr="00AA7F69" w14:paraId="209AE295" w14:textId="77777777" w:rsidTr="00C526BF">
        <w:tc>
          <w:tcPr>
            <w:tcW w:w="2263" w:type="dxa"/>
            <w:shd w:val="clear" w:color="auto" w:fill="4472C4" w:themeFill="accent1"/>
          </w:tcPr>
          <w:p w14:paraId="6440C7A3" w14:textId="77777777" w:rsidR="00FF66B0" w:rsidRPr="00AA7F69" w:rsidRDefault="00FF66B0" w:rsidP="00C526BF">
            <w:pPr>
              <w:jc w:val="center"/>
              <w:rPr>
                <w:rFonts w:asciiTheme="majorBidi" w:hAnsiTheme="majorBidi" w:cstheme="majorBidi"/>
                <w:b/>
                <w:bCs/>
                <w:sz w:val="24"/>
                <w:szCs w:val="24"/>
              </w:rPr>
            </w:pPr>
            <w:r w:rsidRPr="00AA7F69">
              <w:rPr>
                <w:rFonts w:asciiTheme="majorBidi" w:hAnsiTheme="majorBidi" w:cstheme="majorBidi"/>
                <w:b/>
                <w:bCs/>
                <w:sz w:val="24"/>
                <w:szCs w:val="24"/>
              </w:rPr>
              <w:t>Activity</w:t>
            </w:r>
          </w:p>
        </w:tc>
        <w:tc>
          <w:tcPr>
            <w:tcW w:w="4820" w:type="dxa"/>
            <w:shd w:val="clear" w:color="auto" w:fill="4472C4" w:themeFill="accent1"/>
          </w:tcPr>
          <w:p w14:paraId="2437B1D3" w14:textId="77777777" w:rsidR="00FF66B0" w:rsidRPr="00AA7F69" w:rsidRDefault="00FF66B0" w:rsidP="00C526BF">
            <w:pPr>
              <w:jc w:val="center"/>
              <w:rPr>
                <w:rFonts w:asciiTheme="majorBidi" w:hAnsiTheme="majorBidi" w:cstheme="majorBidi"/>
                <w:b/>
                <w:bCs/>
                <w:sz w:val="24"/>
                <w:szCs w:val="24"/>
              </w:rPr>
            </w:pPr>
            <w:r w:rsidRPr="00AA7F69">
              <w:rPr>
                <w:rFonts w:asciiTheme="majorBidi" w:hAnsiTheme="majorBidi" w:cstheme="majorBidi"/>
                <w:b/>
                <w:bCs/>
                <w:sz w:val="24"/>
                <w:szCs w:val="24"/>
              </w:rPr>
              <w:t xml:space="preserve">Explanation: </w:t>
            </w:r>
          </w:p>
          <w:p w14:paraId="07ADBDED" w14:textId="77777777" w:rsidR="00FF66B0" w:rsidRPr="00AA7F69" w:rsidRDefault="00FF66B0" w:rsidP="00C526BF">
            <w:pPr>
              <w:jc w:val="center"/>
              <w:rPr>
                <w:rFonts w:asciiTheme="majorBidi" w:hAnsiTheme="majorBidi" w:cstheme="majorBidi"/>
                <w:b/>
                <w:bCs/>
                <w:sz w:val="24"/>
                <w:szCs w:val="24"/>
              </w:rPr>
            </w:pPr>
            <w:r w:rsidRPr="00AA7F69">
              <w:rPr>
                <w:rFonts w:asciiTheme="majorBidi" w:hAnsiTheme="majorBidi" w:cstheme="majorBidi"/>
                <w:b/>
                <w:bCs/>
                <w:sz w:val="24"/>
                <w:szCs w:val="24"/>
              </w:rPr>
              <w:t>Type of relevant area</w:t>
            </w:r>
          </w:p>
          <w:p w14:paraId="2F5BF182" w14:textId="77777777" w:rsidR="00FF66B0" w:rsidRPr="00AA7F69" w:rsidRDefault="00FF66B0" w:rsidP="00C526BF">
            <w:pPr>
              <w:jc w:val="center"/>
              <w:rPr>
                <w:rFonts w:asciiTheme="majorBidi" w:hAnsiTheme="majorBidi" w:cstheme="majorBidi"/>
                <w:b/>
                <w:bCs/>
                <w:sz w:val="24"/>
                <w:szCs w:val="24"/>
              </w:rPr>
            </w:pPr>
          </w:p>
        </w:tc>
        <w:tc>
          <w:tcPr>
            <w:tcW w:w="1933" w:type="dxa"/>
            <w:shd w:val="clear" w:color="auto" w:fill="4472C4" w:themeFill="accent1"/>
          </w:tcPr>
          <w:p w14:paraId="754CDBD8" w14:textId="77777777" w:rsidR="00FF66B0" w:rsidRPr="00AA7F69" w:rsidRDefault="00FF66B0" w:rsidP="00C526BF">
            <w:pPr>
              <w:jc w:val="center"/>
              <w:rPr>
                <w:rFonts w:asciiTheme="majorBidi" w:hAnsiTheme="majorBidi" w:cstheme="majorBidi"/>
                <w:b/>
                <w:bCs/>
                <w:sz w:val="24"/>
                <w:szCs w:val="24"/>
              </w:rPr>
            </w:pPr>
            <w:r w:rsidRPr="00AA7F69">
              <w:rPr>
                <w:rFonts w:asciiTheme="majorBidi" w:hAnsiTheme="majorBidi" w:cstheme="majorBidi"/>
                <w:b/>
                <w:bCs/>
                <w:sz w:val="24"/>
                <w:szCs w:val="24"/>
              </w:rPr>
              <w:t>Cost (per year)</w:t>
            </w:r>
          </w:p>
        </w:tc>
      </w:tr>
      <w:tr w:rsidR="00FF66B0" w:rsidRPr="00AA7F69" w14:paraId="124B4A64" w14:textId="77777777" w:rsidTr="00C526BF">
        <w:tc>
          <w:tcPr>
            <w:tcW w:w="2263" w:type="dxa"/>
          </w:tcPr>
          <w:p w14:paraId="70F3445E" w14:textId="77777777" w:rsidR="00FF66B0" w:rsidRPr="00AA7F69" w:rsidRDefault="00FF66B0" w:rsidP="00C526BF">
            <w:pPr>
              <w:rPr>
                <w:rFonts w:asciiTheme="majorBidi" w:hAnsiTheme="majorBidi" w:cstheme="majorBidi"/>
                <w:sz w:val="24"/>
                <w:szCs w:val="24"/>
              </w:rPr>
            </w:pPr>
            <w:r w:rsidRPr="00AA7F69">
              <w:rPr>
                <w:rFonts w:asciiTheme="majorBidi" w:hAnsiTheme="majorBidi" w:cstheme="majorBidi"/>
                <w:sz w:val="24"/>
                <w:szCs w:val="24"/>
              </w:rPr>
              <w:t xml:space="preserve">Creating a buffer strip along the side of the stream </w:t>
            </w:r>
          </w:p>
        </w:tc>
        <w:tc>
          <w:tcPr>
            <w:tcW w:w="4820" w:type="dxa"/>
          </w:tcPr>
          <w:p w14:paraId="3F92CCF9" w14:textId="77777777" w:rsidR="00FF66B0" w:rsidRPr="00AA7F69" w:rsidRDefault="00FF66B0" w:rsidP="00C526BF">
            <w:pPr>
              <w:rPr>
                <w:rFonts w:asciiTheme="majorBidi" w:hAnsiTheme="majorBidi" w:cstheme="majorBidi"/>
                <w:sz w:val="24"/>
                <w:szCs w:val="24"/>
              </w:rPr>
            </w:pPr>
            <w:r w:rsidRPr="00AA7F69">
              <w:rPr>
                <w:rFonts w:asciiTheme="majorBidi" w:hAnsiTheme="majorBidi" w:cstheme="majorBidi"/>
                <w:sz w:val="24"/>
                <w:szCs w:val="24"/>
              </w:rPr>
              <w:t>On the margins of cultivated fields, between productive areas of the field and a natural habitat or conservation site. These can also be used alongside access roads that direct runoff directly into a body of water, or along fencing lines that create connectivity between natural habitats.</w:t>
            </w:r>
          </w:p>
          <w:p w14:paraId="7DCE4BFD" w14:textId="77777777" w:rsidR="00FF66B0" w:rsidRPr="00AA7F69" w:rsidRDefault="00FF66B0" w:rsidP="00C526BF">
            <w:pPr>
              <w:rPr>
                <w:rFonts w:asciiTheme="majorBidi" w:hAnsiTheme="majorBidi" w:cstheme="majorBidi"/>
                <w:sz w:val="24"/>
                <w:szCs w:val="24"/>
              </w:rPr>
            </w:pPr>
          </w:p>
        </w:tc>
        <w:tc>
          <w:tcPr>
            <w:tcW w:w="1933" w:type="dxa"/>
          </w:tcPr>
          <w:p w14:paraId="6E461973" w14:textId="77777777" w:rsidR="00FF66B0" w:rsidRPr="00AA7F69" w:rsidRDefault="00FF66B0" w:rsidP="00C526BF">
            <w:pPr>
              <w:rPr>
                <w:rFonts w:asciiTheme="majorBidi" w:hAnsiTheme="majorBidi" w:cstheme="majorBidi"/>
                <w:sz w:val="24"/>
                <w:szCs w:val="24"/>
              </w:rPr>
            </w:pPr>
            <w:r w:rsidRPr="00AA7F69">
              <w:rPr>
                <w:rFonts w:asciiTheme="majorBidi" w:hAnsiTheme="majorBidi" w:cstheme="majorBidi"/>
                <w:sz w:val="24"/>
                <w:szCs w:val="24"/>
              </w:rPr>
              <w:t>450 NIS per dunam</w:t>
            </w:r>
          </w:p>
        </w:tc>
      </w:tr>
      <w:tr w:rsidR="00FF66B0" w:rsidRPr="00AA7F69" w14:paraId="622EECC2" w14:textId="77777777" w:rsidTr="00C526BF">
        <w:tc>
          <w:tcPr>
            <w:tcW w:w="2263" w:type="dxa"/>
          </w:tcPr>
          <w:p w14:paraId="6D718A4F" w14:textId="77777777" w:rsidR="00FF66B0" w:rsidRPr="00AA7F69" w:rsidRDefault="00FF66B0" w:rsidP="00C526BF">
            <w:pPr>
              <w:rPr>
                <w:rFonts w:asciiTheme="majorBidi" w:hAnsiTheme="majorBidi" w:cstheme="majorBidi"/>
                <w:sz w:val="24"/>
                <w:szCs w:val="24"/>
              </w:rPr>
            </w:pPr>
            <w:r w:rsidRPr="00AA7F69">
              <w:rPr>
                <w:rFonts w:asciiTheme="majorBidi" w:hAnsiTheme="majorBidi" w:cstheme="majorBidi"/>
                <w:sz w:val="24"/>
                <w:szCs w:val="24"/>
              </w:rPr>
              <w:t>Riverbank management</w:t>
            </w:r>
          </w:p>
          <w:p w14:paraId="37D3EA71" w14:textId="77777777" w:rsidR="00FF66B0" w:rsidRPr="00AA7F69" w:rsidRDefault="00FF66B0" w:rsidP="00C526BF">
            <w:pPr>
              <w:rPr>
                <w:rFonts w:asciiTheme="majorBidi" w:hAnsiTheme="majorBidi" w:cstheme="majorBidi"/>
                <w:sz w:val="24"/>
                <w:szCs w:val="24"/>
              </w:rPr>
            </w:pPr>
          </w:p>
        </w:tc>
        <w:tc>
          <w:tcPr>
            <w:tcW w:w="4820" w:type="dxa"/>
          </w:tcPr>
          <w:p w14:paraId="57D5C0B3" w14:textId="77777777" w:rsidR="00FF66B0" w:rsidRPr="00AA7F69" w:rsidRDefault="00FF66B0" w:rsidP="00C526BF">
            <w:pPr>
              <w:rPr>
                <w:rFonts w:asciiTheme="majorBidi" w:hAnsiTheme="majorBidi" w:cstheme="majorBidi"/>
                <w:sz w:val="24"/>
                <w:szCs w:val="24"/>
              </w:rPr>
            </w:pPr>
            <w:r w:rsidRPr="00AA7F69">
              <w:rPr>
                <w:rFonts w:asciiTheme="majorBidi" w:hAnsiTheme="majorBidi" w:cstheme="majorBidi"/>
                <w:sz w:val="24"/>
                <w:szCs w:val="24"/>
              </w:rPr>
              <w:t>Intended for use in plots adjacent to streams and drainage channels.</w:t>
            </w:r>
          </w:p>
        </w:tc>
        <w:tc>
          <w:tcPr>
            <w:tcW w:w="1933" w:type="dxa"/>
          </w:tcPr>
          <w:p w14:paraId="3E4E7017" w14:textId="77777777" w:rsidR="00FF66B0" w:rsidRPr="00AA7F69" w:rsidRDefault="00FF66B0" w:rsidP="00C526BF">
            <w:pPr>
              <w:rPr>
                <w:rFonts w:asciiTheme="majorBidi" w:hAnsiTheme="majorBidi" w:cstheme="majorBidi"/>
                <w:sz w:val="24"/>
                <w:szCs w:val="24"/>
              </w:rPr>
            </w:pPr>
            <w:r w:rsidRPr="00AA7F69">
              <w:rPr>
                <w:rFonts w:asciiTheme="majorBidi" w:hAnsiTheme="majorBidi" w:cstheme="majorBidi"/>
                <w:sz w:val="24"/>
                <w:szCs w:val="24"/>
              </w:rPr>
              <w:t>250 NIS per applied dunam</w:t>
            </w:r>
          </w:p>
        </w:tc>
      </w:tr>
      <w:tr w:rsidR="00FF66B0" w:rsidRPr="00AA7F69" w14:paraId="29FB0382" w14:textId="77777777" w:rsidTr="00C526BF">
        <w:tc>
          <w:tcPr>
            <w:tcW w:w="2263" w:type="dxa"/>
          </w:tcPr>
          <w:p w14:paraId="3D3DB67A" w14:textId="77777777" w:rsidR="00FF66B0" w:rsidRPr="00AA7F69" w:rsidRDefault="00FF66B0" w:rsidP="00C526BF">
            <w:pPr>
              <w:rPr>
                <w:rFonts w:asciiTheme="majorBidi" w:hAnsiTheme="majorBidi" w:cstheme="majorBidi"/>
                <w:sz w:val="24"/>
                <w:szCs w:val="24"/>
              </w:rPr>
            </w:pPr>
            <w:r w:rsidRPr="00AA7F69">
              <w:rPr>
                <w:rFonts w:asciiTheme="majorBidi" w:hAnsiTheme="majorBidi" w:cstheme="majorBidi"/>
                <w:sz w:val="24"/>
                <w:szCs w:val="24"/>
              </w:rPr>
              <w:t>Invasive species management</w:t>
            </w:r>
          </w:p>
        </w:tc>
        <w:tc>
          <w:tcPr>
            <w:tcW w:w="4820" w:type="dxa"/>
          </w:tcPr>
          <w:p w14:paraId="038E44A9" w14:textId="77777777" w:rsidR="00FF66B0" w:rsidRPr="00AA7F69" w:rsidRDefault="00FF66B0" w:rsidP="00C526BF">
            <w:pPr>
              <w:rPr>
                <w:rFonts w:asciiTheme="majorBidi" w:hAnsiTheme="majorBidi" w:cstheme="majorBidi"/>
                <w:sz w:val="24"/>
                <w:szCs w:val="24"/>
              </w:rPr>
            </w:pPr>
            <w:r w:rsidRPr="00AA7F69">
              <w:rPr>
                <w:rFonts w:asciiTheme="majorBidi" w:hAnsiTheme="majorBidi" w:cstheme="majorBidi"/>
                <w:sz w:val="24"/>
                <w:szCs w:val="24"/>
              </w:rPr>
              <w:t>Intended for use in plots adjacent to streams and drainage channels.</w:t>
            </w:r>
          </w:p>
        </w:tc>
        <w:tc>
          <w:tcPr>
            <w:tcW w:w="1933" w:type="dxa"/>
          </w:tcPr>
          <w:p w14:paraId="03ECAED0" w14:textId="77777777" w:rsidR="00FF66B0" w:rsidRPr="00AA7F69" w:rsidRDefault="00FF66B0" w:rsidP="00C526BF">
            <w:pPr>
              <w:rPr>
                <w:rFonts w:asciiTheme="majorBidi" w:hAnsiTheme="majorBidi" w:cstheme="majorBidi"/>
                <w:sz w:val="24"/>
                <w:szCs w:val="24"/>
              </w:rPr>
            </w:pPr>
            <w:r w:rsidRPr="00AA7F69">
              <w:rPr>
                <w:rFonts w:asciiTheme="majorBidi" w:hAnsiTheme="majorBidi" w:cstheme="majorBidi"/>
                <w:sz w:val="24"/>
                <w:szCs w:val="24"/>
              </w:rPr>
              <w:t>400 NIS per managed dunam</w:t>
            </w:r>
          </w:p>
        </w:tc>
      </w:tr>
      <w:tr w:rsidR="00FF66B0" w:rsidRPr="00AA7F69" w14:paraId="7302A584" w14:textId="77777777" w:rsidTr="00C526BF">
        <w:tc>
          <w:tcPr>
            <w:tcW w:w="2263" w:type="dxa"/>
          </w:tcPr>
          <w:p w14:paraId="1DC25092" w14:textId="77777777" w:rsidR="00FF66B0" w:rsidRPr="00AA7F69" w:rsidRDefault="00FF66B0" w:rsidP="00C526BF">
            <w:pPr>
              <w:rPr>
                <w:rFonts w:asciiTheme="majorBidi" w:hAnsiTheme="majorBidi" w:cstheme="majorBidi"/>
                <w:sz w:val="24"/>
                <w:szCs w:val="24"/>
              </w:rPr>
            </w:pPr>
            <w:r w:rsidRPr="00AA7F69">
              <w:rPr>
                <w:rFonts w:asciiTheme="majorBidi" w:hAnsiTheme="majorBidi" w:cstheme="majorBidi"/>
                <w:sz w:val="24"/>
                <w:szCs w:val="24"/>
              </w:rPr>
              <w:t>Service crops in field crops</w:t>
            </w:r>
          </w:p>
        </w:tc>
        <w:tc>
          <w:tcPr>
            <w:tcW w:w="4820" w:type="dxa"/>
          </w:tcPr>
          <w:p w14:paraId="4299A94F" w14:textId="77777777" w:rsidR="00FF66B0" w:rsidRPr="00AA7F69" w:rsidRDefault="00FF66B0" w:rsidP="00C526BF">
            <w:pPr>
              <w:rPr>
                <w:rFonts w:asciiTheme="majorBidi" w:hAnsiTheme="majorBidi" w:cstheme="majorBidi"/>
                <w:sz w:val="24"/>
                <w:szCs w:val="24"/>
              </w:rPr>
            </w:pPr>
            <w:r w:rsidRPr="00AA7F69">
              <w:rPr>
                <w:rFonts w:asciiTheme="majorBidi" w:hAnsiTheme="majorBidi" w:cstheme="majorBidi"/>
                <w:sz w:val="24"/>
                <w:szCs w:val="24"/>
              </w:rPr>
              <w:t>In cultivated fields that drain directly into a body of water (or that are marked on a map by the Ministry of Agriculture as an area prone to erosion).</w:t>
            </w:r>
          </w:p>
        </w:tc>
        <w:tc>
          <w:tcPr>
            <w:tcW w:w="1933" w:type="dxa"/>
          </w:tcPr>
          <w:p w14:paraId="1C01255A" w14:textId="77777777" w:rsidR="00FF66B0" w:rsidRPr="00AA7F69" w:rsidRDefault="00FF66B0" w:rsidP="00C526BF">
            <w:pPr>
              <w:rPr>
                <w:rFonts w:asciiTheme="majorBidi" w:hAnsiTheme="majorBidi" w:cstheme="majorBidi"/>
                <w:sz w:val="24"/>
                <w:szCs w:val="24"/>
              </w:rPr>
            </w:pPr>
            <w:r w:rsidRPr="00AA7F69">
              <w:rPr>
                <w:rFonts w:asciiTheme="majorBidi" w:hAnsiTheme="majorBidi" w:cstheme="majorBidi"/>
                <w:sz w:val="24"/>
                <w:szCs w:val="24"/>
              </w:rPr>
              <w:t>200 NIS per dunam</w:t>
            </w:r>
          </w:p>
        </w:tc>
      </w:tr>
      <w:tr w:rsidR="00FF66B0" w:rsidRPr="00AA7F69" w14:paraId="70436305" w14:textId="77777777" w:rsidTr="00C526BF">
        <w:tc>
          <w:tcPr>
            <w:tcW w:w="2263" w:type="dxa"/>
          </w:tcPr>
          <w:p w14:paraId="47949F28" w14:textId="77777777" w:rsidR="00FF66B0" w:rsidRPr="00AA7F69" w:rsidRDefault="00FF66B0" w:rsidP="00C526BF">
            <w:pPr>
              <w:rPr>
                <w:rFonts w:asciiTheme="majorBidi" w:hAnsiTheme="majorBidi" w:cstheme="majorBidi"/>
                <w:sz w:val="24"/>
                <w:szCs w:val="24"/>
              </w:rPr>
            </w:pPr>
            <w:r w:rsidRPr="00AA7F69">
              <w:rPr>
                <w:rFonts w:asciiTheme="majorBidi" w:hAnsiTheme="majorBidi" w:cstheme="majorBidi"/>
                <w:sz w:val="24"/>
                <w:szCs w:val="24"/>
              </w:rPr>
              <w:t>Service crops in orchards and vineyards</w:t>
            </w:r>
          </w:p>
        </w:tc>
        <w:tc>
          <w:tcPr>
            <w:tcW w:w="4820" w:type="dxa"/>
          </w:tcPr>
          <w:p w14:paraId="2BAA9215" w14:textId="77777777" w:rsidR="00FF66B0" w:rsidRPr="00AA7F69" w:rsidRDefault="00FF66B0" w:rsidP="00C526BF">
            <w:pPr>
              <w:rPr>
                <w:rFonts w:asciiTheme="majorBidi" w:hAnsiTheme="majorBidi" w:cstheme="majorBidi"/>
                <w:sz w:val="24"/>
                <w:szCs w:val="24"/>
              </w:rPr>
            </w:pPr>
            <w:r w:rsidRPr="00AA7F69">
              <w:rPr>
                <w:rFonts w:asciiTheme="majorBidi" w:hAnsiTheme="majorBidi" w:cstheme="majorBidi"/>
                <w:sz w:val="24"/>
                <w:szCs w:val="24"/>
              </w:rPr>
              <w:t>Young orchards or vineyards that drain directly into a body of water (or that are marked on a map by the Ministry of Agriculture as an area prone to erosion), or are located on slopes where runoff occurs and is accompanied by soil erosion.</w:t>
            </w:r>
          </w:p>
        </w:tc>
        <w:tc>
          <w:tcPr>
            <w:tcW w:w="1933" w:type="dxa"/>
          </w:tcPr>
          <w:p w14:paraId="49B2ED38" w14:textId="77777777" w:rsidR="00FF66B0" w:rsidRPr="00AA7F69" w:rsidRDefault="00FF66B0" w:rsidP="00C526BF">
            <w:pPr>
              <w:rPr>
                <w:rFonts w:asciiTheme="majorBidi" w:hAnsiTheme="majorBidi" w:cstheme="majorBidi"/>
                <w:sz w:val="24"/>
                <w:szCs w:val="24"/>
              </w:rPr>
            </w:pPr>
            <w:r w:rsidRPr="00AA7F69">
              <w:rPr>
                <w:rFonts w:asciiTheme="majorBidi" w:hAnsiTheme="majorBidi" w:cstheme="majorBidi"/>
                <w:sz w:val="24"/>
                <w:szCs w:val="24"/>
              </w:rPr>
              <w:t>100 NIS per dunam</w:t>
            </w:r>
          </w:p>
        </w:tc>
      </w:tr>
      <w:tr w:rsidR="00FF66B0" w:rsidRPr="00AA7F69" w14:paraId="498A8F1D" w14:textId="77777777" w:rsidTr="00C526BF">
        <w:tc>
          <w:tcPr>
            <w:tcW w:w="2263" w:type="dxa"/>
          </w:tcPr>
          <w:p w14:paraId="643AA350" w14:textId="77777777" w:rsidR="00FF66B0" w:rsidRPr="00AA7F69" w:rsidRDefault="00FF66B0" w:rsidP="00C526BF">
            <w:pPr>
              <w:rPr>
                <w:rFonts w:asciiTheme="majorBidi" w:hAnsiTheme="majorBidi" w:cstheme="majorBidi"/>
                <w:sz w:val="24"/>
                <w:szCs w:val="24"/>
              </w:rPr>
            </w:pPr>
            <w:r w:rsidRPr="00AA7F69">
              <w:rPr>
                <w:rFonts w:asciiTheme="majorBidi" w:hAnsiTheme="majorBidi" w:cstheme="majorBidi"/>
                <w:sz w:val="24"/>
                <w:szCs w:val="24"/>
              </w:rPr>
              <w:t>Enhancing food sources for seed-eating birds</w:t>
            </w:r>
          </w:p>
        </w:tc>
        <w:tc>
          <w:tcPr>
            <w:tcW w:w="4820" w:type="dxa"/>
          </w:tcPr>
          <w:p w14:paraId="38980E80" w14:textId="77777777" w:rsidR="00FF66B0" w:rsidRPr="00AA7F69" w:rsidRDefault="00FF66B0" w:rsidP="00C526BF">
            <w:pPr>
              <w:pStyle w:val="ListParagraph"/>
              <w:numPr>
                <w:ilvl w:val="0"/>
                <w:numId w:val="5"/>
              </w:numPr>
              <w:ind w:left="141" w:hanging="142"/>
              <w:rPr>
                <w:rFonts w:asciiTheme="majorBidi" w:hAnsiTheme="majorBidi" w:cstheme="majorBidi"/>
                <w:sz w:val="24"/>
                <w:szCs w:val="24"/>
              </w:rPr>
            </w:pPr>
            <w:r w:rsidRPr="00AA7F69">
              <w:rPr>
                <w:rFonts w:asciiTheme="majorBidi" w:hAnsiTheme="majorBidi" w:cstheme="majorBidi"/>
                <w:sz w:val="24"/>
                <w:szCs w:val="24"/>
              </w:rPr>
              <w:t>Plots/patches with low yield and profitability.</w:t>
            </w:r>
          </w:p>
          <w:p w14:paraId="3C71278E" w14:textId="77777777" w:rsidR="00FF66B0" w:rsidRPr="00AA7F69" w:rsidRDefault="00FF66B0" w:rsidP="00C526BF">
            <w:pPr>
              <w:pStyle w:val="ListParagraph"/>
              <w:numPr>
                <w:ilvl w:val="0"/>
                <w:numId w:val="5"/>
              </w:numPr>
              <w:ind w:left="141" w:hanging="142"/>
              <w:rPr>
                <w:rFonts w:asciiTheme="majorBidi" w:hAnsiTheme="majorBidi" w:cstheme="majorBidi"/>
                <w:sz w:val="24"/>
                <w:szCs w:val="24"/>
              </w:rPr>
            </w:pPr>
            <w:r w:rsidRPr="00AA7F69">
              <w:rPr>
                <w:rFonts w:asciiTheme="majorBidi" w:hAnsiTheme="majorBidi" w:cstheme="majorBidi"/>
                <w:sz w:val="24"/>
                <w:szCs w:val="24"/>
              </w:rPr>
              <w:lastRenderedPageBreak/>
              <w:t>Corners of an agricultural plot that are difficult to reach with agricultural machinery</w:t>
            </w:r>
          </w:p>
          <w:p w14:paraId="5C07515E" w14:textId="77777777" w:rsidR="00FF66B0" w:rsidRPr="00AA7F69" w:rsidRDefault="00FF66B0" w:rsidP="00C526BF">
            <w:pPr>
              <w:pStyle w:val="ListParagraph"/>
              <w:numPr>
                <w:ilvl w:val="0"/>
                <w:numId w:val="5"/>
              </w:numPr>
              <w:ind w:left="141" w:hanging="142"/>
              <w:rPr>
                <w:rFonts w:asciiTheme="majorBidi" w:hAnsiTheme="majorBidi" w:cstheme="majorBidi"/>
                <w:sz w:val="24"/>
                <w:szCs w:val="24"/>
              </w:rPr>
            </w:pPr>
            <w:r w:rsidRPr="00AA7F69">
              <w:rPr>
                <w:rFonts w:asciiTheme="majorBidi" w:hAnsiTheme="majorBidi" w:cstheme="majorBidi"/>
                <w:sz w:val="24"/>
                <w:szCs w:val="24"/>
              </w:rPr>
              <w:t>Small and remote plots.</w:t>
            </w:r>
          </w:p>
          <w:p w14:paraId="1FC97ABC" w14:textId="77777777" w:rsidR="00FF66B0" w:rsidRPr="00AA7F69" w:rsidRDefault="00FF66B0" w:rsidP="00C526BF">
            <w:pPr>
              <w:pStyle w:val="ListParagraph"/>
              <w:numPr>
                <w:ilvl w:val="0"/>
                <w:numId w:val="5"/>
              </w:numPr>
              <w:ind w:left="141" w:hanging="142"/>
              <w:rPr>
                <w:rFonts w:asciiTheme="majorBidi" w:hAnsiTheme="majorBidi" w:cstheme="majorBidi"/>
                <w:sz w:val="24"/>
                <w:szCs w:val="24"/>
              </w:rPr>
            </w:pPr>
            <w:r w:rsidRPr="00AA7F69">
              <w:rPr>
                <w:rFonts w:asciiTheme="majorBidi" w:hAnsiTheme="majorBidi" w:cstheme="majorBidi"/>
                <w:sz w:val="24"/>
                <w:szCs w:val="24"/>
              </w:rPr>
              <w:t>Selected field remnants.</w:t>
            </w:r>
          </w:p>
        </w:tc>
        <w:tc>
          <w:tcPr>
            <w:tcW w:w="1933" w:type="dxa"/>
          </w:tcPr>
          <w:p w14:paraId="0F76543E" w14:textId="77777777" w:rsidR="00FF66B0" w:rsidRPr="00AA7F69" w:rsidRDefault="00FF66B0" w:rsidP="00C526BF">
            <w:pPr>
              <w:rPr>
                <w:rFonts w:asciiTheme="majorBidi" w:hAnsiTheme="majorBidi" w:cstheme="majorBidi"/>
                <w:sz w:val="24"/>
                <w:szCs w:val="24"/>
              </w:rPr>
            </w:pPr>
            <w:r w:rsidRPr="00AA7F69">
              <w:rPr>
                <w:rFonts w:asciiTheme="majorBidi" w:hAnsiTheme="majorBidi" w:cstheme="majorBidi"/>
                <w:sz w:val="24"/>
                <w:szCs w:val="24"/>
              </w:rPr>
              <w:lastRenderedPageBreak/>
              <w:t>100 NIS per cumulative dunam</w:t>
            </w:r>
          </w:p>
        </w:tc>
      </w:tr>
      <w:tr w:rsidR="00FF66B0" w:rsidRPr="00AA7F69" w14:paraId="70220CF2" w14:textId="77777777" w:rsidTr="00C526BF">
        <w:tc>
          <w:tcPr>
            <w:tcW w:w="2263" w:type="dxa"/>
          </w:tcPr>
          <w:p w14:paraId="63A1150A" w14:textId="77777777" w:rsidR="00FF66B0" w:rsidRPr="00AA7F69" w:rsidRDefault="00FF66B0" w:rsidP="00C526BF">
            <w:pPr>
              <w:rPr>
                <w:rFonts w:asciiTheme="majorBidi" w:hAnsiTheme="majorBidi" w:cstheme="majorBidi"/>
                <w:sz w:val="24"/>
                <w:szCs w:val="24"/>
              </w:rPr>
            </w:pPr>
            <w:r w:rsidRPr="00AA7F69">
              <w:rPr>
                <w:rFonts w:asciiTheme="majorBidi" w:hAnsiTheme="majorBidi" w:cstheme="majorBidi"/>
                <w:sz w:val="24"/>
                <w:szCs w:val="24"/>
              </w:rPr>
              <w:t>Nectar and pollen field remnants (for the benefit of pollinators and beneficial insects)</w:t>
            </w:r>
          </w:p>
        </w:tc>
        <w:tc>
          <w:tcPr>
            <w:tcW w:w="4820" w:type="dxa"/>
          </w:tcPr>
          <w:p w14:paraId="35B101BE" w14:textId="77777777" w:rsidR="00FF66B0" w:rsidRPr="00AA7F69" w:rsidRDefault="00FF66B0" w:rsidP="00C526BF">
            <w:pPr>
              <w:pStyle w:val="ListParagraph"/>
              <w:numPr>
                <w:ilvl w:val="0"/>
                <w:numId w:val="5"/>
              </w:numPr>
              <w:ind w:left="141" w:hanging="142"/>
              <w:rPr>
                <w:rFonts w:asciiTheme="majorBidi" w:hAnsiTheme="majorBidi" w:cstheme="majorBidi"/>
                <w:sz w:val="24"/>
                <w:szCs w:val="24"/>
              </w:rPr>
            </w:pPr>
            <w:r w:rsidRPr="00AA7F69">
              <w:rPr>
                <w:rFonts w:asciiTheme="majorBidi" w:hAnsiTheme="majorBidi" w:cstheme="majorBidi"/>
                <w:sz w:val="24"/>
                <w:szCs w:val="24"/>
              </w:rPr>
              <w:t>Plots/patches with low yield and profitability.</w:t>
            </w:r>
          </w:p>
          <w:p w14:paraId="629C9915" w14:textId="77777777" w:rsidR="00FF66B0" w:rsidRPr="00AA7F69" w:rsidRDefault="00FF66B0" w:rsidP="00C526BF">
            <w:pPr>
              <w:pStyle w:val="ListParagraph"/>
              <w:numPr>
                <w:ilvl w:val="0"/>
                <w:numId w:val="5"/>
              </w:numPr>
              <w:ind w:left="141" w:hanging="142"/>
              <w:rPr>
                <w:rFonts w:asciiTheme="majorBidi" w:hAnsiTheme="majorBidi" w:cstheme="majorBidi"/>
                <w:sz w:val="24"/>
                <w:szCs w:val="24"/>
              </w:rPr>
            </w:pPr>
            <w:r w:rsidRPr="00AA7F69">
              <w:rPr>
                <w:rFonts w:asciiTheme="majorBidi" w:hAnsiTheme="majorBidi" w:cstheme="majorBidi"/>
                <w:sz w:val="24"/>
                <w:szCs w:val="24"/>
              </w:rPr>
              <w:t>Corners of an agricultural plot that are difficult to reach with agricultural machinery.</w:t>
            </w:r>
          </w:p>
          <w:p w14:paraId="2CA9AA46" w14:textId="77777777" w:rsidR="00FF66B0" w:rsidRPr="00AA7F69" w:rsidRDefault="00FF66B0" w:rsidP="00C526BF">
            <w:pPr>
              <w:pStyle w:val="ListParagraph"/>
              <w:numPr>
                <w:ilvl w:val="0"/>
                <w:numId w:val="5"/>
              </w:numPr>
              <w:ind w:left="141" w:hanging="142"/>
              <w:rPr>
                <w:rFonts w:asciiTheme="majorBidi" w:hAnsiTheme="majorBidi" w:cstheme="majorBidi"/>
                <w:sz w:val="24"/>
                <w:szCs w:val="24"/>
              </w:rPr>
            </w:pPr>
            <w:r w:rsidRPr="00AA7F69">
              <w:rPr>
                <w:rFonts w:asciiTheme="majorBidi" w:hAnsiTheme="majorBidi" w:cstheme="majorBidi"/>
                <w:sz w:val="24"/>
                <w:szCs w:val="24"/>
              </w:rPr>
              <w:t>Small and remote plots.</w:t>
            </w:r>
          </w:p>
          <w:p w14:paraId="03F60BA3" w14:textId="77777777" w:rsidR="00FF66B0" w:rsidRPr="00AA7F69" w:rsidRDefault="00FF66B0" w:rsidP="00C526BF">
            <w:pPr>
              <w:rPr>
                <w:rFonts w:asciiTheme="majorBidi" w:hAnsiTheme="majorBidi" w:cstheme="majorBidi"/>
                <w:sz w:val="24"/>
                <w:szCs w:val="24"/>
              </w:rPr>
            </w:pPr>
          </w:p>
        </w:tc>
        <w:tc>
          <w:tcPr>
            <w:tcW w:w="1933" w:type="dxa"/>
          </w:tcPr>
          <w:p w14:paraId="11291547" w14:textId="77777777" w:rsidR="00FF66B0" w:rsidRPr="00AA7F69" w:rsidRDefault="00FF66B0" w:rsidP="00C526BF">
            <w:pPr>
              <w:rPr>
                <w:rFonts w:asciiTheme="majorBidi" w:hAnsiTheme="majorBidi" w:cstheme="majorBidi"/>
                <w:sz w:val="24"/>
                <w:szCs w:val="24"/>
              </w:rPr>
            </w:pPr>
            <w:r w:rsidRPr="00AA7F69">
              <w:rPr>
                <w:rFonts w:asciiTheme="majorBidi" w:hAnsiTheme="majorBidi" w:cstheme="majorBidi"/>
                <w:sz w:val="24"/>
                <w:szCs w:val="24"/>
              </w:rPr>
              <w:t>350 NIS per dunam</w:t>
            </w:r>
          </w:p>
        </w:tc>
      </w:tr>
      <w:tr w:rsidR="00FF66B0" w:rsidRPr="00AA7F69" w14:paraId="7C08C7CD" w14:textId="77777777" w:rsidTr="00C526BF">
        <w:tc>
          <w:tcPr>
            <w:tcW w:w="2263" w:type="dxa"/>
          </w:tcPr>
          <w:p w14:paraId="65579D0B" w14:textId="77777777" w:rsidR="00FF66B0" w:rsidRPr="00AA7F69" w:rsidRDefault="00FF66B0" w:rsidP="00C526BF">
            <w:pPr>
              <w:rPr>
                <w:rFonts w:asciiTheme="majorBidi" w:hAnsiTheme="majorBidi" w:cstheme="majorBidi"/>
                <w:sz w:val="24"/>
                <w:szCs w:val="24"/>
              </w:rPr>
            </w:pPr>
            <w:r w:rsidRPr="00AA7F69">
              <w:rPr>
                <w:rFonts w:asciiTheme="majorBidi" w:hAnsiTheme="majorBidi" w:cstheme="majorBidi"/>
                <w:sz w:val="24"/>
                <w:szCs w:val="24"/>
              </w:rPr>
              <w:t>Vegetative cover for fencing (nectar and landscape)</w:t>
            </w:r>
          </w:p>
        </w:tc>
        <w:tc>
          <w:tcPr>
            <w:tcW w:w="4820" w:type="dxa"/>
          </w:tcPr>
          <w:p w14:paraId="6D309605" w14:textId="77777777" w:rsidR="00FF66B0" w:rsidRPr="00AA7F69" w:rsidRDefault="00FF66B0" w:rsidP="00C526BF">
            <w:pPr>
              <w:rPr>
                <w:rFonts w:asciiTheme="majorBidi" w:hAnsiTheme="majorBidi" w:cstheme="majorBidi"/>
                <w:sz w:val="24"/>
                <w:szCs w:val="24"/>
              </w:rPr>
            </w:pPr>
            <w:r w:rsidRPr="00AA7F69">
              <w:rPr>
                <w:rFonts w:asciiTheme="majorBidi" w:hAnsiTheme="majorBidi" w:cstheme="majorBidi"/>
                <w:sz w:val="24"/>
                <w:szCs w:val="24"/>
              </w:rPr>
              <w:t>Adjacent to sections of fencing along the edges of cultivated agricultural plots, close to a habitat or a conservation element.</w:t>
            </w:r>
          </w:p>
        </w:tc>
        <w:tc>
          <w:tcPr>
            <w:tcW w:w="1933" w:type="dxa"/>
          </w:tcPr>
          <w:p w14:paraId="7BF834A6" w14:textId="77777777" w:rsidR="00FF66B0" w:rsidRPr="00AA7F69" w:rsidRDefault="00FF66B0" w:rsidP="00C526BF">
            <w:pPr>
              <w:rPr>
                <w:rFonts w:asciiTheme="majorBidi" w:hAnsiTheme="majorBidi" w:cstheme="majorBidi"/>
                <w:sz w:val="24"/>
                <w:szCs w:val="24"/>
              </w:rPr>
            </w:pPr>
            <w:r w:rsidRPr="00AA7F69">
              <w:rPr>
                <w:rFonts w:asciiTheme="majorBidi" w:hAnsiTheme="majorBidi" w:cstheme="majorBidi"/>
                <w:sz w:val="24"/>
                <w:szCs w:val="24"/>
              </w:rPr>
              <w:t>30 NIS per 10m section of vegetative fence cover</w:t>
            </w:r>
          </w:p>
        </w:tc>
      </w:tr>
      <w:tr w:rsidR="00FF66B0" w:rsidRPr="00AA7F69" w14:paraId="0107A909" w14:textId="77777777" w:rsidTr="00C526BF">
        <w:tc>
          <w:tcPr>
            <w:tcW w:w="2263" w:type="dxa"/>
          </w:tcPr>
          <w:p w14:paraId="77E5FB48" w14:textId="77777777" w:rsidR="00FF66B0" w:rsidRPr="00AA7F69" w:rsidRDefault="00FF66B0" w:rsidP="00C526BF">
            <w:pPr>
              <w:rPr>
                <w:rFonts w:asciiTheme="majorBidi" w:hAnsiTheme="majorBidi" w:cstheme="majorBidi"/>
                <w:sz w:val="24"/>
                <w:szCs w:val="24"/>
              </w:rPr>
            </w:pPr>
            <w:r w:rsidRPr="00AA7F69">
              <w:rPr>
                <w:rFonts w:asciiTheme="majorBidi" w:hAnsiTheme="majorBidi" w:cstheme="majorBidi"/>
                <w:sz w:val="24"/>
                <w:szCs w:val="24"/>
              </w:rPr>
              <w:t>Ecological connectivity through perennial vegetation strips</w:t>
            </w:r>
          </w:p>
        </w:tc>
        <w:tc>
          <w:tcPr>
            <w:tcW w:w="4820" w:type="dxa"/>
          </w:tcPr>
          <w:p w14:paraId="4CE5E414" w14:textId="77777777" w:rsidR="00FF66B0" w:rsidRPr="00AA7F69" w:rsidRDefault="00FF66B0" w:rsidP="00C526BF">
            <w:pPr>
              <w:rPr>
                <w:rFonts w:asciiTheme="majorBidi" w:hAnsiTheme="majorBidi" w:cstheme="majorBidi"/>
                <w:sz w:val="24"/>
                <w:szCs w:val="24"/>
              </w:rPr>
            </w:pPr>
            <w:r w:rsidRPr="00AA7F69">
              <w:rPr>
                <w:rFonts w:asciiTheme="majorBidi" w:hAnsiTheme="majorBidi" w:cstheme="majorBidi"/>
                <w:sz w:val="24"/>
                <w:szCs w:val="24"/>
              </w:rPr>
              <w:t>In areas where national ecological corridors are disrupted, or where agricultural land separates significant habitats (between different nature reserves). It is advised that these are placed near a stream, a row of trees, or in wet areas that may indicate a spring or unique habitat.</w:t>
            </w:r>
          </w:p>
        </w:tc>
        <w:tc>
          <w:tcPr>
            <w:tcW w:w="1933" w:type="dxa"/>
          </w:tcPr>
          <w:p w14:paraId="2A6BB4E6" w14:textId="77777777" w:rsidR="00FF66B0" w:rsidRPr="00AA7F69" w:rsidRDefault="00FF66B0" w:rsidP="00C526BF">
            <w:pPr>
              <w:rPr>
                <w:rFonts w:asciiTheme="majorBidi" w:hAnsiTheme="majorBidi" w:cstheme="majorBidi"/>
                <w:sz w:val="24"/>
                <w:szCs w:val="24"/>
              </w:rPr>
            </w:pPr>
            <w:r w:rsidRPr="00AA7F69">
              <w:rPr>
                <w:rFonts w:asciiTheme="majorBidi" w:hAnsiTheme="majorBidi" w:cstheme="majorBidi"/>
                <w:sz w:val="24"/>
                <w:szCs w:val="24"/>
              </w:rPr>
              <w:t>350 NIS per dunam</w:t>
            </w:r>
          </w:p>
        </w:tc>
      </w:tr>
      <w:tr w:rsidR="00FF66B0" w:rsidRPr="00AA7F69" w14:paraId="57253A8B" w14:textId="77777777" w:rsidTr="00C526BF">
        <w:tc>
          <w:tcPr>
            <w:tcW w:w="2263" w:type="dxa"/>
          </w:tcPr>
          <w:p w14:paraId="1DEC6AB4" w14:textId="77777777" w:rsidR="00FF66B0" w:rsidRPr="00AA7F69" w:rsidRDefault="00FF66B0" w:rsidP="00C526BF">
            <w:pPr>
              <w:rPr>
                <w:rFonts w:asciiTheme="majorBidi" w:hAnsiTheme="majorBidi" w:cstheme="majorBidi"/>
                <w:sz w:val="24"/>
                <w:szCs w:val="24"/>
              </w:rPr>
            </w:pPr>
            <w:r w:rsidRPr="00AA7F69">
              <w:rPr>
                <w:rFonts w:asciiTheme="majorBidi" w:hAnsiTheme="majorBidi" w:cstheme="majorBidi"/>
                <w:sz w:val="24"/>
                <w:szCs w:val="24"/>
              </w:rPr>
              <w:t>Creating a living fence</w:t>
            </w:r>
          </w:p>
        </w:tc>
        <w:tc>
          <w:tcPr>
            <w:tcW w:w="4820" w:type="dxa"/>
          </w:tcPr>
          <w:p w14:paraId="11C64A38" w14:textId="77777777" w:rsidR="00FF66B0" w:rsidRPr="00AA7F69" w:rsidRDefault="00FF66B0" w:rsidP="00FF66B0">
            <w:pPr>
              <w:pStyle w:val="ListParagraph"/>
              <w:numPr>
                <w:ilvl w:val="0"/>
                <w:numId w:val="6"/>
              </w:numPr>
              <w:ind w:left="282" w:hanging="282"/>
              <w:rPr>
                <w:rFonts w:asciiTheme="majorBidi" w:hAnsiTheme="majorBidi" w:cstheme="majorBidi"/>
                <w:sz w:val="24"/>
                <w:szCs w:val="24"/>
              </w:rPr>
            </w:pPr>
            <w:r w:rsidRPr="00AA7F69">
              <w:rPr>
                <w:rFonts w:asciiTheme="majorBidi" w:hAnsiTheme="majorBidi" w:cstheme="majorBidi"/>
                <w:sz w:val="24"/>
                <w:szCs w:val="24"/>
              </w:rPr>
              <w:t>Near dairy farms, pens, or open poultry houses.</w:t>
            </w:r>
          </w:p>
          <w:p w14:paraId="7F1A089D" w14:textId="77777777" w:rsidR="00FF66B0" w:rsidRPr="00AA7F69" w:rsidRDefault="00FF66B0" w:rsidP="00FF66B0">
            <w:pPr>
              <w:pStyle w:val="ListParagraph"/>
              <w:numPr>
                <w:ilvl w:val="0"/>
                <w:numId w:val="6"/>
              </w:numPr>
              <w:ind w:left="282" w:hanging="282"/>
              <w:rPr>
                <w:rFonts w:asciiTheme="majorBidi" w:hAnsiTheme="majorBidi" w:cstheme="majorBidi"/>
                <w:sz w:val="24"/>
                <w:szCs w:val="24"/>
              </w:rPr>
            </w:pPr>
            <w:r w:rsidRPr="00AA7F69">
              <w:rPr>
                <w:rFonts w:asciiTheme="majorBidi" w:hAnsiTheme="majorBidi" w:cstheme="majorBidi"/>
                <w:sz w:val="24"/>
                <w:szCs w:val="24"/>
              </w:rPr>
              <w:t>Sites where both sides of the living fence can be managed.</w:t>
            </w:r>
          </w:p>
          <w:p w14:paraId="24C9756C" w14:textId="77777777" w:rsidR="00FF66B0" w:rsidRPr="00AA7F69" w:rsidRDefault="00FF66B0" w:rsidP="00FF66B0">
            <w:pPr>
              <w:pStyle w:val="ListParagraph"/>
              <w:numPr>
                <w:ilvl w:val="0"/>
                <w:numId w:val="6"/>
              </w:numPr>
              <w:ind w:left="282" w:hanging="282"/>
              <w:rPr>
                <w:rFonts w:asciiTheme="majorBidi" w:hAnsiTheme="majorBidi" w:cstheme="majorBidi"/>
                <w:sz w:val="24"/>
                <w:szCs w:val="24"/>
              </w:rPr>
            </w:pPr>
            <w:r w:rsidRPr="00AA7F69">
              <w:rPr>
                <w:rFonts w:asciiTheme="majorBidi" w:hAnsiTheme="majorBidi" w:cstheme="majorBidi"/>
                <w:sz w:val="24"/>
                <w:szCs w:val="24"/>
              </w:rPr>
              <w:t>Sites prone to surface runoff and erosion.</w:t>
            </w:r>
          </w:p>
          <w:p w14:paraId="5FAA6E33" w14:textId="77777777" w:rsidR="00FF66B0" w:rsidRPr="00AA7F69" w:rsidRDefault="00FF66B0" w:rsidP="00FF66B0">
            <w:pPr>
              <w:pStyle w:val="ListParagraph"/>
              <w:numPr>
                <w:ilvl w:val="0"/>
                <w:numId w:val="6"/>
              </w:numPr>
              <w:ind w:left="282" w:hanging="282"/>
              <w:rPr>
                <w:rFonts w:asciiTheme="majorBidi" w:hAnsiTheme="majorBidi" w:cstheme="majorBidi"/>
                <w:sz w:val="24"/>
                <w:szCs w:val="24"/>
              </w:rPr>
            </w:pPr>
            <w:r w:rsidRPr="00AA7F69">
              <w:rPr>
                <w:rFonts w:asciiTheme="majorBidi" w:hAnsiTheme="majorBidi" w:cstheme="majorBidi"/>
                <w:sz w:val="24"/>
                <w:szCs w:val="24"/>
              </w:rPr>
              <w:t>Sites where a living fence can block winds affecting wind-sensitive crops.</w:t>
            </w:r>
          </w:p>
          <w:p w14:paraId="28527CAF" w14:textId="77777777" w:rsidR="00FF66B0" w:rsidRPr="00AA7F69" w:rsidRDefault="00FF66B0" w:rsidP="00C526BF">
            <w:pPr>
              <w:pStyle w:val="ListParagraph"/>
              <w:numPr>
                <w:ilvl w:val="0"/>
                <w:numId w:val="6"/>
              </w:numPr>
              <w:ind w:left="282" w:hanging="282"/>
              <w:rPr>
                <w:rFonts w:asciiTheme="majorBidi" w:hAnsiTheme="majorBidi" w:cstheme="majorBidi"/>
                <w:sz w:val="24"/>
                <w:szCs w:val="24"/>
              </w:rPr>
            </w:pPr>
            <w:r w:rsidRPr="00AA7F69">
              <w:rPr>
                <w:rFonts w:asciiTheme="majorBidi" w:hAnsiTheme="majorBidi" w:cstheme="majorBidi"/>
                <w:sz w:val="24"/>
                <w:szCs w:val="24"/>
              </w:rPr>
              <w:t>In relevant sites where there is already a living fence, maintenance fees can be considered.</w:t>
            </w:r>
          </w:p>
        </w:tc>
        <w:tc>
          <w:tcPr>
            <w:tcW w:w="1933" w:type="dxa"/>
          </w:tcPr>
          <w:p w14:paraId="7F861D76" w14:textId="77777777" w:rsidR="00FF66B0" w:rsidRPr="00AA7F69" w:rsidRDefault="00FF66B0" w:rsidP="00C526BF">
            <w:pPr>
              <w:rPr>
                <w:rFonts w:asciiTheme="majorBidi" w:hAnsiTheme="majorBidi" w:cstheme="majorBidi"/>
                <w:sz w:val="24"/>
                <w:szCs w:val="24"/>
              </w:rPr>
            </w:pPr>
            <w:r w:rsidRPr="00AA7F69">
              <w:rPr>
                <w:rFonts w:asciiTheme="majorBidi" w:hAnsiTheme="majorBidi" w:cstheme="majorBidi"/>
                <w:sz w:val="24"/>
                <w:szCs w:val="24"/>
              </w:rPr>
              <w:t>25 NIS per 10m section</w:t>
            </w:r>
          </w:p>
        </w:tc>
      </w:tr>
      <w:tr w:rsidR="00FF66B0" w:rsidRPr="00AA7F69" w14:paraId="6368B594" w14:textId="77777777" w:rsidTr="00C526BF">
        <w:tc>
          <w:tcPr>
            <w:tcW w:w="2263" w:type="dxa"/>
          </w:tcPr>
          <w:p w14:paraId="4A43B7F1" w14:textId="77777777" w:rsidR="00FF66B0" w:rsidRPr="00AA7F69" w:rsidRDefault="00FF66B0" w:rsidP="00C526BF">
            <w:pPr>
              <w:rPr>
                <w:rFonts w:asciiTheme="majorBidi" w:hAnsiTheme="majorBidi" w:cstheme="majorBidi"/>
                <w:sz w:val="24"/>
                <w:szCs w:val="24"/>
              </w:rPr>
            </w:pPr>
            <w:r w:rsidRPr="00AA7F69">
              <w:rPr>
                <w:rFonts w:asciiTheme="majorBidi" w:hAnsiTheme="majorBidi" w:cstheme="majorBidi"/>
                <w:sz w:val="24"/>
                <w:szCs w:val="24"/>
              </w:rPr>
              <w:t>Management in the vicinity of sensitive habitats</w:t>
            </w:r>
          </w:p>
        </w:tc>
        <w:tc>
          <w:tcPr>
            <w:tcW w:w="4820" w:type="dxa"/>
          </w:tcPr>
          <w:p w14:paraId="22F48367" w14:textId="77777777" w:rsidR="00FF66B0" w:rsidRPr="00AA7F69" w:rsidRDefault="00FF66B0" w:rsidP="00FF66B0">
            <w:pPr>
              <w:pStyle w:val="ListParagraph"/>
              <w:numPr>
                <w:ilvl w:val="0"/>
                <w:numId w:val="6"/>
              </w:numPr>
              <w:ind w:left="282" w:hanging="282"/>
              <w:rPr>
                <w:rFonts w:asciiTheme="majorBidi" w:hAnsiTheme="majorBidi" w:cstheme="majorBidi"/>
                <w:sz w:val="24"/>
                <w:szCs w:val="24"/>
              </w:rPr>
            </w:pPr>
            <w:r w:rsidRPr="00AA7F69">
              <w:rPr>
                <w:rFonts w:asciiTheme="majorBidi" w:hAnsiTheme="majorBidi" w:cstheme="majorBidi"/>
                <w:sz w:val="24"/>
                <w:szCs w:val="24"/>
              </w:rPr>
              <w:t>At the boundaries between productive fields and sensitive sites – wetland habitats, unique natural sites (endangered species), historical sites, settlements, and areas of human congregation.</w:t>
            </w:r>
          </w:p>
          <w:p w14:paraId="1961BAA5" w14:textId="77777777" w:rsidR="00FF66B0" w:rsidRPr="00AA7F69" w:rsidRDefault="00FF66B0" w:rsidP="00C526BF">
            <w:pPr>
              <w:pStyle w:val="ListParagraph"/>
              <w:numPr>
                <w:ilvl w:val="0"/>
                <w:numId w:val="6"/>
              </w:numPr>
              <w:ind w:left="282" w:hanging="282"/>
              <w:rPr>
                <w:rFonts w:asciiTheme="majorBidi" w:hAnsiTheme="majorBidi" w:cstheme="majorBidi"/>
                <w:sz w:val="24"/>
                <w:szCs w:val="24"/>
              </w:rPr>
            </w:pPr>
            <w:r w:rsidRPr="00AA7F69">
              <w:rPr>
                <w:rFonts w:asciiTheme="majorBidi" w:hAnsiTheme="majorBidi" w:cstheme="majorBidi"/>
                <w:sz w:val="24"/>
                <w:szCs w:val="24"/>
              </w:rPr>
              <w:t>At the boundaries with water sources that are of environmental value.</w:t>
            </w:r>
          </w:p>
        </w:tc>
        <w:tc>
          <w:tcPr>
            <w:tcW w:w="1933" w:type="dxa"/>
          </w:tcPr>
          <w:p w14:paraId="55421692" w14:textId="77777777" w:rsidR="00FF66B0" w:rsidRPr="00AA7F69" w:rsidRDefault="00FF66B0" w:rsidP="00C526BF">
            <w:pPr>
              <w:rPr>
                <w:rFonts w:asciiTheme="majorBidi" w:hAnsiTheme="majorBidi" w:cstheme="majorBidi"/>
                <w:sz w:val="24"/>
                <w:szCs w:val="24"/>
              </w:rPr>
            </w:pPr>
            <w:r w:rsidRPr="00AA7F69">
              <w:rPr>
                <w:rFonts w:asciiTheme="majorBidi" w:hAnsiTheme="majorBidi" w:cstheme="majorBidi"/>
                <w:sz w:val="24"/>
                <w:szCs w:val="24"/>
              </w:rPr>
              <w:t>250 NIS per dunam</w:t>
            </w:r>
          </w:p>
        </w:tc>
      </w:tr>
      <w:tr w:rsidR="00FF66B0" w:rsidRPr="00AA7F69" w14:paraId="53AC5802" w14:textId="77777777" w:rsidTr="00C526BF">
        <w:tc>
          <w:tcPr>
            <w:tcW w:w="2263" w:type="dxa"/>
          </w:tcPr>
          <w:p w14:paraId="430AE71A" w14:textId="77777777" w:rsidR="00FF66B0" w:rsidRPr="00AA7F69" w:rsidRDefault="00FF66B0" w:rsidP="00C526BF">
            <w:pPr>
              <w:rPr>
                <w:rFonts w:asciiTheme="majorBidi" w:hAnsiTheme="majorBidi" w:cstheme="majorBidi"/>
                <w:sz w:val="24"/>
                <w:szCs w:val="24"/>
              </w:rPr>
            </w:pPr>
            <w:r>
              <w:rPr>
                <w:rFonts w:asciiTheme="majorBidi" w:hAnsiTheme="majorBidi" w:cstheme="majorBidi"/>
                <w:sz w:val="24"/>
                <w:szCs w:val="24"/>
              </w:rPr>
              <w:t>Management in the vicinity of wet habitats (winter ponds, wet meadows, springs)</w:t>
            </w:r>
          </w:p>
        </w:tc>
        <w:tc>
          <w:tcPr>
            <w:tcW w:w="4820" w:type="dxa"/>
          </w:tcPr>
          <w:p w14:paraId="14509F59" w14:textId="77777777" w:rsidR="00FF66B0" w:rsidRDefault="00FF66B0" w:rsidP="00FF66B0">
            <w:pPr>
              <w:pStyle w:val="ListParagraph"/>
              <w:numPr>
                <w:ilvl w:val="0"/>
                <w:numId w:val="6"/>
              </w:numPr>
              <w:ind w:left="282" w:hanging="282"/>
              <w:rPr>
                <w:rFonts w:asciiTheme="majorBidi" w:hAnsiTheme="majorBidi" w:cstheme="majorBidi"/>
                <w:sz w:val="24"/>
                <w:szCs w:val="24"/>
              </w:rPr>
            </w:pPr>
            <w:r>
              <w:rPr>
                <w:rFonts w:asciiTheme="majorBidi" w:hAnsiTheme="majorBidi" w:cstheme="majorBidi"/>
                <w:sz w:val="24"/>
                <w:szCs w:val="24"/>
              </w:rPr>
              <w:t>Only on cultivated land near winter ponds, springs, or near water/drainage channels with environmental value</w:t>
            </w:r>
            <w:r w:rsidRPr="00AA7F69">
              <w:rPr>
                <w:rFonts w:asciiTheme="majorBidi" w:hAnsiTheme="majorBidi" w:cstheme="majorBidi"/>
                <w:sz w:val="24"/>
                <w:szCs w:val="24"/>
              </w:rPr>
              <w:t>.</w:t>
            </w:r>
          </w:p>
          <w:p w14:paraId="73FDD712" w14:textId="77777777" w:rsidR="00FF66B0" w:rsidRDefault="00FF66B0" w:rsidP="00FF66B0">
            <w:pPr>
              <w:pStyle w:val="ListParagraph"/>
              <w:numPr>
                <w:ilvl w:val="0"/>
                <w:numId w:val="6"/>
              </w:numPr>
              <w:ind w:left="282" w:hanging="282"/>
              <w:rPr>
                <w:rFonts w:asciiTheme="majorBidi" w:hAnsiTheme="majorBidi" w:cstheme="majorBidi"/>
                <w:sz w:val="24"/>
                <w:szCs w:val="24"/>
              </w:rPr>
            </w:pPr>
            <w:r>
              <w:rPr>
                <w:rFonts w:asciiTheme="majorBidi" w:hAnsiTheme="majorBidi" w:cstheme="majorBidi"/>
                <w:sz w:val="24"/>
                <w:szCs w:val="24"/>
              </w:rPr>
              <w:t>Not near historical or archeological sites.</w:t>
            </w:r>
          </w:p>
          <w:p w14:paraId="6C30C127" w14:textId="77777777" w:rsidR="00FF66B0" w:rsidRPr="00AA7F69" w:rsidRDefault="00FF66B0" w:rsidP="00FF66B0">
            <w:pPr>
              <w:pStyle w:val="ListParagraph"/>
              <w:numPr>
                <w:ilvl w:val="0"/>
                <w:numId w:val="6"/>
              </w:numPr>
              <w:ind w:left="282" w:hanging="282"/>
              <w:rPr>
                <w:rFonts w:asciiTheme="majorBidi" w:hAnsiTheme="majorBidi" w:cstheme="majorBidi"/>
                <w:sz w:val="24"/>
                <w:szCs w:val="24"/>
              </w:rPr>
            </w:pPr>
            <w:r>
              <w:rPr>
                <w:rFonts w:asciiTheme="majorBidi" w:hAnsiTheme="majorBidi" w:cstheme="majorBidi"/>
                <w:sz w:val="24"/>
                <w:szCs w:val="24"/>
              </w:rPr>
              <w:t>Not near ponds used for industrial purposes or that are polluted.</w:t>
            </w:r>
          </w:p>
          <w:p w14:paraId="256ED980" w14:textId="77777777" w:rsidR="00FF66B0" w:rsidRPr="00AA7F69" w:rsidRDefault="00FF66B0" w:rsidP="00C526BF">
            <w:pPr>
              <w:rPr>
                <w:rFonts w:asciiTheme="majorBidi" w:hAnsiTheme="majorBidi" w:cstheme="majorBidi"/>
                <w:sz w:val="24"/>
                <w:szCs w:val="24"/>
              </w:rPr>
            </w:pPr>
          </w:p>
        </w:tc>
        <w:tc>
          <w:tcPr>
            <w:tcW w:w="1933" w:type="dxa"/>
          </w:tcPr>
          <w:p w14:paraId="289ABF5F" w14:textId="77777777" w:rsidR="00FF66B0" w:rsidRPr="00AA7F69" w:rsidRDefault="00FF66B0" w:rsidP="00C526BF">
            <w:pPr>
              <w:rPr>
                <w:rFonts w:asciiTheme="majorBidi" w:hAnsiTheme="majorBidi" w:cstheme="majorBidi"/>
                <w:sz w:val="24"/>
                <w:szCs w:val="24"/>
              </w:rPr>
            </w:pPr>
            <w:r>
              <w:rPr>
                <w:rFonts w:asciiTheme="majorBidi" w:hAnsiTheme="majorBidi" w:cstheme="majorBidi"/>
                <w:sz w:val="24"/>
                <w:szCs w:val="24"/>
              </w:rPr>
              <w:t>250 NIS per dunam</w:t>
            </w:r>
          </w:p>
        </w:tc>
      </w:tr>
      <w:tr w:rsidR="00FF66B0" w:rsidRPr="00AA7F69" w14:paraId="393A6731" w14:textId="77777777" w:rsidTr="00C526BF">
        <w:tc>
          <w:tcPr>
            <w:tcW w:w="2263" w:type="dxa"/>
          </w:tcPr>
          <w:p w14:paraId="15B91CEC" w14:textId="77777777" w:rsidR="00FF66B0" w:rsidRPr="00AA7F69" w:rsidRDefault="00FF66B0" w:rsidP="00C526BF">
            <w:pPr>
              <w:rPr>
                <w:rFonts w:asciiTheme="majorBidi" w:hAnsiTheme="majorBidi" w:cstheme="majorBidi"/>
                <w:sz w:val="24"/>
                <w:szCs w:val="24"/>
              </w:rPr>
            </w:pPr>
            <w:r>
              <w:rPr>
                <w:rFonts w:asciiTheme="majorBidi" w:hAnsiTheme="majorBidi" w:cstheme="majorBidi"/>
                <w:sz w:val="24"/>
                <w:szCs w:val="24"/>
              </w:rPr>
              <w:t>Service crops to control erosion in erosion-prone areas</w:t>
            </w:r>
          </w:p>
        </w:tc>
        <w:tc>
          <w:tcPr>
            <w:tcW w:w="4820" w:type="dxa"/>
          </w:tcPr>
          <w:p w14:paraId="79973531" w14:textId="77777777" w:rsidR="00FF66B0" w:rsidRDefault="00FF66B0" w:rsidP="00FF66B0">
            <w:pPr>
              <w:pStyle w:val="ListParagraph"/>
              <w:numPr>
                <w:ilvl w:val="0"/>
                <w:numId w:val="6"/>
              </w:numPr>
              <w:ind w:left="282" w:hanging="282"/>
              <w:rPr>
                <w:rFonts w:asciiTheme="majorBidi" w:hAnsiTheme="majorBidi" w:cstheme="majorBidi"/>
                <w:sz w:val="24"/>
                <w:szCs w:val="24"/>
              </w:rPr>
            </w:pPr>
            <w:r>
              <w:rPr>
                <w:rFonts w:asciiTheme="majorBidi" w:hAnsiTheme="majorBidi" w:cstheme="majorBidi"/>
                <w:sz w:val="24"/>
                <w:szCs w:val="24"/>
              </w:rPr>
              <w:t>On cultivated sites where there is a risk of erosion and surface runoff</w:t>
            </w:r>
            <w:r w:rsidRPr="00AA7F69">
              <w:rPr>
                <w:rFonts w:asciiTheme="majorBidi" w:hAnsiTheme="majorBidi" w:cstheme="majorBidi"/>
                <w:sz w:val="24"/>
                <w:szCs w:val="24"/>
              </w:rPr>
              <w:t>.</w:t>
            </w:r>
          </w:p>
          <w:p w14:paraId="38E08021" w14:textId="77777777" w:rsidR="00FF66B0" w:rsidRDefault="00FF66B0" w:rsidP="00FF66B0">
            <w:pPr>
              <w:pStyle w:val="ListParagraph"/>
              <w:numPr>
                <w:ilvl w:val="0"/>
                <w:numId w:val="6"/>
              </w:numPr>
              <w:ind w:left="282" w:hanging="282"/>
              <w:rPr>
                <w:rFonts w:asciiTheme="majorBidi" w:hAnsiTheme="majorBidi" w:cstheme="majorBidi"/>
                <w:sz w:val="24"/>
                <w:szCs w:val="24"/>
              </w:rPr>
            </w:pPr>
            <w:r>
              <w:rPr>
                <w:rFonts w:asciiTheme="majorBidi" w:hAnsiTheme="majorBidi" w:cstheme="majorBidi"/>
                <w:sz w:val="24"/>
                <w:szCs w:val="24"/>
              </w:rPr>
              <w:t>In areas adjacent to ditches, streams, and rivers.</w:t>
            </w:r>
          </w:p>
          <w:p w14:paraId="17A0380D" w14:textId="77777777" w:rsidR="00FF66B0" w:rsidRPr="00AA7F69" w:rsidRDefault="00FF66B0" w:rsidP="00C526BF">
            <w:pPr>
              <w:rPr>
                <w:rFonts w:asciiTheme="majorBidi" w:hAnsiTheme="majorBidi" w:cstheme="majorBidi"/>
                <w:sz w:val="24"/>
                <w:szCs w:val="24"/>
              </w:rPr>
            </w:pPr>
          </w:p>
        </w:tc>
        <w:tc>
          <w:tcPr>
            <w:tcW w:w="1933" w:type="dxa"/>
          </w:tcPr>
          <w:p w14:paraId="7892F7D4" w14:textId="77777777" w:rsidR="00FF66B0" w:rsidRPr="00AA7F69" w:rsidRDefault="00FF66B0" w:rsidP="00C526BF">
            <w:pPr>
              <w:rPr>
                <w:rFonts w:asciiTheme="majorBidi" w:hAnsiTheme="majorBidi" w:cstheme="majorBidi"/>
                <w:sz w:val="24"/>
                <w:szCs w:val="24"/>
              </w:rPr>
            </w:pPr>
            <w:r>
              <w:rPr>
                <w:rFonts w:asciiTheme="majorBidi" w:hAnsiTheme="majorBidi" w:cstheme="majorBidi"/>
                <w:sz w:val="24"/>
                <w:szCs w:val="24"/>
              </w:rPr>
              <w:t>250 NIS per dunam</w:t>
            </w:r>
          </w:p>
        </w:tc>
      </w:tr>
    </w:tbl>
    <w:p w14:paraId="1095A14A" w14:textId="77777777" w:rsidR="00FF66B0" w:rsidRPr="00AA7F69" w:rsidRDefault="00FF66B0" w:rsidP="00FF66B0">
      <w:pPr>
        <w:spacing w:line="240" w:lineRule="auto"/>
        <w:rPr>
          <w:rFonts w:asciiTheme="majorBidi" w:hAnsiTheme="majorBidi" w:cstheme="majorBidi"/>
          <w:sz w:val="24"/>
          <w:szCs w:val="24"/>
        </w:rPr>
      </w:pPr>
      <w:r w:rsidRPr="00AA7F69">
        <w:rPr>
          <w:rFonts w:asciiTheme="majorBidi" w:hAnsiTheme="majorBidi" w:cstheme="majorBidi"/>
          <w:sz w:val="24"/>
          <w:szCs w:val="24"/>
        </w:rPr>
        <w:lastRenderedPageBreak/>
        <w:t>*These activities are intended to generate a broad public benefit that requires future interagency cooperation in order to ensure continuous funding.</w:t>
      </w:r>
    </w:p>
    <w:p w14:paraId="31255ED2" w14:textId="77777777" w:rsidR="00F54B4B" w:rsidRDefault="00F54B4B"/>
    <w:sectPr w:rsidR="00F54B4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J" w:date="2024-09-03T16:03:00Z" w:initials="J">
    <w:p w14:paraId="5759493B" w14:textId="77777777" w:rsidR="00FF66B0" w:rsidRDefault="00FF66B0" w:rsidP="00FF66B0">
      <w:pPr>
        <w:pStyle w:val="CommentText0"/>
      </w:pPr>
      <w:r>
        <w:rPr>
          <w:rStyle w:val="CommentReference"/>
        </w:rPr>
        <w:annotationRef/>
      </w:r>
      <w:r>
        <w:rPr>
          <w:lang w:val="en-GB"/>
        </w:rPr>
        <w:t>Please check as I cannot find an English spelling for this name</w:t>
      </w:r>
    </w:p>
  </w:comment>
  <w:comment w:id="1" w:author="JJ" w:date="2024-09-03T19:42:00Z" w:initials="J">
    <w:p w14:paraId="175B42DD" w14:textId="77777777" w:rsidR="00FF66B0" w:rsidRDefault="00FF66B0" w:rsidP="00FF66B0">
      <w:pPr>
        <w:pStyle w:val="CommentText0"/>
      </w:pPr>
      <w:r>
        <w:rPr>
          <w:rStyle w:val="CommentReference"/>
        </w:rPr>
        <w:annotationRef/>
      </w:r>
      <w:r>
        <w:rPr>
          <w:lang w:val="en-GB"/>
        </w:rPr>
        <w:t>I don't like "blind" hyperlinks hidden in documents as you cannot see what you are clicking on--bad for security. It's also distracting because readers can accidently click on the link and be taken out of the document. It's better to put links in fn where people can see the full link and have more choice on what they click 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759493B" w15:done="0"/>
  <w15:commentEx w15:paraId="175B42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FDF3426" w16cex:dateUtc="2024-09-03T15:03:00Z"/>
  <w16cex:commentExtensible w16cex:durableId="3DD30D51" w16cex:dateUtc="2024-09-03T1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59493B" w16cid:durableId="4FDF3426"/>
  <w16cid:commentId w16cid:paraId="175B42DD" w16cid:durableId="3DD30D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06323" w14:textId="77777777" w:rsidR="00FE1FF8" w:rsidRDefault="00FE1FF8" w:rsidP="00FF66B0">
      <w:pPr>
        <w:spacing w:after="0" w:line="240" w:lineRule="auto"/>
      </w:pPr>
      <w:r>
        <w:separator/>
      </w:r>
    </w:p>
  </w:endnote>
  <w:endnote w:type="continuationSeparator" w:id="0">
    <w:p w14:paraId="12324CFB" w14:textId="77777777" w:rsidR="00FE1FF8" w:rsidRDefault="00FE1FF8" w:rsidP="00FF6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ssistant">
    <w:altName w:val="Times New Roman"/>
    <w:charset w:val="B1"/>
    <w:family w:val="auto"/>
    <w:pitch w:val="variable"/>
    <w:sig w:usb0="A00008FF" w:usb1="4000204B"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4E8A8" w14:textId="77777777" w:rsidR="00FE1FF8" w:rsidRDefault="00FE1FF8" w:rsidP="00FF66B0">
      <w:pPr>
        <w:spacing w:after="0" w:line="240" w:lineRule="auto"/>
      </w:pPr>
      <w:r>
        <w:separator/>
      </w:r>
    </w:p>
  </w:footnote>
  <w:footnote w:type="continuationSeparator" w:id="0">
    <w:p w14:paraId="3A4FE268" w14:textId="77777777" w:rsidR="00FE1FF8" w:rsidRDefault="00FE1FF8" w:rsidP="00FF66B0">
      <w:pPr>
        <w:spacing w:after="0" w:line="240" w:lineRule="auto"/>
      </w:pPr>
      <w:r>
        <w:continuationSeparator/>
      </w:r>
    </w:p>
  </w:footnote>
  <w:footnote w:id="1">
    <w:p w14:paraId="2320D760" w14:textId="77777777" w:rsidR="00FF66B0" w:rsidRPr="0094602C" w:rsidRDefault="00FF66B0" w:rsidP="00FF66B0">
      <w:pPr>
        <w:pStyle w:val="FootnoteText"/>
        <w:rPr>
          <w:lang w:val="en-GB"/>
        </w:rPr>
      </w:pPr>
      <w:r>
        <w:rPr>
          <w:rStyle w:val="FootnoteReference"/>
        </w:rPr>
        <w:footnoteRef/>
      </w:r>
      <w:r>
        <w:t xml:space="preserve"> Externalities are costs or benefits arising from an economic transaction that affects individuals or firms not directly involved in the transaction. When evaluating open spaces, we use the term “external benefits” to refer to the benefits and economic values derived from the existence of those spaces, and that cannot be directly measured or that do not provide any direct benefit to the entity restoring or developing the space, and yet should be considered in the overall benefit assessment.</w:t>
      </w:r>
    </w:p>
  </w:footnote>
  <w:footnote w:id="2">
    <w:p w14:paraId="3DF35577" w14:textId="77777777" w:rsidR="00FF66B0" w:rsidRPr="0094602C" w:rsidRDefault="00FF66B0" w:rsidP="00FF66B0">
      <w:pPr>
        <w:pStyle w:val="FootnoteText"/>
        <w:rPr>
          <w:lang w:val="en-GB"/>
        </w:rPr>
      </w:pPr>
      <w:r>
        <w:rPr>
          <w:rStyle w:val="FootnoteReference"/>
        </w:rPr>
        <w:footnoteRef/>
      </w:r>
      <w:r>
        <w:t xml:space="preserve"> Opportunity costs are a basic concept in economics that express the price of a product in terms of the value of the alternatives that were excluded in favor of its production. When evaluating open spaces, if the alternative that was excluded was to avoid development in order to save costs, there could be unforeseen costs from the lack of development, such as heat islands, flooding, and other issues. This chapter will review these costs.</w:t>
      </w:r>
    </w:p>
  </w:footnote>
  <w:footnote w:id="3">
    <w:p w14:paraId="3B229D08" w14:textId="77777777" w:rsidR="00FF66B0" w:rsidRPr="00733241" w:rsidRDefault="00FF66B0" w:rsidP="00FF66B0">
      <w:pPr>
        <w:pStyle w:val="FootnoteText"/>
        <w:rPr>
          <w:lang w:val="en-GB"/>
        </w:rPr>
      </w:pPr>
      <w:r>
        <w:rPr>
          <w:rStyle w:val="FootnoteReference"/>
        </w:rPr>
        <w:footnoteRef/>
      </w:r>
      <w:r>
        <w:t xml:space="preserve"> </w:t>
      </w:r>
      <w:hyperlink r:id="rId1">
        <w:r>
          <w:rPr>
            <w:rFonts w:hint="cs"/>
            <w:rtl/>
          </w:rPr>
          <w:t xml:space="preserve"> </w:t>
        </w:r>
        <w:r>
          <w:rPr>
            <w:color w:val="1155CC"/>
            <w:u w:val="single"/>
          </w:rPr>
          <w:t>Payments for Ecosystem Services: A Best Practice Guide</w:t>
        </w:r>
      </w:hyperlink>
      <w:r>
        <w:t>. Birmingham City University. May 2013</w:t>
      </w:r>
    </w:p>
  </w:footnote>
  <w:footnote w:id="4">
    <w:p w14:paraId="39EF1DD7" w14:textId="77777777" w:rsidR="00FF66B0" w:rsidRDefault="00FF66B0" w:rsidP="00FF66B0">
      <w:pPr>
        <w:spacing w:line="240" w:lineRule="auto"/>
        <w:rPr>
          <w:sz w:val="20"/>
          <w:szCs w:val="20"/>
        </w:rPr>
      </w:pPr>
      <w:r>
        <w:rPr>
          <w:rStyle w:val="FootnoteReference"/>
        </w:rPr>
        <w:footnoteRef/>
      </w:r>
      <w:r>
        <w:t xml:space="preserve"> </w:t>
      </w:r>
      <w:hyperlink r:id="rId2">
        <w:r>
          <w:rPr>
            <w:rFonts w:ascii="Assistant" w:eastAsia="Assistant" w:hAnsi="Assistant" w:cs="Assistant"/>
            <w:color w:val="1155CC"/>
            <w:sz w:val="20"/>
            <w:szCs w:val="20"/>
            <w:u w:val="single"/>
          </w:rPr>
          <w:t xml:space="preserve">CompensACTION POLICY BRIEF </w:t>
        </w:r>
      </w:hyperlink>
      <w:r>
        <w:rPr>
          <w:sz w:val="20"/>
          <w:szCs w:val="20"/>
        </w:rPr>
        <w:t xml:space="preserve">. </w:t>
      </w:r>
      <w:r>
        <w:rPr>
          <w:rFonts w:ascii="Assistant" w:eastAsia="Assistant" w:hAnsi="Assistant" w:cs="Assistant"/>
          <w:sz w:val="20"/>
          <w:szCs w:val="20"/>
        </w:rPr>
        <w:t>November 2022</w:t>
      </w:r>
      <w:r>
        <w:rPr>
          <w:sz w:val="20"/>
          <w:szCs w:val="20"/>
        </w:rPr>
        <w:t xml:space="preserve"> </w:t>
      </w:r>
    </w:p>
    <w:p w14:paraId="25588418" w14:textId="77777777" w:rsidR="00FF66B0" w:rsidRPr="00733241" w:rsidRDefault="00FF66B0" w:rsidP="00FF66B0">
      <w:pPr>
        <w:pStyle w:val="FootnoteText"/>
        <w:rPr>
          <w:lang w:val="en-GB"/>
        </w:rPr>
      </w:pPr>
    </w:p>
  </w:footnote>
  <w:footnote w:id="5">
    <w:p w14:paraId="4FD04F08" w14:textId="77777777" w:rsidR="00FF66B0" w:rsidRPr="00C345B9" w:rsidRDefault="00FF66B0" w:rsidP="00FF66B0">
      <w:pPr>
        <w:pStyle w:val="FootnoteText"/>
        <w:rPr>
          <w:lang w:val="en-GB"/>
        </w:rPr>
      </w:pPr>
      <w:r>
        <w:rPr>
          <w:rStyle w:val="FootnoteReference"/>
        </w:rPr>
        <w:footnoteRef/>
      </w:r>
      <w:r>
        <w:t xml:space="preserve"> MRV – Measurement Reporting Verification is a multistage process for measuring the extent of greenhouse gas emissions reduction following a specific activity (such as reducing emissions through technological means or atmospheric carbon sequestration). The MRV process allows emissions reductions to be verified and for tradable carbon credits to be earned.</w:t>
      </w:r>
    </w:p>
  </w:footnote>
  <w:footnote w:id="6">
    <w:p w14:paraId="0574B63C" w14:textId="77777777" w:rsidR="00FF66B0" w:rsidRPr="002039E1" w:rsidRDefault="00FF66B0" w:rsidP="00FF66B0">
      <w:pPr>
        <w:pStyle w:val="FootnoteText"/>
        <w:rPr>
          <w:lang w:val="en-GB"/>
        </w:rPr>
      </w:pPr>
      <w:r>
        <w:rPr>
          <w:rStyle w:val="FootnoteReference"/>
        </w:rPr>
        <w:footnoteRef/>
      </w:r>
      <w:r>
        <w:t xml:space="preserve"> See </w:t>
      </w:r>
      <w:r w:rsidRPr="002039E1">
        <w:t>https://www.nycwatershed.org/</w:t>
      </w:r>
    </w:p>
  </w:footnote>
  <w:footnote w:id="7">
    <w:p w14:paraId="697FC47B" w14:textId="77777777" w:rsidR="00FF66B0" w:rsidRPr="002039E1" w:rsidRDefault="00FF66B0" w:rsidP="00FF66B0">
      <w:pPr>
        <w:pStyle w:val="FootnoteText"/>
        <w:rPr>
          <w:lang w:val="en-GB"/>
        </w:rPr>
      </w:pPr>
      <w:r>
        <w:rPr>
          <w:rStyle w:val="FootnoteReference"/>
        </w:rPr>
        <w:footnoteRef/>
      </w:r>
      <w:r>
        <w:t xml:space="preserve"> See </w:t>
      </w:r>
      <w:r w:rsidRPr="002039E1">
        <w:t>https://initiative20x20.org/restoration-projects/ecuadors-socio-bosque-program</w:t>
      </w:r>
    </w:p>
  </w:footnote>
  <w:footnote w:id="8">
    <w:p w14:paraId="65A194B9" w14:textId="77777777" w:rsidR="00FF66B0" w:rsidRPr="00581045" w:rsidRDefault="00FF66B0" w:rsidP="00FF66B0">
      <w:pPr>
        <w:pStyle w:val="FootnoteText"/>
        <w:rPr>
          <w:lang w:val="en-GB"/>
        </w:rPr>
      </w:pPr>
      <w:r>
        <w:rPr>
          <w:rStyle w:val="FootnoteReference"/>
        </w:rPr>
        <w:footnoteRef/>
      </w:r>
      <w:r>
        <w:t xml:space="preserve"> Environmental Management Protocols for Israeli Agriculture, October 2023. The document sets out an initiative as part of the national project to restore the Tzipori river, managed by the Kishon Drainage and Rivers Authority.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37482"/>
    <w:multiLevelType w:val="hybridMultilevel"/>
    <w:tmpl w:val="DF787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AF3328"/>
    <w:multiLevelType w:val="hybridMultilevel"/>
    <w:tmpl w:val="811A2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E0412A"/>
    <w:multiLevelType w:val="hybridMultilevel"/>
    <w:tmpl w:val="40686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E52321"/>
    <w:multiLevelType w:val="hybridMultilevel"/>
    <w:tmpl w:val="C11E5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414003"/>
    <w:multiLevelType w:val="hybridMultilevel"/>
    <w:tmpl w:val="9E34D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2E6D47"/>
    <w:multiLevelType w:val="hybridMultilevel"/>
    <w:tmpl w:val="202824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848207218">
    <w:abstractNumId w:val="1"/>
  </w:num>
  <w:num w:numId="2" w16cid:durableId="1350788508">
    <w:abstractNumId w:val="4"/>
  </w:num>
  <w:num w:numId="3" w16cid:durableId="1618676719">
    <w:abstractNumId w:val="5"/>
  </w:num>
  <w:num w:numId="4" w16cid:durableId="260646569">
    <w:abstractNumId w:val="2"/>
  </w:num>
  <w:num w:numId="5" w16cid:durableId="1691955718">
    <w:abstractNumId w:val="3"/>
  </w:num>
  <w:num w:numId="6" w16cid:durableId="20090152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B0"/>
    <w:rsid w:val="00184554"/>
    <w:rsid w:val="002361B0"/>
    <w:rsid w:val="00954D61"/>
    <w:rsid w:val="00F54B4B"/>
    <w:rsid w:val="00FE1FF8"/>
    <w:rsid w:val="00FF66B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73A9D"/>
  <w15:chartTrackingRefBased/>
  <w15:docId w15:val="{F6479D10-88A5-4CA1-B799-E15ECAD8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6B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character" w:styleId="CommentReference">
    <w:name w:val="annotation reference"/>
    <w:basedOn w:val="DefaultParagraphFont"/>
    <w:uiPriority w:val="99"/>
    <w:semiHidden/>
    <w:unhideWhenUsed/>
    <w:rsid w:val="00FF66B0"/>
    <w:rPr>
      <w:sz w:val="16"/>
      <w:szCs w:val="16"/>
    </w:rPr>
  </w:style>
  <w:style w:type="paragraph" w:styleId="ListParagraph">
    <w:name w:val="List Paragraph"/>
    <w:basedOn w:val="Normal"/>
    <w:uiPriority w:val="34"/>
    <w:qFormat/>
    <w:rsid w:val="00FF66B0"/>
    <w:pPr>
      <w:ind w:left="720"/>
      <w:contextualSpacing/>
    </w:pPr>
  </w:style>
  <w:style w:type="character" w:styleId="FootnoteReference">
    <w:name w:val="footnote reference"/>
    <w:basedOn w:val="DefaultParagraphFont"/>
    <w:uiPriority w:val="99"/>
    <w:semiHidden/>
    <w:unhideWhenUsed/>
    <w:rsid w:val="00FF66B0"/>
    <w:rPr>
      <w:vertAlign w:val="superscript"/>
    </w:rPr>
  </w:style>
  <w:style w:type="table" w:styleId="TableGrid">
    <w:name w:val="Table Grid"/>
    <w:basedOn w:val="TableNormal"/>
    <w:uiPriority w:val="39"/>
    <w:rsid w:val="00FF6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cgspace.cgiar.org/bitstream/handle/10568/125381/brief.pdf" TargetMode="External"/><Relationship Id="rId1" Type="http://schemas.openxmlformats.org/officeDocument/2006/relationships/hyperlink" Target="https://www.cbd.int/financial/pes/unitedkingdom-bestprac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1614</Words>
  <Characters>9200</Characters>
  <Application>Microsoft Office Word</Application>
  <DocSecurity>0</DocSecurity>
  <Lines>76</Lines>
  <Paragraphs>21</Paragraphs>
  <ScaleCrop>false</ScaleCrop>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1</cp:revision>
  <dcterms:created xsi:type="dcterms:W3CDTF">2024-09-04T12:55:00Z</dcterms:created>
  <dcterms:modified xsi:type="dcterms:W3CDTF">2024-09-04T12:55:00Z</dcterms:modified>
</cp:coreProperties>
</file>