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11CF4" w14:textId="513EDE68" w:rsidR="00F54B4B" w:rsidRDefault="00AD4DCB">
      <w:pPr>
        <w:rPr>
          <w:rFonts w:ascii="Times New Roman" w:hAnsi="Times New Roman" w:cs="Times New Roman"/>
          <w:sz w:val="24"/>
          <w:szCs w:val="24"/>
          <w:lang w:val="en-GB"/>
        </w:rPr>
      </w:pPr>
      <w:r w:rsidRPr="003E0F67">
        <w:rPr>
          <w:rFonts w:ascii="Times New Roman" w:hAnsi="Times New Roman" w:cs="Times New Roman"/>
          <w:b/>
          <w:bCs/>
          <w:sz w:val="24"/>
          <w:szCs w:val="24"/>
          <w:lang w:val="en-GB"/>
        </w:rPr>
        <w:t>Background</w:t>
      </w:r>
    </w:p>
    <w:p w14:paraId="18B3086A" w14:textId="05C84B29" w:rsidR="00AD4DCB" w:rsidRDefault="00AD4DCB" w:rsidP="00AD4DCB">
      <w:pPr>
        <w:rPr>
          <w:rFonts w:ascii="Times New Roman" w:hAnsi="Times New Roman" w:cs="Times New Roman"/>
          <w:sz w:val="24"/>
          <w:szCs w:val="24"/>
          <w:lang w:val="en-GB"/>
        </w:rPr>
      </w:pPr>
      <w:r>
        <w:rPr>
          <w:rFonts w:ascii="Times New Roman" w:hAnsi="Times New Roman" w:cs="Times New Roman"/>
          <w:sz w:val="24"/>
          <w:szCs w:val="24"/>
          <w:lang w:val="en-GB"/>
        </w:rPr>
        <w:t xml:space="preserve">The Israeli </w:t>
      </w:r>
      <w:commentRangeStart w:id="0"/>
      <w:r>
        <w:rPr>
          <w:rFonts w:ascii="Times New Roman" w:hAnsi="Times New Roman" w:cs="Times New Roman"/>
          <w:sz w:val="24"/>
          <w:szCs w:val="24"/>
          <w:lang w:val="en-GB"/>
        </w:rPr>
        <w:t xml:space="preserve">Producers </w:t>
      </w:r>
      <w:commentRangeEnd w:id="0"/>
      <w:r w:rsidR="003E0F67">
        <w:rPr>
          <w:rStyle w:val="CommentReference"/>
        </w:rPr>
        <w:commentReference w:id="0"/>
      </w:r>
      <w:r>
        <w:rPr>
          <w:rFonts w:ascii="Times New Roman" w:hAnsi="Times New Roman" w:cs="Times New Roman"/>
          <w:sz w:val="24"/>
          <w:szCs w:val="24"/>
          <w:lang w:val="en-GB"/>
        </w:rPr>
        <w:t>Association (IPA) is the oldest creators’ association in the country. It represents film and television producers. Over the past year, the IPA has been engaged in a struggle to defend press freedom</w:t>
      </w:r>
      <w:r w:rsidR="003E0F67">
        <w:rPr>
          <w:rFonts w:ascii="Times New Roman" w:hAnsi="Times New Roman" w:cs="Times New Roman"/>
          <w:sz w:val="24"/>
          <w:szCs w:val="24"/>
          <w:lang w:val="en-GB"/>
        </w:rPr>
        <w:t xml:space="preserve">. Threats include </w:t>
      </w:r>
      <w:r>
        <w:rPr>
          <w:rFonts w:ascii="Times New Roman" w:hAnsi="Times New Roman" w:cs="Times New Roman"/>
          <w:sz w:val="24"/>
          <w:szCs w:val="24"/>
          <w:lang w:val="en-GB"/>
        </w:rPr>
        <w:t>harm</w:t>
      </w:r>
      <w:r w:rsidR="003E0F67">
        <w:rPr>
          <w:rFonts w:ascii="Times New Roman" w:hAnsi="Times New Roman" w:cs="Times New Roman"/>
          <w:sz w:val="24"/>
          <w:szCs w:val="24"/>
          <w:lang w:val="en-GB"/>
        </w:rPr>
        <w:t>ing</w:t>
      </w:r>
      <w:r>
        <w:rPr>
          <w:rFonts w:ascii="Times New Roman" w:hAnsi="Times New Roman" w:cs="Times New Roman"/>
          <w:sz w:val="24"/>
          <w:szCs w:val="24"/>
          <w:lang w:val="en-GB"/>
        </w:rPr>
        <w:t xml:space="preserve"> the Israeli Public Broadcasting Corporation (IPBC) by slashing its budget, and </w:t>
      </w:r>
      <w:r w:rsidR="003E0F67">
        <w:rPr>
          <w:rFonts w:ascii="Times New Roman" w:hAnsi="Times New Roman" w:cs="Times New Roman"/>
          <w:sz w:val="24"/>
          <w:szCs w:val="24"/>
          <w:lang w:val="en-GB"/>
        </w:rPr>
        <w:t xml:space="preserve">the appointment of </w:t>
      </w:r>
      <w:r>
        <w:rPr>
          <w:rFonts w:ascii="Times New Roman" w:hAnsi="Times New Roman" w:cs="Times New Roman"/>
          <w:sz w:val="24"/>
          <w:szCs w:val="24"/>
          <w:lang w:val="en-GB"/>
        </w:rPr>
        <w:t xml:space="preserve">individuals with political interests. The IPA </w:t>
      </w:r>
      <w:r w:rsidR="003E0F67">
        <w:rPr>
          <w:rFonts w:ascii="Times New Roman" w:hAnsi="Times New Roman" w:cs="Times New Roman"/>
          <w:sz w:val="24"/>
          <w:szCs w:val="24"/>
          <w:lang w:val="en-GB"/>
        </w:rPr>
        <w:t xml:space="preserve">has engaged in </w:t>
      </w:r>
      <w:r>
        <w:rPr>
          <w:rFonts w:ascii="Times New Roman" w:hAnsi="Times New Roman" w:cs="Times New Roman"/>
          <w:sz w:val="24"/>
          <w:szCs w:val="24"/>
          <w:lang w:val="en-GB"/>
        </w:rPr>
        <w:t>legal activity, letter</w:t>
      </w:r>
      <w:r w:rsidR="003E0F6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writing, publishing informational articles, and applying pressure both publicly and behind the scenes. </w:t>
      </w:r>
      <w:r w:rsidR="003E0F67">
        <w:rPr>
          <w:rFonts w:ascii="Times New Roman" w:hAnsi="Times New Roman" w:cs="Times New Roman"/>
          <w:sz w:val="24"/>
          <w:szCs w:val="24"/>
          <w:lang w:val="en-GB"/>
        </w:rPr>
        <w:t xml:space="preserve">It </w:t>
      </w:r>
      <w:r>
        <w:rPr>
          <w:rFonts w:ascii="Times New Roman" w:hAnsi="Times New Roman" w:cs="Times New Roman"/>
          <w:sz w:val="24"/>
          <w:szCs w:val="24"/>
          <w:lang w:val="en-GB"/>
        </w:rPr>
        <w:t>has been successful in this work – achievements include removing the previous head of the selection committee and thwarting proposed legislation that would have benefited Channel 14 at the expense of the IPBC.</w:t>
      </w:r>
    </w:p>
    <w:p w14:paraId="4DA626D5" w14:textId="330E9142" w:rsidR="00AD4DCB" w:rsidRDefault="00AD4DCB" w:rsidP="00AD4DCB">
      <w:pPr>
        <w:rPr>
          <w:rFonts w:ascii="Times New Roman" w:hAnsi="Times New Roman" w:cs="Times New Roman"/>
          <w:sz w:val="24"/>
          <w:szCs w:val="24"/>
          <w:lang w:val="en-GB"/>
        </w:rPr>
      </w:pPr>
      <w:r>
        <w:rPr>
          <w:rFonts w:ascii="Times New Roman" w:hAnsi="Times New Roman" w:cs="Times New Roman"/>
          <w:sz w:val="24"/>
          <w:szCs w:val="24"/>
          <w:lang w:val="en-GB"/>
        </w:rPr>
        <w:t>Currently, the IPA is in talks with the Minister of Communication</w:t>
      </w:r>
      <w:r w:rsidR="001F1578">
        <w:rPr>
          <w:rFonts w:ascii="Times New Roman" w:hAnsi="Times New Roman" w:cs="Times New Roman"/>
          <w:sz w:val="24"/>
          <w:szCs w:val="24"/>
          <w:lang w:val="en-GB"/>
        </w:rPr>
        <w:t>s</w:t>
      </w:r>
      <w:r>
        <w:rPr>
          <w:rFonts w:ascii="Times New Roman" w:hAnsi="Times New Roman" w:cs="Times New Roman"/>
          <w:sz w:val="24"/>
          <w:szCs w:val="24"/>
          <w:lang w:val="en-GB"/>
        </w:rPr>
        <w:t xml:space="preserve"> to prevent the appointment of a political figure </w:t>
      </w:r>
      <w:r w:rsidR="001F1578">
        <w:rPr>
          <w:rFonts w:ascii="Times New Roman" w:hAnsi="Times New Roman" w:cs="Times New Roman"/>
          <w:sz w:val="24"/>
          <w:szCs w:val="24"/>
          <w:lang w:val="en-GB"/>
        </w:rPr>
        <w:t>as</w:t>
      </w:r>
      <w:r>
        <w:rPr>
          <w:rFonts w:ascii="Times New Roman" w:hAnsi="Times New Roman" w:cs="Times New Roman"/>
          <w:sz w:val="24"/>
          <w:szCs w:val="24"/>
          <w:lang w:val="en-GB"/>
        </w:rPr>
        <w:t xml:space="preserve"> head </w:t>
      </w:r>
      <w:r w:rsidR="001F1578">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the Second Authority for Television and Radio. This post has the authority to impose sanctions on Channels 12 and 13, and to grant benefits to Channel 14, </w:t>
      </w:r>
      <w:r w:rsidR="001F1578">
        <w:rPr>
          <w:rFonts w:ascii="Times New Roman" w:hAnsi="Times New Roman" w:cs="Times New Roman"/>
          <w:sz w:val="24"/>
          <w:szCs w:val="24"/>
          <w:lang w:val="en-GB"/>
        </w:rPr>
        <w:t>which could potentially</w:t>
      </w:r>
      <w:r>
        <w:rPr>
          <w:rFonts w:ascii="Times New Roman" w:hAnsi="Times New Roman" w:cs="Times New Roman"/>
          <w:sz w:val="24"/>
          <w:szCs w:val="24"/>
          <w:lang w:val="en-GB"/>
        </w:rPr>
        <w:t xml:space="preserve"> lead to sanctions against the management of those channels. </w:t>
      </w:r>
      <w:r w:rsidR="001F1578">
        <w:rPr>
          <w:rFonts w:ascii="Times New Roman" w:hAnsi="Times New Roman" w:cs="Times New Roman"/>
          <w:sz w:val="24"/>
          <w:szCs w:val="24"/>
          <w:lang w:val="en-GB"/>
        </w:rPr>
        <w:t xml:space="preserve">This in </w:t>
      </w:r>
      <w:r>
        <w:rPr>
          <w:rFonts w:ascii="Times New Roman" w:hAnsi="Times New Roman" w:cs="Times New Roman"/>
          <w:sz w:val="24"/>
          <w:szCs w:val="24"/>
          <w:lang w:val="en-GB"/>
        </w:rPr>
        <w:t>turn may result in the inclusion of more right-leaning commentators and analysts. Further, the IPA is promoting a liberal candidate for the post of head of the Second Authority.</w:t>
      </w:r>
    </w:p>
    <w:p w14:paraId="40FEABE1" w14:textId="5480AD57" w:rsidR="00D67D3A" w:rsidRDefault="00D67D3A" w:rsidP="00AD4DCB">
      <w:pPr>
        <w:rPr>
          <w:rFonts w:ascii="Times New Roman" w:hAnsi="Times New Roman" w:cs="Times New Roman"/>
          <w:sz w:val="24"/>
          <w:szCs w:val="24"/>
          <w:lang w:val="en-GB"/>
        </w:rPr>
      </w:pPr>
      <w:r>
        <w:rPr>
          <w:rFonts w:ascii="Times New Roman" w:hAnsi="Times New Roman" w:cs="Times New Roman"/>
          <w:sz w:val="24"/>
          <w:szCs w:val="24"/>
          <w:lang w:val="en-GB"/>
        </w:rPr>
        <w:t>We are seeking an emergency grant to support this legal and public struggle, a</w:t>
      </w:r>
      <w:r w:rsidR="008A3A98">
        <w:rPr>
          <w:rFonts w:ascii="Times New Roman" w:hAnsi="Times New Roman" w:cs="Times New Roman"/>
          <w:sz w:val="24"/>
          <w:szCs w:val="24"/>
          <w:lang w:val="en-GB"/>
        </w:rPr>
        <w:t>s well as</w:t>
      </w:r>
      <w:r>
        <w:rPr>
          <w:rFonts w:ascii="Times New Roman" w:hAnsi="Times New Roman" w:cs="Times New Roman"/>
          <w:sz w:val="24"/>
          <w:szCs w:val="24"/>
          <w:lang w:val="en-GB"/>
        </w:rPr>
        <w:t xml:space="preserve"> the </w:t>
      </w:r>
      <w:r w:rsidR="008A3A98">
        <w:rPr>
          <w:rFonts w:ascii="Times New Roman" w:hAnsi="Times New Roman" w:cs="Times New Roman"/>
          <w:sz w:val="24"/>
          <w:szCs w:val="24"/>
          <w:lang w:val="en-GB"/>
        </w:rPr>
        <w:t xml:space="preserve">IPA’s </w:t>
      </w:r>
      <w:r>
        <w:rPr>
          <w:rFonts w:ascii="Times New Roman" w:hAnsi="Times New Roman" w:cs="Times New Roman"/>
          <w:sz w:val="24"/>
          <w:szCs w:val="24"/>
          <w:lang w:val="en-GB"/>
        </w:rPr>
        <w:t xml:space="preserve">lobbying </w:t>
      </w:r>
      <w:r w:rsidR="008A3A98">
        <w:rPr>
          <w:rFonts w:ascii="Times New Roman" w:hAnsi="Times New Roman" w:cs="Times New Roman"/>
          <w:sz w:val="24"/>
          <w:szCs w:val="24"/>
          <w:lang w:val="en-GB"/>
        </w:rPr>
        <w:t xml:space="preserve">work </w:t>
      </w:r>
      <w:r>
        <w:rPr>
          <w:rFonts w:ascii="Times New Roman" w:hAnsi="Times New Roman" w:cs="Times New Roman"/>
          <w:sz w:val="24"/>
          <w:szCs w:val="24"/>
          <w:lang w:val="en-GB"/>
        </w:rPr>
        <w:t>to protect press freedom</w:t>
      </w:r>
      <w:r w:rsidR="008A3A98">
        <w:rPr>
          <w:rFonts w:ascii="Times New Roman" w:hAnsi="Times New Roman" w:cs="Times New Roman"/>
          <w:sz w:val="24"/>
          <w:szCs w:val="24"/>
          <w:lang w:val="en-GB"/>
        </w:rPr>
        <w:t xml:space="preserve">. This application is made </w:t>
      </w:r>
      <w:r>
        <w:rPr>
          <w:rFonts w:ascii="Times New Roman" w:hAnsi="Times New Roman" w:cs="Times New Roman"/>
          <w:sz w:val="24"/>
          <w:szCs w:val="24"/>
          <w:lang w:val="en-GB"/>
        </w:rPr>
        <w:t>in light of the anticipated reform</w:t>
      </w:r>
      <w:r w:rsidR="008A3A98">
        <w:rPr>
          <w:rFonts w:ascii="Times New Roman" w:hAnsi="Times New Roman" w:cs="Times New Roman"/>
          <w:sz w:val="24"/>
          <w:szCs w:val="24"/>
          <w:lang w:val="en-GB"/>
        </w:rPr>
        <w:t xml:space="preserve">, </w:t>
      </w:r>
      <w:r>
        <w:rPr>
          <w:rFonts w:ascii="Times New Roman" w:hAnsi="Times New Roman" w:cs="Times New Roman"/>
          <w:sz w:val="24"/>
          <w:szCs w:val="24"/>
          <w:lang w:val="en-GB"/>
        </w:rPr>
        <w:t>and in view of the IPA’s successes to date in this area.</w:t>
      </w:r>
    </w:p>
    <w:p w14:paraId="7E157E7C" w14:textId="1456FD6F" w:rsidR="00D67D3A" w:rsidRDefault="00D67D3A" w:rsidP="00AD4DCB">
      <w:pPr>
        <w:rPr>
          <w:rFonts w:ascii="Times New Roman" w:hAnsi="Times New Roman" w:cs="Times New Roman"/>
          <w:sz w:val="24"/>
          <w:szCs w:val="24"/>
          <w:lang w:val="en-GB"/>
        </w:rPr>
      </w:pPr>
      <w:r w:rsidRPr="003E0F67">
        <w:rPr>
          <w:rFonts w:ascii="Times New Roman" w:hAnsi="Times New Roman" w:cs="Times New Roman"/>
          <w:b/>
          <w:bCs/>
          <w:sz w:val="24"/>
          <w:szCs w:val="24"/>
          <w:lang w:val="en-GB"/>
        </w:rPr>
        <w:t>Workplan</w:t>
      </w:r>
    </w:p>
    <w:p w14:paraId="42A9BA1A" w14:textId="1B3437B1" w:rsidR="00D67D3A" w:rsidRDefault="00D67D3A" w:rsidP="00AD4DCB">
      <w:pPr>
        <w:rPr>
          <w:rFonts w:ascii="Times New Roman" w:hAnsi="Times New Roman" w:cs="Times New Roman"/>
          <w:sz w:val="24"/>
          <w:szCs w:val="24"/>
          <w:lang w:val="en-GB"/>
        </w:rPr>
      </w:pPr>
      <w:r>
        <w:rPr>
          <w:rFonts w:ascii="Times New Roman" w:hAnsi="Times New Roman" w:cs="Times New Roman"/>
          <w:sz w:val="24"/>
          <w:szCs w:val="24"/>
          <w:lang w:val="en-GB"/>
        </w:rPr>
        <w:t xml:space="preserve">The IPA’s workplan includes behind-the-scenes lobbying work, legal work, and public-facing </w:t>
      </w:r>
      <w:r w:rsidR="008A3A98">
        <w:rPr>
          <w:rFonts w:ascii="Times New Roman" w:hAnsi="Times New Roman" w:cs="Times New Roman"/>
          <w:sz w:val="24"/>
          <w:szCs w:val="24"/>
          <w:lang w:val="en-GB"/>
        </w:rPr>
        <w:t>activities</w:t>
      </w:r>
      <w:r>
        <w:rPr>
          <w:rFonts w:ascii="Times New Roman" w:hAnsi="Times New Roman" w:cs="Times New Roman"/>
          <w:sz w:val="24"/>
          <w:szCs w:val="24"/>
          <w:lang w:val="en-GB"/>
        </w:rPr>
        <w:t xml:space="preserve"> aimed at preventing damage to the media market. Goals include:</w:t>
      </w:r>
    </w:p>
    <w:p w14:paraId="3255B1BE" w14:textId="16901515" w:rsidR="00D67D3A" w:rsidRDefault="00D67D3A" w:rsidP="00D67D3A">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Monitoring and preventing political appointments of Netanyahu’s and </w:t>
      </w:r>
      <w:proofErr w:type="spellStart"/>
      <w:r>
        <w:rPr>
          <w:rFonts w:ascii="Times New Roman" w:hAnsi="Times New Roman" w:cs="Times New Roman"/>
          <w:sz w:val="24"/>
          <w:szCs w:val="24"/>
          <w:lang w:val="en-GB"/>
        </w:rPr>
        <w:t>Karhi’s</w:t>
      </w:r>
      <w:proofErr w:type="spellEnd"/>
      <w:r>
        <w:rPr>
          <w:rFonts w:ascii="Times New Roman" w:hAnsi="Times New Roman" w:cs="Times New Roman"/>
          <w:sz w:val="24"/>
          <w:szCs w:val="24"/>
          <w:lang w:val="en-GB"/>
        </w:rPr>
        <w:t xml:space="preserve"> people to the boards of the IPBC and the Second Authority for Television and Radio.</w:t>
      </w:r>
    </w:p>
    <w:p w14:paraId="0D5C3BF5" w14:textId="26142BF8" w:rsidR="00D67D3A" w:rsidRDefault="00D67D3A" w:rsidP="00D67D3A">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Promoting liberal candidates </w:t>
      </w:r>
      <w:r w:rsidR="008A3A98">
        <w:rPr>
          <w:rFonts w:ascii="Times New Roman" w:hAnsi="Times New Roman" w:cs="Times New Roman"/>
          <w:sz w:val="24"/>
          <w:szCs w:val="24"/>
          <w:lang w:val="en-GB"/>
        </w:rPr>
        <w:t>for</w:t>
      </w:r>
      <w:r>
        <w:rPr>
          <w:rFonts w:ascii="Times New Roman" w:hAnsi="Times New Roman" w:cs="Times New Roman"/>
          <w:sz w:val="24"/>
          <w:szCs w:val="24"/>
          <w:lang w:val="en-GB"/>
        </w:rPr>
        <w:t xml:space="preserve"> these boards.</w:t>
      </w:r>
    </w:p>
    <w:p w14:paraId="2FBC3507" w14:textId="34BD9943" w:rsidR="00D67D3A" w:rsidRDefault="00D67D3A" w:rsidP="00D67D3A">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Lobbying the Ministry of Culture to prevent the film industry reform proposed by Minister Miki Zohar.</w:t>
      </w:r>
    </w:p>
    <w:p w14:paraId="5E0F596C" w14:textId="5104F5BF" w:rsidR="00D67D3A" w:rsidRDefault="00D67D3A" w:rsidP="00D67D3A">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A public-facing campaign on this issue.</w:t>
      </w:r>
    </w:p>
    <w:p w14:paraId="3199F7FA" w14:textId="2FDD5E2A" w:rsidR="00D67D3A" w:rsidRDefault="00D67D3A" w:rsidP="00D67D3A">
      <w:pPr>
        <w:rPr>
          <w:rFonts w:ascii="Times New Roman" w:hAnsi="Times New Roman" w:cs="Times New Roman"/>
          <w:sz w:val="24"/>
          <w:szCs w:val="24"/>
          <w:lang w:val="en-GB"/>
        </w:rPr>
      </w:pPr>
      <w:r w:rsidRPr="003E0F67">
        <w:rPr>
          <w:rFonts w:ascii="Times New Roman" w:hAnsi="Times New Roman" w:cs="Times New Roman"/>
          <w:b/>
          <w:bCs/>
          <w:sz w:val="24"/>
          <w:szCs w:val="24"/>
          <w:lang w:val="en-GB"/>
        </w:rPr>
        <w:t>Budget</w:t>
      </w:r>
    </w:p>
    <w:p w14:paraId="6D2AF617" w14:textId="2C829FC6"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t>The IPA is requesting a budget of $120,000 for three months of intensive work on this project. We are recommending a grant of $30,000 that will allow the IPA to get the project off the ground and to leverage resources from other sources.</w:t>
      </w:r>
    </w:p>
    <w:p w14:paraId="4A471684" w14:textId="58D1AAA5"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lastRenderedPageBreak/>
        <w:t>Project budget:</w:t>
      </w:r>
    </w:p>
    <w:p w14:paraId="6C0DE56F" w14:textId="05E20008"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t>Salaries -- $90,000</w:t>
      </w:r>
    </w:p>
    <w:p w14:paraId="76C9BA43" w14:textId="452069C3"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t>Legal costs -- $15,000</w:t>
      </w:r>
    </w:p>
    <w:p w14:paraId="406C7E67" w14:textId="641BFF5C"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t>P</w:t>
      </w:r>
      <w:r w:rsidR="003E0F67">
        <w:rPr>
          <w:rFonts w:ascii="Times New Roman" w:hAnsi="Times New Roman" w:cs="Times New Roman"/>
          <w:sz w:val="24"/>
          <w:szCs w:val="24"/>
          <w:lang w:val="en-GB"/>
        </w:rPr>
        <w:t>ublic relations</w:t>
      </w:r>
      <w:r>
        <w:rPr>
          <w:rFonts w:ascii="Times New Roman" w:hAnsi="Times New Roman" w:cs="Times New Roman"/>
          <w:sz w:val="24"/>
          <w:szCs w:val="24"/>
          <w:lang w:val="en-GB"/>
        </w:rPr>
        <w:t xml:space="preserve"> -- $5,000</w:t>
      </w:r>
    </w:p>
    <w:p w14:paraId="1A7CF8E8" w14:textId="1D4EC267"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t>Research -- $6,000</w:t>
      </w:r>
    </w:p>
    <w:p w14:paraId="096F58C1" w14:textId="726FBC44" w:rsidR="00D67D3A" w:rsidRDefault="00D67D3A" w:rsidP="00D67D3A">
      <w:pPr>
        <w:rPr>
          <w:rFonts w:ascii="Times New Roman" w:hAnsi="Times New Roman" w:cs="Times New Roman"/>
          <w:sz w:val="24"/>
          <w:szCs w:val="24"/>
          <w:lang w:val="en-GB"/>
        </w:rPr>
      </w:pPr>
      <w:r>
        <w:rPr>
          <w:rFonts w:ascii="Times New Roman" w:hAnsi="Times New Roman" w:cs="Times New Roman"/>
          <w:sz w:val="24"/>
          <w:szCs w:val="24"/>
          <w:lang w:val="en-GB"/>
        </w:rPr>
        <w:t>Unexpected costs -- $4,000</w:t>
      </w:r>
    </w:p>
    <w:p w14:paraId="7BD4797F" w14:textId="5133335E" w:rsidR="00D67D3A" w:rsidRDefault="00D67D3A" w:rsidP="00D67D3A">
      <w:pPr>
        <w:rPr>
          <w:rFonts w:ascii="Times New Roman" w:hAnsi="Times New Roman" w:cs="Times New Roman"/>
          <w:sz w:val="24"/>
          <w:szCs w:val="24"/>
          <w:lang w:val="en-GB"/>
        </w:rPr>
      </w:pPr>
      <w:r w:rsidRPr="003E0F67">
        <w:rPr>
          <w:rFonts w:ascii="Times New Roman" w:hAnsi="Times New Roman" w:cs="Times New Roman"/>
          <w:b/>
          <w:bCs/>
          <w:sz w:val="24"/>
          <w:szCs w:val="24"/>
          <w:lang w:val="en-GB"/>
        </w:rPr>
        <w:t>Metrics</w:t>
      </w:r>
    </w:p>
    <w:p w14:paraId="0FF346B4" w14:textId="1EFDAE0C" w:rsidR="00D67D3A" w:rsidRDefault="00D67D3A" w:rsidP="00D67D3A">
      <w:pPr>
        <w:rPr>
          <w:rFonts w:ascii="Times New Roman" w:hAnsi="Times New Roman" w:cs="Times New Roman"/>
          <w:sz w:val="24"/>
          <w:szCs w:val="24"/>
          <w:lang w:val="en-GB"/>
        </w:rPr>
      </w:pPr>
      <w:r w:rsidRPr="003E0F67">
        <w:rPr>
          <w:rFonts w:ascii="Times New Roman" w:hAnsi="Times New Roman" w:cs="Times New Roman"/>
          <w:b/>
          <w:bCs/>
          <w:sz w:val="24"/>
          <w:szCs w:val="24"/>
          <w:lang w:val="en-GB"/>
        </w:rPr>
        <w:t>Outputs</w:t>
      </w:r>
    </w:p>
    <w:p w14:paraId="07B7DB5D" w14:textId="69406F97" w:rsidR="00D67D3A" w:rsidRDefault="00D67D3A" w:rsidP="00D67D3A">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The IPBC council – to bring about the removal of the current </w:t>
      </w:r>
      <w:r w:rsidR="003E0F67">
        <w:rPr>
          <w:rFonts w:ascii="Times New Roman" w:hAnsi="Times New Roman" w:cs="Times New Roman"/>
          <w:sz w:val="24"/>
          <w:szCs w:val="24"/>
          <w:lang w:val="en-GB"/>
        </w:rPr>
        <w:t xml:space="preserve">committee chair </w:t>
      </w:r>
      <w:commentRangeStart w:id="1"/>
      <w:r w:rsidR="003E0F67">
        <w:rPr>
          <w:rFonts w:ascii="Times New Roman" w:hAnsi="Times New Roman" w:cs="Times New Roman"/>
          <w:sz w:val="24"/>
          <w:szCs w:val="24"/>
          <w:lang w:val="en-GB"/>
        </w:rPr>
        <w:t xml:space="preserve">before </w:t>
      </w:r>
      <w:commentRangeEnd w:id="1"/>
      <w:r w:rsidR="003E0F67">
        <w:rPr>
          <w:rStyle w:val="CommentReference"/>
        </w:rPr>
        <w:commentReference w:id="1"/>
      </w:r>
      <w:r w:rsidR="003E0F67">
        <w:rPr>
          <w:rFonts w:ascii="Times New Roman" w:hAnsi="Times New Roman" w:cs="Times New Roman"/>
          <w:sz w:val="24"/>
          <w:szCs w:val="24"/>
          <w:lang w:val="en-GB"/>
        </w:rPr>
        <w:t xml:space="preserve">Netanyahu’s and </w:t>
      </w:r>
      <w:proofErr w:type="spellStart"/>
      <w:r w:rsidR="003E0F67">
        <w:rPr>
          <w:rFonts w:ascii="Times New Roman" w:hAnsi="Times New Roman" w:cs="Times New Roman"/>
          <w:sz w:val="24"/>
          <w:szCs w:val="24"/>
          <w:lang w:val="en-GB"/>
        </w:rPr>
        <w:t>Karhi’s</w:t>
      </w:r>
      <w:proofErr w:type="spellEnd"/>
      <w:r w:rsidR="003E0F67">
        <w:rPr>
          <w:rFonts w:ascii="Times New Roman" w:hAnsi="Times New Roman" w:cs="Times New Roman"/>
          <w:sz w:val="24"/>
          <w:szCs w:val="24"/>
          <w:lang w:val="en-GB"/>
        </w:rPr>
        <w:t xml:space="preserve"> associates are appointed to the IPBC council.</w:t>
      </w:r>
    </w:p>
    <w:p w14:paraId="4673C080" w14:textId="3AFA260C" w:rsidR="003E0F67" w:rsidRDefault="003E0F67" w:rsidP="00D67D3A">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Second Authority Council – to prevent a political appointee becoming chair of the Second Authority, a move that would allow Netanyahu and </w:t>
      </w:r>
      <w:proofErr w:type="spellStart"/>
      <w:r>
        <w:rPr>
          <w:rFonts w:ascii="Times New Roman" w:hAnsi="Times New Roman" w:cs="Times New Roman"/>
          <w:sz w:val="24"/>
          <w:szCs w:val="24"/>
          <w:lang w:val="en-GB"/>
        </w:rPr>
        <w:t>Karhi</w:t>
      </w:r>
      <w:proofErr w:type="spellEnd"/>
      <w:r>
        <w:rPr>
          <w:rFonts w:ascii="Times New Roman" w:hAnsi="Times New Roman" w:cs="Times New Roman"/>
          <w:sz w:val="24"/>
          <w:szCs w:val="24"/>
          <w:lang w:val="en-GB"/>
        </w:rPr>
        <w:t xml:space="preserve"> to put pressure on the news corporations of Channels 12 and 13.</w:t>
      </w:r>
    </w:p>
    <w:p w14:paraId="4880BE91" w14:textId="6F285FBD" w:rsidR="003E0F67" w:rsidRPr="003E0F67" w:rsidRDefault="003E0F67" w:rsidP="003E0F67">
      <w:pPr>
        <w:rPr>
          <w:rFonts w:ascii="Times New Roman" w:hAnsi="Times New Roman" w:cs="Times New Roman"/>
          <w:b/>
          <w:bCs/>
          <w:sz w:val="24"/>
          <w:szCs w:val="24"/>
          <w:lang w:val="en-GB"/>
        </w:rPr>
      </w:pPr>
      <w:r w:rsidRPr="003E0F67">
        <w:rPr>
          <w:rFonts w:ascii="Times New Roman" w:hAnsi="Times New Roman" w:cs="Times New Roman"/>
          <w:b/>
          <w:bCs/>
          <w:sz w:val="24"/>
          <w:szCs w:val="24"/>
          <w:lang w:val="en-GB"/>
        </w:rPr>
        <w:t>Purpose of the grant</w:t>
      </w:r>
    </w:p>
    <w:p w14:paraId="0DBD0741" w14:textId="23BE3ACF" w:rsidR="003E0F67" w:rsidRPr="003E0F67" w:rsidRDefault="003E0F67" w:rsidP="003E0F67">
      <w:pPr>
        <w:rPr>
          <w:rFonts w:ascii="Times New Roman" w:hAnsi="Times New Roman" w:cs="Times New Roman"/>
          <w:sz w:val="24"/>
          <w:szCs w:val="24"/>
          <w:lang w:val="en-GB"/>
        </w:rPr>
      </w:pPr>
      <w:r>
        <w:rPr>
          <w:rFonts w:ascii="Times New Roman" w:hAnsi="Times New Roman" w:cs="Times New Roman"/>
          <w:sz w:val="24"/>
          <w:szCs w:val="24"/>
          <w:lang w:val="en-GB"/>
        </w:rPr>
        <w:t xml:space="preserve">To support the IPA’s struggle against Minister Shlomo </w:t>
      </w:r>
      <w:proofErr w:type="spellStart"/>
      <w:r>
        <w:rPr>
          <w:rFonts w:ascii="Times New Roman" w:hAnsi="Times New Roman" w:cs="Times New Roman"/>
          <w:sz w:val="24"/>
          <w:szCs w:val="24"/>
          <w:lang w:val="en-GB"/>
        </w:rPr>
        <w:t>Karhi’s</w:t>
      </w:r>
      <w:proofErr w:type="spellEnd"/>
      <w:r>
        <w:rPr>
          <w:rFonts w:ascii="Times New Roman" w:hAnsi="Times New Roman" w:cs="Times New Roman"/>
          <w:sz w:val="24"/>
          <w:szCs w:val="24"/>
          <w:lang w:val="en-GB"/>
        </w:rPr>
        <w:t xml:space="preserve"> efforts to shrink the </w:t>
      </w:r>
      <w:commentRangeStart w:id="2"/>
      <w:r>
        <w:rPr>
          <w:rFonts w:ascii="Times New Roman" w:hAnsi="Times New Roman" w:cs="Times New Roman"/>
          <w:sz w:val="24"/>
          <w:szCs w:val="24"/>
          <w:lang w:val="en-GB"/>
        </w:rPr>
        <w:t xml:space="preserve">media </w:t>
      </w:r>
      <w:commentRangeEnd w:id="2"/>
      <w:r>
        <w:rPr>
          <w:rStyle w:val="CommentReference"/>
        </w:rPr>
        <w:commentReference w:id="2"/>
      </w:r>
      <w:r>
        <w:rPr>
          <w:rFonts w:ascii="Times New Roman" w:hAnsi="Times New Roman" w:cs="Times New Roman"/>
          <w:sz w:val="24"/>
          <w:szCs w:val="24"/>
          <w:lang w:val="en-GB"/>
        </w:rPr>
        <w:t>space in Israel.</w:t>
      </w:r>
    </w:p>
    <w:sectPr w:rsidR="003E0F67" w:rsidRPr="003E0F67" w:rsidSect="003E0F67">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9-09T11:20:00Z" w:initials="J">
    <w:p w14:paraId="53E2E20D" w14:textId="77777777" w:rsidR="003E0F67" w:rsidRDefault="003E0F67" w:rsidP="003E0F67">
      <w:pPr>
        <w:pStyle w:val="CommentText0"/>
      </w:pPr>
      <w:r>
        <w:rPr>
          <w:rStyle w:val="CommentReference"/>
        </w:rPr>
        <w:annotationRef/>
      </w:r>
      <w:hyperlink r:id="rId1" w:history="1">
        <w:r w:rsidRPr="005F4ACF">
          <w:rPr>
            <w:rStyle w:val="Hyperlink"/>
            <w:rFonts w:hint="eastAsia"/>
            <w:rtl/>
            <w:lang w:bidi="he-IL"/>
          </w:rPr>
          <w:t>איגוד</w:t>
        </w:r>
        <w:r w:rsidRPr="005F4ACF">
          <w:rPr>
            <w:rStyle w:val="Hyperlink"/>
            <w:rtl/>
            <w:lang w:bidi="he-IL"/>
          </w:rPr>
          <w:t xml:space="preserve"> מפיקי הטלוויזיה והקולנוע בישראל – איגוד מפיקי הטלוויזיה והקולנוע (</w:t>
        </w:r>
      </w:hyperlink>
      <w:hyperlink r:id="rId2" w:history="1">
        <w:r w:rsidRPr="005F4ACF">
          <w:rPr>
            <w:rStyle w:val="Hyperlink"/>
          </w:rPr>
          <w:t>producers.org.il</w:t>
        </w:r>
      </w:hyperlink>
      <w:hyperlink r:id="rId3" w:history="1">
        <w:r w:rsidRPr="005F4ACF">
          <w:rPr>
            <w:rStyle w:val="Hyperlink"/>
            <w:rtl/>
            <w:lang w:bidi="he-IL"/>
          </w:rPr>
          <w:t>)</w:t>
        </w:r>
      </w:hyperlink>
      <w:r>
        <w:t xml:space="preserve"> </w:t>
      </w:r>
    </w:p>
  </w:comment>
  <w:comment w:id="1" w:author="JJ" w:date="2024-09-09T11:21:00Z" w:initials="J">
    <w:p w14:paraId="1F15744D" w14:textId="77777777" w:rsidR="003E0F67" w:rsidRDefault="003E0F67" w:rsidP="003E0F67">
      <w:pPr>
        <w:pStyle w:val="CommentText0"/>
      </w:pPr>
      <w:r>
        <w:rPr>
          <w:rStyle w:val="CommentReference"/>
        </w:rPr>
        <w:annotationRef/>
      </w:r>
      <w:r>
        <w:rPr>
          <w:lang w:val="en-GB"/>
        </w:rPr>
        <w:t>Perhaps “to prevent the appointment of” would work better here.</w:t>
      </w:r>
    </w:p>
  </w:comment>
  <w:comment w:id="2" w:author="JJ" w:date="2024-09-09T11:20:00Z" w:initials="J">
    <w:p w14:paraId="3A30C44B" w14:textId="3CEA7B33" w:rsidR="003E0F67" w:rsidRDefault="003E0F67" w:rsidP="003E0F67">
      <w:pPr>
        <w:pStyle w:val="CommentText0"/>
      </w:pPr>
      <w:r>
        <w:rPr>
          <w:rStyle w:val="CommentReference"/>
        </w:rPr>
        <w:annotationRef/>
      </w:r>
      <w:r>
        <w:rPr>
          <w:lang w:val="en-GB"/>
        </w:rPr>
        <w:t>Is this what is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E2E20D" w15:done="0"/>
  <w15:commentEx w15:paraId="1F15744D" w15:done="0"/>
  <w15:commentEx w15:paraId="3A30C4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5ABDCE" w16cex:dateUtc="2024-09-09T10:20:00Z"/>
  <w16cex:commentExtensible w16cex:durableId="7F2355DF" w16cex:dateUtc="2024-09-09T10:21:00Z"/>
  <w16cex:commentExtensible w16cex:durableId="347A6A73" w16cex:dateUtc="2024-09-09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E2E20D" w16cid:durableId="505ABDCE"/>
  <w16cid:commentId w16cid:paraId="1F15744D" w16cid:durableId="7F2355DF"/>
  <w16cid:commentId w16cid:paraId="3A30C44B" w16cid:durableId="347A6A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750E"/>
    <w:multiLevelType w:val="hybridMultilevel"/>
    <w:tmpl w:val="F820A51A"/>
    <w:lvl w:ilvl="0" w:tplc="B6625BB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A3D6F"/>
    <w:multiLevelType w:val="hybridMultilevel"/>
    <w:tmpl w:val="105C0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FF251B"/>
    <w:multiLevelType w:val="hybridMultilevel"/>
    <w:tmpl w:val="DB0AB960"/>
    <w:lvl w:ilvl="0" w:tplc="A254E050">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09442">
    <w:abstractNumId w:val="1"/>
  </w:num>
  <w:num w:numId="2" w16cid:durableId="1670862665">
    <w:abstractNumId w:val="2"/>
  </w:num>
  <w:num w:numId="3" w16cid:durableId="11362147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E0"/>
    <w:rsid w:val="00184554"/>
    <w:rsid w:val="001F1578"/>
    <w:rsid w:val="003E0F67"/>
    <w:rsid w:val="004525F7"/>
    <w:rsid w:val="008A3A98"/>
    <w:rsid w:val="00954D61"/>
    <w:rsid w:val="00AD4DCB"/>
    <w:rsid w:val="00D318E0"/>
    <w:rsid w:val="00D67D3A"/>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6B93"/>
  <w15:chartTrackingRefBased/>
  <w15:docId w15:val="{2274C08C-AF12-4AE8-8D26-D3097001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ListParagraph">
    <w:name w:val="List Paragraph"/>
    <w:basedOn w:val="Normal"/>
    <w:uiPriority w:val="34"/>
    <w:qFormat/>
    <w:rsid w:val="00D67D3A"/>
    <w:pPr>
      <w:ind w:left="720"/>
      <w:contextualSpacing/>
    </w:pPr>
  </w:style>
  <w:style w:type="character" w:styleId="CommentReference">
    <w:name w:val="annotation reference"/>
    <w:basedOn w:val="DefaultParagraphFont"/>
    <w:uiPriority w:val="99"/>
    <w:semiHidden/>
    <w:unhideWhenUsed/>
    <w:rsid w:val="003E0F67"/>
    <w:rPr>
      <w:sz w:val="16"/>
      <w:szCs w:val="16"/>
    </w:rPr>
  </w:style>
  <w:style w:type="paragraph" w:styleId="CommentSubject">
    <w:name w:val="annotation subject"/>
    <w:basedOn w:val="CommentText0"/>
    <w:next w:val="CommentText0"/>
    <w:link w:val="CommentSubjectChar"/>
    <w:uiPriority w:val="99"/>
    <w:semiHidden/>
    <w:unhideWhenUsed/>
    <w:rsid w:val="003E0F67"/>
    <w:rPr>
      <w:b/>
      <w:bCs/>
    </w:rPr>
  </w:style>
  <w:style w:type="character" w:customStyle="1" w:styleId="CommentSubjectChar">
    <w:name w:val="Comment Subject Char"/>
    <w:basedOn w:val="CommentTextChar"/>
    <w:link w:val="CommentSubject"/>
    <w:uiPriority w:val="99"/>
    <w:semiHidden/>
    <w:rsid w:val="003E0F67"/>
    <w:rPr>
      <w:b/>
      <w:bCs/>
      <w:sz w:val="20"/>
      <w:szCs w:val="20"/>
      <w:lang w:val="en-US"/>
    </w:rPr>
  </w:style>
  <w:style w:type="character" w:styleId="Hyperlink">
    <w:name w:val="Hyperlink"/>
    <w:basedOn w:val="DefaultParagraphFont"/>
    <w:uiPriority w:val="99"/>
    <w:unhideWhenUsed/>
    <w:rsid w:val="003E0F67"/>
    <w:rPr>
      <w:color w:val="0563C1" w:themeColor="hyperlink"/>
      <w:u w:val="single"/>
    </w:rPr>
  </w:style>
  <w:style w:type="character" w:styleId="UnresolvedMention">
    <w:name w:val="Unresolved Mention"/>
    <w:basedOn w:val="DefaultParagraphFont"/>
    <w:uiPriority w:val="99"/>
    <w:semiHidden/>
    <w:unhideWhenUsed/>
    <w:rsid w:val="003E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roducers.org.il/?lang=en" TargetMode="External"/><Relationship Id="rId2" Type="http://schemas.openxmlformats.org/officeDocument/2006/relationships/hyperlink" Target="https://producers.org.il/?lang=en" TargetMode="External"/><Relationship Id="rId1" Type="http://schemas.openxmlformats.org/officeDocument/2006/relationships/hyperlink" Target="https://producers.org.il/?lang=en"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4</cp:revision>
  <dcterms:created xsi:type="dcterms:W3CDTF">2024-09-09T09:51:00Z</dcterms:created>
  <dcterms:modified xsi:type="dcterms:W3CDTF">2024-09-09T10:27:00Z</dcterms:modified>
</cp:coreProperties>
</file>