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B7EF9" w14:textId="60C1AB3D" w:rsidR="00762283" w:rsidRPr="00FF23BA" w:rsidRDefault="00762283" w:rsidP="00762283">
      <w:pPr>
        <w:spacing w:line="360" w:lineRule="auto"/>
        <w:rPr>
          <w:rFonts w:ascii="Times New Roman" w:hAnsi="Times New Roman" w:cs="Times New Roman"/>
        </w:rPr>
      </w:pPr>
      <w:r w:rsidRPr="00FF23BA">
        <w:rPr>
          <w:rFonts w:ascii="Times New Roman" w:hAnsi="Times New Roman" w:cs="Times New Roman"/>
        </w:rPr>
        <w:t>Abstract</w:t>
      </w:r>
    </w:p>
    <w:p w14:paraId="00D33235" w14:textId="1BFCC857" w:rsidR="00762283" w:rsidRPr="00FF23BA" w:rsidRDefault="00762283" w:rsidP="00762283">
      <w:pPr>
        <w:spacing w:line="360" w:lineRule="auto"/>
        <w:ind w:firstLine="720"/>
        <w:rPr>
          <w:rFonts w:ascii="Times New Roman" w:hAnsi="Times New Roman" w:cs="Times New Roman"/>
        </w:rPr>
      </w:pPr>
      <w:r w:rsidRPr="00FF23BA">
        <w:rPr>
          <w:rFonts w:ascii="Times New Roman" w:hAnsi="Times New Roman" w:cs="Times New Roman"/>
        </w:rPr>
        <w:t>The goal of this study is to provide a literary analysis of the complaints pericope in Exodus (15:22</w:t>
      </w:r>
      <w:r w:rsidR="000A30F0" w:rsidRPr="00FF23BA">
        <w:rPr>
          <w:rFonts w:ascii="Times New Roman" w:hAnsi="Times New Roman" w:cs="Times New Roman"/>
        </w:rPr>
        <w:t>–</w:t>
      </w:r>
      <w:r w:rsidRPr="00FF23BA">
        <w:rPr>
          <w:rFonts w:ascii="Times New Roman" w:hAnsi="Times New Roman" w:cs="Times New Roman"/>
        </w:rPr>
        <w:t>17:16) and to identify the pericope’s intent in light of the relations among the smaller units of which it is composed. Each chapter of this thesis offers a discussion of an individual unit</w:t>
      </w:r>
      <w:r w:rsidR="00254E07" w:rsidRPr="00FF23BA">
        <w:rPr>
          <w:rFonts w:ascii="Times New Roman" w:hAnsi="Times New Roman" w:cs="Times New Roman"/>
        </w:rPr>
        <w:t>, incorporating</w:t>
      </w:r>
      <w:r w:rsidRPr="00FF23BA">
        <w:rPr>
          <w:rFonts w:ascii="Times New Roman" w:hAnsi="Times New Roman" w:cs="Times New Roman"/>
        </w:rPr>
        <w:t xml:space="preserve"> a literary analysis of the unit and an inquiry into its purpose. The final chapter addresses the full pericope’s intention, drawing conclusions from the preceding chapters.</w:t>
      </w:r>
    </w:p>
    <w:p w14:paraId="3507DDC9" w14:textId="5416E0D8" w:rsidR="000A30F0" w:rsidRPr="00FF23BA" w:rsidRDefault="00762283" w:rsidP="00953DA1">
      <w:pPr>
        <w:spacing w:line="360" w:lineRule="auto"/>
        <w:rPr>
          <w:rFonts w:ascii="Times New Roman" w:hAnsi="Times New Roman" w:cs="Times New Roman"/>
        </w:rPr>
      </w:pPr>
      <w:r w:rsidRPr="00FF23BA">
        <w:rPr>
          <w:rFonts w:ascii="Times New Roman" w:hAnsi="Times New Roman" w:cs="Times New Roman"/>
        </w:rPr>
        <w:tab/>
        <w:t xml:space="preserve">The </w:t>
      </w:r>
      <w:r w:rsidRPr="00FF23BA">
        <w:rPr>
          <w:rFonts w:ascii="Times New Roman" w:hAnsi="Times New Roman" w:cs="Times New Roman"/>
          <w:b/>
          <w:bCs/>
        </w:rPr>
        <w:t>Introduction</w:t>
      </w:r>
      <w:r w:rsidRPr="00FF23BA">
        <w:rPr>
          <w:rFonts w:ascii="Times New Roman" w:hAnsi="Times New Roman" w:cs="Times New Roman"/>
        </w:rPr>
        <w:t xml:space="preserve"> discusses three central questions: </w:t>
      </w:r>
      <w:r w:rsidR="00656E95" w:rsidRPr="00FF23BA">
        <w:rPr>
          <w:rFonts w:ascii="Times New Roman" w:hAnsi="Times New Roman" w:cs="Times New Roman"/>
        </w:rPr>
        <w:t>sub</w:t>
      </w:r>
      <w:r w:rsidRPr="00FF23BA">
        <w:rPr>
          <w:rFonts w:ascii="Times New Roman" w:hAnsi="Times New Roman" w:cs="Times New Roman"/>
        </w:rPr>
        <w:t>div</w:t>
      </w:r>
      <w:r w:rsidR="00656E95" w:rsidRPr="00FF23BA">
        <w:rPr>
          <w:rFonts w:ascii="Times New Roman" w:hAnsi="Times New Roman" w:cs="Times New Roman"/>
        </w:rPr>
        <w:t>id</w:t>
      </w:r>
      <w:r w:rsidRPr="00FF23BA">
        <w:rPr>
          <w:rFonts w:ascii="Times New Roman" w:hAnsi="Times New Roman" w:cs="Times New Roman"/>
        </w:rPr>
        <w:t>i</w:t>
      </w:r>
      <w:r w:rsidR="00656E95" w:rsidRPr="00FF23BA">
        <w:rPr>
          <w:rFonts w:ascii="Times New Roman" w:hAnsi="Times New Roman" w:cs="Times New Roman"/>
        </w:rPr>
        <w:t>ng</w:t>
      </w:r>
      <w:r w:rsidRPr="00FF23BA">
        <w:rPr>
          <w:rFonts w:ascii="Times New Roman" w:hAnsi="Times New Roman" w:cs="Times New Roman"/>
        </w:rPr>
        <w:t xml:space="preserve"> the book of Exodus, defini</w:t>
      </w:r>
      <w:r w:rsidR="00656E95" w:rsidRPr="00FF23BA">
        <w:rPr>
          <w:rFonts w:ascii="Times New Roman" w:hAnsi="Times New Roman" w:cs="Times New Roman"/>
        </w:rPr>
        <w:t>ng</w:t>
      </w:r>
      <w:r w:rsidRPr="00FF23BA">
        <w:rPr>
          <w:rFonts w:ascii="Times New Roman" w:hAnsi="Times New Roman" w:cs="Times New Roman"/>
        </w:rPr>
        <w:t xml:space="preserve"> the boundaries of the pericope in question, and </w:t>
      </w:r>
      <w:r w:rsidR="00953DA1" w:rsidRPr="00FF23BA">
        <w:rPr>
          <w:rFonts w:ascii="Times New Roman" w:hAnsi="Times New Roman" w:cs="Times New Roman"/>
        </w:rPr>
        <w:t xml:space="preserve">identifying the </w:t>
      </w:r>
      <w:r w:rsidR="00656E95" w:rsidRPr="00FF23BA">
        <w:rPr>
          <w:rFonts w:ascii="Times New Roman" w:hAnsi="Times New Roman" w:cs="Times New Roman"/>
        </w:rPr>
        <w:t>interrelationship</w:t>
      </w:r>
      <w:r w:rsidR="00953DA1" w:rsidRPr="00FF23BA">
        <w:rPr>
          <w:rFonts w:ascii="Times New Roman" w:hAnsi="Times New Roman" w:cs="Times New Roman"/>
        </w:rPr>
        <w:t xml:space="preserve">s among </w:t>
      </w:r>
      <w:r w:rsidR="00656E95" w:rsidRPr="00FF23BA">
        <w:rPr>
          <w:rFonts w:ascii="Times New Roman" w:hAnsi="Times New Roman" w:cs="Times New Roman"/>
        </w:rPr>
        <w:t>the units it comprises. These questions are foundational for understanding the literary intent of the pericope. Many scholars have grappled with the question of where to place the complaints section within Exodus. It is suspended between the book</w:t>
      </w:r>
      <w:r w:rsidR="00953DA1" w:rsidRPr="00FF23BA">
        <w:rPr>
          <w:rFonts w:ascii="Times New Roman" w:hAnsi="Times New Roman" w:cs="Times New Roman"/>
        </w:rPr>
        <w:t>’</w:t>
      </w:r>
      <w:r w:rsidR="00656E95" w:rsidRPr="00FF23BA">
        <w:rPr>
          <w:rFonts w:ascii="Times New Roman" w:hAnsi="Times New Roman" w:cs="Times New Roman"/>
        </w:rPr>
        <w:t xml:space="preserve">s two great narratives: the exodus from Egypt and Sinaitic revelation. The story of the splitting of the Sea of Reeds and the Jethro story led to different opinions about where to define the boundaries of this section. Because the story of the splitting of the sea contains different plot materials from the complaints pericope, and because the story of Jethro already takes place at Mt. Sinai, it seems that one should not include those stories in the complaints pericope. Most significantly, one must admit that in those stories we find no use of the roots </w:t>
      </w:r>
      <w:r w:rsidR="00656E95" w:rsidRPr="00FF23BA">
        <w:rPr>
          <w:rFonts w:ascii="Times New Roman" w:hAnsi="Times New Roman" w:cs="Times New Roman" w:hint="cs"/>
          <w:rtl/>
        </w:rPr>
        <w:t>לו״ן</w:t>
      </w:r>
      <w:r w:rsidR="00656E95" w:rsidRPr="00FF23BA">
        <w:rPr>
          <w:rFonts w:ascii="Times New Roman" w:hAnsi="Times New Roman" w:cs="Times New Roman"/>
        </w:rPr>
        <w:t xml:space="preserve"> and </w:t>
      </w:r>
      <w:r w:rsidR="00656E95" w:rsidRPr="00FF23BA">
        <w:rPr>
          <w:rFonts w:ascii="Times New Roman" w:hAnsi="Times New Roman" w:cs="Times New Roman" w:hint="cs"/>
          <w:rtl/>
        </w:rPr>
        <w:t>נס״ה</w:t>
      </w:r>
      <w:r w:rsidR="00656E95" w:rsidRPr="00FF23BA">
        <w:rPr>
          <w:rFonts w:ascii="Times New Roman" w:hAnsi="Times New Roman" w:cs="Times New Roman"/>
        </w:rPr>
        <w:t>, which appear repeatedly in the other units (</w:t>
      </w:r>
      <w:r w:rsidR="00656E95" w:rsidRPr="00FF23BA">
        <w:rPr>
          <w:rFonts w:ascii="Times New Roman" w:hAnsi="Times New Roman" w:cs="Times New Roman" w:hint="cs"/>
          <w:rtl/>
        </w:rPr>
        <w:t>לו״ן</w:t>
      </w:r>
      <w:r w:rsidR="00656E95" w:rsidRPr="00FF23BA">
        <w:rPr>
          <w:rFonts w:ascii="Times New Roman" w:hAnsi="Times New Roman" w:cs="Times New Roman"/>
        </w:rPr>
        <w:t xml:space="preserve"> in 15:24, 16:2, and 17:2; </w:t>
      </w:r>
      <w:r w:rsidR="00656E95" w:rsidRPr="00FF23BA">
        <w:rPr>
          <w:rFonts w:ascii="Times New Roman" w:hAnsi="Times New Roman" w:cs="Times New Roman" w:hint="cs"/>
          <w:rtl/>
        </w:rPr>
        <w:t>נס״ה</w:t>
      </w:r>
      <w:r w:rsidR="00656E95" w:rsidRPr="00FF23BA">
        <w:rPr>
          <w:rFonts w:ascii="Times New Roman" w:hAnsi="Times New Roman" w:cs="Times New Roman"/>
        </w:rPr>
        <w:t xml:space="preserve"> in 15:25, 16:4, and 17:3)</w:t>
      </w:r>
      <w:r w:rsidR="000A30F0" w:rsidRPr="00FF23BA">
        <w:rPr>
          <w:rFonts w:ascii="Times New Roman" w:hAnsi="Times New Roman" w:cs="Times New Roman"/>
        </w:rPr>
        <w:t xml:space="preserve"> and constitute the shared plot features common to the other three units.</w:t>
      </w:r>
    </w:p>
    <w:p w14:paraId="3DA98A84" w14:textId="40B9EA01" w:rsidR="00762283" w:rsidRPr="00FF23BA" w:rsidRDefault="000A30F0" w:rsidP="00762283">
      <w:pPr>
        <w:spacing w:line="360" w:lineRule="auto"/>
        <w:rPr>
          <w:rFonts w:ascii="Times New Roman" w:hAnsi="Times New Roman" w:cs="Times New Roman"/>
          <w:color w:val="000000" w:themeColor="text1"/>
        </w:rPr>
      </w:pPr>
      <w:r w:rsidRPr="00FF23BA">
        <w:rPr>
          <w:rFonts w:ascii="Times New Roman" w:hAnsi="Times New Roman" w:cs="Times New Roman"/>
        </w:rPr>
        <w:tab/>
      </w:r>
      <w:r w:rsidRPr="00FF23BA">
        <w:rPr>
          <w:rFonts w:ascii="Times New Roman" w:hAnsi="Times New Roman" w:cs="Times New Roman"/>
          <w:b/>
          <w:bCs/>
        </w:rPr>
        <w:t>Chapter 1</w:t>
      </w:r>
      <w:r w:rsidRPr="00FF23BA">
        <w:rPr>
          <w:rFonts w:ascii="Times New Roman" w:hAnsi="Times New Roman" w:cs="Times New Roman"/>
        </w:rPr>
        <w:t xml:space="preserve"> comprises a literary analysis of the Marah and Elim story (15:22–27). Scholars have raised two central questions regarding the Marah story. The first is the relationship between the central story and the </w:t>
      </w:r>
      <w:r w:rsidR="00953DA1" w:rsidRPr="00FF23BA">
        <w:rPr>
          <w:rFonts w:ascii="Times New Roman" w:hAnsi="Times New Roman" w:cs="Times New Roman"/>
        </w:rPr>
        <w:t>exhortatory</w:t>
      </w:r>
      <w:r w:rsidRPr="00FF23BA">
        <w:rPr>
          <w:rFonts w:ascii="Times New Roman" w:hAnsi="Times New Roman" w:cs="Times New Roman"/>
        </w:rPr>
        <w:t xml:space="preserve"> speech (vv. 25b–26)</w:t>
      </w:r>
      <w:r w:rsidR="00953DA1" w:rsidRPr="00FF23BA">
        <w:rPr>
          <w:rFonts w:ascii="Times New Roman" w:hAnsi="Times New Roman" w:cs="Times New Roman"/>
        </w:rPr>
        <w:t>. Many scholars have assumed that th</w:t>
      </w:r>
      <w:r w:rsidR="00445205" w:rsidRPr="00FF23BA">
        <w:rPr>
          <w:rFonts w:ascii="Times New Roman" w:hAnsi="Times New Roman" w:cs="Times New Roman"/>
        </w:rPr>
        <w:t>e</w:t>
      </w:r>
      <w:r w:rsidR="00953DA1" w:rsidRPr="00FF23BA">
        <w:rPr>
          <w:rFonts w:ascii="Times New Roman" w:hAnsi="Times New Roman" w:cs="Times New Roman"/>
        </w:rPr>
        <w:t xml:space="preserve"> </w:t>
      </w:r>
      <w:commentRangeStart w:id="0"/>
      <w:r w:rsidR="00953DA1" w:rsidRPr="00FF23BA">
        <w:rPr>
          <w:rFonts w:ascii="Times New Roman" w:hAnsi="Times New Roman" w:cs="Times New Roman"/>
        </w:rPr>
        <w:t>speech</w:t>
      </w:r>
      <w:commentRangeEnd w:id="0"/>
      <w:r w:rsidR="00254E07" w:rsidRPr="00FF23BA">
        <w:rPr>
          <w:rStyle w:val="CommentReference"/>
        </w:rPr>
        <w:commentReference w:id="0"/>
      </w:r>
      <w:r w:rsidR="00254E07" w:rsidRPr="00FF23BA">
        <w:rPr>
          <w:rFonts w:ascii="Times New Roman" w:hAnsi="Times New Roman" w:cs="Times New Roman"/>
        </w:rPr>
        <w:t xml:space="preserve"> </w:t>
      </w:r>
      <w:r w:rsidR="00953DA1" w:rsidRPr="00FF23BA">
        <w:rPr>
          <w:rFonts w:ascii="Times New Roman" w:hAnsi="Times New Roman" w:cs="Times New Roman"/>
        </w:rPr>
        <w:t>is a secondary addition by the Deuteronomist, but a literary analysis reveals the unifying connection between the speech and the central action of the story. The second question relates to the entire Marah story</w:t>
      </w:r>
      <w:r w:rsidR="00254E07" w:rsidRPr="00FF23BA">
        <w:rPr>
          <w:rFonts w:ascii="Times New Roman" w:hAnsi="Times New Roman" w:cs="Times New Roman"/>
        </w:rPr>
        <w:t xml:space="preserve"> </w:t>
      </w:r>
      <w:commentRangeStart w:id="1"/>
      <w:r w:rsidR="00254E07" w:rsidRPr="00FF23BA">
        <w:rPr>
          <w:rFonts w:ascii="Times New Roman" w:hAnsi="Times New Roman" w:cs="Times New Roman"/>
        </w:rPr>
        <w:t>and</w:t>
      </w:r>
      <w:r w:rsidR="00953DA1" w:rsidRPr="00FF23BA">
        <w:rPr>
          <w:rFonts w:ascii="Times New Roman" w:hAnsi="Times New Roman" w:cs="Times New Roman"/>
        </w:rPr>
        <w:t xml:space="preserve"> </w:t>
      </w:r>
      <w:r w:rsidR="00445205" w:rsidRPr="00FF23BA">
        <w:rPr>
          <w:rFonts w:ascii="Times New Roman" w:hAnsi="Times New Roman" w:cs="Times New Roman"/>
          <w:color w:val="000000" w:themeColor="text1"/>
        </w:rPr>
        <w:t>to the report on finding water at Elim (v. 27).</w:t>
      </w:r>
      <w:commentRangeEnd w:id="1"/>
      <w:r w:rsidR="00254E07" w:rsidRPr="00FF23BA">
        <w:rPr>
          <w:rStyle w:val="CommentReference"/>
        </w:rPr>
        <w:commentReference w:id="1"/>
      </w:r>
      <w:r w:rsidR="00445205" w:rsidRPr="00FF23BA">
        <w:rPr>
          <w:rFonts w:ascii="Times New Roman" w:hAnsi="Times New Roman" w:cs="Times New Roman"/>
          <w:color w:val="000000" w:themeColor="text1"/>
        </w:rPr>
        <w:t xml:space="preserve"> </w:t>
      </w:r>
      <w:r w:rsidR="00254E07" w:rsidRPr="00FF23BA">
        <w:rPr>
          <w:rFonts w:ascii="Times New Roman" w:hAnsi="Times New Roman" w:cs="Times New Roman"/>
          <w:color w:val="000000" w:themeColor="text1"/>
        </w:rPr>
        <w:t>Contra</w:t>
      </w:r>
      <w:r w:rsidR="00445205" w:rsidRPr="00FF23BA">
        <w:rPr>
          <w:rFonts w:ascii="Times New Roman" w:hAnsi="Times New Roman" w:cs="Times New Roman"/>
          <w:color w:val="000000" w:themeColor="text1"/>
        </w:rPr>
        <w:t xml:space="preserve"> the </w:t>
      </w:r>
      <w:r w:rsidR="00254E07" w:rsidRPr="00FF23BA">
        <w:rPr>
          <w:rFonts w:ascii="Times New Roman" w:hAnsi="Times New Roman" w:cs="Times New Roman"/>
          <w:color w:val="000000" w:themeColor="text1"/>
        </w:rPr>
        <w:t xml:space="preserve">view of </w:t>
      </w:r>
      <w:r w:rsidR="00445205" w:rsidRPr="00FF23BA">
        <w:rPr>
          <w:rFonts w:ascii="Times New Roman" w:hAnsi="Times New Roman" w:cs="Times New Roman"/>
          <w:color w:val="000000" w:themeColor="text1"/>
        </w:rPr>
        <w:t xml:space="preserve">scholars who regarded this as an unconnected report, or as a description opening the story of the granting of the manna in Chapter 16, it seems that the report at Elim creates an antithesis between it and the description of the bitterness of the waters at Marah. The </w:t>
      </w:r>
      <w:r w:rsidR="00C0258F" w:rsidRPr="00FF23BA">
        <w:rPr>
          <w:rFonts w:ascii="Times New Roman" w:hAnsi="Times New Roman" w:cs="Times New Roman"/>
          <w:color w:val="000000" w:themeColor="text1"/>
        </w:rPr>
        <w:t>juxtaposition</w:t>
      </w:r>
      <w:r w:rsidR="00445205" w:rsidRPr="00FF23BA">
        <w:rPr>
          <w:rFonts w:ascii="Times New Roman" w:hAnsi="Times New Roman" w:cs="Times New Roman"/>
          <w:color w:val="000000" w:themeColor="text1"/>
        </w:rPr>
        <w:t xml:space="preserve"> of the exhortatory speech and the report of finding water at Elim creates a concentric and harmonious structure for the story. Literary analysis reveals that the Marah story </w:t>
      </w:r>
      <w:r w:rsidR="00445205" w:rsidRPr="00FF23BA">
        <w:rPr>
          <w:rFonts w:ascii="Times New Roman" w:hAnsi="Times New Roman" w:cs="Times New Roman"/>
          <w:color w:val="000000" w:themeColor="text1"/>
        </w:rPr>
        <w:lastRenderedPageBreak/>
        <w:t>creates literary connections with the Egypt story, making the point that t</w:t>
      </w:r>
      <w:r w:rsidR="009E58E3" w:rsidRPr="00FF23BA">
        <w:rPr>
          <w:rFonts w:ascii="Times New Roman" w:hAnsi="Times New Roman" w:cs="Times New Roman"/>
          <w:color w:val="000000" w:themeColor="text1"/>
        </w:rPr>
        <w:t xml:space="preserve">he </w:t>
      </w:r>
      <w:r w:rsidR="00445205" w:rsidRPr="00FF23BA">
        <w:rPr>
          <w:rFonts w:ascii="Times New Roman" w:hAnsi="Times New Roman" w:cs="Times New Roman"/>
          <w:color w:val="000000" w:themeColor="text1"/>
        </w:rPr>
        <w:t xml:space="preserve">redemption and </w:t>
      </w:r>
      <w:r w:rsidR="009E58E3" w:rsidRPr="00FF23BA">
        <w:rPr>
          <w:rFonts w:ascii="Times New Roman" w:hAnsi="Times New Roman" w:cs="Times New Roman"/>
          <w:color w:val="000000" w:themeColor="text1"/>
        </w:rPr>
        <w:t xml:space="preserve">beneficence provided by </w:t>
      </w:r>
      <w:commentRangeStart w:id="2"/>
      <w:r w:rsidR="009E58E3" w:rsidRPr="00FF23BA">
        <w:rPr>
          <w:rFonts w:ascii="Times New Roman" w:hAnsi="Times New Roman" w:cs="Times New Roman"/>
          <w:color w:val="000000" w:themeColor="text1"/>
        </w:rPr>
        <w:t>Israel’s God</w:t>
      </w:r>
      <w:commentRangeEnd w:id="2"/>
      <w:r w:rsidR="00AA73DF" w:rsidRPr="00FF23BA">
        <w:rPr>
          <w:rStyle w:val="CommentReference"/>
        </w:rPr>
        <w:commentReference w:id="2"/>
      </w:r>
      <w:r w:rsidR="00445205" w:rsidRPr="00FF23BA">
        <w:rPr>
          <w:rFonts w:ascii="Times New Roman" w:hAnsi="Times New Roman" w:cs="Times New Roman"/>
          <w:color w:val="000000" w:themeColor="text1"/>
        </w:rPr>
        <w:t xml:space="preserve"> </w:t>
      </w:r>
      <w:r w:rsidR="009E58E3" w:rsidRPr="00FF23BA">
        <w:rPr>
          <w:rFonts w:ascii="Times New Roman" w:hAnsi="Times New Roman" w:cs="Times New Roman"/>
          <w:color w:val="000000" w:themeColor="text1"/>
        </w:rPr>
        <w:t>for</w:t>
      </w:r>
      <w:r w:rsidR="00445205" w:rsidRPr="00FF23BA">
        <w:rPr>
          <w:rFonts w:ascii="Times New Roman" w:hAnsi="Times New Roman" w:cs="Times New Roman"/>
          <w:color w:val="000000" w:themeColor="text1"/>
        </w:rPr>
        <w:t xml:space="preserve"> </w:t>
      </w:r>
      <w:r w:rsidR="009E58E3" w:rsidRPr="00FF23BA">
        <w:rPr>
          <w:rFonts w:ascii="Times New Roman" w:hAnsi="Times New Roman" w:cs="Times New Roman"/>
          <w:color w:val="000000" w:themeColor="text1"/>
        </w:rPr>
        <w:t>His</w:t>
      </w:r>
      <w:r w:rsidR="00445205" w:rsidRPr="00FF23BA">
        <w:rPr>
          <w:rFonts w:ascii="Times New Roman" w:hAnsi="Times New Roman" w:cs="Times New Roman"/>
          <w:color w:val="000000" w:themeColor="text1"/>
        </w:rPr>
        <w:t xml:space="preserve"> people</w:t>
      </w:r>
      <w:r w:rsidR="009E58E3" w:rsidRPr="00FF23BA">
        <w:rPr>
          <w:rFonts w:ascii="Times New Roman" w:hAnsi="Times New Roman" w:cs="Times New Roman"/>
          <w:color w:val="000000" w:themeColor="text1"/>
        </w:rPr>
        <w:t xml:space="preserve"> are not given “with no strings attached” but rather are conditioned upon Israel’s scrupulous adherence to God’s laws, even though</w:t>
      </w:r>
      <w:r w:rsidR="00F3145A" w:rsidRPr="00FF23BA">
        <w:rPr>
          <w:rFonts w:ascii="Times New Roman" w:hAnsi="Times New Roman" w:cs="Times New Roman"/>
          <w:color w:val="000000" w:themeColor="text1"/>
        </w:rPr>
        <w:t>,</w:t>
      </w:r>
      <w:r w:rsidR="009E58E3" w:rsidRPr="00FF23BA">
        <w:rPr>
          <w:rFonts w:ascii="Times New Roman" w:hAnsi="Times New Roman" w:cs="Times New Roman"/>
          <w:color w:val="000000" w:themeColor="text1"/>
        </w:rPr>
        <w:t xml:space="preserve"> at this stage</w:t>
      </w:r>
      <w:r w:rsidR="00F3145A" w:rsidRPr="00FF23BA">
        <w:rPr>
          <w:rFonts w:ascii="Times New Roman" w:hAnsi="Times New Roman" w:cs="Times New Roman"/>
          <w:color w:val="000000" w:themeColor="text1"/>
        </w:rPr>
        <w:t>,</w:t>
      </w:r>
      <w:r w:rsidR="009E58E3" w:rsidRPr="00FF23BA">
        <w:rPr>
          <w:rFonts w:ascii="Times New Roman" w:hAnsi="Times New Roman" w:cs="Times New Roman"/>
          <w:color w:val="000000" w:themeColor="text1"/>
        </w:rPr>
        <w:t xml:space="preserve"> no </w:t>
      </w:r>
      <w:r w:rsidR="00B06FD4" w:rsidRPr="00FF23BA">
        <w:rPr>
          <w:rFonts w:ascii="Times New Roman" w:hAnsi="Times New Roman" w:cs="Times New Roman"/>
          <w:color w:val="000000" w:themeColor="text1"/>
        </w:rPr>
        <w:t>details have been provided of the laws and commandments to which the people are supposed to adhere.</w:t>
      </w:r>
    </w:p>
    <w:p w14:paraId="4CAB4742" w14:textId="65EB7799" w:rsidR="00F10B47" w:rsidRPr="00FF23BA" w:rsidRDefault="00B06FD4" w:rsidP="00762283">
      <w:pPr>
        <w:spacing w:line="360" w:lineRule="auto"/>
        <w:rPr>
          <w:rFonts w:ascii="Times New Roman" w:hAnsi="Times New Roman" w:cs="Times New Roman"/>
          <w:color w:val="000000" w:themeColor="text1"/>
        </w:rPr>
      </w:pPr>
      <w:r w:rsidRPr="00FF23BA">
        <w:rPr>
          <w:rFonts w:ascii="Times New Roman" w:hAnsi="Times New Roman" w:cs="Times New Roman"/>
          <w:color w:val="000000" w:themeColor="text1"/>
        </w:rPr>
        <w:tab/>
      </w:r>
      <w:r w:rsidRPr="00FF23BA">
        <w:rPr>
          <w:rFonts w:ascii="Times New Roman" w:hAnsi="Times New Roman" w:cs="Times New Roman"/>
          <w:b/>
          <w:bCs/>
          <w:color w:val="000000" w:themeColor="text1"/>
        </w:rPr>
        <w:t>Chapter 2</w:t>
      </w:r>
      <w:r w:rsidRPr="00FF23BA">
        <w:rPr>
          <w:rFonts w:ascii="Times New Roman" w:hAnsi="Times New Roman" w:cs="Times New Roman"/>
          <w:color w:val="000000" w:themeColor="text1"/>
        </w:rPr>
        <w:t xml:space="preserve"> is devoted to </w:t>
      </w:r>
      <w:r w:rsidR="001A0E8A" w:rsidRPr="00FF23BA">
        <w:rPr>
          <w:rFonts w:ascii="Times New Roman" w:hAnsi="Times New Roman" w:cs="Times New Roman"/>
          <w:color w:val="000000" w:themeColor="text1"/>
        </w:rPr>
        <w:t xml:space="preserve">the story of the provision of the manna (Ch. 16). Unlike the previous story, with regard to this one there is no </w:t>
      </w:r>
      <w:r w:rsidR="00227CCD" w:rsidRPr="00FF23BA">
        <w:rPr>
          <w:rFonts w:ascii="Times New Roman" w:hAnsi="Times New Roman" w:cs="Times New Roman"/>
          <w:color w:val="000000" w:themeColor="text1"/>
        </w:rPr>
        <w:t>consensus</w:t>
      </w:r>
      <w:r w:rsidR="001A0E8A" w:rsidRPr="00FF23BA">
        <w:rPr>
          <w:rFonts w:ascii="Times New Roman" w:hAnsi="Times New Roman" w:cs="Times New Roman"/>
          <w:color w:val="000000" w:themeColor="text1"/>
        </w:rPr>
        <w:t xml:space="preserve"> among scholars regarding the process of its formation. Nonetheless, scholars have assumed that the story includes Priestly parts and non-Priestly parts, and the debate among scholars is mainly about the relationship between them. Our study raises the suggestion that the story has three sections: the complaint and divine revelation (vv. 1–12), the laws of the manna and the Sabbath (vv. 13–30), and addenda (vv. 31–36). An analysis of the story reveals that the central intent of the story is the status of the law. The main point of the story deals with the first granting of law to the people and testing whether they will obey it. The </w:t>
      </w:r>
      <w:r w:rsidR="005417F6" w:rsidRPr="00FF23BA">
        <w:rPr>
          <w:rFonts w:ascii="Times New Roman" w:hAnsi="Times New Roman" w:cs="Times New Roman"/>
          <w:color w:val="000000" w:themeColor="text1"/>
        </w:rPr>
        <w:t xml:space="preserve">resolution of </w:t>
      </w:r>
      <w:r w:rsidR="001A0E8A" w:rsidRPr="00FF23BA">
        <w:rPr>
          <w:rFonts w:ascii="Times New Roman" w:hAnsi="Times New Roman" w:cs="Times New Roman"/>
          <w:color w:val="000000" w:themeColor="text1"/>
        </w:rPr>
        <w:t>Israel’s complaint is the gift of the manna</w:t>
      </w:r>
      <w:r w:rsidR="00180C2E" w:rsidRPr="00FF23BA">
        <w:rPr>
          <w:rFonts w:ascii="Times New Roman" w:hAnsi="Times New Roman" w:cs="Times New Roman"/>
          <w:color w:val="000000" w:themeColor="text1"/>
        </w:rPr>
        <w:t>,</w:t>
      </w:r>
      <w:r w:rsidR="001A0E8A" w:rsidRPr="00FF23BA">
        <w:rPr>
          <w:rFonts w:ascii="Times New Roman" w:hAnsi="Times New Roman" w:cs="Times New Roman"/>
          <w:color w:val="000000" w:themeColor="text1"/>
        </w:rPr>
        <w:t xml:space="preserve"> on condition of obeying the laws of the manna and the Sabbath</w:t>
      </w:r>
      <w:r w:rsidR="00180C2E" w:rsidRPr="00FF23BA">
        <w:rPr>
          <w:rFonts w:ascii="Times New Roman" w:hAnsi="Times New Roman" w:cs="Times New Roman"/>
          <w:color w:val="000000" w:themeColor="text1"/>
        </w:rPr>
        <w:t>, which are</w:t>
      </w:r>
      <w:r w:rsidR="00F21898" w:rsidRPr="00FF23BA">
        <w:rPr>
          <w:rFonts w:ascii="Times New Roman" w:hAnsi="Times New Roman" w:cs="Times New Roman"/>
          <w:color w:val="000000" w:themeColor="text1"/>
        </w:rPr>
        <w:t xml:space="preserve"> mentioned</w:t>
      </w:r>
      <w:r w:rsidR="00F10B47" w:rsidRPr="00FF23BA">
        <w:rPr>
          <w:rFonts w:ascii="Times New Roman" w:hAnsi="Times New Roman" w:cs="Times New Roman"/>
          <w:color w:val="000000" w:themeColor="text1"/>
        </w:rPr>
        <w:t xml:space="preserve"> in brief</w:t>
      </w:r>
      <w:r w:rsidR="00F21898" w:rsidRPr="00FF23BA">
        <w:rPr>
          <w:rFonts w:ascii="Times New Roman" w:hAnsi="Times New Roman" w:cs="Times New Roman"/>
          <w:color w:val="000000" w:themeColor="text1"/>
        </w:rPr>
        <w:t xml:space="preserve"> at the beginning of the story</w:t>
      </w:r>
      <w:r w:rsidR="00F10B47" w:rsidRPr="00FF23BA">
        <w:rPr>
          <w:rFonts w:ascii="Times New Roman" w:hAnsi="Times New Roman" w:cs="Times New Roman"/>
          <w:color w:val="000000" w:themeColor="text1"/>
        </w:rPr>
        <w:t xml:space="preserve"> and later elaborated at length. The core of the story describes how Israel first dealt with new laws and by trial and error succeeded in keeping them. The story of giving the manna provides a concrete example of the condition mentioned in the Marah story, </w:t>
      </w:r>
      <w:r w:rsidR="009D23E4" w:rsidRPr="00FF23BA">
        <w:rPr>
          <w:rFonts w:ascii="Times New Roman" w:hAnsi="Times New Roman" w:cs="Times New Roman"/>
          <w:color w:val="000000" w:themeColor="text1"/>
        </w:rPr>
        <w:t>according to</w:t>
      </w:r>
      <w:r w:rsidR="00936C35" w:rsidRPr="00FF23BA">
        <w:rPr>
          <w:rFonts w:ascii="Times New Roman" w:hAnsi="Times New Roman" w:cs="Times New Roman"/>
          <w:color w:val="000000" w:themeColor="text1"/>
        </w:rPr>
        <w:t xml:space="preserve"> which</w:t>
      </w:r>
      <w:r w:rsidR="00F10B47" w:rsidRPr="00FF23BA">
        <w:rPr>
          <w:rFonts w:ascii="Times New Roman" w:hAnsi="Times New Roman" w:cs="Times New Roman"/>
          <w:color w:val="000000" w:themeColor="text1"/>
        </w:rPr>
        <w:t xml:space="preserve"> the gift of </w:t>
      </w:r>
      <w:r w:rsidR="00D724E0" w:rsidRPr="00FF23BA">
        <w:rPr>
          <w:rFonts w:ascii="Times New Roman" w:hAnsi="Times New Roman" w:cs="Times New Roman"/>
          <w:color w:val="000000" w:themeColor="text1"/>
        </w:rPr>
        <w:t>manna was made conditional</w:t>
      </w:r>
      <w:r w:rsidR="00F10B47" w:rsidRPr="00FF23BA">
        <w:rPr>
          <w:rFonts w:ascii="Times New Roman" w:hAnsi="Times New Roman" w:cs="Times New Roman"/>
          <w:color w:val="000000" w:themeColor="text1"/>
        </w:rPr>
        <w:t xml:space="preserve"> upon Israel’s obedience to the law and that obedience </w:t>
      </w:r>
      <w:r w:rsidR="00D724E0" w:rsidRPr="00FF23BA">
        <w:rPr>
          <w:rFonts w:ascii="Times New Roman" w:hAnsi="Times New Roman" w:cs="Times New Roman"/>
          <w:color w:val="000000" w:themeColor="text1"/>
        </w:rPr>
        <w:t xml:space="preserve">was defined </w:t>
      </w:r>
      <w:r w:rsidR="00F10B47" w:rsidRPr="00FF23BA">
        <w:rPr>
          <w:rFonts w:ascii="Times New Roman" w:hAnsi="Times New Roman" w:cs="Times New Roman"/>
          <w:color w:val="000000" w:themeColor="text1"/>
        </w:rPr>
        <w:t>as knowledge of the Lord.</w:t>
      </w:r>
    </w:p>
    <w:p w14:paraId="2467D9EA" w14:textId="62E4A4D1" w:rsidR="00B06FD4" w:rsidRPr="00FF23BA" w:rsidRDefault="00F10B47" w:rsidP="00762283">
      <w:pPr>
        <w:spacing w:line="360" w:lineRule="auto"/>
        <w:rPr>
          <w:rFonts w:ascii="Times New Roman" w:hAnsi="Times New Roman" w:cs="Times New Roman"/>
          <w:color w:val="000000" w:themeColor="text1"/>
        </w:rPr>
      </w:pPr>
      <w:r w:rsidRPr="00FF23BA">
        <w:rPr>
          <w:rFonts w:ascii="Times New Roman" w:hAnsi="Times New Roman" w:cs="Times New Roman"/>
          <w:color w:val="000000" w:themeColor="text1"/>
        </w:rPr>
        <w:tab/>
      </w:r>
      <w:r w:rsidRPr="00FF23BA">
        <w:rPr>
          <w:rFonts w:ascii="Times New Roman" w:hAnsi="Times New Roman" w:cs="Times New Roman"/>
          <w:b/>
          <w:bCs/>
          <w:color w:val="000000" w:themeColor="text1"/>
        </w:rPr>
        <w:t>Chapter 3</w:t>
      </w:r>
      <w:r w:rsidRPr="00FF23BA">
        <w:rPr>
          <w:rFonts w:ascii="Times New Roman" w:hAnsi="Times New Roman" w:cs="Times New Roman"/>
          <w:color w:val="000000" w:themeColor="text1"/>
        </w:rPr>
        <w:t xml:space="preserve"> includes</w:t>
      </w:r>
      <w:r w:rsidR="00414174" w:rsidRPr="00FF23BA">
        <w:rPr>
          <w:rFonts w:ascii="Times New Roman" w:hAnsi="Times New Roman" w:cs="Times New Roman"/>
          <w:color w:val="000000" w:themeColor="text1"/>
        </w:rPr>
        <w:t xml:space="preserve"> a discussion of two stories that, on the surface, should not be the subject of a joint discussion: the story of Masa and the story of the war with Amalek. The two Rephidim stories are usually regarding as separate tales, in light of an examination of their plot materials, which are different from one another. </w:t>
      </w:r>
      <w:commentRangeStart w:id="3"/>
      <w:r w:rsidR="00414174" w:rsidRPr="00FF23BA">
        <w:rPr>
          <w:rFonts w:ascii="Times New Roman" w:hAnsi="Times New Roman" w:cs="Times New Roman"/>
          <w:color w:val="000000" w:themeColor="text1"/>
        </w:rPr>
        <w:t xml:space="preserve">Each story has a different </w:t>
      </w:r>
      <w:r w:rsidR="00CC3B6B" w:rsidRPr="00FF23BA">
        <w:rPr>
          <w:rFonts w:ascii="Times New Roman" w:hAnsi="Times New Roman" w:cs="Times New Roman"/>
          <w:color w:val="000000" w:themeColor="text1"/>
        </w:rPr>
        <w:t>problem</w:t>
      </w:r>
      <w:r w:rsidR="009D23E4" w:rsidRPr="00FF23BA">
        <w:rPr>
          <w:rFonts w:ascii="Times New Roman" w:hAnsi="Times New Roman" w:cs="Times New Roman"/>
          <w:color w:val="000000" w:themeColor="text1"/>
        </w:rPr>
        <w:t>,</w:t>
      </w:r>
      <w:r w:rsidR="00414174" w:rsidRPr="00FF23BA">
        <w:rPr>
          <w:rFonts w:ascii="Times New Roman" w:hAnsi="Times New Roman" w:cs="Times New Roman"/>
          <w:color w:val="000000" w:themeColor="text1"/>
        </w:rPr>
        <w:t xml:space="preserve"> resolution and conclusion</w:t>
      </w:r>
      <w:commentRangeEnd w:id="3"/>
      <w:r w:rsidR="009D23E4" w:rsidRPr="00FF23BA">
        <w:rPr>
          <w:rStyle w:val="CommentReference"/>
        </w:rPr>
        <w:commentReference w:id="3"/>
      </w:r>
      <w:r w:rsidR="00414174" w:rsidRPr="00FF23BA">
        <w:rPr>
          <w:rFonts w:ascii="Times New Roman" w:hAnsi="Times New Roman" w:cs="Times New Roman"/>
          <w:color w:val="000000" w:themeColor="text1"/>
        </w:rPr>
        <w:t xml:space="preserve">, and </w:t>
      </w:r>
      <w:r w:rsidR="002D6B42" w:rsidRPr="00FF23BA">
        <w:rPr>
          <w:rFonts w:ascii="Times New Roman" w:hAnsi="Times New Roman" w:cs="Times New Roman"/>
          <w:color w:val="000000" w:themeColor="text1"/>
        </w:rPr>
        <w:t>they are apparently</w:t>
      </w:r>
      <w:r w:rsidR="00414174" w:rsidRPr="00FF23BA">
        <w:rPr>
          <w:rFonts w:ascii="Times New Roman" w:hAnsi="Times New Roman" w:cs="Times New Roman"/>
          <w:color w:val="000000" w:themeColor="text1"/>
        </w:rPr>
        <w:t xml:space="preserve"> independent stories. Nevertheless, </w:t>
      </w:r>
      <w:r w:rsidR="002D6B42" w:rsidRPr="00FF23BA">
        <w:rPr>
          <w:rFonts w:ascii="Times New Roman" w:hAnsi="Times New Roman" w:cs="Times New Roman"/>
          <w:color w:val="000000" w:themeColor="text1"/>
        </w:rPr>
        <w:t>it appears that there is a</w:t>
      </w:r>
      <w:r w:rsidR="002D6D66" w:rsidRPr="00FF23BA">
        <w:rPr>
          <w:rFonts w:ascii="Times New Roman" w:hAnsi="Times New Roman" w:cs="Times New Roman"/>
          <w:color w:val="000000" w:themeColor="text1"/>
        </w:rPr>
        <w:t xml:space="preserve"> conscious intent in juxtaposing the two stories and creating a thread connecting them. The two stories occur in the same place, Rephidim, and in addition the story of the war with Amalek does not have its own opening. Literary analysis shows that the story of Masa and Meribah is built from two strata</w:t>
      </w:r>
      <w:r w:rsidR="009D23E4" w:rsidRPr="00FF23BA">
        <w:rPr>
          <w:rFonts w:ascii="Times New Roman" w:hAnsi="Times New Roman" w:cs="Times New Roman"/>
          <w:color w:val="000000" w:themeColor="text1"/>
        </w:rPr>
        <w:t>,</w:t>
      </w:r>
      <w:r w:rsidR="002D6D66" w:rsidRPr="00FF23BA">
        <w:rPr>
          <w:rFonts w:ascii="Times New Roman" w:hAnsi="Times New Roman" w:cs="Times New Roman"/>
          <w:color w:val="000000" w:themeColor="text1"/>
        </w:rPr>
        <w:t xml:space="preserve"> the frame story (vv. 1–2, 7) and the central story (vv. 3–6), which have been intertwined in </w:t>
      </w:r>
      <w:commentRangeStart w:id="4"/>
      <w:r w:rsidR="002D6D66" w:rsidRPr="00FF23BA">
        <w:rPr>
          <w:rFonts w:ascii="Times New Roman" w:hAnsi="Times New Roman" w:cs="Times New Roman"/>
          <w:color w:val="000000" w:themeColor="text1"/>
        </w:rPr>
        <w:t>literary and artistic fashion</w:t>
      </w:r>
      <w:commentRangeEnd w:id="4"/>
      <w:r w:rsidR="009D23E4" w:rsidRPr="00FF23BA">
        <w:rPr>
          <w:rStyle w:val="CommentReference"/>
        </w:rPr>
        <w:commentReference w:id="4"/>
      </w:r>
      <w:r w:rsidR="002D6D66" w:rsidRPr="00FF23BA">
        <w:rPr>
          <w:rFonts w:ascii="Times New Roman" w:hAnsi="Times New Roman" w:cs="Times New Roman"/>
          <w:color w:val="000000" w:themeColor="text1"/>
        </w:rPr>
        <w:t xml:space="preserve">. </w:t>
      </w:r>
      <w:r w:rsidR="009D4BD3" w:rsidRPr="00FF23BA">
        <w:rPr>
          <w:rFonts w:ascii="Times New Roman" w:hAnsi="Times New Roman" w:cs="Times New Roman"/>
          <w:color w:val="000000" w:themeColor="text1"/>
        </w:rPr>
        <w:t xml:space="preserve">The frame story focuses on Israel’s test of the Lord and their challenge to Him, while the focus of the central story is the </w:t>
      </w:r>
      <w:r w:rsidR="008C5606" w:rsidRPr="00FF23BA">
        <w:rPr>
          <w:rFonts w:ascii="Times New Roman" w:hAnsi="Times New Roman" w:cs="Times New Roman"/>
          <w:color w:val="000000" w:themeColor="text1"/>
        </w:rPr>
        <w:t>resolution of</w:t>
      </w:r>
      <w:r w:rsidR="009D4BD3" w:rsidRPr="00FF23BA">
        <w:rPr>
          <w:rFonts w:ascii="Times New Roman" w:hAnsi="Times New Roman" w:cs="Times New Roman"/>
          <w:color w:val="000000" w:themeColor="text1"/>
        </w:rPr>
        <w:t xml:space="preserve"> their </w:t>
      </w:r>
      <w:r w:rsidR="009D4BD3" w:rsidRPr="00FF23BA">
        <w:rPr>
          <w:rFonts w:ascii="Times New Roman" w:hAnsi="Times New Roman" w:cs="Times New Roman"/>
          <w:color w:val="000000" w:themeColor="text1"/>
        </w:rPr>
        <w:lastRenderedPageBreak/>
        <w:t xml:space="preserve">complaint and Moses’ status vis-à-vis the people. Because the unit in question does not deal only with complaint narratives but primarily </w:t>
      </w:r>
      <w:r w:rsidR="008C5606" w:rsidRPr="00FF23BA">
        <w:rPr>
          <w:rFonts w:ascii="Times New Roman" w:hAnsi="Times New Roman" w:cs="Times New Roman"/>
          <w:color w:val="000000" w:themeColor="text1"/>
        </w:rPr>
        <w:t>relays</w:t>
      </w:r>
      <w:r w:rsidR="009D4BD3" w:rsidRPr="00FF23BA">
        <w:rPr>
          <w:rFonts w:ascii="Times New Roman" w:hAnsi="Times New Roman" w:cs="Times New Roman"/>
          <w:color w:val="000000" w:themeColor="text1"/>
        </w:rPr>
        <w:t xml:space="preserve"> an educational or theological message, the </w:t>
      </w:r>
      <w:r w:rsidR="008C5606" w:rsidRPr="00FF23BA">
        <w:rPr>
          <w:rFonts w:ascii="Times New Roman" w:hAnsi="Times New Roman" w:cs="Times New Roman"/>
          <w:color w:val="000000" w:themeColor="text1"/>
        </w:rPr>
        <w:t>redactor</w:t>
      </w:r>
      <w:r w:rsidR="009D4BD3" w:rsidRPr="00FF23BA">
        <w:rPr>
          <w:rFonts w:ascii="Times New Roman" w:hAnsi="Times New Roman" w:cs="Times New Roman"/>
          <w:color w:val="000000" w:themeColor="text1"/>
        </w:rPr>
        <w:t xml:space="preserve"> tried to </w:t>
      </w:r>
      <w:r w:rsidR="00274A1E" w:rsidRPr="00FF23BA">
        <w:rPr>
          <w:rFonts w:ascii="Times New Roman" w:hAnsi="Times New Roman" w:cs="Times New Roman"/>
          <w:color w:val="000000" w:themeColor="text1"/>
        </w:rPr>
        <w:t>weave</w:t>
      </w:r>
      <w:r w:rsidR="009D4BD3" w:rsidRPr="00FF23BA">
        <w:rPr>
          <w:rFonts w:ascii="Times New Roman" w:hAnsi="Times New Roman" w:cs="Times New Roman"/>
          <w:color w:val="000000" w:themeColor="text1"/>
        </w:rPr>
        <w:t xml:space="preserve"> the two stories </w:t>
      </w:r>
      <w:r w:rsidR="00274A1E" w:rsidRPr="00FF23BA">
        <w:rPr>
          <w:rFonts w:ascii="Times New Roman" w:hAnsi="Times New Roman" w:cs="Times New Roman"/>
          <w:color w:val="000000" w:themeColor="text1"/>
        </w:rPr>
        <w:t>into</w:t>
      </w:r>
      <w:r w:rsidR="009D4BD3" w:rsidRPr="00FF23BA">
        <w:rPr>
          <w:rFonts w:ascii="Times New Roman" w:hAnsi="Times New Roman" w:cs="Times New Roman"/>
          <w:color w:val="000000" w:themeColor="text1"/>
        </w:rPr>
        <w:t xml:space="preserve"> the complaints pericope. The</w:t>
      </w:r>
      <w:r w:rsidR="00274A1E" w:rsidRPr="00FF23BA">
        <w:rPr>
          <w:rFonts w:ascii="Times New Roman" w:hAnsi="Times New Roman" w:cs="Times New Roman"/>
          <w:color w:val="000000" w:themeColor="text1"/>
        </w:rPr>
        <w:t xml:space="preserve"> integration of the frame story with the inner story contributes to the overall direction of the story and presents the story as dealing with relations among Israel, the Lord, and Moses: Israel </w:t>
      </w:r>
      <w:commentRangeStart w:id="5"/>
      <w:r w:rsidR="00796B07" w:rsidRPr="00FF23BA">
        <w:rPr>
          <w:rFonts w:ascii="Times New Roman" w:hAnsi="Times New Roman" w:cs="Times New Roman"/>
          <w:color w:val="000000" w:themeColor="text1"/>
        </w:rPr>
        <w:t>casts doubt upon</w:t>
      </w:r>
      <w:commentRangeEnd w:id="5"/>
      <w:r w:rsidR="008C5606" w:rsidRPr="00FF23BA">
        <w:rPr>
          <w:rStyle w:val="CommentReference"/>
        </w:rPr>
        <w:commentReference w:id="5"/>
      </w:r>
      <w:r w:rsidR="00274A1E" w:rsidRPr="00FF23BA">
        <w:rPr>
          <w:rFonts w:ascii="Times New Roman" w:hAnsi="Times New Roman" w:cs="Times New Roman"/>
          <w:color w:val="000000" w:themeColor="text1"/>
        </w:rPr>
        <w:t xml:space="preserve"> relations with the Lord, </w:t>
      </w:r>
      <w:r w:rsidR="00796B07" w:rsidRPr="00FF23BA">
        <w:rPr>
          <w:rFonts w:ascii="Times New Roman" w:hAnsi="Times New Roman" w:cs="Times New Roman"/>
          <w:color w:val="000000" w:themeColor="text1"/>
        </w:rPr>
        <w:t xml:space="preserve">and </w:t>
      </w:r>
      <w:r w:rsidR="00274A1E" w:rsidRPr="00FF23BA">
        <w:rPr>
          <w:rFonts w:ascii="Times New Roman" w:hAnsi="Times New Roman" w:cs="Times New Roman"/>
          <w:color w:val="000000" w:themeColor="text1"/>
        </w:rPr>
        <w:t xml:space="preserve">Moses questions the relations between himself and Israel. The story concludes </w:t>
      </w:r>
      <w:r w:rsidR="00CF4D58" w:rsidRPr="00FF23BA">
        <w:rPr>
          <w:rFonts w:ascii="Times New Roman" w:hAnsi="Times New Roman" w:cs="Times New Roman"/>
          <w:color w:val="000000" w:themeColor="text1"/>
        </w:rPr>
        <w:t xml:space="preserve">with Israel’s challenging question, “Is the Lord among us, or not?” and seems to call for </w:t>
      </w:r>
      <w:r w:rsidR="00796B07" w:rsidRPr="00FF23BA">
        <w:rPr>
          <w:rFonts w:ascii="Times New Roman" w:hAnsi="Times New Roman" w:cs="Times New Roman"/>
          <w:color w:val="000000" w:themeColor="text1"/>
        </w:rPr>
        <w:t xml:space="preserve">an </w:t>
      </w:r>
      <w:r w:rsidR="00CF4D58" w:rsidRPr="00FF23BA">
        <w:rPr>
          <w:rFonts w:ascii="Times New Roman" w:hAnsi="Times New Roman" w:cs="Times New Roman"/>
          <w:color w:val="000000" w:themeColor="text1"/>
        </w:rPr>
        <w:t xml:space="preserve">answer to be received, one that will </w:t>
      </w:r>
      <w:r w:rsidR="00796B07" w:rsidRPr="00FF23BA">
        <w:rPr>
          <w:rFonts w:ascii="Times New Roman" w:hAnsi="Times New Roman" w:cs="Times New Roman"/>
          <w:color w:val="000000" w:themeColor="text1"/>
        </w:rPr>
        <w:t>arrive with</w:t>
      </w:r>
      <w:r w:rsidR="00CF4D58" w:rsidRPr="00FF23BA">
        <w:rPr>
          <w:rFonts w:ascii="Times New Roman" w:hAnsi="Times New Roman" w:cs="Times New Roman"/>
          <w:color w:val="000000" w:themeColor="text1"/>
        </w:rPr>
        <w:t xml:space="preserve"> the Amalek story. Unlike the preceding stories, the story of Amalek is, by consensus, a unified story. Literary analysis tells us that while the story does indeed contain two descriptions of war</w:t>
      </w:r>
      <w:r w:rsidR="009A2F97" w:rsidRPr="00FF23BA">
        <w:rPr>
          <w:rFonts w:ascii="Times New Roman" w:hAnsi="Times New Roman" w:cs="Times New Roman"/>
          <w:color w:val="000000" w:themeColor="text1"/>
        </w:rPr>
        <w:t xml:space="preserve">—the war in the field under the command of Joshua and the war on the hill under the command of Moses—the story as a whole is not </w:t>
      </w:r>
      <w:r w:rsidR="002F47CF" w:rsidRPr="00FF23BA">
        <w:rPr>
          <w:rFonts w:ascii="Times New Roman" w:hAnsi="Times New Roman" w:cs="Times New Roman"/>
          <w:color w:val="000000" w:themeColor="text1"/>
        </w:rPr>
        <w:t xml:space="preserve">constructed according to </w:t>
      </w:r>
      <w:r w:rsidR="009A2F97" w:rsidRPr="00FF23BA">
        <w:rPr>
          <w:rFonts w:ascii="Times New Roman" w:hAnsi="Times New Roman" w:cs="Times New Roman"/>
          <w:color w:val="000000" w:themeColor="text1"/>
        </w:rPr>
        <w:t xml:space="preserve">a classic structure. </w:t>
      </w:r>
      <w:r w:rsidR="002760C5" w:rsidRPr="00FF23BA">
        <w:rPr>
          <w:rFonts w:ascii="Times New Roman" w:hAnsi="Times New Roman" w:cs="Times New Roman"/>
          <w:color w:val="000000" w:themeColor="text1"/>
        </w:rPr>
        <w:t>God is absent from the descriptions of battle until the stage at which He bursts forth, after the conclusion of the war, whe</w:t>
      </w:r>
      <w:r w:rsidR="00796B07" w:rsidRPr="00FF23BA">
        <w:rPr>
          <w:rFonts w:ascii="Times New Roman" w:hAnsi="Times New Roman" w:cs="Times New Roman"/>
          <w:color w:val="000000" w:themeColor="text1"/>
        </w:rPr>
        <w:t>n</w:t>
      </w:r>
      <w:r w:rsidR="002760C5" w:rsidRPr="00FF23BA">
        <w:rPr>
          <w:rFonts w:ascii="Times New Roman" w:hAnsi="Times New Roman" w:cs="Times New Roman"/>
          <w:color w:val="000000" w:themeColor="text1"/>
        </w:rPr>
        <w:t xml:space="preserve"> </w:t>
      </w:r>
      <w:r w:rsidR="00796B07" w:rsidRPr="00FF23BA">
        <w:rPr>
          <w:rFonts w:ascii="Times New Roman" w:hAnsi="Times New Roman" w:cs="Times New Roman"/>
          <w:color w:val="000000" w:themeColor="text1"/>
        </w:rPr>
        <w:t>H</w:t>
      </w:r>
      <w:r w:rsidR="002760C5" w:rsidRPr="00FF23BA">
        <w:rPr>
          <w:rFonts w:ascii="Times New Roman" w:hAnsi="Times New Roman" w:cs="Times New Roman"/>
          <w:color w:val="000000" w:themeColor="text1"/>
        </w:rPr>
        <w:t>e takes responsibility for the continued battle with Amalek into the future. The Amalek story provides an answer to the question with which the story of Masa and Meribah ended, “Is God among us, or not?” Even though it sometimes appears that God is not present and the crisis must be managed in human fashion, Israel needs to know that the Lord accompanies them all along the way.</w:t>
      </w:r>
    </w:p>
    <w:p w14:paraId="3AF53719" w14:textId="487B5A79" w:rsidR="002760C5" w:rsidRPr="00FF23BA" w:rsidRDefault="002760C5" w:rsidP="00762283">
      <w:pPr>
        <w:spacing w:line="360" w:lineRule="auto"/>
        <w:rPr>
          <w:rFonts w:ascii="Times New Roman" w:hAnsi="Times New Roman" w:cs="Times New Roman"/>
          <w:color w:val="000000" w:themeColor="text1"/>
        </w:rPr>
      </w:pPr>
      <w:r w:rsidRPr="00FF23BA">
        <w:rPr>
          <w:rFonts w:ascii="Times New Roman" w:hAnsi="Times New Roman" w:cs="Times New Roman"/>
          <w:color w:val="000000" w:themeColor="text1"/>
        </w:rPr>
        <w:tab/>
      </w:r>
      <w:r w:rsidRPr="00FF23BA">
        <w:rPr>
          <w:rFonts w:ascii="Times New Roman" w:hAnsi="Times New Roman" w:cs="Times New Roman"/>
          <w:b/>
          <w:bCs/>
          <w:color w:val="000000" w:themeColor="text1"/>
        </w:rPr>
        <w:t xml:space="preserve">The </w:t>
      </w:r>
      <w:r w:rsidR="004B3301" w:rsidRPr="00FF23BA">
        <w:rPr>
          <w:rFonts w:ascii="Times New Roman" w:hAnsi="Times New Roman" w:cs="Times New Roman"/>
          <w:b/>
          <w:bCs/>
          <w:color w:val="000000" w:themeColor="text1"/>
        </w:rPr>
        <w:t>final</w:t>
      </w:r>
      <w:r w:rsidRPr="00FF23BA">
        <w:rPr>
          <w:rFonts w:ascii="Times New Roman" w:hAnsi="Times New Roman" w:cs="Times New Roman"/>
          <w:b/>
          <w:bCs/>
          <w:color w:val="000000" w:themeColor="text1"/>
        </w:rPr>
        <w:t xml:space="preserve"> chapter</w:t>
      </w:r>
      <w:r w:rsidRPr="00FF23BA">
        <w:rPr>
          <w:rFonts w:ascii="Times New Roman" w:hAnsi="Times New Roman" w:cs="Times New Roman"/>
          <w:color w:val="000000" w:themeColor="text1"/>
        </w:rPr>
        <w:t xml:space="preserve"> examines the conclusions </w:t>
      </w:r>
      <w:r w:rsidR="004B3301" w:rsidRPr="00FF23BA">
        <w:rPr>
          <w:rFonts w:ascii="Times New Roman" w:hAnsi="Times New Roman" w:cs="Times New Roman"/>
          <w:color w:val="000000" w:themeColor="text1"/>
        </w:rPr>
        <w:t>that emerged from the analysis of the smaller units, in order to infer the intent of the pericope as a whole. In the first part of the chapter we find that the three units in the pericope have been redacted and organized in the same manner. Each unit has two parts, of which the first pa</w:t>
      </w:r>
      <w:r w:rsidR="00796B07" w:rsidRPr="00FF23BA">
        <w:rPr>
          <w:rFonts w:ascii="Times New Roman" w:hAnsi="Times New Roman" w:cs="Times New Roman"/>
          <w:color w:val="000000" w:themeColor="text1"/>
        </w:rPr>
        <w:t>r</w:t>
      </w:r>
      <w:r w:rsidR="004B3301" w:rsidRPr="00FF23BA">
        <w:rPr>
          <w:rFonts w:ascii="Times New Roman" w:hAnsi="Times New Roman" w:cs="Times New Roman"/>
          <w:color w:val="000000" w:themeColor="text1"/>
        </w:rPr>
        <w:t>t is the central one and includes the main theme of each unit, and the second part stands on its own, is clearly separate from the previous story and responds to the central theme in the first part. Thus the report about Elim, which takes place elsewhere, re</w:t>
      </w:r>
      <w:r w:rsidR="00796B07" w:rsidRPr="00FF23BA">
        <w:rPr>
          <w:rFonts w:ascii="Times New Roman" w:hAnsi="Times New Roman" w:cs="Times New Roman"/>
          <w:color w:val="000000" w:themeColor="text1"/>
        </w:rPr>
        <w:t>s</w:t>
      </w:r>
      <w:r w:rsidR="004B3301" w:rsidRPr="00FF23BA">
        <w:rPr>
          <w:rFonts w:ascii="Times New Roman" w:hAnsi="Times New Roman" w:cs="Times New Roman"/>
          <w:color w:val="000000" w:themeColor="text1"/>
        </w:rPr>
        <w:t>ponds to the Mara story; the addenda in the story of the manna, which sound, from the description there, as though they belon</w:t>
      </w:r>
      <w:r w:rsidR="00796B07" w:rsidRPr="00FF23BA">
        <w:rPr>
          <w:rFonts w:ascii="Times New Roman" w:hAnsi="Times New Roman" w:cs="Times New Roman"/>
          <w:color w:val="000000" w:themeColor="text1"/>
        </w:rPr>
        <w:t>g</w:t>
      </w:r>
      <w:r w:rsidR="004B3301" w:rsidRPr="00FF23BA">
        <w:rPr>
          <w:rFonts w:ascii="Times New Roman" w:hAnsi="Times New Roman" w:cs="Times New Roman"/>
          <w:color w:val="000000" w:themeColor="text1"/>
        </w:rPr>
        <w:t xml:space="preserve"> to the period after the revelation at Sinai and the erection of the Tabernacle, strengthen and emphasize the importance of </w:t>
      </w:r>
      <w:r w:rsidR="00796B07" w:rsidRPr="00FF23BA">
        <w:rPr>
          <w:rFonts w:ascii="Times New Roman" w:hAnsi="Times New Roman" w:cs="Times New Roman"/>
          <w:color w:val="000000" w:themeColor="text1"/>
        </w:rPr>
        <w:t xml:space="preserve">the </w:t>
      </w:r>
      <w:r w:rsidR="004B3301" w:rsidRPr="00FF23BA">
        <w:rPr>
          <w:rFonts w:ascii="Times New Roman" w:hAnsi="Times New Roman" w:cs="Times New Roman"/>
          <w:color w:val="000000" w:themeColor="text1"/>
        </w:rPr>
        <w:t>law mentioned in the central story; and the story of Amalek, scraped from other plot materials, gives an</w:t>
      </w:r>
      <w:r w:rsidR="00796B07" w:rsidRPr="00FF23BA">
        <w:rPr>
          <w:rFonts w:ascii="Times New Roman" w:hAnsi="Times New Roman" w:cs="Times New Roman"/>
          <w:color w:val="000000" w:themeColor="text1"/>
        </w:rPr>
        <w:t xml:space="preserve"> </w:t>
      </w:r>
      <w:r w:rsidR="004B3301" w:rsidRPr="00FF23BA">
        <w:rPr>
          <w:rFonts w:ascii="Times New Roman" w:hAnsi="Times New Roman" w:cs="Times New Roman"/>
          <w:color w:val="000000" w:themeColor="text1"/>
        </w:rPr>
        <w:t xml:space="preserve">appropriate answer to the question that concludes the story of Masa and Meribah. The common foundation of the units indicates that one </w:t>
      </w:r>
      <w:r w:rsidR="00796B07" w:rsidRPr="00FF23BA">
        <w:rPr>
          <w:rFonts w:ascii="Times New Roman" w:hAnsi="Times New Roman" w:cs="Times New Roman"/>
          <w:color w:val="000000" w:themeColor="text1"/>
        </w:rPr>
        <w:t>can discern</w:t>
      </w:r>
      <w:r w:rsidR="004B3301" w:rsidRPr="00FF23BA">
        <w:rPr>
          <w:rFonts w:ascii="Times New Roman" w:hAnsi="Times New Roman" w:cs="Times New Roman"/>
          <w:color w:val="000000" w:themeColor="text1"/>
        </w:rPr>
        <w:t xml:space="preserve"> a consistent intent behind the pericope.</w:t>
      </w:r>
    </w:p>
    <w:p w14:paraId="124C1895" w14:textId="1A6A4BBD" w:rsidR="004B3301" w:rsidRPr="00FF23BA" w:rsidRDefault="004B3301" w:rsidP="00762283">
      <w:pPr>
        <w:spacing w:line="360" w:lineRule="auto"/>
        <w:rPr>
          <w:rFonts w:ascii="Times New Roman" w:hAnsi="Times New Roman" w:cs="Times New Roman"/>
          <w:color w:val="000000" w:themeColor="text1"/>
        </w:rPr>
      </w:pPr>
      <w:r w:rsidRPr="00FF23BA">
        <w:rPr>
          <w:rFonts w:ascii="Times New Roman" w:hAnsi="Times New Roman" w:cs="Times New Roman"/>
          <w:color w:val="000000" w:themeColor="text1"/>
        </w:rPr>
        <w:tab/>
      </w:r>
      <w:r w:rsidR="000A38DD" w:rsidRPr="00FF23BA">
        <w:rPr>
          <w:rFonts w:ascii="Times New Roman" w:hAnsi="Times New Roman" w:cs="Times New Roman"/>
          <w:color w:val="000000" w:themeColor="text1"/>
        </w:rPr>
        <w:t>Examination of</w:t>
      </w:r>
      <w:r w:rsidRPr="00FF23BA">
        <w:rPr>
          <w:rFonts w:ascii="Times New Roman" w:hAnsi="Times New Roman" w:cs="Times New Roman"/>
          <w:color w:val="000000" w:themeColor="text1"/>
        </w:rPr>
        <w:t xml:space="preserve"> the stories </w:t>
      </w:r>
      <w:r w:rsidR="00EF240F" w:rsidRPr="00FF23BA">
        <w:rPr>
          <w:rFonts w:ascii="Times New Roman" w:hAnsi="Times New Roman" w:cs="Times New Roman"/>
          <w:color w:val="000000" w:themeColor="text1"/>
        </w:rPr>
        <w:t xml:space="preserve">reveals that the pericope can be divided into two parts. In the first part (Masa, the manna), Israel’s obligation toward the Lord is emphasized, since they must </w:t>
      </w:r>
      <w:r w:rsidR="00EF240F" w:rsidRPr="00FF23BA">
        <w:rPr>
          <w:rFonts w:ascii="Times New Roman" w:hAnsi="Times New Roman" w:cs="Times New Roman"/>
          <w:color w:val="000000" w:themeColor="text1"/>
        </w:rPr>
        <w:lastRenderedPageBreak/>
        <w:t xml:space="preserve">obey the Lord and heed </w:t>
      </w:r>
      <w:r w:rsidR="00796B07" w:rsidRPr="00FF23BA">
        <w:rPr>
          <w:rFonts w:ascii="Times New Roman" w:hAnsi="Times New Roman" w:cs="Times New Roman"/>
          <w:color w:val="000000" w:themeColor="text1"/>
        </w:rPr>
        <w:t>H</w:t>
      </w:r>
      <w:r w:rsidR="00EF240F" w:rsidRPr="00FF23BA">
        <w:rPr>
          <w:rFonts w:ascii="Times New Roman" w:hAnsi="Times New Roman" w:cs="Times New Roman"/>
          <w:color w:val="000000" w:themeColor="text1"/>
        </w:rPr>
        <w:t xml:space="preserve">is voice. In the second part (Masa and Meribah, and Amalek) the obligation is examined in another light: the Lord undertakes commitments to Israel, even though they test </w:t>
      </w:r>
      <w:r w:rsidR="00796B07" w:rsidRPr="00FF23BA">
        <w:rPr>
          <w:rFonts w:ascii="Times New Roman" w:hAnsi="Times New Roman" w:cs="Times New Roman"/>
          <w:color w:val="000000" w:themeColor="text1"/>
        </w:rPr>
        <w:t>H</w:t>
      </w:r>
      <w:r w:rsidR="00EF240F" w:rsidRPr="00FF23BA">
        <w:rPr>
          <w:rFonts w:ascii="Times New Roman" w:hAnsi="Times New Roman" w:cs="Times New Roman"/>
          <w:color w:val="000000" w:themeColor="text1"/>
        </w:rPr>
        <w:t>im and deny divine providence, and He himself commits to battling Israel’s enemies forever.</w:t>
      </w:r>
    </w:p>
    <w:p w14:paraId="5B846807" w14:textId="32F854F3" w:rsidR="00EF240F" w:rsidRPr="002760C5" w:rsidRDefault="00EF240F" w:rsidP="00762283">
      <w:pPr>
        <w:spacing w:line="360" w:lineRule="auto"/>
        <w:rPr>
          <w:rFonts w:ascii="Times New Roman" w:hAnsi="Times New Roman" w:cs="Times New Roman"/>
          <w:color w:val="000000" w:themeColor="text1"/>
          <w:rtl/>
        </w:rPr>
      </w:pPr>
      <w:r w:rsidRPr="00FF23BA">
        <w:rPr>
          <w:rFonts w:ascii="Times New Roman" w:hAnsi="Times New Roman" w:cs="Times New Roman"/>
          <w:color w:val="000000" w:themeColor="text1"/>
        </w:rPr>
        <w:tab/>
        <w:t xml:space="preserve">Thus, the literary intent of the pericope is not limited to the beneficence shown by God  toward His people, but instead includes a theological intent that touches on the dual covenant of the Lord and His people. The complaints pericope summarizes the essence of the covenant, which had not yet been sealed, between the Lord and the people Israel. That covenant about to be </w:t>
      </w:r>
      <w:r w:rsidR="00796B07" w:rsidRPr="00FF23BA">
        <w:rPr>
          <w:rFonts w:ascii="Times New Roman" w:hAnsi="Times New Roman" w:cs="Times New Roman"/>
          <w:color w:val="000000" w:themeColor="text1"/>
        </w:rPr>
        <w:t>concluded</w:t>
      </w:r>
      <w:r w:rsidRPr="00FF23BA">
        <w:rPr>
          <w:rFonts w:ascii="Times New Roman" w:hAnsi="Times New Roman" w:cs="Times New Roman"/>
          <w:color w:val="000000" w:themeColor="text1"/>
        </w:rPr>
        <w:t xml:space="preserve"> between the Lord and Israel is two-sided and based on mutual trust and obligation.</w:t>
      </w:r>
    </w:p>
    <w:sectPr w:rsidR="00EF240F" w:rsidRPr="002760C5" w:rsidSect="00CB015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5833F804" w14:textId="15A4C5E7" w:rsidR="00254E07" w:rsidRPr="00254E07" w:rsidRDefault="00254E07">
      <w:pPr>
        <w:pStyle w:val="CommentText"/>
      </w:pPr>
      <w:r w:rsidRPr="00254E07">
        <w:rPr>
          <w:rStyle w:val="CommentReference"/>
        </w:rPr>
        <w:annotationRef/>
      </w:r>
      <w:r w:rsidRPr="00254E07">
        <w:rPr>
          <w:rFonts w:ascii="Helvetica Neue" w:hAnsi="Helvetica Neue" w:cs="Times New Roman"/>
        </w:rPr>
        <w:t xml:space="preserve">[assuming </w:t>
      </w:r>
      <w:r w:rsidRPr="00254E07">
        <w:rPr>
          <w:rFonts w:ascii="Helvetica Neue" w:hAnsi="Helvetica Neue" w:cs="Times New Roman"/>
          <w:rtl/>
        </w:rPr>
        <w:t>הנאות</w:t>
      </w:r>
      <w:r w:rsidRPr="00254E07">
        <w:rPr>
          <w:rFonts w:ascii="Helvetica Neue" w:hAnsi="Helvetica Neue" w:cs="Times New Roman"/>
        </w:rPr>
        <w:t xml:space="preserve"> is an error, should be </w:t>
      </w:r>
      <w:r w:rsidRPr="00254E07">
        <w:rPr>
          <w:rFonts w:ascii="Helvetica Neue" w:hAnsi="Helvetica Neue" w:cs="Times New Roman"/>
          <w:rtl/>
        </w:rPr>
        <w:t>הנאום</w:t>
      </w:r>
      <w:r w:rsidRPr="00254E07">
        <w:rPr>
          <w:rFonts w:ascii="Helvetica Neue" w:hAnsi="Helvetica Neue" w:cs="Times New Roman"/>
        </w:rPr>
        <w:t>]</w:t>
      </w:r>
    </w:p>
  </w:comment>
  <w:comment w:id="1" w:author="Author" w:initials="A">
    <w:p w14:paraId="015DEB97" w14:textId="44DC3CF8" w:rsidR="00254E07" w:rsidRDefault="00254E07">
      <w:pPr>
        <w:pStyle w:val="CommentText"/>
      </w:pPr>
      <w:r w:rsidRPr="00254E07">
        <w:rPr>
          <w:rStyle w:val="CommentReference"/>
        </w:rPr>
        <w:annotationRef/>
      </w:r>
      <w:r w:rsidRPr="00254E07">
        <w:rPr>
          <w:rStyle w:val="CommentReference"/>
        </w:rPr>
        <w:t xml:space="preserve">Please confirm. </w:t>
      </w:r>
      <w:r w:rsidRPr="00254E07">
        <w:rPr>
          <w:rFonts w:ascii="Helvetica Neue" w:hAnsi="Helvetica Neue" w:cs="Times New Roman"/>
        </w:rPr>
        <w:t xml:space="preserve"> The syntax of </w:t>
      </w:r>
      <w:r w:rsidRPr="00254E07">
        <w:rPr>
          <w:rFonts w:ascii="Helvetica Neue" w:hAnsi="Helvetica Neue" w:cs="David"/>
          <w:rtl/>
        </w:rPr>
        <w:t>לסיפור מרה כולו לדיווח מציאת המים באילים</w:t>
      </w:r>
      <w:r w:rsidRPr="00254E07">
        <w:rPr>
          <w:rFonts w:ascii="Helvetica Neue" w:hAnsi="Helvetica Neue" w:cs="David"/>
        </w:rPr>
        <w:t xml:space="preserve"> is unclear.</w:t>
      </w:r>
    </w:p>
  </w:comment>
  <w:comment w:id="2" w:author="Author" w:initials="A">
    <w:p w14:paraId="3752EF8C" w14:textId="7F0A8C58" w:rsidR="00AA73DF" w:rsidRPr="00AA73DF" w:rsidRDefault="00AA73DF">
      <w:pPr>
        <w:pStyle w:val="CommentText"/>
      </w:pPr>
      <w:r>
        <w:rPr>
          <w:rStyle w:val="CommentReference"/>
        </w:rPr>
        <w:annotationRef/>
      </w:r>
      <w:r w:rsidRPr="00AA73DF">
        <w:rPr>
          <w:rFonts w:ascii="Helvetica Neue" w:hAnsi="Helvetica Neue" w:cs="Times New Roman"/>
        </w:rPr>
        <w:t xml:space="preserve">reading </w:t>
      </w:r>
      <w:r w:rsidRPr="00AA73DF">
        <w:rPr>
          <w:rFonts w:ascii="Helvetica Neue" w:hAnsi="Helvetica Neue" w:cs="Times New Roman"/>
          <w:rtl/>
        </w:rPr>
        <w:t>א-להי ישראל</w:t>
      </w:r>
      <w:r w:rsidRPr="00AA73DF">
        <w:rPr>
          <w:rFonts w:ascii="Helvetica Neue" w:hAnsi="Helvetica Neue" w:cs="Times New Roman"/>
        </w:rPr>
        <w:t xml:space="preserve"> rather than </w:t>
      </w:r>
      <w:r w:rsidRPr="00AA73DF">
        <w:rPr>
          <w:rFonts w:ascii="Helvetica Neue" w:hAnsi="Helvetica Neue" w:cs="Times New Roman"/>
          <w:rtl/>
        </w:rPr>
        <w:t>עם ישראל</w:t>
      </w:r>
    </w:p>
  </w:comment>
  <w:comment w:id="3" w:author="Author" w:initials="A">
    <w:p w14:paraId="0DD3DEE8" w14:textId="497908C9" w:rsidR="009D23E4" w:rsidRPr="009D23E4" w:rsidRDefault="009D23E4">
      <w:pPr>
        <w:pStyle w:val="CommentText"/>
      </w:pPr>
      <w:r w:rsidRPr="009D23E4">
        <w:rPr>
          <w:rStyle w:val="CommentReference"/>
        </w:rPr>
        <w:annotationRef/>
      </w:r>
      <w:r w:rsidRPr="009D23E4">
        <w:rPr>
          <w:rFonts w:ascii="Helvetica Neue" w:hAnsi="Helvetica Neue" w:cs="Times New Roman"/>
        </w:rPr>
        <w:t>I understand “</w:t>
      </w:r>
      <w:r w:rsidRPr="009D23E4">
        <w:rPr>
          <w:rFonts w:ascii="Helvetica Neue" w:hAnsi="Helvetica Neue" w:cs="Times New Roman"/>
          <w:rtl/>
        </w:rPr>
        <w:t>שונה</w:t>
      </w:r>
      <w:r w:rsidRPr="009D23E4">
        <w:rPr>
          <w:rFonts w:ascii="Helvetica Neue" w:hAnsi="Helvetica Neue" w:cs="Times New Roman"/>
        </w:rPr>
        <w:t xml:space="preserve">” as intended to refer to </w:t>
      </w:r>
      <w:r w:rsidRPr="009D23E4">
        <w:rPr>
          <w:rFonts w:ascii="Helvetica Neue" w:hAnsi="Helvetica Neue" w:cs="Times New Roman"/>
          <w:rtl/>
        </w:rPr>
        <w:t>״נקודת התרה וסיום״</w:t>
      </w:r>
      <w:r w:rsidRPr="009D23E4">
        <w:rPr>
          <w:rFonts w:ascii="Helvetica Neue" w:hAnsi="Helvetica Neue" w:cs="Times New Roman"/>
        </w:rPr>
        <w:t xml:space="preserve"> as well as to “</w:t>
      </w:r>
      <w:r w:rsidRPr="009D23E4">
        <w:rPr>
          <w:rFonts w:ascii="Helvetica Neue" w:hAnsi="Helvetica Neue" w:cs="Times New Roman"/>
          <w:rtl/>
        </w:rPr>
        <w:t>נקודת סיבו</w:t>
      </w:r>
      <w:r w:rsidRPr="009D23E4">
        <w:rPr>
          <w:rFonts w:ascii="Helvetica Neue" w:hAnsi="Helvetica Neue" w:cs="Times New Roman" w:hint="cs"/>
          <w:rtl/>
        </w:rPr>
        <w:t>ך</w:t>
      </w:r>
      <w:r w:rsidRPr="009D23E4">
        <w:rPr>
          <w:rFonts w:ascii="Helvetica Neue" w:hAnsi="Helvetica Neue" w:cs="Times New Roman"/>
        </w:rPr>
        <w:t>”</w:t>
      </w:r>
    </w:p>
  </w:comment>
  <w:comment w:id="4" w:author="Author" w:initials="A">
    <w:p w14:paraId="447FBC12" w14:textId="77289BFB" w:rsidR="009D23E4" w:rsidRPr="009D23E4" w:rsidRDefault="009D23E4">
      <w:pPr>
        <w:pStyle w:val="CommentText"/>
      </w:pPr>
      <w:r w:rsidRPr="009D23E4">
        <w:rPr>
          <w:rStyle w:val="CommentReference"/>
        </w:rPr>
        <w:annotationRef/>
      </w:r>
      <w:r w:rsidRPr="009D23E4">
        <w:rPr>
          <w:rFonts w:ascii="Helvetica Neue" w:hAnsi="Helvetica Neue" w:cs="Times New Roman"/>
        </w:rPr>
        <w:t>Are these two separate things, or do you mean something like “which have been deftly intertwined”?</w:t>
      </w:r>
    </w:p>
  </w:comment>
  <w:comment w:id="5" w:author="Author" w:initials="A">
    <w:p w14:paraId="441638D8" w14:textId="7A1D375F" w:rsidR="008C5606" w:rsidRPr="008C5606" w:rsidRDefault="008C5606">
      <w:pPr>
        <w:pStyle w:val="CommentText"/>
      </w:pPr>
      <w:r w:rsidRPr="008C5606">
        <w:rPr>
          <w:rStyle w:val="CommentReference"/>
        </w:rPr>
        <w:annotationRef/>
      </w:r>
      <w:r w:rsidRPr="008C5606">
        <w:rPr>
          <w:rFonts w:ascii="Helvetica Neue" w:hAnsi="Helvetica Neue" w:cs="Times New Roman"/>
        </w:rPr>
        <w:t>Or: “laments”? Or “undermines”? What is meant by “</w:t>
      </w:r>
      <w:r w:rsidRPr="008C5606">
        <w:rPr>
          <w:rFonts w:ascii="Helvetica Neue" w:hAnsi="Helvetica Neue" w:cs="Times New Roman"/>
          <w:rtl/>
        </w:rPr>
        <w:t>מערער על</w:t>
      </w:r>
      <w:r w:rsidRPr="008C5606">
        <w:rPr>
          <w:rFonts w:ascii="Helvetica Neue" w:hAnsi="Helvetica Neue" w:cs="Times New Roma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33F804" w15:done="0"/>
  <w15:commentEx w15:paraId="015DEB97" w15:done="0"/>
  <w15:commentEx w15:paraId="3752EF8C" w15:done="0"/>
  <w15:commentEx w15:paraId="0DD3DEE8" w15:done="0"/>
  <w15:commentEx w15:paraId="447FBC12" w15:done="0"/>
  <w15:commentEx w15:paraId="441638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33F804" w16cid:durableId="22833132"/>
  <w16cid:commentId w16cid:paraId="015DEB97" w16cid:durableId="22833168"/>
  <w16cid:commentId w16cid:paraId="3752EF8C" w16cid:durableId="2283324E"/>
  <w16cid:commentId w16cid:paraId="0DD3DEE8" w16cid:durableId="22833386"/>
  <w16cid:commentId w16cid:paraId="447FBC12" w16cid:durableId="228333C9"/>
  <w16cid:commentId w16cid:paraId="441638D8" w16cid:durableId="228334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E7413" w14:textId="77777777" w:rsidR="00A71151" w:rsidRDefault="00A71151" w:rsidP="00CA3DFD">
      <w:r>
        <w:separator/>
      </w:r>
    </w:p>
  </w:endnote>
  <w:endnote w:type="continuationSeparator" w:id="0">
    <w:p w14:paraId="10FAFF72" w14:textId="77777777" w:rsidR="00A71151" w:rsidRDefault="00A71151" w:rsidP="00CA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9DA5C" w14:textId="77777777" w:rsidR="00A71151" w:rsidRDefault="00A71151" w:rsidP="00CA3DFD">
      <w:r>
        <w:separator/>
      </w:r>
    </w:p>
  </w:footnote>
  <w:footnote w:type="continuationSeparator" w:id="0">
    <w:p w14:paraId="6B233806" w14:textId="77777777" w:rsidR="00A71151" w:rsidRDefault="00A71151" w:rsidP="00CA3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3MjI2sTQ3MzMzMDVV0lEKTi0uzszPAykwrAUA7INdBSwAAAA="/>
  </w:docVars>
  <w:rsids>
    <w:rsidRoot w:val="00762283"/>
    <w:rsid w:val="000918FA"/>
    <w:rsid w:val="000A30F0"/>
    <w:rsid w:val="000A38DD"/>
    <w:rsid w:val="00180C2E"/>
    <w:rsid w:val="0019476A"/>
    <w:rsid w:val="001A0E8A"/>
    <w:rsid w:val="001C4146"/>
    <w:rsid w:val="00227CCD"/>
    <w:rsid w:val="00230900"/>
    <w:rsid w:val="00254E07"/>
    <w:rsid w:val="00274A1E"/>
    <w:rsid w:val="002760C5"/>
    <w:rsid w:val="002D6B42"/>
    <w:rsid w:val="002D6D66"/>
    <w:rsid w:val="002E0231"/>
    <w:rsid w:val="002F47CF"/>
    <w:rsid w:val="00414174"/>
    <w:rsid w:val="00445205"/>
    <w:rsid w:val="004716F4"/>
    <w:rsid w:val="00482710"/>
    <w:rsid w:val="004B3301"/>
    <w:rsid w:val="00521787"/>
    <w:rsid w:val="005417F6"/>
    <w:rsid w:val="00560522"/>
    <w:rsid w:val="005D47DF"/>
    <w:rsid w:val="00656E95"/>
    <w:rsid w:val="00737F5E"/>
    <w:rsid w:val="00762283"/>
    <w:rsid w:val="00796B07"/>
    <w:rsid w:val="008C5606"/>
    <w:rsid w:val="00913AAF"/>
    <w:rsid w:val="00936C35"/>
    <w:rsid w:val="00953DA1"/>
    <w:rsid w:val="009A2F97"/>
    <w:rsid w:val="009D23E4"/>
    <w:rsid w:val="009D4BD3"/>
    <w:rsid w:val="009E58E3"/>
    <w:rsid w:val="00A71151"/>
    <w:rsid w:val="00A94496"/>
    <w:rsid w:val="00AA73DF"/>
    <w:rsid w:val="00B06FD4"/>
    <w:rsid w:val="00BD07C0"/>
    <w:rsid w:val="00C0258F"/>
    <w:rsid w:val="00CA3DFD"/>
    <w:rsid w:val="00CB0152"/>
    <w:rsid w:val="00CC1433"/>
    <w:rsid w:val="00CC3B6B"/>
    <w:rsid w:val="00CF4D58"/>
    <w:rsid w:val="00D724E0"/>
    <w:rsid w:val="00EF240F"/>
    <w:rsid w:val="00F10B47"/>
    <w:rsid w:val="00F21898"/>
    <w:rsid w:val="00F3145A"/>
    <w:rsid w:val="00FF23BA"/>
    <w:rsid w:val="00FF59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CEF12"/>
  <w15:chartTrackingRefBased/>
  <w15:docId w15:val="{09CB2982-111C-8D4C-84B8-4DA7CE28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4E07"/>
    <w:rPr>
      <w:sz w:val="16"/>
      <w:szCs w:val="16"/>
    </w:rPr>
  </w:style>
  <w:style w:type="paragraph" w:styleId="CommentText">
    <w:name w:val="annotation text"/>
    <w:basedOn w:val="Normal"/>
    <w:link w:val="CommentTextChar"/>
    <w:uiPriority w:val="99"/>
    <w:semiHidden/>
    <w:unhideWhenUsed/>
    <w:rsid w:val="00254E07"/>
    <w:rPr>
      <w:sz w:val="20"/>
      <w:szCs w:val="20"/>
    </w:rPr>
  </w:style>
  <w:style w:type="character" w:customStyle="1" w:styleId="CommentTextChar">
    <w:name w:val="Comment Text Char"/>
    <w:basedOn w:val="DefaultParagraphFont"/>
    <w:link w:val="CommentText"/>
    <w:uiPriority w:val="99"/>
    <w:semiHidden/>
    <w:rsid w:val="00254E07"/>
    <w:rPr>
      <w:sz w:val="20"/>
      <w:szCs w:val="20"/>
    </w:rPr>
  </w:style>
  <w:style w:type="paragraph" w:styleId="CommentSubject">
    <w:name w:val="annotation subject"/>
    <w:basedOn w:val="CommentText"/>
    <w:next w:val="CommentText"/>
    <w:link w:val="CommentSubjectChar"/>
    <w:uiPriority w:val="99"/>
    <w:semiHidden/>
    <w:unhideWhenUsed/>
    <w:rsid w:val="00254E07"/>
    <w:rPr>
      <w:b/>
      <w:bCs/>
    </w:rPr>
  </w:style>
  <w:style w:type="character" w:customStyle="1" w:styleId="CommentSubjectChar">
    <w:name w:val="Comment Subject Char"/>
    <w:basedOn w:val="CommentTextChar"/>
    <w:link w:val="CommentSubject"/>
    <w:uiPriority w:val="99"/>
    <w:semiHidden/>
    <w:rsid w:val="00254E07"/>
    <w:rPr>
      <w:b/>
      <w:bCs/>
      <w:sz w:val="20"/>
      <w:szCs w:val="20"/>
    </w:rPr>
  </w:style>
  <w:style w:type="paragraph" w:styleId="BalloonText">
    <w:name w:val="Balloon Text"/>
    <w:basedOn w:val="Normal"/>
    <w:link w:val="BalloonTextChar"/>
    <w:uiPriority w:val="99"/>
    <w:semiHidden/>
    <w:unhideWhenUsed/>
    <w:rsid w:val="00254E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E07"/>
    <w:rPr>
      <w:rFonts w:ascii="Segoe UI" w:hAnsi="Segoe UI" w:cs="Segoe UI"/>
      <w:sz w:val="18"/>
      <w:szCs w:val="18"/>
    </w:rPr>
  </w:style>
  <w:style w:type="paragraph" w:styleId="Header">
    <w:name w:val="header"/>
    <w:basedOn w:val="Normal"/>
    <w:link w:val="HeaderChar"/>
    <w:uiPriority w:val="99"/>
    <w:unhideWhenUsed/>
    <w:rsid w:val="00CA3DFD"/>
    <w:pPr>
      <w:tabs>
        <w:tab w:val="center" w:pos="4513"/>
        <w:tab w:val="right" w:pos="9026"/>
      </w:tabs>
    </w:pPr>
  </w:style>
  <w:style w:type="character" w:customStyle="1" w:styleId="HeaderChar">
    <w:name w:val="Header Char"/>
    <w:basedOn w:val="DefaultParagraphFont"/>
    <w:link w:val="Header"/>
    <w:uiPriority w:val="99"/>
    <w:rsid w:val="00CA3DFD"/>
  </w:style>
  <w:style w:type="paragraph" w:styleId="Footer">
    <w:name w:val="footer"/>
    <w:basedOn w:val="Normal"/>
    <w:link w:val="FooterChar"/>
    <w:uiPriority w:val="99"/>
    <w:unhideWhenUsed/>
    <w:rsid w:val="00CA3DFD"/>
    <w:pPr>
      <w:tabs>
        <w:tab w:val="center" w:pos="4513"/>
        <w:tab w:val="right" w:pos="9026"/>
      </w:tabs>
    </w:pPr>
  </w:style>
  <w:style w:type="character" w:customStyle="1" w:styleId="FooterChar">
    <w:name w:val="Footer Char"/>
    <w:basedOn w:val="DefaultParagraphFont"/>
    <w:link w:val="Footer"/>
    <w:uiPriority w:val="99"/>
    <w:rsid w:val="00CA3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2020-06-04T05:55:00Z</dcterms:created>
  <dcterms:modified xsi:type="dcterms:W3CDTF">2020-06-04T05:55:00Z</dcterms:modified>
</cp:coreProperties>
</file>