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E01C0" w14:textId="0B833C73" w:rsidR="00027580" w:rsidRPr="00154B77" w:rsidRDefault="00154B77" w:rsidP="004A248C">
      <w:pPr>
        <w:spacing w:line="360" w:lineRule="auto"/>
        <w:rPr>
          <w:rFonts w:ascii="Times New Roman" w:hAnsi="Times New Roman" w:cs="Times New Roman"/>
        </w:rPr>
      </w:pPr>
      <w:r w:rsidRPr="00154B77">
        <w:rPr>
          <w:rFonts w:ascii="Times New Roman" w:hAnsi="Times New Roman" w:cs="Times New Roman"/>
        </w:rPr>
        <w:t>[logo]</w:t>
      </w:r>
    </w:p>
    <w:p w14:paraId="44B2D03C" w14:textId="29AC1E6E" w:rsidR="00154B77" w:rsidRPr="00154B77" w:rsidRDefault="00154B77" w:rsidP="004A248C">
      <w:pPr>
        <w:spacing w:line="360" w:lineRule="auto"/>
        <w:rPr>
          <w:rFonts w:ascii="Times New Roman" w:hAnsi="Times New Roman" w:cs="Times New Roman"/>
        </w:rPr>
      </w:pPr>
      <w:r w:rsidRPr="00154B77">
        <w:rPr>
          <w:rFonts w:ascii="Times New Roman" w:hAnsi="Times New Roman" w:cs="Times New Roman"/>
        </w:rPr>
        <w:t>07/06/2020</w:t>
      </w:r>
    </w:p>
    <w:p w14:paraId="4B182685" w14:textId="788A9DDF" w:rsidR="00154B77" w:rsidRPr="00154B77" w:rsidRDefault="00154B77" w:rsidP="004A248C">
      <w:pPr>
        <w:spacing w:line="360" w:lineRule="auto"/>
        <w:rPr>
          <w:rFonts w:ascii="Times New Roman" w:hAnsi="Times New Roman" w:cs="Times New Roman"/>
        </w:rPr>
      </w:pPr>
    </w:p>
    <w:p w14:paraId="794442F5" w14:textId="1CE3E398" w:rsidR="00154B77" w:rsidRPr="00154B77" w:rsidRDefault="00154B77" w:rsidP="004A248C">
      <w:pPr>
        <w:spacing w:line="360" w:lineRule="auto"/>
        <w:rPr>
          <w:rFonts w:ascii="Times New Roman" w:hAnsi="Times New Roman" w:cs="Times New Roman"/>
          <w:lang w:eastAsia="en-GB"/>
        </w:rPr>
      </w:pPr>
      <w:r w:rsidRPr="00154B77">
        <w:rPr>
          <w:rFonts w:ascii="Times New Roman" w:hAnsi="Times New Roman" w:cs="Times New Roman"/>
        </w:rPr>
        <w:t>To: T</w:t>
      </w:r>
      <w:r w:rsidRPr="00154B77">
        <w:rPr>
          <w:rFonts w:ascii="Times New Roman" w:hAnsi="Times New Roman" w:cs="Times New Roman"/>
          <w:lang w:eastAsia="en-GB"/>
        </w:rPr>
        <w:t>onya J Mead</w:t>
      </w:r>
      <w:r w:rsidRPr="00154B77">
        <w:rPr>
          <w:rFonts w:ascii="Times New Roman" w:hAnsi="Times New Roman" w:cs="Times New Roman"/>
          <w:lang w:eastAsia="en-GB"/>
        </w:rPr>
        <w:t xml:space="preserve">, </w:t>
      </w:r>
      <w:r w:rsidRPr="00154B77">
        <w:rPr>
          <w:rFonts w:ascii="Times New Roman" w:hAnsi="Times New Roman" w:cs="Times New Roman"/>
          <w:lang w:eastAsia="en-GB"/>
        </w:rPr>
        <w:t>Senior Audit Manager</w:t>
      </w:r>
    </w:p>
    <w:p w14:paraId="2140FBAB" w14:textId="55039567" w:rsidR="00154B77" w:rsidRPr="00154B77" w:rsidRDefault="00154B77" w:rsidP="004A248C">
      <w:pPr>
        <w:spacing w:line="360" w:lineRule="auto"/>
        <w:rPr>
          <w:rFonts w:ascii="Times New Roman" w:hAnsi="Times New Roman" w:cs="Times New Roman"/>
          <w:lang w:eastAsia="en-GB"/>
        </w:rPr>
      </w:pPr>
    </w:p>
    <w:p w14:paraId="058778CC" w14:textId="7DCAD34A" w:rsidR="00154B77" w:rsidRDefault="00154B77" w:rsidP="004A248C">
      <w:pPr>
        <w:spacing w:line="360" w:lineRule="auto"/>
        <w:rPr>
          <w:rFonts w:ascii="Times New Roman" w:hAnsi="Times New Roman" w:cs="Times New Roman"/>
          <w:u w:val="single"/>
          <w:lang w:eastAsia="en-GB"/>
        </w:rPr>
      </w:pPr>
      <w:r w:rsidRPr="00154B77">
        <w:rPr>
          <w:rFonts w:ascii="Times New Roman" w:hAnsi="Times New Roman" w:cs="Times New Roman"/>
          <w:lang w:eastAsia="en-GB"/>
        </w:rPr>
        <w:t xml:space="preserve">Re: </w:t>
      </w:r>
      <w:r w:rsidRPr="00154B77">
        <w:rPr>
          <w:rFonts w:ascii="Times New Roman" w:hAnsi="Times New Roman" w:cs="Times New Roman"/>
          <w:u w:val="single"/>
          <w:lang w:eastAsia="en-GB"/>
        </w:rPr>
        <w:t xml:space="preserve">Haifa University’s response to </w:t>
      </w:r>
      <w:commentRangeStart w:id="0"/>
      <w:r w:rsidRPr="00154B77">
        <w:rPr>
          <w:rFonts w:ascii="Times New Roman" w:hAnsi="Times New Roman" w:cs="Times New Roman"/>
          <w:u w:val="single"/>
          <w:lang w:eastAsia="en-GB"/>
        </w:rPr>
        <w:t xml:space="preserve">the findings in </w:t>
      </w:r>
      <w:commentRangeEnd w:id="0"/>
      <w:r>
        <w:rPr>
          <w:rStyle w:val="CommentReference"/>
        </w:rPr>
        <w:commentReference w:id="0"/>
      </w:r>
      <w:r w:rsidRPr="00154B77">
        <w:rPr>
          <w:rFonts w:ascii="Times New Roman" w:hAnsi="Times New Roman" w:cs="Times New Roman"/>
          <w:u w:val="single"/>
          <w:lang w:eastAsia="en-GB"/>
        </w:rPr>
        <w:t>the draft report of the audit conducted by B.D.O. U.K.</w:t>
      </w:r>
    </w:p>
    <w:p w14:paraId="6918BAF0" w14:textId="47778A9C" w:rsidR="00154B77" w:rsidRDefault="00154B77" w:rsidP="004A248C">
      <w:pPr>
        <w:spacing w:line="360" w:lineRule="auto"/>
        <w:rPr>
          <w:rFonts w:ascii="Times New Roman" w:hAnsi="Times New Roman" w:cs="Times New Roman"/>
          <w:u w:val="single"/>
          <w:lang w:eastAsia="en-GB"/>
        </w:rPr>
      </w:pPr>
    </w:p>
    <w:p w14:paraId="500D6367" w14:textId="0089934F" w:rsidR="00154B77" w:rsidRDefault="00154B77" w:rsidP="004A248C">
      <w:pPr>
        <w:pStyle w:val="ListParagraph"/>
        <w:numPr>
          <w:ilvl w:val="0"/>
          <w:numId w:val="2"/>
        </w:numPr>
        <w:spacing w:line="360" w:lineRule="auto"/>
        <w:rPr>
          <w:rFonts w:ascii="Times New Roman" w:hAnsi="Times New Roman" w:cs="Times New Roman"/>
          <w:lang w:eastAsia="en-GB"/>
        </w:rPr>
      </w:pPr>
      <w:r>
        <w:rPr>
          <w:rFonts w:ascii="Times New Roman" w:hAnsi="Times New Roman" w:cs="Times New Roman"/>
          <w:lang w:eastAsia="en-GB"/>
        </w:rPr>
        <w:t>During the period 11–14/11/2019, an audit was conducted for the European Union by the auditing firm B.D.O. U.K., a draft of whose report was received on 20/04/2020.</w:t>
      </w:r>
    </w:p>
    <w:p w14:paraId="38E4E4E3" w14:textId="72F0ED66" w:rsidR="00154B77" w:rsidRDefault="00154B77" w:rsidP="004A248C">
      <w:pPr>
        <w:pStyle w:val="ListParagraph"/>
        <w:numPr>
          <w:ilvl w:val="0"/>
          <w:numId w:val="2"/>
        </w:numPr>
        <w:spacing w:line="360" w:lineRule="auto"/>
        <w:rPr>
          <w:rFonts w:ascii="Times New Roman" w:hAnsi="Times New Roman" w:cs="Times New Roman"/>
          <w:lang w:eastAsia="en-GB"/>
        </w:rPr>
      </w:pPr>
      <w:r>
        <w:rPr>
          <w:rFonts w:ascii="Times New Roman" w:hAnsi="Times New Roman" w:cs="Times New Roman"/>
          <w:lang w:eastAsia="en-GB"/>
        </w:rPr>
        <w:t>Haifa University expresses its thanks to the team of auditors, Tonya J Mead and Tarek Salameh for the audit they conducted.</w:t>
      </w:r>
    </w:p>
    <w:p w14:paraId="1FD05DEA" w14:textId="25ED1CCE" w:rsidR="00154B77" w:rsidRDefault="00154B77" w:rsidP="004A248C">
      <w:pPr>
        <w:pStyle w:val="ListParagraph"/>
        <w:numPr>
          <w:ilvl w:val="0"/>
          <w:numId w:val="2"/>
        </w:numPr>
        <w:spacing w:line="360" w:lineRule="auto"/>
        <w:rPr>
          <w:rFonts w:ascii="Times New Roman" w:hAnsi="Times New Roman" w:cs="Times New Roman"/>
          <w:lang w:eastAsia="en-GB"/>
        </w:rPr>
      </w:pPr>
      <w:r>
        <w:rPr>
          <w:rFonts w:ascii="Times New Roman" w:hAnsi="Times New Roman" w:cs="Times New Roman"/>
          <w:lang w:eastAsia="en-GB"/>
        </w:rPr>
        <w:t>These are the main points of our response:</w:t>
      </w:r>
    </w:p>
    <w:p w14:paraId="1476C0DD" w14:textId="486EAF42" w:rsidR="00154B77" w:rsidRDefault="00154B77" w:rsidP="004A248C">
      <w:pPr>
        <w:pStyle w:val="ListParagraph"/>
        <w:spacing w:line="360" w:lineRule="auto"/>
        <w:rPr>
          <w:rFonts w:ascii="Times New Roman" w:hAnsi="Times New Roman" w:cs="Times New Roman"/>
          <w:lang w:eastAsia="en-GB"/>
        </w:rPr>
      </w:pPr>
      <w:r>
        <w:rPr>
          <w:rFonts w:ascii="Times New Roman" w:hAnsi="Times New Roman" w:cs="Times New Roman"/>
          <w:lang w:eastAsia="en-GB"/>
        </w:rPr>
        <w:t>a. We are aware of an</w:t>
      </w:r>
      <w:r w:rsidR="004A248C">
        <w:rPr>
          <w:rFonts w:ascii="Times New Roman" w:hAnsi="Times New Roman" w:cs="Times New Roman"/>
          <w:lang w:eastAsia="en-GB"/>
        </w:rPr>
        <w:t>d</w:t>
      </w:r>
      <w:r>
        <w:rPr>
          <w:rFonts w:ascii="Times New Roman" w:hAnsi="Times New Roman" w:cs="Times New Roman"/>
          <w:lang w:eastAsia="en-GB"/>
        </w:rPr>
        <w:t xml:space="preserve"> familiar with the European Union’s practices regarding both the manner of the ongoing management of projects and the manner of financial reporting on them, and we are taking care to enrich </w:t>
      </w:r>
      <w:commentRangeStart w:id="1"/>
      <w:r>
        <w:rPr>
          <w:rFonts w:ascii="Times New Roman" w:hAnsi="Times New Roman" w:cs="Times New Roman"/>
          <w:lang w:eastAsia="en-GB"/>
        </w:rPr>
        <w:t xml:space="preserve">knowledge </w:t>
      </w:r>
      <w:commentRangeEnd w:id="1"/>
      <w:r>
        <w:rPr>
          <w:rStyle w:val="CommentReference"/>
        </w:rPr>
        <w:commentReference w:id="1"/>
      </w:r>
      <w:r>
        <w:rPr>
          <w:rFonts w:ascii="Times New Roman" w:hAnsi="Times New Roman" w:cs="Times New Roman"/>
          <w:lang w:eastAsia="en-GB"/>
        </w:rPr>
        <w:t>and arranging in</w:t>
      </w:r>
      <w:r w:rsidR="000763DB">
        <w:rPr>
          <w:rFonts w:ascii="Times New Roman" w:hAnsi="Times New Roman" w:cs="Times New Roman"/>
          <w:lang w:eastAsia="en-GB"/>
        </w:rPr>
        <w:t>-</w:t>
      </w:r>
      <w:r>
        <w:rPr>
          <w:rFonts w:ascii="Times New Roman" w:hAnsi="Times New Roman" w:cs="Times New Roman"/>
          <w:lang w:eastAsia="en-GB"/>
        </w:rPr>
        <w:t xml:space="preserve">service training in Israel and abroad. In addition, </w:t>
      </w:r>
      <w:r w:rsidR="000763DB">
        <w:rPr>
          <w:rFonts w:ascii="Times New Roman" w:hAnsi="Times New Roman" w:cs="Times New Roman"/>
          <w:lang w:eastAsia="en-GB"/>
        </w:rPr>
        <w:t>before signing each financial report and submitting it to the European Union, a draft of the financial report is reviewed by an accountant and approved by him, as part of the EU’s requirements that at the end of the project, one must append a C</w:t>
      </w:r>
      <w:r w:rsidR="004A248C">
        <w:rPr>
          <w:rFonts w:ascii="Times New Roman" w:hAnsi="Times New Roman" w:cs="Times New Roman"/>
          <w:lang w:eastAsia="en-GB"/>
        </w:rPr>
        <w:t xml:space="preserve">ertified </w:t>
      </w:r>
      <w:r w:rsidR="000763DB">
        <w:rPr>
          <w:rFonts w:ascii="Times New Roman" w:hAnsi="Times New Roman" w:cs="Times New Roman"/>
          <w:lang w:eastAsia="en-GB"/>
        </w:rPr>
        <w:t>F</w:t>
      </w:r>
      <w:r w:rsidR="004A248C">
        <w:rPr>
          <w:rFonts w:ascii="Times New Roman" w:hAnsi="Times New Roman" w:cs="Times New Roman"/>
          <w:lang w:eastAsia="en-GB"/>
        </w:rPr>
        <w:t xml:space="preserve">inancial </w:t>
      </w:r>
      <w:r w:rsidR="000763DB">
        <w:rPr>
          <w:rFonts w:ascii="Times New Roman" w:hAnsi="Times New Roman" w:cs="Times New Roman"/>
          <w:lang w:eastAsia="en-GB"/>
        </w:rPr>
        <w:t>S</w:t>
      </w:r>
      <w:r w:rsidR="004A248C">
        <w:rPr>
          <w:rFonts w:ascii="Times New Roman" w:hAnsi="Times New Roman" w:cs="Times New Roman"/>
          <w:lang w:eastAsia="en-GB"/>
        </w:rPr>
        <w:t>tatement</w:t>
      </w:r>
      <w:r w:rsidR="000763DB">
        <w:rPr>
          <w:rFonts w:ascii="Times New Roman" w:hAnsi="Times New Roman" w:cs="Times New Roman"/>
          <w:lang w:eastAsia="en-GB"/>
        </w:rPr>
        <w:t>.</w:t>
      </w:r>
    </w:p>
    <w:p w14:paraId="5D6CAA3E" w14:textId="3A5F924D" w:rsidR="004A248C" w:rsidRDefault="004A248C" w:rsidP="00CF15C5">
      <w:pPr>
        <w:pStyle w:val="ListParagraph"/>
        <w:spacing w:line="360" w:lineRule="auto"/>
        <w:rPr>
          <w:rFonts w:ascii="Times New Roman" w:hAnsi="Times New Roman" w:cs="Times New Roman"/>
          <w:lang w:eastAsia="en-GB"/>
        </w:rPr>
      </w:pPr>
      <w:r>
        <w:rPr>
          <w:rFonts w:ascii="Times New Roman" w:hAnsi="Times New Roman" w:cs="Times New Roman"/>
          <w:lang w:eastAsia="en-GB"/>
        </w:rPr>
        <w:t>b. As was requested of us before the audit, all the requisite documents were prepared in an organized fashion and sent in advance, in accord with audit team’s requirement.</w:t>
      </w:r>
    </w:p>
    <w:p w14:paraId="7F7C6B09" w14:textId="60CDF0DF" w:rsidR="004A248C" w:rsidRDefault="004A248C" w:rsidP="004A248C">
      <w:pPr>
        <w:pStyle w:val="ListParagraph"/>
        <w:spacing w:line="360" w:lineRule="auto"/>
        <w:rPr>
          <w:rFonts w:ascii="Times New Roman" w:hAnsi="Times New Roman" w:cs="Times New Roman"/>
          <w:lang w:eastAsia="en-GB"/>
        </w:rPr>
      </w:pPr>
      <w:r>
        <w:rPr>
          <w:rFonts w:ascii="Times New Roman" w:hAnsi="Times New Roman" w:cs="Times New Roman"/>
          <w:lang w:eastAsia="en-GB"/>
        </w:rPr>
        <w:t>c. In the course of the audit, the auditor was shown all the documents and documentation that we were asked to present, and after the audit, we answered all questions and filled in the data in the files sent to us for further specification.</w:t>
      </w:r>
    </w:p>
    <w:p w14:paraId="63E31A1D" w14:textId="5B53E3AE" w:rsidR="004A248C" w:rsidRPr="004A248C" w:rsidRDefault="004A248C" w:rsidP="004A248C">
      <w:pPr>
        <w:pStyle w:val="ListParagraph"/>
        <w:spacing w:line="360" w:lineRule="auto"/>
        <w:rPr>
          <w:rFonts w:ascii="Times New Roman" w:hAnsi="Times New Roman" w:cs="Times New Roman"/>
          <w:rtl/>
          <w:lang w:eastAsia="en-GB"/>
        </w:rPr>
      </w:pPr>
      <w:r>
        <w:rPr>
          <w:rFonts w:ascii="Times New Roman" w:hAnsi="Times New Roman" w:cs="Times New Roman"/>
          <w:lang w:eastAsia="en-GB"/>
        </w:rPr>
        <w:t xml:space="preserve">d. We would like to point out that to the best of our understanding the draft report presents the University’s behavior regarding the scholarships in a negative light, in that it acted in </w:t>
      </w:r>
      <w:r w:rsidRPr="004A248C">
        <w:rPr>
          <w:rFonts w:ascii="Times New Roman" w:hAnsi="Times New Roman" w:cs="Times New Roman"/>
          <w:lang w:eastAsia="en-GB"/>
        </w:rPr>
        <w:t>violation of the laws of the State of Israel, awarding scholarships in a manner contrary to the law, which is a false contention:</w:t>
      </w:r>
    </w:p>
    <w:p w14:paraId="325E39FB" w14:textId="3D7FE94A" w:rsidR="004A248C" w:rsidRPr="004A248C" w:rsidRDefault="004A248C" w:rsidP="004A248C">
      <w:pPr>
        <w:pStyle w:val="ListParagraph"/>
        <w:numPr>
          <w:ilvl w:val="0"/>
          <w:numId w:val="3"/>
        </w:numPr>
        <w:spacing w:after="160" w:line="360" w:lineRule="auto"/>
        <w:rPr>
          <w:rFonts w:ascii="Times New Roman" w:hAnsi="Times New Roman" w:cs="Times New Roman"/>
          <w:lang w:eastAsia="en-GB"/>
        </w:rPr>
      </w:pPr>
      <w:r w:rsidRPr="004A248C">
        <w:rPr>
          <w:rFonts w:ascii="Times New Roman" w:hAnsi="Times New Roman" w:cs="Times New Roman"/>
          <w:lang w:eastAsia="en-GB"/>
        </w:rPr>
        <w:t>The scholarships were indeed granted gross and free of tax. This is due to the fact that under Israeli law the said scholarships are tax-exempt, and there i</w:t>
      </w:r>
      <w:r w:rsidR="00CF15C5">
        <w:rPr>
          <w:rFonts w:ascii="Times New Roman" w:hAnsi="Times New Roman" w:cs="Times New Roman"/>
          <w:lang w:eastAsia="en-GB"/>
        </w:rPr>
        <w:t xml:space="preserve">s no </w:t>
      </w:r>
      <w:r w:rsidRPr="004A248C">
        <w:rPr>
          <w:rFonts w:ascii="Times New Roman" w:hAnsi="Times New Roman" w:cs="Times New Roman"/>
          <w:lang w:eastAsia="en-GB"/>
        </w:rPr>
        <w:lastRenderedPageBreak/>
        <w:t>requirement under law to add any additional tax or to deduct any tax amounts from the scholarship</w:t>
      </w:r>
      <w:r w:rsidR="00CF15C5">
        <w:rPr>
          <w:rFonts w:ascii="Times New Roman" w:hAnsi="Times New Roman" w:cs="Times New Roman"/>
          <w:lang w:eastAsia="en-GB"/>
        </w:rPr>
        <w:t>.</w:t>
      </w:r>
    </w:p>
    <w:p w14:paraId="3B35D1C5" w14:textId="6F259C17" w:rsidR="004A248C" w:rsidRDefault="004A248C" w:rsidP="00CF15C5">
      <w:pPr>
        <w:pStyle w:val="ListParagraph"/>
        <w:numPr>
          <w:ilvl w:val="0"/>
          <w:numId w:val="3"/>
        </w:numPr>
        <w:spacing w:after="160" w:line="360" w:lineRule="auto"/>
        <w:jc w:val="both"/>
        <w:rPr>
          <w:rFonts w:ascii="Times New Roman" w:hAnsi="Times New Roman" w:cs="Times New Roman"/>
          <w:lang w:eastAsia="en-GB"/>
        </w:rPr>
      </w:pPr>
      <w:r w:rsidRPr="004A248C">
        <w:rPr>
          <w:rFonts w:ascii="Times New Roman" w:hAnsi="Times New Roman" w:cs="Times New Roman"/>
          <w:lang w:eastAsia="en-GB"/>
        </w:rPr>
        <w:t>The students received contracts, agreements</w:t>
      </w:r>
      <w:r w:rsidR="00CF15C5">
        <w:rPr>
          <w:rFonts w:ascii="Times New Roman" w:hAnsi="Times New Roman" w:cs="Times New Roman"/>
          <w:lang w:eastAsia="en-GB"/>
        </w:rPr>
        <w:t>,</w:t>
      </w:r>
      <w:r w:rsidRPr="004A248C">
        <w:rPr>
          <w:rFonts w:ascii="Times New Roman" w:hAnsi="Times New Roman" w:cs="Times New Roman"/>
          <w:lang w:eastAsia="en-GB"/>
        </w:rPr>
        <w:t xml:space="preserve"> or equivalent appointing acts </w:t>
      </w:r>
      <w:commentRangeStart w:id="2"/>
      <w:r w:rsidRPr="004A248C">
        <w:rPr>
          <w:rFonts w:ascii="Times New Roman" w:hAnsi="Times New Roman" w:cs="Times New Roman"/>
          <w:lang w:eastAsia="en-GB"/>
        </w:rPr>
        <w:t>to work on the action</w:t>
      </w:r>
      <w:commentRangeEnd w:id="2"/>
      <w:r w:rsidR="00CF15C5">
        <w:rPr>
          <w:rStyle w:val="CommentReference"/>
        </w:rPr>
        <w:commentReference w:id="2"/>
      </w:r>
    </w:p>
    <w:p w14:paraId="4397AD68" w14:textId="70628845" w:rsidR="00CF15C5" w:rsidRDefault="00CF15C5" w:rsidP="00591C5A">
      <w:pPr>
        <w:bidi/>
        <w:spacing w:after="160" w:line="259" w:lineRule="auto"/>
        <w:ind w:left="450" w:firstLine="270"/>
        <w:jc w:val="right"/>
        <w:rPr>
          <w:lang w:eastAsia="en-GB"/>
        </w:rPr>
      </w:pPr>
      <w:r w:rsidRPr="00CF15C5">
        <w:rPr>
          <w:rFonts w:ascii="Times New Roman" w:hAnsi="Times New Roman" w:cs="Times New Roman"/>
          <w:lang w:eastAsia="en-GB"/>
        </w:rPr>
        <w:t>e</w:t>
      </w:r>
      <w:r w:rsidRPr="00CF15C5">
        <w:rPr>
          <w:rFonts w:ascii="Times New Roman" w:hAnsi="Times New Roman" w:cs="Times New Roman"/>
          <w:lang w:eastAsia="en-GB"/>
        </w:rPr>
        <w:t>.</w:t>
      </w:r>
      <w:r>
        <w:rPr>
          <w:rFonts w:ascii="Times New Roman" w:hAnsi="Times New Roman" w:cs="Times New Roman"/>
          <w:lang w:eastAsia="en-GB"/>
        </w:rPr>
        <w:t xml:space="preserve"> Table of contents:</w:t>
      </w:r>
      <w:r w:rsidR="00591C5A">
        <w:rPr>
          <w:rFonts w:ascii="Times New Roman" w:hAnsi="Times New Roman" w:cs="Times New Roman"/>
          <w:lang w:eastAsia="en-GB"/>
        </w:rPr>
        <w:tab/>
      </w:r>
      <w:r w:rsidR="00591C5A">
        <w:rPr>
          <w:rFonts w:ascii="Times New Roman" w:hAnsi="Times New Roman" w:cs="Times New Roman"/>
          <w:lang w:eastAsia="en-GB"/>
        </w:rPr>
        <w:tab/>
      </w:r>
      <w:r>
        <w:rPr>
          <w:rFonts w:hint="cs"/>
          <w:rtl/>
          <w:lang w:eastAsia="en-GB"/>
        </w:rPr>
        <w:t xml:space="preserve"> </w:t>
      </w:r>
    </w:p>
    <w:tbl>
      <w:tblPr>
        <w:tblStyle w:val="TableGrid"/>
        <w:bidiVisual/>
        <w:tblW w:w="0" w:type="auto"/>
        <w:tblLook w:val="04A0" w:firstRow="1" w:lastRow="0" w:firstColumn="1" w:lastColumn="0" w:noHBand="0" w:noVBand="1"/>
      </w:tblPr>
      <w:tblGrid>
        <w:gridCol w:w="2631"/>
        <w:gridCol w:w="2789"/>
        <w:gridCol w:w="2876"/>
      </w:tblGrid>
      <w:tr w:rsidR="00CF15C5" w14:paraId="527B0DB6" w14:textId="77777777" w:rsidTr="008F40DB">
        <w:trPr>
          <w:trHeight w:val="578"/>
        </w:trPr>
        <w:tc>
          <w:tcPr>
            <w:tcW w:w="2631" w:type="dxa"/>
          </w:tcPr>
          <w:p w14:paraId="2CE44E2B" w14:textId="77777777" w:rsidR="00CF15C5" w:rsidRPr="00CF15C5" w:rsidRDefault="00CF15C5" w:rsidP="00CF15C5">
            <w:pPr>
              <w:jc w:val="both"/>
              <w:rPr>
                <w:rFonts w:ascii="Times New Roman" w:hAnsi="Times New Roman" w:cs="Times New Roman"/>
                <w:sz w:val="24"/>
                <w:szCs w:val="24"/>
                <w:rtl/>
                <w:lang w:eastAsia="en-GB"/>
              </w:rPr>
            </w:pPr>
            <w:commentRangeStart w:id="3"/>
            <w:commentRangeStart w:id="4"/>
            <w:proofErr w:type="spellStart"/>
            <w:r w:rsidRPr="00CF15C5">
              <w:rPr>
                <w:rFonts w:ascii="Times New Roman" w:hAnsi="Times New Roman" w:cs="Times New Roman"/>
                <w:sz w:val="24"/>
                <w:szCs w:val="24"/>
                <w:rtl/>
                <w:lang w:eastAsia="en-GB"/>
              </w:rPr>
              <w:t>מס"ד</w:t>
            </w:r>
            <w:commentRangeEnd w:id="3"/>
            <w:proofErr w:type="spellEnd"/>
            <w:r w:rsidRPr="00CF15C5">
              <w:rPr>
                <w:rStyle w:val="CommentReference"/>
                <w:rFonts w:ascii="Times New Roman" w:hAnsi="Times New Roman" w:cs="Times New Roman"/>
                <w:sz w:val="24"/>
                <w:szCs w:val="24"/>
              </w:rPr>
              <w:commentReference w:id="3"/>
            </w:r>
          </w:p>
        </w:tc>
        <w:tc>
          <w:tcPr>
            <w:tcW w:w="2789" w:type="dxa"/>
          </w:tcPr>
          <w:p w14:paraId="4D9783DD" w14:textId="6899BBD5" w:rsidR="00CF15C5" w:rsidRPr="00CF15C5" w:rsidRDefault="00CF15C5" w:rsidP="00CF15C5">
            <w:pPr>
              <w:jc w:val="both"/>
              <w:rPr>
                <w:rFonts w:ascii="Times New Roman" w:hAnsi="Times New Roman" w:cs="Times New Roman"/>
                <w:sz w:val="24"/>
                <w:szCs w:val="24"/>
                <w:rtl/>
                <w:lang w:eastAsia="en-GB"/>
              </w:rPr>
            </w:pPr>
            <w:r w:rsidRPr="00CF15C5">
              <w:rPr>
                <w:rFonts w:ascii="Times New Roman" w:hAnsi="Times New Roman" w:cs="Times New Roman"/>
                <w:sz w:val="24"/>
                <w:szCs w:val="24"/>
                <w:lang w:eastAsia="en-GB"/>
              </w:rPr>
              <w:t>Appendix</w:t>
            </w:r>
            <w:r w:rsidRPr="00CF15C5">
              <w:rPr>
                <w:rFonts w:ascii="Times New Roman" w:hAnsi="Times New Roman" w:cs="Times New Roman"/>
                <w:sz w:val="24"/>
                <w:szCs w:val="24"/>
                <w:rtl/>
                <w:lang w:eastAsia="en-GB"/>
              </w:rPr>
              <w:t xml:space="preserve"> </w:t>
            </w:r>
          </w:p>
        </w:tc>
        <w:tc>
          <w:tcPr>
            <w:tcW w:w="2876" w:type="dxa"/>
          </w:tcPr>
          <w:p w14:paraId="48AA909F" w14:textId="56964A98" w:rsidR="00CF15C5" w:rsidRPr="00CF15C5" w:rsidRDefault="00CF15C5" w:rsidP="00CF15C5">
            <w:pPr>
              <w:jc w:val="both"/>
              <w:rPr>
                <w:rFonts w:ascii="Times New Roman" w:hAnsi="Times New Roman" w:cs="Times New Roman"/>
                <w:sz w:val="24"/>
                <w:szCs w:val="24"/>
                <w:rtl/>
                <w:lang w:eastAsia="en-GB"/>
              </w:rPr>
            </w:pPr>
            <w:r w:rsidRPr="00CF15C5">
              <w:rPr>
                <w:rFonts w:ascii="Times New Roman" w:hAnsi="Times New Roman" w:cs="Times New Roman"/>
                <w:sz w:val="24"/>
                <w:szCs w:val="24"/>
                <w:lang w:eastAsia="en-GB"/>
              </w:rPr>
              <w:t>Pages</w:t>
            </w:r>
            <w:commentRangeEnd w:id="4"/>
            <w:r>
              <w:rPr>
                <w:rStyle w:val="CommentReference"/>
              </w:rPr>
              <w:commentReference w:id="4"/>
            </w:r>
          </w:p>
        </w:tc>
      </w:tr>
      <w:tr w:rsidR="00CF15C5" w14:paraId="741B2FC1" w14:textId="77777777" w:rsidTr="008F40DB">
        <w:trPr>
          <w:trHeight w:val="288"/>
        </w:trPr>
        <w:tc>
          <w:tcPr>
            <w:tcW w:w="2631" w:type="dxa"/>
          </w:tcPr>
          <w:p w14:paraId="55C9D2D0" w14:textId="77777777" w:rsidR="00CF15C5" w:rsidRDefault="00CF15C5" w:rsidP="00CF15C5">
            <w:pPr>
              <w:jc w:val="both"/>
              <w:rPr>
                <w:rtl/>
                <w:lang w:eastAsia="en-GB"/>
              </w:rPr>
            </w:pPr>
          </w:p>
        </w:tc>
        <w:tc>
          <w:tcPr>
            <w:tcW w:w="2789" w:type="dxa"/>
          </w:tcPr>
          <w:p w14:paraId="3AA94B48" w14:textId="77777777" w:rsidR="00CF15C5" w:rsidRDefault="00CF15C5" w:rsidP="00CF15C5">
            <w:pPr>
              <w:jc w:val="both"/>
              <w:rPr>
                <w:rtl/>
                <w:lang w:eastAsia="en-GB"/>
              </w:rPr>
            </w:pPr>
            <w:r>
              <w:rPr>
                <w:rFonts w:hint="cs"/>
                <w:rtl/>
                <w:lang w:eastAsia="en-GB"/>
              </w:rPr>
              <w:t xml:space="preserve">ב </w:t>
            </w:r>
          </w:p>
        </w:tc>
        <w:tc>
          <w:tcPr>
            <w:tcW w:w="2876" w:type="dxa"/>
          </w:tcPr>
          <w:p w14:paraId="0BB9DB35" w14:textId="77777777" w:rsidR="00CF15C5" w:rsidRDefault="00CF15C5" w:rsidP="00CF15C5">
            <w:pPr>
              <w:jc w:val="both"/>
              <w:rPr>
                <w:rtl/>
                <w:lang w:eastAsia="en-GB"/>
              </w:rPr>
            </w:pPr>
          </w:p>
        </w:tc>
      </w:tr>
      <w:tr w:rsidR="00CF15C5" w14:paraId="48339AB3" w14:textId="77777777" w:rsidTr="008F40DB">
        <w:trPr>
          <w:trHeight w:val="288"/>
        </w:trPr>
        <w:tc>
          <w:tcPr>
            <w:tcW w:w="2631" w:type="dxa"/>
          </w:tcPr>
          <w:p w14:paraId="52040575" w14:textId="77777777" w:rsidR="00CF15C5" w:rsidRDefault="00CF15C5" w:rsidP="00CF15C5">
            <w:pPr>
              <w:jc w:val="both"/>
              <w:rPr>
                <w:rtl/>
                <w:lang w:eastAsia="en-GB"/>
              </w:rPr>
            </w:pPr>
          </w:p>
        </w:tc>
        <w:tc>
          <w:tcPr>
            <w:tcW w:w="2789" w:type="dxa"/>
          </w:tcPr>
          <w:p w14:paraId="7F524D90" w14:textId="77777777" w:rsidR="00CF15C5" w:rsidRDefault="00CF15C5" w:rsidP="00CF15C5">
            <w:pPr>
              <w:jc w:val="both"/>
              <w:rPr>
                <w:rtl/>
                <w:lang w:eastAsia="en-GB"/>
              </w:rPr>
            </w:pPr>
          </w:p>
        </w:tc>
        <w:tc>
          <w:tcPr>
            <w:tcW w:w="2876" w:type="dxa"/>
          </w:tcPr>
          <w:p w14:paraId="13769B61" w14:textId="77777777" w:rsidR="00CF15C5" w:rsidRDefault="00CF15C5" w:rsidP="00CF15C5">
            <w:pPr>
              <w:jc w:val="both"/>
              <w:rPr>
                <w:rtl/>
                <w:lang w:eastAsia="en-GB"/>
              </w:rPr>
            </w:pPr>
          </w:p>
        </w:tc>
      </w:tr>
      <w:tr w:rsidR="00CF15C5" w14:paraId="77AB21C4" w14:textId="77777777" w:rsidTr="008F40DB">
        <w:trPr>
          <w:trHeight w:val="299"/>
        </w:trPr>
        <w:tc>
          <w:tcPr>
            <w:tcW w:w="2631" w:type="dxa"/>
          </w:tcPr>
          <w:p w14:paraId="7EC2A349" w14:textId="77777777" w:rsidR="00CF15C5" w:rsidRDefault="00CF15C5" w:rsidP="00CF15C5">
            <w:pPr>
              <w:jc w:val="both"/>
              <w:rPr>
                <w:rtl/>
                <w:lang w:eastAsia="en-GB"/>
              </w:rPr>
            </w:pPr>
          </w:p>
        </w:tc>
        <w:tc>
          <w:tcPr>
            <w:tcW w:w="2789" w:type="dxa"/>
          </w:tcPr>
          <w:p w14:paraId="0BFF14B2" w14:textId="77777777" w:rsidR="00CF15C5" w:rsidRDefault="00CF15C5" w:rsidP="00CF15C5">
            <w:pPr>
              <w:jc w:val="both"/>
              <w:rPr>
                <w:rtl/>
                <w:lang w:eastAsia="en-GB"/>
              </w:rPr>
            </w:pPr>
          </w:p>
        </w:tc>
        <w:tc>
          <w:tcPr>
            <w:tcW w:w="2876" w:type="dxa"/>
          </w:tcPr>
          <w:p w14:paraId="53C996CD" w14:textId="77777777" w:rsidR="00CF15C5" w:rsidRDefault="00CF15C5" w:rsidP="00CF15C5">
            <w:pPr>
              <w:jc w:val="both"/>
              <w:rPr>
                <w:rtl/>
                <w:lang w:eastAsia="en-GB"/>
              </w:rPr>
            </w:pPr>
          </w:p>
        </w:tc>
      </w:tr>
      <w:tr w:rsidR="00CF15C5" w14:paraId="4F3A1EBF" w14:textId="77777777" w:rsidTr="008F40DB">
        <w:trPr>
          <w:trHeight w:val="288"/>
        </w:trPr>
        <w:tc>
          <w:tcPr>
            <w:tcW w:w="2631" w:type="dxa"/>
          </w:tcPr>
          <w:p w14:paraId="7B3B6099" w14:textId="77777777" w:rsidR="00CF15C5" w:rsidRDefault="00CF15C5" w:rsidP="00CF15C5">
            <w:pPr>
              <w:jc w:val="both"/>
              <w:rPr>
                <w:rtl/>
                <w:lang w:eastAsia="en-GB"/>
              </w:rPr>
            </w:pPr>
          </w:p>
        </w:tc>
        <w:tc>
          <w:tcPr>
            <w:tcW w:w="2789" w:type="dxa"/>
          </w:tcPr>
          <w:p w14:paraId="2FF5CC49" w14:textId="77777777" w:rsidR="00CF15C5" w:rsidRDefault="00CF15C5" w:rsidP="00CF15C5">
            <w:pPr>
              <w:jc w:val="both"/>
              <w:rPr>
                <w:rtl/>
                <w:lang w:eastAsia="en-GB"/>
              </w:rPr>
            </w:pPr>
          </w:p>
        </w:tc>
        <w:tc>
          <w:tcPr>
            <w:tcW w:w="2876" w:type="dxa"/>
          </w:tcPr>
          <w:p w14:paraId="03AAEC5B" w14:textId="77777777" w:rsidR="00CF15C5" w:rsidRDefault="00CF15C5" w:rsidP="00CF15C5">
            <w:pPr>
              <w:jc w:val="both"/>
              <w:rPr>
                <w:rtl/>
                <w:lang w:eastAsia="en-GB"/>
              </w:rPr>
            </w:pPr>
          </w:p>
        </w:tc>
      </w:tr>
      <w:tr w:rsidR="00CF15C5" w14:paraId="523BB0B1" w14:textId="77777777" w:rsidTr="008F40DB">
        <w:trPr>
          <w:trHeight w:val="288"/>
        </w:trPr>
        <w:tc>
          <w:tcPr>
            <w:tcW w:w="2631" w:type="dxa"/>
          </w:tcPr>
          <w:p w14:paraId="03BA6E5E" w14:textId="77777777" w:rsidR="00CF15C5" w:rsidRDefault="00CF15C5" w:rsidP="00CF15C5">
            <w:pPr>
              <w:jc w:val="both"/>
              <w:rPr>
                <w:rtl/>
                <w:lang w:eastAsia="en-GB"/>
              </w:rPr>
            </w:pPr>
          </w:p>
        </w:tc>
        <w:tc>
          <w:tcPr>
            <w:tcW w:w="2789" w:type="dxa"/>
          </w:tcPr>
          <w:p w14:paraId="2228AB9F" w14:textId="77777777" w:rsidR="00CF15C5" w:rsidRDefault="00CF15C5" w:rsidP="00CF15C5">
            <w:pPr>
              <w:jc w:val="both"/>
              <w:rPr>
                <w:rtl/>
                <w:lang w:eastAsia="en-GB"/>
              </w:rPr>
            </w:pPr>
          </w:p>
        </w:tc>
        <w:tc>
          <w:tcPr>
            <w:tcW w:w="2876" w:type="dxa"/>
          </w:tcPr>
          <w:p w14:paraId="0D4CB155" w14:textId="77777777" w:rsidR="00CF15C5" w:rsidRDefault="00CF15C5" w:rsidP="00CF15C5">
            <w:pPr>
              <w:jc w:val="both"/>
              <w:rPr>
                <w:rtl/>
                <w:lang w:eastAsia="en-GB"/>
              </w:rPr>
            </w:pPr>
          </w:p>
        </w:tc>
      </w:tr>
      <w:tr w:rsidR="00CF15C5" w14:paraId="4CFB55A1" w14:textId="77777777" w:rsidTr="008F40DB">
        <w:trPr>
          <w:trHeight w:val="288"/>
        </w:trPr>
        <w:tc>
          <w:tcPr>
            <w:tcW w:w="2631" w:type="dxa"/>
          </w:tcPr>
          <w:p w14:paraId="56F65396" w14:textId="77777777" w:rsidR="00CF15C5" w:rsidRDefault="00CF15C5" w:rsidP="00CF15C5">
            <w:pPr>
              <w:jc w:val="both"/>
              <w:rPr>
                <w:rtl/>
                <w:lang w:eastAsia="en-GB"/>
              </w:rPr>
            </w:pPr>
          </w:p>
        </w:tc>
        <w:tc>
          <w:tcPr>
            <w:tcW w:w="2789" w:type="dxa"/>
          </w:tcPr>
          <w:p w14:paraId="42F180CD" w14:textId="77777777" w:rsidR="00CF15C5" w:rsidRDefault="00CF15C5" w:rsidP="00CF15C5">
            <w:pPr>
              <w:jc w:val="both"/>
              <w:rPr>
                <w:rtl/>
                <w:lang w:eastAsia="en-GB"/>
              </w:rPr>
            </w:pPr>
          </w:p>
        </w:tc>
        <w:tc>
          <w:tcPr>
            <w:tcW w:w="2876" w:type="dxa"/>
          </w:tcPr>
          <w:p w14:paraId="45E7141C" w14:textId="77777777" w:rsidR="00CF15C5" w:rsidRDefault="00CF15C5" w:rsidP="00CF15C5">
            <w:pPr>
              <w:jc w:val="both"/>
              <w:rPr>
                <w:rtl/>
                <w:lang w:eastAsia="en-GB"/>
              </w:rPr>
            </w:pPr>
          </w:p>
        </w:tc>
      </w:tr>
    </w:tbl>
    <w:p w14:paraId="6110EB10" w14:textId="4B85AEA2" w:rsidR="00CF15C5" w:rsidRDefault="00CF15C5" w:rsidP="00CF15C5">
      <w:pPr>
        <w:spacing w:line="360" w:lineRule="auto"/>
        <w:jc w:val="both"/>
        <w:rPr>
          <w:rtl/>
        </w:rPr>
      </w:pPr>
    </w:p>
    <w:p w14:paraId="628957F6" w14:textId="73DAB607" w:rsidR="00CF15C5" w:rsidRDefault="00CF15C5" w:rsidP="00CF15C5">
      <w:pPr>
        <w:spacing w:line="360" w:lineRule="auto"/>
        <w:ind w:firstLine="720"/>
        <w:jc w:val="both"/>
        <w:rPr>
          <w:rFonts w:ascii="Times New Roman" w:hAnsi="Times New Roman" w:cs="Times New Roman"/>
          <w:b/>
          <w:bCs/>
        </w:rPr>
      </w:pPr>
      <w:r w:rsidRPr="00CF15C5">
        <w:rPr>
          <w:rFonts w:ascii="Times New Roman" w:hAnsi="Times New Roman" w:cs="Times New Roman"/>
          <w:b/>
          <w:bCs/>
        </w:rPr>
        <w:t>Conclusion</w:t>
      </w:r>
    </w:p>
    <w:p w14:paraId="288631CB" w14:textId="20AA4D75" w:rsidR="00CF15C5" w:rsidRDefault="00CF15C5" w:rsidP="00CF15C5">
      <w:pPr>
        <w:spacing w:after="120" w:line="360" w:lineRule="auto"/>
        <w:ind w:left="720"/>
        <w:jc w:val="both"/>
        <w:rPr>
          <w:rFonts w:ascii="Times New Roman" w:hAnsi="Times New Roman" w:cs="Times New Roman"/>
        </w:rPr>
      </w:pPr>
      <w:r w:rsidRPr="00CF15C5">
        <w:rPr>
          <w:rFonts w:ascii="Times New Roman" w:hAnsi="Times New Roman" w:cs="Times New Roman"/>
        </w:rPr>
        <w:t xml:space="preserve">We </w:t>
      </w:r>
      <w:r>
        <w:rPr>
          <w:rFonts w:ascii="Times New Roman" w:hAnsi="Times New Roman" w:cs="Times New Roman"/>
        </w:rPr>
        <w:t>see that there is great importance to familiarity with the laws of the country in which the audit is conducted in order to avoid erroneous interpretation of the laws that apply there and the form of work accepted in academic institutions there.</w:t>
      </w:r>
    </w:p>
    <w:p w14:paraId="406A5559" w14:textId="549D2B12" w:rsidR="00CF15C5" w:rsidRDefault="00CF15C5" w:rsidP="00CF15C5">
      <w:pPr>
        <w:spacing w:after="120" w:line="360" w:lineRule="auto"/>
        <w:ind w:left="720"/>
        <w:jc w:val="both"/>
        <w:rPr>
          <w:rFonts w:ascii="Times New Roman" w:hAnsi="Times New Roman" w:cs="Times New Roman"/>
        </w:rPr>
      </w:pPr>
      <w:r>
        <w:rPr>
          <w:rFonts w:ascii="Times New Roman" w:hAnsi="Times New Roman" w:cs="Times New Roman"/>
        </w:rPr>
        <w:t>Haifa University acts responsibly and manages the European Union’s grants in accordance with the EU’s practices, the State of Israel’s laws, and its own institutional practices.</w:t>
      </w:r>
    </w:p>
    <w:p w14:paraId="2C8A3A11" w14:textId="0FB089F6" w:rsidR="00CF15C5" w:rsidRDefault="00591C5A" w:rsidP="00CF15C5">
      <w:pPr>
        <w:spacing w:after="120" w:line="360" w:lineRule="auto"/>
        <w:ind w:left="720"/>
        <w:jc w:val="both"/>
        <w:rPr>
          <w:rFonts w:ascii="Times New Roman" w:hAnsi="Times New Roman" w:cs="Times New Roman"/>
        </w:rPr>
      </w:pPr>
      <w:r>
        <w:rPr>
          <w:rFonts w:ascii="Times New Roman" w:hAnsi="Times New Roman" w:cs="Times New Roman"/>
        </w:rPr>
        <w:t xml:space="preserve">We object to the characterization of the findings cited as systematic errors, and except for minimal sums, as mentioned above, we object to the </w:t>
      </w:r>
      <w:commentRangeStart w:id="5"/>
      <w:r>
        <w:rPr>
          <w:rFonts w:ascii="Times New Roman" w:hAnsi="Times New Roman" w:cs="Times New Roman"/>
        </w:rPr>
        <w:t xml:space="preserve">adjustments </w:t>
      </w:r>
      <w:commentRangeEnd w:id="5"/>
      <w:r>
        <w:rPr>
          <w:rStyle w:val="CommentReference"/>
        </w:rPr>
        <w:commentReference w:id="5"/>
      </w:r>
      <w:r>
        <w:rPr>
          <w:rFonts w:ascii="Times New Roman" w:hAnsi="Times New Roman" w:cs="Times New Roman"/>
        </w:rPr>
        <w:t>presented by the auditor, and we request fundamental change in the draft report so as to reflect in a precise manner the way in which our institution has handled the management of the projects funded by the European Union.</w:t>
      </w:r>
    </w:p>
    <w:p w14:paraId="392EBD40" w14:textId="2EBE1497" w:rsidR="00591C5A" w:rsidRDefault="00591C5A" w:rsidP="00591C5A">
      <w:pPr>
        <w:spacing w:after="120" w:line="360" w:lineRule="auto"/>
        <w:jc w:val="both"/>
        <w:rPr>
          <w:rFonts w:ascii="Times New Roman" w:hAnsi="Times New Roman" w:cs="Times New Roman"/>
        </w:rPr>
      </w:pPr>
      <w:r>
        <w:rPr>
          <w:rFonts w:ascii="Times New Roman" w:hAnsi="Times New Roman" w:cs="Times New Roman"/>
        </w:rPr>
        <w:tab/>
        <w:t>Sincerely,</w:t>
      </w:r>
    </w:p>
    <w:p w14:paraId="327DE2A7" w14:textId="0F12B12F" w:rsidR="00591C5A" w:rsidRDefault="00591C5A" w:rsidP="00591C5A">
      <w:pPr>
        <w:spacing w:line="360" w:lineRule="auto"/>
        <w:jc w:val="both"/>
        <w:rPr>
          <w:rFonts w:ascii="Times New Roman" w:hAnsi="Times New Roman" w:cs="Times New Roman"/>
        </w:rPr>
      </w:pPr>
      <w:r>
        <w:rPr>
          <w:rFonts w:ascii="Times New Roman" w:hAnsi="Times New Roman" w:cs="Times New Roman"/>
        </w:rPr>
        <w:tab/>
        <w:t>Tamir Frank</w:t>
      </w:r>
    </w:p>
    <w:p w14:paraId="5B242420" w14:textId="115A2965" w:rsidR="00591C5A" w:rsidRDefault="00591C5A" w:rsidP="00591C5A">
      <w:pPr>
        <w:spacing w:line="360" w:lineRule="auto"/>
        <w:jc w:val="both"/>
        <w:rPr>
          <w:rFonts w:ascii="Times New Roman" w:hAnsi="Times New Roman" w:cs="Times New Roman"/>
        </w:rPr>
      </w:pPr>
      <w:r>
        <w:rPr>
          <w:rFonts w:ascii="Times New Roman" w:hAnsi="Times New Roman" w:cs="Times New Roman"/>
        </w:rPr>
        <w:tab/>
        <w:t>Director of the Research Authority</w:t>
      </w:r>
    </w:p>
    <w:p w14:paraId="4C3F28D1" w14:textId="77777777" w:rsidR="00591C5A" w:rsidRDefault="00591C5A" w:rsidP="00591C5A">
      <w:pPr>
        <w:spacing w:line="360" w:lineRule="auto"/>
        <w:jc w:val="both"/>
        <w:rPr>
          <w:rFonts w:ascii="Times New Roman" w:hAnsi="Times New Roman" w:cs="Times New Roman"/>
        </w:rPr>
      </w:pPr>
    </w:p>
    <w:p w14:paraId="43B41CDF" w14:textId="12D7F23F" w:rsidR="00CF15C5" w:rsidRPr="00CF15C5" w:rsidRDefault="00CF15C5" w:rsidP="00CF15C5">
      <w:pPr>
        <w:spacing w:line="360" w:lineRule="auto"/>
        <w:ind w:left="720"/>
        <w:jc w:val="both"/>
        <w:rPr>
          <w:rFonts w:ascii="Times New Roman" w:hAnsi="Times New Roman" w:cs="Times New Roman"/>
        </w:rPr>
      </w:pPr>
    </w:p>
    <w:p w14:paraId="61169C07" w14:textId="77777777" w:rsidR="00CF15C5" w:rsidRDefault="00CF15C5" w:rsidP="00CF15C5">
      <w:pPr>
        <w:jc w:val="both"/>
        <w:rPr>
          <w:rtl/>
        </w:rPr>
      </w:pPr>
    </w:p>
    <w:p w14:paraId="50697A63" w14:textId="3B6CA2DE" w:rsidR="00CF15C5" w:rsidRPr="00CF15C5" w:rsidRDefault="00CF15C5" w:rsidP="00CF15C5">
      <w:pPr>
        <w:spacing w:after="160" w:line="360" w:lineRule="auto"/>
        <w:ind w:firstLine="720"/>
        <w:jc w:val="both"/>
        <w:rPr>
          <w:rFonts w:ascii="Times New Roman" w:hAnsi="Times New Roman" w:cs="Times New Roman"/>
          <w:lang w:eastAsia="en-GB"/>
        </w:rPr>
      </w:pPr>
    </w:p>
    <w:p w14:paraId="42E0B08A" w14:textId="39374521" w:rsidR="00CF15C5" w:rsidRDefault="00CF15C5" w:rsidP="00CF15C5">
      <w:pPr>
        <w:spacing w:after="160" w:line="360" w:lineRule="auto"/>
        <w:rPr>
          <w:rFonts w:ascii="Times New Roman" w:hAnsi="Times New Roman" w:cs="Times New Roman"/>
          <w:lang w:eastAsia="en-GB"/>
        </w:rPr>
      </w:pPr>
    </w:p>
    <w:p w14:paraId="1863C3CE" w14:textId="77777777" w:rsidR="00CF15C5" w:rsidRPr="00CF15C5" w:rsidRDefault="00CF15C5" w:rsidP="00CF15C5">
      <w:pPr>
        <w:spacing w:after="160" w:line="360" w:lineRule="auto"/>
        <w:rPr>
          <w:rFonts w:ascii="Times New Roman" w:hAnsi="Times New Roman" w:cs="Times New Roman" w:hint="cs"/>
          <w:rtl/>
          <w:lang w:eastAsia="en-GB"/>
        </w:rPr>
      </w:pPr>
    </w:p>
    <w:p w14:paraId="78D760E1" w14:textId="4AC99901" w:rsidR="00154B77" w:rsidRPr="00154B77" w:rsidRDefault="00154B77" w:rsidP="004A248C">
      <w:pPr>
        <w:spacing w:line="360" w:lineRule="auto"/>
        <w:rPr>
          <w:rFonts w:ascii="Times New Roman" w:hAnsi="Times New Roman" w:cs="Times New Roman"/>
        </w:rPr>
      </w:pPr>
    </w:p>
    <w:p w14:paraId="6BB3F377" w14:textId="77777777" w:rsidR="00154B77" w:rsidRDefault="00154B77"/>
    <w:sectPr w:rsidR="00154B77"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retz Rodman" w:date="2020-06-10T13:55:00Z" w:initials="PR">
    <w:p w14:paraId="0EB26904" w14:textId="0F16EE90" w:rsidR="00154B77" w:rsidRDefault="00154B77">
      <w:pPr>
        <w:pStyle w:val="CommentText"/>
      </w:pPr>
      <w:r>
        <w:rPr>
          <w:rStyle w:val="CommentReference"/>
        </w:rPr>
        <w:annotationRef/>
      </w:r>
      <w:r>
        <w:t>I recommend deleting these 3 words. – Transl.</w:t>
      </w:r>
    </w:p>
  </w:comment>
  <w:comment w:id="1" w:author="Peretz Rodman" w:date="2020-06-10T14:01:00Z" w:initials="PR">
    <w:p w14:paraId="1D36AB5C" w14:textId="698E8B82" w:rsidR="00154B77" w:rsidRDefault="00154B77">
      <w:pPr>
        <w:pStyle w:val="CommentText"/>
      </w:pPr>
      <w:r>
        <w:rPr>
          <w:rStyle w:val="CommentReference"/>
        </w:rPr>
        <w:annotationRef/>
      </w:r>
      <w:r w:rsidRPr="00154B77">
        <w:rPr>
          <w:rFonts w:ascii="Times New Roman" w:hAnsi="Times New Roman" w:cs="Times New Roman"/>
          <w:i/>
          <w:iCs/>
          <w:color w:val="FF0000"/>
          <w:lang w:eastAsia="en-GB"/>
        </w:rPr>
        <w:t xml:space="preserve">[add: </w:t>
      </w:r>
      <w:r>
        <w:rPr>
          <w:rFonts w:ascii="Times New Roman" w:hAnsi="Times New Roman" w:cs="Times New Roman"/>
          <w:color w:val="FF0000"/>
          <w:lang w:eastAsia="en-GB"/>
        </w:rPr>
        <w:t>[</w:t>
      </w:r>
      <w:r w:rsidR="004A248C" w:rsidRPr="004A248C">
        <w:rPr>
          <w:rFonts w:ascii="Times New Roman" w:hAnsi="Times New Roman" w:cs="Times New Roman"/>
          <w:color w:val="000000" w:themeColor="text1"/>
          <w:lang w:eastAsia="en-GB"/>
        </w:rPr>
        <w:t xml:space="preserve">our staff’s </w:t>
      </w:r>
      <w:r>
        <w:rPr>
          <w:rFonts w:ascii="Times New Roman" w:hAnsi="Times New Roman" w:cs="Times New Roman"/>
          <w:color w:val="FF0000"/>
          <w:lang w:eastAsia="en-GB"/>
        </w:rPr>
        <w:t xml:space="preserve">knowledge </w:t>
      </w:r>
      <w:r>
        <w:rPr>
          <w:rFonts w:ascii="Times New Roman" w:hAnsi="Times New Roman" w:cs="Times New Roman"/>
          <w:lang w:eastAsia="en-GB"/>
        </w:rPr>
        <w:t>about these matters</w:t>
      </w:r>
      <w:r w:rsidRPr="00154B77">
        <w:rPr>
          <w:rFonts w:ascii="Times New Roman" w:hAnsi="Times New Roman" w:cs="Times New Roman"/>
          <w:i/>
          <w:iCs/>
          <w:color w:val="FF0000"/>
          <w:lang w:eastAsia="en-GB"/>
        </w:rPr>
        <w:t>?]</w:t>
      </w:r>
    </w:p>
  </w:comment>
  <w:comment w:id="2" w:author="Peretz Rodman" w:date="2020-06-10T14:34:00Z" w:initials="PR">
    <w:p w14:paraId="52D8631D" w14:textId="77777777" w:rsidR="00CF15C5" w:rsidRDefault="00CF15C5">
      <w:pPr>
        <w:pStyle w:val="CommentText"/>
      </w:pPr>
      <w:r>
        <w:rPr>
          <w:rStyle w:val="CommentReference"/>
        </w:rPr>
        <w:annotationRef/>
      </w:r>
      <w:r>
        <w:t>The word “action” seems to be the wrong word here. Perhaps “project” or the like?</w:t>
      </w:r>
    </w:p>
    <w:p w14:paraId="27363FE3" w14:textId="77777777" w:rsidR="00CF15C5" w:rsidRDefault="00CF15C5">
      <w:pPr>
        <w:pStyle w:val="CommentText"/>
      </w:pPr>
    </w:p>
    <w:p w14:paraId="63927406" w14:textId="525F25B4" w:rsidR="00CF15C5" w:rsidRDefault="00CF15C5">
      <w:pPr>
        <w:pStyle w:val="CommentText"/>
      </w:pPr>
      <w:r>
        <w:t xml:space="preserve"> If this is actually the end of the sentence, it requires a period (.).</w:t>
      </w:r>
    </w:p>
  </w:comment>
  <w:comment w:id="3" w:author="Peretz Rodman" w:date="2020-06-10T14:38:00Z" w:initials="PR">
    <w:p w14:paraId="1C35BB32" w14:textId="7136807F" w:rsidR="00CF15C5" w:rsidRDefault="00CF15C5">
      <w:pPr>
        <w:pStyle w:val="CommentText"/>
      </w:pPr>
      <w:r>
        <w:rPr>
          <w:rStyle w:val="CommentReference"/>
        </w:rPr>
        <w:annotationRef/>
      </w:r>
      <w:r>
        <w:t>???</w:t>
      </w:r>
    </w:p>
  </w:comment>
  <w:comment w:id="4" w:author="Peretz Rodman" w:date="2020-06-10T14:39:00Z" w:initials="PR">
    <w:p w14:paraId="6CC7D243" w14:textId="59667AE6" w:rsidR="00CF15C5" w:rsidRDefault="00CF15C5">
      <w:pPr>
        <w:pStyle w:val="CommentText"/>
        <w:rPr>
          <w:rFonts w:hint="cs"/>
          <w:rtl/>
        </w:rPr>
      </w:pPr>
      <w:r>
        <w:rPr>
          <w:rStyle w:val="CommentReference"/>
        </w:rPr>
        <w:annotationRef/>
      </w:r>
      <w:r>
        <w:rPr>
          <w:rFonts w:hint="cs"/>
          <w:rtl/>
        </w:rPr>
        <w:t>צריך להשאיר ימין בימין ושמאל בשמאל, או שמא להחליף אותם?</w:t>
      </w:r>
    </w:p>
  </w:comment>
  <w:comment w:id="5" w:author="Peretz Rodman" w:date="2020-06-10T14:45:00Z" w:initials="PR">
    <w:p w14:paraId="18225E97" w14:textId="3D155EDF" w:rsidR="00591C5A" w:rsidRDefault="00591C5A">
      <w:pPr>
        <w:pStyle w:val="CommentText"/>
        <w:rPr>
          <w:rFonts w:hint="cs"/>
          <w:rtl/>
        </w:rPr>
      </w:pPr>
      <w:r>
        <w:rPr>
          <w:rStyle w:val="CommentReference"/>
        </w:rPr>
        <w:annotationRef/>
      </w:r>
      <w:r>
        <w:rPr>
          <w:rFonts w:hint="cs"/>
          <w:rtl/>
        </w:rPr>
        <w:t>כך יש להבין את המילה ״התאמות״ כאן?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B26904" w15:done="0"/>
  <w15:commentEx w15:paraId="1D36AB5C" w15:done="0"/>
  <w15:commentEx w15:paraId="63927406" w15:done="0"/>
  <w15:commentEx w15:paraId="1C35BB32" w15:done="0"/>
  <w15:commentEx w15:paraId="6CC7D243" w15:done="0"/>
  <w15:commentEx w15:paraId="18225E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64C7" w16cex:dateUtc="2020-06-10T10:55:00Z"/>
  <w16cex:commentExtensible w16cex:durableId="228B664E" w16cex:dateUtc="2020-06-10T11:01:00Z"/>
  <w16cex:commentExtensible w16cex:durableId="228B6DF3" w16cex:dateUtc="2020-06-10T11:34:00Z"/>
  <w16cex:commentExtensible w16cex:durableId="228B6EDF" w16cex:dateUtc="2020-06-10T11:38:00Z"/>
  <w16cex:commentExtensible w16cex:durableId="228B6F08" w16cex:dateUtc="2020-06-10T11:39:00Z"/>
  <w16cex:commentExtensible w16cex:durableId="228B7090" w16cex:dateUtc="2020-06-10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B26904" w16cid:durableId="228B64C7"/>
  <w16cid:commentId w16cid:paraId="1D36AB5C" w16cid:durableId="228B664E"/>
  <w16cid:commentId w16cid:paraId="63927406" w16cid:durableId="228B6DF3"/>
  <w16cid:commentId w16cid:paraId="1C35BB32" w16cid:durableId="228B6EDF"/>
  <w16cid:commentId w16cid:paraId="6CC7D243" w16cid:durableId="228B6F08"/>
  <w16cid:commentId w16cid:paraId="18225E97" w16cid:durableId="228B70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6B84"/>
    <w:multiLevelType w:val="hybridMultilevel"/>
    <w:tmpl w:val="D08405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DE1267"/>
    <w:multiLevelType w:val="hybridMultilevel"/>
    <w:tmpl w:val="9DFC483A"/>
    <w:lvl w:ilvl="0" w:tplc="2B248890">
      <w:start w:val="1"/>
      <w:numFmt w:val="hebrew1"/>
      <w:lvlText w:val="%1."/>
      <w:lvlJc w:val="left"/>
      <w:pPr>
        <w:ind w:left="810" w:hanging="360"/>
      </w:pPr>
      <w:rPr>
        <w:rFonts w:cs="Arial"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2" w15:restartNumberingAfterBreak="0">
    <w:nsid w:val="4B414F43"/>
    <w:multiLevelType w:val="hybridMultilevel"/>
    <w:tmpl w:val="7060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11AC0"/>
    <w:multiLevelType w:val="hybridMultilevel"/>
    <w:tmpl w:val="BE788B5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27307CF"/>
    <w:multiLevelType w:val="hybridMultilevel"/>
    <w:tmpl w:val="49AA71F2"/>
    <w:lvl w:ilvl="0" w:tplc="176E1A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77"/>
    <w:rsid w:val="000763DB"/>
    <w:rsid w:val="00154B77"/>
    <w:rsid w:val="004A248C"/>
    <w:rsid w:val="00591C5A"/>
    <w:rsid w:val="00A94496"/>
    <w:rsid w:val="00CB0152"/>
    <w:rsid w:val="00CF1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E7A6645"/>
  <w15:chartTrackingRefBased/>
  <w15:docId w15:val="{8684DFD7-55FF-624E-A6C9-F72F20BE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4B77"/>
    <w:rPr>
      <w:sz w:val="16"/>
      <w:szCs w:val="16"/>
    </w:rPr>
  </w:style>
  <w:style w:type="paragraph" w:styleId="CommentText">
    <w:name w:val="annotation text"/>
    <w:basedOn w:val="Normal"/>
    <w:link w:val="CommentTextChar"/>
    <w:uiPriority w:val="99"/>
    <w:semiHidden/>
    <w:unhideWhenUsed/>
    <w:rsid w:val="00154B77"/>
    <w:rPr>
      <w:sz w:val="20"/>
      <w:szCs w:val="20"/>
    </w:rPr>
  </w:style>
  <w:style w:type="character" w:customStyle="1" w:styleId="CommentTextChar">
    <w:name w:val="Comment Text Char"/>
    <w:basedOn w:val="DefaultParagraphFont"/>
    <w:link w:val="CommentText"/>
    <w:uiPriority w:val="99"/>
    <w:semiHidden/>
    <w:rsid w:val="00154B77"/>
    <w:rPr>
      <w:sz w:val="20"/>
      <w:szCs w:val="20"/>
    </w:rPr>
  </w:style>
  <w:style w:type="paragraph" w:styleId="CommentSubject">
    <w:name w:val="annotation subject"/>
    <w:basedOn w:val="CommentText"/>
    <w:next w:val="CommentText"/>
    <w:link w:val="CommentSubjectChar"/>
    <w:uiPriority w:val="99"/>
    <w:semiHidden/>
    <w:unhideWhenUsed/>
    <w:rsid w:val="00154B77"/>
    <w:rPr>
      <w:b/>
      <w:bCs/>
    </w:rPr>
  </w:style>
  <w:style w:type="character" w:customStyle="1" w:styleId="CommentSubjectChar">
    <w:name w:val="Comment Subject Char"/>
    <w:basedOn w:val="CommentTextChar"/>
    <w:link w:val="CommentSubject"/>
    <w:uiPriority w:val="99"/>
    <w:semiHidden/>
    <w:rsid w:val="00154B77"/>
    <w:rPr>
      <w:b/>
      <w:bCs/>
      <w:sz w:val="20"/>
      <w:szCs w:val="20"/>
    </w:rPr>
  </w:style>
  <w:style w:type="paragraph" w:styleId="BalloonText">
    <w:name w:val="Balloon Text"/>
    <w:basedOn w:val="Normal"/>
    <w:link w:val="BalloonTextChar"/>
    <w:uiPriority w:val="99"/>
    <w:semiHidden/>
    <w:unhideWhenUsed/>
    <w:rsid w:val="00154B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B77"/>
    <w:rPr>
      <w:rFonts w:ascii="Times New Roman" w:hAnsi="Times New Roman" w:cs="Times New Roman"/>
      <w:sz w:val="18"/>
      <w:szCs w:val="18"/>
    </w:rPr>
  </w:style>
  <w:style w:type="paragraph" w:styleId="ListParagraph">
    <w:name w:val="List Paragraph"/>
    <w:basedOn w:val="Normal"/>
    <w:uiPriority w:val="34"/>
    <w:qFormat/>
    <w:rsid w:val="00154B77"/>
    <w:pPr>
      <w:ind w:left="720"/>
      <w:contextualSpacing/>
    </w:pPr>
  </w:style>
  <w:style w:type="table" w:styleId="TableGrid">
    <w:name w:val="Table Grid"/>
    <w:basedOn w:val="TableNormal"/>
    <w:uiPriority w:val="39"/>
    <w:rsid w:val="00CF15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Peretz Rodman</dc:creator>
  <cp:keywords/>
  <dc:description/>
  <cp:lastModifiedBy>Peretz Rodman</cp:lastModifiedBy>
  <cp:revision>1</cp:revision>
  <dcterms:created xsi:type="dcterms:W3CDTF">2020-06-10T10:52:00Z</dcterms:created>
  <dcterms:modified xsi:type="dcterms:W3CDTF">2020-06-10T11:51:00Z</dcterms:modified>
</cp:coreProperties>
</file>