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0DC83" w14:textId="77777777" w:rsidR="00137989" w:rsidRPr="001726EF" w:rsidRDefault="00137989" w:rsidP="001726EF">
      <w:pPr>
        <w:pStyle w:val="Bodytext20"/>
        <w:tabs>
          <w:tab w:val="left" w:leader="underscore" w:pos="4915"/>
        </w:tabs>
        <w:spacing w:after="580" w:line="288" w:lineRule="auto"/>
        <w:jc w:val="center"/>
        <w:rPr>
          <w:u w:val="single"/>
          <w:lang w:val="en-US"/>
        </w:rPr>
      </w:pPr>
      <w:r>
        <w:rPr>
          <w:u w:val="single"/>
          <w:lang w:val="en-US"/>
        </w:rPr>
        <w:t>Marketing Document version 22 between</w:t>
      </w:r>
      <w:r>
        <w:rPr>
          <w:u w:val="single"/>
          <w:lang w:val="en-US"/>
        </w:rPr>
        <w:tab/>
        <w:t>and CD2U – Internet Merchandise Marketing</w:t>
      </w:r>
    </w:p>
    <w:p w14:paraId="5C58542C" w14:textId="77777777" w:rsidR="00137989" w:rsidRPr="00137989" w:rsidRDefault="00137989" w:rsidP="001726EF">
      <w:pPr>
        <w:pStyle w:val="BodyText"/>
        <w:bidi w:val="0"/>
        <w:spacing w:after="160"/>
        <w:jc w:val="both"/>
        <w:rPr>
          <w:u w:val="single"/>
        </w:rPr>
      </w:pPr>
      <w:r>
        <w:rPr>
          <w:u w:val="single"/>
          <w:lang w:val="en-US"/>
        </w:rPr>
        <w:t>Directives Regarding Merchandise</w:t>
      </w:r>
    </w:p>
    <w:p w14:paraId="43A1F9DF" w14:textId="77777777" w:rsidR="00137989" w:rsidRPr="006F1368" w:rsidRDefault="00137989" w:rsidP="001726EF">
      <w:pPr>
        <w:pStyle w:val="BodyText"/>
        <w:numPr>
          <w:ilvl w:val="0"/>
          <w:numId w:val="4"/>
        </w:numPr>
        <w:bidi w:val="0"/>
        <w:ind w:hanging="720"/>
        <w:rPr>
          <w:lang w:val="en-AU"/>
        </w:rPr>
      </w:pPr>
      <w:r>
        <w:rPr>
          <w:u w:val="single"/>
          <w:lang w:val="en-US"/>
        </w:rPr>
        <w:t>Merchandise Valuation</w:t>
      </w:r>
      <w:r>
        <w:rPr>
          <w:lang w:val="en-US"/>
        </w:rPr>
        <w:t xml:space="preserve">: $700-$20,000 (total) – for </w:t>
      </w:r>
      <w:r>
        <w:rPr>
          <w:u w:val="single"/>
          <w:lang w:val="en-US"/>
        </w:rPr>
        <w:t>diamonds</w:t>
      </w:r>
      <w:r>
        <w:rPr>
          <w:lang w:val="en-US"/>
        </w:rPr>
        <w:t xml:space="preserve">; $500-$20,000 (total) – for </w:t>
      </w:r>
      <w:r>
        <w:rPr>
          <w:u w:val="single"/>
          <w:lang w:val="en-US"/>
        </w:rPr>
        <w:t>jewelry</w:t>
      </w:r>
      <w:r>
        <w:rPr>
          <w:lang w:val="en-US"/>
        </w:rPr>
        <w:t>.</w:t>
      </w:r>
    </w:p>
    <w:p w14:paraId="37FBAA57" w14:textId="77777777" w:rsidR="00137989" w:rsidRPr="006F1368" w:rsidRDefault="00137989" w:rsidP="001726EF">
      <w:pPr>
        <w:pStyle w:val="BodyText"/>
        <w:numPr>
          <w:ilvl w:val="0"/>
          <w:numId w:val="4"/>
        </w:numPr>
        <w:bidi w:val="0"/>
        <w:ind w:hanging="720"/>
        <w:rPr>
          <w:lang w:val="en-AU"/>
        </w:rPr>
      </w:pPr>
      <w:r>
        <w:rPr>
          <w:u w:val="single"/>
          <w:lang w:val="en-US"/>
        </w:rPr>
        <w:t>Undocumented stones</w:t>
      </w:r>
      <w:r>
        <w:rPr>
          <w:lang w:val="en-US"/>
        </w:rPr>
        <w:t>: They are to be transferred to our offices for inspection to meet GIA’s strict standards;</w:t>
      </w:r>
    </w:p>
    <w:p w14:paraId="4CC2ACA3" w14:textId="21FF72C4" w:rsidR="00137989" w:rsidRPr="001726EF" w:rsidRDefault="00137989" w:rsidP="001726EF">
      <w:pPr>
        <w:pStyle w:val="BodyText"/>
        <w:numPr>
          <w:ilvl w:val="0"/>
          <w:numId w:val="4"/>
        </w:numPr>
        <w:bidi w:val="0"/>
        <w:ind w:hanging="720"/>
        <w:rPr>
          <w:lang w:val="en-US"/>
        </w:rPr>
      </w:pPr>
      <w:r>
        <w:rPr>
          <w:u w:val="single"/>
          <w:lang w:val="en-US"/>
        </w:rPr>
        <w:t>Documented stones</w:t>
      </w:r>
      <w:r>
        <w:rPr>
          <w:lang w:val="en-US"/>
        </w:rPr>
        <w:t>: All document details are to be entered into the Excel file</w:t>
      </w:r>
      <w:r w:rsidR="001726EF">
        <w:rPr>
          <w:lang w:val="en-US"/>
        </w:rPr>
        <w:t>;</w:t>
      </w:r>
      <w:r>
        <w:rPr>
          <w:lang w:val="en-US"/>
        </w:rPr>
        <w:t xml:space="preserve"> keep</w:t>
      </w:r>
      <w:r w:rsidR="001726EF">
        <w:rPr>
          <w:lang w:val="en-US"/>
        </w:rPr>
        <w:t>ing</w:t>
      </w:r>
      <w:r>
        <w:rPr>
          <w:lang w:val="en-US"/>
        </w:rPr>
        <w:t xml:space="preserve"> a scanned copy (lengthwise) of the document in the CERTS folder.</w:t>
      </w:r>
    </w:p>
    <w:p w14:paraId="534352E2" w14:textId="77777777" w:rsidR="00137989" w:rsidRPr="001726EF" w:rsidRDefault="00137989" w:rsidP="001726EF">
      <w:pPr>
        <w:pStyle w:val="BodyText"/>
        <w:numPr>
          <w:ilvl w:val="0"/>
          <w:numId w:val="4"/>
        </w:numPr>
        <w:bidi w:val="0"/>
        <w:ind w:hanging="720"/>
        <w:rPr>
          <w:lang w:val="en-US"/>
        </w:rPr>
      </w:pPr>
      <w:r>
        <w:rPr>
          <w:lang w:val="en-US"/>
        </w:rPr>
        <w:t>Undocumented under Standard GIA IF-I1 D-K</w:t>
      </w:r>
    </w:p>
    <w:p w14:paraId="29525D9B" w14:textId="3E39FF5F" w:rsidR="001726EF" w:rsidRDefault="00137989" w:rsidP="001726EF">
      <w:pPr>
        <w:pStyle w:val="Bodytext20"/>
        <w:numPr>
          <w:ilvl w:val="0"/>
          <w:numId w:val="4"/>
        </w:numPr>
        <w:spacing w:after="60"/>
        <w:ind w:hanging="720"/>
        <w:jc w:val="left"/>
        <w:rPr>
          <w:sz w:val="19"/>
          <w:szCs w:val="19"/>
          <w:lang w:val="en-US"/>
        </w:rPr>
      </w:pPr>
      <w:r>
        <w:rPr>
          <w:sz w:val="19"/>
          <w:szCs w:val="19"/>
          <w:lang w:val="en-US"/>
        </w:rPr>
        <w:t>IF-I1, D-K GIA documents</w:t>
      </w:r>
      <w:r w:rsidR="001726EF">
        <w:rPr>
          <w:sz w:val="19"/>
          <w:szCs w:val="19"/>
          <w:lang w:val="en-US"/>
        </w:rPr>
        <w:t xml:space="preserve"> </w:t>
      </w:r>
    </w:p>
    <w:p w14:paraId="2F5F0231" w14:textId="52D7512F" w:rsidR="00137989" w:rsidRPr="001726EF" w:rsidRDefault="00137989" w:rsidP="001726EF">
      <w:pPr>
        <w:pStyle w:val="Bodytext20"/>
        <w:numPr>
          <w:ilvl w:val="0"/>
          <w:numId w:val="4"/>
        </w:numPr>
        <w:spacing w:after="60"/>
        <w:ind w:hanging="720"/>
        <w:jc w:val="left"/>
        <w:rPr>
          <w:sz w:val="19"/>
          <w:szCs w:val="19"/>
          <w:lang w:val="en-US"/>
        </w:rPr>
      </w:pPr>
      <w:r>
        <w:rPr>
          <w:sz w:val="19"/>
          <w:szCs w:val="19"/>
          <w:lang w:val="en-US"/>
        </w:rPr>
        <w:t>In EGL IL or IGL documents, the merchandise we are seeking are D-I, IF-SI2</w:t>
      </w:r>
    </w:p>
    <w:p w14:paraId="6AE3EE8F" w14:textId="086AC678" w:rsidR="00137989" w:rsidRPr="001726EF" w:rsidRDefault="00137989" w:rsidP="001726EF">
      <w:pPr>
        <w:pStyle w:val="BodyText"/>
        <w:numPr>
          <w:ilvl w:val="0"/>
          <w:numId w:val="4"/>
        </w:numPr>
        <w:bidi w:val="0"/>
        <w:ind w:hanging="720"/>
        <w:rPr>
          <w:lang w:val="en-US"/>
        </w:rPr>
      </w:pPr>
      <w:commentRangeStart w:id="0"/>
      <w:r w:rsidRPr="001726EF">
        <w:rPr>
          <w:highlight w:val="yellow"/>
          <w:lang w:val="en-US"/>
        </w:rPr>
        <w:t>Findings/Inventories</w:t>
      </w:r>
      <w:commentRangeEnd w:id="0"/>
      <w:r w:rsidR="00B419C6">
        <w:rPr>
          <w:rStyle w:val="CommentReference"/>
          <w:rFonts w:ascii="DejaVu Sans" w:eastAsia="DejaVu Sans" w:hAnsi="DejaVu Sans" w:cs="DejaVu Sans"/>
        </w:rPr>
        <w:commentReference w:id="0"/>
      </w:r>
      <w:r>
        <w:rPr>
          <w:lang w:val="en-US"/>
        </w:rPr>
        <w:t xml:space="preserve"> are not considered documents, and we do no</w:t>
      </w:r>
      <w:r w:rsidR="001726EF">
        <w:rPr>
          <w:lang w:val="en-US"/>
        </w:rPr>
        <w:t>t</w:t>
      </w:r>
      <w:r>
        <w:rPr>
          <w:lang w:val="en-US"/>
        </w:rPr>
        <w:t xml:space="preserve"> recognize</w:t>
      </w:r>
      <w:r w:rsidR="006F1368">
        <w:rPr>
          <w:lang w:val="en-US"/>
        </w:rPr>
        <w:t xml:space="preserve"> documents from</w:t>
      </w:r>
      <w:r>
        <w:rPr>
          <w:lang w:val="en-US"/>
        </w:rPr>
        <w:t xml:space="preserve"> EGL IL documents which </w:t>
      </w:r>
      <w:r w:rsidR="006F1368">
        <w:rPr>
          <w:lang w:val="en-US"/>
        </w:rPr>
        <w:t>was in</w:t>
      </w:r>
      <w:r>
        <w:rPr>
          <w:lang w:val="en-US"/>
        </w:rPr>
        <w:t xml:space="preserve"> Noam Building</w:t>
      </w:r>
      <w:r w:rsidR="006F1368">
        <w:rPr>
          <w:lang w:val="en-US"/>
        </w:rPr>
        <w:t xml:space="preserve"> and closed</w:t>
      </w:r>
      <w:r>
        <w:rPr>
          <w:lang w:val="en-US"/>
        </w:rPr>
        <w:t>.</w:t>
      </w:r>
    </w:p>
    <w:p w14:paraId="4543DF35" w14:textId="77777777" w:rsidR="00137989" w:rsidRPr="006F1368" w:rsidRDefault="00137989" w:rsidP="001726EF">
      <w:pPr>
        <w:pStyle w:val="BodyText"/>
        <w:numPr>
          <w:ilvl w:val="0"/>
          <w:numId w:val="4"/>
        </w:numPr>
        <w:tabs>
          <w:tab w:val="left" w:pos="720"/>
        </w:tabs>
        <w:bidi w:val="0"/>
        <w:ind w:hanging="720"/>
        <w:rPr>
          <w:lang w:val="en-AU"/>
        </w:rPr>
      </w:pPr>
      <w:r>
        <w:rPr>
          <w:lang w:val="en-US"/>
        </w:rPr>
        <w:t>The vendor undertakes that there are no holes in the stones, which he markets through CD2U.</w:t>
      </w:r>
    </w:p>
    <w:p w14:paraId="65880D94" w14:textId="252C6B3F" w:rsidR="00137989" w:rsidRPr="001726EF" w:rsidRDefault="00137989" w:rsidP="001726EF">
      <w:pPr>
        <w:pStyle w:val="BodyText"/>
        <w:numPr>
          <w:ilvl w:val="0"/>
          <w:numId w:val="4"/>
        </w:numPr>
        <w:tabs>
          <w:tab w:val="left" w:pos="720"/>
        </w:tabs>
        <w:bidi w:val="0"/>
        <w:ind w:hanging="720"/>
        <w:rPr>
          <w:lang w:val="en-US"/>
        </w:rPr>
      </w:pPr>
      <w:r w:rsidRPr="001726EF">
        <w:rPr>
          <w:lang w:val="en-US"/>
        </w:rPr>
        <w:t>The vendor undertakes that the jewelry is manufactured in Israel or in the USA and that the jewelry is exempt from customs in sales between Israel and the USA</w:t>
      </w:r>
      <w:r w:rsidR="001726EF" w:rsidRPr="001726EF">
        <w:rPr>
          <w:lang w:val="en-US"/>
        </w:rPr>
        <w:t xml:space="preserve"> </w:t>
      </w:r>
      <w:r w:rsidRPr="001726EF">
        <w:rPr>
          <w:lang w:val="en-US"/>
        </w:rPr>
        <w:t>unless stated otherwise.</w:t>
      </w:r>
    </w:p>
    <w:p w14:paraId="2F7DE4DF" w14:textId="77777777" w:rsidR="00137989" w:rsidRPr="006F1368" w:rsidRDefault="00137989" w:rsidP="001726EF">
      <w:pPr>
        <w:pStyle w:val="BodyText"/>
        <w:numPr>
          <w:ilvl w:val="0"/>
          <w:numId w:val="4"/>
        </w:numPr>
        <w:bidi w:val="0"/>
        <w:ind w:hanging="720"/>
        <w:rPr>
          <w:lang w:val="en-AU"/>
        </w:rPr>
      </w:pPr>
      <w:r>
        <w:rPr>
          <w:lang w:val="en-US"/>
        </w:rPr>
        <w:t>The vendor undertakes to report treated stones.</w:t>
      </w:r>
    </w:p>
    <w:p w14:paraId="0BC20D64" w14:textId="4141531C" w:rsidR="00137989" w:rsidRPr="006F1368" w:rsidRDefault="00137989" w:rsidP="001726EF">
      <w:pPr>
        <w:pStyle w:val="BodyText"/>
        <w:numPr>
          <w:ilvl w:val="0"/>
          <w:numId w:val="4"/>
        </w:numPr>
        <w:bidi w:val="0"/>
        <w:spacing w:after="160" w:line="276" w:lineRule="auto"/>
        <w:ind w:hanging="720"/>
        <w:rPr>
          <w:lang w:val="en-AU"/>
        </w:rPr>
      </w:pPr>
      <w:r>
        <w:rPr>
          <w:lang w:val="en-US"/>
        </w:rPr>
        <w:t>The vendor undertakes that the stones (in bulk) or stones set into jewelry are not synthetic and understands that all legal responsibilities that befall the CD2U Company for supplying synthetic stones automatically appl</w:t>
      </w:r>
      <w:r w:rsidR="00E6043E">
        <w:rPr>
          <w:lang w:val="en-US"/>
        </w:rPr>
        <w:t>y</w:t>
      </w:r>
      <w:r>
        <w:rPr>
          <w:lang w:val="en-US"/>
        </w:rPr>
        <w:t xml:space="preserve"> to the vendor</w:t>
      </w:r>
    </w:p>
    <w:p w14:paraId="2E8868A8" w14:textId="77777777" w:rsidR="00137989" w:rsidRPr="00137989" w:rsidRDefault="00137989" w:rsidP="001726EF">
      <w:pPr>
        <w:pStyle w:val="BodyText"/>
        <w:bidi w:val="0"/>
        <w:spacing w:after="160"/>
        <w:jc w:val="both"/>
        <w:rPr>
          <w:u w:val="single"/>
        </w:rPr>
      </w:pPr>
      <w:r>
        <w:rPr>
          <w:u w:val="single"/>
          <w:lang w:val="en-US"/>
        </w:rPr>
        <w:t>Terms of Collaborative Activity</w:t>
      </w:r>
    </w:p>
    <w:p w14:paraId="4223B8C4" w14:textId="77777777" w:rsidR="00137989" w:rsidRPr="006F1368" w:rsidRDefault="00137989" w:rsidP="001726EF">
      <w:pPr>
        <w:pStyle w:val="BodyText"/>
        <w:numPr>
          <w:ilvl w:val="0"/>
          <w:numId w:val="6"/>
        </w:numPr>
        <w:bidi w:val="0"/>
        <w:spacing w:line="276" w:lineRule="auto"/>
        <w:ind w:left="720" w:hanging="720"/>
        <w:jc w:val="both"/>
        <w:rPr>
          <w:lang w:val="en-AU"/>
        </w:rPr>
      </w:pPr>
      <w:r>
        <w:rPr>
          <w:lang w:val="en-US"/>
        </w:rPr>
        <w:t>Submitting a stone or piece of jewelry to one of our offices in Israel, New York or Los Angeles within 24 hours from receipt of our notice to the vendor to supply the merchandise.</w:t>
      </w:r>
    </w:p>
    <w:p w14:paraId="6F7418D5" w14:textId="4975FBE0" w:rsidR="00137989" w:rsidRPr="006F1368" w:rsidRDefault="00137989" w:rsidP="001726EF">
      <w:pPr>
        <w:pStyle w:val="BodyText"/>
        <w:numPr>
          <w:ilvl w:val="0"/>
          <w:numId w:val="6"/>
        </w:numPr>
        <w:bidi w:val="0"/>
        <w:ind w:left="720" w:hanging="720"/>
        <w:jc w:val="both"/>
        <w:rPr>
          <w:lang w:val="en-AU"/>
        </w:rPr>
      </w:pPr>
      <w:r>
        <w:rPr>
          <w:lang w:val="en-US"/>
        </w:rPr>
        <w:t xml:space="preserve">In the event that you sold the merchandise or that it is out of your control and </w:t>
      </w:r>
      <w:r w:rsidR="00517115">
        <w:rPr>
          <w:lang w:val="en-US"/>
        </w:rPr>
        <w:t xml:space="preserve">you </w:t>
      </w:r>
      <w:r>
        <w:rPr>
          <w:lang w:val="en-US"/>
        </w:rPr>
        <w:t xml:space="preserve">cannot send it to one of the offices – please notify us within 24 hours that the stones will not be available. </w:t>
      </w:r>
      <w:r w:rsidR="003D0213">
        <w:rPr>
          <w:lang w:val="en-US"/>
        </w:rPr>
        <w:t>N</w:t>
      </w:r>
      <w:r>
        <w:rPr>
          <w:lang w:val="en-US"/>
        </w:rPr>
        <w:t>on-availability of merchandise in case of sale is detrimental to us. Therefore, numerous such instances will force us to cease working with such a vendor.</w:t>
      </w:r>
    </w:p>
    <w:p w14:paraId="53E99738" w14:textId="77777777" w:rsidR="00137989" w:rsidRPr="006F1368" w:rsidRDefault="00137989" w:rsidP="001726EF">
      <w:pPr>
        <w:pStyle w:val="BodyText"/>
        <w:numPr>
          <w:ilvl w:val="0"/>
          <w:numId w:val="6"/>
        </w:numPr>
        <w:bidi w:val="0"/>
        <w:ind w:left="720" w:hanging="720"/>
        <w:jc w:val="both"/>
        <w:rPr>
          <w:lang w:val="en-AU"/>
        </w:rPr>
      </w:pPr>
      <w:r>
        <w:rPr>
          <w:lang w:val="en-US"/>
        </w:rPr>
        <w:t>Additionally, in case the merchandise is unavailable – it is your obligation to offer superior merchandise at the same price (with identical parameters at least for the offered stone and one parameter better than the offered stone).</w:t>
      </w:r>
    </w:p>
    <w:p w14:paraId="435B124A" w14:textId="77C66FEB" w:rsidR="00137989" w:rsidRPr="00137989" w:rsidRDefault="00137989" w:rsidP="001726EF">
      <w:pPr>
        <w:pStyle w:val="BodyText"/>
        <w:numPr>
          <w:ilvl w:val="0"/>
          <w:numId w:val="6"/>
        </w:numPr>
        <w:bidi w:val="0"/>
        <w:rPr>
          <w:u w:val="single"/>
        </w:rPr>
      </w:pPr>
      <w:r>
        <w:rPr>
          <w:u w:val="single"/>
          <w:lang w:val="en-US"/>
        </w:rPr>
        <w:t>Return Policy</w:t>
      </w:r>
    </w:p>
    <w:p w14:paraId="17D97DA6" w14:textId="12C08448" w:rsidR="00137989" w:rsidRPr="001726EF" w:rsidRDefault="00137989" w:rsidP="001726EF">
      <w:pPr>
        <w:pStyle w:val="BodyText"/>
        <w:numPr>
          <w:ilvl w:val="0"/>
          <w:numId w:val="2"/>
        </w:numPr>
        <w:tabs>
          <w:tab w:val="left" w:pos="1085"/>
        </w:tabs>
        <w:bidi w:val="0"/>
        <w:ind w:left="1100" w:hanging="360"/>
        <w:jc w:val="both"/>
        <w:rPr>
          <w:lang w:val="en-US"/>
        </w:rPr>
      </w:pPr>
      <w:r>
        <w:rPr>
          <w:lang w:val="en-US"/>
        </w:rPr>
        <w:t>Stone</w:t>
      </w:r>
      <w:r w:rsidR="001726EF">
        <w:rPr>
          <w:lang w:val="en-US"/>
        </w:rPr>
        <w:t>s</w:t>
      </w:r>
      <w:r>
        <w:rPr>
          <w:lang w:val="en-US"/>
        </w:rPr>
        <w:t>: Since we allow our customers returns within 30 days (because of shipping time for a stone from Israel and to receive it in New York), you are to allow us to return a stone to you within 45 days.</w:t>
      </w:r>
    </w:p>
    <w:p w14:paraId="0DB5F7D7" w14:textId="77777777" w:rsidR="00137989" w:rsidRPr="006F1368" w:rsidRDefault="00137989" w:rsidP="001726EF">
      <w:pPr>
        <w:pStyle w:val="BodyText"/>
        <w:numPr>
          <w:ilvl w:val="0"/>
          <w:numId w:val="2"/>
        </w:numPr>
        <w:tabs>
          <w:tab w:val="left" w:pos="1085"/>
        </w:tabs>
        <w:bidi w:val="0"/>
        <w:ind w:left="1080" w:hanging="360"/>
        <w:jc w:val="both"/>
        <w:rPr>
          <w:lang w:val="en-AU"/>
        </w:rPr>
      </w:pPr>
      <w:r>
        <w:rPr>
          <w:u w:val="single"/>
          <w:lang w:val="en-US"/>
        </w:rPr>
        <w:t>Jewelry</w:t>
      </w:r>
      <w:r>
        <w:rPr>
          <w:lang w:val="en-US"/>
        </w:rPr>
        <w:t>: We request 60 days for returns because of the difficulties in exporting and returning jewelry.</w:t>
      </w:r>
    </w:p>
    <w:p w14:paraId="18F19EDE" w14:textId="50A903A2" w:rsidR="00137989" w:rsidRPr="00137989" w:rsidRDefault="00137989" w:rsidP="001726EF">
      <w:pPr>
        <w:pStyle w:val="BodyText"/>
        <w:bidi w:val="0"/>
        <w:jc w:val="both"/>
      </w:pPr>
      <w:r>
        <w:rPr>
          <w:lang w:val="en-US"/>
        </w:rPr>
        <w:t xml:space="preserve">• </w:t>
      </w:r>
      <w:r w:rsidR="003D0213">
        <w:rPr>
          <w:lang w:val="en-US"/>
        </w:rPr>
        <w:tab/>
      </w:r>
      <w:r>
        <w:rPr>
          <w:u w:val="single"/>
          <w:lang w:val="en-US"/>
        </w:rPr>
        <w:t>Payment for a stone</w:t>
      </w:r>
    </w:p>
    <w:p w14:paraId="24C631A9" w14:textId="69377C75" w:rsidR="00704510" w:rsidRPr="001726EF" w:rsidRDefault="00137989" w:rsidP="001726EF">
      <w:pPr>
        <w:pStyle w:val="BodyText"/>
        <w:numPr>
          <w:ilvl w:val="0"/>
          <w:numId w:val="2"/>
        </w:numPr>
        <w:tabs>
          <w:tab w:val="left" w:pos="1085"/>
        </w:tabs>
        <w:bidi w:val="0"/>
        <w:ind w:left="1100" w:hanging="360"/>
        <w:jc w:val="both"/>
        <w:rPr>
          <w:lang w:val="en-US"/>
        </w:rPr>
      </w:pPr>
      <w:r>
        <w:rPr>
          <w:lang w:val="en-US"/>
        </w:rPr>
        <w:t xml:space="preserve">Payment will be made in </w:t>
      </w:r>
      <w:r w:rsidR="00682E41">
        <w:rPr>
          <w:lang w:val="en-US"/>
        </w:rPr>
        <w:t>D</w:t>
      </w:r>
      <w:r w:rsidR="00CF70FE">
        <w:rPr>
          <w:lang w:val="en-US"/>
        </w:rPr>
        <w:t>ollars</w:t>
      </w:r>
      <w:r>
        <w:rPr>
          <w:lang w:val="en-US"/>
        </w:rPr>
        <w:t xml:space="preserve"> (without VAT, of course)</w:t>
      </w:r>
    </w:p>
    <w:p w14:paraId="2762BE20" w14:textId="252431F5" w:rsidR="00137989" w:rsidRPr="006F1368" w:rsidRDefault="00137989" w:rsidP="001726EF">
      <w:pPr>
        <w:pStyle w:val="BodyText"/>
        <w:numPr>
          <w:ilvl w:val="0"/>
          <w:numId w:val="2"/>
        </w:numPr>
        <w:tabs>
          <w:tab w:val="left" w:pos="1085"/>
        </w:tabs>
        <w:bidi w:val="0"/>
        <w:ind w:left="1100" w:hanging="360"/>
        <w:jc w:val="both"/>
        <w:rPr>
          <w:lang w:val="en-AU"/>
        </w:rPr>
      </w:pPr>
      <w:r>
        <w:rPr>
          <w:lang w:val="en-US"/>
        </w:rPr>
        <w:t>On the 61</w:t>
      </w:r>
      <w:r>
        <w:rPr>
          <w:vertAlign w:val="superscript"/>
          <w:lang w:val="en-US"/>
        </w:rPr>
        <w:t>st</w:t>
      </w:r>
      <w:r>
        <w:rPr>
          <w:lang w:val="en-US"/>
        </w:rPr>
        <w:t xml:space="preserve"> day after submitting the stone to our offices, you will receive a check.</w:t>
      </w:r>
    </w:p>
    <w:p w14:paraId="12249FA1" w14:textId="318BF611" w:rsidR="00137989" w:rsidRPr="001726EF" w:rsidRDefault="00137989" w:rsidP="001726EF">
      <w:pPr>
        <w:pStyle w:val="BodyText"/>
        <w:numPr>
          <w:ilvl w:val="1"/>
          <w:numId w:val="7"/>
        </w:numPr>
        <w:bidi w:val="0"/>
        <w:spacing w:after="160"/>
        <w:ind w:left="720" w:hanging="720"/>
        <w:rPr>
          <w:u w:val="single"/>
          <w:lang w:val="en-US"/>
        </w:rPr>
      </w:pPr>
      <w:r>
        <w:rPr>
          <w:u w:val="single"/>
          <w:lang w:val="en-US"/>
        </w:rPr>
        <w:t>Payment for a piece of jewelry</w:t>
      </w:r>
    </w:p>
    <w:p w14:paraId="220C9A57" w14:textId="60FB4697" w:rsidR="00137989" w:rsidRPr="001726EF" w:rsidRDefault="001726EF" w:rsidP="001726EF">
      <w:pPr>
        <w:pStyle w:val="BodyText"/>
        <w:bidi w:val="0"/>
        <w:spacing w:line="286" w:lineRule="auto"/>
        <w:ind w:left="1080" w:hanging="360"/>
        <w:jc w:val="both"/>
        <w:rPr>
          <w:lang w:val="en-US"/>
        </w:rPr>
      </w:pPr>
      <w:r>
        <w:rPr>
          <w:lang w:val="en-US"/>
        </w:rPr>
        <w:t xml:space="preserve">- </w:t>
      </w:r>
      <w:r>
        <w:rPr>
          <w:lang w:val="en-US"/>
        </w:rPr>
        <w:tab/>
      </w:r>
      <w:r w:rsidR="00137989">
        <w:rPr>
          <w:lang w:val="en-US"/>
        </w:rPr>
        <w:t>The payment will be made in Shekels according to the representative rate of exchange on the payment date.</w:t>
      </w:r>
    </w:p>
    <w:p w14:paraId="5889AD95" w14:textId="0BFCA47D" w:rsidR="00137989" w:rsidRPr="006F1368" w:rsidRDefault="00137989" w:rsidP="001726EF">
      <w:pPr>
        <w:pStyle w:val="BodyText"/>
        <w:bidi w:val="0"/>
        <w:spacing w:line="286" w:lineRule="auto"/>
        <w:ind w:left="1100" w:hanging="360"/>
        <w:jc w:val="both"/>
        <w:rPr>
          <w:lang w:val="en-AU"/>
        </w:rPr>
      </w:pPr>
      <w:r>
        <w:rPr>
          <w:lang w:val="en-US"/>
        </w:rPr>
        <w:t>-</w:t>
      </w:r>
      <w:r>
        <w:rPr>
          <w:lang w:val="en-US"/>
        </w:rPr>
        <w:tab/>
        <w:t>On the 61</w:t>
      </w:r>
      <w:r>
        <w:rPr>
          <w:vertAlign w:val="superscript"/>
          <w:lang w:val="en-US"/>
        </w:rPr>
        <w:t>st</w:t>
      </w:r>
      <w:r>
        <w:rPr>
          <w:lang w:val="en-US"/>
        </w:rPr>
        <w:t xml:space="preserve"> day after submitting the jewelry to our offices, you will receive 2 checks: 1. Cash check for the purchase sum before VAT; 2. A check will given for the sum of the VAT dated for the 10</w:t>
      </w:r>
      <w:r>
        <w:rPr>
          <w:vertAlign w:val="superscript"/>
          <w:lang w:val="en-US"/>
        </w:rPr>
        <w:t>th</w:t>
      </w:r>
      <w:r>
        <w:rPr>
          <w:lang w:val="en-US"/>
        </w:rPr>
        <w:t xml:space="preserve"> of the reporting month (we report on a bi-monthly basis and are not interested in financing VAT since our profit is mostly lower than the 17% VAT).</w:t>
      </w:r>
    </w:p>
    <w:p w14:paraId="34D50CE3" w14:textId="59CEC362" w:rsidR="00137989" w:rsidRPr="006F1368" w:rsidRDefault="00137989" w:rsidP="001726EF">
      <w:pPr>
        <w:pStyle w:val="BodyText"/>
        <w:numPr>
          <w:ilvl w:val="0"/>
          <w:numId w:val="9"/>
        </w:numPr>
        <w:tabs>
          <w:tab w:val="left" w:pos="692"/>
        </w:tabs>
        <w:bidi w:val="0"/>
        <w:spacing w:line="286" w:lineRule="auto"/>
        <w:ind w:left="720" w:hanging="720"/>
        <w:jc w:val="both"/>
        <w:rPr>
          <w:lang w:val="en-AU"/>
        </w:rPr>
      </w:pPr>
      <w:r>
        <w:rPr>
          <w:lang w:val="en-US"/>
        </w:rPr>
        <w:t xml:space="preserve">In the event that there is a mistake in the information on the part of the vendor, both regarding the inventory level as well as the product description: Grams/gold/weight and the purchased item – the </w:t>
      </w:r>
      <w:r>
        <w:rPr>
          <w:lang w:val="en-US"/>
        </w:rPr>
        <w:lastRenderedPageBreak/>
        <w:t>vendor undertakes to compensate CD2U at $100 for the mistake.</w:t>
      </w:r>
    </w:p>
    <w:p w14:paraId="6C5C3F8C" w14:textId="0E788ADE" w:rsidR="00137989" w:rsidRPr="001726EF" w:rsidRDefault="00137989" w:rsidP="001726EF">
      <w:pPr>
        <w:pStyle w:val="BodyText"/>
        <w:numPr>
          <w:ilvl w:val="0"/>
          <w:numId w:val="9"/>
        </w:numPr>
        <w:bidi w:val="0"/>
        <w:spacing w:line="286" w:lineRule="auto"/>
        <w:ind w:left="720" w:hanging="720"/>
        <w:jc w:val="both"/>
        <w:rPr>
          <w:lang w:val="en-US"/>
        </w:rPr>
      </w:pPr>
      <w:r>
        <w:rPr>
          <w:lang w:val="en-US"/>
        </w:rPr>
        <w:t xml:space="preserve">In the event the vendor undertakes to offer enlarging/reducing ring sizes, this enlarging/reducing </w:t>
      </w:r>
      <w:r w:rsidR="001726EF">
        <w:rPr>
          <w:lang w:val="en-US"/>
        </w:rPr>
        <w:t xml:space="preserve">[cost] </w:t>
      </w:r>
      <w:r>
        <w:rPr>
          <w:lang w:val="en-US"/>
        </w:rPr>
        <w:t>applies to the vendor.</w:t>
      </w:r>
    </w:p>
    <w:p w14:paraId="2EBCDE77" w14:textId="78D1C6F6" w:rsidR="00137989" w:rsidRPr="002841DC" w:rsidRDefault="00137989" w:rsidP="001726EF">
      <w:pPr>
        <w:pStyle w:val="BodyText"/>
        <w:numPr>
          <w:ilvl w:val="0"/>
          <w:numId w:val="9"/>
        </w:numPr>
        <w:bidi w:val="0"/>
        <w:spacing w:line="286" w:lineRule="auto"/>
        <w:ind w:left="720" w:hanging="720"/>
        <w:jc w:val="both"/>
        <w:rPr>
          <w:lang w:val="en-US"/>
        </w:rPr>
      </w:pPr>
      <w:r w:rsidRPr="002841DC">
        <w:rPr>
          <w:lang w:val="en-US"/>
        </w:rPr>
        <w:t xml:space="preserve">In case the stones that are marketed are also found on Rapnet – the vendor undertakes to provide a price </w:t>
      </w:r>
      <w:r w:rsidR="002841DC">
        <w:rPr>
          <w:lang w:val="en-US"/>
        </w:rPr>
        <w:t xml:space="preserve">at least </w:t>
      </w:r>
      <w:r w:rsidRPr="002841DC">
        <w:rPr>
          <w:lang w:val="en-US"/>
        </w:rPr>
        <w:t>3-5%</w:t>
      </w:r>
      <w:r w:rsidR="002841DC">
        <w:rPr>
          <w:lang w:val="en-US"/>
        </w:rPr>
        <w:t xml:space="preserve"> lower </w:t>
      </w:r>
      <w:r w:rsidRPr="002841DC">
        <w:rPr>
          <w:lang w:val="en-US"/>
        </w:rPr>
        <w:t>than the one he asks for on Rapnet.</w:t>
      </w:r>
    </w:p>
    <w:p w14:paraId="1EAF3D52" w14:textId="37396FB8" w:rsidR="00137989" w:rsidRPr="006F1368" w:rsidRDefault="00137989" w:rsidP="001726EF">
      <w:pPr>
        <w:pStyle w:val="BodyText"/>
        <w:numPr>
          <w:ilvl w:val="0"/>
          <w:numId w:val="10"/>
        </w:numPr>
        <w:tabs>
          <w:tab w:val="left" w:pos="683"/>
        </w:tabs>
        <w:bidi w:val="0"/>
        <w:spacing w:line="290" w:lineRule="auto"/>
        <w:ind w:left="740" w:hanging="740"/>
        <w:jc w:val="both"/>
        <w:rPr>
          <w:lang w:val="en-AU"/>
        </w:rPr>
      </w:pPr>
      <w:r>
        <w:rPr>
          <w:lang w:val="en-US"/>
        </w:rPr>
        <w:t>The vendor undertakes that the stones he provides CD2U Company are natural diamonds and not laboratory diamonds. The vendor understands that in the event that a suit is brought against CD2U for non-reporting of laboratory diamonds – the sole responsibility will apply to the vendor.</w:t>
      </w:r>
    </w:p>
    <w:p w14:paraId="43D02E35" w14:textId="22D8CEA5" w:rsidR="00137989" w:rsidRPr="001726EF" w:rsidRDefault="00137989" w:rsidP="001726EF">
      <w:pPr>
        <w:pStyle w:val="BodyText"/>
        <w:numPr>
          <w:ilvl w:val="0"/>
          <w:numId w:val="10"/>
        </w:numPr>
        <w:tabs>
          <w:tab w:val="left" w:pos="683"/>
        </w:tabs>
        <w:bidi w:val="0"/>
        <w:spacing w:line="290" w:lineRule="auto"/>
        <w:ind w:left="740" w:hanging="740"/>
        <w:jc w:val="both"/>
        <w:rPr>
          <w:lang w:val="en-US"/>
        </w:rPr>
      </w:pPr>
      <w:r>
        <w:rPr>
          <w:lang w:val="en-US"/>
        </w:rPr>
        <w:t xml:space="preserve">The vendor undertakes </w:t>
      </w:r>
      <w:r w:rsidR="003D7EA4">
        <w:rPr>
          <w:lang w:val="en-US"/>
        </w:rPr>
        <w:t xml:space="preserve">that </w:t>
      </w:r>
      <w:r>
        <w:rPr>
          <w:lang w:val="en-US"/>
        </w:rPr>
        <w:t xml:space="preserve">the piece of jewelry or diamond that is marketed by CD2U Company shall not be marketed in parallel on another website </w:t>
      </w:r>
      <w:r w:rsidR="001A20A2">
        <w:rPr>
          <w:lang w:val="en-US"/>
        </w:rPr>
        <w:t>targeting</w:t>
      </w:r>
      <w:r>
        <w:rPr>
          <w:lang w:val="en-US"/>
        </w:rPr>
        <w:t xml:space="preserve"> the end-consumer (for this matter, Ali-Baba is considered a website addressing the end-consumer).</w:t>
      </w:r>
    </w:p>
    <w:p w14:paraId="248982AB" w14:textId="77777777" w:rsidR="00137989" w:rsidRPr="006F1368" w:rsidRDefault="00137989" w:rsidP="001726EF">
      <w:pPr>
        <w:pStyle w:val="BodyText"/>
        <w:numPr>
          <w:ilvl w:val="0"/>
          <w:numId w:val="10"/>
        </w:numPr>
        <w:tabs>
          <w:tab w:val="left" w:pos="683"/>
        </w:tabs>
        <w:bidi w:val="0"/>
        <w:spacing w:line="290" w:lineRule="auto"/>
        <w:ind w:left="657" w:hanging="657"/>
        <w:jc w:val="both"/>
        <w:rPr>
          <w:lang w:val="en-AU"/>
        </w:rPr>
      </w:pPr>
      <w:r>
        <w:rPr>
          <w:lang w:val="en-US"/>
        </w:rPr>
        <w:t>The vendor understands that the system for updating CD2U Company’s inventory can only update the system if the item is in inventory. The system does not automatically change prices according to a pricelist; in case of a price change – the vendor undertakes to inform CD2U.</w:t>
      </w:r>
    </w:p>
    <w:p w14:paraId="4A66A4AD" w14:textId="77777777" w:rsidR="00137989" w:rsidRPr="00137989" w:rsidRDefault="00137989" w:rsidP="001726EF">
      <w:pPr>
        <w:pStyle w:val="BodyText"/>
        <w:bidi w:val="0"/>
        <w:spacing w:line="290" w:lineRule="auto"/>
        <w:jc w:val="both"/>
        <w:rPr>
          <w:u w:val="single"/>
        </w:rPr>
      </w:pPr>
      <w:r>
        <w:rPr>
          <w:u w:val="single"/>
          <w:lang w:val="en-US"/>
        </w:rPr>
        <w:t>Pictures</w:t>
      </w:r>
    </w:p>
    <w:p w14:paraId="5EC8506C" w14:textId="77777777" w:rsidR="00137989" w:rsidRPr="001726EF" w:rsidRDefault="00137989" w:rsidP="001726EF">
      <w:pPr>
        <w:pStyle w:val="BodyText"/>
        <w:numPr>
          <w:ilvl w:val="0"/>
          <w:numId w:val="10"/>
        </w:numPr>
        <w:bidi w:val="0"/>
        <w:spacing w:line="290" w:lineRule="auto"/>
        <w:ind w:left="657" w:hanging="657"/>
        <w:jc w:val="both"/>
        <w:rPr>
          <w:lang w:val="en-US"/>
        </w:rPr>
      </w:pPr>
      <w:r>
        <w:rPr>
          <w:lang w:val="en-US"/>
        </w:rPr>
        <w:t>The vendor undertakes that he has full copyrights to all the pictures he supplies.</w:t>
      </w:r>
    </w:p>
    <w:p w14:paraId="41B9060A" w14:textId="2E631F2C" w:rsidR="00137989" w:rsidRPr="001726EF" w:rsidRDefault="00137989" w:rsidP="001726EF">
      <w:pPr>
        <w:pStyle w:val="BodyText"/>
        <w:numPr>
          <w:ilvl w:val="0"/>
          <w:numId w:val="10"/>
        </w:numPr>
        <w:tabs>
          <w:tab w:val="left" w:pos="683"/>
        </w:tabs>
        <w:bidi w:val="0"/>
        <w:spacing w:line="290" w:lineRule="auto"/>
        <w:ind w:left="657" w:hanging="657"/>
        <w:jc w:val="both"/>
        <w:rPr>
          <w:lang w:val="en-US"/>
        </w:rPr>
      </w:pPr>
      <w:r w:rsidRPr="001726EF">
        <w:rPr>
          <w:lang w:val="en-US"/>
        </w:rPr>
        <w:t>CD2U is authorized to use the pictures or videos it receives from the vendor for promoting and advertising the CaratsDirect2U brand</w:t>
      </w:r>
      <w:r w:rsidR="001726EF" w:rsidRPr="001726EF">
        <w:rPr>
          <w:lang w:val="en-US"/>
        </w:rPr>
        <w:t xml:space="preserve">, </w:t>
      </w:r>
      <w:r w:rsidRPr="001726EF">
        <w:rPr>
          <w:lang w:val="en-US"/>
        </w:rPr>
        <w:t>including using banners, articles and flyers.</w:t>
      </w:r>
    </w:p>
    <w:p w14:paraId="72299542" w14:textId="77777777" w:rsidR="00137989" w:rsidRPr="001726EF" w:rsidRDefault="00137989" w:rsidP="001726EF">
      <w:pPr>
        <w:pStyle w:val="BodyText"/>
        <w:numPr>
          <w:ilvl w:val="0"/>
          <w:numId w:val="10"/>
        </w:numPr>
        <w:tabs>
          <w:tab w:val="left" w:pos="683"/>
        </w:tabs>
        <w:bidi w:val="0"/>
        <w:spacing w:line="290" w:lineRule="auto"/>
        <w:ind w:left="657" w:hanging="657"/>
        <w:jc w:val="both"/>
        <w:rPr>
          <w:lang w:val="en-US"/>
        </w:rPr>
      </w:pPr>
      <w:r>
        <w:rPr>
          <w:lang w:val="en-US"/>
        </w:rPr>
        <w:t>At the vendor’s request, a picture included in CD2U Inc’s advertising material will be removed within reasonable time.</w:t>
      </w:r>
    </w:p>
    <w:p w14:paraId="404FE6D5" w14:textId="5CB2A941" w:rsidR="00137989" w:rsidRPr="001726EF" w:rsidRDefault="00137989" w:rsidP="001726EF">
      <w:pPr>
        <w:pStyle w:val="BodyText"/>
        <w:numPr>
          <w:ilvl w:val="0"/>
          <w:numId w:val="10"/>
        </w:numPr>
        <w:tabs>
          <w:tab w:val="left" w:pos="683"/>
        </w:tabs>
        <w:bidi w:val="0"/>
        <w:spacing w:line="290" w:lineRule="auto"/>
        <w:ind w:left="657" w:hanging="657"/>
        <w:jc w:val="both"/>
        <w:rPr>
          <w:lang w:val="en-US"/>
        </w:rPr>
      </w:pPr>
      <w:r>
        <w:rPr>
          <w:lang w:val="en-US"/>
        </w:rPr>
        <w:t xml:space="preserve">In the event that CD2U photographs these pictures – the vendor is not authorized to use the pictures; in the event that it is discovered that the vendor used pictures without being explicitly authorized </w:t>
      </w:r>
      <w:r w:rsidR="001726EF">
        <w:rPr>
          <w:lang w:val="en-US"/>
        </w:rPr>
        <w:t xml:space="preserve">to do so </w:t>
      </w:r>
      <w:r>
        <w:rPr>
          <w:lang w:val="en-US"/>
        </w:rPr>
        <w:t>in writing by CD2U – the cost for each picture used by the vendor (without obtaining authorization from CD2U) will be $100.</w:t>
      </w:r>
    </w:p>
    <w:p w14:paraId="54575BE9" w14:textId="77777777" w:rsidR="00137989" w:rsidRPr="001726EF" w:rsidRDefault="00137989" w:rsidP="001726EF">
      <w:pPr>
        <w:pStyle w:val="BodyText"/>
        <w:numPr>
          <w:ilvl w:val="0"/>
          <w:numId w:val="10"/>
        </w:numPr>
        <w:tabs>
          <w:tab w:val="left" w:pos="683"/>
        </w:tabs>
        <w:bidi w:val="0"/>
        <w:spacing w:line="290" w:lineRule="auto"/>
        <w:ind w:left="657" w:hanging="657"/>
        <w:jc w:val="both"/>
        <w:rPr>
          <w:lang w:val="en-US"/>
        </w:rPr>
      </w:pPr>
      <w:r>
        <w:rPr>
          <w:lang w:val="en-US"/>
        </w:rPr>
        <w:t>Pictures photographed in CD2U’s offices or with CD2U’s photography equipment will be its sole property.</w:t>
      </w:r>
    </w:p>
    <w:p w14:paraId="2D853729" w14:textId="5ED70D64" w:rsidR="00137989" w:rsidRDefault="00137989" w:rsidP="0056275A">
      <w:pPr>
        <w:pStyle w:val="BodyText"/>
        <w:bidi w:val="0"/>
        <w:spacing w:before="2160" w:line="295" w:lineRule="auto"/>
        <w:rPr>
          <w:sz w:val="19"/>
          <w:szCs w:val="19"/>
          <w:lang w:val="en-US"/>
        </w:rPr>
      </w:pPr>
      <w:r>
        <w:rPr>
          <w:lang w:val="en-US"/>
        </w:rPr>
        <w:t>I hereby confirm that I have read the terms and agree to all the terms written above regarding collaborative activity between my company and</w:t>
      </w:r>
      <w:r w:rsidR="0056275A">
        <w:rPr>
          <w:lang w:val="en-US"/>
        </w:rPr>
        <w:t xml:space="preserve"> </w:t>
      </w:r>
      <w:r>
        <w:rPr>
          <w:sz w:val="19"/>
          <w:szCs w:val="19"/>
          <w:lang w:val="en-US"/>
        </w:rPr>
        <w:t>CD2U Company.</w:t>
      </w:r>
    </w:p>
    <w:p w14:paraId="7B2999E1" w14:textId="060143CE" w:rsidR="0056275A" w:rsidRDefault="0056275A" w:rsidP="0056275A">
      <w:pPr>
        <w:pStyle w:val="BodyText"/>
        <w:bidi w:val="0"/>
        <w:spacing w:line="295" w:lineRule="auto"/>
        <w:rPr>
          <w:sz w:val="19"/>
          <w:szCs w:val="19"/>
          <w:lang w:val="en-US"/>
        </w:rPr>
      </w:pPr>
    </w:p>
    <w:p w14:paraId="7992DB12" w14:textId="77777777" w:rsidR="0056275A" w:rsidRPr="0056275A" w:rsidRDefault="0056275A" w:rsidP="0056275A">
      <w:pPr>
        <w:pStyle w:val="BodyText"/>
        <w:bidi w:val="0"/>
        <w:spacing w:line="295" w:lineRule="auto"/>
        <w:rPr>
          <w:sz w:val="19"/>
          <w:szCs w:val="19"/>
          <w:lang w:val="en-US"/>
        </w:rPr>
      </w:pPr>
    </w:p>
    <w:p w14:paraId="2EDABD53" w14:textId="1C97A5FE" w:rsidR="00032088" w:rsidRPr="006F1368" w:rsidRDefault="00137989" w:rsidP="001726EF">
      <w:pPr>
        <w:pStyle w:val="BodyText"/>
        <w:tabs>
          <w:tab w:val="left" w:pos="2131"/>
          <w:tab w:val="left" w:pos="4296"/>
          <w:tab w:val="left" w:pos="6456"/>
          <w:tab w:val="left" w:pos="7896"/>
        </w:tabs>
        <w:bidi w:val="0"/>
        <w:spacing w:line="295" w:lineRule="auto"/>
        <w:rPr>
          <w:lang w:val="en-AU"/>
        </w:rPr>
      </w:pPr>
      <w:r>
        <w:rPr>
          <w:u w:val="single"/>
          <w:lang w:val="en-US"/>
        </w:rPr>
        <w:t>Name</w:t>
      </w:r>
      <w:r>
        <w:rPr>
          <w:lang w:val="en-US"/>
        </w:rPr>
        <w:t>:</w:t>
      </w:r>
      <w:r>
        <w:rPr>
          <w:lang w:val="en-US"/>
        </w:rPr>
        <w:tab/>
      </w:r>
      <w:r>
        <w:rPr>
          <w:u w:val="single"/>
          <w:lang w:val="en-US"/>
        </w:rPr>
        <w:t>Company</w:t>
      </w:r>
      <w:r>
        <w:rPr>
          <w:lang w:val="en-US"/>
        </w:rPr>
        <w:t>:</w:t>
      </w:r>
      <w:r>
        <w:rPr>
          <w:lang w:val="en-US"/>
        </w:rPr>
        <w:tab/>
      </w:r>
      <w:r>
        <w:rPr>
          <w:u w:val="single"/>
          <w:lang w:val="en-US"/>
        </w:rPr>
        <w:t>Signature</w:t>
      </w:r>
      <w:r>
        <w:rPr>
          <w:lang w:val="en-US"/>
        </w:rPr>
        <w:t>:</w:t>
      </w:r>
      <w:r>
        <w:rPr>
          <w:lang w:val="en-US"/>
        </w:rPr>
        <w:tab/>
      </w:r>
      <w:r>
        <w:rPr>
          <w:u w:val="single"/>
          <w:lang w:val="en-US"/>
        </w:rPr>
        <w:t>Date</w:t>
      </w:r>
      <w:r>
        <w:rPr>
          <w:lang w:val="en-US"/>
        </w:rPr>
        <w:t>:</w:t>
      </w:r>
      <w:r>
        <w:rPr>
          <w:lang w:val="en-US"/>
        </w:rPr>
        <w:tab/>
      </w:r>
      <w:r>
        <w:rPr>
          <w:u w:val="single"/>
          <w:lang w:val="en-US"/>
        </w:rPr>
        <w:t>Stamp</w:t>
      </w:r>
      <w:r>
        <w:rPr>
          <w:lang w:val="en-US"/>
        </w:rPr>
        <w:t>:</w:t>
      </w:r>
    </w:p>
    <w:sectPr w:rsidR="00032088" w:rsidRPr="006F1368" w:rsidSect="00137989">
      <w:headerReference w:type="even" r:id="rId11"/>
      <w:headerReference w:type="default" r:id="rId12"/>
      <w:footerReference w:type="even" r:id="rId13"/>
      <w:footerReference w:type="default" r:id="rId14"/>
      <w:headerReference w:type="first" r:id="rId15"/>
      <w:footerReference w:type="first" r:id="rId16"/>
      <w:pgSz w:w="11907" w:h="16839"/>
      <w:pgMar w:top="1372" w:right="1389" w:bottom="1120" w:left="1131" w:header="944" w:footer="692" w:gutter="0"/>
      <w:pgNumType w:start="1"/>
      <w:cols w:space="720"/>
      <w:noEndnote/>
      <w:bidi/>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drian Sackson" w:date="2020-09-16T15:39:00Z" w:initials="AS">
    <w:p w14:paraId="2F2C7673" w14:textId="238ABF3C" w:rsidR="00B419C6" w:rsidRPr="00B419C6" w:rsidRDefault="00B419C6" w:rsidP="00B419C6">
      <w:pPr>
        <w:pStyle w:val="CommentText"/>
        <w:rPr>
          <w:rFonts w:cs="Times New Roman"/>
          <w:lang w:val="en-AU" w:bidi="ar-EG"/>
        </w:rPr>
      </w:pPr>
      <w:r>
        <w:rPr>
          <w:rStyle w:val="CommentReference"/>
        </w:rPr>
        <w:annotationRef/>
      </w:r>
      <w:r>
        <w:rPr>
          <w:rFonts w:cs="Times New Roman" w:hint="cs"/>
          <w:rtl/>
        </w:rPr>
        <w:t>ממצאים</w:t>
      </w:r>
      <w:r>
        <w:rPr>
          <w:rFonts w:cs="Times New Roman"/>
          <w:lang w:val="en-AU" w:bidi="ar-EG"/>
        </w:rPr>
        <w:t>. We were uncertain of your precise meaning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F2C76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CB01F" w16cex:dateUtc="2020-09-16T1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2C7673" w16cid:durableId="230CB0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58098" w14:textId="77777777" w:rsidR="00745712" w:rsidRDefault="00745712">
      <w:r>
        <w:separator/>
      </w:r>
    </w:p>
  </w:endnote>
  <w:endnote w:type="continuationSeparator" w:id="0">
    <w:p w14:paraId="6DCF6E82" w14:textId="77777777" w:rsidR="00745712" w:rsidRDefault="0074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jaVu Sans">
    <w:altName w:val="Sylfaen"/>
    <w:charset w:val="00"/>
    <w:family w:val="swiss"/>
    <w:pitch w:val="variable"/>
    <w:sig w:usb0="E7002EFF" w:usb1="D200FDFF" w:usb2="0A24602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5C899" w14:textId="77777777" w:rsidR="00137989" w:rsidRDefault="001379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2F156" w14:textId="77777777" w:rsidR="00137989" w:rsidRDefault="001379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597B6" w14:textId="77777777" w:rsidR="00137989" w:rsidRDefault="00137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F2FB2" w14:textId="77777777" w:rsidR="00745712" w:rsidRDefault="00745712">
      <w:pPr>
        <w:bidi/>
      </w:pPr>
    </w:p>
  </w:footnote>
  <w:footnote w:type="continuationSeparator" w:id="0">
    <w:p w14:paraId="44BCD02C" w14:textId="77777777" w:rsidR="00745712" w:rsidRDefault="00745712">
      <w:pPr>
        <w:bid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93A0A" w14:textId="77777777" w:rsidR="00137989" w:rsidRDefault="001379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CF2A6" w14:textId="77777777" w:rsidR="00137989" w:rsidRDefault="001379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AD843" w14:textId="77777777" w:rsidR="00137989" w:rsidRDefault="00137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361F0"/>
    <w:multiLevelType w:val="multilevel"/>
    <w:tmpl w:val="F90273D8"/>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shd w:val="clear" w:color="auto" w:fill="auto"/>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70360A"/>
    <w:multiLevelType w:val="multilevel"/>
    <w:tmpl w:val="94BC6D0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227CA4"/>
    <w:multiLevelType w:val="multilevel"/>
    <w:tmpl w:val="EAEAD002"/>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shd w:val="clear" w:color="auto" w:fill="auto"/>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A513806"/>
    <w:multiLevelType w:val="multilevel"/>
    <w:tmpl w:val="E0FA6E18"/>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shd w:val="clear" w:color="auto" w:fill="auto"/>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7DD7226"/>
    <w:multiLevelType w:val="hybridMultilevel"/>
    <w:tmpl w:val="F51CF966"/>
    <w:lvl w:ilvl="0" w:tplc="20000001">
      <w:start w:val="1"/>
      <w:numFmt w:val="bullet"/>
      <w:lvlText w:val=""/>
      <w:lvlJc w:val="left"/>
      <w:pPr>
        <w:ind w:left="720" w:hanging="360"/>
      </w:pPr>
      <w:rPr>
        <w:rFonts w:ascii="Symbol" w:hAnsi="Symbol" w:hint="default"/>
      </w:rPr>
    </w:lvl>
    <w:lvl w:ilvl="1" w:tplc="D7C4F8B8">
      <w:numFmt w:val="bullet"/>
      <w:lvlText w:val="•"/>
      <w:lvlJc w:val="left"/>
      <w:pPr>
        <w:ind w:left="1440" w:hanging="360"/>
      </w:pPr>
      <w:rPr>
        <w:rFonts w:ascii="Arial" w:eastAsia="Arial" w:hAnsi="Arial" w:cs="Aria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877086D"/>
    <w:multiLevelType w:val="multilevel"/>
    <w:tmpl w:val="EE5ABA7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3E4068"/>
    <w:multiLevelType w:val="multilevel"/>
    <w:tmpl w:val="4FE67A1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e-IL" w:eastAsia="he-IL" w:bidi="he-IL"/>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01507F"/>
    <w:multiLevelType w:val="multilevel"/>
    <w:tmpl w:val="BA64024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e-IL" w:eastAsia="he-IL" w:bidi="he-IL"/>
      </w:rPr>
    </w:lvl>
    <w:lvl w:ilvl="1">
      <w:start w:val="1"/>
      <w:numFmt w:val="bullet"/>
      <w:lvlText w:val=""/>
      <w:lvlJc w:val="left"/>
      <w:rPr>
        <w:rFonts w:ascii="Arial" w:hAnsi="Arial" w:cs="Arial" w:hint="default"/>
        <w:b w:val="0"/>
        <w:bCs w:val="0"/>
        <w:i w:val="0"/>
        <w:iCs w:val="0"/>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C06396B"/>
    <w:multiLevelType w:val="multilevel"/>
    <w:tmpl w:val="1038767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E9E48E4"/>
    <w:multiLevelType w:val="multilevel"/>
    <w:tmpl w:val="EE5ABA7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8"/>
  </w:num>
  <w:num w:numId="4">
    <w:abstractNumId w:val="4"/>
  </w:num>
  <w:num w:numId="5">
    <w:abstractNumId w:val="9"/>
  </w:num>
  <w:num w:numId="6">
    <w:abstractNumId w:val="2"/>
  </w:num>
  <w:num w:numId="7">
    <w:abstractNumId w:val="6"/>
  </w:num>
  <w:num w:numId="8">
    <w:abstractNumId w:val="7"/>
  </w:num>
  <w:num w:numId="9">
    <w:abstractNumId w:val="3"/>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displayBackgroundShape/>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088"/>
    <w:rsid w:val="00002291"/>
    <w:rsid w:val="00032088"/>
    <w:rsid w:val="00137989"/>
    <w:rsid w:val="001726EF"/>
    <w:rsid w:val="001A20A2"/>
    <w:rsid w:val="001F4F09"/>
    <w:rsid w:val="002841DC"/>
    <w:rsid w:val="003D0213"/>
    <w:rsid w:val="003D7EA4"/>
    <w:rsid w:val="00517115"/>
    <w:rsid w:val="0056275A"/>
    <w:rsid w:val="00682E41"/>
    <w:rsid w:val="006F1368"/>
    <w:rsid w:val="00704510"/>
    <w:rsid w:val="00745712"/>
    <w:rsid w:val="007A4B5B"/>
    <w:rsid w:val="009C70BC"/>
    <w:rsid w:val="00B419C6"/>
    <w:rsid w:val="00CF70FE"/>
    <w:rsid w:val="00E12093"/>
    <w:rsid w:val="00E6043E"/>
    <w:rsid w:val="00F55011"/>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39350"/>
  <w15:docId w15:val="{54BE8EC3-4CDA-4364-B1A2-4A2DBC056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DejaVu Sans" w:eastAsia="DejaVu Sans" w:hAnsi="DejaVu Sans" w:cs="DejaVu Sans"/>
        <w:sz w:val="24"/>
        <w:szCs w:val="24"/>
        <w:lang w:val="he-IL" w:eastAsia="he-IL" w:bidi="he-I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20"/>
      <w:szCs w:val="20"/>
      <w:u w:val="none"/>
    </w:rPr>
  </w:style>
  <w:style w:type="character" w:customStyle="1" w:styleId="BodyTextChar">
    <w:name w:val="Body Text Char"/>
    <w:basedOn w:val="DefaultParagraphFont"/>
    <w:link w:val="BodyText"/>
    <w:rPr>
      <w:rFonts w:ascii="Arial" w:eastAsia="Arial" w:hAnsi="Arial" w:cs="Arial"/>
      <w:b w:val="0"/>
      <w:bCs w:val="0"/>
      <w:i w:val="0"/>
      <w:iCs w:val="0"/>
      <w:smallCaps w:val="0"/>
      <w:strike w:val="0"/>
      <w:sz w:val="20"/>
      <w:szCs w:val="20"/>
      <w:u w:val="none"/>
    </w:rPr>
  </w:style>
  <w:style w:type="paragraph" w:customStyle="1" w:styleId="Bodytext20">
    <w:name w:val="Body text (2)"/>
    <w:basedOn w:val="Normal"/>
    <w:link w:val="Bodytext2"/>
    <w:pPr>
      <w:spacing w:after="30"/>
      <w:jc w:val="right"/>
    </w:pPr>
    <w:rPr>
      <w:rFonts w:ascii="Arial" w:eastAsia="Arial" w:hAnsi="Arial" w:cs="Arial"/>
      <w:sz w:val="20"/>
      <w:szCs w:val="20"/>
    </w:rPr>
  </w:style>
  <w:style w:type="paragraph" w:styleId="BodyText">
    <w:name w:val="Body Text"/>
    <w:basedOn w:val="Normal"/>
    <w:link w:val="BodyTextChar"/>
    <w:qFormat/>
    <w:pPr>
      <w:bidi/>
      <w:spacing w:line="288" w:lineRule="auto"/>
    </w:pPr>
    <w:rPr>
      <w:rFonts w:ascii="Arial" w:eastAsia="Arial" w:hAnsi="Arial" w:cs="Arial"/>
      <w:sz w:val="20"/>
      <w:szCs w:val="20"/>
    </w:rPr>
  </w:style>
  <w:style w:type="paragraph" w:styleId="Header">
    <w:name w:val="header"/>
    <w:basedOn w:val="Normal"/>
    <w:link w:val="HeaderChar"/>
    <w:uiPriority w:val="99"/>
    <w:unhideWhenUsed/>
    <w:rsid w:val="00137989"/>
    <w:pPr>
      <w:tabs>
        <w:tab w:val="center" w:pos="4153"/>
        <w:tab w:val="right" w:pos="8306"/>
      </w:tabs>
    </w:pPr>
  </w:style>
  <w:style w:type="character" w:customStyle="1" w:styleId="HeaderChar">
    <w:name w:val="Header Char"/>
    <w:basedOn w:val="DefaultParagraphFont"/>
    <w:link w:val="Header"/>
    <w:uiPriority w:val="99"/>
    <w:rsid w:val="00137989"/>
    <w:rPr>
      <w:color w:val="000000"/>
    </w:rPr>
  </w:style>
  <w:style w:type="paragraph" w:styleId="Footer">
    <w:name w:val="footer"/>
    <w:basedOn w:val="Normal"/>
    <w:link w:val="FooterChar"/>
    <w:uiPriority w:val="99"/>
    <w:unhideWhenUsed/>
    <w:rsid w:val="00137989"/>
    <w:pPr>
      <w:tabs>
        <w:tab w:val="center" w:pos="4153"/>
        <w:tab w:val="right" w:pos="8306"/>
      </w:tabs>
    </w:pPr>
  </w:style>
  <w:style w:type="character" w:customStyle="1" w:styleId="FooterChar">
    <w:name w:val="Footer Char"/>
    <w:basedOn w:val="DefaultParagraphFont"/>
    <w:link w:val="Footer"/>
    <w:uiPriority w:val="99"/>
    <w:rsid w:val="00137989"/>
    <w:rPr>
      <w:color w:val="000000"/>
    </w:rPr>
  </w:style>
  <w:style w:type="character" w:styleId="CommentReference">
    <w:name w:val="annotation reference"/>
    <w:basedOn w:val="DefaultParagraphFont"/>
    <w:uiPriority w:val="99"/>
    <w:semiHidden/>
    <w:unhideWhenUsed/>
    <w:rsid w:val="00B419C6"/>
    <w:rPr>
      <w:sz w:val="16"/>
      <w:szCs w:val="16"/>
    </w:rPr>
  </w:style>
  <w:style w:type="paragraph" w:styleId="CommentText">
    <w:name w:val="annotation text"/>
    <w:basedOn w:val="Normal"/>
    <w:link w:val="CommentTextChar"/>
    <w:uiPriority w:val="99"/>
    <w:semiHidden/>
    <w:unhideWhenUsed/>
    <w:rsid w:val="00B419C6"/>
    <w:rPr>
      <w:sz w:val="20"/>
      <w:szCs w:val="20"/>
    </w:rPr>
  </w:style>
  <w:style w:type="character" w:customStyle="1" w:styleId="CommentTextChar">
    <w:name w:val="Comment Text Char"/>
    <w:basedOn w:val="DefaultParagraphFont"/>
    <w:link w:val="CommentText"/>
    <w:uiPriority w:val="99"/>
    <w:semiHidden/>
    <w:rsid w:val="00B419C6"/>
    <w:rPr>
      <w:color w:val="000000"/>
      <w:sz w:val="20"/>
      <w:szCs w:val="20"/>
    </w:rPr>
  </w:style>
  <w:style w:type="paragraph" w:styleId="CommentSubject">
    <w:name w:val="annotation subject"/>
    <w:basedOn w:val="CommentText"/>
    <w:next w:val="CommentText"/>
    <w:link w:val="CommentSubjectChar"/>
    <w:uiPriority w:val="99"/>
    <w:semiHidden/>
    <w:unhideWhenUsed/>
    <w:rsid w:val="00B419C6"/>
    <w:rPr>
      <w:b/>
      <w:bCs/>
    </w:rPr>
  </w:style>
  <w:style w:type="character" w:customStyle="1" w:styleId="CommentSubjectChar">
    <w:name w:val="Comment Subject Char"/>
    <w:basedOn w:val="CommentTextChar"/>
    <w:link w:val="CommentSubject"/>
    <w:uiPriority w:val="99"/>
    <w:semiHidden/>
    <w:rsid w:val="00B419C6"/>
    <w:rPr>
      <w:b/>
      <w:bCs/>
      <w:color w:val="000000"/>
      <w:sz w:val="20"/>
      <w:szCs w:val="20"/>
    </w:rPr>
  </w:style>
  <w:style w:type="paragraph" w:styleId="BalloonText">
    <w:name w:val="Balloon Text"/>
    <w:basedOn w:val="Normal"/>
    <w:link w:val="BalloonTextChar"/>
    <w:uiPriority w:val="99"/>
    <w:semiHidden/>
    <w:unhideWhenUsed/>
    <w:rsid w:val="00B419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9C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969</Words>
  <Characters>4511</Characters>
  <Application>Microsoft Office Word</Application>
  <DocSecurity>0</DocSecurity>
  <Lines>121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dc:creator>
  <cp:keywords/>
  <cp:lastModifiedBy>Adrian Sackson</cp:lastModifiedBy>
  <cp:revision>16</cp:revision>
  <dcterms:created xsi:type="dcterms:W3CDTF">2020-09-14T18:42:00Z</dcterms:created>
  <dcterms:modified xsi:type="dcterms:W3CDTF">2020-09-16T12:39:00Z</dcterms:modified>
</cp:coreProperties>
</file>