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CB1B0" w14:textId="211133D0" w:rsidR="001C13B3" w:rsidRPr="001C13B3" w:rsidRDefault="001C13B3" w:rsidP="005F3EAE">
      <w:pPr>
        <w:jc w:val="center"/>
        <w:rPr>
          <w:b/>
          <w:bCs/>
          <w:sz w:val="24"/>
          <w:szCs w:val="24"/>
          <w:u w:val="single"/>
        </w:rPr>
      </w:pPr>
      <w:r w:rsidRPr="001C13B3">
        <w:rPr>
          <w:b/>
          <w:bCs/>
          <w:sz w:val="24"/>
          <w:szCs w:val="24"/>
          <w:u w:val="single"/>
        </w:rPr>
        <w:t>Mandatory Pension [Consolidated Version] Extension Order 2011</w:t>
      </w:r>
    </w:p>
    <w:p w14:paraId="2BFD806A" w14:textId="6E736213" w:rsidR="001C13B3" w:rsidRDefault="001C13B3" w:rsidP="005F3EAE">
      <w:pPr>
        <w:spacing w:after="0"/>
        <w:jc w:val="center"/>
      </w:pPr>
      <w:r w:rsidRPr="001C13B3">
        <w:rPr>
          <w:u w:val="single"/>
        </w:rPr>
        <w:t>Mandatory Pension [Consolidated Version] Extension Order</w:t>
      </w:r>
      <w:r>
        <w:rPr>
          <w:rStyle w:val="FootnoteReference"/>
        </w:rPr>
        <w:footnoteReference w:id="1"/>
      </w:r>
    </w:p>
    <w:p w14:paraId="12345598" w14:textId="22BBE646" w:rsidR="001C13B3" w:rsidRDefault="001C13B3" w:rsidP="005F3EAE">
      <w:pPr>
        <w:jc w:val="center"/>
      </w:pPr>
      <w:r>
        <w:t>Under the Collective Agreements Act 1957-5717</w:t>
      </w:r>
    </w:p>
    <w:p w14:paraId="408FA4CF" w14:textId="582CAF8D" w:rsidR="001C13B3" w:rsidRDefault="001C13B3" w:rsidP="0001127A">
      <w:pPr>
        <w:jc w:val="both"/>
      </w:pPr>
      <w:r>
        <w:t xml:space="preserve">By virtue of my authority under section 25 of the Collective Agreements Act 1957-5717 (hereafter - the Act), I order that the provisions of the general </w:t>
      </w:r>
      <w:r w:rsidR="0001127A">
        <w:t xml:space="preserve">(framework) </w:t>
      </w:r>
      <w:r>
        <w:t xml:space="preserve">collective agreement </w:t>
      </w:r>
      <w:r w:rsidR="0001127A">
        <w:t xml:space="preserve">for </w:t>
      </w:r>
      <w:r>
        <w:t>comprehensive pension insurance in the marketplace between the Coordinating Bureau of Economic Organisations on behalf of the organisations listed below</w:t>
      </w:r>
      <w:r>
        <w:rPr>
          <w:rStyle w:val="FootnoteReference"/>
        </w:rPr>
        <w:footnoteReference w:id="2"/>
      </w:r>
      <w:r>
        <w:t xml:space="preserve"> and the General Federation of Labour (Hebrew – </w:t>
      </w:r>
      <w:proofErr w:type="spellStart"/>
      <w:r w:rsidRPr="005F3EAE">
        <w:rPr>
          <w:i/>
          <w:iCs/>
        </w:rPr>
        <w:t>Histadrut</w:t>
      </w:r>
      <w:proofErr w:type="spellEnd"/>
      <w:r>
        <w:t xml:space="preserve">), </w:t>
      </w:r>
      <w:r w:rsidR="0001127A">
        <w:t>t</w:t>
      </w:r>
      <w:r>
        <w:t>he Professional Union Division and the Pension, Insurance and Capital Markets Department, from 30</w:t>
      </w:r>
      <w:r w:rsidRPr="001C13B3">
        <w:rPr>
          <w:vertAlign w:val="superscript"/>
        </w:rPr>
        <w:t>th</w:t>
      </w:r>
      <w:r>
        <w:t xml:space="preserve"> </w:t>
      </w:r>
      <w:r w:rsidRPr="0001127A">
        <w:rPr>
          <w:i/>
          <w:iCs/>
        </w:rPr>
        <w:t>Adar</w:t>
      </w:r>
      <w:r>
        <w:t xml:space="preserve"> </w:t>
      </w:r>
      <w:proofErr w:type="spellStart"/>
      <w:r w:rsidRPr="0001127A">
        <w:rPr>
          <w:i/>
          <w:iCs/>
        </w:rPr>
        <w:t>A</w:t>
      </w:r>
      <w:r w:rsidR="0001127A" w:rsidRPr="0001127A">
        <w:rPr>
          <w:i/>
          <w:iCs/>
        </w:rPr>
        <w:t>lef</w:t>
      </w:r>
      <w:proofErr w:type="spellEnd"/>
      <w:r>
        <w:t xml:space="preserve"> 5771 (6 Mar 2011), numbered 7021/2011 </w:t>
      </w:r>
      <w:r w:rsidR="0001127A">
        <w:t>o</w:t>
      </w:r>
      <w:r>
        <w:t xml:space="preserve">n the register of collective agreements, as detailed in the Schedule, </w:t>
      </w:r>
      <w:r w:rsidR="0001127A">
        <w:t>be extended</w:t>
      </w:r>
      <w:r w:rsidR="0001127A">
        <w:t xml:space="preserve">, </w:t>
      </w:r>
      <w:r>
        <w:t>and that the ex</w:t>
      </w:r>
      <w:r w:rsidR="0001127A">
        <w:t>ten</w:t>
      </w:r>
      <w:r>
        <w:t xml:space="preserve">ded </w:t>
      </w:r>
      <w:r w:rsidR="0001127A">
        <w:t xml:space="preserve">provisions </w:t>
      </w:r>
      <w:r>
        <w:t>will apply to all employees and employers in Israel.</w:t>
      </w:r>
    </w:p>
    <w:p w14:paraId="31CAC400" w14:textId="1B6AC673" w:rsidR="001C13B3" w:rsidRDefault="001C13B3" w:rsidP="001C13B3">
      <w:pPr>
        <w:jc w:val="both"/>
      </w:pPr>
      <w:r>
        <w:t xml:space="preserve">I further notify in accordance with Section 31 of the Act that as of the date of publication of this Order – the Extension Order for Comprehensive Pension Insurance in the Marketplace is </w:t>
      </w:r>
      <w:r w:rsidR="0001127A">
        <w:t>revoked</w:t>
      </w:r>
      <w:r>
        <w:t>.</w:t>
      </w:r>
    </w:p>
    <w:p w14:paraId="13221651" w14:textId="31A0298B" w:rsidR="001C13B3" w:rsidRPr="001C13B3" w:rsidRDefault="001C13B3" w:rsidP="001C13B3">
      <w:pPr>
        <w:jc w:val="center"/>
        <w:rPr>
          <w:b/>
          <w:bCs/>
        </w:rPr>
      </w:pPr>
      <w:r w:rsidRPr="001C13B3">
        <w:rPr>
          <w:b/>
          <w:bCs/>
        </w:rPr>
        <w:t>Schedule</w:t>
      </w:r>
    </w:p>
    <w:p w14:paraId="6866841F" w14:textId="7504D74E" w:rsidR="001C13B3" w:rsidRDefault="001C13B3" w:rsidP="001C13B3">
      <w:pPr>
        <w:jc w:val="center"/>
      </w:pPr>
      <w:r>
        <w:t>The Extended Provisions</w:t>
      </w:r>
    </w:p>
    <w:p w14:paraId="55C4B5CF" w14:textId="4BE8EA39" w:rsidR="001C13B3" w:rsidRDefault="001C13B3" w:rsidP="001C13B3">
      <w:pPr>
        <w:jc w:val="both"/>
      </w:pPr>
      <w:r>
        <w:t>Number of Clause</w:t>
      </w:r>
    </w:p>
    <w:p w14:paraId="416E6E0A" w14:textId="4512E958" w:rsidR="001C13B3" w:rsidRDefault="001C13B3" w:rsidP="001C13B3">
      <w:pPr>
        <w:jc w:val="both"/>
      </w:pPr>
      <w:r>
        <w:t>In Agreement</w:t>
      </w:r>
    </w:p>
    <w:p w14:paraId="018EB974" w14:textId="13D925AE" w:rsidR="001C13B3" w:rsidRPr="00A115C3" w:rsidRDefault="001C13B3" w:rsidP="001C13B3">
      <w:pPr>
        <w:jc w:val="both"/>
        <w:rPr>
          <w:b/>
          <w:bCs/>
        </w:rPr>
      </w:pPr>
      <w:r w:rsidRPr="00A115C3">
        <w:rPr>
          <w:b/>
          <w:bCs/>
        </w:rPr>
        <w:t>Definitions</w:t>
      </w:r>
    </w:p>
    <w:p w14:paraId="0C872FE6" w14:textId="41682827" w:rsidR="001C13B3" w:rsidRPr="003F6590" w:rsidRDefault="001C13B3" w:rsidP="001C13B3">
      <w:pPr>
        <w:jc w:val="both"/>
        <w:rPr>
          <w:b/>
          <w:bCs/>
        </w:rPr>
      </w:pPr>
      <w:r>
        <w:t>2. A.</w:t>
      </w:r>
      <w:r>
        <w:tab/>
      </w:r>
      <w:r w:rsidRPr="003F6590">
        <w:rPr>
          <w:b/>
          <w:bCs/>
        </w:rPr>
        <w:t>The Effective Date</w:t>
      </w:r>
    </w:p>
    <w:p w14:paraId="53D93510" w14:textId="021903F5" w:rsidR="001C13B3" w:rsidRDefault="001C13B3" w:rsidP="001C13B3">
      <w:pPr>
        <w:ind w:left="720"/>
        <w:jc w:val="both"/>
      </w:pPr>
      <w:r>
        <w:t xml:space="preserve">The Effective Date is January </w:t>
      </w:r>
      <w:r w:rsidR="0001127A">
        <w:t>1</w:t>
      </w:r>
      <w:r w:rsidR="0001127A">
        <w:t xml:space="preserve">, </w:t>
      </w:r>
      <w:r>
        <w:t>2008, or the date on which the employee began working for the employer, whichever is later.</w:t>
      </w:r>
    </w:p>
    <w:p w14:paraId="3B32EA97" w14:textId="41AF041F" w:rsidR="001C13B3" w:rsidRDefault="001C13B3" w:rsidP="001C13B3">
      <w:pPr>
        <w:jc w:val="both"/>
      </w:pPr>
      <w:r>
        <w:t>B.</w:t>
      </w:r>
      <w:r>
        <w:tab/>
      </w:r>
      <w:r w:rsidRPr="003F6590">
        <w:rPr>
          <w:b/>
          <w:bCs/>
        </w:rPr>
        <w:t>Average Salary in the Marketplace</w:t>
      </w:r>
    </w:p>
    <w:p w14:paraId="723DE888" w14:textId="323A19F4" w:rsidR="001C13B3" w:rsidRDefault="001C13B3" w:rsidP="001C13B3">
      <w:pPr>
        <w:ind w:left="720"/>
        <w:jc w:val="both"/>
      </w:pPr>
      <w:r>
        <w:t>The Average Salary in Marketplace, in accordance with the manner of calculation outlined in Section 2 of the National Insurance [Consolidated Version] Act 1995-5755, as updated from time to time.</w:t>
      </w:r>
    </w:p>
    <w:p w14:paraId="7A026F24" w14:textId="720727C3" w:rsidR="001C13B3" w:rsidRDefault="001C13B3" w:rsidP="001C13B3">
      <w:pPr>
        <w:jc w:val="both"/>
      </w:pPr>
      <w:r>
        <w:t>C.</w:t>
      </w:r>
      <w:r>
        <w:tab/>
      </w:r>
      <w:r w:rsidR="003F6590" w:rsidRPr="003F6590">
        <w:rPr>
          <w:b/>
          <w:bCs/>
        </w:rPr>
        <w:t>Severance Pay Act and/or the Act</w:t>
      </w:r>
    </w:p>
    <w:p w14:paraId="178D4733" w14:textId="1C141F82" w:rsidR="003F6590" w:rsidRDefault="003F6590" w:rsidP="001C13B3">
      <w:pPr>
        <w:jc w:val="both"/>
      </w:pPr>
      <w:r>
        <w:tab/>
        <w:t>The Severance Pay Act 1963-5723</w:t>
      </w:r>
    </w:p>
    <w:p w14:paraId="4B097586" w14:textId="0D13190B" w:rsidR="003F6590" w:rsidRPr="003F6590" w:rsidRDefault="003F6590" w:rsidP="001C13B3">
      <w:pPr>
        <w:jc w:val="both"/>
        <w:rPr>
          <w:b/>
          <w:bCs/>
        </w:rPr>
      </w:pPr>
      <w:r>
        <w:t>D.</w:t>
      </w:r>
      <w:r>
        <w:tab/>
      </w:r>
      <w:r w:rsidRPr="003F6590">
        <w:rPr>
          <w:b/>
          <w:bCs/>
        </w:rPr>
        <w:t>New Comprehensive Pension Fund</w:t>
      </w:r>
    </w:p>
    <w:p w14:paraId="0B050D24" w14:textId="2542CAED" w:rsidR="003F6590" w:rsidRDefault="003F6590" w:rsidP="003F6590">
      <w:pPr>
        <w:ind w:left="720"/>
        <w:jc w:val="both"/>
      </w:pPr>
      <w:r>
        <w:lastRenderedPageBreak/>
        <w:t xml:space="preserve">A New Comprehensive Pension Fund is a pension fund that has obtained the approval of the Commissioner for Capital Markets, Insurance and Savings in the Ministry of Finance, and certification as a </w:t>
      </w:r>
      <w:r w:rsidR="0001127A">
        <w:t>stipend</w:t>
      </w:r>
      <w:r w:rsidR="0001127A">
        <w:t xml:space="preserve"> </w:t>
      </w:r>
      <w:r>
        <w:t>provident fund under the Income Tax (Rules for Approving and Managing Provident Fund</w:t>
      </w:r>
      <w:r w:rsidR="0001127A">
        <w:t>s</w:t>
      </w:r>
      <w:r>
        <w:t>) Regulations 1964-5724, after the 29</w:t>
      </w:r>
      <w:r w:rsidRPr="003F6590">
        <w:rPr>
          <w:vertAlign w:val="superscript"/>
        </w:rPr>
        <w:t>th</w:t>
      </w:r>
      <w:r>
        <w:t xml:space="preserve"> of </w:t>
      </w:r>
      <w:r w:rsidRPr="003F6590">
        <w:rPr>
          <w:i/>
          <w:iCs/>
        </w:rPr>
        <w:t>Tevet</w:t>
      </w:r>
      <w:r>
        <w:t xml:space="preserve"> 5755 (1</w:t>
      </w:r>
      <w:r w:rsidRPr="003F6590">
        <w:rPr>
          <w:vertAlign w:val="superscript"/>
        </w:rPr>
        <w:t>st</w:t>
      </w:r>
      <w:r>
        <w:t xml:space="preserve"> January 1995), and which gives a planholder, under its regulations, a right to an old age pension, a dependant’s pension </w:t>
      </w:r>
      <w:r w:rsidR="0001127A">
        <w:t>or</w:t>
      </w:r>
      <w:r>
        <w:t xml:space="preserve"> a disability stipend.</w:t>
      </w:r>
    </w:p>
    <w:p w14:paraId="7A47BF26" w14:textId="1E3376B8" w:rsidR="003F6590" w:rsidRDefault="003F6590" w:rsidP="003F6590">
      <w:pPr>
        <w:jc w:val="both"/>
      </w:pPr>
      <w:r>
        <w:t>E.</w:t>
      </w:r>
      <w:r>
        <w:tab/>
      </w:r>
      <w:r w:rsidRPr="003F6590">
        <w:rPr>
          <w:b/>
          <w:bCs/>
        </w:rPr>
        <w:t>Old Pension Fund</w:t>
      </w:r>
    </w:p>
    <w:p w14:paraId="375E3268" w14:textId="6C1CFB43" w:rsidR="003F6590" w:rsidRDefault="003F6590" w:rsidP="003F6590">
      <w:pPr>
        <w:ind w:left="720"/>
        <w:jc w:val="both"/>
      </w:pPr>
      <w:r>
        <w:t>An Old Pension Fund is a stipend provident fund that is not an insurance fund, initially approved before the 29</w:t>
      </w:r>
      <w:r w:rsidRPr="003F6590">
        <w:rPr>
          <w:vertAlign w:val="superscript"/>
        </w:rPr>
        <w:t>th</w:t>
      </w:r>
      <w:r>
        <w:t xml:space="preserve"> of </w:t>
      </w:r>
      <w:r w:rsidRPr="003F6590">
        <w:rPr>
          <w:i/>
          <w:iCs/>
        </w:rPr>
        <w:t>Tevet</w:t>
      </w:r>
      <w:r>
        <w:t xml:space="preserve"> 5755 (1</w:t>
      </w:r>
      <w:r w:rsidRPr="003F6590">
        <w:rPr>
          <w:vertAlign w:val="superscript"/>
        </w:rPr>
        <w:t>st</w:t>
      </w:r>
      <w:r>
        <w:t xml:space="preserve"> January 1995).</w:t>
      </w:r>
    </w:p>
    <w:p w14:paraId="2EE02FF4" w14:textId="2B987D9B" w:rsidR="003F6590" w:rsidRDefault="003F6590" w:rsidP="003F6590">
      <w:pPr>
        <w:jc w:val="both"/>
      </w:pPr>
      <w:r>
        <w:t>F.</w:t>
      </w:r>
      <w:r>
        <w:tab/>
      </w:r>
      <w:r w:rsidRPr="003F6590">
        <w:rPr>
          <w:b/>
          <w:bCs/>
        </w:rPr>
        <w:t>Pension Fund</w:t>
      </w:r>
    </w:p>
    <w:p w14:paraId="141778A8" w14:textId="6A592896" w:rsidR="003F6590" w:rsidRDefault="003F6590" w:rsidP="003F6590">
      <w:pPr>
        <w:jc w:val="both"/>
      </w:pPr>
      <w:r>
        <w:tab/>
      </w:r>
      <w:bookmarkStart w:id="0" w:name="_Hlk525646028"/>
      <w:r>
        <w:t>A New Pension Fund, an Old Pension Fund, all as applicable.</w:t>
      </w:r>
    </w:p>
    <w:p w14:paraId="7976F13C" w14:textId="1F81CAD9" w:rsidR="003F6590" w:rsidRPr="003F6590" w:rsidRDefault="003F6590" w:rsidP="003F6590">
      <w:pPr>
        <w:jc w:val="both"/>
        <w:rPr>
          <w:b/>
          <w:bCs/>
        </w:rPr>
      </w:pPr>
      <w:r>
        <w:t>G.</w:t>
      </w:r>
      <w:r>
        <w:tab/>
      </w:r>
      <w:r w:rsidRPr="003F6590">
        <w:rPr>
          <w:b/>
          <w:bCs/>
        </w:rPr>
        <w:t>Provident Fund</w:t>
      </w:r>
    </w:p>
    <w:p w14:paraId="514FB5CE" w14:textId="6F695992" w:rsidR="003F6590" w:rsidRDefault="003F6590" w:rsidP="003F6590">
      <w:pPr>
        <w:jc w:val="both"/>
      </w:pPr>
      <w:r>
        <w:tab/>
        <w:t>As defined in the Supervision of Financial Services (Provident Funds) Act 2005-5765.</w:t>
      </w:r>
      <w:bookmarkEnd w:id="0"/>
    </w:p>
    <w:p w14:paraId="379E2010" w14:textId="669B2151" w:rsidR="003F6590" w:rsidRDefault="003F6590" w:rsidP="003F6590">
      <w:pPr>
        <w:jc w:val="both"/>
      </w:pPr>
      <w:r>
        <w:t>H.</w:t>
      </w:r>
      <w:r>
        <w:tab/>
      </w:r>
      <w:r w:rsidRPr="003F6590">
        <w:rPr>
          <w:b/>
          <w:bCs/>
        </w:rPr>
        <w:t>An Insurance Fund</w:t>
      </w:r>
    </w:p>
    <w:p w14:paraId="685A0D25" w14:textId="2F547262" w:rsidR="003F6590" w:rsidRDefault="003F6590" w:rsidP="003F6590">
      <w:pPr>
        <w:jc w:val="both"/>
      </w:pPr>
      <w:r>
        <w:tab/>
        <w:t>As defined in the Supervision of Financial Services (Provident Funds) Act 2005-5765.</w:t>
      </w:r>
    </w:p>
    <w:p w14:paraId="55B4DFCF" w14:textId="574B8537" w:rsidR="003F6590" w:rsidRDefault="003F6590" w:rsidP="003F6590">
      <w:pPr>
        <w:jc w:val="both"/>
      </w:pPr>
      <w:r>
        <w:t>I.</w:t>
      </w:r>
      <w:r>
        <w:tab/>
      </w:r>
      <w:r w:rsidRPr="003F6590">
        <w:rPr>
          <w:b/>
          <w:bCs/>
        </w:rPr>
        <w:t>Stipend Provident Fund</w:t>
      </w:r>
    </w:p>
    <w:p w14:paraId="07427556" w14:textId="2D2AB63E" w:rsidR="003F6590" w:rsidRDefault="003F6590" w:rsidP="003F6590">
      <w:pPr>
        <w:ind w:left="720"/>
        <w:jc w:val="both"/>
      </w:pPr>
      <w:r>
        <w:t>As defined in the Supervision of Financial Services (Provident Funds) Act 2005-5765, including an insurance plan approved as a Stipend Provident Fund by the Commissioner.</w:t>
      </w:r>
    </w:p>
    <w:p w14:paraId="0C8A3548" w14:textId="0517C113" w:rsidR="003F6590" w:rsidRDefault="003F6590" w:rsidP="003F6590">
      <w:pPr>
        <w:jc w:val="both"/>
      </w:pPr>
      <w:r>
        <w:t>J.</w:t>
      </w:r>
      <w:r>
        <w:tab/>
      </w:r>
      <w:r w:rsidRPr="003F6590">
        <w:rPr>
          <w:b/>
          <w:bCs/>
        </w:rPr>
        <w:t>Income Tax Regulations</w:t>
      </w:r>
    </w:p>
    <w:p w14:paraId="7A445DF8" w14:textId="48A90A7A" w:rsidR="003F6590" w:rsidRDefault="003F6590" w:rsidP="003F6590">
      <w:pPr>
        <w:ind w:left="720"/>
        <w:jc w:val="both"/>
      </w:pPr>
      <w:r>
        <w:t>The Income Tax (Rules for Approving and Managing Provident Fund</w:t>
      </w:r>
      <w:r w:rsidR="0001127A">
        <w:t>s</w:t>
      </w:r>
      <w:r>
        <w:t xml:space="preserve">) Regulations 1964-5724, as in </w:t>
      </w:r>
      <w:r w:rsidR="0001127A">
        <w:t xml:space="preserve">effect </w:t>
      </w:r>
      <w:r>
        <w:t>from time to time, including any regulations replac</w:t>
      </w:r>
      <w:r w:rsidR="0001127A">
        <w:t>ing</w:t>
      </w:r>
      <w:r>
        <w:t xml:space="preserve"> them.</w:t>
      </w:r>
    </w:p>
    <w:p w14:paraId="3E8863F7" w14:textId="6802A9D6" w:rsidR="003F6590" w:rsidRDefault="003F6590" w:rsidP="003F6590">
      <w:pPr>
        <w:jc w:val="both"/>
      </w:pPr>
      <w:r>
        <w:t>K.</w:t>
      </w:r>
      <w:r>
        <w:tab/>
      </w:r>
      <w:r w:rsidRPr="003F6590">
        <w:rPr>
          <w:b/>
          <w:bCs/>
        </w:rPr>
        <w:t>The Commissioner</w:t>
      </w:r>
    </w:p>
    <w:p w14:paraId="493A778B" w14:textId="7FAF5402" w:rsidR="003F6590" w:rsidRDefault="003F6590" w:rsidP="003F6590">
      <w:pPr>
        <w:ind w:firstLine="720"/>
        <w:jc w:val="both"/>
      </w:pPr>
      <w:r>
        <w:t>The Commissioner for Capital Markets, Insurance and Savings in the Ministry of Finance</w:t>
      </w:r>
    </w:p>
    <w:p w14:paraId="1D41C23C" w14:textId="0436D50E" w:rsidR="001C13B3" w:rsidRDefault="001C13B3" w:rsidP="001C13B3">
      <w:pPr>
        <w:jc w:val="both"/>
      </w:pPr>
    </w:p>
    <w:p w14:paraId="4698252B" w14:textId="1D4E0BF7" w:rsidR="003F6590" w:rsidRPr="000F5A4A" w:rsidRDefault="00FA5B41" w:rsidP="001C13B3">
      <w:pPr>
        <w:jc w:val="both"/>
        <w:rPr>
          <w:b/>
          <w:bCs/>
        </w:rPr>
      </w:pPr>
      <w:r w:rsidRPr="000F5A4A">
        <w:rPr>
          <w:b/>
          <w:bCs/>
        </w:rPr>
        <w:t>The Duty of Comprehensive Pension Insurance</w:t>
      </w:r>
    </w:p>
    <w:p w14:paraId="55272E80" w14:textId="1A753456" w:rsidR="00FA5B41" w:rsidRPr="000F5A4A" w:rsidRDefault="00FA5B41" w:rsidP="00FA5B41">
      <w:pPr>
        <w:ind w:left="720" w:hanging="720"/>
        <w:jc w:val="both"/>
      </w:pPr>
      <w:r w:rsidRPr="000F5A4A">
        <w:t>3. A.</w:t>
      </w:r>
      <w:r w:rsidRPr="000F5A4A">
        <w:tab/>
        <w:t>Every employee, as defined below, who does not have a bene</w:t>
      </w:r>
      <w:r w:rsidR="000F5A4A">
        <w:t>ficial</w:t>
      </w:r>
      <w:r w:rsidRPr="000F5A4A">
        <w:t xml:space="preserve"> pension arrangement</w:t>
      </w:r>
      <w:r w:rsidR="000F5A4A">
        <w:t>,</w:t>
      </w:r>
      <w:r w:rsidRPr="000F5A4A">
        <w:t xml:space="preserve"> as defined below, who is employed or will be employed in any place of work, will be entitled to be insured under this </w:t>
      </w:r>
      <w:r w:rsidR="000F5A4A">
        <w:t>O</w:t>
      </w:r>
      <w:r w:rsidRPr="000F5A4A">
        <w:t xml:space="preserve">rder, and to choose, by written notice to his employer within the time period </w:t>
      </w:r>
      <w:r w:rsidR="000F5A4A">
        <w:t xml:space="preserve">noted hereinafter, a </w:t>
      </w:r>
      <w:r w:rsidRPr="000F5A4A">
        <w:t>comprehensive pension</w:t>
      </w:r>
      <w:r w:rsidR="000F5A4A">
        <w:t>,</w:t>
      </w:r>
      <w:r w:rsidRPr="000F5A4A">
        <w:t xml:space="preserve"> including </w:t>
      </w:r>
      <w:r w:rsidR="000F5A4A">
        <w:t>a stipend</w:t>
      </w:r>
      <w:r w:rsidRPr="000F5A4A">
        <w:t xml:space="preserve"> provident fund, </w:t>
      </w:r>
      <w:r w:rsidR="000F5A4A">
        <w:t>approved by the Commissioner</w:t>
      </w:r>
      <w:r w:rsidRPr="000F5A4A">
        <w:t xml:space="preserve">, </w:t>
      </w:r>
      <w:r w:rsidR="000F5A4A">
        <w:t xml:space="preserve">with </w:t>
      </w:r>
      <w:r w:rsidRPr="000F5A4A">
        <w:t xml:space="preserve">which he will be insured from the date on which his entitlement </w:t>
      </w:r>
      <w:r w:rsidR="0001127A">
        <w:t>i</w:t>
      </w:r>
      <w:r w:rsidRPr="000F5A4A">
        <w:t>s established</w:t>
      </w:r>
      <w:r w:rsidR="000F5A4A">
        <w:t>,</w:t>
      </w:r>
      <w:r w:rsidRPr="000F5A4A">
        <w:t xml:space="preserve"> as stipulated in </w:t>
      </w:r>
      <w:r w:rsidR="0001127A">
        <w:t>S</w:t>
      </w:r>
      <w:r w:rsidRPr="000F5A4A">
        <w:t>ection 6</w:t>
      </w:r>
      <w:r w:rsidR="0001127A">
        <w:t>(</w:t>
      </w:r>
      <w:r w:rsidRPr="000F5A4A">
        <w:t>e</w:t>
      </w:r>
      <w:r w:rsidR="0001127A">
        <w:t>)</w:t>
      </w:r>
      <w:r w:rsidRPr="000F5A4A">
        <w:t xml:space="preserve"> to </w:t>
      </w:r>
      <w:r w:rsidR="0001127A">
        <w:t>(</w:t>
      </w:r>
      <w:r w:rsidR="000F5A4A">
        <w:t>g</w:t>
      </w:r>
      <w:r w:rsidR="0001127A">
        <w:t>)</w:t>
      </w:r>
      <w:r w:rsidRPr="000F5A4A">
        <w:t xml:space="preserve"> of this </w:t>
      </w:r>
      <w:r w:rsidR="000F5A4A">
        <w:t>O</w:t>
      </w:r>
      <w:r w:rsidRPr="000F5A4A">
        <w:t>rder, provided that it also includes coverage in the event of death and disability</w:t>
      </w:r>
      <w:r w:rsidR="0001127A">
        <w:t>,</w:t>
      </w:r>
      <w:r w:rsidRPr="000F5A4A">
        <w:t xml:space="preserve"> </w:t>
      </w:r>
      <w:r w:rsidR="0001127A">
        <w:t xml:space="preserve">under </w:t>
      </w:r>
      <w:r w:rsidRPr="000F5A4A">
        <w:t xml:space="preserve">that fund or </w:t>
      </w:r>
      <w:r w:rsidR="0001127A">
        <w:t xml:space="preserve">by </w:t>
      </w:r>
      <w:r w:rsidRPr="000F5A4A">
        <w:t xml:space="preserve">another fund, </w:t>
      </w:r>
      <w:r w:rsidR="000F5A4A">
        <w:t xml:space="preserve">and </w:t>
      </w:r>
      <w:r w:rsidRPr="000F5A4A">
        <w:t xml:space="preserve">all subject to the provisions of </w:t>
      </w:r>
      <w:r w:rsidR="0001127A">
        <w:t>S</w:t>
      </w:r>
      <w:r w:rsidRPr="000F5A4A">
        <w:t xml:space="preserve">ection </w:t>
      </w:r>
      <w:r w:rsidR="0001127A" w:rsidRPr="000F5A4A">
        <w:t>6</w:t>
      </w:r>
      <w:r w:rsidR="0001127A">
        <w:t>(</w:t>
      </w:r>
      <w:r w:rsidR="0001127A" w:rsidRPr="000F5A4A">
        <w:t>e</w:t>
      </w:r>
      <w:r w:rsidR="0001127A">
        <w:t>)</w:t>
      </w:r>
      <w:r w:rsidR="0001127A" w:rsidRPr="000F5A4A">
        <w:t xml:space="preserve"> to </w:t>
      </w:r>
      <w:r w:rsidR="0001127A">
        <w:t>(g)</w:t>
      </w:r>
      <w:r w:rsidRPr="000F5A4A">
        <w:t xml:space="preserve"> </w:t>
      </w:r>
      <w:r w:rsidR="000F5A4A">
        <w:t>hereinafter</w:t>
      </w:r>
      <w:r w:rsidRPr="000F5A4A">
        <w:t>:</w:t>
      </w:r>
    </w:p>
    <w:p w14:paraId="528BD6EE" w14:textId="363EF788" w:rsidR="00FA5B41" w:rsidRPr="000F5A4A" w:rsidRDefault="00FA5B41" w:rsidP="00FA5B41">
      <w:pPr>
        <w:ind w:left="720"/>
        <w:jc w:val="both"/>
      </w:pPr>
      <w:r w:rsidRPr="000F5A4A">
        <w:lastRenderedPageBreak/>
        <w:t xml:space="preserve">1. Whoever begins to work after the date </w:t>
      </w:r>
      <w:r w:rsidR="000F5A4A" w:rsidRPr="000F5A4A">
        <w:t xml:space="preserve">this Order </w:t>
      </w:r>
      <w:r w:rsidRPr="000F5A4A">
        <w:t>ent</w:t>
      </w:r>
      <w:r w:rsidR="000F5A4A">
        <w:t>ers</w:t>
      </w:r>
      <w:r w:rsidRPr="000F5A4A">
        <w:t xml:space="preserve"> into force </w:t>
      </w:r>
      <w:r w:rsidR="000F5A4A">
        <w:t>–</w:t>
      </w:r>
      <w:r w:rsidRPr="000F5A4A">
        <w:t xml:space="preserve"> 60</w:t>
      </w:r>
      <w:r w:rsidR="000F5A4A">
        <w:t xml:space="preserve"> </w:t>
      </w:r>
      <w:r w:rsidRPr="000F5A4A">
        <w:t>days from the date of commencement of his employment;</w:t>
      </w:r>
    </w:p>
    <w:p w14:paraId="685DFB85" w14:textId="3DF01E5D" w:rsidR="00FA5B41" w:rsidRPr="000F5A4A" w:rsidRDefault="00FA5B41" w:rsidP="00FA5B41">
      <w:pPr>
        <w:ind w:left="720"/>
        <w:jc w:val="both"/>
      </w:pPr>
      <w:r w:rsidRPr="000F5A4A">
        <w:t xml:space="preserve">2. A person employed nine months or more before the date </w:t>
      </w:r>
      <w:r w:rsidR="000F5A4A" w:rsidRPr="000F5A4A">
        <w:t>this Order ent</w:t>
      </w:r>
      <w:r w:rsidR="000F5A4A">
        <w:t>ers</w:t>
      </w:r>
      <w:r w:rsidR="000F5A4A" w:rsidRPr="000F5A4A">
        <w:t xml:space="preserve"> into force</w:t>
      </w:r>
      <w:r w:rsidRPr="000F5A4A">
        <w:t xml:space="preserve"> </w:t>
      </w:r>
      <w:r w:rsidR="000F5A4A">
        <w:t>–</w:t>
      </w:r>
      <w:r w:rsidRPr="000F5A4A">
        <w:t xml:space="preserve"> </w:t>
      </w:r>
      <w:r w:rsidR="000F5A4A">
        <w:t xml:space="preserve">by </w:t>
      </w:r>
      <w:r w:rsidR="000F5A4A" w:rsidRPr="000F5A4A">
        <w:t>February 1, 2008</w:t>
      </w:r>
      <w:r w:rsidR="000F5A4A">
        <w:t xml:space="preserve"> </w:t>
      </w:r>
      <w:r w:rsidRPr="000F5A4A">
        <w:t>at</w:t>
      </w:r>
      <w:r w:rsidR="000F5A4A">
        <w:t xml:space="preserve"> </w:t>
      </w:r>
      <w:r w:rsidRPr="000F5A4A">
        <w:t>the latest, or alternatively at the end of the month in which this Order shall enter into force;</w:t>
      </w:r>
    </w:p>
    <w:p w14:paraId="6E6DF80F" w14:textId="72977D11" w:rsidR="00FA5B41" w:rsidRPr="000F5A4A" w:rsidRDefault="00FA5B41" w:rsidP="00FA5B41">
      <w:pPr>
        <w:ind w:left="720"/>
        <w:jc w:val="both"/>
      </w:pPr>
      <w:r w:rsidRPr="000F5A4A">
        <w:t xml:space="preserve">3. A person employed less than 9 months before the date </w:t>
      </w:r>
      <w:r w:rsidR="000F5A4A" w:rsidRPr="000F5A4A">
        <w:t>this Order ent</w:t>
      </w:r>
      <w:r w:rsidR="000F5A4A">
        <w:t>ers</w:t>
      </w:r>
      <w:r w:rsidR="000F5A4A" w:rsidRPr="000F5A4A">
        <w:t xml:space="preserve"> into force</w:t>
      </w:r>
      <w:r w:rsidRPr="000F5A4A">
        <w:t xml:space="preserve"> </w:t>
      </w:r>
      <w:r w:rsidR="000F5A4A">
        <w:t>–</w:t>
      </w:r>
      <w:r w:rsidRPr="000F5A4A">
        <w:t xml:space="preserve"> 60</w:t>
      </w:r>
      <w:r w:rsidR="000F5A4A">
        <w:t xml:space="preserve"> </w:t>
      </w:r>
      <w:r w:rsidRPr="000F5A4A">
        <w:t>days prior to the date of his entitlement.</w:t>
      </w:r>
    </w:p>
    <w:p w14:paraId="20036D36" w14:textId="537949E8" w:rsidR="00FA5B41" w:rsidRPr="000F5A4A" w:rsidRDefault="00FA5B41" w:rsidP="00313CA0">
      <w:pPr>
        <w:ind w:left="720" w:hanging="720"/>
        <w:jc w:val="both"/>
      </w:pPr>
      <w:r w:rsidRPr="000F5A4A">
        <w:t xml:space="preserve">B. </w:t>
      </w:r>
      <w:r w:rsidRPr="000F5A4A">
        <w:tab/>
        <w:t>If the employee does not notify his employer</w:t>
      </w:r>
      <w:r w:rsidR="00313CA0">
        <w:t>,</w:t>
      </w:r>
      <w:r w:rsidR="00313CA0" w:rsidRPr="000F5A4A">
        <w:t xml:space="preserve"> </w:t>
      </w:r>
      <w:r w:rsidR="00313CA0">
        <w:t xml:space="preserve">by </w:t>
      </w:r>
      <w:r w:rsidR="00313CA0" w:rsidRPr="000F5A4A">
        <w:t xml:space="preserve">the aforesaid </w:t>
      </w:r>
      <w:proofErr w:type="gramStart"/>
      <w:r w:rsidR="00313CA0" w:rsidRPr="000F5A4A">
        <w:t>time period</w:t>
      </w:r>
      <w:proofErr w:type="gramEnd"/>
      <w:r w:rsidR="00313CA0">
        <w:t>,</w:t>
      </w:r>
      <w:r w:rsidRPr="000F5A4A">
        <w:t xml:space="preserve"> in writing</w:t>
      </w:r>
      <w:r w:rsidR="00313CA0">
        <w:t>,</w:t>
      </w:r>
      <w:r w:rsidRPr="000F5A4A">
        <w:t xml:space="preserve"> of his choice </w:t>
      </w:r>
      <w:r w:rsidR="000F5A4A">
        <w:t xml:space="preserve">of </w:t>
      </w:r>
      <w:r w:rsidRPr="000F5A4A">
        <w:t xml:space="preserve">fund </w:t>
      </w:r>
      <w:r w:rsidR="00313CA0">
        <w:t xml:space="preserve">which </w:t>
      </w:r>
      <w:r w:rsidRPr="000F5A4A">
        <w:t>he ch</w:t>
      </w:r>
      <w:r w:rsidR="00313CA0">
        <w:t>o</w:t>
      </w:r>
      <w:r w:rsidRPr="000F5A4A">
        <w:t>ose</w:t>
      </w:r>
      <w:r w:rsidR="00313CA0">
        <w:t>s</w:t>
      </w:r>
      <w:r w:rsidRPr="000F5A4A">
        <w:t xml:space="preserve"> to be insured </w:t>
      </w:r>
      <w:r w:rsidR="000F5A4A">
        <w:t xml:space="preserve">with, </w:t>
      </w:r>
      <w:r w:rsidRPr="000F5A4A">
        <w:t>as stated above, the employer will insure him from the date on which his entitlement</w:t>
      </w:r>
      <w:r w:rsidR="000F5A4A">
        <w:t xml:space="preserve"> is established</w:t>
      </w:r>
      <w:r w:rsidRPr="000F5A4A">
        <w:t xml:space="preserve">, as set out in </w:t>
      </w:r>
      <w:r w:rsidR="00313CA0">
        <w:t>S</w:t>
      </w:r>
      <w:r w:rsidR="00313CA0" w:rsidRPr="000F5A4A">
        <w:t>ection 6</w:t>
      </w:r>
      <w:r w:rsidR="00313CA0">
        <w:t>(</w:t>
      </w:r>
      <w:r w:rsidR="00313CA0" w:rsidRPr="000F5A4A">
        <w:t>e</w:t>
      </w:r>
      <w:r w:rsidR="00313CA0">
        <w:t>)</w:t>
      </w:r>
      <w:r w:rsidR="00313CA0" w:rsidRPr="000F5A4A">
        <w:t xml:space="preserve"> to </w:t>
      </w:r>
      <w:r w:rsidR="00313CA0">
        <w:t>(g)</w:t>
      </w:r>
      <w:r w:rsidRPr="000F5A4A">
        <w:t xml:space="preserve"> of this </w:t>
      </w:r>
      <w:r w:rsidR="000F5A4A">
        <w:t>O</w:t>
      </w:r>
      <w:r w:rsidRPr="000F5A4A">
        <w:t xml:space="preserve">rder, </w:t>
      </w:r>
      <w:r w:rsidR="000F5A4A">
        <w:t xml:space="preserve">with </w:t>
      </w:r>
      <w:r w:rsidRPr="000F5A4A">
        <w:t xml:space="preserve">a </w:t>
      </w:r>
      <w:r w:rsidR="000F5A4A" w:rsidRPr="000F5A4A">
        <w:t>New Comprehensive Pension Fund</w:t>
      </w:r>
      <w:r w:rsidRPr="000F5A4A">
        <w:t>.</w:t>
      </w:r>
    </w:p>
    <w:p w14:paraId="04FDDD7D" w14:textId="18673425" w:rsidR="00FA5B41" w:rsidRPr="000F5A4A" w:rsidRDefault="00FA5B41" w:rsidP="00FA5B41">
      <w:pPr>
        <w:ind w:left="720"/>
        <w:jc w:val="both"/>
      </w:pPr>
      <w:r w:rsidRPr="000F5A4A">
        <w:t>It is hereby clarified</w:t>
      </w:r>
      <w:r w:rsidR="000F5A4A">
        <w:t>,</w:t>
      </w:r>
      <w:r w:rsidRPr="000F5A4A">
        <w:t xml:space="preserve"> that </w:t>
      </w:r>
      <w:r w:rsidR="000F5A4A">
        <w:t xml:space="preserve">the </w:t>
      </w:r>
      <w:r w:rsidRPr="000F5A4A">
        <w:t>determ</w:t>
      </w:r>
      <w:r w:rsidR="000F5A4A">
        <w:t>ination of</w:t>
      </w:r>
      <w:r w:rsidRPr="000F5A4A">
        <w:t xml:space="preserve"> the date </w:t>
      </w:r>
      <w:r w:rsidR="000F5A4A">
        <w:t xml:space="preserve">of </w:t>
      </w:r>
      <w:r w:rsidRPr="000F5A4A">
        <w:t>the employee</w:t>
      </w:r>
      <w:r w:rsidR="000F5A4A">
        <w:t>’</w:t>
      </w:r>
      <w:r w:rsidRPr="000F5A4A">
        <w:t xml:space="preserve">s notification of his election, as stated in </w:t>
      </w:r>
      <w:r w:rsidR="000F5A4A">
        <w:t>beginning of sub</w:t>
      </w:r>
      <w:r w:rsidRPr="000F5A4A">
        <w:t>paragraph</w:t>
      </w:r>
      <w:r w:rsidR="000F5A4A">
        <w:t xml:space="preserve"> (a) above</w:t>
      </w:r>
      <w:r w:rsidRPr="000F5A4A">
        <w:t xml:space="preserve">, </w:t>
      </w:r>
      <w:r w:rsidR="000F5A4A">
        <w:t xml:space="preserve">does not </w:t>
      </w:r>
      <w:r w:rsidRPr="000F5A4A">
        <w:t xml:space="preserve">postpone the date of </w:t>
      </w:r>
      <w:r w:rsidR="000F5A4A">
        <w:t xml:space="preserve">his </w:t>
      </w:r>
      <w:r w:rsidRPr="000F5A4A">
        <w:t xml:space="preserve">entitlement </w:t>
      </w:r>
      <w:r w:rsidR="000F5A4A">
        <w:t xml:space="preserve">as </w:t>
      </w:r>
      <w:r w:rsidRPr="000F5A4A">
        <w:t xml:space="preserve">stipulated in </w:t>
      </w:r>
      <w:r w:rsidR="00313CA0">
        <w:t>S</w:t>
      </w:r>
      <w:r w:rsidR="00313CA0" w:rsidRPr="000F5A4A">
        <w:t>ection 6</w:t>
      </w:r>
      <w:r w:rsidR="00313CA0">
        <w:t>(</w:t>
      </w:r>
      <w:r w:rsidR="00313CA0" w:rsidRPr="000F5A4A">
        <w:t>e</w:t>
      </w:r>
      <w:r w:rsidR="00313CA0">
        <w:t>)</w:t>
      </w:r>
      <w:r w:rsidR="00313CA0" w:rsidRPr="000F5A4A">
        <w:t xml:space="preserve"> to </w:t>
      </w:r>
      <w:r w:rsidR="00313CA0">
        <w:t>(g)</w:t>
      </w:r>
      <w:r w:rsidRPr="000F5A4A">
        <w:t xml:space="preserve"> </w:t>
      </w:r>
      <w:r w:rsidR="000F5A4A">
        <w:t>hereinafter</w:t>
      </w:r>
      <w:r w:rsidRPr="000F5A4A">
        <w:t>.</w:t>
      </w:r>
    </w:p>
    <w:p w14:paraId="562DD094" w14:textId="4D4AD937" w:rsidR="00FA5B41" w:rsidRDefault="00FA5B41" w:rsidP="00FA5B41">
      <w:pPr>
        <w:ind w:left="720" w:hanging="720"/>
        <w:jc w:val="both"/>
      </w:pPr>
      <w:r w:rsidRPr="000F5A4A">
        <w:t>C.</w:t>
      </w:r>
      <w:r w:rsidRPr="000F5A4A">
        <w:tab/>
        <w:t>The aforesaid does not derogate from the employee</w:t>
      </w:r>
      <w:r w:rsidR="000F5A4A">
        <w:t>’</w:t>
      </w:r>
      <w:r w:rsidRPr="000F5A4A">
        <w:t>s right to choose or to transfer to another provident fund under any law.</w:t>
      </w:r>
    </w:p>
    <w:p w14:paraId="36B3CA11" w14:textId="2A5BAC85" w:rsidR="000F5A4A" w:rsidRDefault="000F5A4A" w:rsidP="000F5A4A">
      <w:pPr>
        <w:jc w:val="both"/>
      </w:pPr>
    </w:p>
    <w:p w14:paraId="19F62297" w14:textId="66147183" w:rsidR="000F5A4A" w:rsidRPr="000F5A4A" w:rsidRDefault="000F5A4A" w:rsidP="000F5A4A">
      <w:pPr>
        <w:jc w:val="both"/>
        <w:rPr>
          <w:b/>
          <w:bCs/>
        </w:rPr>
      </w:pPr>
      <w:r w:rsidRPr="000F5A4A">
        <w:rPr>
          <w:b/>
          <w:bCs/>
        </w:rPr>
        <w:t>Applicability</w:t>
      </w:r>
    </w:p>
    <w:p w14:paraId="069604C9" w14:textId="00DEB988" w:rsidR="000F5A4A" w:rsidRDefault="000F5A4A" w:rsidP="000F5A4A">
      <w:pPr>
        <w:ind w:left="720" w:hanging="720"/>
        <w:jc w:val="both"/>
      </w:pPr>
      <w:r>
        <w:t>4.A.</w:t>
      </w:r>
      <w:r>
        <w:tab/>
        <w:t xml:space="preserve">This Order shall apply to any employee employed, or to be employed, in any place of </w:t>
      </w:r>
      <w:r w:rsidR="00876491">
        <w:t>work</w:t>
      </w:r>
      <w:r>
        <w:t xml:space="preserve">, subject to </w:t>
      </w:r>
      <w:r w:rsidR="00876491">
        <w:t xml:space="preserve">that </w:t>
      </w:r>
      <w:r>
        <w:t xml:space="preserve">the provisions of this Order </w:t>
      </w:r>
      <w:r w:rsidR="00876491">
        <w:t xml:space="preserve">will </w:t>
      </w:r>
      <w:r>
        <w:t>not be</w:t>
      </w:r>
      <w:r w:rsidR="00876491">
        <w:t xml:space="preserve"> </w:t>
      </w:r>
      <w:r>
        <w:t xml:space="preserve">applicable to anyone </w:t>
      </w:r>
      <w:r w:rsidR="00876491">
        <w:t xml:space="preserve">with respect to </w:t>
      </w:r>
      <w:r>
        <w:t>whom any of the conditions specified in the following paragraphs are satisfied</w:t>
      </w:r>
      <w:r w:rsidR="00876491">
        <w:t>,</w:t>
      </w:r>
      <w:r>
        <w:t xml:space="preserve"> and subject to the prescribed limitations, to the extent stipulated therein (hereinafter in this Order - </w:t>
      </w:r>
      <w:r w:rsidR="00313CA0">
        <w:t>E</w:t>
      </w:r>
      <w:r>
        <w:t xml:space="preserve">mployee and/or </w:t>
      </w:r>
      <w:r w:rsidR="00313CA0">
        <w:t>E</w:t>
      </w:r>
      <w:r>
        <w:t>mployees) :</w:t>
      </w:r>
    </w:p>
    <w:p w14:paraId="44424AD7" w14:textId="09C71417" w:rsidR="000F5A4A" w:rsidRDefault="000F5A4A" w:rsidP="00876491">
      <w:pPr>
        <w:ind w:left="720"/>
        <w:jc w:val="both"/>
      </w:pPr>
      <w:r>
        <w:t xml:space="preserve">(1) </w:t>
      </w:r>
      <w:r w:rsidR="00876491">
        <w:t>A</w:t>
      </w:r>
      <w:r>
        <w:t xml:space="preserve"> person who on the </w:t>
      </w:r>
      <w:r w:rsidR="00876491">
        <w:t>Effective D</w:t>
      </w:r>
      <w:r>
        <w:t xml:space="preserve">ate or thereafter </w:t>
      </w:r>
      <w:r w:rsidR="00876491">
        <w:t xml:space="preserve">is </w:t>
      </w:r>
      <w:r>
        <w:t>insured</w:t>
      </w:r>
      <w:r w:rsidR="00876491">
        <w:t>,</w:t>
      </w:r>
      <w:r>
        <w:t xml:space="preserve"> or his employer is obligated to insure him, under a collective </w:t>
      </w:r>
      <w:r w:rsidR="00876491">
        <w:t xml:space="preserve">agreement </w:t>
      </w:r>
      <w:r>
        <w:t xml:space="preserve">and/or collective </w:t>
      </w:r>
      <w:r w:rsidR="00876491">
        <w:t xml:space="preserve">arrangement </w:t>
      </w:r>
      <w:r>
        <w:t>and/or personal agreement and/or custom and/or practice and/or extension order, existing or future and/or law (</w:t>
      </w:r>
      <w:r w:rsidR="00876491">
        <w:t>hereinafter –</w:t>
      </w:r>
      <w:r>
        <w:t xml:space="preserve"> </w:t>
      </w:r>
      <w:r w:rsidR="00876491">
        <w:t>“Pension Insurance Agreement”</w:t>
      </w:r>
      <w:r>
        <w:t xml:space="preserve">), so that the rate of </w:t>
      </w:r>
      <w:r w:rsidR="00876491">
        <w:t xml:space="preserve">contributions </w:t>
      </w:r>
      <w:r>
        <w:t xml:space="preserve">in respect thereof to a provident fund, including </w:t>
      </w:r>
      <w:r w:rsidR="00876491">
        <w:t xml:space="preserve">a </w:t>
      </w:r>
      <w:r>
        <w:t xml:space="preserve">pension fund, is at least 17.5% of the </w:t>
      </w:r>
      <w:r w:rsidR="00313CA0">
        <w:t>E</w:t>
      </w:r>
      <w:r>
        <w:t>mployee</w:t>
      </w:r>
      <w:r w:rsidR="00876491">
        <w:t>’</w:t>
      </w:r>
      <w:r>
        <w:t>s salary; It is hereby clarified</w:t>
      </w:r>
      <w:r w:rsidR="00876491">
        <w:t>,</w:t>
      </w:r>
      <w:r>
        <w:t xml:space="preserve"> that </w:t>
      </w:r>
      <w:r w:rsidR="00876491">
        <w:t xml:space="preserve">for </w:t>
      </w:r>
      <w:r>
        <w:t xml:space="preserve">an </w:t>
      </w:r>
      <w:r w:rsidR="00313CA0">
        <w:t>E</w:t>
      </w:r>
      <w:r>
        <w:t xml:space="preserve">mployee whose employer is obligated to </w:t>
      </w:r>
      <w:r w:rsidR="00876491">
        <w:t xml:space="preserve">insure </w:t>
      </w:r>
      <w:r>
        <w:t>him in a bene</w:t>
      </w:r>
      <w:r w:rsidR="00876491">
        <w:t>ficial</w:t>
      </w:r>
      <w:r>
        <w:t xml:space="preserve"> pension arrangement, as defined in this </w:t>
      </w:r>
      <w:r w:rsidR="00876491">
        <w:t>S</w:t>
      </w:r>
      <w:r>
        <w:t xml:space="preserve">ection, </w:t>
      </w:r>
      <w:r w:rsidR="00876491">
        <w:t xml:space="preserve">for which </w:t>
      </w:r>
      <w:r>
        <w:t xml:space="preserve">the commencement of the </w:t>
      </w:r>
      <w:r w:rsidR="00876491">
        <w:t xml:space="preserve">contributions </w:t>
      </w:r>
      <w:r>
        <w:t xml:space="preserve">under said arrangement applies at a date </w:t>
      </w:r>
      <w:r w:rsidR="00876491">
        <w:t xml:space="preserve">later </w:t>
      </w:r>
      <w:r>
        <w:t>than the starting date of the provision</w:t>
      </w:r>
      <w:r w:rsidR="00876491">
        <w:t>s</w:t>
      </w:r>
      <w:r>
        <w:t xml:space="preserve"> set out in </w:t>
      </w:r>
      <w:r w:rsidR="00313CA0">
        <w:t>S</w:t>
      </w:r>
      <w:r>
        <w:t xml:space="preserve">ection 6 </w:t>
      </w:r>
      <w:r w:rsidR="00876491">
        <w:t>hereinafter, the provisions of this Order will apply until such a time as the beneficial pension arrangement begins to apply</w:t>
      </w:r>
      <w:r>
        <w:t>.</w:t>
      </w:r>
    </w:p>
    <w:p w14:paraId="3E3E004F" w14:textId="72B51B7D" w:rsidR="000F5A4A" w:rsidRDefault="000F5A4A" w:rsidP="000F5A4A">
      <w:pPr>
        <w:ind w:left="720"/>
        <w:jc w:val="both"/>
      </w:pPr>
      <w:r>
        <w:t xml:space="preserve">(2) </w:t>
      </w:r>
      <w:r w:rsidR="00876491">
        <w:t>A</w:t>
      </w:r>
      <w:r>
        <w:t xml:space="preserve"> person who on the </w:t>
      </w:r>
      <w:r w:rsidR="00876491">
        <w:t>Effective D</w:t>
      </w:r>
      <w:r>
        <w:t>ate or thereafter is insured</w:t>
      </w:r>
      <w:r w:rsidR="00876491">
        <w:t>,</w:t>
      </w:r>
      <w:r>
        <w:t xml:space="preserve"> or whose employer is obligated to insure him, by virtue of a </w:t>
      </w:r>
      <w:r w:rsidR="00876491">
        <w:t>Pension Insurance</w:t>
      </w:r>
      <w:r w:rsidR="00876491" w:rsidRPr="00876491">
        <w:t xml:space="preserve"> </w:t>
      </w:r>
      <w:r w:rsidR="00876491">
        <w:t>Agreement</w:t>
      </w:r>
      <w:r>
        <w:t xml:space="preserve">, </w:t>
      </w:r>
      <w:r w:rsidR="00313CA0">
        <w:t xml:space="preserve">with </w:t>
      </w:r>
      <w:r>
        <w:t>an insurance arrangement that includes, incidentally or as a</w:t>
      </w:r>
      <w:r w:rsidR="00876491">
        <w:t xml:space="preserve"> schedule</w:t>
      </w:r>
      <w:r>
        <w:t xml:space="preserve">, also insurance in the event of death and insurance for loss of </w:t>
      </w:r>
      <w:r w:rsidR="00876491">
        <w:t xml:space="preserve">earning </w:t>
      </w:r>
      <w:r w:rsidR="00313CA0">
        <w:t xml:space="preserve">capacity with </w:t>
      </w:r>
      <w:r>
        <w:t xml:space="preserve">an insurance fund, </w:t>
      </w:r>
      <w:r w:rsidR="00876491">
        <w:t xml:space="preserve">based on payment of insurance benefits and severance pay, provided that the </w:t>
      </w:r>
      <w:r>
        <w:t>employer</w:t>
      </w:r>
      <w:r w:rsidR="00876491">
        <w:t>’</w:t>
      </w:r>
      <w:r>
        <w:t xml:space="preserve">s share of </w:t>
      </w:r>
      <w:r w:rsidR="00876491">
        <w:t xml:space="preserve">the contributions towards pension </w:t>
      </w:r>
      <w:r>
        <w:t xml:space="preserve">does not fall below 5% of the </w:t>
      </w:r>
      <w:r w:rsidR="00313CA0">
        <w:t>E</w:t>
      </w:r>
      <w:r>
        <w:t>mployee</w:t>
      </w:r>
      <w:r w:rsidR="00876491">
        <w:t>’</w:t>
      </w:r>
      <w:r>
        <w:t xml:space="preserve">s salary, </w:t>
      </w:r>
      <w:r w:rsidR="00876491">
        <w:t xml:space="preserve">and the employer’s share of contributions towards </w:t>
      </w:r>
      <w:r w:rsidR="00876491">
        <w:lastRenderedPageBreak/>
        <w:t xml:space="preserve">severance pay does not fall below 5% of the </w:t>
      </w:r>
      <w:r w:rsidR="00313CA0">
        <w:t>E</w:t>
      </w:r>
      <w:r w:rsidR="00876491">
        <w:t xml:space="preserve">mployee’s salary, </w:t>
      </w:r>
      <w:r>
        <w:t xml:space="preserve">and the </w:t>
      </w:r>
      <w:r w:rsidR="00313CA0">
        <w:t>E</w:t>
      </w:r>
      <w:r>
        <w:t>mployee</w:t>
      </w:r>
      <w:r w:rsidR="00876491">
        <w:t>’</w:t>
      </w:r>
      <w:r>
        <w:t xml:space="preserve">s share of the </w:t>
      </w:r>
      <w:r w:rsidR="00876491">
        <w:t xml:space="preserve">contributions towards pension </w:t>
      </w:r>
      <w:r>
        <w:t xml:space="preserve">does not fall below 5% of the </w:t>
      </w:r>
      <w:r w:rsidR="00313CA0">
        <w:t>E</w:t>
      </w:r>
      <w:r>
        <w:t>mployee</w:t>
      </w:r>
      <w:r w:rsidR="006A3A0B">
        <w:t>’</w:t>
      </w:r>
      <w:r>
        <w:t>s salary;</w:t>
      </w:r>
    </w:p>
    <w:p w14:paraId="6B9EA73F" w14:textId="39CAC7F5" w:rsidR="000F5A4A" w:rsidRDefault="006A3A0B" w:rsidP="006A3A0B">
      <w:pPr>
        <w:ind w:left="720"/>
        <w:jc w:val="both"/>
      </w:pPr>
      <w:r>
        <w:t>(3) A person who on the Effective Date or thereafter is insured, or whose employer is obligated to insure him, by virtue of a Pension Insurance</w:t>
      </w:r>
      <w:r w:rsidRPr="00876491">
        <w:t xml:space="preserve"> </w:t>
      </w:r>
      <w:r>
        <w:t xml:space="preserve">Agreement so that the rate of contributions on his account is no less than 11.5% of his salary </w:t>
      </w:r>
      <w:r w:rsidR="000F5A4A">
        <w:t xml:space="preserve">(5.5% </w:t>
      </w:r>
      <w:r w:rsidR="00054A88">
        <w:t>E</w:t>
      </w:r>
      <w:r w:rsidR="000F5A4A">
        <w:t xml:space="preserve">mployee </w:t>
      </w:r>
      <w:r>
        <w:t xml:space="preserve">contribution </w:t>
      </w:r>
      <w:r w:rsidR="000F5A4A">
        <w:t>and 6% employer</w:t>
      </w:r>
      <w:r>
        <w:t xml:space="preserve"> contribution</w:t>
      </w:r>
      <w:r w:rsidR="000F5A4A">
        <w:t xml:space="preserve">), or in a basic pension arrangement in an </w:t>
      </w:r>
      <w:r>
        <w:t>Old Pension Fund</w:t>
      </w:r>
      <w:r w:rsidR="000F5A4A">
        <w:t xml:space="preserve">, but the </w:t>
      </w:r>
      <w:r>
        <w:t xml:space="preserve">employer of the </w:t>
      </w:r>
      <w:r w:rsidR="00054A88">
        <w:t>E</w:t>
      </w:r>
      <w:r>
        <w:t xml:space="preserve">mployee as provided for herein this subsection, will be subject to a duty to transfer the “severance pay” component, in accordance with the rates, dates, and salary set forth in Section 6 hereinafter, </w:t>
      </w:r>
      <w:r w:rsidR="000F5A4A">
        <w:t xml:space="preserve">and the provisions of </w:t>
      </w:r>
      <w:r>
        <w:t>S</w:t>
      </w:r>
      <w:r w:rsidR="000F5A4A">
        <w:t xml:space="preserve">ection 5 of this Order </w:t>
      </w:r>
      <w:r>
        <w:t>wi</w:t>
      </w:r>
      <w:r w:rsidR="000F5A4A">
        <w:t xml:space="preserve">ll </w:t>
      </w:r>
      <w:r>
        <w:t xml:space="preserve">also </w:t>
      </w:r>
      <w:r w:rsidR="000F5A4A">
        <w:t xml:space="preserve">apply. For the </w:t>
      </w:r>
      <w:r>
        <w:t xml:space="preserve">avoidance </w:t>
      </w:r>
      <w:r w:rsidR="000F5A4A">
        <w:t>of doubt, it is clarified</w:t>
      </w:r>
      <w:r>
        <w:t>,</w:t>
      </w:r>
      <w:r w:rsidR="000F5A4A">
        <w:t xml:space="preserve"> that for an </w:t>
      </w:r>
      <w:r w:rsidR="00054A88">
        <w:t>E</w:t>
      </w:r>
      <w:r w:rsidR="000F5A4A">
        <w:t xml:space="preserve">mployee who, on January 1, 2008, is employed for 9 months or more as stated in section 6(e) to (g), the transfer of the </w:t>
      </w:r>
      <w:r>
        <w:t>“</w:t>
      </w:r>
      <w:r w:rsidR="000F5A4A">
        <w:t>severance pay</w:t>
      </w:r>
      <w:r>
        <w:t>”</w:t>
      </w:r>
      <w:r w:rsidR="000F5A4A">
        <w:t xml:space="preserve"> component </w:t>
      </w:r>
      <w:r>
        <w:t>wi</w:t>
      </w:r>
      <w:r w:rsidR="000F5A4A">
        <w:t xml:space="preserve">ll commence on </w:t>
      </w:r>
      <w:r>
        <w:t xml:space="preserve">January 1, 2008 </w:t>
      </w:r>
      <w:r w:rsidR="000F5A4A">
        <w:t xml:space="preserve">or </w:t>
      </w:r>
      <w:r>
        <w:t xml:space="preserve">on </w:t>
      </w:r>
      <w:r w:rsidR="000F5A4A">
        <w:t xml:space="preserve">the date </w:t>
      </w:r>
      <w:r>
        <w:t xml:space="preserve">this Order </w:t>
      </w:r>
      <w:r w:rsidR="000F5A4A">
        <w:t>ent</w:t>
      </w:r>
      <w:r>
        <w:t>ers</w:t>
      </w:r>
      <w:r w:rsidR="000F5A4A">
        <w:t xml:space="preserve"> into force</w:t>
      </w:r>
      <w:r>
        <w:t xml:space="preserve"> – whichever is later</w:t>
      </w:r>
      <w:r w:rsidR="000F5A4A">
        <w:t>;</w:t>
      </w:r>
    </w:p>
    <w:p w14:paraId="4082FFD7" w14:textId="35BCADBD" w:rsidR="000F5A4A" w:rsidRDefault="000F5A4A" w:rsidP="000F5A4A">
      <w:pPr>
        <w:ind w:left="720"/>
        <w:jc w:val="both"/>
      </w:pPr>
      <w:r>
        <w:t xml:space="preserve">(4) </w:t>
      </w:r>
      <w:r w:rsidR="006A3A0B">
        <w:t>A person who on the Effective Date or thereafter is insured, or whose employer is obligated to insure him, by virtue of a Pension Insurance</w:t>
      </w:r>
      <w:r w:rsidR="006A3A0B" w:rsidRPr="00876491">
        <w:t xml:space="preserve"> </w:t>
      </w:r>
      <w:r w:rsidR="006A3A0B">
        <w:t>Agreement</w:t>
      </w:r>
      <w:r>
        <w:t xml:space="preserve">, including </w:t>
      </w:r>
      <w:r w:rsidR="00054A88">
        <w:t xml:space="preserve">contributions to </w:t>
      </w:r>
      <w:r>
        <w:t>a provident fund (</w:t>
      </w:r>
      <w:r w:rsidR="006A3A0B">
        <w:t xml:space="preserve">stipend </w:t>
      </w:r>
      <w:r>
        <w:t xml:space="preserve">or capital arrangement and/or any combination thereof) </w:t>
      </w:r>
      <w:r w:rsidR="006A3A0B">
        <w:t xml:space="preserve">so that the rate of contributions on his account is no less than 10% of his salary (5% </w:t>
      </w:r>
      <w:r w:rsidR="00054A88">
        <w:t>E</w:t>
      </w:r>
      <w:r w:rsidR="006A3A0B">
        <w:t>mployee contribution and 5% employer contribution)</w:t>
      </w:r>
      <w:r>
        <w:t xml:space="preserve">, but the employer of an </w:t>
      </w:r>
      <w:r w:rsidR="00054A88">
        <w:t>E</w:t>
      </w:r>
      <w:r>
        <w:t xml:space="preserve">mployee as stated in this subsection shall </w:t>
      </w:r>
      <w:r w:rsidR="006A3A0B">
        <w:t xml:space="preserve">be under a </w:t>
      </w:r>
      <w:r>
        <w:t xml:space="preserve">duty to transfer the </w:t>
      </w:r>
      <w:r w:rsidR="006A3A0B">
        <w:t>“</w:t>
      </w:r>
      <w:r>
        <w:t>severance pay</w:t>
      </w:r>
      <w:r w:rsidR="006A3A0B">
        <w:t>”</w:t>
      </w:r>
      <w:r>
        <w:t xml:space="preserve"> component, </w:t>
      </w:r>
      <w:r w:rsidR="006A3A0B">
        <w:t xml:space="preserve">in accordance with </w:t>
      </w:r>
      <w:r>
        <w:t xml:space="preserve">the rates, </w:t>
      </w:r>
      <w:r w:rsidR="006A3A0B">
        <w:t xml:space="preserve">dates, and salary set forth in Section 6 hereinafter, and the provisions of Section 5 of this Order will also apply. For the avoidance of doubt, it is clarified, that for an </w:t>
      </w:r>
      <w:r w:rsidR="00054A88">
        <w:t>E</w:t>
      </w:r>
      <w:r w:rsidR="006A3A0B">
        <w:t xml:space="preserve">mployee who, on January 1, 2008, has been employed for 9 months or more as stated in </w:t>
      </w:r>
      <w:r w:rsidR="00054A88">
        <w:t>S</w:t>
      </w:r>
      <w:r w:rsidR="006A3A0B">
        <w:t>ection 6(e) to (g), the transfer of the “severance pay” component will commence on January 1, 2008 or on the date this Order enters into force – whichever is later;</w:t>
      </w:r>
    </w:p>
    <w:p w14:paraId="7C9DC0EE" w14:textId="25B2F442" w:rsidR="000F5A4A" w:rsidRDefault="000F5A4A" w:rsidP="000F5A4A">
      <w:pPr>
        <w:ind w:left="720"/>
        <w:jc w:val="both"/>
      </w:pPr>
      <w:r>
        <w:t xml:space="preserve">Commencing January 1, 2014, Subsections 1, 2, 3 and 4 above shall be deleted, and a new subsection (1) shall replace </w:t>
      </w:r>
      <w:r w:rsidR="006A3A0B">
        <w:t xml:space="preserve">them as </w:t>
      </w:r>
      <w:r>
        <w:t>follow</w:t>
      </w:r>
      <w:r w:rsidR="006A3A0B">
        <w:t>s</w:t>
      </w:r>
      <w:r>
        <w:t>:</w:t>
      </w:r>
    </w:p>
    <w:p w14:paraId="4AFF64E5" w14:textId="603BAAA6" w:rsidR="000F5A4A" w:rsidRDefault="006A3A0B" w:rsidP="000F5A4A">
      <w:pPr>
        <w:ind w:left="720"/>
        <w:jc w:val="both"/>
      </w:pPr>
      <w:r>
        <w:t xml:space="preserve">A </w:t>
      </w:r>
      <w:r w:rsidR="000F5A4A">
        <w:t xml:space="preserve">rate of </w:t>
      </w:r>
      <w:r>
        <w:t xml:space="preserve">contributions </w:t>
      </w:r>
      <w:r w:rsidR="000F5A4A">
        <w:t xml:space="preserve">to a provident fund which is less than 17.5% of the </w:t>
      </w:r>
      <w:r w:rsidR="00322D47">
        <w:t>E</w:t>
      </w:r>
      <w:r w:rsidR="000F5A4A">
        <w:t>mployee</w:t>
      </w:r>
      <w:r>
        <w:t>’</w:t>
      </w:r>
      <w:r w:rsidR="000F5A4A">
        <w:t>s salary, will not be considered a bene</w:t>
      </w:r>
      <w:r>
        <w:t>ficial</w:t>
      </w:r>
      <w:r w:rsidR="000F5A4A">
        <w:t xml:space="preserve"> pension arrangement. It is hereby clarified</w:t>
      </w:r>
      <w:r>
        <w:t>,</w:t>
      </w:r>
      <w:r w:rsidR="000F5A4A">
        <w:t xml:space="preserve"> that an </w:t>
      </w:r>
      <w:r w:rsidR="00322D47">
        <w:t>E</w:t>
      </w:r>
      <w:r w:rsidR="000F5A4A">
        <w:t xml:space="preserve">mployee whose employer is obligated to </w:t>
      </w:r>
      <w:r>
        <w:t xml:space="preserve">insure </w:t>
      </w:r>
      <w:r w:rsidR="000F5A4A">
        <w:t xml:space="preserve">him </w:t>
      </w:r>
      <w:r w:rsidR="00501C7C">
        <w:t xml:space="preserve">with a beneficial </w:t>
      </w:r>
      <w:r w:rsidR="000F5A4A">
        <w:t xml:space="preserve">pension arrangement, as defined in this section, </w:t>
      </w:r>
      <w:r w:rsidR="00501C7C">
        <w:t xml:space="preserve">where </w:t>
      </w:r>
      <w:r w:rsidR="000F5A4A">
        <w:t xml:space="preserve">the </w:t>
      </w:r>
      <w:r w:rsidR="00501C7C">
        <w:t xml:space="preserve">date of </w:t>
      </w:r>
      <w:r w:rsidR="000F5A4A">
        <w:t xml:space="preserve">commencement of the </w:t>
      </w:r>
      <w:r w:rsidR="00501C7C">
        <w:t xml:space="preserve">contributions </w:t>
      </w:r>
      <w:r w:rsidR="000F5A4A">
        <w:t xml:space="preserve">under said arrangement </w:t>
      </w:r>
      <w:r w:rsidR="00501C7C">
        <w:t xml:space="preserve">is </w:t>
      </w:r>
      <w:r w:rsidR="000F5A4A">
        <w:t xml:space="preserve">later than the starting date of the </w:t>
      </w:r>
      <w:r w:rsidR="00322D47">
        <w:t>contributions</w:t>
      </w:r>
      <w:r w:rsidR="000F5A4A">
        <w:t xml:space="preserve"> </w:t>
      </w:r>
      <w:r w:rsidR="00501C7C">
        <w:t>prescribed by S</w:t>
      </w:r>
      <w:r w:rsidR="000F5A4A">
        <w:t xml:space="preserve">ection 6 </w:t>
      </w:r>
      <w:r w:rsidR="00501C7C">
        <w:t>hereinafter,</w:t>
      </w:r>
      <w:r w:rsidR="00501C7C" w:rsidRPr="00501C7C">
        <w:t xml:space="preserve"> </w:t>
      </w:r>
      <w:r w:rsidR="00501C7C">
        <w:t>the provisions of this Order will apply until such a time as the beneficial pension arrangement begins to apply</w:t>
      </w:r>
      <w:r w:rsidR="000F5A4A">
        <w:t>.</w:t>
      </w:r>
    </w:p>
    <w:p w14:paraId="42CE778A" w14:textId="76973808" w:rsidR="000F5A4A" w:rsidRDefault="000F5A4A" w:rsidP="00501C7C">
      <w:pPr>
        <w:ind w:left="720"/>
        <w:jc w:val="both"/>
      </w:pPr>
      <w:r>
        <w:t xml:space="preserve">(5) A person who on the </w:t>
      </w:r>
      <w:r w:rsidR="00501C7C">
        <w:t>Effective D</w:t>
      </w:r>
      <w:r>
        <w:t>ate or thereafter is insured</w:t>
      </w:r>
      <w:r w:rsidR="00501C7C">
        <w:t>,</w:t>
      </w:r>
      <w:r>
        <w:t xml:space="preserve"> or whose employer is obligated to insure him </w:t>
      </w:r>
      <w:r w:rsidR="00501C7C">
        <w:t xml:space="preserve">under </w:t>
      </w:r>
      <w:r>
        <w:t xml:space="preserve">a </w:t>
      </w:r>
      <w:r w:rsidR="00501C7C">
        <w:t xml:space="preserve">Pension Insurance Agreement </w:t>
      </w:r>
      <w:r>
        <w:t>in a</w:t>
      </w:r>
      <w:r w:rsidR="00501C7C">
        <w:t>n</w:t>
      </w:r>
      <w:r>
        <w:t xml:space="preserve"> </w:t>
      </w:r>
      <w:r w:rsidR="00501C7C">
        <w:t xml:space="preserve">unfunded </w:t>
      </w:r>
      <w:r>
        <w:t>pension</w:t>
      </w:r>
      <w:r w:rsidR="00501C7C">
        <w:t>,</w:t>
      </w:r>
      <w:r>
        <w:t xml:space="preserve"> in a plan that grants the </w:t>
      </w:r>
      <w:r w:rsidR="00102C34">
        <w:t>E</w:t>
      </w:r>
      <w:r>
        <w:t xml:space="preserve">mployee the right to </w:t>
      </w:r>
      <w:r w:rsidR="00102C34">
        <w:t xml:space="preserve">an </w:t>
      </w:r>
      <w:proofErr w:type="spellStart"/>
      <w:r>
        <w:t>old</w:t>
      </w:r>
      <w:proofErr w:type="spellEnd"/>
      <w:r>
        <w:t xml:space="preserve"> age pension</w:t>
      </w:r>
      <w:r w:rsidR="00501C7C">
        <w:t>,</w:t>
      </w:r>
      <w:r>
        <w:t xml:space="preserve"> and cover</w:t>
      </w:r>
      <w:r w:rsidR="00501C7C">
        <w:t>age</w:t>
      </w:r>
      <w:r>
        <w:t xml:space="preserve"> in </w:t>
      </w:r>
      <w:r w:rsidR="00501C7C">
        <w:t xml:space="preserve">the event </w:t>
      </w:r>
      <w:r>
        <w:t>of death and disability</w:t>
      </w:r>
      <w:r w:rsidR="00501C7C">
        <w:t>,</w:t>
      </w:r>
      <w:r>
        <w:t xml:space="preserve"> paid </w:t>
      </w:r>
      <w:r w:rsidR="00501C7C">
        <w:t xml:space="preserve">for </w:t>
      </w:r>
      <w:r>
        <w:t xml:space="preserve">by the employer (directly or through a provident fund as a whole) </w:t>
      </w:r>
      <w:r w:rsidR="00501C7C">
        <w:t>provided that the arrangements are more favourable that those p</w:t>
      </w:r>
      <w:r>
        <w:t>rescribed in this Order.</w:t>
      </w:r>
    </w:p>
    <w:p w14:paraId="05CCB484" w14:textId="49637FD4" w:rsidR="000F5A4A" w:rsidRDefault="000F5A4A" w:rsidP="000F5A4A">
      <w:pPr>
        <w:ind w:left="720"/>
        <w:jc w:val="both"/>
      </w:pPr>
      <w:r>
        <w:t xml:space="preserve">The provisions of </w:t>
      </w:r>
      <w:r w:rsidR="00501C7C">
        <w:t>S</w:t>
      </w:r>
      <w:r>
        <w:t xml:space="preserve">ection 5(a) </w:t>
      </w:r>
      <w:r w:rsidR="00501C7C">
        <w:t xml:space="preserve">hereinafter </w:t>
      </w:r>
      <w:r>
        <w:t xml:space="preserve">shall also apply to the provisions of </w:t>
      </w:r>
      <w:r w:rsidR="00501C7C">
        <w:t>subsections (</w:t>
      </w:r>
      <w:r>
        <w:t>1</w:t>
      </w:r>
      <w:r w:rsidR="00501C7C">
        <w:t>)</w:t>
      </w:r>
      <w:r>
        <w:t xml:space="preserve"> t</w:t>
      </w:r>
      <w:r w:rsidR="00501C7C">
        <w:t>hrough</w:t>
      </w:r>
      <w:r>
        <w:t xml:space="preserve"> </w:t>
      </w:r>
      <w:r w:rsidR="00501C7C">
        <w:t>(</w:t>
      </w:r>
      <w:r>
        <w:t>5</w:t>
      </w:r>
      <w:r w:rsidR="00501C7C">
        <w:t>) (jointly hereinafter – the Beneficial Pension Arrangement)</w:t>
      </w:r>
    </w:p>
    <w:p w14:paraId="1935D517" w14:textId="20BB5369" w:rsidR="000F5A4A" w:rsidRDefault="000F5A4A" w:rsidP="000F5A4A">
      <w:pPr>
        <w:ind w:left="720"/>
        <w:jc w:val="both"/>
      </w:pPr>
      <w:r>
        <w:t xml:space="preserve">As of January 1, 2014, the words </w:t>
      </w:r>
      <w:r w:rsidR="00501C7C">
        <w:t xml:space="preserve">“The provisions of Section 5(a) hereinafter shall also apply to the provisions of subsections (1) through (5) (jointly hereinafter – the Beneficial Pension </w:t>
      </w:r>
      <w:r w:rsidR="00501C7C">
        <w:lastRenderedPageBreak/>
        <w:t>Arrangement)</w:t>
      </w:r>
      <w:r>
        <w:t>,</w:t>
      </w:r>
      <w:r w:rsidR="00102C34">
        <w:t>”</w:t>
      </w:r>
      <w:r>
        <w:t xml:space="preserve"> </w:t>
      </w:r>
      <w:r w:rsidR="00501C7C">
        <w:t xml:space="preserve">will be deleted, </w:t>
      </w:r>
      <w:r>
        <w:t xml:space="preserve">and the words </w:t>
      </w:r>
      <w:r w:rsidR="00501C7C">
        <w:t>“The provisions of Section 5(a) hereinafter shall also apply to the provisions of subsections (1) through (5)”</w:t>
      </w:r>
      <w:r>
        <w:t>;</w:t>
      </w:r>
    </w:p>
    <w:p w14:paraId="413CA27B" w14:textId="313E0387" w:rsidR="000F5A4A" w:rsidRDefault="000F5A4A" w:rsidP="000F5A4A">
      <w:pPr>
        <w:ind w:left="720"/>
        <w:jc w:val="both"/>
      </w:pPr>
      <w:r>
        <w:t xml:space="preserve">(6) A person who retired at the age of compulsory retirement and receives a </w:t>
      </w:r>
      <w:r w:rsidR="00501C7C">
        <w:t>stipend</w:t>
      </w:r>
      <w:r>
        <w:t xml:space="preserve">; </w:t>
      </w:r>
      <w:r w:rsidR="00501C7C">
        <w:t>A “Stipend”</w:t>
      </w:r>
      <w:r>
        <w:t xml:space="preserve"> in this </w:t>
      </w:r>
      <w:r w:rsidR="00501C7C">
        <w:t>S</w:t>
      </w:r>
      <w:r>
        <w:t xml:space="preserve">ection </w:t>
      </w:r>
      <w:r w:rsidR="00501C7C">
        <w:t>–</w:t>
      </w:r>
      <w:r>
        <w:t xml:space="preserve"> </w:t>
      </w:r>
      <w:r w:rsidR="00501C7C">
        <w:t>E</w:t>
      </w:r>
      <w:r>
        <w:t>xcluding</w:t>
      </w:r>
      <w:r w:rsidR="00501C7C">
        <w:t xml:space="preserve"> stipends </w:t>
      </w:r>
      <w:r>
        <w:t>and benefits from the National Insurance Institute;</w:t>
      </w:r>
    </w:p>
    <w:p w14:paraId="39539E3C" w14:textId="47A5B2A3" w:rsidR="000F5A4A" w:rsidRDefault="000F5A4A" w:rsidP="000F5A4A">
      <w:pPr>
        <w:ind w:left="720"/>
        <w:jc w:val="both"/>
      </w:pPr>
      <w:r>
        <w:t xml:space="preserve">(7) A person who has not yet reached the age of 20 years </w:t>
      </w:r>
      <w:r w:rsidR="00501C7C">
        <w:t xml:space="preserve">for a woman, </w:t>
      </w:r>
      <w:r>
        <w:t>and 21 years</w:t>
      </w:r>
      <w:r w:rsidR="00501C7C">
        <w:t xml:space="preserve"> for a man</w:t>
      </w:r>
      <w:r>
        <w:t xml:space="preserve">. </w:t>
      </w:r>
      <w:r w:rsidR="001D079A">
        <w:t xml:space="preserve">For the avoidance of </w:t>
      </w:r>
      <w:r>
        <w:t>doubt, it is hereby clarified</w:t>
      </w:r>
      <w:r w:rsidR="001D079A">
        <w:t>,</w:t>
      </w:r>
      <w:r>
        <w:t xml:space="preserve"> that </w:t>
      </w:r>
      <w:r w:rsidR="00102C34">
        <w:t xml:space="preserve">once </w:t>
      </w:r>
      <w:r w:rsidR="001D079A">
        <w:t xml:space="preserve">the </w:t>
      </w:r>
      <w:r w:rsidR="00102C34">
        <w:t>E</w:t>
      </w:r>
      <w:r w:rsidR="001D079A">
        <w:t xml:space="preserve">mployee </w:t>
      </w:r>
      <w:r>
        <w:t>reach</w:t>
      </w:r>
      <w:r w:rsidR="00102C34">
        <w:t>es</w:t>
      </w:r>
      <w:r>
        <w:t xml:space="preserve"> said age, the provisions of this Order shall apply to </w:t>
      </w:r>
      <w:r w:rsidR="001D079A">
        <w:t>him / her</w:t>
      </w:r>
      <w:r>
        <w:t xml:space="preserve">, </w:t>
      </w:r>
      <w:proofErr w:type="gramStart"/>
      <w:r>
        <w:t>taking into account</w:t>
      </w:r>
      <w:proofErr w:type="gramEnd"/>
      <w:r>
        <w:t xml:space="preserve">, for the </w:t>
      </w:r>
      <w:r w:rsidR="001D079A">
        <w:t xml:space="preserve">purposes of </w:t>
      </w:r>
      <w:r>
        <w:t>calculati</w:t>
      </w:r>
      <w:r w:rsidR="001D079A">
        <w:t>ng</w:t>
      </w:r>
      <w:r>
        <w:t xml:space="preserve"> the waiting period as defined </w:t>
      </w:r>
      <w:r w:rsidR="001D079A">
        <w:t>hereinafter</w:t>
      </w:r>
      <w:r>
        <w:t xml:space="preserve">, the period of his </w:t>
      </w:r>
      <w:r w:rsidR="001D079A">
        <w:t xml:space="preserve">/ her </w:t>
      </w:r>
      <w:r>
        <w:t xml:space="preserve">employment </w:t>
      </w:r>
      <w:r w:rsidR="001D079A">
        <w:t xml:space="preserve">prior to his / her attaining </w:t>
      </w:r>
      <w:r>
        <w:t>said age.</w:t>
      </w:r>
    </w:p>
    <w:p w14:paraId="6C78F557" w14:textId="1483B982" w:rsidR="001C13B3" w:rsidRPr="00955E73" w:rsidRDefault="00955E73" w:rsidP="00FA5B41">
      <w:pPr>
        <w:jc w:val="both"/>
        <w:rPr>
          <w:b/>
          <w:bCs/>
        </w:rPr>
      </w:pPr>
      <w:r w:rsidRPr="00955E73">
        <w:rPr>
          <w:b/>
          <w:bCs/>
        </w:rPr>
        <w:t>The Following is Emphasised and Clarified:</w:t>
      </w:r>
    </w:p>
    <w:p w14:paraId="1425C0C5" w14:textId="56559426" w:rsidR="00955E73" w:rsidRDefault="00955E73" w:rsidP="00955E73">
      <w:pPr>
        <w:ind w:left="720" w:hanging="720"/>
        <w:jc w:val="both"/>
      </w:pPr>
      <w:r>
        <w:t>5.A.</w:t>
      </w:r>
      <w:r>
        <w:tab/>
        <w:t xml:space="preserve">This Order does not prejudice and/or derogate from and/or diminish </w:t>
      </w:r>
      <w:r w:rsidR="00102C34">
        <w:t>E</w:t>
      </w:r>
      <w:r>
        <w:t xml:space="preserve">mployees’ rights with respect to whom a </w:t>
      </w:r>
      <w:r w:rsidR="00102C34">
        <w:t xml:space="preserve">Beneficial Pension Arrangement </w:t>
      </w:r>
      <w:r>
        <w:t xml:space="preserve">applies, including an agreement and/or other arrangement, including a general collective agreement, a special collective agreement, collective agreement and/or personal agreement and/or extension order and/or </w:t>
      </w:r>
      <w:r w:rsidR="00102C34">
        <w:t xml:space="preserve">any </w:t>
      </w:r>
      <w:r>
        <w:t xml:space="preserve">law, provided that a pension arrangement that </w:t>
      </w:r>
      <w:r w:rsidR="00102C34">
        <w:t>is</w:t>
      </w:r>
      <w:r>
        <w:t xml:space="preserve"> </w:t>
      </w:r>
      <w:r w:rsidR="00102C34">
        <w:t xml:space="preserve">a </w:t>
      </w:r>
      <w:r>
        <w:t xml:space="preserve">more favourable pension arrangement </w:t>
      </w:r>
      <w:r w:rsidR="00102C34">
        <w:t xml:space="preserve">than </w:t>
      </w:r>
      <w:r>
        <w:t>the one established in this Order, is anchored therein.</w:t>
      </w:r>
    </w:p>
    <w:p w14:paraId="076114B2" w14:textId="7F3DCC7A" w:rsidR="00955E73" w:rsidRDefault="00955E73" w:rsidP="00955E73">
      <w:pPr>
        <w:ind w:left="720"/>
        <w:jc w:val="both"/>
      </w:pPr>
      <w:r>
        <w:t xml:space="preserve">For the avoidance of doubt, it is clarified, that </w:t>
      </w:r>
      <w:proofErr w:type="gramStart"/>
      <w:r>
        <w:t>in the event that</w:t>
      </w:r>
      <w:proofErr w:type="gramEnd"/>
      <w:r>
        <w:t xml:space="preserve"> the rates of contributions </w:t>
      </w:r>
      <w:r w:rsidR="00102C34">
        <w:t xml:space="preserve">towards </w:t>
      </w:r>
      <w:r>
        <w:t xml:space="preserve">pension benefits (the </w:t>
      </w:r>
      <w:r w:rsidR="00102C34">
        <w:t>E</w:t>
      </w:r>
      <w:r>
        <w:t xml:space="preserve">mployee’s share and the employer’s share) are lower than the rates set out in the table in section 6D of this Order, the increase of said rates shall be done according to the rates and dates specified in the table. The aforesaid will apply also </w:t>
      </w:r>
      <w:proofErr w:type="gramStart"/>
      <w:r>
        <w:t>in the event that</w:t>
      </w:r>
      <w:proofErr w:type="gramEnd"/>
      <w:r>
        <w:t xml:space="preserve"> the rate of contributions towards severance pay is lower than as set forth in the table.</w:t>
      </w:r>
    </w:p>
    <w:p w14:paraId="32639CF3" w14:textId="1793E417" w:rsidR="00955E73" w:rsidRDefault="00955E73" w:rsidP="00955E73">
      <w:pPr>
        <w:ind w:left="720"/>
        <w:jc w:val="both"/>
      </w:pPr>
      <w:r>
        <w:t>For the avoidance of doubt, and the forgoing notwithstanding, in the event that the employment agreements that apply to the employer contain a duty to deposit for pension benefits, and there is no obligation to deposit towards the severance pay component, the employer will be subject to a duty to transfer the “severance pay” component, in accordance with the rates, dates, and salary set forth in Section 6 hereinafter, from the Effective Date or thereafter.</w:t>
      </w:r>
    </w:p>
    <w:p w14:paraId="3288D72B" w14:textId="5F228984" w:rsidR="00955E73" w:rsidRDefault="00955E73" w:rsidP="00905EBD">
      <w:pPr>
        <w:ind w:left="720" w:hanging="720"/>
        <w:jc w:val="both"/>
      </w:pPr>
      <w:r>
        <w:t xml:space="preserve">B. </w:t>
      </w:r>
      <w:r>
        <w:tab/>
        <w:t xml:space="preserve">This Order does not prejudice and/or derogate from and/or diminish from the right of anyone, on  account of whose salary </w:t>
      </w:r>
      <w:r w:rsidR="00905EBD">
        <w:t xml:space="preserve">non-pension contributions are made </w:t>
      </w:r>
      <w:r>
        <w:t xml:space="preserve">to a provident fund at the rate of 5% </w:t>
      </w:r>
      <w:r w:rsidR="00905EBD">
        <w:t xml:space="preserve">as </w:t>
      </w:r>
      <w:r>
        <w:t xml:space="preserve">the </w:t>
      </w:r>
      <w:r w:rsidR="00F82FCD">
        <w:t>E</w:t>
      </w:r>
      <w:r>
        <w:t>mployee</w:t>
      </w:r>
      <w:r w:rsidR="00905EBD">
        <w:t>’</w:t>
      </w:r>
      <w:r>
        <w:t xml:space="preserve">s share and 5% </w:t>
      </w:r>
      <w:r w:rsidR="00905EBD">
        <w:t xml:space="preserve">as </w:t>
      </w:r>
      <w:r>
        <w:t>the employer</w:t>
      </w:r>
      <w:r w:rsidR="00905EBD">
        <w:t>’</w:t>
      </w:r>
      <w:r>
        <w:t xml:space="preserve">s share and/or any other rate </w:t>
      </w:r>
      <w:r w:rsidR="00905EBD">
        <w:t xml:space="preserve">and/or contributions on account of his salary are made </w:t>
      </w:r>
      <w:r>
        <w:t xml:space="preserve">to a </w:t>
      </w:r>
      <w:r w:rsidR="00905EBD">
        <w:t xml:space="preserve">study fund and/or </w:t>
      </w:r>
      <w:r>
        <w:t xml:space="preserve">provident fund for the self-employed and/or </w:t>
      </w:r>
      <w:r w:rsidR="00905EBD">
        <w:t xml:space="preserve">to </w:t>
      </w:r>
      <w:r>
        <w:t>any other insurance that is not pension insurance.</w:t>
      </w:r>
    </w:p>
    <w:p w14:paraId="46B34BA3" w14:textId="18A77393" w:rsidR="00955E73" w:rsidRDefault="00955E73" w:rsidP="00955E73">
      <w:pPr>
        <w:ind w:left="720" w:hanging="720"/>
        <w:jc w:val="both"/>
      </w:pPr>
      <w:r>
        <w:t xml:space="preserve">C. </w:t>
      </w:r>
      <w:r>
        <w:tab/>
        <w:t xml:space="preserve">An employer who is obligated to insure his </w:t>
      </w:r>
      <w:r w:rsidR="00F82FCD">
        <w:t>E</w:t>
      </w:r>
      <w:r>
        <w:t xml:space="preserve">mployees in another </w:t>
      </w:r>
      <w:r w:rsidR="00F82FCD">
        <w:t>Beneficial Pension Arrangement</w:t>
      </w:r>
      <w:r w:rsidR="00905EBD">
        <w:t>,</w:t>
      </w:r>
      <w:r>
        <w:t xml:space="preserve"> and who has not insured his </w:t>
      </w:r>
      <w:r w:rsidR="00F82FCD">
        <w:t>E</w:t>
      </w:r>
      <w:r>
        <w:t xml:space="preserve">mployees as required </w:t>
      </w:r>
      <w:r w:rsidR="00905EBD">
        <w:t xml:space="preserve">of </w:t>
      </w:r>
      <w:r>
        <w:t xml:space="preserve">him, the provisions of this </w:t>
      </w:r>
      <w:r w:rsidR="00905EBD">
        <w:t>O</w:t>
      </w:r>
      <w:r>
        <w:t xml:space="preserve">rder shall not detract from and/or </w:t>
      </w:r>
      <w:r w:rsidR="00905EBD">
        <w:t xml:space="preserve">prejudice </w:t>
      </w:r>
      <w:r>
        <w:t xml:space="preserve">his obligation to implement the </w:t>
      </w:r>
      <w:r w:rsidR="00F82FCD">
        <w:t xml:space="preserve">Beneficial Pension Arrangement </w:t>
      </w:r>
      <w:r>
        <w:t>and in accordance therewith.</w:t>
      </w:r>
    </w:p>
    <w:p w14:paraId="67697CD6" w14:textId="2A1B2A0F" w:rsidR="00955E73" w:rsidRPr="00905EBD" w:rsidRDefault="00905EBD" w:rsidP="00955E73">
      <w:pPr>
        <w:jc w:val="both"/>
        <w:rPr>
          <w:b/>
          <w:bCs/>
        </w:rPr>
      </w:pPr>
      <w:r w:rsidRPr="00905EBD">
        <w:rPr>
          <w:b/>
          <w:bCs/>
        </w:rPr>
        <w:t xml:space="preserve">Pension Insurance Duty </w:t>
      </w:r>
    </w:p>
    <w:p w14:paraId="54E708AA" w14:textId="689CF154" w:rsidR="00955E73" w:rsidRDefault="00955E73" w:rsidP="00905EBD">
      <w:pPr>
        <w:ind w:left="720" w:hanging="720"/>
        <w:jc w:val="both"/>
      </w:pPr>
      <w:r>
        <w:t xml:space="preserve">6. </w:t>
      </w:r>
      <w:r>
        <w:tab/>
        <w:t xml:space="preserve">Subject to the provisions of this Order, and </w:t>
      </w:r>
      <w:proofErr w:type="gramStart"/>
      <w:r w:rsidR="00905EBD">
        <w:t xml:space="preserve">in particular </w:t>
      </w:r>
      <w:r>
        <w:t>the</w:t>
      </w:r>
      <w:proofErr w:type="gramEnd"/>
      <w:r>
        <w:t xml:space="preserve"> provisions of Section 4A above (with all its sub-sections), the pension insurance </w:t>
      </w:r>
      <w:r w:rsidR="00905EBD">
        <w:t>duty wi</w:t>
      </w:r>
      <w:r>
        <w:t xml:space="preserve">ll apply only to an </w:t>
      </w:r>
      <w:r w:rsidR="00F82FCD">
        <w:t>E</w:t>
      </w:r>
      <w:r>
        <w:t>mployee, as defined in this Order and to his employer, at this stage,</w:t>
      </w:r>
      <w:r w:rsidR="00905EBD">
        <w:t xml:space="preserve"> on the following terms and conditions:</w:t>
      </w:r>
    </w:p>
    <w:p w14:paraId="3E444351" w14:textId="0CE17DEB" w:rsidR="00955E73" w:rsidRDefault="00955E73" w:rsidP="00F82FCD">
      <w:pPr>
        <w:ind w:left="720"/>
        <w:jc w:val="both"/>
      </w:pPr>
      <w:r>
        <w:lastRenderedPageBreak/>
        <w:t xml:space="preserve">A. </w:t>
      </w:r>
      <w:r>
        <w:tab/>
        <w:t xml:space="preserve">The </w:t>
      </w:r>
      <w:r w:rsidR="00F82FCD">
        <w:t>E</w:t>
      </w:r>
      <w:r>
        <w:t xml:space="preserve">mployee </w:t>
      </w:r>
      <w:r w:rsidR="00905EBD">
        <w:t>wi</w:t>
      </w:r>
      <w:r>
        <w:t xml:space="preserve">ll be insured </w:t>
      </w:r>
      <w:r w:rsidR="00905EBD">
        <w:t>with</w:t>
      </w:r>
      <w:r>
        <w:t xml:space="preserve"> pension insurance, as stated in </w:t>
      </w:r>
      <w:r w:rsidR="00905EBD">
        <w:t>S</w:t>
      </w:r>
      <w:r>
        <w:t xml:space="preserve">ection 3 of this </w:t>
      </w:r>
      <w:r w:rsidR="00905EBD">
        <w:t>O</w:t>
      </w:r>
      <w:r>
        <w:t>rder;</w:t>
      </w:r>
    </w:p>
    <w:p w14:paraId="5BD740EF" w14:textId="1DADA150" w:rsidR="00955E73" w:rsidRDefault="00955E73" w:rsidP="00F82FCD">
      <w:pPr>
        <w:ind w:left="1440" w:hanging="720"/>
        <w:jc w:val="both"/>
      </w:pPr>
      <w:r>
        <w:t xml:space="preserve">B. </w:t>
      </w:r>
      <w:r>
        <w:tab/>
        <w:t xml:space="preserve">The </w:t>
      </w:r>
      <w:r w:rsidR="00F82FCD">
        <w:t>E</w:t>
      </w:r>
      <w:r>
        <w:t>mployee</w:t>
      </w:r>
      <w:r w:rsidR="00905EBD">
        <w:t>’</w:t>
      </w:r>
      <w:r>
        <w:t xml:space="preserve">s insured salary </w:t>
      </w:r>
      <w:proofErr w:type="gramStart"/>
      <w:r>
        <w:t>for the purpose of</w:t>
      </w:r>
      <w:proofErr w:type="gramEnd"/>
      <w:r>
        <w:t xml:space="preserve"> making the </w:t>
      </w:r>
      <w:r w:rsidR="00905EBD">
        <w:t xml:space="preserve">contributions </w:t>
      </w:r>
      <w:r>
        <w:t xml:space="preserve">is the </w:t>
      </w:r>
      <w:r w:rsidR="00F82FCD">
        <w:t>E</w:t>
      </w:r>
      <w:r>
        <w:t>mployee</w:t>
      </w:r>
      <w:r w:rsidR="00905EBD">
        <w:t>’</w:t>
      </w:r>
      <w:r>
        <w:t xml:space="preserve">s salary and </w:t>
      </w:r>
      <w:r w:rsidR="00905EBD">
        <w:t xml:space="preserve">its </w:t>
      </w:r>
      <w:r>
        <w:t>components</w:t>
      </w:r>
      <w:r w:rsidR="00905EBD">
        <w:t>,</w:t>
      </w:r>
      <w:r>
        <w:t xml:space="preserve"> as defined in the </w:t>
      </w:r>
      <w:r w:rsidR="00905EBD">
        <w:t xml:space="preserve">Act </w:t>
      </w:r>
      <w:r>
        <w:t>and in the Severance Pay Regulations, up to the ceiling specified in subsection (c);</w:t>
      </w:r>
    </w:p>
    <w:p w14:paraId="6BE2E7BD" w14:textId="3B949FD8" w:rsidR="00955E73" w:rsidRDefault="00955E73" w:rsidP="00F82FCD">
      <w:pPr>
        <w:ind w:left="1440" w:hanging="720"/>
        <w:jc w:val="both"/>
      </w:pPr>
      <w:r>
        <w:t xml:space="preserve">C. </w:t>
      </w:r>
      <w:r>
        <w:tab/>
        <w:t xml:space="preserve">The pension insurance </w:t>
      </w:r>
      <w:r w:rsidR="00905EBD">
        <w:t>duty wi</w:t>
      </w:r>
      <w:r>
        <w:t xml:space="preserve">ll apply to the </w:t>
      </w:r>
      <w:r w:rsidR="00905EBD">
        <w:t xml:space="preserve">salary </w:t>
      </w:r>
      <w:r>
        <w:t xml:space="preserve">paid to the </w:t>
      </w:r>
      <w:r w:rsidR="00F82FCD">
        <w:t>E</w:t>
      </w:r>
      <w:r>
        <w:t xml:space="preserve">mployee, or the </w:t>
      </w:r>
      <w:r w:rsidR="00905EBD">
        <w:t xml:space="preserve">Average Salary </w:t>
      </w:r>
      <w:r>
        <w:t xml:space="preserve">in the </w:t>
      </w:r>
      <w:r w:rsidR="00905EBD">
        <w:t xml:space="preserve">Marketplace, </w:t>
      </w:r>
      <w:r>
        <w:t>as updated from time to time, whichever is lower;</w:t>
      </w:r>
    </w:p>
    <w:p w14:paraId="1C707E14" w14:textId="4EA2AB88" w:rsidR="00955E73" w:rsidRDefault="00955E73" w:rsidP="00F82FCD">
      <w:pPr>
        <w:ind w:left="1440" w:hanging="720"/>
        <w:jc w:val="both"/>
      </w:pPr>
      <w:r>
        <w:t xml:space="preserve">D. </w:t>
      </w:r>
      <w:r>
        <w:tab/>
        <w:t xml:space="preserve">The rates of the </w:t>
      </w:r>
      <w:r w:rsidR="00905EBD">
        <w:t xml:space="preserve">contributions </w:t>
      </w:r>
      <w:r>
        <w:t>from salary</w:t>
      </w:r>
      <w:r w:rsidR="00905EBD">
        <w:t>,</w:t>
      </w:r>
      <w:r>
        <w:t xml:space="preserve"> as defined in this </w:t>
      </w:r>
      <w:r w:rsidR="00F82FCD">
        <w:t>S</w:t>
      </w:r>
      <w:r>
        <w:t>ection above</w:t>
      </w:r>
      <w:r w:rsidR="00905EBD">
        <w:t>,</w:t>
      </w:r>
      <w:r>
        <w:t xml:space="preserve"> shall be in accordance with the following, subject to the Commissioner</w:t>
      </w:r>
      <w:r w:rsidR="00905EBD">
        <w:t>’</w:t>
      </w:r>
      <w:r>
        <w:t xml:space="preserve">s instructions, the Income Tax Regulations and the </w:t>
      </w:r>
      <w:r w:rsidR="00F82FCD">
        <w:t>f</w:t>
      </w:r>
      <w:r>
        <w:t>und</w:t>
      </w:r>
      <w:r w:rsidR="00F82FCD">
        <w:t>’s</w:t>
      </w:r>
      <w:r>
        <w:t xml:space="preserve"> </w:t>
      </w:r>
      <w:r w:rsidR="00F82FCD">
        <w:t>r</w:t>
      </w:r>
      <w:r>
        <w:t xml:space="preserve">egulations, and </w:t>
      </w:r>
      <w:r w:rsidR="00905EBD">
        <w:t>wi</w:t>
      </w:r>
      <w:r>
        <w:t>ll be paid monthly in accordance with th</w:t>
      </w:r>
      <w:r w:rsidR="00905EBD">
        <w:t xml:space="preserve">e following </w:t>
      </w:r>
      <w:r>
        <w:t>table:</w:t>
      </w:r>
    </w:p>
    <w:tbl>
      <w:tblPr>
        <w:tblStyle w:val="TableGrid"/>
        <w:tblW w:w="7838" w:type="dxa"/>
        <w:tblInd w:w="1514" w:type="dxa"/>
        <w:tblLook w:val="04A0" w:firstRow="1" w:lastRow="0" w:firstColumn="1" w:lastColumn="0" w:noHBand="0" w:noVBand="1"/>
      </w:tblPr>
      <w:tblGrid>
        <w:gridCol w:w="1735"/>
        <w:gridCol w:w="1439"/>
        <w:gridCol w:w="1439"/>
        <w:gridCol w:w="2232"/>
        <w:gridCol w:w="993"/>
      </w:tblGrid>
      <w:tr w:rsidR="00905EBD" w14:paraId="005DEB2A" w14:textId="77777777" w:rsidTr="00F82FCD">
        <w:trPr>
          <w:trHeight w:val="784"/>
        </w:trPr>
        <w:tc>
          <w:tcPr>
            <w:tcW w:w="1735" w:type="dxa"/>
          </w:tcPr>
          <w:p w14:paraId="1F772BD8" w14:textId="1BBC5310" w:rsidR="00905EBD" w:rsidRDefault="00905EBD" w:rsidP="00FA5B41">
            <w:pPr>
              <w:jc w:val="both"/>
            </w:pPr>
            <w:r>
              <w:t>Commencing On</w:t>
            </w:r>
          </w:p>
        </w:tc>
        <w:tc>
          <w:tcPr>
            <w:tcW w:w="1439" w:type="dxa"/>
          </w:tcPr>
          <w:p w14:paraId="39D9D30A" w14:textId="1FBFD04C" w:rsidR="00905EBD" w:rsidRDefault="00905EBD" w:rsidP="00FA5B41">
            <w:pPr>
              <w:jc w:val="both"/>
            </w:pPr>
            <w:r>
              <w:t>Employer Contributions</w:t>
            </w:r>
          </w:p>
        </w:tc>
        <w:tc>
          <w:tcPr>
            <w:tcW w:w="1439" w:type="dxa"/>
          </w:tcPr>
          <w:p w14:paraId="7481EABD" w14:textId="68E9E7A6" w:rsidR="00905EBD" w:rsidRDefault="00905EBD" w:rsidP="00905EBD">
            <w:pPr>
              <w:jc w:val="both"/>
            </w:pPr>
            <w:r>
              <w:t>Employee Contributions</w:t>
            </w:r>
          </w:p>
        </w:tc>
        <w:tc>
          <w:tcPr>
            <w:tcW w:w="2232" w:type="dxa"/>
          </w:tcPr>
          <w:p w14:paraId="37175922" w14:textId="470C4365" w:rsidR="00905EBD" w:rsidRDefault="00905EBD" w:rsidP="00FA5B41">
            <w:pPr>
              <w:jc w:val="both"/>
            </w:pPr>
            <w:r>
              <w:t xml:space="preserve">Employer Contributions </w:t>
            </w:r>
            <w:r w:rsidR="00F82FCD">
              <w:t>towards</w:t>
            </w:r>
            <w:r>
              <w:t xml:space="preserve"> Severance</w:t>
            </w:r>
            <w:r w:rsidR="00F82FCD">
              <w:t xml:space="preserve"> Pay</w:t>
            </w:r>
          </w:p>
        </w:tc>
        <w:tc>
          <w:tcPr>
            <w:tcW w:w="993" w:type="dxa"/>
          </w:tcPr>
          <w:p w14:paraId="15C34C97" w14:textId="2EE0B9E3" w:rsidR="00905EBD" w:rsidRDefault="00905EBD" w:rsidP="00FA5B41">
            <w:pPr>
              <w:jc w:val="both"/>
            </w:pPr>
            <w:r>
              <w:t>Total</w:t>
            </w:r>
          </w:p>
        </w:tc>
      </w:tr>
      <w:tr w:rsidR="00905EBD" w14:paraId="6D11ECD1" w14:textId="77777777" w:rsidTr="00F82FCD">
        <w:trPr>
          <w:trHeight w:val="264"/>
        </w:trPr>
        <w:tc>
          <w:tcPr>
            <w:tcW w:w="1735" w:type="dxa"/>
          </w:tcPr>
          <w:p w14:paraId="2E13677A" w14:textId="0E961C84" w:rsidR="00905EBD" w:rsidRDefault="00905EBD" w:rsidP="00FA5B41">
            <w:pPr>
              <w:jc w:val="both"/>
            </w:pPr>
            <w:r>
              <w:t>January 1, 2008</w:t>
            </w:r>
          </w:p>
        </w:tc>
        <w:tc>
          <w:tcPr>
            <w:tcW w:w="1439" w:type="dxa"/>
          </w:tcPr>
          <w:p w14:paraId="39757629" w14:textId="026D0819" w:rsidR="00905EBD" w:rsidRDefault="00905EBD" w:rsidP="00F82FCD">
            <w:pPr>
              <w:jc w:val="center"/>
            </w:pPr>
            <w:r>
              <w:t>0.833%</w:t>
            </w:r>
          </w:p>
        </w:tc>
        <w:tc>
          <w:tcPr>
            <w:tcW w:w="1439" w:type="dxa"/>
          </w:tcPr>
          <w:p w14:paraId="6A42C5A7" w14:textId="0DF7BD79" w:rsidR="00905EBD" w:rsidRDefault="00905EBD" w:rsidP="00F82FCD">
            <w:pPr>
              <w:jc w:val="center"/>
            </w:pPr>
            <w:r>
              <w:t>0.833%</w:t>
            </w:r>
          </w:p>
        </w:tc>
        <w:tc>
          <w:tcPr>
            <w:tcW w:w="2232" w:type="dxa"/>
          </w:tcPr>
          <w:p w14:paraId="1EA591CE" w14:textId="67956EE0" w:rsidR="00905EBD" w:rsidRDefault="00905EBD" w:rsidP="00F82FCD">
            <w:pPr>
              <w:jc w:val="center"/>
            </w:pPr>
            <w:r>
              <w:t>0.834%</w:t>
            </w:r>
          </w:p>
        </w:tc>
        <w:tc>
          <w:tcPr>
            <w:tcW w:w="993" w:type="dxa"/>
          </w:tcPr>
          <w:p w14:paraId="50D74229" w14:textId="21573AAC" w:rsidR="00905EBD" w:rsidRDefault="00905EBD" w:rsidP="00F82FCD">
            <w:pPr>
              <w:jc w:val="center"/>
            </w:pPr>
            <w:r>
              <w:t>2.5%</w:t>
            </w:r>
          </w:p>
        </w:tc>
      </w:tr>
      <w:tr w:rsidR="00905EBD" w14:paraId="71A3F469" w14:textId="77777777" w:rsidTr="00F82FCD">
        <w:trPr>
          <w:trHeight w:val="264"/>
        </w:trPr>
        <w:tc>
          <w:tcPr>
            <w:tcW w:w="1735" w:type="dxa"/>
          </w:tcPr>
          <w:p w14:paraId="3D940516" w14:textId="40908004" w:rsidR="00905EBD" w:rsidRDefault="00905EBD" w:rsidP="00FA5B41">
            <w:pPr>
              <w:jc w:val="both"/>
            </w:pPr>
            <w:r>
              <w:t>January 1, 2009</w:t>
            </w:r>
          </w:p>
        </w:tc>
        <w:tc>
          <w:tcPr>
            <w:tcW w:w="1439" w:type="dxa"/>
          </w:tcPr>
          <w:p w14:paraId="729402D1" w14:textId="0E9F0FDF" w:rsidR="00905EBD" w:rsidRDefault="00905EBD" w:rsidP="00F82FCD">
            <w:pPr>
              <w:jc w:val="center"/>
            </w:pPr>
            <w:r>
              <w:t>1.66%</w:t>
            </w:r>
          </w:p>
        </w:tc>
        <w:tc>
          <w:tcPr>
            <w:tcW w:w="1439" w:type="dxa"/>
          </w:tcPr>
          <w:p w14:paraId="333D065C" w14:textId="46E73BEE" w:rsidR="00905EBD" w:rsidRDefault="00905EBD" w:rsidP="00F82FCD">
            <w:pPr>
              <w:jc w:val="center"/>
            </w:pPr>
            <w:r>
              <w:t>1.66%</w:t>
            </w:r>
          </w:p>
        </w:tc>
        <w:tc>
          <w:tcPr>
            <w:tcW w:w="2232" w:type="dxa"/>
          </w:tcPr>
          <w:p w14:paraId="4729C9C5" w14:textId="29B3E40C" w:rsidR="00905EBD" w:rsidRDefault="00905EBD" w:rsidP="00F82FCD">
            <w:pPr>
              <w:jc w:val="center"/>
            </w:pPr>
            <w:r>
              <w:t>1.68%</w:t>
            </w:r>
          </w:p>
        </w:tc>
        <w:tc>
          <w:tcPr>
            <w:tcW w:w="993" w:type="dxa"/>
          </w:tcPr>
          <w:p w14:paraId="292E55F2" w14:textId="441E7966" w:rsidR="00905EBD" w:rsidRDefault="00905EBD" w:rsidP="00F82FCD">
            <w:pPr>
              <w:jc w:val="center"/>
            </w:pPr>
            <w:r>
              <w:t>5%</w:t>
            </w:r>
          </w:p>
        </w:tc>
      </w:tr>
      <w:tr w:rsidR="00905EBD" w14:paraId="4C01529E" w14:textId="77777777" w:rsidTr="00F82FCD">
        <w:trPr>
          <w:trHeight w:val="256"/>
        </w:trPr>
        <w:tc>
          <w:tcPr>
            <w:tcW w:w="1735" w:type="dxa"/>
          </w:tcPr>
          <w:p w14:paraId="50EC03A6" w14:textId="349FB520" w:rsidR="00905EBD" w:rsidRDefault="00905EBD" w:rsidP="00FA5B41">
            <w:pPr>
              <w:jc w:val="both"/>
            </w:pPr>
            <w:r>
              <w:t>January 1, 2010</w:t>
            </w:r>
          </w:p>
        </w:tc>
        <w:tc>
          <w:tcPr>
            <w:tcW w:w="1439" w:type="dxa"/>
          </w:tcPr>
          <w:p w14:paraId="0954D4BE" w14:textId="2BA017DE" w:rsidR="00905EBD" w:rsidRDefault="00905EBD" w:rsidP="00F82FCD">
            <w:pPr>
              <w:jc w:val="center"/>
            </w:pPr>
            <w:r>
              <w:t>2.5%</w:t>
            </w:r>
          </w:p>
        </w:tc>
        <w:tc>
          <w:tcPr>
            <w:tcW w:w="1439" w:type="dxa"/>
          </w:tcPr>
          <w:p w14:paraId="167243E9" w14:textId="6ACBD752" w:rsidR="00905EBD" w:rsidRDefault="00905EBD" w:rsidP="00F82FCD">
            <w:pPr>
              <w:jc w:val="center"/>
            </w:pPr>
            <w:r>
              <w:t>2.5%</w:t>
            </w:r>
          </w:p>
        </w:tc>
        <w:tc>
          <w:tcPr>
            <w:tcW w:w="2232" w:type="dxa"/>
          </w:tcPr>
          <w:p w14:paraId="38A3EEAD" w14:textId="291059C1" w:rsidR="00905EBD" w:rsidRDefault="00905EBD" w:rsidP="00F82FCD">
            <w:pPr>
              <w:jc w:val="center"/>
            </w:pPr>
            <w:r>
              <w:t>2.5%</w:t>
            </w:r>
          </w:p>
        </w:tc>
        <w:tc>
          <w:tcPr>
            <w:tcW w:w="993" w:type="dxa"/>
          </w:tcPr>
          <w:p w14:paraId="0408430F" w14:textId="4F2712EB" w:rsidR="00905EBD" w:rsidRDefault="00905EBD" w:rsidP="00F82FCD">
            <w:pPr>
              <w:jc w:val="center"/>
            </w:pPr>
            <w:r>
              <w:t>7.5%</w:t>
            </w:r>
          </w:p>
        </w:tc>
      </w:tr>
      <w:tr w:rsidR="00905EBD" w14:paraId="68B82268" w14:textId="77777777" w:rsidTr="00F82FCD">
        <w:trPr>
          <w:trHeight w:val="264"/>
        </w:trPr>
        <w:tc>
          <w:tcPr>
            <w:tcW w:w="1735" w:type="dxa"/>
          </w:tcPr>
          <w:p w14:paraId="2D8BE24F" w14:textId="16554080" w:rsidR="00905EBD" w:rsidRDefault="00905EBD" w:rsidP="00905EBD">
            <w:pPr>
              <w:jc w:val="both"/>
            </w:pPr>
            <w:r>
              <w:t>January 1, 2011</w:t>
            </w:r>
          </w:p>
        </w:tc>
        <w:tc>
          <w:tcPr>
            <w:tcW w:w="1439" w:type="dxa"/>
          </w:tcPr>
          <w:p w14:paraId="6A75BBED" w14:textId="30138B56" w:rsidR="00905EBD" w:rsidRDefault="00905EBD" w:rsidP="00F82FCD">
            <w:pPr>
              <w:jc w:val="center"/>
            </w:pPr>
            <w:r>
              <w:t>3.33%</w:t>
            </w:r>
          </w:p>
        </w:tc>
        <w:tc>
          <w:tcPr>
            <w:tcW w:w="1439" w:type="dxa"/>
          </w:tcPr>
          <w:p w14:paraId="41B75B06" w14:textId="225FCAD3" w:rsidR="00905EBD" w:rsidRDefault="00905EBD" w:rsidP="00F82FCD">
            <w:pPr>
              <w:jc w:val="center"/>
            </w:pPr>
            <w:r>
              <w:t>3.33%</w:t>
            </w:r>
          </w:p>
        </w:tc>
        <w:tc>
          <w:tcPr>
            <w:tcW w:w="2232" w:type="dxa"/>
          </w:tcPr>
          <w:p w14:paraId="322BCC8C" w14:textId="0666C3F7" w:rsidR="00905EBD" w:rsidRDefault="00905EBD" w:rsidP="00F82FCD">
            <w:pPr>
              <w:jc w:val="center"/>
            </w:pPr>
            <w:r>
              <w:t>3.34%</w:t>
            </w:r>
          </w:p>
        </w:tc>
        <w:tc>
          <w:tcPr>
            <w:tcW w:w="993" w:type="dxa"/>
          </w:tcPr>
          <w:p w14:paraId="5552E8C1" w14:textId="7FB98D4D" w:rsidR="00905EBD" w:rsidRDefault="00905EBD" w:rsidP="00F82FCD">
            <w:pPr>
              <w:jc w:val="center"/>
            </w:pPr>
            <w:r>
              <w:t>10%</w:t>
            </w:r>
          </w:p>
        </w:tc>
      </w:tr>
      <w:tr w:rsidR="00905EBD" w14:paraId="6EE876D3" w14:textId="77777777" w:rsidTr="00F82FCD">
        <w:trPr>
          <w:trHeight w:val="264"/>
        </w:trPr>
        <w:tc>
          <w:tcPr>
            <w:tcW w:w="1735" w:type="dxa"/>
          </w:tcPr>
          <w:p w14:paraId="68A02FA5" w14:textId="2241C65E" w:rsidR="00905EBD" w:rsidRDefault="00905EBD" w:rsidP="00FA5B41">
            <w:pPr>
              <w:jc w:val="both"/>
            </w:pPr>
            <w:r>
              <w:t>January 1, 2012</w:t>
            </w:r>
          </w:p>
        </w:tc>
        <w:tc>
          <w:tcPr>
            <w:tcW w:w="1439" w:type="dxa"/>
          </w:tcPr>
          <w:p w14:paraId="6450B52A" w14:textId="68354A9E" w:rsidR="00905EBD" w:rsidRDefault="00905EBD" w:rsidP="00F82FCD">
            <w:pPr>
              <w:jc w:val="center"/>
            </w:pPr>
            <w:r>
              <w:t>4.16%</w:t>
            </w:r>
          </w:p>
        </w:tc>
        <w:tc>
          <w:tcPr>
            <w:tcW w:w="1439" w:type="dxa"/>
          </w:tcPr>
          <w:p w14:paraId="0742FF80" w14:textId="474D87C0" w:rsidR="00905EBD" w:rsidRDefault="00905EBD" w:rsidP="00F82FCD">
            <w:pPr>
              <w:jc w:val="center"/>
            </w:pPr>
            <w:r>
              <w:t>4.16%</w:t>
            </w:r>
          </w:p>
        </w:tc>
        <w:tc>
          <w:tcPr>
            <w:tcW w:w="2232" w:type="dxa"/>
          </w:tcPr>
          <w:p w14:paraId="305092EA" w14:textId="5B8A1340" w:rsidR="00905EBD" w:rsidRDefault="00905EBD" w:rsidP="00F82FCD">
            <w:pPr>
              <w:jc w:val="center"/>
            </w:pPr>
            <w:r>
              <w:t>4.18%</w:t>
            </w:r>
          </w:p>
        </w:tc>
        <w:tc>
          <w:tcPr>
            <w:tcW w:w="993" w:type="dxa"/>
          </w:tcPr>
          <w:p w14:paraId="1E20E471" w14:textId="08DD6F40" w:rsidR="00905EBD" w:rsidRDefault="00905EBD" w:rsidP="00F82FCD">
            <w:pPr>
              <w:jc w:val="center"/>
            </w:pPr>
            <w:r>
              <w:t>12.5%</w:t>
            </w:r>
          </w:p>
        </w:tc>
      </w:tr>
      <w:tr w:rsidR="00905EBD" w14:paraId="60C9FC91" w14:textId="77777777" w:rsidTr="00F82FCD">
        <w:trPr>
          <w:trHeight w:val="264"/>
        </w:trPr>
        <w:tc>
          <w:tcPr>
            <w:tcW w:w="1735" w:type="dxa"/>
          </w:tcPr>
          <w:p w14:paraId="5C1B7FA1" w14:textId="00BB3965" w:rsidR="00905EBD" w:rsidRDefault="00905EBD" w:rsidP="00905EBD">
            <w:pPr>
              <w:jc w:val="both"/>
            </w:pPr>
            <w:r>
              <w:t>January 1, 2013</w:t>
            </w:r>
          </w:p>
        </w:tc>
        <w:tc>
          <w:tcPr>
            <w:tcW w:w="1439" w:type="dxa"/>
          </w:tcPr>
          <w:p w14:paraId="25FC27BF" w14:textId="3A40F0B9" w:rsidR="00905EBD" w:rsidRDefault="00905EBD" w:rsidP="00F82FCD">
            <w:pPr>
              <w:jc w:val="center"/>
            </w:pPr>
            <w:r>
              <w:t>5%</w:t>
            </w:r>
          </w:p>
        </w:tc>
        <w:tc>
          <w:tcPr>
            <w:tcW w:w="1439" w:type="dxa"/>
          </w:tcPr>
          <w:p w14:paraId="558D7F36" w14:textId="685FC0DF" w:rsidR="00905EBD" w:rsidRDefault="00905EBD" w:rsidP="00F82FCD">
            <w:pPr>
              <w:jc w:val="center"/>
            </w:pPr>
            <w:r>
              <w:t>5%</w:t>
            </w:r>
          </w:p>
        </w:tc>
        <w:tc>
          <w:tcPr>
            <w:tcW w:w="2232" w:type="dxa"/>
          </w:tcPr>
          <w:p w14:paraId="305616A1" w14:textId="3C7718C8" w:rsidR="00905EBD" w:rsidRDefault="00905EBD" w:rsidP="00F82FCD">
            <w:pPr>
              <w:jc w:val="center"/>
            </w:pPr>
            <w:r>
              <w:t>5%</w:t>
            </w:r>
          </w:p>
        </w:tc>
        <w:tc>
          <w:tcPr>
            <w:tcW w:w="993" w:type="dxa"/>
          </w:tcPr>
          <w:p w14:paraId="71AEFA6C" w14:textId="3FFE8E78" w:rsidR="00905EBD" w:rsidRDefault="00905EBD" w:rsidP="00F82FCD">
            <w:pPr>
              <w:jc w:val="center"/>
            </w:pPr>
            <w:r>
              <w:t>15%</w:t>
            </w:r>
          </w:p>
        </w:tc>
      </w:tr>
      <w:tr w:rsidR="00905EBD" w14:paraId="16AA57EF" w14:textId="77777777" w:rsidTr="00F82FCD">
        <w:trPr>
          <w:trHeight w:val="264"/>
        </w:trPr>
        <w:tc>
          <w:tcPr>
            <w:tcW w:w="1735" w:type="dxa"/>
          </w:tcPr>
          <w:p w14:paraId="0E754B3D" w14:textId="6D2CD9E1" w:rsidR="00905EBD" w:rsidRDefault="00905EBD" w:rsidP="00905EBD">
            <w:pPr>
              <w:jc w:val="both"/>
            </w:pPr>
            <w:r>
              <w:t>January 1, 2014</w:t>
            </w:r>
          </w:p>
        </w:tc>
        <w:tc>
          <w:tcPr>
            <w:tcW w:w="1439" w:type="dxa"/>
          </w:tcPr>
          <w:p w14:paraId="44D42C5D" w14:textId="0C3C36B5" w:rsidR="00905EBD" w:rsidRDefault="00050B40" w:rsidP="00F82FCD">
            <w:pPr>
              <w:jc w:val="center"/>
            </w:pPr>
            <w:r>
              <w:t>6%</w:t>
            </w:r>
          </w:p>
        </w:tc>
        <w:tc>
          <w:tcPr>
            <w:tcW w:w="1439" w:type="dxa"/>
          </w:tcPr>
          <w:p w14:paraId="1AB6D763" w14:textId="4D33B9C4" w:rsidR="00905EBD" w:rsidRDefault="00050B40" w:rsidP="00F82FCD">
            <w:pPr>
              <w:jc w:val="center"/>
            </w:pPr>
            <w:r>
              <w:t>5.5%</w:t>
            </w:r>
          </w:p>
        </w:tc>
        <w:tc>
          <w:tcPr>
            <w:tcW w:w="2232" w:type="dxa"/>
          </w:tcPr>
          <w:p w14:paraId="73719E25" w14:textId="1134D75F" w:rsidR="00905EBD" w:rsidRDefault="00050B40" w:rsidP="00F82FCD">
            <w:pPr>
              <w:jc w:val="center"/>
            </w:pPr>
            <w:r>
              <w:t>6%</w:t>
            </w:r>
          </w:p>
        </w:tc>
        <w:tc>
          <w:tcPr>
            <w:tcW w:w="993" w:type="dxa"/>
          </w:tcPr>
          <w:p w14:paraId="68CCDF95" w14:textId="44436BBC" w:rsidR="00905EBD" w:rsidRDefault="00050B40" w:rsidP="00F82FCD">
            <w:pPr>
              <w:jc w:val="center"/>
            </w:pPr>
            <w:r>
              <w:t>17.5%</w:t>
            </w:r>
          </w:p>
        </w:tc>
      </w:tr>
    </w:tbl>
    <w:p w14:paraId="13DBF86F" w14:textId="6988F013" w:rsidR="001C13B3" w:rsidRDefault="001C13B3" w:rsidP="00FA5B41">
      <w:pPr>
        <w:jc w:val="both"/>
      </w:pPr>
    </w:p>
    <w:p w14:paraId="6F1BEF83" w14:textId="3EBD8195" w:rsidR="00050B40" w:rsidRDefault="00050B40" w:rsidP="00050B40">
      <w:pPr>
        <w:ind w:left="720" w:hanging="720"/>
        <w:jc w:val="both"/>
      </w:pPr>
      <w:r>
        <w:t>E.</w:t>
      </w:r>
      <w:r>
        <w:tab/>
        <w:t>Subject to the provisions of sub-paragraph (</w:t>
      </w:r>
      <w:r w:rsidR="00F82FCD">
        <w:t>f</w:t>
      </w:r>
      <w:r>
        <w:t xml:space="preserve">) hereinafter, the </w:t>
      </w:r>
      <w:r w:rsidR="00F82FCD">
        <w:t>E</w:t>
      </w:r>
      <w:r>
        <w:t xml:space="preserve">mployee will be entitled to pension insurance and to the </w:t>
      </w:r>
      <w:r w:rsidR="00F82FCD">
        <w:t>execution</w:t>
      </w:r>
      <w:r>
        <w:t xml:space="preserve"> of the contributions under this Order, as detailed in Section D above, immediately </w:t>
      </w:r>
      <w:r w:rsidR="00F82FCD">
        <w:t xml:space="preserve">following </w:t>
      </w:r>
      <w:r>
        <w:t xml:space="preserve">6 months from the date of commencement of employment (hereinafter – the “Waiting Period”). An </w:t>
      </w:r>
      <w:r w:rsidR="00F82FCD">
        <w:t>E</w:t>
      </w:r>
      <w:r>
        <w:t>mployee who is accepted to work wh</w:t>
      </w:r>
      <w:r w:rsidR="00F82FCD">
        <w:t>ile</w:t>
      </w:r>
      <w:r>
        <w:t xml:space="preserve"> insured in any pension insurance</w:t>
      </w:r>
      <w:r w:rsidR="00F82FCD">
        <w:t xml:space="preserve"> plan</w:t>
      </w:r>
      <w:r>
        <w:t xml:space="preserve">, will be entitled to </w:t>
      </w:r>
      <w:r w:rsidR="00F82FCD">
        <w:t>execution</w:t>
      </w:r>
      <w:r w:rsidR="00F82FCD">
        <w:t xml:space="preserve"> </w:t>
      </w:r>
      <w:r>
        <w:t xml:space="preserve">of the contributions </w:t>
      </w:r>
      <w:r w:rsidR="00F82FCD">
        <w:t xml:space="preserve">commencing on </w:t>
      </w:r>
      <w:proofErr w:type="spellStart"/>
      <w:r>
        <w:t>the</w:t>
      </w:r>
      <w:proofErr w:type="spellEnd"/>
      <w:r>
        <w:t xml:space="preserve"> first day of his employment</w:t>
      </w:r>
      <w:r w:rsidR="00F82FCD">
        <w:t>,</w:t>
      </w:r>
      <w:r>
        <w:t xml:space="preserve"> at the rates prescribed in paragraph (D) above; The contributions will be made after the passage of 3 months of employment, or at the end of the tax year – the earlier of the two, retroactively to the date of commencement of employment with the employer, and said Waiting Period shall not apply to him;</w:t>
      </w:r>
    </w:p>
    <w:p w14:paraId="1DC06BA7" w14:textId="086F112B" w:rsidR="00050B40" w:rsidRDefault="00050B40" w:rsidP="00050B40">
      <w:pPr>
        <w:ind w:left="720" w:hanging="720"/>
        <w:jc w:val="both"/>
      </w:pPr>
      <w:r>
        <w:t xml:space="preserve">F. </w:t>
      </w:r>
      <w:r>
        <w:tab/>
        <w:t>Commencing on the date this Order enters into force and through December 31, 2008 and for said period only, the Waiting Period as defined in Section (</w:t>
      </w:r>
      <w:r w:rsidR="00A40C9E">
        <w:t>e</w:t>
      </w:r>
      <w:r>
        <w:t>) above shall be nine months, and as of January 1, 2009 the waiting period will be 6 months as specified in subsection (</w:t>
      </w:r>
      <w:r w:rsidR="00A40C9E">
        <w:t>e</w:t>
      </w:r>
      <w:r>
        <w:t>) above;</w:t>
      </w:r>
    </w:p>
    <w:p w14:paraId="79EEB144" w14:textId="784C45D3" w:rsidR="00050B40" w:rsidRDefault="00050B40" w:rsidP="00BA5D9D">
      <w:pPr>
        <w:ind w:left="720" w:hanging="720"/>
        <w:jc w:val="both"/>
      </w:pPr>
      <w:r>
        <w:t xml:space="preserve">G. </w:t>
      </w:r>
      <w:r>
        <w:tab/>
      </w:r>
      <w:r w:rsidR="00BA5D9D">
        <w:t>T</w:t>
      </w:r>
      <w:r w:rsidRPr="00BA5D9D">
        <w:t xml:space="preserve">he provisions of </w:t>
      </w:r>
      <w:r w:rsidR="00BA5D9D">
        <w:t>S</w:t>
      </w:r>
      <w:r w:rsidRPr="00BA5D9D">
        <w:t>ub-sections (e) and (f) above</w:t>
      </w:r>
      <w:r w:rsidR="00BA5D9D" w:rsidRPr="00BA5D9D">
        <w:t xml:space="preserve"> </w:t>
      </w:r>
      <w:r w:rsidR="00BA5D9D">
        <w:t>n</w:t>
      </w:r>
      <w:r w:rsidR="00BA5D9D" w:rsidRPr="00BA5D9D">
        <w:t>otwithstanding</w:t>
      </w:r>
      <w:r w:rsidRPr="00BA5D9D">
        <w:t xml:space="preserve">, and </w:t>
      </w:r>
      <w:r w:rsidR="00BA5D9D">
        <w:t xml:space="preserve">for the avoidance of doubt, it is hereby clarified, </w:t>
      </w:r>
      <w:r w:rsidRPr="00BA5D9D">
        <w:t xml:space="preserve">that an </w:t>
      </w:r>
      <w:r w:rsidR="00A40C9E">
        <w:t>E</w:t>
      </w:r>
      <w:r w:rsidRPr="00BA5D9D">
        <w:t xml:space="preserve">mployee who, on January 1, 2008, is employed for a period of nine (9) months or more, </w:t>
      </w:r>
      <w:r w:rsidR="00A40C9E">
        <w:t>execution</w:t>
      </w:r>
      <w:r w:rsidR="00A40C9E">
        <w:t xml:space="preserve"> </w:t>
      </w:r>
      <w:r w:rsidR="00BA5D9D">
        <w:t>of</w:t>
      </w:r>
      <w:r w:rsidR="00A40C9E">
        <w:t xml:space="preserve"> </w:t>
      </w:r>
      <w:r w:rsidR="00BA5D9D">
        <w:t>contributions on his account as provided for by Section 6(d) above, will begin on January 1, 2008; a</w:t>
      </w:r>
      <w:r w:rsidRPr="00BA5D9D">
        <w:t xml:space="preserve">ny </w:t>
      </w:r>
      <w:r w:rsidR="00A40C9E">
        <w:t>E</w:t>
      </w:r>
      <w:r w:rsidRPr="00BA5D9D">
        <w:t xml:space="preserve">mployee who completes 6 (six) months of work or more </w:t>
      </w:r>
      <w:r w:rsidR="00A40C9E">
        <w:t>by</w:t>
      </w:r>
      <w:r w:rsidRPr="00BA5D9D">
        <w:t xml:space="preserve"> January 1, 2009, </w:t>
      </w:r>
      <w:r w:rsidR="00A40C9E">
        <w:t>execution</w:t>
      </w:r>
      <w:r w:rsidR="00A40C9E">
        <w:t xml:space="preserve"> </w:t>
      </w:r>
      <w:r w:rsidR="00BA5D9D">
        <w:t>of contributions on his account as provided for by Section 6(d) above</w:t>
      </w:r>
      <w:r w:rsidR="00BA5D9D" w:rsidRPr="00BA5D9D">
        <w:t xml:space="preserve"> </w:t>
      </w:r>
      <w:r w:rsidRPr="00BA5D9D">
        <w:t xml:space="preserve">will commence on </w:t>
      </w:r>
      <w:r w:rsidR="00BA5D9D">
        <w:t xml:space="preserve">January </w:t>
      </w:r>
      <w:r w:rsidRPr="00BA5D9D">
        <w:t>1</w:t>
      </w:r>
      <w:r w:rsidR="00BA5D9D">
        <w:t xml:space="preserve">, </w:t>
      </w:r>
      <w:r w:rsidRPr="00BA5D9D">
        <w:t>2009.</w:t>
      </w:r>
    </w:p>
    <w:p w14:paraId="55138878" w14:textId="53F0249F" w:rsidR="00050B40" w:rsidRDefault="00050B40" w:rsidP="00050B40">
      <w:pPr>
        <w:ind w:left="720"/>
        <w:jc w:val="both"/>
      </w:pPr>
      <w:r>
        <w:lastRenderedPageBreak/>
        <w:t xml:space="preserve">For example: </w:t>
      </w:r>
      <w:r w:rsidR="00BA5D9D">
        <w:t>A</w:t>
      </w:r>
      <w:r>
        <w:t xml:space="preserve">n </w:t>
      </w:r>
      <w:r w:rsidR="00A40C9E">
        <w:t>E</w:t>
      </w:r>
      <w:r>
        <w:t xml:space="preserve">mployee who, on February 1, 2008, is employed for nine (9) months, will be entitled to </w:t>
      </w:r>
      <w:r w:rsidR="00BA5D9D">
        <w:t xml:space="preserve">have contributions with respect to </w:t>
      </w:r>
      <w:r>
        <w:t xml:space="preserve">him as stated in </w:t>
      </w:r>
      <w:r w:rsidR="00BA5D9D">
        <w:t>S</w:t>
      </w:r>
      <w:r>
        <w:t>ection 6</w:t>
      </w:r>
      <w:r w:rsidR="00BA5D9D">
        <w:t>(</w:t>
      </w:r>
      <w:r>
        <w:t>d</w:t>
      </w:r>
      <w:r w:rsidR="00BA5D9D">
        <w:t>)</w:t>
      </w:r>
      <w:r>
        <w:t xml:space="preserve"> above, </w:t>
      </w:r>
      <w:r w:rsidR="00BA5D9D">
        <w:t xml:space="preserve">commence </w:t>
      </w:r>
      <w:r>
        <w:t>as of February 1, 2008, and so on</w:t>
      </w:r>
      <w:r w:rsidR="00BA5D9D">
        <w:t>;</w:t>
      </w:r>
      <w:r>
        <w:t xml:space="preserve"> </w:t>
      </w:r>
      <w:r w:rsidR="00BA5D9D">
        <w:t>a</w:t>
      </w:r>
      <w:r>
        <w:t xml:space="preserve">n </w:t>
      </w:r>
      <w:r w:rsidR="00A40C9E">
        <w:t>E</w:t>
      </w:r>
      <w:r>
        <w:t xml:space="preserve">mployee who, on February 1, 2009 and thereafter, is employed for 6 months, </w:t>
      </w:r>
      <w:r w:rsidR="00BA5D9D">
        <w:t>will be entitled to have contributions with respect to him as stated in Section 6(d) above, commence</w:t>
      </w:r>
      <w:r>
        <w:t xml:space="preserve"> as of February 1, 2009 and thereafter.</w:t>
      </w:r>
    </w:p>
    <w:p w14:paraId="456EEE81" w14:textId="17CAE387" w:rsidR="00050B40" w:rsidRDefault="00050B40" w:rsidP="00BA5D9D">
      <w:pPr>
        <w:ind w:left="720" w:hanging="720"/>
        <w:jc w:val="both"/>
      </w:pPr>
      <w:r>
        <w:t xml:space="preserve">H. </w:t>
      </w:r>
      <w:r>
        <w:tab/>
        <w:t xml:space="preserve">The provisions of sections </w:t>
      </w:r>
      <w:r w:rsidR="00BA5D9D">
        <w:t>(</w:t>
      </w:r>
      <w:r>
        <w:t>f</w:t>
      </w:r>
      <w:r w:rsidR="00BA5D9D">
        <w:t>)</w:t>
      </w:r>
      <w:r>
        <w:t xml:space="preserve"> and </w:t>
      </w:r>
      <w:r w:rsidR="00BA5D9D">
        <w:t>(</w:t>
      </w:r>
      <w:r>
        <w:t>g</w:t>
      </w:r>
      <w:r w:rsidR="00BA5D9D">
        <w:t>)</w:t>
      </w:r>
      <w:r>
        <w:t xml:space="preserve"> shall not impair and/or derogate from the </w:t>
      </w:r>
      <w:r w:rsidR="00BA5D9D">
        <w:t xml:space="preserve">latter part of the </w:t>
      </w:r>
      <w:r>
        <w:t xml:space="preserve">provisions of </w:t>
      </w:r>
      <w:r w:rsidR="00BA5D9D">
        <w:t>S</w:t>
      </w:r>
      <w:r>
        <w:t xml:space="preserve">ub-section </w:t>
      </w:r>
      <w:r w:rsidR="00BA5D9D">
        <w:t>(</w:t>
      </w:r>
      <w:r>
        <w:t>e</w:t>
      </w:r>
      <w:r w:rsidR="00BA5D9D">
        <w:t>)</w:t>
      </w:r>
      <w:r>
        <w:t xml:space="preserve"> above, concerning the date of entitlement of an </w:t>
      </w:r>
      <w:r w:rsidR="00A40C9E">
        <w:t>E</w:t>
      </w:r>
      <w:r>
        <w:t xml:space="preserve">mployee who was accepted </w:t>
      </w:r>
      <w:r w:rsidR="00BA5D9D">
        <w:t xml:space="preserve">for employment </w:t>
      </w:r>
      <w:r>
        <w:t xml:space="preserve">while insured </w:t>
      </w:r>
      <w:r w:rsidR="00BA5D9D">
        <w:t xml:space="preserve">by </w:t>
      </w:r>
      <w:r>
        <w:t>any pension insurance</w:t>
      </w:r>
      <w:r w:rsidR="00A40C9E">
        <w:t xml:space="preserve"> plan</w:t>
      </w:r>
      <w:r>
        <w:t>, as detailed there.</w:t>
      </w:r>
    </w:p>
    <w:p w14:paraId="53C3B437" w14:textId="0A3719C4" w:rsidR="001C13B3" w:rsidRPr="00BA5D9D" w:rsidRDefault="00BA5D9D" w:rsidP="00BA5D9D">
      <w:pPr>
        <w:jc w:val="both"/>
        <w:rPr>
          <w:b/>
          <w:bCs/>
        </w:rPr>
      </w:pPr>
      <w:r w:rsidRPr="00BA5D9D">
        <w:rPr>
          <w:b/>
          <w:bCs/>
        </w:rPr>
        <w:t>Payment to a Fund and/or Insurance Fund In Lieu of Severance Pay</w:t>
      </w:r>
    </w:p>
    <w:p w14:paraId="274BAFDA" w14:textId="3911A737" w:rsidR="00BA5D9D" w:rsidRDefault="00BA5D9D" w:rsidP="00BA5D9D">
      <w:pPr>
        <w:ind w:left="720" w:hanging="720"/>
        <w:jc w:val="both"/>
      </w:pPr>
      <w:r>
        <w:t xml:space="preserve">7. </w:t>
      </w:r>
      <w:r>
        <w:tab/>
        <w:t xml:space="preserve">Subject to the provisions of Section 8 hereinafter, the employer’s payments under this Order towards Severance Pay, at the rates set out in the table in Section 6(d) above (in the column “Severance Pay”) will replace severance pay under Section 14 of the Severance Pay Act exclusively in respect of the salary, the components, the periods, and rates for which the contributions were made; The provisions of this Section shall not impair and/or detract from the right of an </w:t>
      </w:r>
      <w:r w:rsidR="00A40C9E">
        <w:t>E</w:t>
      </w:r>
      <w:r>
        <w:t xml:space="preserve">mployee to </w:t>
      </w:r>
      <w:r w:rsidR="0074383F">
        <w:t xml:space="preserve">receive </w:t>
      </w:r>
      <w:r>
        <w:t>pay</w:t>
      </w:r>
      <w:r w:rsidR="0074383F">
        <w:t>ment of</w:t>
      </w:r>
      <w:r>
        <w:t xml:space="preserve"> severance pay in respect of </w:t>
      </w:r>
      <w:r w:rsidR="0074383F">
        <w:t xml:space="preserve">salary </w:t>
      </w:r>
      <w:r>
        <w:t xml:space="preserve">and/or components and/or periods and/or rates for which no </w:t>
      </w:r>
      <w:r w:rsidR="0074383F">
        <w:t xml:space="preserve">contributions towards </w:t>
      </w:r>
      <w:r>
        <w:t>severance pay ha</w:t>
      </w:r>
      <w:r w:rsidR="00A40C9E">
        <w:t>ve</w:t>
      </w:r>
      <w:r>
        <w:t xml:space="preserve"> been made.</w:t>
      </w:r>
    </w:p>
    <w:p w14:paraId="1DA60A7A" w14:textId="59C32B72" w:rsidR="00BA5D9D" w:rsidRDefault="00BA5D9D" w:rsidP="00BA5D9D">
      <w:pPr>
        <w:ind w:left="720" w:hanging="720"/>
        <w:jc w:val="both"/>
      </w:pPr>
      <w:r>
        <w:t xml:space="preserve">8. </w:t>
      </w:r>
      <w:r>
        <w:tab/>
        <w:t>The deposits and the employer</w:t>
      </w:r>
      <w:r w:rsidR="0074383F">
        <w:t>’</w:t>
      </w:r>
      <w:r>
        <w:t xml:space="preserve">s payments </w:t>
      </w:r>
      <w:r w:rsidR="00A40C9E">
        <w:t xml:space="preserve">towards </w:t>
      </w:r>
      <w:r w:rsidR="0074383F">
        <w:t xml:space="preserve">the </w:t>
      </w:r>
      <w:r w:rsidR="00A40C9E">
        <w:t xml:space="preserve">severance pay </w:t>
      </w:r>
      <w:r w:rsidR="0074383F">
        <w:t>c</w:t>
      </w:r>
      <w:r>
        <w:t xml:space="preserve">omponent in accordance with Section 7 above cannot be </w:t>
      </w:r>
      <w:r w:rsidR="00A40C9E">
        <w:t>refunded</w:t>
      </w:r>
      <w:r>
        <w:t xml:space="preserve"> to the employer, except </w:t>
      </w:r>
      <w:proofErr w:type="gramStart"/>
      <w:r>
        <w:t>in the event that</w:t>
      </w:r>
      <w:proofErr w:type="gramEnd"/>
      <w:r>
        <w:t xml:space="preserve"> the </w:t>
      </w:r>
      <w:r w:rsidR="00A40C9E">
        <w:t>E</w:t>
      </w:r>
      <w:r>
        <w:t>mployee withdrew money from the provident fund before he</w:t>
      </w:r>
      <w:r w:rsidR="0074383F">
        <w:t>,</w:t>
      </w:r>
      <w:r>
        <w:t xml:space="preserve"> or his </w:t>
      </w:r>
      <w:r w:rsidR="0074383F">
        <w:t xml:space="preserve">heirs, </w:t>
      </w:r>
      <w:r>
        <w:t xml:space="preserve">were entitled to receive money from the provident fund according to its </w:t>
      </w:r>
      <w:r w:rsidR="0074383F">
        <w:t xml:space="preserve">regulations, </w:t>
      </w:r>
      <w:r w:rsidR="00A40C9E">
        <w:t xml:space="preserve">exclusively </w:t>
      </w:r>
      <w:r>
        <w:t xml:space="preserve">due to an entitling event. </w:t>
      </w:r>
      <w:r w:rsidR="00A40C9E">
        <w:t xml:space="preserve">An </w:t>
      </w:r>
      <w:r w:rsidR="0074383F">
        <w:t>“</w:t>
      </w:r>
      <w:r>
        <w:t xml:space="preserve">Entitling </w:t>
      </w:r>
      <w:r w:rsidR="0074383F">
        <w:t>E</w:t>
      </w:r>
      <w:r>
        <w:t>vent</w:t>
      </w:r>
      <w:r w:rsidR="0074383F">
        <w:t>”</w:t>
      </w:r>
      <w:r>
        <w:t xml:space="preserve"> </w:t>
      </w:r>
      <w:r w:rsidR="0074383F">
        <w:t>–</w:t>
      </w:r>
      <w:r>
        <w:t xml:space="preserve"> death, disability</w:t>
      </w:r>
      <w:r w:rsidR="0074383F">
        <w:t>,</w:t>
      </w:r>
      <w:r>
        <w:t xml:space="preserve"> or retirement at the age of 60 </w:t>
      </w:r>
      <w:r w:rsidR="0074383F">
        <w:t xml:space="preserve">or </w:t>
      </w:r>
      <w:r>
        <w:t xml:space="preserve">above, and except if the </w:t>
      </w:r>
      <w:r w:rsidR="00A40C9E">
        <w:t>E</w:t>
      </w:r>
      <w:r>
        <w:t>mployee</w:t>
      </w:r>
      <w:r w:rsidR="0074383F">
        <w:t>’</w:t>
      </w:r>
      <w:r>
        <w:t xml:space="preserve">s right to severance pay was revoked </w:t>
      </w:r>
      <w:r w:rsidR="0074383F">
        <w:t xml:space="preserve">by </w:t>
      </w:r>
      <w:r>
        <w:t xml:space="preserve">judgment under </w:t>
      </w:r>
      <w:r w:rsidR="0074383F">
        <w:t>S</w:t>
      </w:r>
      <w:r>
        <w:t xml:space="preserve">ections 16 and 17 of the Severance Pay </w:t>
      </w:r>
      <w:r w:rsidR="0074383F">
        <w:t>Act</w:t>
      </w:r>
      <w:r>
        <w:t>.</w:t>
      </w:r>
    </w:p>
    <w:p w14:paraId="05EC9A5A" w14:textId="2457A8E3" w:rsidR="00BA5D9D" w:rsidRPr="0074383F" w:rsidRDefault="000A4B49" w:rsidP="00BA5D9D">
      <w:pPr>
        <w:jc w:val="both"/>
        <w:rPr>
          <w:b/>
          <w:bCs/>
        </w:rPr>
      </w:pPr>
      <w:r>
        <w:rPr>
          <w:b/>
          <w:bCs/>
        </w:rPr>
        <w:t>Severance Pay Supplement</w:t>
      </w:r>
    </w:p>
    <w:p w14:paraId="60EA32BB" w14:textId="0E10D226" w:rsidR="00BA5D9D" w:rsidRDefault="00BA5D9D" w:rsidP="00BA5D9D">
      <w:pPr>
        <w:ind w:left="720" w:hanging="720"/>
        <w:jc w:val="both"/>
      </w:pPr>
      <w:r>
        <w:t xml:space="preserve">9.A. </w:t>
      </w:r>
      <w:r>
        <w:tab/>
        <w:t xml:space="preserve">An employer who </w:t>
      </w:r>
      <w:r w:rsidR="00A775A0">
        <w:t>contributes towards</w:t>
      </w:r>
      <w:r>
        <w:t xml:space="preserve"> severance pay as </w:t>
      </w:r>
      <w:r w:rsidR="00A775A0">
        <w:t xml:space="preserve">provided for </w:t>
      </w:r>
      <w:r>
        <w:t>in the table in Section 6</w:t>
      </w:r>
      <w:r w:rsidR="00A775A0">
        <w:t>(</w:t>
      </w:r>
      <w:r>
        <w:t>D</w:t>
      </w:r>
      <w:r w:rsidR="00A775A0">
        <w:t>)</w:t>
      </w:r>
      <w:r>
        <w:t xml:space="preserve"> of this Order, or at higher rates, will be entitled to pay the severance pay supplement up to 8.33% of the </w:t>
      </w:r>
      <w:r w:rsidR="00A775A0">
        <w:t xml:space="preserve">salary </w:t>
      </w:r>
      <w:r>
        <w:t xml:space="preserve">components </w:t>
      </w:r>
      <w:r w:rsidR="00A775A0">
        <w:t xml:space="preserve">on account of </w:t>
      </w:r>
      <w:r>
        <w:t xml:space="preserve">which the employer </w:t>
      </w:r>
      <w:r w:rsidR="00A775A0">
        <w:t xml:space="preserve">contributes to the </w:t>
      </w:r>
      <w:r>
        <w:t xml:space="preserve">provident fund (hereinafter </w:t>
      </w:r>
      <w:r w:rsidR="00A775A0">
        <w:t>–</w:t>
      </w:r>
      <w:r>
        <w:t xml:space="preserve"> </w:t>
      </w:r>
      <w:r w:rsidR="000A4B49">
        <w:t>Severance Pay Supplement</w:t>
      </w:r>
      <w:r w:rsidR="00A775A0">
        <w:t xml:space="preserve">) into a personal provident fund for severance pay in the </w:t>
      </w:r>
      <w:r w:rsidR="00A40C9E">
        <w:t>E</w:t>
      </w:r>
      <w:r>
        <w:t>mployee</w:t>
      </w:r>
      <w:r w:rsidR="00A775A0">
        <w:t xml:space="preserve">’s name or into a stipend </w:t>
      </w:r>
      <w:r>
        <w:t xml:space="preserve">provident fund. If the employer agrees or chooses to pay the </w:t>
      </w:r>
      <w:r w:rsidR="000A4B49">
        <w:t>Severance Pay Supplement</w:t>
      </w:r>
      <w:r w:rsidR="00A775A0">
        <w:t xml:space="preserve"> </w:t>
      </w:r>
      <w:r>
        <w:t xml:space="preserve">to the fund as stated, he will be entitled to give notice in writing to the fund with a copy to the </w:t>
      </w:r>
      <w:r w:rsidR="00AF2DAF">
        <w:t>E</w:t>
      </w:r>
      <w:r>
        <w:t xml:space="preserve">mployee, so that the </w:t>
      </w:r>
      <w:r w:rsidR="000A4B49">
        <w:t>Severance Pay Supplement</w:t>
      </w:r>
      <w:r w:rsidR="00A775A0">
        <w:t xml:space="preserve"> </w:t>
      </w:r>
      <w:r w:rsidR="00AF2DAF">
        <w:t>monies</w:t>
      </w:r>
      <w:r w:rsidR="00A775A0">
        <w:t xml:space="preserve"> </w:t>
      </w:r>
      <w:r>
        <w:t xml:space="preserve">will </w:t>
      </w:r>
      <w:r w:rsidR="00A775A0">
        <w:t xml:space="preserve">“replace </w:t>
      </w:r>
      <w:r>
        <w:t>severance pay</w:t>
      </w:r>
      <w:r w:rsidR="00A775A0">
        <w:t>”</w:t>
      </w:r>
      <w:r>
        <w:t xml:space="preserve"> </w:t>
      </w:r>
      <w:r w:rsidR="00AF2DAF">
        <w:t xml:space="preserve">under </w:t>
      </w:r>
      <w:r w:rsidR="00A775A0">
        <w:t>S</w:t>
      </w:r>
      <w:r>
        <w:t xml:space="preserve">ection 14 of the Severance Pay </w:t>
      </w:r>
      <w:r w:rsidR="00A775A0">
        <w:t>Act, on the terms and conditions listed in Section 7 above, respectively, t</w:t>
      </w:r>
      <w:r>
        <w:t>he</w:t>
      </w:r>
      <w:r w:rsidR="00A775A0">
        <w:t>n</w:t>
      </w:r>
      <w:r>
        <w:t xml:space="preserve"> </w:t>
      </w:r>
      <w:r w:rsidR="00A775A0">
        <w:t xml:space="preserve">the </w:t>
      </w:r>
      <w:r w:rsidR="000A4B49">
        <w:t>Severance Pay Supplement</w:t>
      </w:r>
      <w:r w:rsidR="00A775A0">
        <w:t xml:space="preserve"> </w:t>
      </w:r>
      <w:r w:rsidR="00AF2DAF">
        <w:t>monies wi</w:t>
      </w:r>
      <w:r>
        <w:t xml:space="preserve">ll not be subject to restitution to the employer as set out in </w:t>
      </w:r>
      <w:r w:rsidR="00A775A0">
        <w:t>S</w:t>
      </w:r>
      <w:r>
        <w:t>ection</w:t>
      </w:r>
      <w:r w:rsidR="00A775A0">
        <w:t xml:space="preserve"> 8.</w:t>
      </w:r>
    </w:p>
    <w:p w14:paraId="13A90714" w14:textId="53EBFED3" w:rsidR="00BA5D9D" w:rsidRDefault="00BA5D9D" w:rsidP="00BA5D9D">
      <w:pPr>
        <w:ind w:left="720" w:hanging="720"/>
        <w:jc w:val="both"/>
      </w:pPr>
      <w:r>
        <w:t xml:space="preserve">B. </w:t>
      </w:r>
      <w:r>
        <w:tab/>
        <w:t xml:space="preserve">An employer who did not transfer </w:t>
      </w:r>
      <w:r w:rsidR="000A4B49">
        <w:t>Severance Pay Supplement</w:t>
      </w:r>
      <w:r w:rsidR="00A775A0">
        <w:t xml:space="preserve"> </w:t>
      </w:r>
      <w:r>
        <w:t xml:space="preserve">payments on an ongoing basis as </w:t>
      </w:r>
      <w:r w:rsidR="00A775A0">
        <w:t xml:space="preserve">provided for by </w:t>
      </w:r>
      <w:r>
        <w:t>sub-section (a) above</w:t>
      </w:r>
      <w:r w:rsidR="00A775A0">
        <w:t>,</w:t>
      </w:r>
      <w:r>
        <w:t xml:space="preserve"> shall pay the </w:t>
      </w:r>
      <w:r w:rsidR="00072F0F">
        <w:t>E</w:t>
      </w:r>
      <w:r>
        <w:t xml:space="preserve">mployee entitled to </w:t>
      </w:r>
      <w:r w:rsidR="00A775A0">
        <w:t xml:space="preserve">them, </w:t>
      </w:r>
      <w:r w:rsidR="00072F0F">
        <w:t xml:space="preserve">a </w:t>
      </w:r>
      <w:r w:rsidR="000A4B49">
        <w:t>Severance Pay Supplement</w:t>
      </w:r>
      <w:r w:rsidR="00A775A0">
        <w:t xml:space="preserve"> </w:t>
      </w:r>
      <w:r>
        <w:t xml:space="preserve">in accordance with the provisions of the Severance Pay </w:t>
      </w:r>
      <w:r w:rsidR="00A775A0">
        <w:t xml:space="preserve">Act, </w:t>
      </w:r>
      <w:r>
        <w:t>in respect of the period, the salary</w:t>
      </w:r>
      <w:r w:rsidR="00A775A0">
        <w:t>,</w:t>
      </w:r>
      <w:r>
        <w:t xml:space="preserve"> and the components for which no payments were transferred as </w:t>
      </w:r>
      <w:r w:rsidR="00A775A0">
        <w:t xml:space="preserve">provided for by </w:t>
      </w:r>
      <w:r>
        <w:t xml:space="preserve">sub-section </w:t>
      </w:r>
      <w:r w:rsidR="00A775A0">
        <w:t>(</w:t>
      </w:r>
      <w:r>
        <w:t>a</w:t>
      </w:r>
      <w:r w:rsidR="00A775A0">
        <w:t>)</w:t>
      </w:r>
      <w:r>
        <w:t xml:space="preserve"> above.</w:t>
      </w:r>
    </w:p>
    <w:p w14:paraId="56814742" w14:textId="5182C858" w:rsidR="00BA5D9D" w:rsidRDefault="00BA5D9D" w:rsidP="00BA5D9D">
      <w:pPr>
        <w:ind w:left="720" w:hanging="720"/>
        <w:jc w:val="both"/>
      </w:pPr>
      <w:r>
        <w:lastRenderedPageBreak/>
        <w:t xml:space="preserve">C. </w:t>
      </w:r>
      <w:r>
        <w:tab/>
        <w:t xml:space="preserve">Subject to the provisions of subsection (a), </w:t>
      </w:r>
      <w:r w:rsidR="00A775A0">
        <w:t xml:space="preserve">if the </w:t>
      </w:r>
      <w:r>
        <w:t xml:space="preserve">employer has chosen to apply </w:t>
      </w:r>
      <w:r w:rsidR="00072F0F">
        <w:t>S</w:t>
      </w:r>
      <w:r>
        <w:t xml:space="preserve">ection 14 of the </w:t>
      </w:r>
      <w:r w:rsidR="00A775A0">
        <w:t xml:space="preserve">Act </w:t>
      </w:r>
      <w:r>
        <w:t xml:space="preserve">to the payment of </w:t>
      </w:r>
      <w:r w:rsidR="00072F0F">
        <w:t xml:space="preserve">the </w:t>
      </w:r>
      <w:r w:rsidR="000A4B49">
        <w:t>Severance Pay Supplement</w:t>
      </w:r>
      <w:r w:rsidR="00A775A0">
        <w:t xml:space="preserve">, he </w:t>
      </w:r>
      <w:r>
        <w:t xml:space="preserve">will release </w:t>
      </w:r>
      <w:r w:rsidR="00072F0F">
        <w:t xml:space="preserve">for </w:t>
      </w:r>
      <w:r>
        <w:t xml:space="preserve">the </w:t>
      </w:r>
      <w:r w:rsidR="00072F0F">
        <w:t>E</w:t>
      </w:r>
      <w:r>
        <w:t>mployee</w:t>
      </w:r>
      <w:r w:rsidR="00072F0F">
        <w:t>’s benefit</w:t>
      </w:r>
      <w:r>
        <w:t xml:space="preserve"> all monies accrued in a</w:t>
      </w:r>
      <w:r w:rsidR="00072F0F">
        <w:t>ny</w:t>
      </w:r>
      <w:r>
        <w:t xml:space="preserve"> personal provident fund for severance pay</w:t>
      </w:r>
      <w:r w:rsidR="00072F0F">
        <w:t>,</w:t>
      </w:r>
      <w:r>
        <w:t xml:space="preserve"> or in </w:t>
      </w:r>
      <w:r w:rsidR="00A775A0">
        <w:t xml:space="preserve">a stipend </w:t>
      </w:r>
      <w:r>
        <w:t>provident fund</w:t>
      </w:r>
      <w:r w:rsidR="00A775A0">
        <w:t>,</w:t>
      </w:r>
      <w:r>
        <w:t xml:space="preserve"> to the extent that they </w:t>
      </w:r>
      <w:r w:rsidR="00A775A0">
        <w:t>were</w:t>
      </w:r>
      <w:r>
        <w:t xml:space="preserve"> </w:t>
      </w:r>
      <w:r w:rsidR="00A775A0">
        <w:t>cont</w:t>
      </w:r>
      <w:r w:rsidR="00072F0F">
        <w:t>ributed</w:t>
      </w:r>
      <w:r w:rsidR="00A775A0">
        <w:t xml:space="preserve"> </w:t>
      </w:r>
      <w:r>
        <w:t xml:space="preserve">in accordance with subsection </w:t>
      </w:r>
      <w:r w:rsidR="000A4B49">
        <w:t>(a) above, including upon termination of employment in circumstances giving rise to an entitlement to a payment of a stipend from the stipend provident fund</w:t>
      </w:r>
      <w:r>
        <w:t>.</w:t>
      </w:r>
    </w:p>
    <w:p w14:paraId="38978346" w14:textId="0F474845" w:rsidR="00BA5D9D" w:rsidRDefault="00BA5D9D" w:rsidP="00BA5D9D">
      <w:pPr>
        <w:ind w:left="720" w:hanging="720"/>
        <w:jc w:val="both"/>
      </w:pPr>
      <w:r>
        <w:t xml:space="preserve">D. </w:t>
      </w:r>
      <w:r>
        <w:tab/>
        <w:t xml:space="preserve">Subject to the provisions of subsection (a), </w:t>
      </w:r>
      <w:r w:rsidR="000A4B49">
        <w:t xml:space="preserve">if </w:t>
      </w:r>
      <w:r>
        <w:t xml:space="preserve">the employer has chosen to pay the </w:t>
      </w:r>
      <w:r w:rsidR="000A4B49">
        <w:t xml:space="preserve">Severance Pay Supplement </w:t>
      </w:r>
      <w:r>
        <w:t>as stated in subsection (a)</w:t>
      </w:r>
      <w:r w:rsidR="000A4B49">
        <w:t>,</w:t>
      </w:r>
      <w:r>
        <w:t xml:space="preserve"> but has not chosen to apply </w:t>
      </w:r>
      <w:r w:rsidR="000A4B49">
        <w:t>S</w:t>
      </w:r>
      <w:r>
        <w:t xml:space="preserve">ection 14 </w:t>
      </w:r>
      <w:r w:rsidR="000A4B49">
        <w:t xml:space="preserve">of </w:t>
      </w:r>
      <w:r>
        <w:t xml:space="preserve">the </w:t>
      </w:r>
      <w:r w:rsidR="000A4B49">
        <w:t xml:space="preserve">Act to </w:t>
      </w:r>
      <w:r>
        <w:t xml:space="preserve">the payment of the </w:t>
      </w:r>
      <w:r w:rsidR="000A4B49">
        <w:t>Severance Pay Supplement</w:t>
      </w:r>
      <w:r>
        <w:t xml:space="preserve">, </w:t>
      </w:r>
      <w:r w:rsidR="000A4B49">
        <w:t xml:space="preserve">he </w:t>
      </w:r>
      <w:r>
        <w:t xml:space="preserve">shall release </w:t>
      </w:r>
      <w:r w:rsidR="00072F0F">
        <w:t>for</w:t>
      </w:r>
      <w:r w:rsidR="000A4B49">
        <w:t xml:space="preserve"> </w:t>
      </w:r>
      <w:r>
        <w:t xml:space="preserve">the </w:t>
      </w:r>
      <w:r w:rsidR="00072F0F">
        <w:t>E</w:t>
      </w:r>
      <w:r>
        <w:t>mployee</w:t>
      </w:r>
      <w:r w:rsidR="00072F0F">
        <w:t>’s benefit</w:t>
      </w:r>
      <w:r>
        <w:t xml:space="preserve"> all the monies accrued to him</w:t>
      </w:r>
      <w:r w:rsidR="000A4B49">
        <w:t>,</w:t>
      </w:r>
      <w:r>
        <w:t xml:space="preserve"> on the date of </w:t>
      </w:r>
      <w:r w:rsidR="000A4B49">
        <w:t xml:space="preserve">the Event Entitling </w:t>
      </w:r>
      <w:r>
        <w:t>him to severance pay</w:t>
      </w:r>
      <w:r w:rsidR="000A4B49">
        <w:t>, and in addition</w:t>
      </w:r>
      <w:r w:rsidR="00072F0F">
        <w:t>,</w:t>
      </w:r>
      <w:r w:rsidR="000A4B49">
        <w:t xml:space="preserve"> he will pay the entitled </w:t>
      </w:r>
      <w:r w:rsidR="00072F0F">
        <w:t>E</w:t>
      </w:r>
      <w:r w:rsidR="000A4B49">
        <w:t xml:space="preserve">mployee </w:t>
      </w:r>
      <w:r>
        <w:t xml:space="preserve">the balance of the severance pay </w:t>
      </w:r>
      <w:r w:rsidR="000A4B49">
        <w:t xml:space="preserve">debt </w:t>
      </w:r>
      <w:r>
        <w:t xml:space="preserve">in accordance with the provisions of the Severance Pay </w:t>
      </w:r>
      <w:r w:rsidR="000A4B49">
        <w:t>Act</w:t>
      </w:r>
      <w:r>
        <w:t xml:space="preserve">, both for the period in which he transferred the </w:t>
      </w:r>
      <w:r w:rsidR="000A4B49">
        <w:t xml:space="preserve">Severance Pay Supplement </w:t>
      </w:r>
      <w:r>
        <w:t>(on account of severance pay) and for the period, salary</w:t>
      </w:r>
      <w:r w:rsidR="000A4B49">
        <w:t>,</w:t>
      </w:r>
      <w:r>
        <w:t xml:space="preserve"> and components for which the payments </w:t>
      </w:r>
      <w:r w:rsidR="000A4B49">
        <w:t xml:space="preserve">to Supplement Severance Pay </w:t>
      </w:r>
      <w:r>
        <w:t>were not transferred.</w:t>
      </w:r>
    </w:p>
    <w:p w14:paraId="2793D52B" w14:textId="3369C3B2" w:rsidR="00BA5D9D" w:rsidRDefault="00BA5D9D" w:rsidP="00BA5D9D">
      <w:pPr>
        <w:ind w:left="720" w:hanging="720"/>
        <w:jc w:val="both"/>
      </w:pPr>
      <w:r>
        <w:t xml:space="preserve">E. </w:t>
      </w:r>
      <w:r>
        <w:tab/>
        <w:t xml:space="preserve">If the employer does not transfer </w:t>
      </w:r>
      <w:r w:rsidR="000A4B49">
        <w:t>Severance Pay Supplement payments</w:t>
      </w:r>
      <w:r>
        <w:t xml:space="preserve">, the employer will pay the employee the </w:t>
      </w:r>
      <w:r w:rsidR="000A4B49">
        <w:t xml:space="preserve">Severance Pay Supplement </w:t>
      </w:r>
      <w:r>
        <w:t xml:space="preserve">as stated in subsection (b) above, on the date of an </w:t>
      </w:r>
      <w:r w:rsidR="00072F0F">
        <w:t xml:space="preserve">Event Entitling </w:t>
      </w:r>
      <w:r>
        <w:t>him to severance pay.</w:t>
      </w:r>
    </w:p>
    <w:p w14:paraId="6D65AA0F" w14:textId="491A1F1C" w:rsidR="00BA5D9D" w:rsidRDefault="00BA5D9D" w:rsidP="00BA5D9D">
      <w:pPr>
        <w:ind w:left="720"/>
        <w:jc w:val="both"/>
      </w:pPr>
      <w:r>
        <w:t xml:space="preserve">An </w:t>
      </w:r>
      <w:r w:rsidR="00072F0F">
        <w:t>E</w:t>
      </w:r>
      <w:r>
        <w:t xml:space="preserve">mployee who is not entitled to payment of </w:t>
      </w:r>
      <w:r w:rsidR="000A4B49">
        <w:t xml:space="preserve">a stipend </w:t>
      </w:r>
      <w:r>
        <w:t xml:space="preserve">from </w:t>
      </w:r>
      <w:r w:rsidR="000A4B49">
        <w:t xml:space="preserve">a stipend </w:t>
      </w:r>
      <w:r>
        <w:t xml:space="preserve">provident fund, because </w:t>
      </w:r>
      <w:r w:rsidR="00072F0F">
        <w:t>the minimum entitling him to a stipend</w:t>
      </w:r>
      <w:r w:rsidR="00072F0F">
        <w:t xml:space="preserve"> </w:t>
      </w:r>
      <w:r>
        <w:t xml:space="preserve">has not </w:t>
      </w:r>
      <w:r w:rsidR="00072F0F">
        <w:t xml:space="preserve">been </w:t>
      </w:r>
      <w:r>
        <w:t xml:space="preserve">accrued, will also be entitled to payment as stated in this </w:t>
      </w:r>
      <w:r w:rsidR="00072F0F">
        <w:t>S</w:t>
      </w:r>
      <w:r>
        <w:t>ection.</w:t>
      </w:r>
    </w:p>
    <w:p w14:paraId="703A00AD" w14:textId="3B6F235D" w:rsidR="00BA5D9D" w:rsidRPr="000A4B49" w:rsidRDefault="00BA5D9D" w:rsidP="00BA5D9D">
      <w:pPr>
        <w:jc w:val="both"/>
        <w:rPr>
          <w:b/>
          <w:bCs/>
        </w:rPr>
      </w:pPr>
      <w:r w:rsidRPr="000A4B49">
        <w:rPr>
          <w:b/>
          <w:bCs/>
        </w:rPr>
        <w:t xml:space="preserve">The </w:t>
      </w:r>
      <w:r w:rsidR="000A4B49" w:rsidRPr="000A4B49">
        <w:rPr>
          <w:b/>
          <w:bCs/>
        </w:rPr>
        <w:t>R</w:t>
      </w:r>
      <w:r w:rsidRPr="000A4B49">
        <w:rPr>
          <w:b/>
          <w:bCs/>
        </w:rPr>
        <w:t xml:space="preserve">ights of </w:t>
      </w:r>
      <w:r w:rsidR="000A4B49" w:rsidRPr="000A4B49">
        <w:rPr>
          <w:b/>
          <w:bCs/>
        </w:rPr>
        <w:t>E</w:t>
      </w:r>
      <w:r w:rsidRPr="000A4B49">
        <w:rPr>
          <w:b/>
          <w:bCs/>
        </w:rPr>
        <w:t xml:space="preserve">mployees to </w:t>
      </w:r>
      <w:r w:rsidR="000A4B49" w:rsidRPr="000A4B49">
        <w:rPr>
          <w:b/>
          <w:bCs/>
        </w:rPr>
        <w:t>an Old-Age Pension</w:t>
      </w:r>
      <w:r w:rsidRPr="000A4B49">
        <w:rPr>
          <w:b/>
          <w:bCs/>
        </w:rPr>
        <w:t xml:space="preserve">, </w:t>
      </w:r>
      <w:r w:rsidR="000A4B49" w:rsidRPr="000A4B49">
        <w:rPr>
          <w:b/>
          <w:bCs/>
        </w:rPr>
        <w:t>D</w:t>
      </w:r>
      <w:r w:rsidRPr="000A4B49">
        <w:rPr>
          <w:b/>
          <w:bCs/>
        </w:rPr>
        <w:t xml:space="preserve">isability </w:t>
      </w:r>
      <w:r w:rsidR="000A4B49" w:rsidRPr="000A4B49">
        <w:rPr>
          <w:b/>
          <w:bCs/>
        </w:rPr>
        <w:t xml:space="preserve">Stipend </w:t>
      </w:r>
      <w:r w:rsidRPr="000A4B49">
        <w:rPr>
          <w:b/>
          <w:bCs/>
        </w:rPr>
        <w:t xml:space="preserve">and </w:t>
      </w:r>
      <w:r w:rsidR="000A4B49" w:rsidRPr="000A4B49">
        <w:rPr>
          <w:b/>
          <w:bCs/>
        </w:rPr>
        <w:t>S</w:t>
      </w:r>
      <w:r w:rsidRPr="000A4B49">
        <w:rPr>
          <w:b/>
          <w:bCs/>
        </w:rPr>
        <w:t>urvivors</w:t>
      </w:r>
      <w:r w:rsidR="000A4B49" w:rsidRPr="000A4B49">
        <w:rPr>
          <w:b/>
          <w:bCs/>
        </w:rPr>
        <w:t xml:space="preserve"> Stipend</w:t>
      </w:r>
    </w:p>
    <w:p w14:paraId="7C38D72B" w14:textId="29FBA90D" w:rsidR="00BA5D9D" w:rsidRDefault="00BA5D9D" w:rsidP="00BA5D9D">
      <w:pPr>
        <w:ind w:left="720" w:hanging="720"/>
        <w:jc w:val="both"/>
      </w:pPr>
      <w:r>
        <w:t xml:space="preserve">10. </w:t>
      </w:r>
      <w:r>
        <w:tab/>
      </w:r>
      <w:r w:rsidR="000A4B49">
        <w:t xml:space="preserve">An </w:t>
      </w:r>
      <w:r w:rsidR="00072F0F">
        <w:t>E</w:t>
      </w:r>
      <w:r w:rsidR="000A4B49">
        <w:t xml:space="preserve">mployee’s </w:t>
      </w:r>
      <w:r>
        <w:t>right</w:t>
      </w:r>
      <w:r w:rsidR="000A4B49">
        <w:t>s</w:t>
      </w:r>
      <w:r>
        <w:t xml:space="preserve"> to </w:t>
      </w:r>
      <w:r w:rsidR="000A4B49">
        <w:t xml:space="preserve">an </w:t>
      </w:r>
      <w:r>
        <w:t>old-age pension, disability and survivors</w:t>
      </w:r>
      <w:r w:rsidR="000A4B49">
        <w:t>’</w:t>
      </w:r>
      <w:r>
        <w:t xml:space="preserve"> </w:t>
      </w:r>
      <w:r w:rsidR="000A4B49">
        <w:t xml:space="preserve">stipend from </w:t>
      </w:r>
      <w:r>
        <w:t>the pension fund</w:t>
      </w:r>
      <w:r w:rsidR="00072F0F">
        <w:t>,</w:t>
      </w:r>
      <w:r>
        <w:t xml:space="preserve"> </w:t>
      </w:r>
      <w:r w:rsidR="000A4B49">
        <w:t xml:space="preserve">will </w:t>
      </w:r>
      <w:r>
        <w:t xml:space="preserve">be in accordance with the regulations of the pension fund </w:t>
      </w:r>
      <w:r w:rsidR="000A4B49">
        <w:t xml:space="preserve">with </w:t>
      </w:r>
      <w:r>
        <w:t xml:space="preserve">which the </w:t>
      </w:r>
      <w:r w:rsidR="00072F0F">
        <w:t>E</w:t>
      </w:r>
      <w:r>
        <w:t>mployee is insured, and accordingly in the insurance contract, according to the Commissioner</w:t>
      </w:r>
      <w:r w:rsidR="000A4B49">
        <w:t>’</w:t>
      </w:r>
      <w:r>
        <w:t xml:space="preserve">s </w:t>
      </w:r>
      <w:r w:rsidR="000A4B49">
        <w:t>direct</w:t>
      </w:r>
      <w:r w:rsidR="00072F0F">
        <w:t>i</w:t>
      </w:r>
      <w:r w:rsidR="000A4B49">
        <w:t xml:space="preserve">ves </w:t>
      </w:r>
      <w:r>
        <w:t>and pursuant to the provisions of this Order.</w:t>
      </w:r>
    </w:p>
    <w:p w14:paraId="7EE43563" w14:textId="2BA3833C" w:rsidR="00BA5D9D" w:rsidRDefault="00BA5D9D" w:rsidP="00BA5D9D">
      <w:pPr>
        <w:jc w:val="both"/>
      </w:pPr>
      <w:r>
        <w:t xml:space="preserve">3 </w:t>
      </w:r>
      <w:r w:rsidRPr="00BA5D9D">
        <w:rPr>
          <w:i/>
          <w:iCs/>
        </w:rPr>
        <w:t>Av</w:t>
      </w:r>
      <w:r>
        <w:t xml:space="preserve"> 5771 (August 3, 2011)</w:t>
      </w:r>
    </w:p>
    <w:p w14:paraId="20C8ED95" w14:textId="29E04C6E" w:rsidR="001C13B3" w:rsidRDefault="000A4B49" w:rsidP="0047056D">
      <w:pPr>
        <w:spacing w:after="0"/>
        <w:jc w:val="center"/>
      </w:pPr>
      <w:r>
        <w:t xml:space="preserve">Shalom </w:t>
      </w:r>
      <w:proofErr w:type="spellStart"/>
      <w:r>
        <w:t>Simhon</w:t>
      </w:r>
      <w:proofErr w:type="spellEnd"/>
    </w:p>
    <w:p w14:paraId="35E93308" w14:textId="02CDA96A" w:rsidR="0047056D" w:rsidRDefault="000A4B49" w:rsidP="00072F0F">
      <w:pPr>
        <w:jc w:val="center"/>
      </w:pPr>
      <w:r>
        <w:t>Minster for Industry, Commerce and Employment</w:t>
      </w:r>
      <w:bookmarkStart w:id="1" w:name="_GoBack"/>
      <w:bookmarkEnd w:id="1"/>
    </w:p>
    <w:sectPr w:rsidR="004705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CFA8E" w14:textId="77777777" w:rsidR="0000771C" w:rsidRDefault="0000771C" w:rsidP="001C13B3">
      <w:pPr>
        <w:spacing w:after="0" w:line="240" w:lineRule="auto"/>
      </w:pPr>
      <w:r>
        <w:separator/>
      </w:r>
    </w:p>
  </w:endnote>
  <w:endnote w:type="continuationSeparator" w:id="0">
    <w:p w14:paraId="6C350263" w14:textId="77777777" w:rsidR="0000771C" w:rsidRDefault="0000771C" w:rsidP="001C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A1F0A" w14:textId="77777777" w:rsidR="0000771C" w:rsidRDefault="0000771C" w:rsidP="001C13B3">
      <w:pPr>
        <w:spacing w:after="0" w:line="240" w:lineRule="auto"/>
      </w:pPr>
      <w:r>
        <w:separator/>
      </w:r>
    </w:p>
  </w:footnote>
  <w:footnote w:type="continuationSeparator" w:id="0">
    <w:p w14:paraId="6A8235DF" w14:textId="77777777" w:rsidR="0000771C" w:rsidRDefault="0000771C" w:rsidP="001C13B3">
      <w:pPr>
        <w:spacing w:after="0" w:line="240" w:lineRule="auto"/>
      </w:pPr>
      <w:r>
        <w:continuationSeparator/>
      </w:r>
    </w:p>
  </w:footnote>
  <w:footnote w:id="1">
    <w:p w14:paraId="5B866744" w14:textId="0B31C4EA" w:rsidR="001C13B3" w:rsidRDefault="001C13B3">
      <w:pPr>
        <w:pStyle w:val="FootnoteText"/>
      </w:pPr>
      <w:r>
        <w:rPr>
          <w:rStyle w:val="FootnoteReference"/>
        </w:rPr>
        <w:footnoteRef/>
      </w:r>
      <w:r>
        <w:t xml:space="preserve"> </w:t>
      </w:r>
      <w:r w:rsidR="000A4B49">
        <w:t>Published in the Official Gazette (year) 5771 No. 6302 dated 27</w:t>
      </w:r>
      <w:r w:rsidR="000A4B49" w:rsidRPr="000A4B49">
        <w:rPr>
          <w:vertAlign w:val="superscript"/>
        </w:rPr>
        <w:t>th</w:t>
      </w:r>
      <w:r w:rsidR="000A4B49">
        <w:t xml:space="preserve"> September 2011, page 6938</w:t>
      </w:r>
      <w:r w:rsidR="00B06F49">
        <w:t>.</w:t>
      </w:r>
    </w:p>
  </w:footnote>
  <w:footnote w:id="2">
    <w:p w14:paraId="56AF867E" w14:textId="200C118E" w:rsidR="001C13B3" w:rsidRDefault="001C13B3" w:rsidP="00B06F49">
      <w:pPr>
        <w:pStyle w:val="FootnoteText"/>
        <w:jc w:val="both"/>
        <w:rPr>
          <w:rtl/>
        </w:rPr>
      </w:pPr>
      <w:r>
        <w:rPr>
          <w:rStyle w:val="FootnoteReference"/>
        </w:rPr>
        <w:footnoteRef/>
      </w:r>
      <w:r>
        <w:t xml:space="preserve"> </w:t>
      </w:r>
      <w:r w:rsidR="0001127A">
        <w:t xml:space="preserve">The </w:t>
      </w:r>
      <w:r w:rsidR="00B06F49">
        <w:t xml:space="preserve">Manufacturers Association of Israel, the Tel Aviv Chamber of Commerce, in their name and on behalf of the chambers of commerce in Jerusalem, Haifa and Beer Sheva, the Association of Contractors and Builders in Israel, The Israel Farmers Association, the Israeli Diamond Industry Association, the Israeli Hotel Association, the Israel Security Association, the National Association of Maintenance and Cleaning Companies in Israel, the Association of Industry and Craftsmanship in Israel, the National Union of Commerce in Israel, the Israeli Film Industry Association, the Israeli Traders Association, the Bureau of Organisations of Self Employed </w:t>
      </w:r>
      <w:r w:rsidR="0001127A">
        <w:t xml:space="preserve">Persons </w:t>
      </w:r>
      <w:r w:rsidR="00B06F49">
        <w:t>in Israel, the Association of Human Resources Companies.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A0337"/>
    <w:multiLevelType w:val="hybridMultilevel"/>
    <w:tmpl w:val="6D20CC50"/>
    <w:lvl w:ilvl="0" w:tplc="5B6A6B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DB"/>
    <w:rsid w:val="000036F7"/>
    <w:rsid w:val="00005310"/>
    <w:rsid w:val="00006538"/>
    <w:rsid w:val="0000771C"/>
    <w:rsid w:val="0001127A"/>
    <w:rsid w:val="00021251"/>
    <w:rsid w:val="00030120"/>
    <w:rsid w:val="000316E9"/>
    <w:rsid w:val="00031A6C"/>
    <w:rsid w:val="0003224A"/>
    <w:rsid w:val="000506A0"/>
    <w:rsid w:val="00050B40"/>
    <w:rsid w:val="00054A88"/>
    <w:rsid w:val="000552CC"/>
    <w:rsid w:val="00057042"/>
    <w:rsid w:val="00072F0F"/>
    <w:rsid w:val="00081CC6"/>
    <w:rsid w:val="00097264"/>
    <w:rsid w:val="00097346"/>
    <w:rsid w:val="000A4B49"/>
    <w:rsid w:val="000B1608"/>
    <w:rsid w:val="000B2AEE"/>
    <w:rsid w:val="000B358B"/>
    <w:rsid w:val="000B36AD"/>
    <w:rsid w:val="000B3794"/>
    <w:rsid w:val="000C28D6"/>
    <w:rsid w:val="000D0BF7"/>
    <w:rsid w:val="000D42E1"/>
    <w:rsid w:val="000D57D3"/>
    <w:rsid w:val="000D5FBA"/>
    <w:rsid w:val="000D7651"/>
    <w:rsid w:val="000E6D6F"/>
    <w:rsid w:val="000F28A4"/>
    <w:rsid w:val="000F5A4A"/>
    <w:rsid w:val="000F600E"/>
    <w:rsid w:val="00102AF5"/>
    <w:rsid w:val="00102C34"/>
    <w:rsid w:val="0010546F"/>
    <w:rsid w:val="00110469"/>
    <w:rsid w:val="0011599E"/>
    <w:rsid w:val="001167BC"/>
    <w:rsid w:val="001204EF"/>
    <w:rsid w:val="001215B1"/>
    <w:rsid w:val="00132793"/>
    <w:rsid w:val="00140D6F"/>
    <w:rsid w:val="00141E9A"/>
    <w:rsid w:val="00153F5C"/>
    <w:rsid w:val="00156BDA"/>
    <w:rsid w:val="001619B2"/>
    <w:rsid w:val="00166FCC"/>
    <w:rsid w:val="0017308B"/>
    <w:rsid w:val="001733FA"/>
    <w:rsid w:val="00174C9F"/>
    <w:rsid w:val="00184532"/>
    <w:rsid w:val="00187A22"/>
    <w:rsid w:val="0019465A"/>
    <w:rsid w:val="001A6896"/>
    <w:rsid w:val="001B05DA"/>
    <w:rsid w:val="001B40C7"/>
    <w:rsid w:val="001C13B3"/>
    <w:rsid w:val="001C3396"/>
    <w:rsid w:val="001C5A09"/>
    <w:rsid w:val="001D079A"/>
    <w:rsid w:val="002007E9"/>
    <w:rsid w:val="00207931"/>
    <w:rsid w:val="00212041"/>
    <w:rsid w:val="00224188"/>
    <w:rsid w:val="0022728D"/>
    <w:rsid w:val="002348E0"/>
    <w:rsid w:val="0025371C"/>
    <w:rsid w:val="002627DA"/>
    <w:rsid w:val="00283387"/>
    <w:rsid w:val="00296CE7"/>
    <w:rsid w:val="002A194B"/>
    <w:rsid w:val="002A3319"/>
    <w:rsid w:val="002B32CB"/>
    <w:rsid w:val="002C1B96"/>
    <w:rsid w:val="002C3277"/>
    <w:rsid w:val="002D0191"/>
    <w:rsid w:val="002D0A20"/>
    <w:rsid w:val="002D268D"/>
    <w:rsid w:val="002D7AED"/>
    <w:rsid w:val="0031005C"/>
    <w:rsid w:val="00313CA0"/>
    <w:rsid w:val="0031655D"/>
    <w:rsid w:val="00321BB8"/>
    <w:rsid w:val="00322D47"/>
    <w:rsid w:val="0032471C"/>
    <w:rsid w:val="00330E89"/>
    <w:rsid w:val="003405D6"/>
    <w:rsid w:val="00341F51"/>
    <w:rsid w:val="00371F9C"/>
    <w:rsid w:val="00374775"/>
    <w:rsid w:val="00380AAB"/>
    <w:rsid w:val="00381B02"/>
    <w:rsid w:val="00391BEA"/>
    <w:rsid w:val="00397E7C"/>
    <w:rsid w:val="003A4D60"/>
    <w:rsid w:val="003A4EB3"/>
    <w:rsid w:val="003A54F3"/>
    <w:rsid w:val="003B53B5"/>
    <w:rsid w:val="003C7882"/>
    <w:rsid w:val="003C7B3B"/>
    <w:rsid w:val="003D1E6F"/>
    <w:rsid w:val="003D3F2E"/>
    <w:rsid w:val="003D51D3"/>
    <w:rsid w:val="003E0B65"/>
    <w:rsid w:val="003E459D"/>
    <w:rsid w:val="003E54D5"/>
    <w:rsid w:val="003F1BE9"/>
    <w:rsid w:val="003F1D3D"/>
    <w:rsid w:val="003F6590"/>
    <w:rsid w:val="004034D3"/>
    <w:rsid w:val="00411E70"/>
    <w:rsid w:val="00416D80"/>
    <w:rsid w:val="00417503"/>
    <w:rsid w:val="004266DD"/>
    <w:rsid w:val="004661DB"/>
    <w:rsid w:val="0046628A"/>
    <w:rsid w:val="004668BF"/>
    <w:rsid w:val="00466F09"/>
    <w:rsid w:val="0047056D"/>
    <w:rsid w:val="00474AAC"/>
    <w:rsid w:val="004751B5"/>
    <w:rsid w:val="004757A9"/>
    <w:rsid w:val="00477900"/>
    <w:rsid w:val="0048161D"/>
    <w:rsid w:val="004818FE"/>
    <w:rsid w:val="00483615"/>
    <w:rsid w:val="00495D0D"/>
    <w:rsid w:val="00496BDC"/>
    <w:rsid w:val="004A7917"/>
    <w:rsid w:val="004B2EE5"/>
    <w:rsid w:val="004E009E"/>
    <w:rsid w:val="004E7959"/>
    <w:rsid w:val="004E7F19"/>
    <w:rsid w:val="004F5092"/>
    <w:rsid w:val="00501C7C"/>
    <w:rsid w:val="00507200"/>
    <w:rsid w:val="00515A1A"/>
    <w:rsid w:val="0051604F"/>
    <w:rsid w:val="00516E9E"/>
    <w:rsid w:val="00517BA5"/>
    <w:rsid w:val="00530F92"/>
    <w:rsid w:val="00531094"/>
    <w:rsid w:val="00540C58"/>
    <w:rsid w:val="00571ADD"/>
    <w:rsid w:val="00592700"/>
    <w:rsid w:val="00596D74"/>
    <w:rsid w:val="005A1416"/>
    <w:rsid w:val="005A518B"/>
    <w:rsid w:val="005A78AE"/>
    <w:rsid w:val="005B549C"/>
    <w:rsid w:val="005B66BF"/>
    <w:rsid w:val="005C0222"/>
    <w:rsid w:val="005C030A"/>
    <w:rsid w:val="005C375F"/>
    <w:rsid w:val="005D4CA7"/>
    <w:rsid w:val="005E1617"/>
    <w:rsid w:val="005E7B8D"/>
    <w:rsid w:val="005F3286"/>
    <w:rsid w:val="005F3EAE"/>
    <w:rsid w:val="005F4C82"/>
    <w:rsid w:val="005F667C"/>
    <w:rsid w:val="006011E2"/>
    <w:rsid w:val="00601B1E"/>
    <w:rsid w:val="00603521"/>
    <w:rsid w:val="006049B6"/>
    <w:rsid w:val="00605570"/>
    <w:rsid w:val="0060703B"/>
    <w:rsid w:val="006129B1"/>
    <w:rsid w:val="00613C2A"/>
    <w:rsid w:val="00620BCD"/>
    <w:rsid w:val="00625405"/>
    <w:rsid w:val="006258B1"/>
    <w:rsid w:val="0064360D"/>
    <w:rsid w:val="00643B59"/>
    <w:rsid w:val="0066106E"/>
    <w:rsid w:val="00674453"/>
    <w:rsid w:val="006813A9"/>
    <w:rsid w:val="00682F23"/>
    <w:rsid w:val="0068303A"/>
    <w:rsid w:val="00691CEB"/>
    <w:rsid w:val="00694B01"/>
    <w:rsid w:val="0069743A"/>
    <w:rsid w:val="006A3A0B"/>
    <w:rsid w:val="006A5DA0"/>
    <w:rsid w:val="006A6321"/>
    <w:rsid w:val="006B1F13"/>
    <w:rsid w:val="006B2A68"/>
    <w:rsid w:val="006C28AA"/>
    <w:rsid w:val="006C463B"/>
    <w:rsid w:val="006C68B3"/>
    <w:rsid w:val="006D10BA"/>
    <w:rsid w:val="006D1B1C"/>
    <w:rsid w:val="006D3DE1"/>
    <w:rsid w:val="006E7A57"/>
    <w:rsid w:val="006E7BC5"/>
    <w:rsid w:val="006F1471"/>
    <w:rsid w:val="007026DA"/>
    <w:rsid w:val="00711C99"/>
    <w:rsid w:val="00717652"/>
    <w:rsid w:val="00717882"/>
    <w:rsid w:val="0072198F"/>
    <w:rsid w:val="007255B9"/>
    <w:rsid w:val="0074383F"/>
    <w:rsid w:val="007464FE"/>
    <w:rsid w:val="007721B0"/>
    <w:rsid w:val="00784F62"/>
    <w:rsid w:val="00785C7F"/>
    <w:rsid w:val="0079001C"/>
    <w:rsid w:val="00797F1E"/>
    <w:rsid w:val="007A5991"/>
    <w:rsid w:val="007A79F6"/>
    <w:rsid w:val="007B0A80"/>
    <w:rsid w:val="007C011B"/>
    <w:rsid w:val="007C0ADB"/>
    <w:rsid w:val="007C15B8"/>
    <w:rsid w:val="007D0D37"/>
    <w:rsid w:val="007D519E"/>
    <w:rsid w:val="007E3479"/>
    <w:rsid w:val="007F2DA6"/>
    <w:rsid w:val="007F311E"/>
    <w:rsid w:val="007F3DD4"/>
    <w:rsid w:val="008205AC"/>
    <w:rsid w:val="00825D8E"/>
    <w:rsid w:val="00837DC7"/>
    <w:rsid w:val="00842721"/>
    <w:rsid w:val="00847326"/>
    <w:rsid w:val="008479D7"/>
    <w:rsid w:val="00852933"/>
    <w:rsid w:val="0085391E"/>
    <w:rsid w:val="00857A6E"/>
    <w:rsid w:val="00870116"/>
    <w:rsid w:val="008715BE"/>
    <w:rsid w:val="00876491"/>
    <w:rsid w:val="00882E8D"/>
    <w:rsid w:val="00884043"/>
    <w:rsid w:val="0088496B"/>
    <w:rsid w:val="0088759B"/>
    <w:rsid w:val="00893A1F"/>
    <w:rsid w:val="008B35EE"/>
    <w:rsid w:val="008C4B65"/>
    <w:rsid w:val="008C5C4B"/>
    <w:rsid w:val="008D1A84"/>
    <w:rsid w:val="008E383B"/>
    <w:rsid w:val="008E4480"/>
    <w:rsid w:val="008E767F"/>
    <w:rsid w:val="008F329F"/>
    <w:rsid w:val="00905C68"/>
    <w:rsid w:val="00905EBD"/>
    <w:rsid w:val="009077E0"/>
    <w:rsid w:val="009167B9"/>
    <w:rsid w:val="009231D4"/>
    <w:rsid w:val="00924443"/>
    <w:rsid w:val="009322BE"/>
    <w:rsid w:val="0093330E"/>
    <w:rsid w:val="00934DF0"/>
    <w:rsid w:val="0094088B"/>
    <w:rsid w:val="00951500"/>
    <w:rsid w:val="00953338"/>
    <w:rsid w:val="00955E73"/>
    <w:rsid w:val="00962A6F"/>
    <w:rsid w:val="00964616"/>
    <w:rsid w:val="0096554A"/>
    <w:rsid w:val="009770FF"/>
    <w:rsid w:val="009927D2"/>
    <w:rsid w:val="009A5103"/>
    <w:rsid w:val="009B6EEF"/>
    <w:rsid w:val="009E5091"/>
    <w:rsid w:val="009E5DAE"/>
    <w:rsid w:val="009E7AA1"/>
    <w:rsid w:val="009F7793"/>
    <w:rsid w:val="00A01834"/>
    <w:rsid w:val="00A07C1E"/>
    <w:rsid w:val="00A115C3"/>
    <w:rsid w:val="00A11FB6"/>
    <w:rsid w:val="00A12786"/>
    <w:rsid w:val="00A13AD3"/>
    <w:rsid w:val="00A14F28"/>
    <w:rsid w:val="00A174BC"/>
    <w:rsid w:val="00A24238"/>
    <w:rsid w:val="00A30EEE"/>
    <w:rsid w:val="00A37AA9"/>
    <w:rsid w:val="00A40C9E"/>
    <w:rsid w:val="00A42833"/>
    <w:rsid w:val="00A42F4D"/>
    <w:rsid w:val="00A51786"/>
    <w:rsid w:val="00A570FB"/>
    <w:rsid w:val="00A75482"/>
    <w:rsid w:val="00A775A0"/>
    <w:rsid w:val="00A82C86"/>
    <w:rsid w:val="00A83077"/>
    <w:rsid w:val="00A8703A"/>
    <w:rsid w:val="00A93008"/>
    <w:rsid w:val="00AA392C"/>
    <w:rsid w:val="00AA45B3"/>
    <w:rsid w:val="00AA4AAB"/>
    <w:rsid w:val="00AA4E7B"/>
    <w:rsid w:val="00AA6C2B"/>
    <w:rsid w:val="00AB3E01"/>
    <w:rsid w:val="00AB7E07"/>
    <w:rsid w:val="00AC7BBC"/>
    <w:rsid w:val="00AD5459"/>
    <w:rsid w:val="00AD5E2F"/>
    <w:rsid w:val="00AE1577"/>
    <w:rsid w:val="00AE1704"/>
    <w:rsid w:val="00AE2657"/>
    <w:rsid w:val="00AE3081"/>
    <w:rsid w:val="00AE54DB"/>
    <w:rsid w:val="00AF2DAF"/>
    <w:rsid w:val="00AF4870"/>
    <w:rsid w:val="00B00D71"/>
    <w:rsid w:val="00B00DB7"/>
    <w:rsid w:val="00B06F49"/>
    <w:rsid w:val="00B12929"/>
    <w:rsid w:val="00B133C2"/>
    <w:rsid w:val="00B2148B"/>
    <w:rsid w:val="00B2697A"/>
    <w:rsid w:val="00B30DA6"/>
    <w:rsid w:val="00B3517E"/>
    <w:rsid w:val="00B46775"/>
    <w:rsid w:val="00B5093A"/>
    <w:rsid w:val="00B67F63"/>
    <w:rsid w:val="00B73DC9"/>
    <w:rsid w:val="00B8609B"/>
    <w:rsid w:val="00B86369"/>
    <w:rsid w:val="00BA5D9D"/>
    <w:rsid w:val="00BB42DA"/>
    <w:rsid w:val="00BC25B2"/>
    <w:rsid w:val="00BC6438"/>
    <w:rsid w:val="00BC700E"/>
    <w:rsid w:val="00BC725F"/>
    <w:rsid w:val="00BD48BB"/>
    <w:rsid w:val="00BE2F30"/>
    <w:rsid w:val="00BE3A66"/>
    <w:rsid w:val="00BE4128"/>
    <w:rsid w:val="00BE4486"/>
    <w:rsid w:val="00BE661E"/>
    <w:rsid w:val="00BF2425"/>
    <w:rsid w:val="00C00275"/>
    <w:rsid w:val="00C078FC"/>
    <w:rsid w:val="00C10353"/>
    <w:rsid w:val="00C12028"/>
    <w:rsid w:val="00C17095"/>
    <w:rsid w:val="00C40C11"/>
    <w:rsid w:val="00C434B6"/>
    <w:rsid w:val="00C46800"/>
    <w:rsid w:val="00C55F8B"/>
    <w:rsid w:val="00C56164"/>
    <w:rsid w:val="00C62586"/>
    <w:rsid w:val="00C63604"/>
    <w:rsid w:val="00C74E2F"/>
    <w:rsid w:val="00C805D3"/>
    <w:rsid w:val="00C93FB4"/>
    <w:rsid w:val="00C96661"/>
    <w:rsid w:val="00C9782D"/>
    <w:rsid w:val="00CA3FE3"/>
    <w:rsid w:val="00CA549B"/>
    <w:rsid w:val="00CB0E93"/>
    <w:rsid w:val="00CC02A8"/>
    <w:rsid w:val="00CC611D"/>
    <w:rsid w:val="00CD656C"/>
    <w:rsid w:val="00CE0009"/>
    <w:rsid w:val="00CE048F"/>
    <w:rsid w:val="00CF1048"/>
    <w:rsid w:val="00CF3869"/>
    <w:rsid w:val="00D04293"/>
    <w:rsid w:val="00D12CF9"/>
    <w:rsid w:val="00D161D5"/>
    <w:rsid w:val="00D3422F"/>
    <w:rsid w:val="00D40655"/>
    <w:rsid w:val="00D4092D"/>
    <w:rsid w:val="00D51142"/>
    <w:rsid w:val="00D547E5"/>
    <w:rsid w:val="00D551FC"/>
    <w:rsid w:val="00D57AD2"/>
    <w:rsid w:val="00D72395"/>
    <w:rsid w:val="00D80EBA"/>
    <w:rsid w:val="00D85954"/>
    <w:rsid w:val="00D860CF"/>
    <w:rsid w:val="00D8725A"/>
    <w:rsid w:val="00D90B62"/>
    <w:rsid w:val="00D91F2C"/>
    <w:rsid w:val="00D925A8"/>
    <w:rsid w:val="00DA001E"/>
    <w:rsid w:val="00DA5EE0"/>
    <w:rsid w:val="00DB0106"/>
    <w:rsid w:val="00DB10C8"/>
    <w:rsid w:val="00DE6423"/>
    <w:rsid w:val="00E17FC9"/>
    <w:rsid w:val="00E272CF"/>
    <w:rsid w:val="00E3250F"/>
    <w:rsid w:val="00E42521"/>
    <w:rsid w:val="00E44F86"/>
    <w:rsid w:val="00E529E9"/>
    <w:rsid w:val="00E54434"/>
    <w:rsid w:val="00E676B0"/>
    <w:rsid w:val="00E7665B"/>
    <w:rsid w:val="00E76CA9"/>
    <w:rsid w:val="00E8229B"/>
    <w:rsid w:val="00E91451"/>
    <w:rsid w:val="00E92471"/>
    <w:rsid w:val="00EA3A19"/>
    <w:rsid w:val="00EA7AF6"/>
    <w:rsid w:val="00EB080E"/>
    <w:rsid w:val="00EB27C6"/>
    <w:rsid w:val="00EB313F"/>
    <w:rsid w:val="00EB77F5"/>
    <w:rsid w:val="00EC0C09"/>
    <w:rsid w:val="00EC3C61"/>
    <w:rsid w:val="00EC6089"/>
    <w:rsid w:val="00EC7226"/>
    <w:rsid w:val="00EC7365"/>
    <w:rsid w:val="00ED4276"/>
    <w:rsid w:val="00ED43D8"/>
    <w:rsid w:val="00ED63F1"/>
    <w:rsid w:val="00EE4306"/>
    <w:rsid w:val="00EF104D"/>
    <w:rsid w:val="00EF6C8C"/>
    <w:rsid w:val="00F002E8"/>
    <w:rsid w:val="00F120BB"/>
    <w:rsid w:val="00F155DC"/>
    <w:rsid w:val="00F15C21"/>
    <w:rsid w:val="00F161BF"/>
    <w:rsid w:val="00F24059"/>
    <w:rsid w:val="00F27A8D"/>
    <w:rsid w:val="00F30039"/>
    <w:rsid w:val="00F32B61"/>
    <w:rsid w:val="00F33EAF"/>
    <w:rsid w:val="00F45631"/>
    <w:rsid w:val="00F46A47"/>
    <w:rsid w:val="00F473D8"/>
    <w:rsid w:val="00F517A6"/>
    <w:rsid w:val="00F56215"/>
    <w:rsid w:val="00F61B5D"/>
    <w:rsid w:val="00F65A06"/>
    <w:rsid w:val="00F74288"/>
    <w:rsid w:val="00F76177"/>
    <w:rsid w:val="00F82FCD"/>
    <w:rsid w:val="00F84BFA"/>
    <w:rsid w:val="00F8502D"/>
    <w:rsid w:val="00F90A0D"/>
    <w:rsid w:val="00FA28F5"/>
    <w:rsid w:val="00FA5B41"/>
    <w:rsid w:val="00FB4168"/>
    <w:rsid w:val="00FC1EE2"/>
    <w:rsid w:val="00FD3A97"/>
    <w:rsid w:val="00FD7B60"/>
    <w:rsid w:val="00FE46EE"/>
    <w:rsid w:val="00FE5523"/>
    <w:rsid w:val="00FE75A7"/>
    <w:rsid w:val="00FF0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7D65"/>
  <w15:chartTrackingRefBased/>
  <w15:docId w15:val="{EBDA0F36-16AB-4FE5-8C69-D1872EDA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43A"/>
    <w:pPr>
      <w:ind w:left="720"/>
      <w:contextualSpacing/>
    </w:pPr>
  </w:style>
  <w:style w:type="paragraph" w:styleId="FootnoteText">
    <w:name w:val="footnote text"/>
    <w:basedOn w:val="Normal"/>
    <w:link w:val="FootnoteTextChar"/>
    <w:uiPriority w:val="99"/>
    <w:semiHidden/>
    <w:unhideWhenUsed/>
    <w:rsid w:val="001C1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3B3"/>
    <w:rPr>
      <w:sz w:val="20"/>
      <w:szCs w:val="20"/>
      <w:lang w:val="en-GB"/>
    </w:rPr>
  </w:style>
  <w:style w:type="character" w:styleId="FootnoteReference">
    <w:name w:val="footnote reference"/>
    <w:basedOn w:val="DefaultParagraphFont"/>
    <w:uiPriority w:val="99"/>
    <w:semiHidden/>
    <w:unhideWhenUsed/>
    <w:rsid w:val="001C13B3"/>
    <w:rPr>
      <w:vertAlign w:val="superscript"/>
    </w:rPr>
  </w:style>
  <w:style w:type="table" w:styleId="TableGrid">
    <w:name w:val="Table Grid"/>
    <w:basedOn w:val="TableNormal"/>
    <w:uiPriority w:val="39"/>
    <w:rsid w:val="0090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175B-F4E4-4F02-A630-5C1DB922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17</cp:revision>
  <dcterms:created xsi:type="dcterms:W3CDTF">2018-09-22T05:36:00Z</dcterms:created>
  <dcterms:modified xsi:type="dcterms:W3CDTF">2018-09-25T12:29:00Z</dcterms:modified>
</cp:coreProperties>
</file>