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968" w:rsidRPr="0047056D" w:rsidRDefault="002C5968" w:rsidP="002C5968">
      <w:pPr>
        <w:jc w:val="center"/>
        <w:rPr>
          <w:b/>
          <w:bCs/>
          <w:sz w:val="24"/>
          <w:szCs w:val="24"/>
        </w:rPr>
      </w:pPr>
      <w:r w:rsidRPr="0047056D">
        <w:rPr>
          <w:b/>
          <w:bCs/>
          <w:sz w:val="24"/>
          <w:szCs w:val="24"/>
        </w:rPr>
        <w:t>Extension Order Increasing the Contributions to Pension Insurance in the Marketplace 2016</w:t>
      </w:r>
    </w:p>
    <w:p w:rsidR="002C5968" w:rsidRPr="0047056D" w:rsidRDefault="002C5968" w:rsidP="002C5968">
      <w:pPr>
        <w:spacing w:after="0"/>
        <w:jc w:val="center"/>
        <w:rPr>
          <w:b/>
          <w:bCs/>
          <w:u w:val="single"/>
        </w:rPr>
      </w:pPr>
      <w:r w:rsidRPr="0047056D">
        <w:rPr>
          <w:b/>
          <w:bCs/>
          <w:u w:val="single"/>
        </w:rPr>
        <w:t>Extension Order Increasing the Contributions to Pension Insurance in the Marketplace 2016</w:t>
      </w:r>
      <w:r>
        <w:rPr>
          <w:rStyle w:val="FootnoteReference"/>
          <w:b/>
          <w:bCs/>
          <w:u w:val="single"/>
        </w:rPr>
        <w:footnoteReference w:id="1"/>
      </w:r>
    </w:p>
    <w:p w:rsidR="002C5968" w:rsidRPr="0047056D" w:rsidRDefault="002C5968" w:rsidP="002C5968">
      <w:pPr>
        <w:jc w:val="center"/>
        <w:rPr>
          <w:b/>
          <w:bCs/>
        </w:rPr>
      </w:pPr>
      <w:r w:rsidRPr="0047056D">
        <w:rPr>
          <w:b/>
          <w:bCs/>
        </w:rPr>
        <w:t>Under the Collective Agreements Act 1957-5717</w:t>
      </w:r>
    </w:p>
    <w:p w:rsidR="002C5968" w:rsidRDefault="002C5968" w:rsidP="002C5968">
      <w:pPr>
        <w:jc w:val="both"/>
      </w:pPr>
      <w:proofErr w:type="gramStart"/>
      <w:r>
        <w:t>By virtue of</w:t>
      </w:r>
      <w:proofErr w:type="gramEnd"/>
      <w:r>
        <w:t xml:space="preserve"> my authority under Section 25 of the Collective Agreements Act 1957-5717, I order that the provisions of the general collective agreement dated 24</w:t>
      </w:r>
      <w:r w:rsidRPr="0047056D">
        <w:rPr>
          <w:vertAlign w:val="superscript"/>
        </w:rPr>
        <w:t>th</w:t>
      </w:r>
      <w:r>
        <w:t xml:space="preserve"> </w:t>
      </w:r>
      <w:r w:rsidRPr="00AC1000">
        <w:rPr>
          <w:i/>
          <w:iCs/>
        </w:rPr>
        <w:t>Adar Bet</w:t>
      </w:r>
      <w:r>
        <w:t xml:space="preserve"> 5776 (April 3, 2016) numbered 7008/2016, between the Bureau of Economic Organisations</w:t>
      </w:r>
      <w:r>
        <w:rPr>
          <w:rStyle w:val="FootnoteReference"/>
        </w:rPr>
        <w:footnoteReference w:id="2"/>
      </w:r>
      <w:r>
        <w:t xml:space="preserve"> and the General Federation of Labour (Hebrew – </w:t>
      </w:r>
      <w:proofErr w:type="spellStart"/>
      <w:r w:rsidRPr="005F3EAE">
        <w:rPr>
          <w:i/>
          <w:iCs/>
        </w:rPr>
        <w:t>Histadrut</w:t>
      </w:r>
      <w:proofErr w:type="spellEnd"/>
      <w:r>
        <w:t>), be extended</w:t>
      </w:r>
      <w:r>
        <w:t>,</w:t>
      </w:r>
      <w:r>
        <w:t xml:space="preserve"> and that the expanded </w:t>
      </w:r>
      <w:r w:rsidR="00AC1000">
        <w:t>provisions</w:t>
      </w:r>
      <w:r>
        <w:t xml:space="preserve"> will apply to all employees and employers in Israel.</w:t>
      </w:r>
    </w:p>
    <w:p w:rsidR="002C5968" w:rsidRPr="001C13B3" w:rsidRDefault="002C5968" w:rsidP="002C5968">
      <w:pPr>
        <w:jc w:val="center"/>
        <w:rPr>
          <w:b/>
          <w:bCs/>
        </w:rPr>
      </w:pPr>
      <w:r w:rsidRPr="001C13B3">
        <w:rPr>
          <w:b/>
          <w:bCs/>
        </w:rPr>
        <w:t>Schedule</w:t>
      </w:r>
    </w:p>
    <w:p w:rsidR="002C5968" w:rsidRDefault="002C5968" w:rsidP="002C5968">
      <w:pPr>
        <w:jc w:val="center"/>
      </w:pPr>
      <w:r>
        <w:t>The Extended Provisions</w:t>
      </w:r>
    </w:p>
    <w:p w:rsidR="002C5968" w:rsidRDefault="002C5968" w:rsidP="002C5968">
      <w:pPr>
        <w:jc w:val="both"/>
      </w:pPr>
      <w:r>
        <w:t>Number of Clause</w:t>
      </w:r>
    </w:p>
    <w:p w:rsidR="002C5968" w:rsidRDefault="002C5968" w:rsidP="002C5968">
      <w:pPr>
        <w:jc w:val="both"/>
      </w:pPr>
      <w:r>
        <w:t>In Agreement</w:t>
      </w:r>
    </w:p>
    <w:p w:rsidR="00CC611D" w:rsidRDefault="002C5968" w:rsidP="002C5968">
      <w:pPr>
        <w:pStyle w:val="ListParagraph"/>
        <w:numPr>
          <w:ilvl w:val="0"/>
          <w:numId w:val="1"/>
        </w:numPr>
        <w:ind w:left="357" w:hanging="357"/>
        <w:contextualSpacing w:val="0"/>
      </w:pPr>
      <w:r>
        <w:t>[Not extended]</w:t>
      </w:r>
    </w:p>
    <w:p w:rsidR="002C5968" w:rsidRDefault="002C5968" w:rsidP="002C5968">
      <w:pPr>
        <w:pStyle w:val="ListParagraph"/>
        <w:numPr>
          <w:ilvl w:val="0"/>
          <w:numId w:val="1"/>
        </w:numPr>
        <w:ind w:left="357" w:hanging="357"/>
        <w:contextualSpacing w:val="0"/>
      </w:pPr>
      <w:r w:rsidRPr="002C5968">
        <w:rPr>
          <w:b/>
          <w:bCs/>
        </w:rPr>
        <w:t>Definitions</w:t>
      </w:r>
      <w:r>
        <w:t>:</w:t>
      </w:r>
    </w:p>
    <w:p w:rsidR="002C5968" w:rsidRDefault="002C5968" w:rsidP="002C5968">
      <w:pPr>
        <w:pStyle w:val="ListParagraph"/>
        <w:numPr>
          <w:ilvl w:val="1"/>
          <w:numId w:val="1"/>
        </w:numPr>
        <w:contextualSpacing w:val="0"/>
        <w:jc w:val="both"/>
      </w:pPr>
      <w:r>
        <w:t>The “Determin</w:t>
      </w:r>
      <w:r w:rsidR="00AD2D0C">
        <w:t>ing</w:t>
      </w:r>
      <w:r>
        <w:t xml:space="preserve"> Salary” – As defined in the agreement applicable to the employee, and no less than the insured salary mandated under the Mandatory Pension Extension Order;</w:t>
      </w:r>
    </w:p>
    <w:p w:rsidR="002C5968" w:rsidRDefault="002C5968" w:rsidP="002C5968">
      <w:pPr>
        <w:pStyle w:val="ListParagraph"/>
        <w:numPr>
          <w:ilvl w:val="1"/>
          <w:numId w:val="1"/>
        </w:numPr>
        <w:contextualSpacing w:val="0"/>
        <w:jc w:val="both"/>
      </w:pPr>
      <w:r>
        <w:t xml:space="preserve">“Pension Fund” – </w:t>
      </w:r>
      <w:r>
        <w:t xml:space="preserve">A New Pension Fund, </w:t>
      </w:r>
      <w:r>
        <w:t xml:space="preserve">a General Pension Fund, or </w:t>
      </w:r>
      <w:r>
        <w:t xml:space="preserve">an Old Pension Fund, </w:t>
      </w:r>
      <w:r>
        <w:t>a</w:t>
      </w:r>
      <w:r>
        <w:t>s defined in the Supervision of Financial Services (Provident Funds) Act 2005-5765</w:t>
      </w:r>
      <w:r>
        <w:t>;</w:t>
      </w:r>
    </w:p>
    <w:p w:rsidR="002C5968" w:rsidRDefault="002C5968" w:rsidP="002C5968">
      <w:pPr>
        <w:pStyle w:val="ListParagraph"/>
        <w:numPr>
          <w:ilvl w:val="1"/>
          <w:numId w:val="1"/>
        </w:numPr>
        <w:contextualSpacing w:val="0"/>
        <w:jc w:val="both"/>
      </w:pPr>
      <w:r>
        <w:t>“Insurance Fund / Provident Fund” – A</w:t>
      </w:r>
      <w:r>
        <w:t>s</w:t>
      </w:r>
      <w:r>
        <w:t xml:space="preserve"> </w:t>
      </w:r>
      <w:r>
        <w:t>defined in the Supervision of Financial Services (Provident Funds) Act 2005-5765;</w:t>
      </w:r>
    </w:p>
    <w:p w:rsidR="002C5968" w:rsidRDefault="002C5968" w:rsidP="002C5968">
      <w:pPr>
        <w:pStyle w:val="ListParagraph"/>
        <w:numPr>
          <w:ilvl w:val="1"/>
          <w:numId w:val="1"/>
        </w:numPr>
        <w:contextualSpacing w:val="0"/>
        <w:jc w:val="both"/>
      </w:pPr>
      <w:r>
        <w:t>“Commencement Date” – July 1, 2016, or the date of publication of this Order, whichever is later.</w:t>
      </w:r>
    </w:p>
    <w:p w:rsidR="002C5968" w:rsidRPr="00AC1000" w:rsidRDefault="002C5968" w:rsidP="002C5968">
      <w:pPr>
        <w:pStyle w:val="ListParagraph"/>
        <w:numPr>
          <w:ilvl w:val="0"/>
          <w:numId w:val="1"/>
        </w:numPr>
        <w:contextualSpacing w:val="0"/>
        <w:jc w:val="both"/>
        <w:rPr>
          <w:b/>
          <w:bCs/>
        </w:rPr>
      </w:pPr>
      <w:r w:rsidRPr="00AC1000">
        <w:rPr>
          <w:b/>
          <w:bCs/>
        </w:rPr>
        <w:t>Payment to a Pension Fund and/or Insurance Fund / Provident Fund which is not a Pension Fund</w:t>
      </w:r>
    </w:p>
    <w:p w:rsidR="002C5968" w:rsidRDefault="002C5968" w:rsidP="002C5968">
      <w:pPr>
        <w:pStyle w:val="ListParagraph"/>
        <w:ind w:left="360"/>
        <w:contextualSpacing w:val="0"/>
        <w:jc w:val="both"/>
      </w:pPr>
      <w:r>
        <w:t xml:space="preserve">From the Commencement Date, every employee will be insured, </w:t>
      </w:r>
      <w:proofErr w:type="gramStart"/>
      <w:r>
        <w:t>on account of</w:t>
      </w:r>
      <w:proofErr w:type="gramEnd"/>
      <w:r>
        <w:t xml:space="preserve"> his Determin</w:t>
      </w:r>
      <w:r w:rsidR="00AD2D0C">
        <w:t>ing</w:t>
      </w:r>
      <w:r>
        <w:t xml:space="preserve"> Salary, </w:t>
      </w:r>
      <w:r w:rsidR="00AC1000">
        <w:t>by</w:t>
      </w:r>
      <w:r>
        <w:t xml:space="preserve"> such rates that a</w:t>
      </w:r>
      <w:r w:rsidR="00AC1000">
        <w:t>re</w:t>
      </w:r>
      <w:r>
        <w:t xml:space="preserve"> no less than the rates set forth hereinafter:</w:t>
      </w:r>
    </w:p>
    <w:p w:rsidR="002C5968" w:rsidRPr="00AC1000" w:rsidRDefault="002C5968" w:rsidP="002C5968">
      <w:pPr>
        <w:pStyle w:val="ListParagraph"/>
        <w:numPr>
          <w:ilvl w:val="3"/>
          <w:numId w:val="1"/>
        </w:numPr>
        <w:ind w:left="757"/>
        <w:contextualSpacing w:val="0"/>
        <w:jc w:val="both"/>
        <w:rPr>
          <w:b/>
          <w:bCs/>
        </w:rPr>
      </w:pPr>
      <w:r w:rsidRPr="00AC1000">
        <w:rPr>
          <w:b/>
          <w:bCs/>
        </w:rPr>
        <w:t xml:space="preserve">Employee deduction towards insurance benefits </w:t>
      </w:r>
    </w:p>
    <w:p w:rsidR="002C5968" w:rsidRDefault="002C5968" w:rsidP="002C5968">
      <w:pPr>
        <w:pStyle w:val="ListParagraph"/>
        <w:ind w:left="757"/>
        <w:contextualSpacing w:val="0"/>
        <w:jc w:val="both"/>
      </w:pPr>
      <w:r>
        <w:t xml:space="preserve">From July 1, 2016 – the contribution </w:t>
      </w:r>
      <w:r>
        <w:t>towards benefit</w:t>
      </w:r>
      <w:r>
        <w:t xml:space="preserve">s </w:t>
      </w:r>
      <w:r>
        <w:t>will</w:t>
      </w:r>
      <w:r>
        <w:t xml:space="preserve"> </w:t>
      </w:r>
      <w:r>
        <w:t>be increased to</w:t>
      </w:r>
      <w:r>
        <w:t xml:space="preserve"> 5.75%;</w:t>
      </w:r>
    </w:p>
    <w:p w:rsidR="002C5968" w:rsidRDefault="002C5968" w:rsidP="002C5968">
      <w:pPr>
        <w:pStyle w:val="ListParagraph"/>
        <w:ind w:left="757"/>
        <w:contextualSpacing w:val="0"/>
        <w:jc w:val="both"/>
      </w:pPr>
      <w:r>
        <w:lastRenderedPageBreak/>
        <w:t xml:space="preserve">From </w:t>
      </w:r>
      <w:r>
        <w:t>January</w:t>
      </w:r>
      <w:r>
        <w:t xml:space="preserve"> 1, 201</w:t>
      </w:r>
      <w:r>
        <w:t>7</w:t>
      </w:r>
      <w:r>
        <w:t xml:space="preserve"> – the contribution</w:t>
      </w:r>
      <w:r>
        <w:t xml:space="preserve"> towards benefits </w:t>
      </w:r>
      <w:r>
        <w:t xml:space="preserve">will be increased to </w:t>
      </w:r>
      <w:r>
        <w:t>6</w:t>
      </w:r>
      <w:r>
        <w:t>%;</w:t>
      </w:r>
    </w:p>
    <w:p w:rsidR="002C5968" w:rsidRPr="00AC1000" w:rsidRDefault="002C5968" w:rsidP="002C5968">
      <w:pPr>
        <w:pStyle w:val="ListParagraph"/>
        <w:numPr>
          <w:ilvl w:val="3"/>
          <w:numId w:val="1"/>
        </w:numPr>
        <w:ind w:left="757"/>
        <w:contextualSpacing w:val="0"/>
        <w:jc w:val="both"/>
        <w:rPr>
          <w:b/>
          <w:bCs/>
        </w:rPr>
      </w:pPr>
      <w:r w:rsidRPr="00AC1000">
        <w:rPr>
          <w:b/>
          <w:bCs/>
        </w:rPr>
        <w:t xml:space="preserve">The employer payments </w:t>
      </w:r>
      <w:r w:rsidRPr="00AC1000">
        <w:rPr>
          <w:b/>
          <w:bCs/>
        </w:rPr>
        <w:t>towards insurance benefits</w:t>
      </w:r>
    </w:p>
    <w:p w:rsidR="002C5968" w:rsidRDefault="002C5968" w:rsidP="002C5968">
      <w:pPr>
        <w:pStyle w:val="ListParagraph"/>
        <w:ind w:left="397" w:firstLine="360"/>
        <w:contextualSpacing w:val="0"/>
        <w:jc w:val="both"/>
      </w:pPr>
      <w:r>
        <w:t xml:space="preserve">From July 1, 2016 – the contribution towards benefits will be increased to </w:t>
      </w:r>
      <w:r>
        <w:t>6</w:t>
      </w:r>
      <w:r>
        <w:t>.</w:t>
      </w:r>
      <w:r>
        <w:t>2</w:t>
      </w:r>
      <w:r>
        <w:t>5%;</w:t>
      </w:r>
    </w:p>
    <w:p w:rsidR="002C5968" w:rsidRDefault="002C5968" w:rsidP="002C5968">
      <w:pPr>
        <w:ind w:firstLine="720"/>
        <w:jc w:val="both"/>
      </w:pPr>
      <w:r>
        <w:t>From January 1, 2017 – the contribution towards benefits will be increased to 6</w:t>
      </w:r>
      <w:r>
        <w:t>.5</w:t>
      </w:r>
      <w:r>
        <w:t>%;</w:t>
      </w:r>
    </w:p>
    <w:p w:rsidR="002C5968" w:rsidRDefault="002C5968" w:rsidP="00AD2D0C">
      <w:pPr>
        <w:ind w:left="720"/>
        <w:jc w:val="both"/>
      </w:pPr>
      <w:r w:rsidRPr="002C5968">
        <w:t>The employer</w:t>
      </w:r>
      <w:r>
        <w:t>’</w:t>
      </w:r>
      <w:r w:rsidRPr="002C5968">
        <w:t xml:space="preserve">s </w:t>
      </w:r>
      <w:r>
        <w:t xml:space="preserve">contribution towards </w:t>
      </w:r>
      <w:r w:rsidRPr="002C5968">
        <w:t xml:space="preserve">benefits in an insurance fund / provident fund that is not a pension fund, as specified in this subsection, shall include the payment </w:t>
      </w:r>
      <w:r>
        <w:t xml:space="preserve">made by </w:t>
      </w:r>
      <w:r w:rsidRPr="002C5968">
        <w:t xml:space="preserve">the employer for the purchase of coverage in the event of loss of </w:t>
      </w:r>
      <w:r>
        <w:t xml:space="preserve">earning capacity </w:t>
      </w:r>
      <w:r w:rsidRPr="002C5968">
        <w:t xml:space="preserve">at a rate required to secure 75% of </w:t>
      </w:r>
      <w:r w:rsidRPr="002C5968">
        <w:t>the employee</w:t>
      </w:r>
      <w:r>
        <w:t>’s</w:t>
      </w:r>
      <w:r w:rsidRPr="002C5968">
        <w:t xml:space="preserve"> Determining Salary</w:t>
      </w:r>
      <w:r>
        <w:t>, and in any event, the rate of the employer’s contributions to</w:t>
      </w:r>
      <w:r w:rsidR="00AC1000">
        <w:t>wards</w:t>
      </w:r>
      <w:r>
        <w:t xml:space="preserve"> the benefits </w:t>
      </w:r>
      <w:r w:rsidR="00AD2D0C">
        <w:t xml:space="preserve">portion alone, will be no less than </w:t>
      </w:r>
      <w:r w:rsidRPr="002C5968">
        <w:t xml:space="preserve">5% of the </w:t>
      </w:r>
      <w:r w:rsidR="00AD2D0C" w:rsidRPr="002C5968">
        <w:t>Determining Salary</w:t>
      </w:r>
      <w:r w:rsidRPr="002C5968">
        <w:t>. It is further clarified</w:t>
      </w:r>
      <w:r w:rsidR="00AD2D0C">
        <w:t>,</w:t>
      </w:r>
      <w:r w:rsidRPr="002C5968">
        <w:t xml:space="preserve"> that insofar as there is a need to increase the costs due to coverage for loss of </w:t>
      </w:r>
      <w:r w:rsidR="00AD2D0C">
        <w:t>earning capacity</w:t>
      </w:r>
      <w:r w:rsidR="00AD2D0C" w:rsidRPr="002C5968">
        <w:t xml:space="preserve"> </w:t>
      </w:r>
      <w:r w:rsidRPr="002C5968">
        <w:t>(beyond 6.25% or 6.5%</w:t>
      </w:r>
      <w:r w:rsidR="00AD2D0C">
        <w:t>,</w:t>
      </w:r>
      <w:r w:rsidRPr="002C5968">
        <w:t xml:space="preserve"> </w:t>
      </w:r>
      <w:r w:rsidR="00AD2D0C">
        <w:t>respectively</w:t>
      </w:r>
      <w:r w:rsidRPr="002C5968">
        <w:t>)</w:t>
      </w:r>
      <w:r w:rsidR="00AD2D0C">
        <w:t>,</w:t>
      </w:r>
      <w:r w:rsidRPr="002C5968">
        <w:t xml:space="preserve"> </w:t>
      </w:r>
      <w:r w:rsidR="00AD2D0C">
        <w:t>t</w:t>
      </w:r>
      <w:r w:rsidRPr="002C5968">
        <w:t xml:space="preserve">he costs to the employer in respect of the acquisition of such loss of </w:t>
      </w:r>
      <w:r w:rsidR="00AD2D0C">
        <w:t xml:space="preserve">earning </w:t>
      </w:r>
      <w:r w:rsidRPr="002C5968">
        <w:t xml:space="preserve">capacity, </w:t>
      </w:r>
      <w:r w:rsidR="00AD2D0C">
        <w:t xml:space="preserve">as aforementioned, </w:t>
      </w:r>
      <w:r w:rsidRPr="002C5968">
        <w:t>together with the employer</w:t>
      </w:r>
      <w:r w:rsidR="00AD2D0C">
        <w:t>’</w:t>
      </w:r>
      <w:r w:rsidRPr="002C5968">
        <w:t xml:space="preserve">s </w:t>
      </w:r>
      <w:r w:rsidR="00AD2D0C">
        <w:t xml:space="preserve">contribution towards </w:t>
      </w:r>
      <w:r w:rsidRPr="002C5968">
        <w:t>pension</w:t>
      </w:r>
      <w:r w:rsidR="00AD2D0C">
        <w:t xml:space="preserve"> benefits</w:t>
      </w:r>
      <w:r w:rsidRPr="002C5968">
        <w:t xml:space="preserve">, will not </w:t>
      </w:r>
      <w:r w:rsidR="00AD2D0C" w:rsidRPr="002C5968">
        <w:t xml:space="preserve">in any </w:t>
      </w:r>
      <w:r w:rsidR="00AD2D0C">
        <w:t xml:space="preserve">event </w:t>
      </w:r>
      <w:r w:rsidRPr="002C5968">
        <w:t xml:space="preserve">exceed 7.5% of the </w:t>
      </w:r>
      <w:r w:rsidR="00AD2D0C" w:rsidRPr="002C5968">
        <w:t>Determining Salary</w:t>
      </w:r>
      <w:r w:rsidRPr="002C5968">
        <w:t>.</w:t>
      </w:r>
      <w:bookmarkStart w:id="0" w:name="_GoBack"/>
      <w:bookmarkEnd w:id="0"/>
    </w:p>
    <w:p w:rsidR="00E22D2D" w:rsidRDefault="00E22D2D" w:rsidP="00E22D2D">
      <w:pPr>
        <w:pStyle w:val="ListParagraph"/>
        <w:ind w:left="360"/>
        <w:contextualSpacing w:val="0"/>
        <w:jc w:val="both"/>
      </w:pPr>
    </w:p>
    <w:sectPr w:rsidR="00E22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40" w:rsidRDefault="00464B40" w:rsidP="002C5968">
      <w:pPr>
        <w:spacing w:after="0" w:line="240" w:lineRule="auto"/>
      </w:pPr>
      <w:r>
        <w:separator/>
      </w:r>
    </w:p>
  </w:endnote>
  <w:endnote w:type="continuationSeparator" w:id="0">
    <w:p w:rsidR="00464B40" w:rsidRDefault="00464B40" w:rsidP="002C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40" w:rsidRDefault="00464B40" w:rsidP="002C5968">
      <w:pPr>
        <w:spacing w:after="0" w:line="240" w:lineRule="auto"/>
      </w:pPr>
      <w:r>
        <w:separator/>
      </w:r>
    </w:p>
  </w:footnote>
  <w:footnote w:type="continuationSeparator" w:id="0">
    <w:p w:rsidR="00464B40" w:rsidRDefault="00464B40" w:rsidP="002C5968">
      <w:pPr>
        <w:spacing w:after="0" w:line="240" w:lineRule="auto"/>
      </w:pPr>
      <w:r>
        <w:continuationSeparator/>
      </w:r>
    </w:p>
  </w:footnote>
  <w:footnote w:id="1">
    <w:p w:rsidR="002C5968" w:rsidRDefault="002C5968">
      <w:pPr>
        <w:pStyle w:val="FootnoteText"/>
      </w:pPr>
      <w:r>
        <w:rPr>
          <w:rStyle w:val="FootnoteReference"/>
        </w:rPr>
        <w:footnoteRef/>
      </w:r>
      <w:r>
        <w:t xml:space="preserve"> Published in the Official Gazette (year) 5776 No. 7287 dated June 20, 2016, page 7974.</w:t>
      </w:r>
    </w:p>
  </w:footnote>
  <w:footnote w:id="2">
    <w:p w:rsidR="002C5968" w:rsidRDefault="002C5968" w:rsidP="002C5968">
      <w:pPr>
        <w:pStyle w:val="FootnoteText"/>
        <w:jc w:val="both"/>
        <w:rPr>
          <w:rtl/>
        </w:rPr>
      </w:pPr>
      <w:r>
        <w:rPr>
          <w:rStyle w:val="FootnoteReference"/>
        </w:rPr>
        <w:footnoteRef/>
      </w:r>
      <w:r>
        <w:t xml:space="preserve"> </w:t>
      </w:r>
      <w:r>
        <w:t xml:space="preserve">List of Organisations: </w:t>
      </w:r>
      <w:r>
        <w:t>Manufacturers Association of Israel, the Association of Contractors and Builders in Israel, The Israel Farmers Association,</w:t>
      </w:r>
      <w:r>
        <w:t xml:space="preserve"> the Israel Association of Banks, the Association of Life Insurance Companies Ltd., </w:t>
      </w:r>
      <w:r>
        <w:t>the Israeli Diamond Industry Association, the Israeli Hotel Association, the Israel Security Association, the National Association of Maintenance and Cleaning Companies in Israel, the Association of Industry and Craftsmanship in Israel,</w:t>
      </w:r>
      <w:r>
        <w:t xml:space="preserve"> LAHAV - </w:t>
      </w:r>
      <w:r>
        <w:t>the Bureau of Organisations of the Self Employed in Israel, the Association of Human Resources Companies</w:t>
      </w:r>
      <w:r>
        <w:t>,</w:t>
      </w:r>
      <w:r w:rsidRPr="002C5968">
        <w:t xml:space="preserve"> </w:t>
      </w:r>
      <w:r>
        <w:t>the Israeli Film Industry Association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708"/>
    <w:multiLevelType w:val="hybridMultilevel"/>
    <w:tmpl w:val="28B2A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4A"/>
    <w:rsid w:val="000036F7"/>
    <w:rsid w:val="00005310"/>
    <w:rsid w:val="00006538"/>
    <w:rsid w:val="00021251"/>
    <w:rsid w:val="00030120"/>
    <w:rsid w:val="000316E9"/>
    <w:rsid w:val="00031A6C"/>
    <w:rsid w:val="0003224A"/>
    <w:rsid w:val="000506A0"/>
    <w:rsid w:val="000552CC"/>
    <w:rsid w:val="00057042"/>
    <w:rsid w:val="00081CC6"/>
    <w:rsid w:val="00097264"/>
    <w:rsid w:val="00097346"/>
    <w:rsid w:val="000B1608"/>
    <w:rsid w:val="000B2AEE"/>
    <w:rsid w:val="000B358B"/>
    <w:rsid w:val="000B36AD"/>
    <w:rsid w:val="000B3794"/>
    <w:rsid w:val="000C28D6"/>
    <w:rsid w:val="000D0BF7"/>
    <w:rsid w:val="000D42E1"/>
    <w:rsid w:val="000D57D3"/>
    <w:rsid w:val="000D5FBA"/>
    <w:rsid w:val="000D7651"/>
    <w:rsid w:val="000E6D6F"/>
    <w:rsid w:val="000F28A4"/>
    <w:rsid w:val="000F600E"/>
    <w:rsid w:val="00102AF5"/>
    <w:rsid w:val="0010546F"/>
    <w:rsid w:val="00110469"/>
    <w:rsid w:val="0011599E"/>
    <w:rsid w:val="001167BC"/>
    <w:rsid w:val="001204EF"/>
    <w:rsid w:val="001215B1"/>
    <w:rsid w:val="00132793"/>
    <w:rsid w:val="00140D6F"/>
    <w:rsid w:val="00141E9A"/>
    <w:rsid w:val="00153F5C"/>
    <w:rsid w:val="00156BDA"/>
    <w:rsid w:val="001619B2"/>
    <w:rsid w:val="00166FCC"/>
    <w:rsid w:val="0017308B"/>
    <w:rsid w:val="001733FA"/>
    <w:rsid w:val="00174C9F"/>
    <w:rsid w:val="00184532"/>
    <w:rsid w:val="00187A22"/>
    <w:rsid w:val="0019465A"/>
    <w:rsid w:val="001A6896"/>
    <w:rsid w:val="001B05DA"/>
    <w:rsid w:val="001B40C7"/>
    <w:rsid w:val="001C3396"/>
    <w:rsid w:val="001C5A09"/>
    <w:rsid w:val="002007E9"/>
    <w:rsid w:val="00207931"/>
    <w:rsid w:val="00212041"/>
    <w:rsid w:val="00224188"/>
    <w:rsid w:val="0022728D"/>
    <w:rsid w:val="002348E0"/>
    <w:rsid w:val="0025371C"/>
    <w:rsid w:val="002627DA"/>
    <w:rsid w:val="0028288D"/>
    <w:rsid w:val="00283387"/>
    <w:rsid w:val="00296CE7"/>
    <w:rsid w:val="002A194B"/>
    <w:rsid w:val="002A3319"/>
    <w:rsid w:val="002B32CB"/>
    <w:rsid w:val="002C1B96"/>
    <w:rsid w:val="002C3277"/>
    <w:rsid w:val="002C5968"/>
    <w:rsid w:val="002D0191"/>
    <w:rsid w:val="002D0A20"/>
    <w:rsid w:val="002D268D"/>
    <w:rsid w:val="002D7AED"/>
    <w:rsid w:val="0031005C"/>
    <w:rsid w:val="0031655D"/>
    <w:rsid w:val="0032471C"/>
    <w:rsid w:val="00330E89"/>
    <w:rsid w:val="003405D6"/>
    <w:rsid w:val="00341F51"/>
    <w:rsid w:val="0036677C"/>
    <w:rsid w:val="00371F9C"/>
    <w:rsid w:val="00374775"/>
    <w:rsid w:val="00380AAB"/>
    <w:rsid w:val="00381B02"/>
    <w:rsid w:val="00391BEA"/>
    <w:rsid w:val="00397E7C"/>
    <w:rsid w:val="003A4D60"/>
    <w:rsid w:val="003A4EB3"/>
    <w:rsid w:val="003A54F3"/>
    <w:rsid w:val="003B53B5"/>
    <w:rsid w:val="003C5BDE"/>
    <w:rsid w:val="003C7882"/>
    <w:rsid w:val="003C7B3B"/>
    <w:rsid w:val="003D1E6F"/>
    <w:rsid w:val="003D3F2E"/>
    <w:rsid w:val="003D51D3"/>
    <w:rsid w:val="003E0B65"/>
    <w:rsid w:val="003E459D"/>
    <w:rsid w:val="003E54D5"/>
    <w:rsid w:val="003F1BE9"/>
    <w:rsid w:val="003F1D3D"/>
    <w:rsid w:val="003F3A53"/>
    <w:rsid w:val="004034D3"/>
    <w:rsid w:val="00411E70"/>
    <w:rsid w:val="00416D80"/>
    <w:rsid w:val="00417503"/>
    <w:rsid w:val="004266DD"/>
    <w:rsid w:val="00464B40"/>
    <w:rsid w:val="0046628A"/>
    <w:rsid w:val="004668BF"/>
    <w:rsid w:val="00466F09"/>
    <w:rsid w:val="00474AAC"/>
    <w:rsid w:val="004751B5"/>
    <w:rsid w:val="004757A9"/>
    <w:rsid w:val="00477900"/>
    <w:rsid w:val="0048161D"/>
    <w:rsid w:val="004818FE"/>
    <w:rsid w:val="00483615"/>
    <w:rsid w:val="00495D0D"/>
    <w:rsid w:val="00496BDC"/>
    <w:rsid w:val="004A7917"/>
    <w:rsid w:val="004B2EE5"/>
    <w:rsid w:val="004E009E"/>
    <w:rsid w:val="004E7959"/>
    <w:rsid w:val="004E7F19"/>
    <w:rsid w:val="004F5092"/>
    <w:rsid w:val="00507200"/>
    <w:rsid w:val="00515A1A"/>
    <w:rsid w:val="0051604F"/>
    <w:rsid w:val="00516E9E"/>
    <w:rsid w:val="00517BA5"/>
    <w:rsid w:val="00530F92"/>
    <w:rsid w:val="00531094"/>
    <w:rsid w:val="00540C58"/>
    <w:rsid w:val="00571ADD"/>
    <w:rsid w:val="00592700"/>
    <w:rsid w:val="00596D74"/>
    <w:rsid w:val="005A518B"/>
    <w:rsid w:val="005A78AE"/>
    <w:rsid w:val="005B549C"/>
    <w:rsid w:val="005B66BF"/>
    <w:rsid w:val="005C0222"/>
    <w:rsid w:val="005C030A"/>
    <w:rsid w:val="005C375F"/>
    <w:rsid w:val="005D4CA7"/>
    <w:rsid w:val="005E1617"/>
    <w:rsid w:val="005E7B8D"/>
    <w:rsid w:val="005F3286"/>
    <w:rsid w:val="005F4C82"/>
    <w:rsid w:val="006011E2"/>
    <w:rsid w:val="00601B1E"/>
    <w:rsid w:val="00603521"/>
    <w:rsid w:val="006049B6"/>
    <w:rsid w:val="00605570"/>
    <w:rsid w:val="0060703B"/>
    <w:rsid w:val="006129B1"/>
    <w:rsid w:val="00613C2A"/>
    <w:rsid w:val="00620BCD"/>
    <w:rsid w:val="00625405"/>
    <w:rsid w:val="006258B1"/>
    <w:rsid w:val="0064360D"/>
    <w:rsid w:val="00643B59"/>
    <w:rsid w:val="0066106E"/>
    <w:rsid w:val="00674453"/>
    <w:rsid w:val="006813A9"/>
    <w:rsid w:val="00682F23"/>
    <w:rsid w:val="0068303A"/>
    <w:rsid w:val="00691CEB"/>
    <w:rsid w:val="00694B01"/>
    <w:rsid w:val="006A5DA0"/>
    <w:rsid w:val="006A6321"/>
    <w:rsid w:val="006B1F13"/>
    <w:rsid w:val="006B2A68"/>
    <w:rsid w:val="006C28AA"/>
    <w:rsid w:val="006C463B"/>
    <w:rsid w:val="006C68B3"/>
    <w:rsid w:val="006D10BA"/>
    <w:rsid w:val="006D1B1C"/>
    <w:rsid w:val="006D3DE1"/>
    <w:rsid w:val="006E7A57"/>
    <w:rsid w:val="006E7BC5"/>
    <w:rsid w:val="006F1471"/>
    <w:rsid w:val="007026DA"/>
    <w:rsid w:val="00711C99"/>
    <w:rsid w:val="00717652"/>
    <w:rsid w:val="00717882"/>
    <w:rsid w:val="0072198F"/>
    <w:rsid w:val="007464FE"/>
    <w:rsid w:val="007721B0"/>
    <w:rsid w:val="00784F62"/>
    <w:rsid w:val="0079001C"/>
    <w:rsid w:val="00797F1E"/>
    <w:rsid w:val="007A5991"/>
    <w:rsid w:val="007A79F6"/>
    <w:rsid w:val="007B0A80"/>
    <w:rsid w:val="007C011B"/>
    <w:rsid w:val="007C0ADB"/>
    <w:rsid w:val="007C15B8"/>
    <w:rsid w:val="007D0D37"/>
    <w:rsid w:val="007D519E"/>
    <w:rsid w:val="007E3479"/>
    <w:rsid w:val="007F2DA6"/>
    <w:rsid w:val="007F311E"/>
    <w:rsid w:val="00803AD8"/>
    <w:rsid w:val="008205AC"/>
    <w:rsid w:val="00825D8E"/>
    <w:rsid w:val="00837DC7"/>
    <w:rsid w:val="00842721"/>
    <w:rsid w:val="00847326"/>
    <w:rsid w:val="008479D7"/>
    <w:rsid w:val="00852933"/>
    <w:rsid w:val="0085391E"/>
    <w:rsid w:val="00857A6E"/>
    <w:rsid w:val="00864565"/>
    <w:rsid w:val="00870116"/>
    <w:rsid w:val="008715BE"/>
    <w:rsid w:val="00882E8D"/>
    <w:rsid w:val="00884043"/>
    <w:rsid w:val="0088496B"/>
    <w:rsid w:val="0088759B"/>
    <w:rsid w:val="00893A1F"/>
    <w:rsid w:val="008A0C37"/>
    <w:rsid w:val="008B35EE"/>
    <w:rsid w:val="008C4B65"/>
    <w:rsid w:val="008C5C4B"/>
    <w:rsid w:val="008D1A84"/>
    <w:rsid w:val="008E383B"/>
    <w:rsid w:val="008E4480"/>
    <w:rsid w:val="008E767F"/>
    <w:rsid w:val="008F329F"/>
    <w:rsid w:val="00905C68"/>
    <w:rsid w:val="009077E0"/>
    <w:rsid w:val="009167B9"/>
    <w:rsid w:val="009231D4"/>
    <w:rsid w:val="00924443"/>
    <w:rsid w:val="009322BE"/>
    <w:rsid w:val="0093330E"/>
    <w:rsid w:val="00934DF0"/>
    <w:rsid w:val="0094088B"/>
    <w:rsid w:val="00951500"/>
    <w:rsid w:val="00953338"/>
    <w:rsid w:val="00962A6F"/>
    <w:rsid w:val="00964616"/>
    <w:rsid w:val="0096554A"/>
    <w:rsid w:val="009770FF"/>
    <w:rsid w:val="009927D2"/>
    <w:rsid w:val="009A5103"/>
    <w:rsid w:val="009B6EEF"/>
    <w:rsid w:val="009E5091"/>
    <w:rsid w:val="009E5DAE"/>
    <w:rsid w:val="009E7AA1"/>
    <w:rsid w:val="009F7793"/>
    <w:rsid w:val="00A011E7"/>
    <w:rsid w:val="00A01834"/>
    <w:rsid w:val="00A07C1E"/>
    <w:rsid w:val="00A11FB6"/>
    <w:rsid w:val="00A12786"/>
    <w:rsid w:val="00A13AD3"/>
    <w:rsid w:val="00A14F28"/>
    <w:rsid w:val="00A174BC"/>
    <w:rsid w:val="00A24238"/>
    <w:rsid w:val="00A30EEE"/>
    <w:rsid w:val="00A37AA9"/>
    <w:rsid w:val="00A42833"/>
    <w:rsid w:val="00A42F4D"/>
    <w:rsid w:val="00A51786"/>
    <w:rsid w:val="00A570FB"/>
    <w:rsid w:val="00A75482"/>
    <w:rsid w:val="00A82C86"/>
    <w:rsid w:val="00A83077"/>
    <w:rsid w:val="00A8703A"/>
    <w:rsid w:val="00A93008"/>
    <w:rsid w:val="00AA392C"/>
    <w:rsid w:val="00AA45B3"/>
    <w:rsid w:val="00AA4AAB"/>
    <w:rsid w:val="00AA4E7B"/>
    <w:rsid w:val="00AA6C2B"/>
    <w:rsid w:val="00AB3E01"/>
    <w:rsid w:val="00AB7E07"/>
    <w:rsid w:val="00AC1000"/>
    <w:rsid w:val="00AC7BBC"/>
    <w:rsid w:val="00AD2D0C"/>
    <w:rsid w:val="00AD5459"/>
    <w:rsid w:val="00AD5E2F"/>
    <w:rsid w:val="00AE1577"/>
    <w:rsid w:val="00AE1704"/>
    <w:rsid w:val="00AE2657"/>
    <w:rsid w:val="00AE3081"/>
    <w:rsid w:val="00AE54DB"/>
    <w:rsid w:val="00AE576E"/>
    <w:rsid w:val="00AF4870"/>
    <w:rsid w:val="00B00D71"/>
    <w:rsid w:val="00B00DB7"/>
    <w:rsid w:val="00B12929"/>
    <w:rsid w:val="00B133C2"/>
    <w:rsid w:val="00B2148B"/>
    <w:rsid w:val="00B2697A"/>
    <w:rsid w:val="00B30DA6"/>
    <w:rsid w:val="00B3517E"/>
    <w:rsid w:val="00B46775"/>
    <w:rsid w:val="00B5093A"/>
    <w:rsid w:val="00B67F63"/>
    <w:rsid w:val="00B73DC9"/>
    <w:rsid w:val="00B7754A"/>
    <w:rsid w:val="00B85C5A"/>
    <w:rsid w:val="00B8609B"/>
    <w:rsid w:val="00B86369"/>
    <w:rsid w:val="00BB42DA"/>
    <w:rsid w:val="00BC25B2"/>
    <w:rsid w:val="00BC6438"/>
    <w:rsid w:val="00BC700E"/>
    <w:rsid w:val="00BC725F"/>
    <w:rsid w:val="00BD48BB"/>
    <w:rsid w:val="00BE2F30"/>
    <w:rsid w:val="00BE3A66"/>
    <w:rsid w:val="00BE4128"/>
    <w:rsid w:val="00BE4486"/>
    <w:rsid w:val="00BE661E"/>
    <w:rsid w:val="00BF2425"/>
    <w:rsid w:val="00C00275"/>
    <w:rsid w:val="00C078FC"/>
    <w:rsid w:val="00C10353"/>
    <w:rsid w:val="00C12028"/>
    <w:rsid w:val="00C17095"/>
    <w:rsid w:val="00C40C11"/>
    <w:rsid w:val="00C434B6"/>
    <w:rsid w:val="00C46800"/>
    <w:rsid w:val="00C55F8B"/>
    <w:rsid w:val="00C56164"/>
    <w:rsid w:val="00C62586"/>
    <w:rsid w:val="00C63604"/>
    <w:rsid w:val="00C74E2F"/>
    <w:rsid w:val="00C805D3"/>
    <w:rsid w:val="00C93FB4"/>
    <w:rsid w:val="00C96661"/>
    <w:rsid w:val="00C9782D"/>
    <w:rsid w:val="00CA3FE3"/>
    <w:rsid w:val="00CA549B"/>
    <w:rsid w:val="00CB0E93"/>
    <w:rsid w:val="00CC02A8"/>
    <w:rsid w:val="00CC611D"/>
    <w:rsid w:val="00CD656C"/>
    <w:rsid w:val="00CE0009"/>
    <w:rsid w:val="00CE048F"/>
    <w:rsid w:val="00CF1048"/>
    <w:rsid w:val="00CF3869"/>
    <w:rsid w:val="00D04293"/>
    <w:rsid w:val="00D07B4D"/>
    <w:rsid w:val="00D161D5"/>
    <w:rsid w:val="00D40655"/>
    <w:rsid w:val="00D4092D"/>
    <w:rsid w:val="00D51142"/>
    <w:rsid w:val="00D516EF"/>
    <w:rsid w:val="00D547E5"/>
    <w:rsid w:val="00D551FC"/>
    <w:rsid w:val="00D57AD2"/>
    <w:rsid w:val="00D72395"/>
    <w:rsid w:val="00D80EBA"/>
    <w:rsid w:val="00D85954"/>
    <w:rsid w:val="00D860CF"/>
    <w:rsid w:val="00D8725A"/>
    <w:rsid w:val="00D90B62"/>
    <w:rsid w:val="00D91F2C"/>
    <w:rsid w:val="00D925A8"/>
    <w:rsid w:val="00DA001E"/>
    <w:rsid w:val="00DA5EE0"/>
    <w:rsid w:val="00DB0106"/>
    <w:rsid w:val="00DB10C8"/>
    <w:rsid w:val="00DE6423"/>
    <w:rsid w:val="00DF3C21"/>
    <w:rsid w:val="00E17FC9"/>
    <w:rsid w:val="00E22D2D"/>
    <w:rsid w:val="00E272CF"/>
    <w:rsid w:val="00E3250F"/>
    <w:rsid w:val="00E42521"/>
    <w:rsid w:val="00E44F86"/>
    <w:rsid w:val="00E529E9"/>
    <w:rsid w:val="00E54434"/>
    <w:rsid w:val="00E676B0"/>
    <w:rsid w:val="00E7665B"/>
    <w:rsid w:val="00E76CA9"/>
    <w:rsid w:val="00E8206C"/>
    <w:rsid w:val="00E8229B"/>
    <w:rsid w:val="00E91451"/>
    <w:rsid w:val="00E92471"/>
    <w:rsid w:val="00EA3A19"/>
    <w:rsid w:val="00EA7AF6"/>
    <w:rsid w:val="00EB080E"/>
    <w:rsid w:val="00EB27C6"/>
    <w:rsid w:val="00EB313F"/>
    <w:rsid w:val="00EB3856"/>
    <w:rsid w:val="00EB77F5"/>
    <w:rsid w:val="00EC0C09"/>
    <w:rsid w:val="00EC3C61"/>
    <w:rsid w:val="00EC6089"/>
    <w:rsid w:val="00EC7226"/>
    <w:rsid w:val="00EC7365"/>
    <w:rsid w:val="00ED4276"/>
    <w:rsid w:val="00ED43D8"/>
    <w:rsid w:val="00ED63F1"/>
    <w:rsid w:val="00EE4306"/>
    <w:rsid w:val="00EF104D"/>
    <w:rsid w:val="00EF6C8C"/>
    <w:rsid w:val="00F002E8"/>
    <w:rsid w:val="00F120BB"/>
    <w:rsid w:val="00F155DC"/>
    <w:rsid w:val="00F15C21"/>
    <w:rsid w:val="00F161BF"/>
    <w:rsid w:val="00F17BFB"/>
    <w:rsid w:val="00F24059"/>
    <w:rsid w:val="00F27A8D"/>
    <w:rsid w:val="00F30039"/>
    <w:rsid w:val="00F32B61"/>
    <w:rsid w:val="00F33EAF"/>
    <w:rsid w:val="00F45631"/>
    <w:rsid w:val="00F473D8"/>
    <w:rsid w:val="00F517A6"/>
    <w:rsid w:val="00F56215"/>
    <w:rsid w:val="00F61B5D"/>
    <w:rsid w:val="00F65A06"/>
    <w:rsid w:val="00F74288"/>
    <w:rsid w:val="00F76177"/>
    <w:rsid w:val="00F84BFA"/>
    <w:rsid w:val="00F8502D"/>
    <w:rsid w:val="00F90A0D"/>
    <w:rsid w:val="00FA28F5"/>
    <w:rsid w:val="00FB4168"/>
    <w:rsid w:val="00FD3A97"/>
    <w:rsid w:val="00FD7B60"/>
    <w:rsid w:val="00FE46EE"/>
    <w:rsid w:val="00FE5523"/>
    <w:rsid w:val="00FE75A7"/>
    <w:rsid w:val="00FF0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83EC"/>
  <w15:chartTrackingRefBased/>
  <w15:docId w15:val="{31269FFE-6152-4AA3-A21E-607263D6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96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5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968"/>
    <w:rPr>
      <w:sz w:val="20"/>
      <w:szCs w:val="20"/>
      <w:lang w:val="en-GB"/>
    </w:rPr>
  </w:style>
  <w:style w:type="character" w:styleId="FootnoteReference">
    <w:name w:val="footnote reference"/>
    <w:basedOn w:val="DefaultParagraphFont"/>
    <w:uiPriority w:val="99"/>
    <w:semiHidden/>
    <w:unhideWhenUsed/>
    <w:rsid w:val="002C5968"/>
    <w:rPr>
      <w:vertAlign w:val="superscript"/>
    </w:rPr>
  </w:style>
  <w:style w:type="paragraph" w:styleId="ListParagraph">
    <w:name w:val="List Paragraph"/>
    <w:basedOn w:val="Normal"/>
    <w:uiPriority w:val="34"/>
    <w:qFormat/>
    <w:rsid w:val="002C5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2DED6-E34F-46A4-8F1B-CB9AEAC4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2</cp:revision>
  <dcterms:created xsi:type="dcterms:W3CDTF">2018-09-25T10:34:00Z</dcterms:created>
  <dcterms:modified xsi:type="dcterms:W3CDTF">2018-09-25T11:19:00Z</dcterms:modified>
</cp:coreProperties>
</file>