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BC270" w14:textId="6786F3FB" w:rsidR="00783833" w:rsidRPr="00D809A7" w:rsidRDefault="00783833" w:rsidP="00783833">
      <w:pPr>
        <w:bidi w:val="0"/>
        <w:spacing w:line="360" w:lineRule="auto"/>
        <w:jc w:val="both"/>
        <w:rPr>
          <w:rFonts w:asciiTheme="majorBidi" w:hAnsiTheme="majorBidi" w:cstheme="majorBidi"/>
          <w:b/>
          <w:bCs/>
        </w:rPr>
      </w:pPr>
      <w:r>
        <w:rPr>
          <w:rFonts w:asciiTheme="majorBidi" w:hAnsiTheme="majorBidi" w:cstheme="majorBidi"/>
        </w:rPr>
        <w:t xml:space="preserve">The </w:t>
      </w:r>
      <w:r w:rsidR="00D87348">
        <w:rPr>
          <w:rFonts w:asciiTheme="majorBidi" w:hAnsiTheme="majorBidi" w:cstheme="majorBidi"/>
        </w:rPr>
        <w:t xml:space="preserve">text </w:t>
      </w:r>
      <w:r>
        <w:rPr>
          <w:rFonts w:asciiTheme="majorBidi" w:hAnsiTheme="majorBidi" w:cstheme="majorBidi"/>
        </w:rPr>
        <w:t xml:space="preserve">commonly </w:t>
      </w:r>
      <w:r w:rsidR="00D87348">
        <w:rPr>
          <w:rFonts w:asciiTheme="majorBidi" w:hAnsiTheme="majorBidi" w:cstheme="majorBidi"/>
        </w:rPr>
        <w:t xml:space="preserve">referred to as </w:t>
      </w:r>
      <w:r>
        <w:rPr>
          <w:rFonts w:asciiTheme="majorBidi" w:hAnsiTheme="majorBidi" w:cstheme="majorBidi"/>
          <w:i/>
          <w:iCs/>
        </w:rPr>
        <w:t>Instruction</w:t>
      </w:r>
      <w:r>
        <w:rPr>
          <w:rFonts w:asciiTheme="majorBidi" w:hAnsiTheme="majorBidi" w:cstheme="majorBidi"/>
        </w:rPr>
        <w:t xml:space="preserve"> is a Jewish </w:t>
      </w:r>
      <w:proofErr w:type="spellStart"/>
      <w:r>
        <w:rPr>
          <w:rFonts w:asciiTheme="majorBidi" w:hAnsiTheme="majorBidi" w:cstheme="majorBidi"/>
        </w:rPr>
        <w:t>sapiential</w:t>
      </w:r>
      <w:proofErr w:type="spellEnd"/>
      <w:r>
        <w:rPr>
          <w:rFonts w:asciiTheme="majorBidi" w:hAnsiTheme="majorBidi" w:cstheme="majorBidi"/>
        </w:rPr>
        <w:t xml:space="preserve"> composition from the Second Temple period. </w:t>
      </w:r>
      <w:r>
        <w:rPr>
          <w:rFonts w:asciiTheme="majorBidi" w:hAnsiTheme="majorBidi" w:cstheme="majorBidi"/>
          <w:i/>
          <w:iCs/>
        </w:rPr>
        <w:t>Instruction</w:t>
      </w:r>
      <w:r>
        <w:rPr>
          <w:rFonts w:asciiTheme="majorBidi" w:hAnsiTheme="majorBidi" w:cstheme="majorBidi"/>
        </w:rPr>
        <w:t xml:space="preserve"> is only attested at Qumran, and </w:t>
      </w:r>
      <w:r w:rsidR="00D87348">
        <w:rPr>
          <w:rFonts w:asciiTheme="majorBidi" w:hAnsiTheme="majorBidi" w:cstheme="majorBidi"/>
        </w:rPr>
        <w:t xml:space="preserve">has been </w:t>
      </w:r>
      <w:r>
        <w:rPr>
          <w:rFonts w:asciiTheme="majorBidi" w:hAnsiTheme="majorBidi" w:cstheme="majorBidi"/>
        </w:rPr>
        <w:t>preserved in eight copies: 1Q26, 4Q415, 4Q416, 4Q417, 4Q418, 4Q418a, 4Q418</w:t>
      </w:r>
      <w:r>
        <w:rPr>
          <w:rFonts w:asciiTheme="majorBidi" w:hAnsiTheme="majorBidi" w:cstheme="majorBidi"/>
          <w:vertAlign w:val="superscript"/>
        </w:rPr>
        <w:t>*</w:t>
      </w:r>
      <w:r>
        <w:rPr>
          <w:rFonts w:asciiTheme="majorBidi" w:hAnsiTheme="majorBidi" w:cstheme="majorBidi"/>
        </w:rPr>
        <w:t xml:space="preserve"> and 4Q423.</w:t>
      </w:r>
      <w:r>
        <w:rPr>
          <w:rStyle w:val="a5"/>
          <w:rFonts w:asciiTheme="majorBidi" w:hAnsiTheme="majorBidi" w:cstheme="majorBidi"/>
        </w:rPr>
        <w:footnoteReference w:id="1"/>
      </w:r>
      <w:r>
        <w:rPr>
          <w:rFonts w:asciiTheme="majorBidi" w:hAnsiTheme="majorBidi" w:cstheme="majorBidi"/>
        </w:rPr>
        <w:t xml:space="preserve"> This paper focusses </w:t>
      </w:r>
      <w:r w:rsidR="003E0EE5">
        <w:rPr>
          <w:rFonts w:asciiTheme="majorBidi" w:hAnsiTheme="majorBidi" w:cstheme="majorBidi"/>
        </w:rPr>
        <w:t>o</w:t>
      </w:r>
      <w:r>
        <w:rPr>
          <w:rFonts w:asciiTheme="majorBidi" w:hAnsiTheme="majorBidi" w:cstheme="majorBidi"/>
        </w:rPr>
        <w:t xml:space="preserve">n 4Q415, a fragmentary copy that </w:t>
      </w:r>
      <w:proofErr w:type="spellStart"/>
      <w:r>
        <w:rPr>
          <w:rFonts w:asciiTheme="majorBidi" w:hAnsiTheme="majorBidi" w:cstheme="majorBidi"/>
        </w:rPr>
        <w:t>Strugnell</w:t>
      </w:r>
      <w:proofErr w:type="spellEnd"/>
      <w:r>
        <w:rPr>
          <w:rFonts w:asciiTheme="majorBidi" w:hAnsiTheme="majorBidi" w:cstheme="majorBidi"/>
        </w:rPr>
        <w:t xml:space="preserve"> and Harrington</w:t>
      </w:r>
      <w:r w:rsidR="00D87348">
        <w:rPr>
          <w:rFonts w:asciiTheme="majorBidi" w:hAnsiTheme="majorBidi" w:cstheme="majorBidi"/>
        </w:rPr>
        <w:t xml:space="preserve"> date paleographically</w:t>
      </w:r>
      <w:r>
        <w:rPr>
          <w:rFonts w:asciiTheme="majorBidi" w:hAnsiTheme="majorBidi" w:cstheme="majorBidi"/>
        </w:rPr>
        <w:t xml:space="preserve"> to the early Herodian period.</w:t>
      </w:r>
      <w:r>
        <w:rPr>
          <w:rStyle w:val="a5"/>
          <w:rFonts w:asciiTheme="majorBidi" w:hAnsiTheme="majorBidi" w:cstheme="majorBidi"/>
        </w:rPr>
        <w:footnoteReference w:id="2"/>
      </w:r>
      <w:r>
        <w:rPr>
          <w:rFonts w:asciiTheme="majorBidi" w:hAnsiTheme="majorBidi" w:cstheme="majorBidi"/>
        </w:rPr>
        <w:t xml:space="preserve"> This scroll comprises 38 fragments (</w:t>
      </w:r>
      <w:r w:rsidRPr="004136F7">
        <w:rPr>
          <w:rFonts w:asciiTheme="majorBidi" w:hAnsiTheme="majorBidi" w:cstheme="majorBidi"/>
        </w:rPr>
        <w:t xml:space="preserve">32 are designated in DJD 34, while </w:t>
      </w:r>
      <w:r>
        <w:rPr>
          <w:rFonts w:asciiTheme="majorBidi" w:hAnsiTheme="majorBidi" w:cstheme="majorBidi" w:hint="cs"/>
          <w:rtl/>
        </w:rPr>
        <w:t>6</w:t>
      </w:r>
      <w:r>
        <w:rPr>
          <w:rFonts w:asciiTheme="majorBidi" w:hAnsiTheme="majorBidi" w:cstheme="majorBidi"/>
        </w:rPr>
        <w:t xml:space="preserve"> more</w:t>
      </w:r>
      <w:r w:rsidRPr="004136F7">
        <w:rPr>
          <w:rFonts w:asciiTheme="majorBidi" w:hAnsiTheme="majorBidi" w:cstheme="majorBidi"/>
        </w:rPr>
        <w:t xml:space="preserve"> fragments </w:t>
      </w:r>
      <w:r>
        <w:rPr>
          <w:rFonts w:asciiTheme="majorBidi" w:hAnsiTheme="majorBidi" w:cstheme="majorBidi"/>
        </w:rPr>
        <w:t xml:space="preserve">carry only an IAA record number), </w:t>
      </w:r>
      <w:r w:rsidR="003E0EE5">
        <w:rPr>
          <w:rFonts w:asciiTheme="majorBidi" w:hAnsiTheme="majorBidi" w:cstheme="majorBidi"/>
        </w:rPr>
        <w:t xml:space="preserve">which are </w:t>
      </w:r>
      <w:r>
        <w:rPr>
          <w:rFonts w:asciiTheme="majorBidi" w:hAnsiTheme="majorBidi" w:cstheme="majorBidi"/>
        </w:rPr>
        <w:t xml:space="preserve">characterized by vast deterioration. A further prominent feature of 4Q415 is that it </w:t>
      </w:r>
      <w:r>
        <w:rPr>
          <w:rFonts w:ascii="Times New Roman" w:hAnsi="Times New Roman" w:cs="Times New Roman"/>
        </w:rPr>
        <w:t xml:space="preserve">is an opisthograph: the verso of all 32 fragments designated in DJD 34 preserves text from 4Q414 – 4QRitual of Purification A. </w:t>
      </w:r>
    </w:p>
    <w:p w14:paraId="0BBF3CC0" w14:textId="7681818D" w:rsidR="00783833" w:rsidRDefault="00783833" w:rsidP="00783833">
      <w:pPr>
        <w:bidi w:val="0"/>
        <w:spacing w:line="360" w:lineRule="auto"/>
        <w:ind w:firstLine="720"/>
        <w:jc w:val="both"/>
        <w:rPr>
          <w:rFonts w:ascii="Times New Roman" w:hAnsi="Times New Roman" w:cs="Times New Roman"/>
        </w:rPr>
      </w:pPr>
      <w:r>
        <w:rPr>
          <w:rFonts w:asciiTheme="majorBidi" w:hAnsiTheme="majorBidi" w:cstheme="majorBidi"/>
        </w:rPr>
        <w:t xml:space="preserve">This paper proposes a new material reconstruction </w:t>
      </w:r>
      <w:r w:rsidR="00CA14E1">
        <w:rPr>
          <w:rFonts w:asciiTheme="majorBidi" w:hAnsiTheme="majorBidi" w:cstheme="majorBidi"/>
        </w:rPr>
        <w:t>comprising</w:t>
      </w:r>
      <w:r>
        <w:rPr>
          <w:rFonts w:asciiTheme="majorBidi" w:hAnsiTheme="majorBidi" w:cstheme="majorBidi"/>
        </w:rPr>
        <w:t xml:space="preserve"> approximately </w:t>
      </w:r>
      <w:r w:rsidR="00CA14E1">
        <w:rPr>
          <w:rFonts w:asciiTheme="majorBidi" w:hAnsiTheme="majorBidi" w:cstheme="majorBidi"/>
        </w:rPr>
        <w:t xml:space="preserve">one </w:t>
      </w:r>
      <w:r>
        <w:rPr>
          <w:rFonts w:asciiTheme="majorBidi" w:hAnsiTheme="majorBidi" w:cstheme="majorBidi"/>
        </w:rPr>
        <w:t xml:space="preserve">quarter of the preserved fragments 4Q415: the largest fragments (frags. 1,2,6,9 and 11), and several </w:t>
      </w:r>
      <w:r w:rsidR="00CA14E1">
        <w:rPr>
          <w:rFonts w:asciiTheme="majorBidi" w:hAnsiTheme="majorBidi" w:cstheme="majorBidi"/>
        </w:rPr>
        <w:t xml:space="preserve">smaller </w:t>
      </w:r>
      <w:r>
        <w:rPr>
          <w:rFonts w:asciiTheme="majorBidi" w:hAnsiTheme="majorBidi" w:cstheme="majorBidi"/>
        </w:rPr>
        <w:t>fragments (</w:t>
      </w:r>
      <w:r w:rsidR="00CA14E1">
        <w:rPr>
          <w:rFonts w:asciiTheme="majorBidi" w:hAnsiTheme="majorBidi" w:cstheme="majorBidi"/>
        </w:rPr>
        <w:t xml:space="preserve">frags. </w:t>
      </w:r>
      <w:r>
        <w:rPr>
          <w:rFonts w:asciiTheme="majorBidi" w:hAnsiTheme="majorBidi" w:cstheme="majorBidi"/>
        </w:rPr>
        <w:t xml:space="preserve">5,7,10,13 and 21). The reconstruction is based on the </w:t>
      </w:r>
      <w:r>
        <w:rPr>
          <w:rFonts w:ascii="Times New Roman" w:hAnsi="Times New Roman" w:cs="Times New Roman"/>
        </w:rPr>
        <w:t xml:space="preserve">method developed by </w:t>
      </w:r>
      <w:proofErr w:type="spellStart"/>
      <w:r>
        <w:rPr>
          <w:rFonts w:ascii="Times New Roman" w:hAnsi="Times New Roman" w:cs="Times New Roman"/>
        </w:rPr>
        <w:t>Hartmut</w:t>
      </w:r>
      <w:proofErr w:type="spellEnd"/>
      <w:r>
        <w:rPr>
          <w:rFonts w:ascii="Times New Roman" w:hAnsi="Times New Roman" w:cs="Times New Roman"/>
        </w:rPr>
        <w:t xml:space="preserve"> </w:t>
      </w:r>
      <w:proofErr w:type="spellStart"/>
      <w:r>
        <w:rPr>
          <w:rFonts w:ascii="Times New Roman" w:hAnsi="Times New Roman" w:cs="Times New Roman"/>
        </w:rPr>
        <w:t>Stegemann</w:t>
      </w:r>
      <w:proofErr w:type="spellEnd"/>
      <w:r>
        <w:rPr>
          <w:rFonts w:ascii="Times New Roman" w:hAnsi="Times New Roman" w:cs="Times New Roman"/>
        </w:rPr>
        <w:t xml:space="preserve"> and </w:t>
      </w:r>
      <w:r w:rsidR="00CB266D">
        <w:rPr>
          <w:rFonts w:ascii="Times New Roman" w:hAnsi="Times New Roman" w:cs="Times New Roman"/>
        </w:rPr>
        <w:t>further</w:t>
      </w:r>
      <w:r>
        <w:rPr>
          <w:rFonts w:ascii="Times New Roman" w:hAnsi="Times New Roman" w:cs="Times New Roman"/>
        </w:rPr>
        <w:t xml:space="preserve"> elaborated </w:t>
      </w:r>
      <w:r w:rsidR="00CB266D">
        <w:rPr>
          <w:rFonts w:ascii="Times New Roman" w:hAnsi="Times New Roman" w:cs="Times New Roman"/>
        </w:rPr>
        <w:t xml:space="preserve">in </w:t>
      </w:r>
      <w:r>
        <w:rPr>
          <w:rFonts w:ascii="Times New Roman" w:hAnsi="Times New Roman" w:cs="Times New Roman"/>
        </w:rPr>
        <w:t xml:space="preserve">later studies. I will describe the </w:t>
      </w:r>
      <w:r w:rsidRPr="00F67B59">
        <w:rPr>
          <w:rFonts w:ascii="Times New Roman" w:hAnsi="Times New Roman" w:cs="Times New Roman"/>
        </w:rPr>
        <w:t xml:space="preserve">assumptions </w:t>
      </w:r>
      <w:r w:rsidR="007178A7">
        <w:rPr>
          <w:rFonts w:ascii="Times New Roman" w:hAnsi="Times New Roman" w:cs="Times New Roman"/>
        </w:rPr>
        <w:t xml:space="preserve">and principles </w:t>
      </w:r>
      <w:r w:rsidRPr="00F67B59">
        <w:rPr>
          <w:rFonts w:ascii="Times New Roman" w:hAnsi="Times New Roman" w:cs="Times New Roman"/>
        </w:rPr>
        <w:t xml:space="preserve">on which the reconstruction is </w:t>
      </w:r>
      <w:r>
        <w:rPr>
          <w:rFonts w:ascii="Times New Roman" w:hAnsi="Times New Roman" w:cs="Times New Roman"/>
        </w:rPr>
        <w:t xml:space="preserve">based. </w:t>
      </w:r>
      <w:r w:rsidR="007178A7">
        <w:rPr>
          <w:rFonts w:ascii="Times New Roman" w:hAnsi="Times New Roman" w:cs="Times New Roman"/>
        </w:rPr>
        <w:t>In so doing</w:t>
      </w:r>
      <w:r>
        <w:rPr>
          <w:rFonts w:ascii="Times New Roman" w:hAnsi="Times New Roman" w:cs="Times New Roman"/>
        </w:rPr>
        <w:t xml:space="preserve">, I will present new joins and </w:t>
      </w:r>
      <w:r w:rsidR="007178A7">
        <w:rPr>
          <w:rFonts w:ascii="Times New Roman" w:hAnsi="Times New Roman" w:cs="Times New Roman"/>
        </w:rPr>
        <w:t xml:space="preserve">offer </w:t>
      </w:r>
      <w:r>
        <w:rPr>
          <w:rFonts w:ascii="Times New Roman" w:hAnsi="Times New Roman" w:cs="Times New Roman"/>
        </w:rPr>
        <w:t>a brief discussion o</w:t>
      </w:r>
      <w:r w:rsidR="003550D2">
        <w:rPr>
          <w:rFonts w:ascii="Times New Roman" w:hAnsi="Times New Roman" w:cs="Times New Roman"/>
        </w:rPr>
        <w:t>f</w:t>
      </w:r>
      <w:r>
        <w:rPr>
          <w:rFonts w:ascii="Times New Roman" w:hAnsi="Times New Roman" w:cs="Times New Roman"/>
        </w:rPr>
        <w:t xml:space="preserve"> their readings. </w:t>
      </w:r>
    </w:p>
    <w:p w14:paraId="428A412E"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p>
    <w:p w14:paraId="4CF35ABA" w14:textId="77777777" w:rsidR="00783833" w:rsidRDefault="00783833" w:rsidP="00783833">
      <w:pPr>
        <w:bidi w:val="0"/>
        <w:spacing w:line="360" w:lineRule="auto"/>
        <w:jc w:val="both"/>
        <w:rPr>
          <w:rFonts w:ascii="Times New Roman" w:hAnsi="Times New Roman" w:cs="Times New Roman"/>
          <w:b/>
          <w:bCs/>
        </w:rPr>
      </w:pPr>
      <w:r w:rsidRPr="0020535D">
        <w:rPr>
          <w:rFonts w:ascii="Times New Roman" w:hAnsi="Times New Roman" w:cs="Times New Roman"/>
          <w:b/>
          <w:bCs/>
        </w:rPr>
        <w:t>1</w:t>
      </w:r>
      <w:r w:rsidRPr="0020535D">
        <w:rPr>
          <w:rFonts w:ascii="Times New Roman" w:hAnsi="Times New Roman" w:cs="Times New Roman"/>
          <w:b/>
          <w:bCs/>
        </w:rPr>
        <w:tab/>
        <w:t>Review of Previous Scholarship</w:t>
      </w:r>
    </w:p>
    <w:p w14:paraId="2EEC6352" w14:textId="77777777" w:rsidR="00783833" w:rsidRPr="0020535D" w:rsidRDefault="00783833" w:rsidP="00783833">
      <w:pPr>
        <w:bidi w:val="0"/>
        <w:spacing w:line="360" w:lineRule="auto"/>
        <w:jc w:val="both"/>
        <w:rPr>
          <w:rFonts w:ascii="Times New Roman" w:hAnsi="Times New Roman" w:cs="Times New Roman"/>
          <w:b/>
          <w:bCs/>
        </w:rPr>
      </w:pPr>
    </w:p>
    <w:p w14:paraId="3DAAFAC9" w14:textId="28050FAE" w:rsidR="00783833" w:rsidRDefault="00783833" w:rsidP="00783833">
      <w:pPr>
        <w:bidi w:val="0"/>
        <w:spacing w:line="360" w:lineRule="auto"/>
        <w:jc w:val="both"/>
        <w:rPr>
          <w:rFonts w:asciiTheme="majorBidi" w:hAnsiTheme="majorBidi" w:cstheme="majorBidi"/>
        </w:rPr>
      </w:pPr>
      <w:proofErr w:type="spellStart"/>
      <w:r>
        <w:rPr>
          <w:rFonts w:asciiTheme="majorBidi" w:hAnsiTheme="majorBidi" w:cstheme="majorBidi"/>
        </w:rPr>
        <w:t>Stegemann</w:t>
      </w:r>
      <w:proofErr w:type="spellEnd"/>
      <w:r>
        <w:rPr>
          <w:rFonts w:asciiTheme="majorBidi" w:hAnsiTheme="majorBidi" w:cstheme="majorBidi"/>
        </w:rPr>
        <w:t xml:space="preserve"> developed an influential method for material reconstruction of fragmentary scrolls. This method </w:t>
      </w:r>
      <w:r w:rsidR="003F05B8">
        <w:rPr>
          <w:rFonts w:asciiTheme="majorBidi" w:hAnsiTheme="majorBidi" w:cstheme="majorBidi"/>
        </w:rPr>
        <w:t xml:space="preserve">utilizes </w:t>
      </w:r>
      <w:r>
        <w:rPr>
          <w:rFonts w:asciiTheme="majorBidi" w:hAnsiTheme="majorBidi" w:cstheme="majorBidi"/>
        </w:rPr>
        <w:t xml:space="preserve">repeating patterns of damage, </w:t>
      </w:r>
      <w:r w:rsidR="003F05B8">
        <w:rPr>
          <w:rFonts w:asciiTheme="majorBidi" w:hAnsiTheme="majorBidi" w:cstheme="majorBidi"/>
        </w:rPr>
        <w:t xml:space="preserve">which </w:t>
      </w:r>
      <w:r>
        <w:rPr>
          <w:rFonts w:asciiTheme="majorBidi" w:hAnsiTheme="majorBidi" w:cstheme="majorBidi"/>
        </w:rPr>
        <w:t xml:space="preserve">formed </w:t>
      </w:r>
      <w:r w:rsidR="003F05B8">
        <w:rPr>
          <w:rFonts w:asciiTheme="majorBidi" w:hAnsiTheme="majorBidi" w:cstheme="majorBidi"/>
        </w:rPr>
        <w:t xml:space="preserve">prior to </w:t>
      </w:r>
      <w:r>
        <w:rPr>
          <w:rFonts w:asciiTheme="majorBidi" w:hAnsiTheme="majorBidi" w:cstheme="majorBidi"/>
        </w:rPr>
        <w:t xml:space="preserve">the fragmentation of the scroll, </w:t>
      </w:r>
      <w:r w:rsidR="003F05B8">
        <w:rPr>
          <w:rFonts w:asciiTheme="majorBidi" w:hAnsiTheme="majorBidi" w:cstheme="majorBidi"/>
        </w:rPr>
        <w:t xml:space="preserve">in order </w:t>
      </w:r>
      <w:r>
        <w:rPr>
          <w:rFonts w:asciiTheme="majorBidi" w:hAnsiTheme="majorBidi" w:cstheme="majorBidi"/>
        </w:rPr>
        <w:t xml:space="preserve">to locate fragments </w:t>
      </w:r>
      <w:r w:rsidR="003F05B8">
        <w:rPr>
          <w:rFonts w:asciiTheme="majorBidi" w:hAnsiTheme="majorBidi" w:cstheme="majorBidi"/>
        </w:rPr>
        <w:t>with</w:t>
      </w:r>
      <w:r>
        <w:rPr>
          <w:rFonts w:asciiTheme="majorBidi" w:hAnsiTheme="majorBidi" w:cstheme="majorBidi"/>
        </w:rPr>
        <w:t xml:space="preserve">in the scroll: the distance between corresponding points of damage is </w:t>
      </w:r>
      <w:r w:rsidR="00DB48A3">
        <w:rPr>
          <w:rFonts w:asciiTheme="majorBidi" w:hAnsiTheme="majorBidi" w:cstheme="majorBidi"/>
        </w:rPr>
        <w:t xml:space="preserve">treated as </w:t>
      </w:r>
      <w:r>
        <w:rPr>
          <w:rFonts w:asciiTheme="majorBidi" w:hAnsiTheme="majorBidi" w:cstheme="majorBidi"/>
        </w:rPr>
        <w:t>the circumference of the scroll at that particular point in the scroll.</w:t>
      </w:r>
      <w:r>
        <w:rPr>
          <w:rStyle w:val="a5"/>
          <w:rFonts w:asciiTheme="majorBidi" w:hAnsiTheme="majorBidi" w:cstheme="majorBidi"/>
        </w:rPr>
        <w:footnoteReference w:id="3"/>
      </w:r>
      <w:r>
        <w:rPr>
          <w:rFonts w:asciiTheme="majorBidi" w:hAnsiTheme="majorBidi" w:cstheme="majorBidi"/>
        </w:rPr>
        <w:t xml:space="preserve"> The circumference increase</w:t>
      </w:r>
      <w:r w:rsidR="00C475C4">
        <w:rPr>
          <w:rFonts w:asciiTheme="majorBidi" w:hAnsiTheme="majorBidi" w:cstheme="majorBidi"/>
        </w:rPr>
        <w:t>s</w:t>
      </w:r>
      <w:r>
        <w:rPr>
          <w:rFonts w:asciiTheme="majorBidi" w:hAnsiTheme="majorBidi" w:cstheme="majorBidi"/>
        </w:rPr>
        <w:t xml:space="preserve"> or decrease</w:t>
      </w:r>
      <w:r w:rsidR="00C475C4">
        <w:rPr>
          <w:rFonts w:asciiTheme="majorBidi" w:hAnsiTheme="majorBidi" w:cstheme="majorBidi"/>
        </w:rPr>
        <w:t>s</w:t>
      </w:r>
      <w:r>
        <w:rPr>
          <w:rFonts w:asciiTheme="majorBidi" w:hAnsiTheme="majorBidi" w:cstheme="majorBidi"/>
        </w:rPr>
        <w:t xml:space="preserve"> between consecutive layers in the rolled scroll, </w:t>
      </w:r>
      <w:r w:rsidR="00C475C4">
        <w:rPr>
          <w:rFonts w:asciiTheme="majorBidi" w:hAnsiTheme="majorBidi" w:cstheme="majorBidi"/>
        </w:rPr>
        <w:t>in accordance with</w:t>
      </w:r>
      <w:r>
        <w:rPr>
          <w:rFonts w:asciiTheme="majorBidi" w:hAnsiTheme="majorBidi" w:cstheme="majorBidi"/>
        </w:rPr>
        <w:t xml:space="preserve"> the direction of the rolling of the scroll. The </w:t>
      </w:r>
      <w:r w:rsidR="005C1B42">
        <w:rPr>
          <w:rFonts w:asciiTheme="majorBidi" w:hAnsiTheme="majorBidi" w:cstheme="majorBidi"/>
        </w:rPr>
        <w:t xml:space="preserve">degree of </w:t>
      </w:r>
      <w:r>
        <w:rPr>
          <w:rFonts w:asciiTheme="majorBidi" w:hAnsiTheme="majorBidi" w:cstheme="majorBidi"/>
        </w:rPr>
        <w:t xml:space="preserve">increase or decrease between layers depends on the tightness of the </w:t>
      </w:r>
      <w:r w:rsidR="005C1B42">
        <w:rPr>
          <w:rFonts w:asciiTheme="majorBidi" w:hAnsiTheme="majorBidi" w:cstheme="majorBidi"/>
        </w:rPr>
        <w:t xml:space="preserve">scroll’s </w:t>
      </w:r>
      <w:r>
        <w:rPr>
          <w:rFonts w:asciiTheme="majorBidi" w:hAnsiTheme="majorBidi" w:cstheme="majorBidi"/>
        </w:rPr>
        <w:t xml:space="preserve">rolling and the thickness of the leather. </w:t>
      </w:r>
      <w:proofErr w:type="spellStart"/>
      <w:r>
        <w:rPr>
          <w:rFonts w:asciiTheme="majorBidi" w:hAnsiTheme="majorBidi" w:cstheme="majorBidi"/>
        </w:rPr>
        <w:t>Stegemann</w:t>
      </w:r>
      <w:proofErr w:type="spellEnd"/>
      <w:r>
        <w:rPr>
          <w:rFonts w:asciiTheme="majorBidi" w:hAnsiTheme="majorBidi" w:cstheme="majorBidi"/>
        </w:rPr>
        <w:t xml:space="preserve"> demonstrated his </w:t>
      </w:r>
      <w:r>
        <w:rPr>
          <w:rFonts w:asciiTheme="majorBidi" w:hAnsiTheme="majorBidi" w:cstheme="majorBidi"/>
        </w:rPr>
        <w:lastRenderedPageBreak/>
        <w:t>method through the reconstruction of 1QH</w:t>
      </w:r>
      <w:r>
        <w:rPr>
          <w:rFonts w:asciiTheme="majorBidi" w:hAnsiTheme="majorBidi" w:cstheme="majorBidi"/>
          <w:vertAlign w:val="superscript"/>
        </w:rPr>
        <w:t>a</w:t>
      </w:r>
      <w:r>
        <w:rPr>
          <w:rFonts w:asciiTheme="majorBidi" w:hAnsiTheme="majorBidi" w:cstheme="majorBidi"/>
        </w:rPr>
        <w:t>.</w:t>
      </w:r>
      <w:r>
        <w:rPr>
          <w:rStyle w:val="a5"/>
          <w:rFonts w:asciiTheme="majorBidi" w:hAnsiTheme="majorBidi" w:cstheme="majorBidi"/>
        </w:rPr>
        <w:footnoteReference w:id="4"/>
      </w:r>
      <w:r>
        <w:rPr>
          <w:rFonts w:asciiTheme="majorBidi" w:hAnsiTheme="majorBidi" w:cstheme="majorBidi"/>
        </w:rPr>
        <w:t xml:space="preserve">  </w:t>
      </w:r>
      <w:r w:rsidR="005C1B42">
        <w:rPr>
          <w:rFonts w:asciiTheme="majorBidi" w:hAnsiTheme="majorBidi" w:cstheme="majorBidi"/>
        </w:rPr>
        <w:t xml:space="preserve">His </w:t>
      </w:r>
      <w:r>
        <w:rPr>
          <w:rFonts w:asciiTheme="majorBidi" w:hAnsiTheme="majorBidi" w:cstheme="majorBidi"/>
        </w:rPr>
        <w:t xml:space="preserve">method was </w:t>
      </w:r>
      <w:r w:rsidR="005C1B42">
        <w:rPr>
          <w:rFonts w:asciiTheme="majorBidi" w:hAnsiTheme="majorBidi" w:cstheme="majorBidi"/>
        </w:rPr>
        <w:t xml:space="preserve">further </w:t>
      </w:r>
      <w:r>
        <w:rPr>
          <w:rFonts w:asciiTheme="majorBidi" w:hAnsiTheme="majorBidi" w:cstheme="majorBidi"/>
        </w:rPr>
        <w:t xml:space="preserve">elaborated and applied by later scholars, such as </w:t>
      </w:r>
      <w:proofErr w:type="spellStart"/>
      <w:r>
        <w:rPr>
          <w:rFonts w:asciiTheme="majorBidi" w:hAnsiTheme="majorBidi" w:cstheme="majorBidi"/>
        </w:rPr>
        <w:t>Steudel</w:t>
      </w:r>
      <w:proofErr w:type="spellEnd"/>
      <w:r>
        <w:rPr>
          <w:rFonts w:asciiTheme="majorBidi" w:hAnsiTheme="majorBidi" w:cstheme="majorBidi"/>
        </w:rPr>
        <w:t xml:space="preserve"> and Tigchelaar.</w:t>
      </w:r>
      <w:r>
        <w:rPr>
          <w:rStyle w:val="a5"/>
          <w:rFonts w:asciiTheme="majorBidi" w:hAnsiTheme="majorBidi" w:cstheme="majorBidi"/>
        </w:rPr>
        <w:footnoteReference w:id="5"/>
      </w:r>
      <w:r w:rsidRPr="005C53A3">
        <w:rPr>
          <w:rStyle w:val="a5"/>
          <w:rFonts w:asciiTheme="majorBidi" w:hAnsiTheme="majorBidi" w:cstheme="majorBidi"/>
        </w:rPr>
        <w:t xml:space="preserve"> </w:t>
      </w:r>
    </w:p>
    <w:p w14:paraId="6363BB1F" w14:textId="31966443"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r>
      <w:proofErr w:type="spellStart"/>
      <w:r>
        <w:rPr>
          <w:rFonts w:asciiTheme="majorBidi" w:hAnsiTheme="majorBidi" w:cstheme="majorBidi"/>
        </w:rPr>
        <w:t>Elgvin</w:t>
      </w:r>
      <w:proofErr w:type="spellEnd"/>
      <w:r>
        <w:rPr>
          <w:rFonts w:asciiTheme="majorBidi" w:hAnsiTheme="majorBidi" w:cstheme="majorBidi"/>
        </w:rPr>
        <w:t xml:space="preserve"> was the first to note the recurrent pattern of damage among the fragments of 4Q415.</w:t>
      </w:r>
      <w:r>
        <w:rPr>
          <w:rStyle w:val="a5"/>
          <w:rFonts w:asciiTheme="majorBidi" w:hAnsiTheme="majorBidi" w:cstheme="majorBidi"/>
        </w:rPr>
        <w:footnoteReference w:id="6"/>
      </w:r>
      <w:r>
        <w:rPr>
          <w:rFonts w:asciiTheme="majorBidi" w:hAnsiTheme="majorBidi" w:cstheme="majorBidi"/>
        </w:rPr>
        <w:t xml:space="preserve"> In his dissertation, </w:t>
      </w:r>
      <w:proofErr w:type="spellStart"/>
      <w:r>
        <w:rPr>
          <w:rFonts w:asciiTheme="majorBidi" w:hAnsiTheme="majorBidi" w:cstheme="majorBidi"/>
        </w:rPr>
        <w:t>Elgvin</w:t>
      </w:r>
      <w:proofErr w:type="spellEnd"/>
      <w:r>
        <w:rPr>
          <w:rFonts w:asciiTheme="majorBidi" w:hAnsiTheme="majorBidi" w:cstheme="majorBidi"/>
        </w:rPr>
        <w:t xml:space="preserve"> points to the similar shape of fragments 9 and 11, and to some extent also fragment 2. </w:t>
      </w:r>
      <w:proofErr w:type="spellStart"/>
      <w:r>
        <w:rPr>
          <w:rFonts w:asciiTheme="majorBidi" w:hAnsiTheme="majorBidi" w:cstheme="majorBidi"/>
        </w:rPr>
        <w:t>Elgvin</w:t>
      </w:r>
      <w:proofErr w:type="spellEnd"/>
      <w:r>
        <w:rPr>
          <w:rFonts w:asciiTheme="majorBidi" w:hAnsiTheme="majorBidi" w:cstheme="majorBidi"/>
        </w:rPr>
        <w:t xml:space="preserve"> propose</w:t>
      </w:r>
      <w:r w:rsidR="00103519">
        <w:rPr>
          <w:rFonts w:asciiTheme="majorBidi" w:hAnsiTheme="majorBidi" w:cstheme="majorBidi"/>
        </w:rPr>
        <w:t>s</w:t>
      </w:r>
      <w:r>
        <w:rPr>
          <w:rFonts w:asciiTheme="majorBidi" w:hAnsiTheme="majorBidi" w:cstheme="majorBidi"/>
        </w:rPr>
        <w:t xml:space="preserve"> that these fragments were wadded in the rolled scroll in the following order: </w:t>
      </w:r>
      <w:r w:rsidR="00103519">
        <w:rPr>
          <w:rFonts w:asciiTheme="majorBidi" w:hAnsiTheme="majorBidi" w:cstheme="majorBidi"/>
        </w:rPr>
        <w:t xml:space="preserve">Fragment </w:t>
      </w:r>
      <w:r>
        <w:rPr>
          <w:rFonts w:asciiTheme="majorBidi" w:hAnsiTheme="majorBidi" w:cstheme="majorBidi"/>
        </w:rPr>
        <w:t>11 was the inner layer of the wad</w:t>
      </w:r>
      <w:r w:rsidR="00EB3C01">
        <w:rPr>
          <w:rFonts w:asciiTheme="majorBidi" w:hAnsiTheme="majorBidi" w:cstheme="majorBidi"/>
        </w:rPr>
        <w:t>, as suggested by</w:t>
      </w:r>
      <w:r>
        <w:rPr>
          <w:rFonts w:asciiTheme="majorBidi" w:hAnsiTheme="majorBidi" w:cstheme="majorBidi"/>
        </w:rPr>
        <w:t xml:space="preserve"> its light color; fragment 9, </w:t>
      </w:r>
      <w:r w:rsidR="00EB3C01">
        <w:rPr>
          <w:rFonts w:asciiTheme="majorBidi" w:hAnsiTheme="majorBidi" w:cstheme="majorBidi"/>
        </w:rPr>
        <w:t xml:space="preserve">which </w:t>
      </w:r>
      <w:r>
        <w:rPr>
          <w:rFonts w:asciiTheme="majorBidi" w:hAnsiTheme="majorBidi" w:cstheme="majorBidi"/>
        </w:rPr>
        <w:t xml:space="preserve">has a similar shape to fragment 11, was above </w:t>
      </w:r>
      <w:r w:rsidR="00EB3C01">
        <w:rPr>
          <w:rFonts w:asciiTheme="majorBidi" w:hAnsiTheme="majorBidi" w:cstheme="majorBidi"/>
        </w:rPr>
        <w:t>it</w:t>
      </w:r>
      <w:r>
        <w:rPr>
          <w:rFonts w:asciiTheme="majorBidi" w:hAnsiTheme="majorBidi" w:cstheme="majorBidi"/>
        </w:rPr>
        <w:t xml:space="preserve">; </w:t>
      </w:r>
      <w:r w:rsidR="00EB3C01">
        <w:rPr>
          <w:rFonts w:asciiTheme="majorBidi" w:hAnsiTheme="majorBidi" w:cstheme="majorBidi"/>
        </w:rPr>
        <w:t xml:space="preserve">and </w:t>
      </w:r>
      <w:r>
        <w:rPr>
          <w:rFonts w:asciiTheme="majorBidi" w:hAnsiTheme="majorBidi" w:cstheme="majorBidi"/>
        </w:rPr>
        <w:t xml:space="preserve">fragment 2 was the external layer of the wad. </w:t>
      </w:r>
    </w:p>
    <w:p w14:paraId="040E86C2" w14:textId="155332D6" w:rsidR="00783833" w:rsidRDefault="00783833" w:rsidP="00783833">
      <w:pPr>
        <w:bidi w:val="0"/>
        <w:spacing w:line="360" w:lineRule="auto"/>
        <w:ind w:firstLine="720"/>
        <w:jc w:val="both"/>
        <w:rPr>
          <w:rFonts w:ascii="Times New Roman" w:hAnsi="Times New Roman" w:cs="Times New Roman"/>
        </w:rPr>
      </w:pPr>
      <w:r w:rsidRPr="0077354D">
        <w:rPr>
          <w:rFonts w:ascii="Times New Roman" w:hAnsi="Times New Roman" w:cs="Times New Roman"/>
        </w:rPr>
        <w:t xml:space="preserve">The editors of the </w:t>
      </w:r>
      <w:r w:rsidRPr="00FB61EF">
        <w:rPr>
          <w:rFonts w:ascii="Times New Roman" w:hAnsi="Times New Roman" w:cs="Times New Roman"/>
        </w:rPr>
        <w:t>DJD</w:t>
      </w:r>
      <w:r w:rsidRPr="0077354D">
        <w:rPr>
          <w:rFonts w:ascii="Times New Roman" w:hAnsi="Times New Roman" w:cs="Times New Roman"/>
        </w:rPr>
        <w:t xml:space="preserve"> edition relate briefly to the reconstruction of 4Q415</w:t>
      </w:r>
      <w:r>
        <w:rPr>
          <w:rFonts w:ascii="Times New Roman" w:hAnsi="Times New Roman" w:cs="Times New Roman"/>
        </w:rPr>
        <w:t>.</w:t>
      </w:r>
      <w:r>
        <w:rPr>
          <w:rStyle w:val="a5"/>
          <w:rFonts w:ascii="Times New Roman" w:hAnsi="Times New Roman" w:cs="Times New Roman"/>
        </w:rPr>
        <w:footnoteReference w:id="7"/>
      </w:r>
      <w:r w:rsidRPr="0077354D">
        <w:rPr>
          <w:rFonts w:ascii="Times New Roman" w:hAnsi="Times New Roman" w:cs="Times New Roman"/>
        </w:rPr>
        <w:t xml:space="preserve"> Quoting P. Kim and A. </w:t>
      </w:r>
      <w:proofErr w:type="spellStart"/>
      <w:r w:rsidRPr="0077354D">
        <w:rPr>
          <w:rFonts w:ascii="Times New Roman" w:hAnsi="Times New Roman" w:cs="Times New Roman"/>
        </w:rPr>
        <w:t>Steudel</w:t>
      </w:r>
      <w:proofErr w:type="spellEnd"/>
      <w:r w:rsidRPr="0077354D">
        <w:rPr>
          <w:rFonts w:ascii="Times New Roman" w:hAnsi="Times New Roman" w:cs="Times New Roman"/>
        </w:rPr>
        <w:t xml:space="preserve">, </w:t>
      </w:r>
      <w:proofErr w:type="spellStart"/>
      <w:r>
        <w:rPr>
          <w:rFonts w:ascii="Times New Roman" w:hAnsi="Times New Roman" w:cs="Times New Roman"/>
        </w:rPr>
        <w:t>Strugnell</w:t>
      </w:r>
      <w:proofErr w:type="spellEnd"/>
      <w:r>
        <w:rPr>
          <w:rFonts w:ascii="Times New Roman" w:hAnsi="Times New Roman" w:cs="Times New Roman"/>
        </w:rPr>
        <w:t xml:space="preserve"> and Harrington (SH)</w:t>
      </w:r>
      <w:r w:rsidRPr="0077354D">
        <w:rPr>
          <w:rFonts w:ascii="Times New Roman" w:hAnsi="Times New Roman" w:cs="Times New Roman"/>
        </w:rPr>
        <w:t xml:space="preserve"> suggest the following order of fragments: 1ii+2i (based on </w:t>
      </w:r>
      <w:r w:rsidR="00625F09">
        <w:rPr>
          <w:rFonts w:ascii="Times New Roman" w:hAnsi="Times New Roman" w:cs="Times New Roman"/>
        </w:rPr>
        <w:t xml:space="preserve">the </w:t>
      </w:r>
      <w:r>
        <w:rPr>
          <w:rFonts w:ascii="Times New Roman" w:hAnsi="Times New Roman" w:cs="Times New Roman"/>
        </w:rPr>
        <w:t xml:space="preserve">distant join </w:t>
      </w:r>
      <w:r w:rsidR="00E41DAC">
        <w:rPr>
          <w:rFonts w:ascii="Times New Roman" w:hAnsi="Times New Roman" w:cs="Times New Roman"/>
        </w:rPr>
        <w:t>noted</w:t>
      </w:r>
      <w:r w:rsidR="00625F09">
        <w:rPr>
          <w:rFonts w:ascii="Times New Roman" w:hAnsi="Times New Roman" w:cs="Times New Roman"/>
        </w:rPr>
        <w:t xml:space="preserve"> by </w:t>
      </w:r>
      <w:proofErr w:type="spellStart"/>
      <w:r>
        <w:rPr>
          <w:rFonts w:ascii="Times New Roman" w:hAnsi="Times New Roman" w:cs="Times New Roman"/>
        </w:rPr>
        <w:t>Strugnell</w:t>
      </w:r>
      <w:proofErr w:type="spellEnd"/>
      <w:r w:rsidR="00337630">
        <w:rPr>
          <w:rFonts w:ascii="Times New Roman" w:hAnsi="Times New Roman" w:cs="Times New Roman"/>
        </w:rPr>
        <w:t>,</w:t>
      </w:r>
      <w:r>
        <w:rPr>
          <w:rFonts w:ascii="Times New Roman" w:hAnsi="Times New Roman" w:cs="Times New Roman"/>
        </w:rPr>
        <w:t xml:space="preserve"> </w:t>
      </w:r>
      <w:r w:rsidR="00337630">
        <w:rPr>
          <w:rFonts w:ascii="Times New Roman" w:hAnsi="Times New Roman" w:cs="Times New Roman"/>
        </w:rPr>
        <w:t xml:space="preserve">as discussed </w:t>
      </w:r>
      <w:r>
        <w:rPr>
          <w:rFonts w:ascii="Times New Roman" w:hAnsi="Times New Roman" w:cs="Times New Roman"/>
        </w:rPr>
        <w:t>below</w:t>
      </w:r>
      <w:r w:rsidRPr="0077354D">
        <w:rPr>
          <w:rFonts w:ascii="Times New Roman" w:hAnsi="Times New Roman" w:cs="Times New Roman"/>
        </w:rPr>
        <w:t>), 2ii, 10 (?), 12, and 7i-ii. No explanation for this order is provided by the editors.</w:t>
      </w:r>
    </w:p>
    <w:p w14:paraId="3C546292" w14:textId="2BEE16E5"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I believe </w:t>
      </w:r>
      <w:r w:rsidR="007F4B39">
        <w:rPr>
          <w:rFonts w:ascii="Times New Roman" w:hAnsi="Times New Roman" w:cs="Times New Roman"/>
        </w:rPr>
        <w:t xml:space="preserve">that </w:t>
      </w:r>
      <w:proofErr w:type="spellStart"/>
      <w:r>
        <w:rPr>
          <w:rFonts w:ascii="Times New Roman" w:hAnsi="Times New Roman" w:cs="Times New Roman"/>
        </w:rPr>
        <w:t>Elgvin</w:t>
      </w:r>
      <w:proofErr w:type="spellEnd"/>
      <w:r>
        <w:rPr>
          <w:rFonts w:ascii="Times New Roman" w:hAnsi="Times New Roman" w:cs="Times New Roman"/>
        </w:rPr>
        <w:t xml:space="preserve"> </w:t>
      </w:r>
      <w:r w:rsidR="00E41DAC">
        <w:rPr>
          <w:rFonts w:ascii="Times New Roman" w:hAnsi="Times New Roman" w:cs="Times New Roman"/>
        </w:rPr>
        <w:t>is fundamentally correct</w:t>
      </w:r>
      <w:r>
        <w:rPr>
          <w:rFonts w:ascii="Times New Roman" w:hAnsi="Times New Roman" w:cs="Times New Roman"/>
        </w:rPr>
        <w:t xml:space="preserve"> and </w:t>
      </w:r>
      <w:r w:rsidR="007F4B39">
        <w:rPr>
          <w:rFonts w:ascii="Times New Roman" w:hAnsi="Times New Roman" w:cs="Times New Roman"/>
        </w:rPr>
        <w:t xml:space="preserve">that </w:t>
      </w:r>
      <w:r>
        <w:rPr>
          <w:rFonts w:ascii="Times New Roman" w:hAnsi="Times New Roman" w:cs="Times New Roman"/>
        </w:rPr>
        <w:t>we can identify recurring pattern</w:t>
      </w:r>
      <w:r w:rsidR="007F4B39">
        <w:rPr>
          <w:rFonts w:ascii="Times New Roman" w:hAnsi="Times New Roman" w:cs="Times New Roman"/>
        </w:rPr>
        <w:t>s</w:t>
      </w:r>
      <w:r>
        <w:rPr>
          <w:rFonts w:ascii="Times New Roman" w:hAnsi="Times New Roman" w:cs="Times New Roman"/>
        </w:rPr>
        <w:t xml:space="preserve"> of damage in fragments 2, 9 and 11. In this paper, I intend to expand his proposal and suggest a material reconstruction of fragments </w:t>
      </w:r>
      <w:r>
        <w:rPr>
          <w:rFonts w:asciiTheme="majorBidi" w:hAnsiTheme="majorBidi" w:cstheme="majorBidi"/>
        </w:rPr>
        <w:t>1,</w:t>
      </w:r>
      <w:r w:rsidR="007F4B39">
        <w:rPr>
          <w:rFonts w:asciiTheme="majorBidi" w:hAnsiTheme="majorBidi" w:cstheme="majorBidi"/>
        </w:rPr>
        <w:t xml:space="preserve"> </w:t>
      </w:r>
      <w:r>
        <w:rPr>
          <w:rFonts w:asciiTheme="majorBidi" w:hAnsiTheme="majorBidi" w:cstheme="majorBidi"/>
        </w:rPr>
        <w:t>2,</w:t>
      </w:r>
      <w:r w:rsidR="007F4B39">
        <w:rPr>
          <w:rFonts w:asciiTheme="majorBidi" w:hAnsiTheme="majorBidi" w:cstheme="majorBidi"/>
        </w:rPr>
        <w:t xml:space="preserve"> </w:t>
      </w:r>
      <w:r>
        <w:rPr>
          <w:rFonts w:asciiTheme="majorBidi" w:hAnsiTheme="majorBidi" w:cstheme="majorBidi"/>
        </w:rPr>
        <w:t>5,</w:t>
      </w:r>
      <w:r w:rsidR="007F4B39">
        <w:rPr>
          <w:rFonts w:asciiTheme="majorBidi" w:hAnsiTheme="majorBidi" w:cstheme="majorBidi"/>
        </w:rPr>
        <w:t xml:space="preserve"> </w:t>
      </w:r>
      <w:r>
        <w:rPr>
          <w:rFonts w:asciiTheme="majorBidi" w:hAnsiTheme="majorBidi" w:cstheme="majorBidi"/>
        </w:rPr>
        <w:t>6,</w:t>
      </w:r>
      <w:r w:rsidR="007F4B39">
        <w:rPr>
          <w:rFonts w:asciiTheme="majorBidi" w:hAnsiTheme="majorBidi" w:cstheme="majorBidi"/>
        </w:rPr>
        <w:t xml:space="preserve"> </w:t>
      </w:r>
      <w:r>
        <w:rPr>
          <w:rFonts w:asciiTheme="majorBidi" w:hAnsiTheme="majorBidi" w:cstheme="majorBidi"/>
        </w:rPr>
        <w:t>7,</w:t>
      </w:r>
      <w:r w:rsidR="007F4B39">
        <w:rPr>
          <w:rFonts w:asciiTheme="majorBidi" w:hAnsiTheme="majorBidi" w:cstheme="majorBidi"/>
        </w:rPr>
        <w:t xml:space="preserve"> </w:t>
      </w:r>
      <w:r>
        <w:rPr>
          <w:rFonts w:asciiTheme="majorBidi" w:hAnsiTheme="majorBidi" w:cstheme="majorBidi"/>
        </w:rPr>
        <w:t>9,</w:t>
      </w:r>
      <w:r w:rsidR="007F4B39">
        <w:rPr>
          <w:rFonts w:asciiTheme="majorBidi" w:hAnsiTheme="majorBidi" w:cstheme="majorBidi"/>
        </w:rPr>
        <w:t xml:space="preserve"> </w:t>
      </w:r>
      <w:r>
        <w:rPr>
          <w:rFonts w:asciiTheme="majorBidi" w:hAnsiTheme="majorBidi" w:cstheme="majorBidi"/>
        </w:rPr>
        <w:t>10,</w:t>
      </w:r>
      <w:r w:rsidR="007F4B39">
        <w:rPr>
          <w:rFonts w:asciiTheme="majorBidi" w:hAnsiTheme="majorBidi" w:cstheme="majorBidi"/>
        </w:rPr>
        <w:t xml:space="preserve"> </w:t>
      </w:r>
      <w:r>
        <w:rPr>
          <w:rFonts w:asciiTheme="majorBidi" w:hAnsiTheme="majorBidi" w:cstheme="majorBidi"/>
        </w:rPr>
        <w:t>11,</w:t>
      </w:r>
      <w:r w:rsidR="007F4B39">
        <w:rPr>
          <w:rFonts w:asciiTheme="majorBidi" w:hAnsiTheme="majorBidi" w:cstheme="majorBidi"/>
        </w:rPr>
        <w:t xml:space="preserve"> </w:t>
      </w:r>
      <w:r>
        <w:rPr>
          <w:rFonts w:asciiTheme="majorBidi" w:hAnsiTheme="majorBidi" w:cstheme="majorBidi"/>
        </w:rPr>
        <w:t>13,</w:t>
      </w:r>
      <w:r w:rsidR="007F4B39">
        <w:rPr>
          <w:rFonts w:asciiTheme="majorBidi" w:hAnsiTheme="majorBidi" w:cstheme="majorBidi"/>
        </w:rPr>
        <w:t xml:space="preserve"> and </w:t>
      </w:r>
      <w:r>
        <w:rPr>
          <w:rFonts w:asciiTheme="majorBidi" w:hAnsiTheme="majorBidi" w:cstheme="majorBidi"/>
        </w:rPr>
        <w:t>21</w:t>
      </w:r>
      <w:r w:rsidR="00BE551D">
        <w:rPr>
          <w:rFonts w:asciiTheme="majorBidi" w:hAnsiTheme="majorBidi" w:cstheme="majorBidi"/>
        </w:rPr>
        <w:t>,</w:t>
      </w:r>
      <w:r>
        <w:rPr>
          <w:rFonts w:ascii="Times New Roman" w:hAnsi="Times New Roman" w:cs="Times New Roman"/>
        </w:rPr>
        <w:t xml:space="preserve"> bas</w:t>
      </w:r>
      <w:r w:rsidR="00BE551D">
        <w:rPr>
          <w:rFonts w:ascii="Times New Roman" w:hAnsi="Times New Roman" w:cs="Times New Roman"/>
        </w:rPr>
        <w:t>ed</w:t>
      </w:r>
      <w:r>
        <w:rPr>
          <w:rFonts w:ascii="Times New Roman" w:hAnsi="Times New Roman" w:cs="Times New Roman"/>
        </w:rPr>
        <w:t xml:space="preserve"> on recurring damage patterns in these fragments. I will demonstrate </w:t>
      </w:r>
      <w:r w:rsidR="007026B5">
        <w:rPr>
          <w:rFonts w:ascii="Times New Roman" w:hAnsi="Times New Roman" w:cs="Times New Roman"/>
        </w:rPr>
        <w:t>that it is possible to locate</w:t>
      </w:r>
      <w:r>
        <w:rPr>
          <w:rFonts w:ascii="Times New Roman" w:hAnsi="Times New Roman" w:cs="Times New Roman"/>
        </w:rPr>
        <w:t xml:space="preserve"> these fragments in at least 7 consecutive layers in the rolled scroll. </w:t>
      </w:r>
    </w:p>
    <w:p w14:paraId="0C564752" w14:textId="3CF36583"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The reconstruction proposed here is accompanied </w:t>
      </w:r>
      <w:r w:rsidR="00711D71">
        <w:rPr>
          <w:rFonts w:ascii="Times New Roman" w:hAnsi="Times New Roman" w:cs="Times New Roman"/>
        </w:rPr>
        <w:t xml:space="preserve">by a </w:t>
      </w:r>
      <w:r>
        <w:rPr>
          <w:rFonts w:ascii="Times New Roman" w:hAnsi="Times New Roman" w:cs="Times New Roman"/>
        </w:rPr>
        <w:t xml:space="preserve">calculation of the estimated margin of error in each stage. Despite the large theoretical margin of error, the fact that the proposal includes </w:t>
      </w:r>
      <w:r w:rsidR="00711D71">
        <w:rPr>
          <w:rFonts w:ascii="Times New Roman" w:hAnsi="Times New Roman" w:cs="Times New Roman"/>
        </w:rPr>
        <w:t xml:space="preserve">and intersects </w:t>
      </w:r>
      <w:r>
        <w:rPr>
          <w:rFonts w:ascii="Times New Roman" w:hAnsi="Times New Roman" w:cs="Times New Roman"/>
        </w:rPr>
        <w:t>various data</w:t>
      </w:r>
      <w:r w:rsidR="00711D71">
        <w:rPr>
          <w:rFonts w:ascii="Times New Roman" w:hAnsi="Times New Roman" w:cs="Times New Roman"/>
        </w:rPr>
        <w:t xml:space="preserve"> strengthens</w:t>
      </w:r>
      <w:r w:rsidR="00711D71" w:rsidRPr="009E0303">
        <w:rPr>
          <w:rFonts w:ascii="Times New Roman" w:hAnsi="Times New Roman" w:cs="Times New Roman"/>
        </w:rPr>
        <w:t xml:space="preserve"> </w:t>
      </w:r>
      <w:r w:rsidRPr="009E0303">
        <w:rPr>
          <w:rFonts w:ascii="Times New Roman" w:hAnsi="Times New Roman" w:cs="Times New Roman"/>
        </w:rPr>
        <w:t xml:space="preserve">the basic </w:t>
      </w:r>
      <w:r>
        <w:rPr>
          <w:rFonts w:ascii="Times New Roman" w:hAnsi="Times New Roman" w:cs="Times New Roman"/>
        </w:rPr>
        <w:t>reconstruction</w:t>
      </w:r>
      <w:r w:rsidRPr="009E0303">
        <w:rPr>
          <w:rFonts w:ascii="Times New Roman" w:hAnsi="Times New Roman" w:cs="Times New Roman"/>
        </w:rPr>
        <w:t>.</w:t>
      </w:r>
      <w:r>
        <w:rPr>
          <w:rFonts w:ascii="Times New Roman" w:hAnsi="Times New Roman" w:cs="Times New Roman"/>
        </w:rPr>
        <w:t xml:space="preserve"> Moreover, in some cases I will show that the assumptions </w:t>
      </w:r>
      <w:r w:rsidR="00711D71">
        <w:rPr>
          <w:rFonts w:ascii="Times New Roman" w:hAnsi="Times New Roman" w:cs="Times New Roman"/>
        </w:rPr>
        <w:t>up</w:t>
      </w:r>
      <w:r>
        <w:rPr>
          <w:rFonts w:ascii="Times New Roman" w:hAnsi="Times New Roman" w:cs="Times New Roman"/>
        </w:rPr>
        <w:t xml:space="preserve">on which the reconstruction is based </w:t>
      </w:r>
      <w:r w:rsidRPr="007D067C">
        <w:rPr>
          <w:rFonts w:ascii="Times New Roman" w:hAnsi="Times New Roman" w:cs="Times New Roman"/>
        </w:rPr>
        <w:t xml:space="preserve">are </w:t>
      </w:r>
      <w:r w:rsidR="00711D71">
        <w:rPr>
          <w:rFonts w:ascii="Times New Roman" w:hAnsi="Times New Roman" w:cs="Times New Roman"/>
        </w:rPr>
        <w:t xml:space="preserve">further </w:t>
      </w:r>
      <w:r w:rsidRPr="007D067C">
        <w:rPr>
          <w:rFonts w:ascii="Times New Roman" w:hAnsi="Times New Roman" w:cs="Times New Roman"/>
        </w:rPr>
        <w:t>corrobora</w:t>
      </w:r>
      <w:r>
        <w:rPr>
          <w:rFonts w:ascii="Times New Roman" w:hAnsi="Times New Roman" w:cs="Times New Roman"/>
        </w:rPr>
        <w:t xml:space="preserve">ted </w:t>
      </w:r>
      <w:r w:rsidR="009E5D0B">
        <w:rPr>
          <w:rFonts w:ascii="Times New Roman" w:hAnsi="Times New Roman" w:cs="Times New Roman"/>
        </w:rPr>
        <w:t>when reconsidered</w:t>
      </w:r>
      <w:r>
        <w:rPr>
          <w:rFonts w:ascii="Times New Roman" w:hAnsi="Times New Roman" w:cs="Times New Roman"/>
        </w:rPr>
        <w:t xml:space="preserve"> </w:t>
      </w:r>
      <w:r w:rsidR="009E5D0B">
        <w:rPr>
          <w:rFonts w:ascii="Times New Roman" w:hAnsi="Times New Roman" w:cs="Times New Roman"/>
        </w:rPr>
        <w:t>at</w:t>
      </w:r>
      <w:r w:rsidR="009E5D0B" w:rsidRPr="007D067C">
        <w:rPr>
          <w:rFonts w:ascii="Times New Roman" w:hAnsi="Times New Roman" w:cs="Times New Roman"/>
        </w:rPr>
        <w:t xml:space="preserve"> </w:t>
      </w:r>
      <w:r w:rsidRPr="007D067C">
        <w:rPr>
          <w:rFonts w:ascii="Times New Roman" w:hAnsi="Times New Roman" w:cs="Times New Roman"/>
        </w:rPr>
        <w:t xml:space="preserve">advanced </w:t>
      </w:r>
      <w:r>
        <w:rPr>
          <w:rFonts w:ascii="Times New Roman" w:hAnsi="Times New Roman" w:cs="Times New Roman"/>
        </w:rPr>
        <w:t>stages of the reconstruction</w:t>
      </w:r>
      <w:r w:rsidRPr="007D067C">
        <w:rPr>
          <w:rFonts w:ascii="Times New Roman" w:hAnsi="Times New Roman" w:cs="Times New Roman"/>
        </w:rPr>
        <w:t>.</w:t>
      </w:r>
    </w:p>
    <w:p w14:paraId="64FAC4D1" w14:textId="77777777" w:rsidR="00783833" w:rsidRDefault="00783833" w:rsidP="00783833">
      <w:pPr>
        <w:bidi w:val="0"/>
        <w:spacing w:line="360" w:lineRule="auto"/>
        <w:ind w:firstLine="720"/>
        <w:jc w:val="both"/>
        <w:rPr>
          <w:rFonts w:ascii="Times New Roman" w:hAnsi="Times New Roman" w:cs="Times New Roman"/>
        </w:rPr>
      </w:pPr>
    </w:p>
    <w:p w14:paraId="035D7054" w14:textId="77777777" w:rsidR="00783833" w:rsidRDefault="00783833" w:rsidP="00783833">
      <w:pPr>
        <w:bidi w:val="0"/>
        <w:spacing w:line="360" w:lineRule="auto"/>
        <w:ind w:firstLine="720"/>
        <w:jc w:val="both"/>
        <w:rPr>
          <w:rFonts w:ascii="Times New Roman" w:hAnsi="Times New Roman" w:cs="Times New Roman"/>
        </w:rPr>
      </w:pPr>
    </w:p>
    <w:p w14:paraId="32AAF74C" w14:textId="19DDF618" w:rsidR="00783833" w:rsidRPr="00F00CA7" w:rsidRDefault="000C65B9" w:rsidP="00783833">
      <w:pPr>
        <w:bidi w:val="0"/>
        <w:spacing w:line="360" w:lineRule="auto"/>
        <w:ind w:firstLine="720"/>
        <w:jc w:val="both"/>
        <w:rPr>
          <w:rFonts w:ascii="Times New Roman" w:hAnsi="Times New Roman" w:cs="Times New Roman"/>
        </w:rPr>
      </w:pPr>
      <w:r>
        <w:rPr>
          <w:rFonts w:ascii="Times New Roman" w:hAnsi="Times New Roman" w:cs="Times New Roman"/>
        </w:rPr>
        <w:t>Below, w</w:t>
      </w:r>
      <w:r w:rsidR="00783833" w:rsidRPr="00F00CA7">
        <w:rPr>
          <w:rFonts w:ascii="Times New Roman" w:hAnsi="Times New Roman" w:cs="Times New Roman"/>
        </w:rPr>
        <w:t>e can see</w:t>
      </w:r>
      <w:r w:rsidR="00783833">
        <w:rPr>
          <w:rFonts w:ascii="Times New Roman" w:hAnsi="Times New Roman" w:cs="Times New Roman"/>
        </w:rPr>
        <w:t xml:space="preserve"> </w:t>
      </w:r>
      <w:r w:rsidR="00783833" w:rsidRPr="00F00CA7">
        <w:rPr>
          <w:rFonts w:ascii="Times New Roman" w:hAnsi="Times New Roman" w:cs="Times New Roman"/>
        </w:rPr>
        <w:t>the text of the fragments after their joi</w:t>
      </w:r>
      <w:r w:rsidR="00783833">
        <w:rPr>
          <w:rFonts w:ascii="Times New Roman" w:hAnsi="Times New Roman" w:cs="Times New Roman"/>
        </w:rPr>
        <w:t xml:space="preserve">n. The numbering </w:t>
      </w:r>
      <w:r>
        <w:rPr>
          <w:rFonts w:ascii="Times New Roman" w:hAnsi="Times New Roman" w:cs="Times New Roman"/>
        </w:rPr>
        <w:t xml:space="preserve">on </w:t>
      </w:r>
      <w:r w:rsidR="00783833">
        <w:rPr>
          <w:rFonts w:ascii="Times New Roman" w:hAnsi="Times New Roman" w:cs="Times New Roman"/>
        </w:rPr>
        <w:t>the right si</w:t>
      </w:r>
      <w:r w:rsidR="00783833" w:rsidRPr="00F00CA7">
        <w:rPr>
          <w:rFonts w:ascii="Times New Roman" w:hAnsi="Times New Roman" w:cs="Times New Roman"/>
        </w:rPr>
        <w:t xml:space="preserve">de of the text is the line number in the combined text, while the numbering </w:t>
      </w:r>
      <w:r>
        <w:rPr>
          <w:rFonts w:ascii="Times New Roman" w:hAnsi="Times New Roman" w:cs="Times New Roman"/>
        </w:rPr>
        <w:t>o</w:t>
      </w:r>
      <w:r w:rsidR="00783833" w:rsidRPr="00F00CA7">
        <w:rPr>
          <w:rFonts w:ascii="Times New Roman" w:hAnsi="Times New Roman" w:cs="Times New Roman"/>
        </w:rPr>
        <w:t>n the left s</w:t>
      </w:r>
      <w:r w:rsidR="00783833">
        <w:rPr>
          <w:rFonts w:ascii="Times New Roman" w:hAnsi="Times New Roman" w:cs="Times New Roman"/>
        </w:rPr>
        <w:t>ide is the</w:t>
      </w:r>
      <w:r w:rsidR="00783833" w:rsidRPr="00F00CA7">
        <w:rPr>
          <w:rFonts w:ascii="Times New Roman" w:hAnsi="Times New Roman" w:cs="Times New Roman"/>
        </w:rPr>
        <w:t xml:space="preserve"> line</w:t>
      </w:r>
      <w:r w:rsidR="00783833">
        <w:rPr>
          <w:rFonts w:ascii="Times New Roman" w:hAnsi="Times New Roman" w:cs="Times New Roman"/>
        </w:rPr>
        <w:t xml:space="preserve"> number</w:t>
      </w:r>
      <w:r w:rsidR="00783833" w:rsidRPr="00F00CA7">
        <w:rPr>
          <w:rFonts w:ascii="Times New Roman" w:hAnsi="Times New Roman" w:cs="Times New Roman"/>
        </w:rPr>
        <w:t xml:space="preserve"> </w:t>
      </w:r>
      <w:r>
        <w:rPr>
          <w:rFonts w:ascii="Times New Roman" w:hAnsi="Times New Roman" w:cs="Times New Roman"/>
        </w:rPr>
        <w:t>with</w:t>
      </w:r>
      <w:r w:rsidR="00783833" w:rsidRPr="00F00CA7">
        <w:rPr>
          <w:rFonts w:ascii="Times New Roman" w:hAnsi="Times New Roman" w:cs="Times New Roman"/>
        </w:rPr>
        <w:t xml:space="preserve">in each fragment. </w:t>
      </w:r>
    </w:p>
    <w:p w14:paraId="63DDDB99" w14:textId="77777777" w:rsidR="00783833" w:rsidRDefault="00783833" w:rsidP="00783833">
      <w:pPr>
        <w:bidi w:val="0"/>
        <w:spacing w:line="360" w:lineRule="auto"/>
        <w:ind w:firstLine="720"/>
        <w:jc w:val="both"/>
        <w:rPr>
          <w:rFonts w:ascii="Times New Roman" w:hAnsi="Times New Roman" w:cs="Times New Roman"/>
        </w:rPr>
      </w:pPr>
    </w:p>
    <w:p w14:paraId="513E773D" w14:textId="40CC4214" w:rsidR="00783833" w:rsidRPr="00CF437F" w:rsidRDefault="00783833" w:rsidP="00783833">
      <w:pPr>
        <w:bidi w:val="0"/>
        <w:spacing w:line="360" w:lineRule="auto"/>
        <w:jc w:val="both"/>
        <w:rPr>
          <w:rFonts w:ascii="Times New Roman" w:hAnsi="Times New Roman" w:cs="Times New Roman"/>
        </w:rPr>
      </w:pPr>
      <w:r w:rsidRPr="00F83226">
        <w:rPr>
          <w:rFonts w:ascii="Times New Roman" w:hAnsi="Times New Roman" w:cs="Times New Roman"/>
        </w:rPr>
        <w:lastRenderedPageBreak/>
        <w:t>Line 7</w:t>
      </w:r>
      <w:r w:rsidR="00EA2096">
        <w:rPr>
          <w:rFonts w:ascii="Times New Roman" w:hAnsi="Times New Roman" w:cs="Times New Roman"/>
        </w:rPr>
        <w:t xml:space="preserve"> – </w:t>
      </w:r>
      <w:r w:rsidRPr="00F83226">
        <w:rPr>
          <w:rFonts w:ascii="Times New Roman" w:hAnsi="Times New Roman" w:cs="Times New Roman"/>
        </w:rPr>
        <w:t xml:space="preserve">new reading: </w:t>
      </w:r>
      <w:r>
        <w:rPr>
          <w:rFonts w:ascii="Times New Roman" w:hAnsi="Times New Roman" w:cs="Times New Roman"/>
        </w:rPr>
        <w:t>DJD, Qimron and Tigchelaar did not identif</w:t>
      </w:r>
      <w:r w:rsidR="007663D9">
        <w:rPr>
          <w:rFonts w:ascii="Times New Roman" w:hAnsi="Times New Roman" w:cs="Times New Roman"/>
        </w:rPr>
        <w:t>y</w:t>
      </w:r>
      <w:r>
        <w:rPr>
          <w:rFonts w:ascii="Times New Roman" w:hAnsi="Times New Roman" w:cs="Times New Roman"/>
        </w:rPr>
        <w:t xml:space="preserve"> the last letter in the word that precedes </w:t>
      </w:r>
      <w:r w:rsidRPr="00F72868">
        <w:rPr>
          <w:rFonts w:ascii="SBL Hebrew" w:hAnsi="SBL Hebrew" w:cs="SBL Hebrew" w:hint="cs"/>
          <w:rtl/>
        </w:rPr>
        <w:t>נדיבים</w:t>
      </w:r>
      <w:r>
        <w:rPr>
          <w:rFonts w:ascii="Times New Roman" w:hAnsi="Times New Roman" w:cs="Times New Roman"/>
        </w:rPr>
        <w:t xml:space="preserve"> in line 7. I suggest that the ink marks fit well </w:t>
      </w:r>
      <w:r w:rsidR="00EA2096">
        <w:rPr>
          <w:rFonts w:ascii="Times New Roman" w:hAnsi="Times New Roman" w:cs="Times New Roman"/>
        </w:rPr>
        <w:t xml:space="preserve">with a </w:t>
      </w:r>
      <w:r>
        <w:rPr>
          <w:rFonts w:ascii="Times New Roman" w:hAnsi="Times New Roman" w:cs="Times New Roman"/>
        </w:rPr>
        <w:t xml:space="preserve">final </w:t>
      </w:r>
      <w:r w:rsidRPr="00415F46">
        <w:rPr>
          <w:rFonts w:ascii="Times New Roman" w:hAnsi="Times New Roman" w:cs="Times New Roman"/>
          <w:i/>
          <w:iCs/>
        </w:rPr>
        <w:t>nun</w:t>
      </w:r>
      <w:r>
        <w:rPr>
          <w:rFonts w:ascii="Times New Roman" w:hAnsi="Times New Roman" w:cs="Times New Roman" w:hint="cs"/>
          <w:i/>
          <w:iCs/>
          <w:rtl/>
        </w:rPr>
        <w:t xml:space="preserve"> </w:t>
      </w:r>
      <w:r>
        <w:rPr>
          <w:rFonts w:ascii="Times New Roman" w:hAnsi="Times New Roman" w:cs="Times New Roman"/>
        </w:rPr>
        <w:t xml:space="preserve">(figure). Hence, I suggest the reading </w:t>
      </w:r>
      <w:r w:rsidRPr="00F72868">
        <w:rPr>
          <w:rFonts w:ascii="SBL Hebrew" w:hAnsi="SBL Hebrew" w:cs="SBL Hebrew" w:hint="cs"/>
          <w:rtl/>
        </w:rPr>
        <w:t>בין נדיבים יושיבכה</w:t>
      </w:r>
      <w:r>
        <w:rPr>
          <w:rFonts w:ascii="Times New Roman" w:hAnsi="Times New Roman" w:cs="Times New Roman"/>
        </w:rPr>
        <w:t xml:space="preserve">, </w:t>
      </w:r>
      <w:r w:rsidRPr="00253E34">
        <w:rPr>
          <w:rFonts w:ascii="Times New Roman" w:hAnsi="Times New Roman" w:cs="Times New Roman"/>
          <w:i/>
          <w:iCs/>
        </w:rPr>
        <w:t>among the nobles will he make thee to be seated</w:t>
      </w:r>
      <w:r>
        <w:rPr>
          <w:rFonts w:ascii="Times New Roman" w:hAnsi="Times New Roman" w:cs="Times New Roman"/>
        </w:rPr>
        <w:t>,</w:t>
      </w:r>
      <w:r w:rsidRPr="00253E34">
        <w:rPr>
          <w:rFonts w:ascii="Times New Roman" w:hAnsi="Times New Roman" w:cs="Times New Roman"/>
        </w:rPr>
        <w:t xml:space="preserve"> </w:t>
      </w:r>
      <w:r>
        <w:rPr>
          <w:rFonts w:ascii="Times New Roman" w:hAnsi="Times New Roman" w:cs="Times New Roman"/>
        </w:rPr>
        <w:t>bas</w:t>
      </w:r>
      <w:r w:rsidR="00EA2096">
        <w:rPr>
          <w:rFonts w:ascii="Times New Roman" w:hAnsi="Times New Roman" w:cs="Times New Roman"/>
        </w:rPr>
        <w:t>ed</w:t>
      </w:r>
      <w:r>
        <w:rPr>
          <w:rFonts w:ascii="Times New Roman" w:hAnsi="Times New Roman" w:cs="Times New Roman"/>
        </w:rPr>
        <w:t xml:space="preserve"> on </w:t>
      </w:r>
      <w:r w:rsidRPr="00415F46">
        <w:rPr>
          <w:rFonts w:ascii="Times New Roman" w:hAnsi="Times New Roman" w:cs="Times New Roman"/>
          <w:i/>
          <w:iCs/>
        </w:rPr>
        <w:t>Ben-</w:t>
      </w:r>
      <w:proofErr w:type="spellStart"/>
      <w:r w:rsidRPr="00415F46">
        <w:rPr>
          <w:rFonts w:ascii="Times New Roman" w:hAnsi="Times New Roman" w:cs="Times New Roman"/>
          <w:i/>
          <w:iCs/>
        </w:rPr>
        <w:t>Sira</w:t>
      </w:r>
      <w:proofErr w:type="spellEnd"/>
      <w:r>
        <w:rPr>
          <w:rFonts w:ascii="Times New Roman" w:hAnsi="Times New Roman" w:cs="Times New Roman"/>
        </w:rPr>
        <w:t xml:space="preserve"> 11:1: </w:t>
      </w:r>
      <w:r w:rsidRPr="00F72868">
        <w:rPr>
          <w:rFonts w:ascii="SBL Hebrew" w:hAnsi="SBL Hebrew" w:cs="SBL Hebrew" w:hint="cs"/>
          <w:rtl/>
        </w:rPr>
        <w:t>ובין נדיבים תושיבנו</w:t>
      </w:r>
      <w:r>
        <w:rPr>
          <w:rFonts w:ascii="Times New Roman" w:hAnsi="Times New Roman" w:cs="Times New Roman"/>
        </w:rPr>
        <w:t xml:space="preserve"> (see also 4Q416 2iii 11: </w:t>
      </w:r>
      <w:r w:rsidRPr="00F72868">
        <w:rPr>
          <w:rFonts w:ascii="SBL Hebrew" w:hAnsi="SBL Hebrew" w:cs="SBL Hebrew" w:hint="cs"/>
          <w:rtl/>
        </w:rPr>
        <w:t>ועם</w:t>
      </w:r>
      <w:r>
        <w:rPr>
          <w:rFonts w:ascii="Times New Roman" w:hAnsi="Times New Roman" w:cs="Times New Roman" w:hint="cs"/>
          <w:rtl/>
        </w:rPr>
        <w:t xml:space="preserve"> </w:t>
      </w:r>
      <w:r w:rsidRPr="00F72868">
        <w:rPr>
          <w:rFonts w:ascii="SBL Hebrew" w:hAnsi="SBL Hebrew" w:cs="SBL Hebrew" w:hint="cs"/>
          <w:rtl/>
        </w:rPr>
        <w:t>נדיבים</w:t>
      </w:r>
      <w:r>
        <w:rPr>
          <w:rFonts w:ascii="Times New Roman" w:hAnsi="Times New Roman" w:cs="Times New Roman" w:hint="cs"/>
          <w:rtl/>
        </w:rPr>
        <w:t xml:space="preserve"> </w:t>
      </w:r>
      <w:proofErr w:type="spellStart"/>
      <w:r w:rsidRPr="00F72868">
        <w:rPr>
          <w:rFonts w:ascii="SBL Hebrew" w:hAnsi="SBL Hebrew" w:cs="SBL Hebrew" w:hint="cs"/>
          <w:rtl/>
        </w:rPr>
        <w:t>הושיבכה</w:t>
      </w:r>
      <w:proofErr w:type="spellEnd"/>
      <w:r>
        <w:rPr>
          <w:rFonts w:ascii="Times New Roman" w:hAnsi="Times New Roman" w:cs="Times New Roman"/>
        </w:rPr>
        <w:t xml:space="preserve">; 4Q418 9 10–11: </w:t>
      </w:r>
      <w:r w:rsidRPr="00F72868">
        <w:rPr>
          <w:rFonts w:ascii="SBL Hebrew" w:hAnsi="SBL Hebrew" w:cs="SBL Hebrew" w:hint="cs"/>
          <w:rtl/>
        </w:rPr>
        <w:t>עם</w:t>
      </w:r>
      <w:r>
        <w:rPr>
          <w:rFonts w:ascii="Times New Roman" w:hAnsi="Times New Roman" w:cs="Times New Roman" w:hint="cs"/>
          <w:rtl/>
        </w:rPr>
        <w:t xml:space="preserve"> </w:t>
      </w:r>
      <w:r w:rsidRPr="00F72868">
        <w:rPr>
          <w:rFonts w:ascii="SBL Hebrew" w:hAnsi="SBL Hebrew" w:cs="SBL Hebrew" w:hint="cs"/>
          <w:rtl/>
        </w:rPr>
        <w:t>נדיבים</w:t>
      </w:r>
      <w:r>
        <w:rPr>
          <w:rFonts w:ascii="Times New Roman" w:hAnsi="Times New Roman" w:cs="Times New Roman" w:hint="cs"/>
          <w:rtl/>
        </w:rPr>
        <w:t xml:space="preserve"> </w:t>
      </w:r>
      <w:r w:rsidRPr="00F72868">
        <w:rPr>
          <w:rFonts w:ascii="SBL Hebrew" w:hAnsi="SBL Hebrew" w:cs="SBL Hebrew" w:hint="cs"/>
          <w:rtl/>
        </w:rPr>
        <w:t>ה</w:t>
      </w:r>
      <w:r w:rsidRPr="00F72868">
        <w:rPr>
          <w:rFonts w:ascii="SBL Hebrew" w:hAnsi="SBL Hebrew" w:cs="SBL Hebrew"/>
          <w:rtl/>
        </w:rPr>
        <w:t>֯</w:t>
      </w:r>
      <w:r w:rsidRPr="00F72868">
        <w:rPr>
          <w:rFonts w:ascii="SBL Hebrew" w:hAnsi="SBL Hebrew" w:cs="SBL Hebrew" w:hint="cs"/>
          <w:rtl/>
        </w:rPr>
        <w:t>ו</w:t>
      </w:r>
      <w:r w:rsidRPr="00F72868">
        <w:rPr>
          <w:rFonts w:ascii="SBL Hebrew" w:hAnsi="SBL Hebrew" w:cs="SBL Hebrew"/>
          <w:rtl/>
        </w:rPr>
        <w:t>֯</w:t>
      </w:r>
      <w:r>
        <w:rPr>
          <w:rFonts w:ascii="SBL Hebrew" w:hAnsi="SBL Hebrew" w:cs="SBL Hebrew" w:hint="cs"/>
          <w:rtl/>
        </w:rPr>
        <w:t>[</w:t>
      </w:r>
      <w:proofErr w:type="spellStart"/>
      <w:r>
        <w:rPr>
          <w:rFonts w:ascii="SBL Hebrew" w:hAnsi="SBL Hebrew" w:cs="SBL Hebrew" w:hint="cs"/>
          <w:rtl/>
        </w:rPr>
        <w:t>שיב</w:t>
      </w:r>
      <w:proofErr w:type="spellEnd"/>
      <w:r>
        <w:rPr>
          <w:rFonts w:ascii="SBL Hebrew" w:hAnsi="SBL Hebrew" w:cs="SBL Hebrew" w:hint="cs"/>
          <w:rtl/>
        </w:rPr>
        <w:t>]כה</w:t>
      </w:r>
      <w:r>
        <w:rPr>
          <w:rFonts w:ascii="SBL Hebrew" w:hAnsi="SBL Hebrew" w:cs="SBL Hebrew"/>
        </w:rPr>
        <w:t xml:space="preserve">). </w:t>
      </w:r>
      <w:r>
        <w:rPr>
          <w:rFonts w:ascii="Times New Roman" w:hAnsi="Times New Roman" w:cs="Times New Roman"/>
        </w:rPr>
        <w:t xml:space="preserve">This reading may be </w:t>
      </w:r>
      <w:r w:rsidR="00EA2096">
        <w:rPr>
          <w:rFonts w:ascii="Times New Roman" w:hAnsi="Times New Roman" w:cs="Times New Roman"/>
        </w:rPr>
        <w:t>consistent</w:t>
      </w:r>
      <w:r>
        <w:rPr>
          <w:rFonts w:ascii="Times New Roman" w:hAnsi="Times New Roman" w:cs="Times New Roman"/>
        </w:rPr>
        <w:t xml:space="preserve"> with the </w:t>
      </w:r>
      <w:r w:rsidR="00EA2096">
        <w:rPr>
          <w:rFonts w:ascii="Times New Roman" w:hAnsi="Times New Roman" w:cs="Times New Roman"/>
        </w:rPr>
        <w:t xml:space="preserve">broad </w:t>
      </w:r>
      <w:r>
        <w:rPr>
          <w:rFonts w:ascii="Times New Roman" w:hAnsi="Times New Roman" w:cs="Times New Roman"/>
        </w:rPr>
        <w:t xml:space="preserve">context of the reward of the addressee (the </w:t>
      </w:r>
      <w:proofErr w:type="spellStart"/>
      <w:r>
        <w:rPr>
          <w:rFonts w:ascii="Times New Roman" w:hAnsi="Times New Roman" w:cs="Times New Roman"/>
          <w:i/>
          <w:iCs/>
        </w:rPr>
        <w:t>mevin</w:t>
      </w:r>
      <w:proofErr w:type="spellEnd"/>
      <w:r>
        <w:rPr>
          <w:rFonts w:ascii="Times New Roman" w:hAnsi="Times New Roman" w:cs="Times New Roman"/>
        </w:rPr>
        <w:t xml:space="preserve"> or his student).</w:t>
      </w:r>
    </w:p>
    <w:p w14:paraId="64714642" w14:textId="23AAF194"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suffix </w:t>
      </w:r>
      <w:r w:rsidRPr="00F72868">
        <w:rPr>
          <w:rFonts w:ascii="SBL Hebrew" w:hAnsi="SBL Hebrew" w:cs="SBL Hebrew" w:hint="cs"/>
          <w:rtl/>
        </w:rPr>
        <w:t>כה</w:t>
      </w:r>
      <w:r w:rsidR="009E3DA2">
        <w:rPr>
          <w:rFonts w:ascii="SBL Hebrew" w:hAnsi="SBL Hebrew" w:cs="SBL Hebrew"/>
        </w:rPr>
        <w:t>,</w:t>
      </w:r>
      <w:r>
        <w:rPr>
          <w:rFonts w:ascii="Times New Roman" w:hAnsi="Times New Roman" w:cs="Times New Roman"/>
        </w:rPr>
        <w:t xml:space="preserve"> </w:t>
      </w:r>
      <w:r w:rsidR="009E3DA2">
        <w:rPr>
          <w:rFonts w:ascii="Times New Roman" w:hAnsi="Times New Roman" w:cs="Times New Roman"/>
        </w:rPr>
        <w:t>in</w:t>
      </w:r>
      <w:r>
        <w:rPr>
          <w:rFonts w:ascii="Times New Roman" w:hAnsi="Times New Roman" w:cs="Times New Roman"/>
        </w:rPr>
        <w:t xml:space="preserve"> 4Q415 1ii lines 2 and 3</w:t>
      </w:r>
      <w:r w:rsidR="009E3DA2">
        <w:rPr>
          <w:rFonts w:ascii="Times New Roman" w:hAnsi="Times New Roman" w:cs="Times New Roman"/>
        </w:rPr>
        <w:t>,</w:t>
      </w:r>
      <w:r>
        <w:rPr>
          <w:rFonts w:ascii="Times New Roman" w:hAnsi="Times New Roman" w:cs="Times New Roman"/>
        </w:rPr>
        <w:t xml:space="preserve"> reveals that the</w:t>
      </w:r>
      <w:r w:rsidR="009E3DA2">
        <w:rPr>
          <w:rFonts w:ascii="Times New Roman" w:hAnsi="Times New Roman" w:cs="Times New Roman"/>
        </w:rPr>
        <w:t>se lines</w:t>
      </w:r>
      <w:r>
        <w:rPr>
          <w:rFonts w:ascii="Times New Roman" w:hAnsi="Times New Roman" w:cs="Times New Roman"/>
        </w:rPr>
        <w:t xml:space="preserve"> are addressed to a male. </w:t>
      </w:r>
      <w:r w:rsidR="001B4DF2">
        <w:rPr>
          <w:rFonts w:ascii="Times New Roman" w:hAnsi="Times New Roman" w:cs="Times New Roman"/>
        </w:rPr>
        <w:t>Nevertheless</w:t>
      </w:r>
      <w:r>
        <w:rPr>
          <w:rFonts w:ascii="Times New Roman" w:hAnsi="Times New Roman" w:cs="Times New Roman"/>
        </w:rPr>
        <w:t>,</w:t>
      </w:r>
      <w:r w:rsidRPr="00670C4D">
        <w:rPr>
          <w:rFonts w:ascii="Times New Roman" w:hAnsi="Times New Roman" w:cs="Times New Roman"/>
        </w:rPr>
        <w:t xml:space="preserve"> </w:t>
      </w:r>
      <w:r>
        <w:rPr>
          <w:rFonts w:ascii="Times New Roman" w:hAnsi="Times New Roman" w:cs="Times New Roman"/>
        </w:rPr>
        <w:t>4Q415 2ii include</w:t>
      </w:r>
      <w:r w:rsidR="001B4DF2">
        <w:rPr>
          <w:rFonts w:ascii="Times New Roman" w:hAnsi="Times New Roman" w:cs="Times New Roman"/>
        </w:rPr>
        <w:t>s</w:t>
      </w:r>
      <w:r>
        <w:rPr>
          <w:rFonts w:ascii="Times New Roman" w:hAnsi="Times New Roman" w:cs="Times New Roman"/>
        </w:rPr>
        <w:t xml:space="preserve"> a rare occurrence of </w:t>
      </w:r>
      <w:proofErr w:type="spellStart"/>
      <w:r>
        <w:rPr>
          <w:rFonts w:ascii="Times New Roman" w:hAnsi="Times New Roman" w:cs="Times New Roman"/>
        </w:rPr>
        <w:t>sapiential</w:t>
      </w:r>
      <w:proofErr w:type="spellEnd"/>
      <w:r>
        <w:rPr>
          <w:rFonts w:ascii="Times New Roman" w:hAnsi="Times New Roman" w:cs="Times New Roman"/>
        </w:rPr>
        <w:t xml:space="preserve"> address to a female</w:t>
      </w:r>
      <w:r w:rsidR="001B4DF2">
        <w:rPr>
          <w:rFonts w:ascii="Times New Roman" w:hAnsi="Times New Roman" w:cs="Times New Roman"/>
        </w:rPr>
        <w:t xml:space="preserve"> figure</w:t>
      </w:r>
      <w:r>
        <w:rPr>
          <w:rFonts w:ascii="Times New Roman" w:hAnsi="Times New Roman" w:cs="Times New Roman"/>
        </w:rPr>
        <w:t xml:space="preserve">, probably </w:t>
      </w:r>
      <w:r w:rsidR="001B4DF2">
        <w:rPr>
          <w:rFonts w:ascii="Times New Roman" w:hAnsi="Times New Roman" w:cs="Times New Roman"/>
        </w:rPr>
        <w:t xml:space="preserve">a </w:t>
      </w:r>
      <w:r>
        <w:rPr>
          <w:rFonts w:ascii="Times New Roman" w:hAnsi="Times New Roman" w:cs="Times New Roman"/>
        </w:rPr>
        <w:t xml:space="preserve">wife or daughter. The transition between the two occurs in the </w:t>
      </w:r>
      <w:r w:rsidR="001B4DF2">
        <w:rPr>
          <w:rFonts w:ascii="Times New Roman" w:hAnsi="Times New Roman" w:cs="Times New Roman"/>
        </w:rPr>
        <w:t xml:space="preserve">missing </w:t>
      </w:r>
      <w:r>
        <w:rPr>
          <w:rFonts w:ascii="Times New Roman" w:hAnsi="Times New Roman" w:cs="Times New Roman"/>
        </w:rPr>
        <w:t>text between the fragments.</w:t>
      </w:r>
    </w:p>
    <w:p w14:paraId="68A14FC7" w14:textId="77777777" w:rsidR="00783833" w:rsidRDefault="00783833" w:rsidP="00783833">
      <w:pPr>
        <w:bidi w:val="0"/>
        <w:spacing w:line="360" w:lineRule="auto"/>
        <w:jc w:val="both"/>
        <w:rPr>
          <w:rFonts w:ascii="Times New Roman" w:hAnsi="Times New Roman" w:cs="Times New Roman"/>
        </w:rPr>
      </w:pPr>
    </w:p>
    <w:p w14:paraId="0F7E848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 </w:t>
      </w:r>
    </w:p>
    <w:p w14:paraId="03AECC7E" w14:textId="33243486" w:rsidR="00783833" w:rsidRDefault="00DC1D20"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In </w:t>
      </w:r>
      <w:r w:rsidR="00783833">
        <w:rPr>
          <w:rFonts w:ascii="Times New Roman" w:hAnsi="Times New Roman" w:cs="Times New Roman"/>
        </w:rPr>
        <w:t>line 8</w:t>
      </w:r>
      <w:r>
        <w:rPr>
          <w:rFonts w:ascii="Times New Roman" w:hAnsi="Times New Roman" w:cs="Times New Roman"/>
        </w:rPr>
        <w:t>,</w:t>
      </w:r>
      <w:r w:rsidR="00783833">
        <w:rPr>
          <w:rFonts w:ascii="Times New Roman" w:hAnsi="Times New Roman" w:cs="Times New Roman"/>
        </w:rPr>
        <w:t xml:space="preserve"> I </w:t>
      </w:r>
      <w:r w:rsidR="00995095">
        <w:rPr>
          <w:rFonts w:ascii="Times New Roman" w:hAnsi="Times New Roman" w:cs="Times New Roman"/>
        </w:rPr>
        <w:t xml:space="preserve">have </w:t>
      </w:r>
      <w:r w:rsidR="00783833">
        <w:rPr>
          <w:rFonts w:ascii="Times New Roman" w:hAnsi="Times New Roman" w:cs="Times New Roman"/>
        </w:rPr>
        <w:t xml:space="preserve">accepted </w:t>
      </w:r>
      <w:proofErr w:type="spellStart"/>
      <w:r w:rsidR="00783833">
        <w:rPr>
          <w:rFonts w:ascii="Times New Roman" w:hAnsi="Times New Roman" w:cs="Times New Roman"/>
        </w:rPr>
        <w:t>Qimron’s</w:t>
      </w:r>
      <w:proofErr w:type="spellEnd"/>
      <w:r w:rsidR="00783833">
        <w:rPr>
          <w:rFonts w:ascii="Times New Roman" w:hAnsi="Times New Roman" w:cs="Times New Roman"/>
        </w:rPr>
        <w:t xml:space="preserve"> reading</w:t>
      </w:r>
      <w:r w:rsidR="00995095">
        <w:rPr>
          <w:rFonts w:ascii="Times New Roman" w:hAnsi="Times New Roman" w:cs="Times New Roman"/>
        </w:rPr>
        <w:t xml:space="preserve"> –</w:t>
      </w:r>
      <w:r w:rsidR="00783833">
        <w:rPr>
          <w:rFonts w:ascii="Times New Roman" w:hAnsi="Times New Roman" w:cs="Times New Roman"/>
        </w:rPr>
        <w:t xml:space="preserve"> </w:t>
      </w:r>
      <w:r w:rsidR="00783833" w:rsidRPr="00F72868">
        <w:rPr>
          <w:rFonts w:ascii="SBL Hebrew" w:hAnsi="SBL Hebrew" w:cs="SBL Hebrew" w:hint="cs"/>
          <w:rtl/>
        </w:rPr>
        <w:t>אישך</w:t>
      </w:r>
      <w:r w:rsidR="00783833">
        <w:rPr>
          <w:rFonts w:ascii="SBL Hebrew" w:hAnsi="SBL Hebrew" w:cs="SBL Hebrew"/>
        </w:rPr>
        <w:t xml:space="preserve">, </w:t>
      </w:r>
      <w:r w:rsidR="00783833" w:rsidRPr="00560DA8">
        <w:rPr>
          <w:rFonts w:asciiTheme="majorBidi" w:hAnsiTheme="majorBidi" w:cstheme="majorBidi"/>
          <w:i/>
          <w:iCs/>
        </w:rPr>
        <w:t>your husband</w:t>
      </w:r>
      <w:r w:rsidR="00783833">
        <w:rPr>
          <w:rFonts w:ascii="Times New Roman" w:hAnsi="Times New Roman" w:cs="Times New Roman"/>
        </w:rPr>
        <w:t>.</w:t>
      </w:r>
      <w:r w:rsidR="00783833">
        <w:rPr>
          <w:rStyle w:val="a5"/>
          <w:rFonts w:ascii="Times New Roman" w:hAnsi="Times New Roman" w:cs="Times New Roman"/>
        </w:rPr>
        <w:footnoteReference w:id="8"/>
      </w:r>
      <w:r w:rsidR="00783833">
        <w:rPr>
          <w:rFonts w:ascii="Times New Roman" w:hAnsi="Times New Roman" w:cs="Times New Roman"/>
        </w:rPr>
        <w:t xml:space="preserve"> According to this reading, </w:t>
      </w:r>
      <w:r w:rsidR="005354CD">
        <w:rPr>
          <w:rFonts w:ascii="Times New Roman" w:hAnsi="Times New Roman" w:cs="Times New Roman"/>
        </w:rPr>
        <w:t xml:space="preserve">the passage </w:t>
      </w:r>
      <w:r w:rsidR="00783833">
        <w:rPr>
          <w:rFonts w:ascii="Times New Roman" w:hAnsi="Times New Roman" w:cs="Times New Roman"/>
        </w:rPr>
        <w:t xml:space="preserve">is a command </w:t>
      </w:r>
      <w:r w:rsidR="005354CD">
        <w:rPr>
          <w:rFonts w:ascii="Times New Roman" w:hAnsi="Times New Roman" w:cs="Times New Roman"/>
        </w:rPr>
        <w:t xml:space="preserve">that </w:t>
      </w:r>
      <w:r w:rsidR="00783833">
        <w:rPr>
          <w:rFonts w:ascii="Times New Roman" w:hAnsi="Times New Roman" w:cs="Times New Roman"/>
        </w:rPr>
        <w:t>the woman honor her husband ‘like her father.</w:t>
      </w:r>
      <w:r w:rsidR="005354CD">
        <w:rPr>
          <w:rFonts w:ascii="Times New Roman" w:hAnsi="Times New Roman" w:cs="Times New Roman"/>
        </w:rPr>
        <w:t>’</w:t>
      </w:r>
      <w:r w:rsidR="00783833">
        <w:rPr>
          <w:rFonts w:ascii="Times New Roman" w:hAnsi="Times New Roman" w:cs="Times New Roman"/>
        </w:rPr>
        <w:t xml:space="preserve"> Comparison of father</w:t>
      </w:r>
      <w:r w:rsidR="005354CD">
        <w:rPr>
          <w:rFonts w:ascii="Times New Roman" w:hAnsi="Times New Roman" w:cs="Times New Roman"/>
        </w:rPr>
        <w:t>ly</w:t>
      </w:r>
      <w:r w:rsidR="00783833">
        <w:rPr>
          <w:rFonts w:ascii="Times New Roman" w:hAnsi="Times New Roman" w:cs="Times New Roman"/>
        </w:rPr>
        <w:t xml:space="preserve"> authority </w:t>
      </w:r>
      <w:r w:rsidR="005354CD">
        <w:rPr>
          <w:rFonts w:ascii="Times New Roman" w:hAnsi="Times New Roman" w:cs="Times New Roman"/>
        </w:rPr>
        <w:t xml:space="preserve">with the authority of a </w:t>
      </w:r>
      <w:r w:rsidR="00783833">
        <w:rPr>
          <w:rFonts w:ascii="Times New Roman" w:hAnsi="Times New Roman" w:cs="Times New Roman"/>
        </w:rPr>
        <w:t>husband occur</w:t>
      </w:r>
      <w:r w:rsidR="005354CD">
        <w:rPr>
          <w:rFonts w:ascii="Times New Roman" w:hAnsi="Times New Roman" w:cs="Times New Roman"/>
        </w:rPr>
        <w:t>s</w:t>
      </w:r>
      <w:r w:rsidR="00783833">
        <w:rPr>
          <w:rFonts w:ascii="Times New Roman" w:hAnsi="Times New Roman" w:cs="Times New Roman"/>
        </w:rPr>
        <w:t xml:space="preserve"> also in 4Q416 2iv,</w:t>
      </w:r>
      <w:r w:rsidR="005354CD">
        <w:rPr>
          <w:rFonts w:ascii="Times New Roman" w:hAnsi="Times New Roman" w:cs="Times New Roman"/>
        </w:rPr>
        <w:t xml:space="preserve"> w</w:t>
      </w:r>
      <w:r w:rsidR="00783833">
        <w:rPr>
          <w:rFonts w:ascii="Times New Roman" w:hAnsi="Times New Roman" w:cs="Times New Roman"/>
        </w:rPr>
        <w:t xml:space="preserve">here </w:t>
      </w:r>
      <w:r w:rsidR="00783833" w:rsidRPr="00F346EA">
        <w:rPr>
          <w:rFonts w:ascii="Times New Roman" w:hAnsi="Times New Roman" w:cs="Times New Roman"/>
        </w:rPr>
        <w:t xml:space="preserve">the woman's transition from </w:t>
      </w:r>
      <w:r w:rsidR="005354CD">
        <w:rPr>
          <w:rFonts w:ascii="Times New Roman" w:hAnsi="Times New Roman" w:cs="Times New Roman"/>
        </w:rPr>
        <w:t>her</w:t>
      </w:r>
      <w:r w:rsidR="005354CD" w:rsidRPr="00F346EA">
        <w:rPr>
          <w:rFonts w:ascii="Times New Roman" w:hAnsi="Times New Roman" w:cs="Times New Roman"/>
        </w:rPr>
        <w:t xml:space="preserve"> </w:t>
      </w:r>
      <w:r w:rsidR="00783833" w:rsidRPr="00F346EA">
        <w:rPr>
          <w:rFonts w:ascii="Times New Roman" w:hAnsi="Times New Roman" w:cs="Times New Roman"/>
        </w:rPr>
        <w:t xml:space="preserve">father's authority to </w:t>
      </w:r>
      <w:r w:rsidR="005354CD">
        <w:rPr>
          <w:rFonts w:ascii="Times New Roman" w:hAnsi="Times New Roman" w:cs="Times New Roman"/>
        </w:rPr>
        <w:t>her</w:t>
      </w:r>
      <w:r w:rsidR="005354CD" w:rsidRPr="00F346EA">
        <w:rPr>
          <w:rFonts w:ascii="Times New Roman" w:hAnsi="Times New Roman" w:cs="Times New Roman"/>
        </w:rPr>
        <w:t xml:space="preserve"> </w:t>
      </w:r>
      <w:r w:rsidR="00783833" w:rsidRPr="00F346EA">
        <w:rPr>
          <w:rFonts w:ascii="Times New Roman" w:hAnsi="Times New Roman" w:cs="Times New Roman"/>
        </w:rPr>
        <w:t xml:space="preserve">husband's </w:t>
      </w:r>
      <w:r w:rsidR="005354CD">
        <w:rPr>
          <w:rFonts w:ascii="Times New Roman" w:hAnsi="Times New Roman" w:cs="Times New Roman"/>
        </w:rPr>
        <w:t>is</w:t>
      </w:r>
      <w:r w:rsidR="005354CD" w:rsidRPr="00F346EA">
        <w:rPr>
          <w:rFonts w:ascii="Times New Roman" w:hAnsi="Times New Roman" w:cs="Times New Roman"/>
        </w:rPr>
        <w:t xml:space="preserve"> </w:t>
      </w:r>
      <w:r w:rsidR="00783833" w:rsidRPr="00F346EA">
        <w:rPr>
          <w:rFonts w:ascii="Times New Roman" w:hAnsi="Times New Roman" w:cs="Times New Roman"/>
        </w:rPr>
        <w:t xml:space="preserve">expressed in </w:t>
      </w:r>
      <w:r w:rsidR="005354CD">
        <w:rPr>
          <w:rFonts w:ascii="Times New Roman" w:hAnsi="Times New Roman" w:cs="Times New Roman"/>
        </w:rPr>
        <w:t>the latter’s</w:t>
      </w:r>
      <w:r w:rsidR="005354CD" w:rsidRPr="00F346EA">
        <w:rPr>
          <w:rFonts w:ascii="Times New Roman" w:hAnsi="Times New Roman" w:cs="Times New Roman"/>
        </w:rPr>
        <w:t xml:space="preserve"> </w:t>
      </w:r>
      <w:r w:rsidR="005354CD">
        <w:rPr>
          <w:rFonts w:ascii="Times New Roman" w:hAnsi="Times New Roman" w:cs="Times New Roman"/>
        </w:rPr>
        <w:t>ability</w:t>
      </w:r>
      <w:r w:rsidR="005354CD" w:rsidRPr="00F346EA">
        <w:rPr>
          <w:rFonts w:ascii="Times New Roman" w:hAnsi="Times New Roman" w:cs="Times New Roman"/>
        </w:rPr>
        <w:t xml:space="preserve"> </w:t>
      </w:r>
      <w:r w:rsidR="00783833" w:rsidRPr="00F346EA">
        <w:rPr>
          <w:rFonts w:ascii="Times New Roman" w:hAnsi="Times New Roman" w:cs="Times New Roman"/>
        </w:rPr>
        <w:t xml:space="preserve">to </w:t>
      </w:r>
      <w:r w:rsidR="00783833">
        <w:rPr>
          <w:rFonts w:ascii="Times New Roman" w:hAnsi="Times New Roman" w:cs="Times New Roman"/>
        </w:rPr>
        <w:t>nullify</w:t>
      </w:r>
      <w:r w:rsidR="00783833" w:rsidRPr="00F346EA">
        <w:rPr>
          <w:rFonts w:ascii="Times New Roman" w:hAnsi="Times New Roman" w:cs="Times New Roman"/>
        </w:rPr>
        <w:t xml:space="preserve"> her vows</w:t>
      </w:r>
      <w:r w:rsidR="00783833">
        <w:rPr>
          <w:rFonts w:ascii="Times New Roman" w:hAnsi="Times New Roman" w:cs="Times New Roman"/>
        </w:rPr>
        <w:t xml:space="preserve">. </w:t>
      </w:r>
      <w:r w:rsidR="00783833" w:rsidRPr="00F346EA">
        <w:rPr>
          <w:rFonts w:ascii="Times New Roman" w:hAnsi="Times New Roman" w:cs="Times New Roman"/>
        </w:rPr>
        <w:t>A similar idea is also cited in Philo</w:t>
      </w:r>
      <w:r w:rsidR="00783833">
        <w:rPr>
          <w:rFonts w:ascii="Times New Roman" w:hAnsi="Times New Roman" w:cs="Times New Roman"/>
        </w:rPr>
        <w:t xml:space="preserve">’s </w:t>
      </w:r>
      <w:r w:rsidR="00783833" w:rsidRPr="00005A11">
        <w:rPr>
          <w:rFonts w:ascii="Times New Roman" w:hAnsi="Times New Roman" w:cs="Times New Roman"/>
          <w:i/>
          <w:iCs/>
        </w:rPr>
        <w:t>Questions and Answers on Genesis</w:t>
      </w:r>
      <w:r w:rsidR="00783833">
        <w:rPr>
          <w:rFonts w:ascii="Times New Roman" w:hAnsi="Times New Roman" w:cs="Times New Roman"/>
        </w:rPr>
        <w:t xml:space="preserve"> (1,27). Philo, while </w:t>
      </w:r>
      <w:r w:rsidR="005354CD">
        <w:rPr>
          <w:rFonts w:ascii="Times New Roman" w:hAnsi="Times New Roman" w:cs="Times New Roman"/>
        </w:rPr>
        <w:t xml:space="preserve">inquiring </w:t>
      </w:r>
      <w:r w:rsidR="00783833">
        <w:rPr>
          <w:rFonts w:ascii="Times New Roman" w:hAnsi="Times New Roman" w:cs="Times New Roman"/>
        </w:rPr>
        <w:t xml:space="preserve">why the </w:t>
      </w:r>
      <w:r w:rsidR="005354CD">
        <w:rPr>
          <w:rFonts w:ascii="Times New Roman" w:hAnsi="Times New Roman" w:cs="Times New Roman"/>
        </w:rPr>
        <w:t xml:space="preserve">first </w:t>
      </w:r>
      <w:r w:rsidR="00783833">
        <w:rPr>
          <w:rFonts w:ascii="Times New Roman" w:hAnsi="Times New Roman" w:cs="Times New Roman"/>
        </w:rPr>
        <w:t>woman is formed from a rib of Adam and not from the earth, provides four explanation</w:t>
      </w:r>
      <w:r w:rsidR="005354CD">
        <w:rPr>
          <w:rFonts w:ascii="Times New Roman" w:hAnsi="Times New Roman" w:cs="Times New Roman"/>
        </w:rPr>
        <w:t xml:space="preserve">s, all of </w:t>
      </w:r>
      <w:r w:rsidR="00783833" w:rsidRPr="003879AE">
        <w:rPr>
          <w:rFonts w:ascii="Times New Roman" w:hAnsi="Times New Roman" w:cs="Times New Roman"/>
        </w:rPr>
        <w:t xml:space="preserve">which share </w:t>
      </w:r>
      <w:r w:rsidR="005354CD">
        <w:rPr>
          <w:rFonts w:ascii="Times New Roman" w:hAnsi="Times New Roman" w:cs="Times New Roman"/>
        </w:rPr>
        <w:t xml:space="preserve">a presumption of </w:t>
      </w:r>
      <w:r w:rsidR="00783833" w:rsidRPr="003879AE">
        <w:rPr>
          <w:rFonts w:ascii="Times New Roman" w:hAnsi="Times New Roman" w:cs="Times New Roman"/>
        </w:rPr>
        <w:t xml:space="preserve">hierarchy between </w:t>
      </w:r>
      <w:r w:rsidR="00783833">
        <w:rPr>
          <w:rFonts w:ascii="Times New Roman" w:hAnsi="Times New Roman" w:cs="Times New Roman"/>
        </w:rPr>
        <w:t>male</w:t>
      </w:r>
      <w:r w:rsidR="00783833" w:rsidRPr="003879AE">
        <w:rPr>
          <w:rFonts w:ascii="Times New Roman" w:hAnsi="Times New Roman" w:cs="Times New Roman"/>
        </w:rPr>
        <w:t xml:space="preserve"> and </w:t>
      </w:r>
      <w:r w:rsidR="00783833">
        <w:rPr>
          <w:rFonts w:ascii="Times New Roman" w:hAnsi="Times New Roman" w:cs="Times New Roman"/>
        </w:rPr>
        <w:t xml:space="preserve">female. The last of them </w:t>
      </w:r>
      <w:r w:rsidR="005354CD">
        <w:rPr>
          <w:rFonts w:ascii="Times New Roman" w:hAnsi="Times New Roman" w:cs="Times New Roman"/>
        </w:rPr>
        <w:t>reads as follows</w:t>
      </w:r>
      <w:r w:rsidR="00783833">
        <w:rPr>
          <w:rFonts w:ascii="Times New Roman" w:hAnsi="Times New Roman" w:cs="Times New Roman"/>
        </w:rPr>
        <w:t>:</w:t>
      </w:r>
    </w:p>
    <w:p w14:paraId="63E7C002" w14:textId="77777777" w:rsidR="00895E53" w:rsidRDefault="00895E53"/>
    <w:p w14:paraId="4CBDFC72" w14:textId="77777777" w:rsidR="00783833" w:rsidRDefault="00783833"/>
    <w:p w14:paraId="2F8A7496" w14:textId="2B1080A6" w:rsidR="00783833" w:rsidRDefault="00783833" w:rsidP="00005A11">
      <w:pPr>
        <w:bidi w:val="0"/>
        <w:rPr>
          <w:rFonts w:ascii="Times New Roman" w:hAnsi="Times New Roman" w:cs="Times New Roman"/>
        </w:rPr>
      </w:pPr>
      <w:r w:rsidRPr="009E2DC7">
        <w:rPr>
          <w:rFonts w:ascii="Times New Roman" w:hAnsi="Times New Roman" w:cs="Times New Roman"/>
        </w:rPr>
        <w:t xml:space="preserve">Fragment 7 is a relatively </w:t>
      </w:r>
      <w:r>
        <w:rPr>
          <w:rFonts w:ascii="Times New Roman" w:hAnsi="Times New Roman" w:cs="Times New Roman"/>
        </w:rPr>
        <w:t xml:space="preserve">a </w:t>
      </w:r>
      <w:r w:rsidRPr="009E2DC7">
        <w:rPr>
          <w:rFonts w:ascii="Times New Roman" w:hAnsi="Times New Roman" w:cs="Times New Roman"/>
        </w:rPr>
        <w:t xml:space="preserve">small fragment, </w:t>
      </w:r>
      <w:r>
        <w:rPr>
          <w:rFonts w:ascii="Times New Roman" w:hAnsi="Times New Roman" w:cs="Times New Roman"/>
        </w:rPr>
        <w:t>contain</w:t>
      </w:r>
      <w:r w:rsidR="005354CD">
        <w:rPr>
          <w:rFonts w:ascii="Times New Roman" w:hAnsi="Times New Roman" w:cs="Times New Roman"/>
        </w:rPr>
        <w:t>ing</w:t>
      </w:r>
      <w:r>
        <w:rPr>
          <w:rFonts w:ascii="Times New Roman" w:hAnsi="Times New Roman" w:cs="Times New Roman"/>
        </w:rPr>
        <w:t xml:space="preserve"> remnants of three lines of text. 4Q415 7 also contain intercolumnar margins</w:t>
      </w:r>
      <w:r w:rsidR="005354CD">
        <w:rPr>
          <w:rFonts w:ascii="Times New Roman" w:hAnsi="Times New Roman" w:cs="Times New Roman"/>
        </w:rPr>
        <w:t>.</w:t>
      </w:r>
    </w:p>
    <w:p w14:paraId="6DA769CB" w14:textId="77777777" w:rsidR="00783833" w:rsidRDefault="00783833">
      <w:pPr>
        <w:rPr>
          <w:rFonts w:ascii="Times New Roman" w:hAnsi="Times New Roman" w:cs="Times New Roman"/>
        </w:rPr>
      </w:pPr>
    </w:p>
    <w:p w14:paraId="4A927FA4" w14:textId="77777777" w:rsidR="00783833" w:rsidRDefault="00783833">
      <w:pPr>
        <w:rPr>
          <w:rFonts w:ascii="Times New Roman" w:hAnsi="Times New Roman" w:cs="Times New Roman"/>
        </w:rPr>
      </w:pPr>
    </w:p>
    <w:p w14:paraId="713789D2" w14:textId="60A36B7F" w:rsidR="00783833" w:rsidRPr="003659CC" w:rsidRDefault="005354CD" w:rsidP="00EA0392">
      <w:pPr>
        <w:tabs>
          <w:tab w:val="left" w:pos="1134"/>
          <w:tab w:val="left" w:pos="4253"/>
        </w:tabs>
        <w:bidi w:val="0"/>
        <w:spacing w:line="360" w:lineRule="auto"/>
        <w:jc w:val="both"/>
        <w:rPr>
          <w:rFonts w:asciiTheme="majorBidi" w:hAnsiTheme="majorBidi" w:cstheme="majorBidi"/>
        </w:rPr>
      </w:pPr>
      <w:r>
        <w:rPr>
          <w:rFonts w:asciiTheme="majorBidi" w:hAnsiTheme="majorBidi" w:cstheme="majorBidi"/>
        </w:rPr>
        <w:t xml:space="preserve">In line 3, </w:t>
      </w:r>
      <w:r w:rsidR="00783833" w:rsidRPr="003659CC">
        <w:rPr>
          <w:rFonts w:asciiTheme="majorBidi" w:hAnsiTheme="majorBidi" w:cstheme="majorBidi"/>
        </w:rPr>
        <w:t xml:space="preserve">Tigchelaar reads </w:t>
      </w:r>
      <w:r w:rsidR="00783833" w:rsidRPr="00C42601">
        <w:rPr>
          <w:rFonts w:ascii="SBL Hebrew" w:hAnsi="SBL Hebrew" w:cs="SBL Hebrew" w:hint="cs"/>
          <w:rtl/>
        </w:rPr>
        <w:t>חוק</w:t>
      </w:r>
      <w:r w:rsidR="00783833" w:rsidRPr="003659CC">
        <w:rPr>
          <w:rFonts w:asciiTheme="majorBidi" w:hAnsiTheme="majorBidi" w:cstheme="majorBidi"/>
        </w:rPr>
        <w:t>, but I follow SH</w:t>
      </w:r>
      <w:r>
        <w:rPr>
          <w:rFonts w:asciiTheme="majorBidi" w:hAnsiTheme="majorBidi" w:cstheme="majorBidi"/>
        </w:rPr>
        <w:t xml:space="preserve"> in reading</w:t>
      </w:r>
      <w:r w:rsidR="00783833" w:rsidRPr="003659CC">
        <w:rPr>
          <w:rFonts w:asciiTheme="majorBidi" w:hAnsiTheme="majorBidi" w:cstheme="majorBidi"/>
        </w:rPr>
        <w:t xml:space="preserve"> </w:t>
      </w:r>
      <w:r w:rsidR="00783833" w:rsidRPr="00C42601">
        <w:rPr>
          <w:rFonts w:ascii="SBL Hebrew" w:hAnsi="SBL Hebrew" w:cs="SBL Hebrew"/>
          <w:rtl/>
        </w:rPr>
        <w:t>חזק</w:t>
      </w:r>
      <w:r>
        <w:rPr>
          <w:rFonts w:ascii="SBL Hebrew" w:hAnsi="SBL Hebrew" w:cs="SBL Hebrew"/>
        </w:rPr>
        <w:t>,</w:t>
      </w:r>
      <w:r w:rsidR="00783833" w:rsidRPr="003659CC">
        <w:rPr>
          <w:rFonts w:asciiTheme="majorBidi" w:hAnsiTheme="majorBidi" w:cstheme="majorBidi"/>
        </w:rPr>
        <w:t xml:space="preserve"> due </w:t>
      </w:r>
      <w:r w:rsidR="00783833">
        <w:rPr>
          <w:rFonts w:asciiTheme="majorBidi" w:hAnsiTheme="majorBidi" w:cstheme="majorBidi"/>
        </w:rPr>
        <w:t xml:space="preserve">to the </w:t>
      </w:r>
      <w:r w:rsidR="00783833" w:rsidRPr="003659CC">
        <w:rPr>
          <w:rFonts w:asciiTheme="majorBidi" w:hAnsiTheme="majorBidi" w:cstheme="majorBidi"/>
        </w:rPr>
        <w:t>absence of the head characterizing</w:t>
      </w:r>
      <w:r>
        <w:rPr>
          <w:rFonts w:asciiTheme="majorBidi" w:hAnsiTheme="majorBidi" w:cstheme="majorBidi"/>
        </w:rPr>
        <w:t xml:space="preserve"> the letter</w:t>
      </w:r>
      <w:r w:rsidR="00783833" w:rsidRPr="003659CC">
        <w:rPr>
          <w:rFonts w:asciiTheme="majorBidi" w:hAnsiTheme="majorBidi" w:cstheme="majorBidi"/>
        </w:rPr>
        <w:t xml:space="preserve"> </w:t>
      </w:r>
      <w:r w:rsidR="00783833" w:rsidRPr="003659CC">
        <w:rPr>
          <w:rFonts w:asciiTheme="majorBidi" w:hAnsiTheme="majorBidi" w:cstheme="majorBidi"/>
          <w:i/>
          <w:iCs/>
        </w:rPr>
        <w:t>waw</w:t>
      </w:r>
      <w:r w:rsidR="00783833" w:rsidRPr="003659CC">
        <w:rPr>
          <w:rFonts w:asciiTheme="majorBidi" w:hAnsiTheme="majorBidi" w:cstheme="majorBidi"/>
        </w:rPr>
        <w:t xml:space="preserve">. </w:t>
      </w:r>
    </w:p>
    <w:p w14:paraId="7AAF35EC" w14:textId="711A29EA" w:rsidR="00783833" w:rsidRPr="003659CC"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ab/>
      </w:r>
      <w:r w:rsidR="00C74CAF">
        <w:rPr>
          <w:rFonts w:asciiTheme="majorBidi" w:hAnsiTheme="majorBidi" w:cstheme="majorBidi"/>
        </w:rPr>
        <w:t>In</w:t>
      </w:r>
      <w:r>
        <w:rPr>
          <w:rFonts w:asciiTheme="majorBidi" w:hAnsiTheme="majorBidi" w:cstheme="majorBidi"/>
        </w:rPr>
        <w:t xml:space="preserve"> the second word of the third line, </w:t>
      </w:r>
      <w:r w:rsidRPr="003659CC">
        <w:rPr>
          <w:rFonts w:asciiTheme="majorBidi" w:hAnsiTheme="majorBidi" w:cstheme="majorBidi"/>
        </w:rPr>
        <w:t xml:space="preserve">SH and </w:t>
      </w:r>
      <w:proofErr w:type="spellStart"/>
      <w:r w:rsidRPr="003659CC">
        <w:rPr>
          <w:rFonts w:asciiTheme="majorBidi" w:hAnsiTheme="majorBidi" w:cstheme="majorBidi"/>
        </w:rPr>
        <w:t>Tigchalaar</w:t>
      </w:r>
      <w:proofErr w:type="spellEnd"/>
      <w:r w:rsidRPr="003659CC">
        <w:rPr>
          <w:rFonts w:asciiTheme="majorBidi" w:hAnsiTheme="majorBidi" w:cstheme="majorBidi"/>
        </w:rPr>
        <w:t xml:space="preserve"> identif</w:t>
      </w:r>
      <w:r w:rsidR="009465CC">
        <w:rPr>
          <w:rFonts w:asciiTheme="majorBidi" w:hAnsiTheme="majorBidi" w:cstheme="majorBidi"/>
        </w:rPr>
        <w:t>y</w:t>
      </w:r>
      <w:r w:rsidRPr="003659CC">
        <w:rPr>
          <w:rFonts w:asciiTheme="majorBidi" w:hAnsiTheme="majorBidi" w:cstheme="majorBidi"/>
        </w:rPr>
        <w:t xml:space="preserve"> the letters </w:t>
      </w:r>
      <w:proofErr w:type="gramStart"/>
      <w:r w:rsidRPr="00C42601">
        <w:rPr>
          <w:rFonts w:ascii="SBL Hebrew" w:hAnsi="SBL Hebrew" w:cs="SBL Hebrew"/>
          <w:rtl/>
        </w:rPr>
        <w:t>ב[</w:t>
      </w:r>
      <w:proofErr w:type="gramEnd"/>
      <w:r w:rsidRPr="00C42601">
        <w:rPr>
          <w:rFonts w:ascii="SBL Hebrew" w:hAnsi="SBL Hebrew" w:cs="SBL Hebrew"/>
          <w:rtl/>
        </w:rPr>
        <w:t>]א֯ה</w:t>
      </w:r>
      <w:r>
        <w:rPr>
          <w:rFonts w:asciiTheme="majorBidi" w:hAnsiTheme="majorBidi" w:cstheme="majorBidi"/>
        </w:rPr>
        <w:t>. These letters do</w:t>
      </w:r>
      <w:r w:rsidRPr="003659CC">
        <w:rPr>
          <w:rFonts w:asciiTheme="majorBidi" w:hAnsiTheme="majorBidi" w:cstheme="majorBidi"/>
        </w:rPr>
        <w:t xml:space="preserve"> not form a sensible reading. SH </w:t>
      </w:r>
      <w:r w:rsidR="00EC3CA0">
        <w:rPr>
          <w:rFonts w:asciiTheme="majorBidi" w:hAnsiTheme="majorBidi" w:cstheme="majorBidi"/>
        </w:rPr>
        <w:t>raise the possibility of</w:t>
      </w:r>
      <w:r w:rsidRPr="003659CC">
        <w:rPr>
          <w:rFonts w:asciiTheme="majorBidi" w:hAnsiTheme="majorBidi" w:cstheme="majorBidi"/>
        </w:rPr>
        <w:t xml:space="preserve"> </w:t>
      </w:r>
      <w:r w:rsidR="00EC3CA0">
        <w:rPr>
          <w:rFonts w:asciiTheme="majorBidi" w:hAnsiTheme="majorBidi" w:cstheme="majorBidi"/>
        </w:rPr>
        <w:t>reading</w:t>
      </w:r>
      <w:r w:rsidRPr="003659CC">
        <w:rPr>
          <w:rFonts w:asciiTheme="majorBidi" w:hAnsiTheme="majorBidi" w:cstheme="majorBidi"/>
        </w:rPr>
        <w:t xml:space="preserve"> </w:t>
      </w:r>
      <w:r w:rsidRPr="00C42601">
        <w:rPr>
          <w:rFonts w:ascii="SBL Hebrew" w:hAnsi="SBL Hebrew" w:cs="SBL Hebrew"/>
          <w:rtl/>
        </w:rPr>
        <w:lastRenderedPageBreak/>
        <w:t>ביאה</w:t>
      </w:r>
      <w:r w:rsidRPr="003659CC">
        <w:rPr>
          <w:rFonts w:asciiTheme="majorBidi" w:hAnsiTheme="majorBidi" w:cstheme="majorBidi"/>
        </w:rPr>
        <w:t xml:space="preserve">, but </w:t>
      </w:r>
      <w:r w:rsidR="00EC3CA0">
        <w:rPr>
          <w:rFonts w:asciiTheme="majorBidi" w:hAnsiTheme="majorBidi" w:cstheme="majorBidi"/>
        </w:rPr>
        <w:t>admit</w:t>
      </w:r>
      <w:r w:rsidRPr="003659CC">
        <w:rPr>
          <w:rFonts w:asciiTheme="majorBidi" w:hAnsiTheme="majorBidi" w:cstheme="majorBidi"/>
        </w:rPr>
        <w:t xml:space="preserve"> that </w:t>
      </w:r>
      <w:r w:rsidR="00EC3CA0">
        <w:rPr>
          <w:rFonts w:asciiTheme="majorBidi" w:hAnsiTheme="majorBidi" w:cstheme="majorBidi"/>
        </w:rPr>
        <w:t>this</w:t>
      </w:r>
      <w:r w:rsidR="00EC3CA0" w:rsidRPr="003659CC">
        <w:rPr>
          <w:rFonts w:asciiTheme="majorBidi" w:hAnsiTheme="majorBidi" w:cstheme="majorBidi"/>
        </w:rPr>
        <w:t xml:space="preserve"> </w:t>
      </w:r>
      <w:r w:rsidR="00EC3CA0">
        <w:rPr>
          <w:rFonts w:asciiTheme="majorBidi" w:hAnsiTheme="majorBidi" w:cstheme="majorBidi"/>
        </w:rPr>
        <w:t>reading is doubtful</w:t>
      </w:r>
      <w:r w:rsidRPr="003659CC">
        <w:rPr>
          <w:rFonts w:asciiTheme="majorBidi" w:hAnsiTheme="majorBidi" w:cstheme="majorBidi"/>
        </w:rPr>
        <w:t>. Indeed, SH</w:t>
      </w:r>
      <w:r>
        <w:rPr>
          <w:rFonts w:asciiTheme="majorBidi" w:hAnsiTheme="majorBidi" w:cstheme="majorBidi"/>
        </w:rPr>
        <w:t xml:space="preserve"> and </w:t>
      </w:r>
      <w:proofErr w:type="spellStart"/>
      <w:r>
        <w:rPr>
          <w:rFonts w:asciiTheme="majorBidi" w:hAnsiTheme="majorBidi" w:cstheme="majorBidi"/>
        </w:rPr>
        <w:t>Tigchelaar</w:t>
      </w:r>
      <w:r w:rsidRPr="003659CC">
        <w:rPr>
          <w:rFonts w:asciiTheme="majorBidi" w:hAnsiTheme="majorBidi" w:cstheme="majorBidi"/>
        </w:rPr>
        <w:t>’s</w:t>
      </w:r>
      <w:proofErr w:type="spellEnd"/>
      <w:r w:rsidRPr="003659CC">
        <w:rPr>
          <w:rFonts w:asciiTheme="majorBidi" w:hAnsiTheme="majorBidi" w:cstheme="majorBidi"/>
        </w:rPr>
        <w:t xml:space="preserve"> suggestion is materially unreasonable. The space in the leather bet</w:t>
      </w:r>
      <w:r>
        <w:rPr>
          <w:rFonts w:asciiTheme="majorBidi" w:hAnsiTheme="majorBidi" w:cstheme="majorBidi"/>
        </w:rPr>
        <w:t>ween the first and third letter</w:t>
      </w:r>
      <w:r w:rsidR="005F0066">
        <w:rPr>
          <w:rFonts w:asciiTheme="majorBidi" w:hAnsiTheme="majorBidi" w:cstheme="majorBidi"/>
        </w:rPr>
        <w:t>s</w:t>
      </w:r>
      <w:r w:rsidRPr="003659CC">
        <w:rPr>
          <w:rFonts w:asciiTheme="majorBidi" w:hAnsiTheme="majorBidi" w:cstheme="majorBidi"/>
        </w:rPr>
        <w:t xml:space="preserve"> of the word is large enough for two narrow letters or for one wide letter. Reconstruction of the letter </w:t>
      </w:r>
      <w:proofErr w:type="spellStart"/>
      <w:r w:rsidRPr="003659CC">
        <w:rPr>
          <w:rFonts w:asciiTheme="majorBidi" w:hAnsiTheme="majorBidi" w:cstheme="majorBidi"/>
          <w:i/>
          <w:iCs/>
        </w:rPr>
        <w:t>yod</w:t>
      </w:r>
      <w:proofErr w:type="spellEnd"/>
      <w:r w:rsidRPr="003659CC">
        <w:rPr>
          <w:rFonts w:asciiTheme="majorBidi" w:hAnsiTheme="majorBidi" w:cstheme="majorBidi"/>
        </w:rPr>
        <w:t xml:space="preserve"> as </w:t>
      </w:r>
      <w:r w:rsidR="00251109">
        <w:rPr>
          <w:rFonts w:asciiTheme="majorBidi" w:hAnsiTheme="majorBidi" w:cstheme="majorBidi"/>
        </w:rPr>
        <w:t xml:space="preserve">they propose </w:t>
      </w:r>
      <w:r w:rsidRPr="00EA0392">
        <w:rPr>
          <w:rFonts w:asciiTheme="majorBidi" w:hAnsiTheme="majorBidi" w:cstheme="majorBidi"/>
        </w:rPr>
        <w:t>creates</w:t>
      </w:r>
      <w:r w:rsidRPr="003659CC">
        <w:rPr>
          <w:rFonts w:asciiTheme="majorBidi" w:hAnsiTheme="majorBidi" w:cstheme="majorBidi"/>
        </w:rPr>
        <w:t xml:space="preserve"> a space between the second and third letter</w:t>
      </w:r>
      <w:r w:rsidR="00251109">
        <w:rPr>
          <w:rFonts w:asciiTheme="majorBidi" w:hAnsiTheme="majorBidi" w:cstheme="majorBidi"/>
        </w:rPr>
        <w:t>s</w:t>
      </w:r>
      <w:r w:rsidRPr="003659CC">
        <w:rPr>
          <w:rFonts w:asciiTheme="majorBidi" w:hAnsiTheme="majorBidi" w:cstheme="majorBidi"/>
        </w:rPr>
        <w:t xml:space="preserve"> </w:t>
      </w:r>
      <w:r w:rsidR="00251109">
        <w:rPr>
          <w:rFonts w:asciiTheme="majorBidi" w:hAnsiTheme="majorBidi" w:cstheme="majorBidi"/>
        </w:rPr>
        <w:t>of</w:t>
      </w:r>
      <w:r w:rsidR="00251109" w:rsidRPr="003659CC">
        <w:rPr>
          <w:rFonts w:asciiTheme="majorBidi" w:hAnsiTheme="majorBidi" w:cstheme="majorBidi"/>
        </w:rPr>
        <w:t xml:space="preserve"> </w:t>
      </w:r>
      <w:r w:rsidRPr="003659CC">
        <w:rPr>
          <w:rFonts w:asciiTheme="majorBidi" w:hAnsiTheme="majorBidi" w:cstheme="majorBidi"/>
        </w:rPr>
        <w:t xml:space="preserve">the word. </w:t>
      </w:r>
      <w:r w:rsidR="00251109">
        <w:rPr>
          <w:rFonts w:asciiTheme="majorBidi" w:hAnsiTheme="majorBidi" w:cstheme="majorBidi"/>
        </w:rPr>
        <w:t xml:space="preserve">Instead, </w:t>
      </w:r>
      <w:r w:rsidRPr="003659CC">
        <w:rPr>
          <w:rFonts w:asciiTheme="majorBidi" w:hAnsiTheme="majorBidi" w:cstheme="majorBidi"/>
        </w:rPr>
        <w:t xml:space="preserve">I </w:t>
      </w:r>
      <w:r w:rsidR="00251109">
        <w:rPr>
          <w:rFonts w:asciiTheme="majorBidi" w:hAnsiTheme="majorBidi" w:cstheme="majorBidi"/>
        </w:rPr>
        <w:t>propose</w:t>
      </w:r>
      <w:r w:rsidR="00251109" w:rsidRPr="003659CC">
        <w:rPr>
          <w:rFonts w:asciiTheme="majorBidi" w:hAnsiTheme="majorBidi" w:cstheme="majorBidi"/>
        </w:rPr>
        <w:t xml:space="preserve"> </w:t>
      </w:r>
      <w:r w:rsidRPr="003659CC">
        <w:rPr>
          <w:rFonts w:asciiTheme="majorBidi" w:hAnsiTheme="majorBidi" w:cstheme="majorBidi"/>
        </w:rPr>
        <w:t xml:space="preserve">the reading </w:t>
      </w:r>
      <w:r w:rsidRPr="00C42601">
        <w:rPr>
          <w:rFonts w:ascii="SBL Hebrew" w:hAnsi="SBL Hebrew" w:cs="SBL Hebrew"/>
          <w:rtl/>
        </w:rPr>
        <w:t>ב[ע]ד֯הֹ</w:t>
      </w:r>
      <w:r w:rsidRPr="003659CC">
        <w:rPr>
          <w:rFonts w:asciiTheme="majorBidi" w:hAnsiTheme="majorBidi" w:cstheme="majorBidi"/>
        </w:rPr>
        <w:t xml:space="preserve">. The traces of ink of the third letter match the letter </w:t>
      </w:r>
      <w:proofErr w:type="spellStart"/>
      <w:r w:rsidRPr="003659CC">
        <w:rPr>
          <w:rFonts w:asciiTheme="majorBidi" w:hAnsiTheme="majorBidi" w:cstheme="majorBidi"/>
          <w:i/>
          <w:iCs/>
        </w:rPr>
        <w:t>dalet</w:t>
      </w:r>
      <w:proofErr w:type="spellEnd"/>
      <w:r w:rsidRPr="003659CC">
        <w:rPr>
          <w:rFonts w:asciiTheme="majorBidi" w:hAnsiTheme="majorBidi" w:cstheme="majorBidi"/>
        </w:rPr>
        <w:t xml:space="preserve">. The space of the second letter and the small trace of ink </w:t>
      </w:r>
      <w:r w:rsidR="00F92619">
        <w:rPr>
          <w:rFonts w:asciiTheme="majorBidi" w:hAnsiTheme="majorBidi" w:cstheme="majorBidi"/>
        </w:rPr>
        <w:t>fit</w:t>
      </w:r>
      <w:r w:rsidR="00F92619" w:rsidRPr="003659CC">
        <w:rPr>
          <w:rFonts w:asciiTheme="majorBidi" w:hAnsiTheme="majorBidi" w:cstheme="majorBidi"/>
        </w:rPr>
        <w:t xml:space="preserve"> </w:t>
      </w:r>
      <w:r w:rsidRPr="003659CC">
        <w:rPr>
          <w:rFonts w:asciiTheme="majorBidi" w:hAnsiTheme="majorBidi" w:cstheme="majorBidi"/>
        </w:rPr>
        <w:t xml:space="preserve">well </w:t>
      </w:r>
      <w:r w:rsidR="00F92619">
        <w:rPr>
          <w:rFonts w:asciiTheme="majorBidi" w:hAnsiTheme="majorBidi" w:cstheme="majorBidi"/>
        </w:rPr>
        <w:t>with</w:t>
      </w:r>
      <w:r w:rsidR="00F92619" w:rsidRPr="003659CC">
        <w:rPr>
          <w:rFonts w:asciiTheme="majorBidi" w:hAnsiTheme="majorBidi" w:cstheme="majorBidi"/>
        </w:rPr>
        <w:t xml:space="preserve"> </w:t>
      </w:r>
      <w:r w:rsidRPr="003659CC">
        <w:rPr>
          <w:rFonts w:asciiTheme="majorBidi" w:hAnsiTheme="majorBidi" w:cstheme="majorBidi"/>
        </w:rPr>
        <w:t xml:space="preserve">the letter </w:t>
      </w:r>
      <w:proofErr w:type="spellStart"/>
      <w:r w:rsidRPr="003659CC">
        <w:rPr>
          <w:rFonts w:asciiTheme="majorBidi" w:hAnsiTheme="majorBidi" w:cstheme="majorBidi"/>
          <w:i/>
          <w:iCs/>
        </w:rPr>
        <w:t>ayin</w:t>
      </w:r>
      <w:proofErr w:type="spellEnd"/>
      <w:r>
        <w:rPr>
          <w:rFonts w:asciiTheme="majorBidi" w:hAnsiTheme="majorBidi" w:cstheme="majorBidi"/>
        </w:rPr>
        <w:t xml:space="preserve"> (fig. 9).</w:t>
      </w:r>
      <w:r w:rsidRPr="003659CC">
        <w:rPr>
          <w:rFonts w:asciiTheme="majorBidi" w:hAnsiTheme="majorBidi" w:cstheme="majorBidi"/>
        </w:rPr>
        <w:t xml:space="preserve"> </w:t>
      </w:r>
      <w:r w:rsidR="00F92619">
        <w:rPr>
          <w:rFonts w:asciiTheme="majorBidi" w:hAnsiTheme="majorBidi" w:cstheme="majorBidi"/>
        </w:rPr>
        <w:t>Moreover, t</w:t>
      </w:r>
      <w:r w:rsidRPr="003659CC">
        <w:rPr>
          <w:rFonts w:asciiTheme="majorBidi" w:hAnsiTheme="majorBidi" w:cstheme="majorBidi"/>
        </w:rPr>
        <w:t xml:space="preserve">he combination of the root </w:t>
      </w:r>
      <w:proofErr w:type="spellStart"/>
      <w:r w:rsidRPr="00C42601">
        <w:rPr>
          <w:rFonts w:ascii="SBL Hebrew" w:hAnsi="SBL Hebrew" w:cs="SBL Hebrew"/>
          <w:rtl/>
        </w:rPr>
        <w:t>חז"ק</w:t>
      </w:r>
      <w:proofErr w:type="spellEnd"/>
      <w:r w:rsidRPr="003659CC">
        <w:rPr>
          <w:rFonts w:asciiTheme="majorBidi" w:hAnsiTheme="majorBidi" w:cstheme="majorBidi"/>
        </w:rPr>
        <w:t xml:space="preserve"> with the word </w:t>
      </w:r>
      <w:r w:rsidRPr="00C42601">
        <w:rPr>
          <w:rFonts w:ascii="SBL Hebrew" w:hAnsi="SBL Hebrew" w:cs="SBL Hebrew"/>
          <w:rtl/>
        </w:rPr>
        <w:t>בעד</w:t>
      </w:r>
      <w:r w:rsidRPr="003659CC">
        <w:rPr>
          <w:rFonts w:asciiTheme="majorBidi" w:hAnsiTheme="majorBidi" w:cstheme="majorBidi"/>
        </w:rPr>
        <w:t xml:space="preserve"> appears in the bible (2Sam 10,12: </w:t>
      </w:r>
      <w:r w:rsidRPr="00C42601">
        <w:rPr>
          <w:rFonts w:ascii="SBL Hebrew" w:hAnsi="SBL Hebrew" w:cs="SBL Hebrew"/>
          <w:rtl/>
        </w:rPr>
        <w:t xml:space="preserve">חֲזַק </w:t>
      </w:r>
      <w:proofErr w:type="spellStart"/>
      <w:r w:rsidRPr="00C42601">
        <w:rPr>
          <w:rFonts w:ascii="SBL Hebrew" w:hAnsi="SBL Hebrew" w:cs="SBL Hebrew"/>
          <w:rtl/>
        </w:rPr>
        <w:t>וְנִתְחַזַּק</w:t>
      </w:r>
      <w:proofErr w:type="spellEnd"/>
      <w:r w:rsidRPr="00EA781A">
        <w:rPr>
          <w:rFonts w:ascii="SBL Hebrew" w:hAnsi="SBL Hebrew" w:cs="SBL Hebrew"/>
          <w:rtl/>
        </w:rPr>
        <w:t xml:space="preserve"> </w:t>
      </w:r>
      <w:proofErr w:type="spellStart"/>
      <w:r w:rsidRPr="00EA781A">
        <w:rPr>
          <w:rFonts w:ascii="SBL Hebrew" w:hAnsi="SBL Hebrew" w:cs="SBL Hebrew"/>
          <w:rtl/>
        </w:rPr>
        <w:t>בְּעַ</w:t>
      </w:r>
      <w:r w:rsidRPr="00C42601">
        <w:rPr>
          <w:rFonts w:ascii="SBL Hebrew" w:hAnsi="SBL Hebrew" w:cs="SBL Hebrew"/>
          <w:rtl/>
        </w:rPr>
        <w:t>ד־עַמֵּנוּ</w:t>
      </w:r>
      <w:proofErr w:type="spellEnd"/>
      <w:r w:rsidRPr="00C42601">
        <w:rPr>
          <w:rFonts w:ascii="SBL Hebrew" w:hAnsi="SBL Hebrew" w:cs="SBL Hebrew"/>
          <w:rtl/>
        </w:rPr>
        <w:t xml:space="preserve"> </w:t>
      </w:r>
      <w:proofErr w:type="spellStart"/>
      <w:r w:rsidRPr="00C42601">
        <w:rPr>
          <w:rFonts w:ascii="SBL Hebrew" w:hAnsi="SBL Hebrew" w:cs="SBL Hebrew"/>
          <w:rtl/>
        </w:rPr>
        <w:t>וּבְעַד</w:t>
      </w:r>
      <w:proofErr w:type="spellEnd"/>
      <w:r w:rsidRPr="00C42601">
        <w:rPr>
          <w:rFonts w:ascii="SBL Hebrew" w:hAnsi="SBL Hebrew" w:cs="SBL Hebrew"/>
          <w:rtl/>
        </w:rPr>
        <w:t xml:space="preserve"> עָרֵי </w:t>
      </w:r>
      <w:proofErr w:type="spellStart"/>
      <w:r w:rsidRPr="00C42601">
        <w:rPr>
          <w:rFonts w:ascii="SBL Hebrew" w:hAnsi="SBL Hebrew" w:cs="SBL Hebrew"/>
          <w:rtl/>
        </w:rPr>
        <w:t>אֱלֹהֵ</w:t>
      </w:r>
      <w:r w:rsidRPr="00EA781A">
        <w:rPr>
          <w:rFonts w:ascii="SBL Hebrew" w:hAnsi="SBL Hebrew" w:cs="SBL Hebrew"/>
          <w:rtl/>
        </w:rPr>
        <w:t>ינוּ</w:t>
      </w:r>
      <w:proofErr w:type="spellEnd"/>
      <w:r w:rsidRPr="003659CC">
        <w:rPr>
          <w:rFonts w:asciiTheme="majorBidi" w:hAnsiTheme="majorBidi" w:cstheme="majorBidi"/>
        </w:rPr>
        <w:t xml:space="preserve">; 1Chr 19,13: </w:t>
      </w:r>
      <w:r w:rsidRPr="00C42601">
        <w:rPr>
          <w:rFonts w:ascii="SBL Hebrew" w:hAnsi="SBL Hebrew" w:cs="SBL Hebrew"/>
          <w:rtl/>
        </w:rPr>
        <w:t xml:space="preserve">חֲזַק </w:t>
      </w:r>
      <w:proofErr w:type="spellStart"/>
      <w:r w:rsidRPr="00C42601">
        <w:rPr>
          <w:rFonts w:ascii="SBL Hebrew" w:hAnsi="SBL Hebrew" w:cs="SBL Hebrew"/>
          <w:rtl/>
        </w:rPr>
        <w:t>וְנִֽתְחַזְּקָה</w:t>
      </w:r>
      <w:proofErr w:type="spellEnd"/>
      <w:r w:rsidRPr="00BD4323">
        <w:rPr>
          <w:rFonts w:ascii="SBL Hebrew" w:hAnsi="SBL Hebrew" w:cs="SBL Hebrew"/>
          <w:rtl/>
        </w:rPr>
        <w:t xml:space="preserve"> </w:t>
      </w:r>
      <w:proofErr w:type="spellStart"/>
      <w:r w:rsidRPr="00BD4323">
        <w:rPr>
          <w:rFonts w:ascii="SBL Hebrew" w:hAnsi="SBL Hebrew" w:cs="SBL Hebrew"/>
          <w:rtl/>
        </w:rPr>
        <w:t>בְּעַ</w:t>
      </w:r>
      <w:r w:rsidRPr="00C42601">
        <w:rPr>
          <w:rFonts w:ascii="SBL Hebrew" w:hAnsi="SBL Hebrew" w:cs="SBL Hebrew"/>
          <w:rtl/>
        </w:rPr>
        <w:t>ד־עַמֵּנוּ</w:t>
      </w:r>
      <w:proofErr w:type="spellEnd"/>
      <w:r w:rsidRPr="00C42601">
        <w:rPr>
          <w:rFonts w:ascii="SBL Hebrew" w:hAnsi="SBL Hebrew" w:cs="SBL Hebrew"/>
          <w:rtl/>
        </w:rPr>
        <w:t xml:space="preserve"> </w:t>
      </w:r>
      <w:proofErr w:type="spellStart"/>
      <w:r w:rsidRPr="00C42601">
        <w:rPr>
          <w:rFonts w:ascii="SBL Hebrew" w:hAnsi="SBL Hebrew" w:cs="SBL Hebrew"/>
          <w:rtl/>
        </w:rPr>
        <w:t>וּבְעַד</w:t>
      </w:r>
      <w:proofErr w:type="spellEnd"/>
      <w:r w:rsidRPr="00C42601">
        <w:rPr>
          <w:rFonts w:ascii="SBL Hebrew" w:hAnsi="SBL Hebrew" w:cs="SBL Hebrew"/>
          <w:rtl/>
        </w:rPr>
        <w:t xml:space="preserve"> עָרֵי </w:t>
      </w:r>
      <w:proofErr w:type="spellStart"/>
      <w:r w:rsidRPr="00C42601">
        <w:rPr>
          <w:rFonts w:ascii="SBL Hebrew" w:hAnsi="SBL Hebrew" w:cs="SBL Hebrew"/>
          <w:rtl/>
        </w:rPr>
        <w:t>אֱלֹהֵ</w:t>
      </w:r>
      <w:r w:rsidRPr="00BD4323">
        <w:rPr>
          <w:rFonts w:ascii="SBL Hebrew" w:hAnsi="SBL Hebrew" w:cs="SBL Hebrew"/>
          <w:rtl/>
        </w:rPr>
        <w:t>ינו</w:t>
      </w:r>
      <w:proofErr w:type="spellEnd"/>
      <w:r w:rsidRPr="003659CC">
        <w:rPr>
          <w:rFonts w:asciiTheme="majorBidi" w:hAnsiTheme="majorBidi" w:cstheme="majorBidi"/>
        </w:rPr>
        <w:t>), and in DSS</w:t>
      </w:r>
      <w:r>
        <w:rPr>
          <w:rFonts w:asciiTheme="majorBidi" w:hAnsiTheme="majorBidi" w:cstheme="majorBidi"/>
        </w:rPr>
        <w:t xml:space="preserve"> (4Q266 10i 7: </w:t>
      </w:r>
      <w:r w:rsidRPr="00847842">
        <w:rPr>
          <w:rFonts w:ascii="SBL Hebrew" w:hAnsi="SBL Hebrew" w:cs="SBL Hebrew" w:hint="cs"/>
          <w:rtl/>
        </w:rPr>
        <w:t xml:space="preserve">[י]חֹזקו </w:t>
      </w:r>
      <w:proofErr w:type="gramStart"/>
      <w:r w:rsidRPr="00847842">
        <w:rPr>
          <w:rFonts w:ascii="SBL Hebrew" w:hAnsi="SBL Hebrew" w:cs="SBL Hebrew" w:hint="cs"/>
          <w:rtl/>
        </w:rPr>
        <w:t>בעד[</w:t>
      </w:r>
      <w:proofErr w:type="gramEnd"/>
      <w:r w:rsidRPr="00847842">
        <w:rPr>
          <w:rFonts w:ascii="SBL Hebrew" w:hAnsi="SBL Hebrew" w:cs="SBL Hebrew" w:hint="cs"/>
          <w:rtl/>
        </w:rPr>
        <w:t xml:space="preserve"> </w:t>
      </w:r>
      <w:proofErr w:type="spellStart"/>
      <w:r w:rsidRPr="00847842">
        <w:rPr>
          <w:rFonts w:ascii="SBL Hebrew" w:hAnsi="SBL Hebrew" w:cs="SBL Hebrew" w:hint="cs"/>
          <w:rtl/>
        </w:rPr>
        <w:t>הע</w:t>
      </w:r>
      <w:proofErr w:type="spellEnd"/>
      <w:r w:rsidRPr="00847842">
        <w:rPr>
          <w:rFonts w:ascii="SBL Hebrew" w:hAnsi="SBL Hebrew" w:cs="SBL Hebrew" w:hint="cs"/>
          <w:rtl/>
        </w:rPr>
        <w:t>]ני והאביו</w:t>
      </w:r>
      <w:r>
        <w:rPr>
          <w:rFonts w:asciiTheme="majorBidi" w:hAnsiTheme="majorBidi" w:cstheme="majorBidi" w:hint="cs"/>
          <w:rtl/>
        </w:rPr>
        <w:t>ן</w:t>
      </w:r>
      <w:r>
        <w:rPr>
          <w:rFonts w:asciiTheme="majorBidi" w:hAnsiTheme="majorBidi" w:cstheme="majorBidi"/>
        </w:rPr>
        <w:t xml:space="preserve">; 4Q269 4ii 3: </w:t>
      </w:r>
      <w:r w:rsidRPr="00847842">
        <w:rPr>
          <w:rFonts w:ascii="SBL Hebrew" w:hAnsi="SBL Hebrew" w:cs="SBL Hebrew" w:hint="cs"/>
          <w:rtl/>
        </w:rPr>
        <w:t>ולהחזיק בעד עני ואביון</w:t>
      </w:r>
      <w:r w:rsidRPr="003659CC">
        <w:rPr>
          <w:rFonts w:asciiTheme="majorBidi" w:hAnsiTheme="majorBidi" w:cstheme="majorBidi"/>
        </w:rPr>
        <w:t>)</w:t>
      </w:r>
      <w:r>
        <w:rPr>
          <w:rFonts w:asciiTheme="majorBidi" w:hAnsiTheme="majorBidi" w:cstheme="majorBidi"/>
        </w:rPr>
        <w:t>.</w:t>
      </w:r>
      <w:r>
        <w:rPr>
          <w:rStyle w:val="a5"/>
          <w:rFonts w:asciiTheme="majorBidi" w:hAnsiTheme="majorBidi" w:cstheme="majorBidi"/>
        </w:rPr>
        <w:footnoteReference w:id="9"/>
      </w:r>
    </w:p>
    <w:p w14:paraId="2EB489A9"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ab/>
      </w:r>
    </w:p>
    <w:p w14:paraId="5F11D3A9" w14:textId="79DD836C" w:rsidR="00783833" w:rsidRDefault="00783833" w:rsidP="00783833">
      <w:pPr>
        <w:tabs>
          <w:tab w:val="left" w:pos="1134"/>
          <w:tab w:val="left" w:pos="4253"/>
        </w:tabs>
        <w:bidi w:val="0"/>
        <w:spacing w:line="360" w:lineRule="auto"/>
        <w:jc w:val="both"/>
        <w:rPr>
          <w:rFonts w:asciiTheme="majorBidi" w:hAnsiTheme="majorBidi" w:cstheme="majorBidi"/>
        </w:rPr>
      </w:pPr>
      <w:r w:rsidRPr="003659CC">
        <w:rPr>
          <w:rFonts w:asciiTheme="majorBidi" w:hAnsiTheme="majorBidi" w:cstheme="majorBidi"/>
        </w:rPr>
        <w:t xml:space="preserve">If this reading is </w:t>
      </w:r>
      <w:r w:rsidR="00F92619">
        <w:rPr>
          <w:rFonts w:asciiTheme="majorBidi" w:hAnsiTheme="majorBidi" w:cstheme="majorBidi"/>
        </w:rPr>
        <w:t>correct</w:t>
      </w:r>
      <w:r w:rsidRPr="003659CC">
        <w:rPr>
          <w:rFonts w:asciiTheme="majorBidi" w:hAnsiTheme="majorBidi" w:cstheme="majorBidi"/>
        </w:rPr>
        <w:t>, the phra</w:t>
      </w:r>
      <w:r>
        <w:rPr>
          <w:rFonts w:asciiTheme="majorBidi" w:hAnsiTheme="majorBidi" w:cstheme="majorBidi"/>
        </w:rPr>
        <w:t>se probably refers to the female. The text should be interpreted as a double metaphor: the addressee has bronze bars,</w:t>
      </w:r>
      <w:r w:rsidRPr="003659CC">
        <w:rPr>
          <w:rFonts w:asciiTheme="majorBidi" w:hAnsiTheme="majorBidi" w:cstheme="majorBidi"/>
        </w:rPr>
        <w:t xml:space="preserve"> and </w:t>
      </w:r>
      <w:r>
        <w:rPr>
          <w:rFonts w:asciiTheme="majorBidi" w:hAnsiTheme="majorBidi" w:cstheme="majorBidi"/>
        </w:rPr>
        <w:t>he strengthen</w:t>
      </w:r>
      <w:r w:rsidR="001507A2">
        <w:rPr>
          <w:rFonts w:asciiTheme="majorBidi" w:hAnsiTheme="majorBidi" w:cstheme="majorBidi"/>
        </w:rPr>
        <w:t>s</w:t>
      </w:r>
      <w:r>
        <w:rPr>
          <w:rFonts w:asciiTheme="majorBidi" w:hAnsiTheme="majorBidi" w:cstheme="majorBidi"/>
        </w:rPr>
        <w:t xml:space="preserve"> the woman with them. The significance of the metaphor i</w:t>
      </w:r>
      <w:r w:rsidR="001507A2">
        <w:rPr>
          <w:rFonts w:asciiTheme="majorBidi" w:hAnsiTheme="majorBidi" w:cstheme="majorBidi"/>
        </w:rPr>
        <w:t>s</w:t>
      </w:r>
      <w:r>
        <w:rPr>
          <w:rFonts w:asciiTheme="majorBidi" w:hAnsiTheme="majorBidi" w:cstheme="majorBidi"/>
        </w:rPr>
        <w:t xml:space="preserve"> obscure, and </w:t>
      </w:r>
      <w:r w:rsidR="001507A2">
        <w:rPr>
          <w:rFonts w:asciiTheme="majorBidi" w:hAnsiTheme="majorBidi" w:cstheme="majorBidi"/>
        </w:rPr>
        <w:t xml:space="preserve">it </w:t>
      </w:r>
      <w:r>
        <w:rPr>
          <w:rFonts w:asciiTheme="majorBidi" w:hAnsiTheme="majorBidi" w:cstheme="majorBidi"/>
        </w:rPr>
        <w:t>may</w:t>
      </w:r>
      <w:r w:rsidRPr="003659CC">
        <w:rPr>
          <w:rFonts w:asciiTheme="majorBidi" w:hAnsiTheme="majorBidi" w:cstheme="majorBidi"/>
        </w:rPr>
        <w:t xml:space="preserve"> be interpreted </w:t>
      </w:r>
      <w:r>
        <w:rPr>
          <w:rFonts w:asciiTheme="majorBidi" w:hAnsiTheme="majorBidi" w:cstheme="majorBidi"/>
        </w:rPr>
        <w:t>in two manners</w:t>
      </w:r>
      <w:r w:rsidRPr="003659CC">
        <w:rPr>
          <w:rFonts w:asciiTheme="majorBidi" w:hAnsiTheme="majorBidi" w:cstheme="majorBidi"/>
        </w:rPr>
        <w:t xml:space="preserve">: </w:t>
      </w:r>
      <w:r w:rsidR="001507A2">
        <w:rPr>
          <w:rFonts w:asciiTheme="majorBidi" w:hAnsiTheme="majorBidi" w:cstheme="majorBidi"/>
        </w:rPr>
        <w:t>positively</w:t>
      </w:r>
      <w:r w:rsidRPr="003659CC">
        <w:rPr>
          <w:rFonts w:asciiTheme="majorBidi" w:hAnsiTheme="majorBidi" w:cstheme="majorBidi"/>
        </w:rPr>
        <w:t xml:space="preserve">, as </w:t>
      </w:r>
      <w:r w:rsidR="001507A2">
        <w:rPr>
          <w:rFonts w:asciiTheme="majorBidi" w:hAnsiTheme="majorBidi" w:cstheme="majorBidi"/>
        </w:rPr>
        <w:t xml:space="preserve">in </w:t>
      </w:r>
      <w:r>
        <w:rPr>
          <w:rFonts w:asciiTheme="majorBidi" w:hAnsiTheme="majorBidi" w:cstheme="majorBidi"/>
        </w:rPr>
        <w:t xml:space="preserve">the conjunction of </w:t>
      </w:r>
      <w:proofErr w:type="spellStart"/>
      <w:r w:rsidRPr="00D712CB">
        <w:rPr>
          <w:rFonts w:ascii="SBL Hebrew" w:hAnsi="SBL Hebrew" w:cs="SBL Hebrew" w:hint="cs"/>
          <w:rtl/>
        </w:rPr>
        <w:t>חז"ק</w:t>
      </w:r>
      <w:proofErr w:type="spellEnd"/>
      <w:r>
        <w:rPr>
          <w:rFonts w:asciiTheme="majorBidi" w:hAnsiTheme="majorBidi" w:cstheme="majorBidi"/>
        </w:rPr>
        <w:t xml:space="preserve"> and </w:t>
      </w:r>
      <w:r w:rsidRPr="00D712CB">
        <w:rPr>
          <w:rFonts w:ascii="SBL Hebrew" w:hAnsi="SBL Hebrew" w:cs="SBL Hebrew" w:hint="cs"/>
          <w:rtl/>
        </w:rPr>
        <w:t>בעד</w:t>
      </w:r>
      <w:r>
        <w:rPr>
          <w:rFonts w:asciiTheme="majorBidi" w:hAnsiTheme="majorBidi" w:cstheme="majorBidi"/>
        </w:rPr>
        <w:t xml:space="preserve"> in</w:t>
      </w:r>
      <w:r w:rsidRPr="003659CC">
        <w:rPr>
          <w:rFonts w:asciiTheme="majorBidi" w:hAnsiTheme="majorBidi" w:cstheme="majorBidi"/>
        </w:rPr>
        <w:t xml:space="preserve"> the bible and 4Q266</w:t>
      </w:r>
      <w:r>
        <w:rPr>
          <w:rFonts w:asciiTheme="majorBidi" w:hAnsiTheme="majorBidi" w:cstheme="majorBidi"/>
        </w:rPr>
        <w:t xml:space="preserve">, meaning that the male will intensify or encourage the female; or </w:t>
      </w:r>
      <w:r w:rsidR="001507A2">
        <w:rPr>
          <w:rFonts w:asciiTheme="majorBidi" w:hAnsiTheme="majorBidi" w:cstheme="majorBidi"/>
        </w:rPr>
        <w:t>negatively</w:t>
      </w:r>
      <w:r>
        <w:rPr>
          <w:rFonts w:asciiTheme="majorBidi" w:hAnsiTheme="majorBidi" w:cstheme="majorBidi"/>
        </w:rPr>
        <w:t>, expressing the dominion of the male over the female (c</w:t>
      </w:r>
      <w:r w:rsidR="009A7005">
        <w:rPr>
          <w:rFonts w:asciiTheme="majorBidi" w:hAnsiTheme="majorBidi" w:cstheme="majorBidi"/>
        </w:rPr>
        <w:t>f</w:t>
      </w:r>
      <w:r>
        <w:rPr>
          <w:rFonts w:asciiTheme="majorBidi" w:hAnsiTheme="majorBidi" w:cstheme="majorBidi"/>
        </w:rPr>
        <w:t xml:space="preserve">. 4Q415 9 7: </w:t>
      </w:r>
      <w:r w:rsidRPr="00326E09">
        <w:rPr>
          <w:rFonts w:ascii="SBL Hebrew" w:hAnsi="SBL Hebrew" w:cs="SBL Hebrew" w:hint="cs"/>
          <w:rtl/>
        </w:rPr>
        <w:t>יחד ממשל זכר את נ[קבה]</w:t>
      </w:r>
      <w:r>
        <w:rPr>
          <w:rFonts w:asciiTheme="majorBidi" w:hAnsiTheme="majorBidi" w:cstheme="majorBidi"/>
        </w:rPr>
        <w:t xml:space="preserve">; 4Q415 9 8: </w:t>
      </w:r>
      <w:r w:rsidRPr="00326E09">
        <w:rPr>
          <w:rFonts w:ascii="SBL Hebrew" w:hAnsi="SBL Hebrew" w:cs="SBL Hebrew" w:hint="cs"/>
          <w:rtl/>
        </w:rPr>
        <w:t>רוחה המשל בה</w:t>
      </w:r>
      <w:r>
        <w:rPr>
          <w:rFonts w:asciiTheme="majorBidi" w:hAnsiTheme="majorBidi" w:cstheme="majorBidi"/>
        </w:rPr>
        <w:t>).</w:t>
      </w:r>
      <w:r>
        <w:rPr>
          <w:rStyle w:val="a5"/>
          <w:rFonts w:asciiTheme="majorBidi" w:hAnsiTheme="majorBidi" w:cstheme="majorBidi"/>
        </w:rPr>
        <w:footnoteReference w:id="10"/>
      </w:r>
      <w:r>
        <w:rPr>
          <w:rFonts w:asciiTheme="majorBidi" w:hAnsiTheme="majorBidi" w:cstheme="majorBidi"/>
        </w:rPr>
        <w:t xml:space="preserve"> </w:t>
      </w:r>
    </w:p>
    <w:p w14:paraId="49F1EE3C"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614D4697" w14:textId="16792BD1" w:rsidR="00783833" w:rsidRDefault="00783833" w:rsidP="00783833">
      <w:pPr>
        <w:bidi w:val="0"/>
        <w:spacing w:line="360" w:lineRule="auto"/>
        <w:jc w:val="both"/>
        <w:rPr>
          <w:rFonts w:ascii="Times New Roman" w:hAnsi="Times New Roman" w:cs="Times New Roman"/>
        </w:rPr>
      </w:pPr>
      <w:r w:rsidRPr="006200EA">
        <w:rPr>
          <w:rFonts w:ascii="Times New Roman" w:hAnsi="Times New Roman" w:cs="Times New Roman"/>
          <w:noProof/>
        </w:rPr>
        <w:lastRenderedPageBreak/>
        <w:drawing>
          <wp:anchor distT="0" distB="0" distL="114300" distR="114300" simplePos="0" relativeHeight="251673600" behindDoc="0" locked="0" layoutInCell="1" allowOverlap="1" wp14:anchorId="15BC1E2F" wp14:editId="6CDEA4EC">
            <wp:simplePos x="0" y="0"/>
            <wp:positionH relativeFrom="column">
              <wp:posOffset>3368040</wp:posOffset>
            </wp:positionH>
            <wp:positionV relativeFrom="paragraph">
              <wp:posOffset>233680</wp:posOffset>
            </wp:positionV>
            <wp:extent cx="2921000" cy="3911600"/>
            <wp:effectExtent l="0" t="0" r="0" b="0"/>
            <wp:wrapTight wrapText="bothSides">
              <wp:wrapPolygon edited="0">
                <wp:start x="9579" y="0"/>
                <wp:lineTo x="5635" y="2244"/>
                <wp:lineTo x="2630" y="3086"/>
                <wp:lineTo x="3757" y="4488"/>
                <wp:lineTo x="3381" y="4909"/>
                <wp:lineTo x="3944" y="6732"/>
                <wp:lineTo x="751" y="8696"/>
                <wp:lineTo x="0" y="9538"/>
                <wp:lineTo x="0" y="12483"/>
                <wp:lineTo x="1878" y="13465"/>
                <wp:lineTo x="4132" y="13465"/>
                <wp:lineTo x="3381" y="15148"/>
                <wp:lineTo x="3193" y="15709"/>
                <wp:lineTo x="3944" y="15709"/>
                <wp:lineTo x="3757" y="17112"/>
                <wp:lineTo x="4696" y="17953"/>
                <wp:lineTo x="6198" y="17953"/>
                <wp:lineTo x="5071" y="18514"/>
                <wp:lineTo x="4508" y="19216"/>
                <wp:lineTo x="4696" y="20338"/>
                <wp:lineTo x="10894" y="21039"/>
                <wp:lineTo x="14087" y="21039"/>
                <wp:lineTo x="14275" y="20758"/>
                <wp:lineTo x="15965" y="20197"/>
                <wp:lineTo x="16904" y="20057"/>
                <wp:lineTo x="16529" y="18094"/>
                <wp:lineTo x="17468" y="16130"/>
                <wp:lineTo x="17656" y="14026"/>
                <wp:lineTo x="16153" y="13465"/>
                <wp:lineTo x="16904" y="11922"/>
                <wp:lineTo x="16904" y="10940"/>
                <wp:lineTo x="15214" y="9678"/>
                <wp:lineTo x="13523" y="8977"/>
                <wp:lineTo x="21412" y="8977"/>
                <wp:lineTo x="21412" y="0"/>
                <wp:lineTo x="9579" y="0"/>
              </wp:wrapPolygon>
            </wp:wrapTight>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21000" cy="3911600"/>
                    </a:xfrm>
                    <a:prstGeom prst="rect">
                      <a:avLst/>
                    </a:prstGeom>
                  </pic:spPr>
                </pic:pic>
              </a:graphicData>
            </a:graphic>
            <wp14:sizeRelH relativeFrom="page">
              <wp14:pctWidth>0</wp14:pctWidth>
            </wp14:sizeRelH>
            <wp14:sizeRelV relativeFrom="page">
              <wp14:pctHeight>0</wp14:pctHeight>
            </wp14:sizeRelV>
          </wp:anchor>
        </w:drawing>
      </w:r>
      <w:r w:rsidRPr="003659CC">
        <w:rPr>
          <w:rFonts w:asciiTheme="majorBidi" w:hAnsiTheme="majorBidi" w:cstheme="majorBidi"/>
        </w:rPr>
        <w:t xml:space="preserve">I </w:t>
      </w:r>
      <w:r>
        <w:rPr>
          <w:rFonts w:ascii="Times New Roman" w:hAnsi="Times New Roman" w:cs="Times New Roman"/>
        </w:rPr>
        <w:t xml:space="preserve">suggest </w:t>
      </w:r>
      <w:r w:rsidR="00686AB6">
        <w:rPr>
          <w:rFonts w:ascii="Times New Roman" w:hAnsi="Times New Roman" w:cs="Times New Roman"/>
        </w:rPr>
        <w:t>aligning</w:t>
      </w:r>
      <w:r>
        <w:rPr>
          <w:rFonts w:ascii="Times New Roman" w:hAnsi="Times New Roman" w:cs="Times New Roman"/>
        </w:rPr>
        <w:t xml:space="preserve"> fragment 7 </w:t>
      </w:r>
      <w:r w:rsidR="00686AB6">
        <w:rPr>
          <w:rFonts w:ascii="Times New Roman" w:hAnsi="Times New Roman" w:cs="Times New Roman"/>
        </w:rPr>
        <w:t>above</w:t>
      </w:r>
      <w:r>
        <w:rPr>
          <w:rFonts w:ascii="Times New Roman" w:hAnsi="Times New Roman" w:cs="Times New Roman"/>
        </w:rPr>
        <w:t xml:space="preserve"> fragment 9. In this manner, the first line of fragment 9 follow</w:t>
      </w:r>
      <w:r w:rsidR="00686AB6">
        <w:rPr>
          <w:rFonts w:ascii="Times New Roman" w:hAnsi="Times New Roman" w:cs="Times New Roman"/>
        </w:rPr>
        <w:t>s</w:t>
      </w:r>
      <w:r>
        <w:rPr>
          <w:rFonts w:ascii="Times New Roman" w:hAnsi="Times New Roman" w:cs="Times New Roman"/>
        </w:rPr>
        <w:t xml:space="preserve"> the text of fragment 7. </w:t>
      </w:r>
    </w:p>
    <w:p w14:paraId="6C9A040A" w14:textId="4192B3FD" w:rsidR="00783833" w:rsidRPr="007C0F32" w:rsidRDefault="00783833" w:rsidP="00783833">
      <w:pPr>
        <w:bidi w:val="0"/>
        <w:spacing w:line="360" w:lineRule="auto"/>
        <w:rPr>
          <w:rFonts w:ascii="Times New Roman" w:hAnsi="Times New Roman" w:cs="Times New Roman"/>
          <w:sz w:val="20"/>
          <w:szCs w:val="20"/>
        </w:rPr>
      </w:pPr>
      <w:r w:rsidRPr="00F36DCB">
        <w:rPr>
          <w:rFonts w:ascii="Times New Roman" w:hAnsi="Times New Roman" w:cs="Times New Roman"/>
        </w:rPr>
        <w:t>The</w:t>
      </w:r>
      <w:r>
        <w:rPr>
          <w:rFonts w:ascii="Times New Roman" w:hAnsi="Times New Roman" w:cs="Times New Roman"/>
        </w:rPr>
        <w:t xml:space="preserve"> motivation for joining the fragments </w:t>
      </w:r>
      <w:r w:rsidRPr="00F36DCB">
        <w:rPr>
          <w:rFonts w:ascii="Times New Roman" w:hAnsi="Times New Roman" w:cs="Times New Roman"/>
        </w:rPr>
        <w:t xml:space="preserve">is </w:t>
      </w:r>
      <w:r>
        <w:rPr>
          <w:rFonts w:ascii="Times New Roman" w:hAnsi="Times New Roman" w:cs="Times New Roman"/>
        </w:rPr>
        <w:t>essentially</w:t>
      </w:r>
      <w:r w:rsidRPr="00F36DCB">
        <w:rPr>
          <w:rFonts w:ascii="Times New Roman" w:hAnsi="Times New Roman" w:cs="Times New Roman"/>
        </w:rPr>
        <w:t xml:space="preserve"> </w:t>
      </w:r>
      <w:r>
        <w:rPr>
          <w:rFonts w:ascii="Times New Roman" w:hAnsi="Times New Roman" w:cs="Times New Roman"/>
        </w:rPr>
        <w:t xml:space="preserve">material, and </w:t>
      </w:r>
      <w:r w:rsidR="00686AB6">
        <w:rPr>
          <w:rFonts w:ascii="Times New Roman" w:hAnsi="Times New Roman" w:cs="Times New Roman"/>
        </w:rPr>
        <w:t>is based on</w:t>
      </w:r>
      <w:r>
        <w:rPr>
          <w:rFonts w:ascii="Times New Roman" w:hAnsi="Times New Roman" w:cs="Times New Roman"/>
        </w:rPr>
        <w:t xml:space="preserve"> several considerations:</w:t>
      </w:r>
    </w:p>
    <w:p w14:paraId="6B99F721" w14:textId="5A66B600" w:rsidR="00783833" w:rsidRDefault="00783833" w:rsidP="00783833">
      <w:pPr>
        <w:pStyle w:val="a6"/>
        <w:numPr>
          <w:ilvl w:val="0"/>
          <w:numId w:val="1"/>
        </w:numPr>
        <w:bidi w:val="0"/>
        <w:spacing w:line="360" w:lineRule="auto"/>
        <w:jc w:val="both"/>
        <w:rPr>
          <w:rFonts w:ascii="Times New Roman" w:hAnsi="Times New Roman" w:cs="Times New Roman"/>
        </w:rPr>
      </w:pPr>
      <w:r w:rsidRPr="00E9481E">
        <w:rPr>
          <w:rFonts w:ascii="Times New Roman" w:hAnsi="Times New Roman" w:cs="Times New Roman"/>
        </w:rPr>
        <w:t xml:space="preserve"> 4Q415 7 and</w:t>
      </w:r>
      <w:r>
        <w:rPr>
          <w:rFonts w:ascii="Times New Roman" w:hAnsi="Times New Roman" w:cs="Times New Roman"/>
        </w:rPr>
        <w:t xml:space="preserve"> 4Q415 9 preserve </w:t>
      </w:r>
      <w:r w:rsidR="00686AB6">
        <w:rPr>
          <w:rFonts w:ascii="Times New Roman" w:hAnsi="Times New Roman" w:cs="Times New Roman"/>
        </w:rPr>
        <w:t xml:space="preserve">the </w:t>
      </w:r>
      <w:r>
        <w:rPr>
          <w:rFonts w:ascii="Times New Roman" w:hAnsi="Times New Roman" w:cs="Times New Roman"/>
        </w:rPr>
        <w:t xml:space="preserve">right margin. </w:t>
      </w:r>
      <w:r w:rsidRPr="00DA1382">
        <w:rPr>
          <w:rFonts w:ascii="Times New Roman" w:hAnsi="Times New Roman" w:cs="Times New Roman"/>
        </w:rPr>
        <w:t xml:space="preserve">The </w:t>
      </w:r>
      <w:r>
        <w:rPr>
          <w:rFonts w:ascii="Times New Roman" w:hAnsi="Times New Roman" w:cs="Times New Roman"/>
        </w:rPr>
        <w:t>beginning</w:t>
      </w:r>
      <w:r w:rsidRPr="00DA1382">
        <w:rPr>
          <w:rFonts w:ascii="Times New Roman" w:hAnsi="Times New Roman" w:cs="Times New Roman"/>
        </w:rPr>
        <w:t xml:space="preserve"> of </w:t>
      </w:r>
      <w:r>
        <w:rPr>
          <w:rFonts w:ascii="Times New Roman" w:hAnsi="Times New Roman" w:cs="Times New Roman"/>
        </w:rPr>
        <w:t>the column in 4Q415 7 and 4Q415 9</w:t>
      </w:r>
      <w:r w:rsidRPr="00DA1382">
        <w:rPr>
          <w:rFonts w:ascii="Times New Roman" w:hAnsi="Times New Roman" w:cs="Times New Roman"/>
        </w:rPr>
        <w:t xml:space="preserve"> </w:t>
      </w:r>
      <w:r>
        <w:rPr>
          <w:rFonts w:ascii="Times New Roman" w:hAnsi="Times New Roman" w:cs="Times New Roman"/>
        </w:rPr>
        <w:t>correspond</w:t>
      </w:r>
      <w:r w:rsidRPr="00DA1382">
        <w:rPr>
          <w:rFonts w:ascii="Times New Roman" w:hAnsi="Times New Roman" w:cs="Times New Roman"/>
        </w:rPr>
        <w:t xml:space="preserve"> both on the </w:t>
      </w:r>
      <w:r>
        <w:rPr>
          <w:rFonts w:ascii="Times New Roman" w:hAnsi="Times New Roman" w:cs="Times New Roman"/>
        </w:rPr>
        <w:t>recto (4Q415) and on the verso (4Q414)</w:t>
      </w:r>
      <w:r w:rsidRPr="00DA1382">
        <w:rPr>
          <w:rFonts w:ascii="Times New Roman" w:hAnsi="Times New Roman" w:cs="Times New Roman"/>
        </w:rPr>
        <w:t>.</w:t>
      </w:r>
    </w:p>
    <w:p w14:paraId="0CAAA4CD" w14:textId="7AF228E6" w:rsidR="00783833" w:rsidRDefault="00783833" w:rsidP="00783833">
      <w:pPr>
        <w:pStyle w:val="a6"/>
        <w:numPr>
          <w:ilvl w:val="0"/>
          <w:numId w:val="1"/>
        </w:numPr>
        <w:bidi w:val="0"/>
        <w:spacing w:line="360" w:lineRule="auto"/>
        <w:jc w:val="both"/>
        <w:rPr>
          <w:rFonts w:ascii="Times New Roman" w:hAnsi="Times New Roman" w:cs="Times New Roman"/>
        </w:rPr>
      </w:pPr>
      <w:r>
        <w:rPr>
          <w:rFonts w:ascii="Times New Roman" w:hAnsi="Times New Roman" w:cs="Times New Roman"/>
        </w:rPr>
        <w:t>When aligning the fragments</w:t>
      </w:r>
      <w:r w:rsidRPr="00E9481E">
        <w:rPr>
          <w:rFonts w:ascii="Times New Roman" w:hAnsi="Times New Roman" w:cs="Times New Roman"/>
        </w:rPr>
        <w:t xml:space="preserve"> as proposed</w:t>
      </w:r>
      <w:r w:rsidR="00686AB6">
        <w:rPr>
          <w:rFonts w:ascii="Times New Roman" w:hAnsi="Times New Roman" w:cs="Times New Roman"/>
        </w:rPr>
        <w:t>,</w:t>
      </w:r>
      <w:r w:rsidRPr="00E9481E">
        <w:rPr>
          <w:rFonts w:ascii="Times New Roman" w:hAnsi="Times New Roman" w:cs="Times New Roman"/>
        </w:rPr>
        <w:t xml:space="preserve"> their borders fit together </w:t>
      </w:r>
      <w:r w:rsidR="00686AB6">
        <w:rPr>
          <w:rFonts w:ascii="Times New Roman" w:hAnsi="Times New Roman" w:cs="Times New Roman"/>
        </w:rPr>
        <w:t>like</w:t>
      </w:r>
      <w:r w:rsidR="00686AB6" w:rsidRPr="00E9481E">
        <w:rPr>
          <w:rFonts w:ascii="Times New Roman" w:hAnsi="Times New Roman" w:cs="Times New Roman"/>
        </w:rPr>
        <w:t xml:space="preserve"> </w:t>
      </w:r>
      <w:r w:rsidRPr="00E9481E">
        <w:rPr>
          <w:rFonts w:ascii="Times New Roman" w:hAnsi="Times New Roman" w:cs="Times New Roman"/>
        </w:rPr>
        <w:t xml:space="preserve">a jigsaw puzzle. </w:t>
      </w:r>
    </w:p>
    <w:p w14:paraId="09811109" w14:textId="2AF5B2AE" w:rsidR="00783833" w:rsidRDefault="00783833" w:rsidP="00783833">
      <w:pPr>
        <w:pStyle w:val="a6"/>
        <w:numPr>
          <w:ilvl w:val="0"/>
          <w:numId w:val="1"/>
        </w:numPr>
        <w:bidi w:val="0"/>
        <w:spacing w:line="360" w:lineRule="auto"/>
        <w:jc w:val="both"/>
        <w:rPr>
          <w:rFonts w:ascii="Times New Roman" w:hAnsi="Times New Roman" w:cs="Times New Roman"/>
        </w:rPr>
      </w:pPr>
      <w:r>
        <w:rPr>
          <w:rFonts w:ascii="Times New Roman" w:hAnsi="Times New Roman" w:cs="Times New Roman"/>
        </w:rPr>
        <w:t>T</w:t>
      </w:r>
      <w:r w:rsidRPr="00E9481E">
        <w:rPr>
          <w:rFonts w:ascii="Times New Roman" w:hAnsi="Times New Roman" w:cs="Times New Roman"/>
        </w:rPr>
        <w:t>he color images published by the IAA show similarity in the color of the leather of 4Q415 7 and the top of 4Q415 9 (B-363525; B-363521</w:t>
      </w:r>
      <w:r w:rsidR="00686AB6">
        <w:rPr>
          <w:rFonts w:ascii="Times New Roman" w:hAnsi="Times New Roman" w:cs="Times New Roman"/>
        </w:rPr>
        <w:t>:</w:t>
      </w:r>
      <w:r>
        <w:rPr>
          <w:rFonts w:ascii="Times New Roman" w:hAnsi="Times New Roman" w:cs="Times New Roman"/>
        </w:rPr>
        <w:t xml:space="preserve"> See </w:t>
      </w:r>
      <w:r w:rsidRPr="00965706">
        <w:rPr>
          <w:rFonts w:ascii="Times New Roman" w:hAnsi="Times New Roman" w:cs="Times New Roman"/>
          <w:highlight w:val="yellow"/>
        </w:rPr>
        <w:t xml:space="preserve">fig. </w:t>
      </w:r>
      <w:r>
        <w:rPr>
          <w:rFonts w:ascii="Times New Roman" w:hAnsi="Times New Roman" w:cs="Times New Roman"/>
        </w:rPr>
        <w:t>10</w:t>
      </w:r>
      <w:r w:rsidRPr="00E9481E">
        <w:rPr>
          <w:rFonts w:ascii="Times New Roman" w:hAnsi="Times New Roman" w:cs="Times New Roman"/>
        </w:rPr>
        <w:t>).</w:t>
      </w:r>
    </w:p>
    <w:p w14:paraId="37774177" w14:textId="0D825E4A" w:rsidR="00783833" w:rsidRPr="00E9481E" w:rsidRDefault="00783833" w:rsidP="00783833">
      <w:pPr>
        <w:pStyle w:val="a6"/>
        <w:numPr>
          <w:ilvl w:val="0"/>
          <w:numId w:val="1"/>
        </w:numPr>
        <w:bidi w:val="0"/>
        <w:spacing w:line="360" w:lineRule="auto"/>
        <w:jc w:val="both"/>
        <w:rPr>
          <w:rFonts w:ascii="Times New Roman" w:hAnsi="Times New Roman" w:cs="Times New Roman"/>
          <w:rtl/>
        </w:rPr>
      </w:pPr>
      <w:r>
        <w:rPr>
          <w:noProof/>
        </w:rPr>
        <mc:AlternateContent>
          <mc:Choice Requires="wps">
            <w:drawing>
              <wp:anchor distT="0" distB="0" distL="114300" distR="114300" simplePos="0" relativeHeight="251679744" behindDoc="0" locked="0" layoutInCell="1" allowOverlap="1" wp14:anchorId="3469E640" wp14:editId="5DB2EA1C">
                <wp:simplePos x="0" y="0"/>
                <wp:positionH relativeFrom="column">
                  <wp:posOffset>3367405</wp:posOffset>
                </wp:positionH>
                <wp:positionV relativeFrom="paragraph">
                  <wp:posOffset>356335</wp:posOffset>
                </wp:positionV>
                <wp:extent cx="2959735" cy="310515"/>
                <wp:effectExtent l="0" t="0" r="0" b="0"/>
                <wp:wrapSquare wrapText="bothSides"/>
                <wp:docPr id="55" name="תיבת טקסט 55"/>
                <wp:cNvGraphicFramePr/>
                <a:graphic xmlns:a="http://schemas.openxmlformats.org/drawingml/2006/main">
                  <a:graphicData uri="http://schemas.microsoft.com/office/word/2010/wordprocessingShape">
                    <wps:wsp>
                      <wps:cNvSpPr txBox="1"/>
                      <wps:spPr>
                        <a:xfrm>
                          <a:off x="0" y="0"/>
                          <a:ext cx="2959735" cy="310515"/>
                        </a:xfrm>
                        <a:prstGeom prst="rect">
                          <a:avLst/>
                        </a:prstGeom>
                        <a:noFill/>
                        <a:ln>
                          <a:noFill/>
                        </a:ln>
                        <a:effectLst/>
                      </wps:spPr>
                      <wps:txbx>
                        <w:txbxContent>
                          <w:p w14:paraId="7E4E2FCF" w14:textId="737B709B" w:rsidR="00895E53" w:rsidRPr="00376BAD" w:rsidRDefault="00895E5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10: New Join of 4Q415 9, 4Q41510 and 4Q415 7</w:t>
                            </w:r>
                            <w:r>
                              <w:rPr>
                                <w:rFonts w:ascii="Times New Roman" w:hAnsi="Times New Roman" w:cs="Times New Roman"/>
                                <w:sz w:val="20"/>
                                <w:szCs w:val="20"/>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3469E640" id="_x0000_t202" coordsize="21600,21600" o:spt="202" path="m0,0l0,21600,21600,21600,21600,0xe">
                <v:stroke joinstyle="miter"/>
                <v:path gradientshapeok="t" o:connecttype="rect"/>
              </v:shapetype>
              <v:shape id="תיבת טקסט 55" o:spid="_x0000_s1026" type="#_x0000_t202" style="position:absolute;left:0;text-align:left;margin-left:265.15pt;margin-top:28.05pt;width:233.05pt;height:24.4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" filled="f" stroked="f">
                <v:textbox style="mso-fit-shape-to-text:t">
                  <w:txbxContent>
                    <w:p w14:paraId="7E4E2FCF" w14:textId="737B709B" w:rsidR="00895E53" w:rsidRPr="00376BAD" w:rsidRDefault="00895E5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10: New Join of 4Q415 9, 4Q41510 and 4Q415 7</w:t>
                      </w:r>
                      <w:r>
                        <w:rPr>
                          <w:rFonts w:ascii="Times New Roman" w:hAnsi="Times New Roman" w:cs="Times New Roman"/>
                          <w:sz w:val="20"/>
                          <w:szCs w:val="20"/>
                        </w:rPr>
                        <w:t>.</w:t>
                      </w:r>
                    </w:p>
                  </w:txbxContent>
                </v:textbox>
                <w10:wrap type="square"/>
              </v:shape>
            </w:pict>
          </mc:Fallback>
        </mc:AlternateContent>
      </w:r>
      <w:r w:rsidRPr="00E9481E">
        <w:rPr>
          <w:rFonts w:ascii="Times New Roman" w:hAnsi="Times New Roman" w:cs="Times New Roman"/>
        </w:rPr>
        <w:t xml:space="preserve">The shape of 4Q415 7 may indicate that it belongs to the top group of the wad. When </w:t>
      </w:r>
      <w:r w:rsidR="00686AB6">
        <w:rPr>
          <w:rFonts w:ascii="Times New Roman" w:hAnsi="Times New Roman" w:cs="Times New Roman"/>
        </w:rPr>
        <w:t>placing</w:t>
      </w:r>
      <w:r w:rsidR="00686AB6" w:rsidRPr="00E9481E">
        <w:rPr>
          <w:rFonts w:ascii="Times New Roman" w:hAnsi="Times New Roman" w:cs="Times New Roman"/>
        </w:rPr>
        <w:t xml:space="preserve"> </w:t>
      </w:r>
      <w:r w:rsidRPr="00E9481E">
        <w:rPr>
          <w:rFonts w:ascii="Times New Roman" w:hAnsi="Times New Roman" w:cs="Times New Roman"/>
        </w:rPr>
        <w:t xml:space="preserve">4Q415 7 </w:t>
      </w:r>
      <w:r w:rsidR="00BE4316">
        <w:rPr>
          <w:rFonts w:ascii="Times New Roman" w:hAnsi="Times New Roman" w:cs="Times New Roman"/>
        </w:rPr>
        <w:t>above</w:t>
      </w:r>
      <w:r w:rsidRPr="00E9481E">
        <w:rPr>
          <w:rFonts w:ascii="Times New Roman" w:hAnsi="Times New Roman" w:cs="Times New Roman"/>
        </w:rPr>
        <w:t xml:space="preserve"> 4Q415 9, </w:t>
      </w:r>
      <w:r w:rsidR="00686AB6">
        <w:rPr>
          <w:rFonts w:ascii="Times New Roman" w:hAnsi="Times New Roman" w:cs="Times New Roman"/>
        </w:rPr>
        <w:t xml:space="preserve">one can identify </w:t>
      </w:r>
      <w:r w:rsidRPr="00E9481E">
        <w:rPr>
          <w:rFonts w:ascii="Times New Roman" w:hAnsi="Times New Roman" w:cs="Times New Roman"/>
        </w:rPr>
        <w:t xml:space="preserve">a recurring pattern of damage </w:t>
      </w:r>
      <w:r w:rsidR="00BE4316">
        <w:rPr>
          <w:rFonts w:ascii="Times New Roman" w:hAnsi="Times New Roman" w:cs="Times New Roman"/>
        </w:rPr>
        <w:t>in</w:t>
      </w:r>
      <w:r w:rsidR="00BE4316" w:rsidRPr="00E9481E">
        <w:rPr>
          <w:rFonts w:ascii="Times New Roman" w:hAnsi="Times New Roman" w:cs="Times New Roman"/>
        </w:rPr>
        <w:t xml:space="preserve"> </w:t>
      </w:r>
      <w:r w:rsidR="00686AB6">
        <w:rPr>
          <w:rFonts w:ascii="Times New Roman" w:hAnsi="Times New Roman" w:cs="Times New Roman"/>
        </w:rPr>
        <w:t>4Q415 7</w:t>
      </w:r>
      <w:r w:rsidR="00686AB6" w:rsidRPr="00E9481E">
        <w:rPr>
          <w:rFonts w:ascii="Times New Roman" w:hAnsi="Times New Roman" w:cs="Times New Roman"/>
        </w:rPr>
        <w:t xml:space="preserve"> </w:t>
      </w:r>
      <w:r w:rsidRPr="00E9481E">
        <w:rPr>
          <w:rFonts w:ascii="Times New Roman" w:hAnsi="Times New Roman" w:cs="Times New Roman"/>
        </w:rPr>
        <w:t>and the fragments belonging to the top gro</w:t>
      </w:r>
      <w:r>
        <w:rPr>
          <w:rFonts w:ascii="Times New Roman" w:hAnsi="Times New Roman" w:cs="Times New Roman"/>
        </w:rPr>
        <w:t>up of the wad (fig. 11).</w:t>
      </w:r>
    </w:p>
    <w:p w14:paraId="751738BC" w14:textId="77777777" w:rsidR="00783833" w:rsidRDefault="00783833" w:rsidP="00783833">
      <w:pPr>
        <w:bidi w:val="0"/>
        <w:spacing w:line="360" w:lineRule="auto"/>
        <w:jc w:val="both"/>
        <w:rPr>
          <w:rFonts w:ascii="Times New Roman" w:hAnsi="Times New Roman" w:cs="Times New Roman"/>
          <w:rtl/>
        </w:rPr>
      </w:pPr>
      <w:r w:rsidRPr="00971761">
        <w:rPr>
          <w:rFonts w:ascii="Times New Roman" w:hAnsi="Times New Roman" w:cs="Times New Roman"/>
          <w:noProof/>
        </w:rPr>
        <w:drawing>
          <wp:anchor distT="0" distB="0" distL="114300" distR="114300" simplePos="0" relativeHeight="251674624" behindDoc="0" locked="0" layoutInCell="1" allowOverlap="1" wp14:anchorId="33CC0B3D" wp14:editId="35D7FF8C">
            <wp:simplePos x="0" y="0"/>
            <wp:positionH relativeFrom="column">
              <wp:posOffset>1307465</wp:posOffset>
            </wp:positionH>
            <wp:positionV relativeFrom="paragraph">
              <wp:posOffset>116840</wp:posOffset>
            </wp:positionV>
            <wp:extent cx="1796415" cy="1032510"/>
            <wp:effectExtent l="0" t="0" r="6985" b="8890"/>
            <wp:wrapTight wrapText="bothSides">
              <wp:wrapPolygon edited="0">
                <wp:start x="0" y="0"/>
                <wp:lineTo x="0" y="21255"/>
                <wp:lineTo x="21379" y="21255"/>
                <wp:lineTo x="21379"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96415" cy="1032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3A737647" wp14:editId="7A8D4227">
                <wp:simplePos x="0" y="0"/>
                <wp:positionH relativeFrom="column">
                  <wp:posOffset>2442210</wp:posOffset>
                </wp:positionH>
                <wp:positionV relativeFrom="paragraph">
                  <wp:posOffset>127391</wp:posOffset>
                </wp:positionV>
                <wp:extent cx="457200" cy="114300"/>
                <wp:effectExtent l="0" t="127000" r="0" b="114300"/>
                <wp:wrapThrough wrapText="bothSides">
                  <wp:wrapPolygon edited="0">
                    <wp:start x="1896" y="28436"/>
                    <wp:lineTo x="9781" y="50336"/>
                    <wp:lineTo x="16462" y="45514"/>
                    <wp:lineTo x="22621" y="10027"/>
                    <wp:lineTo x="17692" y="-3660"/>
                    <wp:lineTo x="16707" y="-6397"/>
                    <wp:lineTo x="-1363" y="13544"/>
                    <wp:lineTo x="-2047" y="17487"/>
                    <wp:lineTo x="1896" y="28436"/>
                  </wp:wrapPolygon>
                </wp:wrapThrough>
                <wp:docPr id="16" name="חץ ימינה 16"/>
                <wp:cNvGraphicFramePr/>
                <a:graphic xmlns:a="http://schemas.openxmlformats.org/drawingml/2006/main">
                  <a:graphicData uri="http://schemas.microsoft.com/office/word/2010/wordprocessingShape">
                    <wps:wsp>
                      <wps:cNvSpPr/>
                      <wps:spPr>
                        <a:xfrm rot="8713755">
                          <a:off x="0" y="0"/>
                          <a:ext cx="457200" cy="11430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E7019F"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16" o:spid="_x0000_s1026" type="#_x0000_t13" style="position:absolute;left:0;text-align:left;margin-left:192.3pt;margin-top:10.05pt;width:36pt;height:9pt;rotation:9517744fd;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" adj="18900" fillcolor="#4472c4 [3204]" strokecolor="#4472c4 [3204]" strokeweight="1pt">
                <w10:wrap type="through"/>
              </v:shape>
            </w:pict>
          </mc:Fallback>
        </mc:AlternateContent>
      </w:r>
    </w:p>
    <w:p w14:paraId="16E88194" w14:textId="77777777" w:rsidR="00783833" w:rsidRDefault="00783833" w:rsidP="00783833">
      <w:pPr>
        <w:bidi w:val="0"/>
        <w:spacing w:line="360" w:lineRule="auto"/>
        <w:jc w:val="both"/>
        <w:rPr>
          <w:rFonts w:ascii="Times New Roman" w:hAnsi="Times New Roman" w:cs="Times New Roman"/>
        </w:rPr>
      </w:pPr>
    </w:p>
    <w:p w14:paraId="70BFD937" w14:textId="77777777" w:rsidR="00783833" w:rsidRDefault="00783833" w:rsidP="00783833">
      <w:pPr>
        <w:bidi w:val="0"/>
        <w:spacing w:line="360" w:lineRule="auto"/>
        <w:jc w:val="both"/>
        <w:rPr>
          <w:rFonts w:ascii="Times New Roman" w:hAnsi="Times New Roman" w:cs="Times New Roman"/>
        </w:rPr>
      </w:pPr>
    </w:p>
    <w:p w14:paraId="0AFCF3A4" w14:textId="77777777" w:rsidR="00783833" w:rsidRDefault="00783833" w:rsidP="00783833">
      <w:pPr>
        <w:bidi w:val="0"/>
        <w:spacing w:line="360" w:lineRule="auto"/>
        <w:jc w:val="both"/>
        <w:rPr>
          <w:rFonts w:ascii="Times New Roman" w:hAnsi="Times New Roman" w:cs="Times New Roman"/>
        </w:rPr>
      </w:pPr>
    </w:p>
    <w:p w14:paraId="251B9A58" w14:textId="77777777" w:rsidR="00783833" w:rsidRDefault="00783833" w:rsidP="00783833">
      <w:pPr>
        <w:bidi w:val="0"/>
        <w:spacing w:line="360" w:lineRule="auto"/>
        <w:rPr>
          <w:rFonts w:ascii="Times New Roman" w:hAnsi="Times New Roman" w:cs="Times New Roman"/>
          <w:sz w:val="20"/>
          <w:szCs w:val="20"/>
        </w:rPr>
      </w:pPr>
    </w:p>
    <w:p w14:paraId="2EFCEB8D" w14:textId="619BE4F7" w:rsidR="00783833" w:rsidRPr="004215F3" w:rsidRDefault="00783833" w:rsidP="00783833">
      <w:pPr>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Fig. 11: Wad of frags. 1, 6 and 7 and corresponding pattern of damage</w:t>
      </w:r>
      <w:r w:rsidR="00BE4316">
        <w:rPr>
          <w:rFonts w:ascii="Times New Roman" w:hAnsi="Times New Roman" w:cs="Times New Roman"/>
          <w:sz w:val="20"/>
          <w:szCs w:val="20"/>
        </w:rPr>
        <w:t>.</w:t>
      </w:r>
    </w:p>
    <w:p w14:paraId="37E541F0" w14:textId="77777777" w:rsidR="00783833" w:rsidRDefault="00783833" w:rsidP="00783833">
      <w:pPr>
        <w:pStyle w:val="a6"/>
        <w:bidi w:val="0"/>
        <w:spacing w:line="360" w:lineRule="auto"/>
        <w:jc w:val="both"/>
        <w:rPr>
          <w:rFonts w:ascii="Times New Roman" w:hAnsi="Times New Roman" w:cs="Times New Roman"/>
        </w:rPr>
      </w:pPr>
    </w:p>
    <w:p w14:paraId="711F5320" w14:textId="233AAECC" w:rsidR="00783833" w:rsidRDefault="00783833" w:rsidP="00783833">
      <w:pPr>
        <w:pStyle w:val="a6"/>
        <w:bidi w:val="0"/>
        <w:spacing w:line="360" w:lineRule="auto"/>
        <w:jc w:val="both"/>
        <w:rPr>
          <w:rFonts w:ascii="Times New Roman" w:hAnsi="Times New Roman" w:cs="Times New Roman"/>
        </w:rPr>
      </w:pPr>
      <w:r>
        <w:rPr>
          <w:rFonts w:ascii="Times New Roman" w:hAnsi="Times New Roman" w:cs="Times New Roman"/>
        </w:rPr>
        <w:t>As shown in figure 11, the crack in 4Q415 7</w:t>
      </w:r>
      <w:r w:rsidRPr="00CE2DD4">
        <w:rPr>
          <w:rFonts w:ascii="Times New Roman" w:hAnsi="Times New Roman" w:cs="Times New Roman"/>
        </w:rPr>
        <w:t xml:space="preserve"> </w:t>
      </w:r>
      <w:r w:rsidR="00BE4316">
        <w:rPr>
          <w:rFonts w:ascii="Times New Roman" w:hAnsi="Times New Roman" w:cs="Times New Roman"/>
        </w:rPr>
        <w:t>runs</w:t>
      </w:r>
      <w:r w:rsidR="00BE4316" w:rsidRPr="00CE2DD4">
        <w:rPr>
          <w:rFonts w:ascii="Times New Roman" w:hAnsi="Times New Roman" w:cs="Times New Roman"/>
        </w:rPr>
        <w:t xml:space="preserve"> </w:t>
      </w:r>
      <w:r w:rsidRPr="00CE2DD4">
        <w:rPr>
          <w:rFonts w:ascii="Times New Roman" w:hAnsi="Times New Roman" w:cs="Times New Roman"/>
        </w:rPr>
        <w:t xml:space="preserve">parallel to the boundaries of </w:t>
      </w:r>
      <w:r>
        <w:rPr>
          <w:rFonts w:ascii="Times New Roman" w:hAnsi="Times New Roman" w:cs="Times New Roman"/>
        </w:rPr>
        <w:t xml:space="preserve">4Q415 1 and 4Q415 6. Moreover, the bottom border of 4Q415 7 largely overlaps with the border of 4Q415 1. The fragments may have been formed as </w:t>
      </w:r>
      <w:r w:rsidR="00107930">
        <w:rPr>
          <w:rFonts w:ascii="Times New Roman" w:hAnsi="Times New Roman" w:cs="Times New Roman"/>
        </w:rPr>
        <w:t xml:space="preserve">the </w:t>
      </w:r>
      <w:r>
        <w:rPr>
          <w:rFonts w:ascii="Times New Roman" w:hAnsi="Times New Roman" w:cs="Times New Roman"/>
        </w:rPr>
        <w:t>result of a crack in the rolled scroll, while in the layer of 4Q415 1</w:t>
      </w:r>
      <w:r w:rsidR="00107930">
        <w:rPr>
          <w:rFonts w:ascii="Times New Roman" w:hAnsi="Times New Roman" w:cs="Times New Roman"/>
        </w:rPr>
        <w:t>,</w:t>
      </w:r>
      <w:r>
        <w:rPr>
          <w:rFonts w:ascii="Times New Roman" w:hAnsi="Times New Roman" w:cs="Times New Roman"/>
        </w:rPr>
        <w:t xml:space="preserve"> the fragment was below the crack, and in the layer of 4Q415 7</w:t>
      </w:r>
      <w:r w:rsidR="00107930">
        <w:rPr>
          <w:rFonts w:ascii="Times New Roman" w:hAnsi="Times New Roman" w:cs="Times New Roman"/>
        </w:rPr>
        <w:t>,</w:t>
      </w:r>
      <w:r>
        <w:rPr>
          <w:rFonts w:ascii="Times New Roman" w:hAnsi="Times New Roman" w:cs="Times New Roman"/>
        </w:rPr>
        <w:t xml:space="preserve"> the fragment was above the crack. </w:t>
      </w:r>
      <w:r w:rsidR="00107930">
        <w:rPr>
          <w:rFonts w:ascii="Times New Roman" w:hAnsi="Times New Roman" w:cs="Times New Roman"/>
        </w:rPr>
        <w:t>Notwithstanding</w:t>
      </w:r>
      <w:r>
        <w:rPr>
          <w:rFonts w:ascii="Times New Roman" w:hAnsi="Times New Roman" w:cs="Times New Roman"/>
        </w:rPr>
        <w:t xml:space="preserve"> the assumption that 4Q415 7 belongs to the top group of the wad, it cannot be located in the layer of 4Q415 1 and 4Q415 6, due to the right margin.</w:t>
      </w:r>
    </w:p>
    <w:p w14:paraId="59C4E2A4" w14:textId="1D5082EE" w:rsidR="00783833" w:rsidRDefault="00783833" w:rsidP="00783833">
      <w:pPr>
        <w:pStyle w:val="a6"/>
        <w:numPr>
          <w:ilvl w:val="0"/>
          <w:numId w:val="1"/>
        </w:numPr>
        <w:bidi w:val="0"/>
        <w:spacing w:line="360" w:lineRule="auto"/>
        <w:jc w:val="both"/>
        <w:rPr>
          <w:rFonts w:ascii="Times New Roman" w:hAnsi="Times New Roman" w:cs="Times New Roman"/>
        </w:rPr>
      </w:pPr>
      <w:r>
        <w:rPr>
          <w:noProof/>
        </w:rPr>
        <w:lastRenderedPageBreak/>
        <mc:AlternateContent>
          <mc:Choice Requires="wps">
            <w:drawing>
              <wp:anchor distT="0" distB="0" distL="114300" distR="114300" simplePos="0" relativeHeight="251680768" behindDoc="0" locked="0" layoutInCell="1" allowOverlap="1" wp14:anchorId="182FD37F" wp14:editId="7DD17664">
                <wp:simplePos x="0" y="0"/>
                <wp:positionH relativeFrom="column">
                  <wp:posOffset>4734560</wp:posOffset>
                </wp:positionH>
                <wp:positionV relativeFrom="paragraph">
                  <wp:posOffset>1760755</wp:posOffset>
                </wp:positionV>
                <wp:extent cx="1671955" cy="529590"/>
                <wp:effectExtent l="0" t="0" r="0" b="3810"/>
                <wp:wrapSquare wrapText="bothSides"/>
                <wp:docPr id="56" name="תיבת טקסט 56"/>
                <wp:cNvGraphicFramePr/>
                <a:graphic xmlns:a="http://schemas.openxmlformats.org/drawingml/2006/main">
                  <a:graphicData uri="http://schemas.microsoft.com/office/word/2010/wordprocessingShape">
                    <wps:wsp>
                      <wps:cNvSpPr txBox="1"/>
                      <wps:spPr>
                        <a:xfrm>
                          <a:off x="0" y="0"/>
                          <a:ext cx="1671955" cy="529590"/>
                        </a:xfrm>
                        <a:prstGeom prst="rect">
                          <a:avLst/>
                        </a:prstGeom>
                        <a:noFill/>
                        <a:ln>
                          <a:noFill/>
                        </a:ln>
                        <a:effectLst/>
                      </wps:spPr>
                      <wps:txbx>
                        <w:txbxContent>
                          <w:p w14:paraId="78CB9214" w14:textId="77777777" w:rsidR="00895E53" w:rsidRDefault="00895E5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 12: Corresponding crack </w:t>
                            </w:r>
                          </w:p>
                          <w:p w14:paraId="34AFFA69" w14:textId="5FE8FC18" w:rsidR="00895E53" w:rsidRPr="007001E5" w:rsidRDefault="00895E5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in 4Q415 7 and 4Q415 9</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182FD37F" id="תיבת טקסט 56" o:spid="_x0000_s1027" type="#_x0000_t202" style="position:absolute;left:0;text-align:left;margin-left:372.8pt;margin-top:138.65pt;width:131.65pt;height:41.7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" filled="f" stroked="f">
                <v:textbox style="mso-fit-shape-to-text:t">
                  <w:txbxContent>
                    <w:p w14:paraId="78CB9214" w14:textId="77777777" w:rsidR="00895E53" w:rsidRDefault="00895E5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Fig. 12: Corresponding crack </w:t>
                      </w:r>
                    </w:p>
                    <w:p w14:paraId="34AFFA69" w14:textId="5FE8FC18" w:rsidR="00895E53" w:rsidRPr="007001E5" w:rsidRDefault="00895E53" w:rsidP="00783833">
                      <w:pPr>
                        <w:tabs>
                          <w:tab w:val="left" w:pos="1134"/>
                          <w:tab w:val="left" w:pos="4253"/>
                        </w:tabs>
                        <w:bidi w:val="0"/>
                        <w:spacing w:line="360" w:lineRule="auto"/>
                        <w:jc w:val="center"/>
                        <w:rPr>
                          <w:rFonts w:ascii="Times New Roman" w:hAnsi="Times New Roman" w:cs="Times New Roman"/>
                          <w:sz w:val="20"/>
                          <w:szCs w:val="20"/>
                        </w:rPr>
                      </w:pPr>
                      <w:r>
                        <w:rPr>
                          <w:rFonts w:ascii="Times New Roman" w:hAnsi="Times New Roman" w:cs="Times New Roman"/>
                          <w:sz w:val="20"/>
                          <w:szCs w:val="20"/>
                        </w:rPr>
                        <w:t>in 4Q415 7 and 4Q415 9</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67B7D090" wp14:editId="11C9166E">
                <wp:simplePos x="0" y="0"/>
                <wp:positionH relativeFrom="column">
                  <wp:posOffset>5530850</wp:posOffset>
                </wp:positionH>
                <wp:positionV relativeFrom="paragraph">
                  <wp:posOffset>415290</wp:posOffset>
                </wp:positionV>
                <wp:extent cx="262255" cy="78740"/>
                <wp:effectExtent l="0" t="76200" r="17145" b="73660"/>
                <wp:wrapThrough wrapText="bothSides">
                  <wp:wrapPolygon edited="0">
                    <wp:start x="5167" y="36380"/>
                    <wp:lineTo x="13375" y="57975"/>
                    <wp:lineTo x="23749" y="14234"/>
                    <wp:lineTo x="15541" y="-7362"/>
                    <wp:lineTo x="13899" y="-11681"/>
                    <wp:lineTo x="-1745" y="9317"/>
                    <wp:lineTo x="-3042" y="14785"/>
                    <wp:lineTo x="5167" y="36380"/>
                  </wp:wrapPolygon>
                </wp:wrapThrough>
                <wp:docPr id="21" name="חץ ימינה 21"/>
                <wp:cNvGraphicFramePr/>
                <a:graphic xmlns:a="http://schemas.openxmlformats.org/drawingml/2006/main">
                  <a:graphicData uri="http://schemas.microsoft.com/office/word/2010/wordprocessingShape">
                    <wps:wsp>
                      <wps:cNvSpPr/>
                      <wps:spPr>
                        <a:xfrm rot="8501632">
                          <a:off x="0" y="0"/>
                          <a:ext cx="262255" cy="7874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73A0C" id="חץ ימינה 21" o:spid="_x0000_s1026" type="#_x0000_t13" style="position:absolute;left:0;text-align:left;margin-left:435.5pt;margin-top:32.7pt;width:20.65pt;height:6.2pt;rotation:928604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" adj="18357" fillcolor="#4472c4 [3204]" strokecolor="#4472c4 [3204]" strokeweight="1pt">
                <w10:wrap type="through"/>
              </v:shape>
            </w:pict>
          </mc:Fallback>
        </mc:AlternateContent>
      </w:r>
      <w:r>
        <w:rPr>
          <w:noProof/>
        </w:rPr>
        <mc:AlternateContent>
          <mc:Choice Requires="wps">
            <w:drawing>
              <wp:anchor distT="0" distB="0" distL="114300" distR="114300" simplePos="0" relativeHeight="251678720" behindDoc="0" locked="0" layoutInCell="1" allowOverlap="1" wp14:anchorId="6A6E45F0" wp14:editId="237DE912">
                <wp:simplePos x="0" y="0"/>
                <wp:positionH relativeFrom="column">
                  <wp:posOffset>5534693</wp:posOffset>
                </wp:positionH>
                <wp:positionV relativeFrom="paragraph">
                  <wp:posOffset>76200</wp:posOffset>
                </wp:positionV>
                <wp:extent cx="262255" cy="78740"/>
                <wp:effectExtent l="0" t="76200" r="17145" b="73660"/>
                <wp:wrapThrough wrapText="bothSides">
                  <wp:wrapPolygon edited="0">
                    <wp:start x="5167" y="36380"/>
                    <wp:lineTo x="13375" y="57975"/>
                    <wp:lineTo x="23749" y="14234"/>
                    <wp:lineTo x="15541" y="-7362"/>
                    <wp:lineTo x="13899" y="-11681"/>
                    <wp:lineTo x="-1745" y="9317"/>
                    <wp:lineTo x="-3042" y="14785"/>
                    <wp:lineTo x="5167" y="36380"/>
                  </wp:wrapPolygon>
                </wp:wrapThrough>
                <wp:docPr id="22" name="חץ ימינה 22"/>
                <wp:cNvGraphicFramePr/>
                <a:graphic xmlns:a="http://schemas.openxmlformats.org/drawingml/2006/main">
                  <a:graphicData uri="http://schemas.microsoft.com/office/word/2010/wordprocessingShape">
                    <wps:wsp>
                      <wps:cNvSpPr/>
                      <wps:spPr>
                        <a:xfrm rot="8501632">
                          <a:off x="0" y="0"/>
                          <a:ext cx="262255" cy="78740"/>
                        </a:xfrm>
                        <a:prstGeom prst="right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DBA85" id="חץ ימינה 22" o:spid="_x0000_s1026" type="#_x0000_t13" style="position:absolute;left:0;text-align:left;margin-left:435.8pt;margin-top:6pt;width:20.65pt;height:6.2pt;rotation:928604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" adj="18357" fillcolor="#4472c4 [3204]" strokecolor="#4472c4 [3204]" strokeweight="1pt">
                <w10:wrap type="through"/>
              </v:shape>
            </w:pict>
          </mc:Fallback>
        </mc:AlternateContent>
      </w:r>
      <w:r w:rsidRPr="003659CC">
        <w:rPr>
          <w:rFonts w:ascii="Times New Roman" w:hAnsi="Times New Roman" w:cs="Times New Roman"/>
          <w:noProof/>
        </w:rPr>
        <w:drawing>
          <wp:anchor distT="0" distB="0" distL="114300" distR="114300" simplePos="0" relativeHeight="251676672" behindDoc="0" locked="0" layoutInCell="1" allowOverlap="1" wp14:anchorId="30632C0F" wp14:editId="679E1117">
            <wp:simplePos x="0" y="0"/>
            <wp:positionH relativeFrom="column">
              <wp:posOffset>4966335</wp:posOffset>
            </wp:positionH>
            <wp:positionV relativeFrom="paragraph">
              <wp:posOffset>93980</wp:posOffset>
            </wp:positionV>
            <wp:extent cx="1309370" cy="1851660"/>
            <wp:effectExtent l="0" t="0" r="0" b="0"/>
            <wp:wrapTight wrapText="bothSides">
              <wp:wrapPolygon edited="0">
                <wp:start x="8380" y="889"/>
                <wp:lineTo x="5866" y="2370"/>
                <wp:lineTo x="3771" y="5037"/>
                <wp:lineTo x="3771" y="6222"/>
                <wp:lineTo x="419" y="10370"/>
                <wp:lineTo x="419" y="11852"/>
                <wp:lineTo x="1676" y="13630"/>
                <wp:lineTo x="4609" y="15704"/>
                <wp:lineTo x="4609" y="17778"/>
                <wp:lineTo x="8380" y="20444"/>
                <wp:lineTo x="11313" y="21037"/>
                <wp:lineTo x="12989" y="21037"/>
                <wp:lineTo x="15084" y="20444"/>
                <wp:lineTo x="18017" y="17481"/>
                <wp:lineTo x="18436" y="14519"/>
                <wp:lineTo x="17179" y="9185"/>
                <wp:lineTo x="15084" y="6222"/>
                <wp:lineTo x="14665" y="3259"/>
                <wp:lineTo x="12151" y="889"/>
                <wp:lineTo x="8380" y="889"/>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09370" cy="18516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4Q415 7 is a join of two smaller fragments. In PAM 40.599, PAM 41.821</w:t>
      </w:r>
      <w:r w:rsidR="0056052A">
        <w:rPr>
          <w:rFonts w:ascii="Times New Roman" w:hAnsi="Times New Roman" w:cs="Times New Roman"/>
        </w:rPr>
        <w:t>,</w:t>
      </w:r>
      <w:r>
        <w:rPr>
          <w:rFonts w:ascii="Times New Roman" w:hAnsi="Times New Roman" w:cs="Times New Roman"/>
        </w:rPr>
        <w:t xml:space="preserve"> and PAM 41.860 the fragments are documented before their join, and only in PAM 42.561 they are first joined. By locating 4Q415 7 </w:t>
      </w:r>
      <w:r w:rsidR="0056052A">
        <w:rPr>
          <w:rFonts w:ascii="Times New Roman" w:hAnsi="Times New Roman" w:cs="Times New Roman"/>
        </w:rPr>
        <w:t xml:space="preserve">at </w:t>
      </w:r>
      <w:r>
        <w:rPr>
          <w:rFonts w:ascii="Times New Roman" w:hAnsi="Times New Roman" w:cs="Times New Roman"/>
        </w:rPr>
        <w:t xml:space="preserve">the top of 4Q415 9, one can see that this crack continues at the top of 4Q415 9. The latter is also a join of two smaller fragments (documented in PAM 41.860 and PAM 41.972 before the join, and in PAM 42.561 after the join). Figure 12 shows the continuity of the crack in the both fragments.  </w:t>
      </w:r>
    </w:p>
    <w:p w14:paraId="71379CB2" w14:textId="77777777" w:rsidR="00783833" w:rsidRDefault="00783833" w:rsidP="00783833">
      <w:pPr>
        <w:bidi w:val="0"/>
        <w:spacing w:line="360" w:lineRule="auto"/>
        <w:jc w:val="both"/>
        <w:rPr>
          <w:rFonts w:ascii="Times New Roman" w:hAnsi="Times New Roman" w:cs="Times New Roman"/>
        </w:rPr>
      </w:pPr>
    </w:p>
    <w:p w14:paraId="7D8340D0" w14:textId="1F21DCEF" w:rsidR="00783833" w:rsidRDefault="00783833" w:rsidP="00783833">
      <w:pPr>
        <w:bidi w:val="0"/>
        <w:spacing w:line="360" w:lineRule="auto"/>
        <w:jc w:val="both"/>
        <w:rPr>
          <w:rFonts w:ascii="Times New Roman" w:hAnsi="Times New Roman" w:cs="Times New Roman"/>
        </w:rPr>
      </w:pPr>
      <w:r w:rsidRPr="00DB7BB1">
        <w:rPr>
          <w:rFonts w:ascii="Times New Roman" w:hAnsi="Times New Roman" w:cs="Times New Roman"/>
        </w:rPr>
        <w:t xml:space="preserve">From </w:t>
      </w:r>
      <w:r w:rsidR="00DD3B40">
        <w:rPr>
          <w:rFonts w:ascii="Times New Roman" w:hAnsi="Times New Roman" w:cs="Times New Roman"/>
        </w:rPr>
        <w:t xml:space="preserve">a </w:t>
      </w:r>
      <w:r w:rsidRPr="00DB7BB1">
        <w:rPr>
          <w:rFonts w:ascii="Times New Roman" w:hAnsi="Times New Roman" w:cs="Times New Roman"/>
        </w:rPr>
        <w:t xml:space="preserve">textual perspective, if the phrase </w:t>
      </w:r>
      <w:r w:rsidRPr="00DB7BB1">
        <w:rPr>
          <w:rFonts w:ascii="SBL Hebrew" w:hAnsi="SBL Hebrew" w:cs="SBL Hebrew" w:hint="cs"/>
          <w:rtl/>
        </w:rPr>
        <w:t>חזק</w:t>
      </w:r>
      <w:r w:rsidRPr="00DB7BB1">
        <w:rPr>
          <w:rFonts w:ascii="Times New Roman" w:hAnsi="Times New Roman" w:cs="Times New Roman" w:hint="cs"/>
          <w:rtl/>
        </w:rPr>
        <w:t xml:space="preserve"> </w:t>
      </w:r>
      <w:r w:rsidRPr="00DB7BB1">
        <w:rPr>
          <w:rFonts w:ascii="SBL Hebrew" w:hAnsi="SBL Hebrew" w:cs="SBL Hebrew" w:hint="cs"/>
          <w:rtl/>
        </w:rPr>
        <w:t>בעדה</w:t>
      </w:r>
      <w:r w:rsidRPr="00DB7BB1">
        <w:rPr>
          <w:rFonts w:ascii="Times New Roman" w:hAnsi="Times New Roman" w:cs="Times New Roman"/>
        </w:rPr>
        <w:t xml:space="preserve"> indeed relate</w:t>
      </w:r>
      <w:r w:rsidR="00954214">
        <w:rPr>
          <w:rFonts w:ascii="Times New Roman" w:hAnsi="Times New Roman" w:cs="Times New Roman"/>
        </w:rPr>
        <w:t>s</w:t>
      </w:r>
      <w:r w:rsidRPr="00DB7BB1">
        <w:rPr>
          <w:rFonts w:ascii="Times New Roman" w:hAnsi="Times New Roman" w:cs="Times New Roman"/>
        </w:rPr>
        <w:t xml:space="preserve"> to the </w:t>
      </w:r>
      <w:r>
        <w:rPr>
          <w:rFonts w:ascii="Times New Roman" w:hAnsi="Times New Roman" w:cs="Times New Roman"/>
        </w:rPr>
        <w:t>female</w:t>
      </w:r>
      <w:r w:rsidRPr="00DB7BB1">
        <w:rPr>
          <w:rFonts w:ascii="Times New Roman" w:hAnsi="Times New Roman" w:cs="Times New Roman"/>
        </w:rPr>
        <w:t xml:space="preserve">, it may be </w:t>
      </w:r>
      <w:r w:rsidR="00954214">
        <w:rPr>
          <w:rFonts w:ascii="Times New Roman" w:hAnsi="Times New Roman" w:cs="Times New Roman"/>
        </w:rPr>
        <w:t>connected with</w:t>
      </w:r>
      <w:r w:rsidR="00954214" w:rsidRPr="00DB7BB1">
        <w:rPr>
          <w:rFonts w:ascii="Times New Roman" w:hAnsi="Times New Roman" w:cs="Times New Roman"/>
        </w:rPr>
        <w:t xml:space="preserve"> </w:t>
      </w:r>
      <w:r w:rsidRPr="00DB7BB1">
        <w:rPr>
          <w:rFonts w:ascii="Times New Roman" w:hAnsi="Times New Roman" w:cs="Times New Roman"/>
        </w:rPr>
        <w:t xml:space="preserve">the </w:t>
      </w:r>
      <w:r>
        <w:rPr>
          <w:rFonts w:ascii="Times New Roman" w:hAnsi="Times New Roman" w:cs="Times New Roman"/>
        </w:rPr>
        <w:t xml:space="preserve">female’s </w:t>
      </w:r>
      <w:r w:rsidRPr="00DB7BB1">
        <w:rPr>
          <w:rFonts w:ascii="Times New Roman" w:hAnsi="Times New Roman" w:cs="Times New Roman"/>
        </w:rPr>
        <w:t>instructions in 4Q415 9</w:t>
      </w:r>
      <w:r w:rsidRPr="00DB7BB1">
        <w:rPr>
          <w:rFonts w:ascii="SBL Hebrew" w:hAnsi="SBL Hebrew" w:cs="SBL Hebrew"/>
        </w:rPr>
        <w:t>:</w:t>
      </w:r>
      <w:r w:rsidRPr="00DB7BB1">
        <w:rPr>
          <w:rFonts w:ascii="Times New Roman" w:hAnsi="Times New Roman" w:cs="Times New Roman"/>
        </w:rPr>
        <w:t xml:space="preserve"> </w:t>
      </w:r>
      <w:r w:rsidRPr="00DB7BB1">
        <w:rPr>
          <w:rFonts w:ascii="SBL Hebrew" w:hAnsi="SBL Hebrew" w:cs="SBL Hebrew" w:hint="cs"/>
          <w:rtl/>
        </w:rPr>
        <w:t>בה</w:t>
      </w:r>
      <w:r w:rsidRPr="00DB7BB1">
        <w:rPr>
          <w:rFonts w:ascii="Times New Roman" w:hAnsi="Times New Roman" w:cs="Times New Roman" w:hint="cs"/>
          <w:rtl/>
        </w:rPr>
        <w:t xml:space="preserve"> </w:t>
      </w:r>
      <w:r w:rsidRPr="00DB7BB1">
        <w:rPr>
          <w:rFonts w:ascii="SBL Hebrew" w:hAnsi="SBL Hebrew" w:cs="SBL Hebrew" w:hint="cs"/>
          <w:rtl/>
        </w:rPr>
        <w:t>הכינה</w:t>
      </w:r>
      <w:r w:rsidRPr="00DB7BB1">
        <w:rPr>
          <w:rFonts w:ascii="Times New Roman" w:hAnsi="Times New Roman" w:cs="Times New Roman" w:hint="cs"/>
          <w:rtl/>
        </w:rPr>
        <w:t xml:space="preserve"> </w:t>
      </w:r>
      <w:proofErr w:type="spellStart"/>
      <w:r w:rsidRPr="00DB7BB1">
        <w:rPr>
          <w:rFonts w:ascii="SBL Hebrew" w:hAnsi="SBL Hebrew" w:cs="SBL Hebrew" w:hint="cs"/>
          <w:rtl/>
        </w:rPr>
        <w:t>כיא</w:t>
      </w:r>
      <w:proofErr w:type="spellEnd"/>
      <w:r w:rsidRPr="00DB7BB1">
        <w:rPr>
          <w:rFonts w:ascii="Times New Roman" w:hAnsi="Times New Roman" w:cs="Times New Roman" w:hint="cs"/>
          <w:rtl/>
        </w:rPr>
        <w:t xml:space="preserve"> </w:t>
      </w:r>
      <w:r w:rsidRPr="00DB7BB1">
        <w:rPr>
          <w:rFonts w:ascii="SBL Hebrew" w:hAnsi="SBL Hebrew" w:cs="SBL Hebrew" w:hint="cs"/>
          <w:rtl/>
        </w:rPr>
        <w:t>היא</w:t>
      </w:r>
      <w:r w:rsidRPr="00DB7BB1">
        <w:rPr>
          <w:rFonts w:ascii="Times New Roman" w:hAnsi="Times New Roman" w:cs="Times New Roman"/>
        </w:rPr>
        <w:t xml:space="preserve">; </w:t>
      </w:r>
      <w:r w:rsidRPr="00DB7BB1">
        <w:rPr>
          <w:rFonts w:ascii="SBL Hebrew" w:hAnsi="SBL Hebrew" w:cs="SBL Hebrew" w:hint="cs"/>
          <w:rtl/>
        </w:rPr>
        <w:t>רוחה</w:t>
      </w:r>
      <w:r w:rsidRPr="00DB7BB1">
        <w:rPr>
          <w:rFonts w:ascii="Times New Roman" w:hAnsi="Times New Roman" w:cs="Times New Roman" w:hint="cs"/>
          <w:rtl/>
        </w:rPr>
        <w:t xml:space="preserve"> </w:t>
      </w:r>
      <w:r w:rsidRPr="00DB7BB1">
        <w:rPr>
          <w:rFonts w:ascii="SBL Hebrew" w:hAnsi="SBL Hebrew" w:cs="SBL Hebrew" w:hint="cs"/>
          <w:rtl/>
        </w:rPr>
        <w:t>המשל</w:t>
      </w:r>
      <w:r w:rsidRPr="00DB7BB1">
        <w:rPr>
          <w:rFonts w:ascii="Times New Roman" w:hAnsi="Times New Roman" w:cs="Times New Roman" w:hint="cs"/>
          <w:rtl/>
        </w:rPr>
        <w:t xml:space="preserve"> </w:t>
      </w:r>
      <w:r w:rsidRPr="00DB7BB1">
        <w:rPr>
          <w:rFonts w:ascii="SBL Hebrew" w:hAnsi="SBL Hebrew" w:cs="SBL Hebrew" w:hint="cs"/>
          <w:rtl/>
        </w:rPr>
        <w:t>בה</w:t>
      </w:r>
      <w:r w:rsidRPr="00DB7BB1">
        <w:rPr>
          <w:rFonts w:ascii="Times New Roman" w:hAnsi="Times New Roman" w:cs="Times New Roman"/>
        </w:rPr>
        <w:t>.</w:t>
      </w:r>
    </w:p>
    <w:p w14:paraId="2F5A57FC" w14:textId="77777777" w:rsidR="00783833" w:rsidRPr="00783833" w:rsidRDefault="00783833" w:rsidP="00783833"/>
    <w:p w14:paraId="37EE3218"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48048A80" w14:textId="3DF1562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In order to estimate the distance between 4Q415 11 and 4Q415 6 in the layout of 4Q415, we must first </w:t>
      </w:r>
      <w:r w:rsidR="0033735B">
        <w:rPr>
          <w:rFonts w:ascii="Times New Roman" w:hAnsi="Times New Roman" w:cs="Times New Roman"/>
        </w:rPr>
        <w:t xml:space="preserve">determine </w:t>
      </w:r>
      <w:r>
        <w:rPr>
          <w:rFonts w:ascii="Times New Roman" w:hAnsi="Times New Roman" w:cs="Times New Roman"/>
        </w:rPr>
        <w:t xml:space="preserve">the number of lines in the scroll. Unfortunately, this number is unknown, since </w:t>
      </w:r>
      <w:r w:rsidRPr="00800A50">
        <w:rPr>
          <w:rFonts w:ascii="Times New Roman" w:hAnsi="Times New Roman" w:cs="Times New Roman"/>
        </w:rPr>
        <w:t>the tallest fragment preserves only thirteen lines of the column (4Q415 11)</w:t>
      </w:r>
      <w:r>
        <w:rPr>
          <w:rFonts w:ascii="Times New Roman" w:hAnsi="Times New Roman" w:cs="Times New Roman"/>
        </w:rPr>
        <w:t>.</w:t>
      </w:r>
      <w:r>
        <w:rPr>
          <w:rStyle w:val="a5"/>
          <w:rFonts w:ascii="Times New Roman" w:hAnsi="Times New Roman" w:cs="Times New Roman"/>
        </w:rPr>
        <w:footnoteReference w:id="11"/>
      </w:r>
      <w:r>
        <w:rPr>
          <w:rFonts w:ascii="Times New Roman" w:hAnsi="Times New Roman" w:cs="Times New Roman"/>
        </w:rPr>
        <w:t xml:space="preserve"> We will represent </w:t>
      </w:r>
      <w:r w:rsidR="0033735B">
        <w:rPr>
          <w:rFonts w:ascii="Times New Roman" w:hAnsi="Times New Roman" w:cs="Times New Roman"/>
        </w:rPr>
        <w:t xml:space="preserve">the total number of lines with </w:t>
      </w:r>
      <w:r>
        <w:rPr>
          <w:rFonts w:ascii="Times New Roman" w:hAnsi="Times New Roman" w:cs="Times New Roman"/>
        </w:rPr>
        <w:t>the variable x. If 4Q415 is a x-line scroll</w:t>
      </w:r>
      <w:r w:rsidR="0033735B">
        <w:rPr>
          <w:rFonts w:ascii="Times New Roman" w:hAnsi="Times New Roman" w:cs="Times New Roman"/>
        </w:rPr>
        <w:t xml:space="preserve"> with x lines</w:t>
      </w:r>
      <w:r>
        <w:rPr>
          <w:rFonts w:ascii="Times New Roman" w:hAnsi="Times New Roman" w:cs="Times New Roman"/>
        </w:rPr>
        <w:t>, the first line of 4Q415 6 is the x-15 line of the column</w:t>
      </w:r>
      <w:r w:rsidR="0033735B">
        <w:rPr>
          <w:rFonts w:ascii="Times New Roman" w:hAnsi="Times New Roman" w:cs="Times New Roman"/>
        </w:rPr>
        <w:t>.</w:t>
      </w:r>
      <w:r>
        <w:rPr>
          <w:rFonts w:ascii="Times New Roman" w:hAnsi="Times New Roman" w:cs="Times New Roman"/>
        </w:rPr>
        <w:t xml:space="preserve"> (</w:t>
      </w:r>
      <w:r w:rsidR="0033735B">
        <w:rPr>
          <w:rFonts w:ascii="Times New Roman" w:hAnsi="Times New Roman" w:cs="Times New Roman"/>
        </w:rPr>
        <w:t xml:space="preserve">As </w:t>
      </w:r>
      <w:r>
        <w:rPr>
          <w:rFonts w:ascii="Times New Roman" w:hAnsi="Times New Roman" w:cs="Times New Roman"/>
        </w:rPr>
        <w:t xml:space="preserve">fig. 14 shows, there are 15 lines of text from the bottom margin to the first line of 4Q415 6). Hence, there are x-16 lines of text in this column </w:t>
      </w:r>
      <w:r w:rsidR="0033735B">
        <w:rPr>
          <w:rFonts w:ascii="Times New Roman" w:hAnsi="Times New Roman" w:cs="Times New Roman"/>
        </w:rPr>
        <w:t xml:space="preserve">which </w:t>
      </w:r>
      <w:r>
        <w:rPr>
          <w:rFonts w:ascii="Times New Roman" w:hAnsi="Times New Roman" w:cs="Times New Roman"/>
        </w:rPr>
        <w:t>precede the text of 4Q415 6. Now</w:t>
      </w:r>
      <w:r w:rsidR="0033735B">
        <w:rPr>
          <w:rFonts w:ascii="Times New Roman" w:hAnsi="Times New Roman" w:cs="Times New Roman"/>
        </w:rPr>
        <w:t>,</w:t>
      </w:r>
      <w:r>
        <w:rPr>
          <w:rFonts w:ascii="Times New Roman" w:hAnsi="Times New Roman" w:cs="Times New Roman"/>
        </w:rPr>
        <w:t xml:space="preserve"> we </w:t>
      </w:r>
      <w:r w:rsidR="0033735B">
        <w:rPr>
          <w:rFonts w:ascii="Times New Roman" w:hAnsi="Times New Roman" w:cs="Times New Roman"/>
        </w:rPr>
        <w:t xml:space="preserve">are able to </w:t>
      </w:r>
      <w:r>
        <w:rPr>
          <w:rFonts w:ascii="Times New Roman" w:hAnsi="Times New Roman" w:cs="Times New Roman"/>
        </w:rPr>
        <w:t>calculate the width of the previous column:</w:t>
      </w:r>
    </w:p>
    <w:p w14:paraId="71422AC9" w14:textId="1FCF4BE5"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85DF6DF" wp14:editId="47D4B668">
                <wp:simplePos x="0" y="0"/>
                <wp:positionH relativeFrom="column">
                  <wp:posOffset>325520</wp:posOffset>
                </wp:positionH>
                <wp:positionV relativeFrom="paragraph">
                  <wp:posOffset>345440</wp:posOffset>
                </wp:positionV>
                <wp:extent cx="456565" cy="232410"/>
                <wp:effectExtent l="0" t="0" r="0" b="0"/>
                <wp:wrapSquare wrapText="bothSides"/>
                <wp:docPr id="44" name="תיבת טקסט 44"/>
                <wp:cNvGraphicFramePr/>
                <a:graphic xmlns:a="http://schemas.openxmlformats.org/drawingml/2006/main">
                  <a:graphicData uri="http://schemas.microsoft.com/office/word/2010/wordprocessingShape">
                    <wps:wsp>
                      <wps:cNvSpPr txBox="1"/>
                      <wps:spPr>
                        <a:xfrm>
                          <a:off x="0" y="0"/>
                          <a:ext cx="456565" cy="232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2AD8FA" w14:textId="77777777" w:rsidR="00895E53" w:rsidRDefault="00895E53" w:rsidP="00783833">
                            <w:r>
                              <w:t xml:space="preserve">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F6DF" id="תיבת טקסט 44" o:spid="_x0000_s1028" type="#_x0000_t202" style="position:absolute;left:0;text-align:left;margin-left:25.65pt;margin-top:27.2pt;width:35.95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" filled="f" stroked="f">
                <v:textbox>
                  <w:txbxContent>
                    <w:p w14:paraId="752AD8FA" w14:textId="77777777" w:rsidR="00895E53" w:rsidRDefault="00895E53" w:rsidP="00783833">
                      <w:r>
                        <w:t xml:space="preserve"> –  </w:t>
                      </w:r>
                    </w:p>
                  </w:txbxContent>
                </v:textbox>
                <w10:wrap type="square"/>
              </v:shape>
            </w:pict>
          </mc:Fallback>
        </mc:AlternateContent>
      </w:r>
      <w:r>
        <w:rPr>
          <w:rFonts w:ascii="Times New Roman" w:hAnsi="Times New Roman" w:cs="Times New Roman"/>
        </w:rPr>
        <w:tab/>
      </w:r>
      <w:r>
        <w:rPr>
          <w:rFonts w:ascii="Times New Roman" w:hAnsi="Times New Roman" w:cs="Times New Roman"/>
        </w:rPr>
        <w:tab/>
        <w:t>332.9 cm (the amount of missing text calculated from 4Q418a)</w:t>
      </w:r>
    </w:p>
    <w:p w14:paraId="12705C81"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(x-</w:t>
      </w:r>
      <w:proofErr w:type="gramStart"/>
      <w:r>
        <w:rPr>
          <w:rFonts w:ascii="Times New Roman" w:hAnsi="Times New Roman" w:cs="Times New Roman"/>
        </w:rPr>
        <w:t>16)*</w:t>
      </w:r>
      <w:proofErr w:type="gramEnd"/>
      <w:r>
        <w:rPr>
          <w:rFonts w:ascii="Times New Roman" w:hAnsi="Times New Roman" w:cs="Times New Roman"/>
        </w:rPr>
        <w:t>9.2 cm (number of lines 9.2 cm before frag. 6 in 4Q415)</w:t>
      </w:r>
    </w:p>
    <w:p w14:paraId="7B998186"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66951D" wp14:editId="68735180">
                <wp:simplePos x="0" y="0"/>
                <wp:positionH relativeFrom="column">
                  <wp:posOffset>622105</wp:posOffset>
                </wp:positionH>
                <wp:positionV relativeFrom="paragraph">
                  <wp:posOffset>210771</wp:posOffset>
                </wp:positionV>
                <wp:extent cx="800100" cy="0"/>
                <wp:effectExtent l="0" t="0" r="12700" b="25400"/>
                <wp:wrapNone/>
                <wp:docPr id="45" name="מחבר ישר 45"/>
                <wp:cNvGraphicFramePr/>
                <a:graphic xmlns:a="http://schemas.openxmlformats.org/drawingml/2006/main">
                  <a:graphicData uri="http://schemas.microsoft.com/office/word/2010/wordprocessingShape">
                    <wps:wsp>
                      <wps:cNvCnPr/>
                      <wps:spPr>
                        <a:xfrm>
                          <a:off x="0" y="0"/>
                          <a:ext cx="800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8A3FE" id="מחבר ישר 45"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49pt,16.6pt" to="112pt,1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" strokecolor="black [3200]" strokeweight=".5pt">
                <v:stroke joinstyle="miter"/>
              </v:line>
            </w:pict>
          </mc:Fallback>
        </mc:AlternateContent>
      </w:r>
      <w:r>
        <w:rPr>
          <w:rFonts w:ascii="Times New Roman" w:hAnsi="Times New Roman" w:cs="Times New Roman"/>
        </w:rPr>
        <w:tab/>
        <w:t xml:space="preserve">4.1 cm (distance from the </w:t>
      </w:r>
      <w:r w:rsidRPr="00E57A2E">
        <w:rPr>
          <w:rFonts w:ascii="Times New Roman" w:hAnsi="Times New Roman" w:cs="Times New Roman"/>
        </w:rPr>
        <w:t>end of 4Q415 11</w:t>
      </w:r>
      <w:r>
        <w:rPr>
          <w:rFonts w:ascii="Times New Roman" w:hAnsi="Times New Roman" w:cs="Times New Roman"/>
        </w:rPr>
        <w:t xml:space="preserve"> l. 13 to the end </w:t>
      </w:r>
      <w:r w:rsidRPr="00E57A2E">
        <w:rPr>
          <w:rFonts w:ascii="Times New Roman" w:hAnsi="Times New Roman" w:cs="Times New Roman"/>
        </w:rPr>
        <w:t>of the line</w:t>
      </w:r>
      <w:r>
        <w:rPr>
          <w:rFonts w:ascii="Times New Roman" w:hAnsi="Times New Roman" w:cs="Times New Roman"/>
        </w:rPr>
        <w:t>)</w:t>
      </w:r>
    </w:p>
    <w:p w14:paraId="4B0AE884"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476 – 9.2*x cm </w:t>
      </w:r>
    </w:p>
    <w:p w14:paraId="7C86ED16" w14:textId="09E22760" w:rsidR="00783833" w:rsidRDefault="00783833" w:rsidP="00EA0392">
      <w:pPr>
        <w:bidi w:val="0"/>
        <w:spacing w:line="360" w:lineRule="auto"/>
        <w:jc w:val="both"/>
        <w:rPr>
          <w:rFonts w:ascii="Times New Roman" w:hAnsi="Times New Roman" w:cs="Times New Roman"/>
        </w:rPr>
      </w:pPr>
      <w:r>
        <w:rPr>
          <w:rFonts w:ascii="Times New Roman" w:hAnsi="Times New Roman" w:cs="Times New Roman"/>
        </w:rPr>
        <w:t xml:space="preserve">There are 476-9.2*x cm of text in the column that follows 4Q415 11. </w:t>
      </w:r>
      <w:r w:rsidRPr="000C705D">
        <w:rPr>
          <w:rFonts w:ascii="Times New Roman" w:hAnsi="Times New Roman" w:cs="Times New Roman"/>
        </w:rPr>
        <w:t xml:space="preserve">If we divide this number by </w:t>
      </w:r>
      <w:r>
        <w:rPr>
          <w:rFonts w:ascii="Times New Roman" w:hAnsi="Times New Roman" w:cs="Times New Roman"/>
        </w:rPr>
        <w:t>x (</w:t>
      </w:r>
      <w:r w:rsidRPr="000C705D">
        <w:rPr>
          <w:rFonts w:ascii="Times New Roman" w:hAnsi="Times New Roman" w:cs="Times New Roman"/>
        </w:rPr>
        <w:t xml:space="preserve">the number of </w:t>
      </w:r>
      <w:r>
        <w:rPr>
          <w:rFonts w:ascii="Times New Roman" w:hAnsi="Times New Roman" w:cs="Times New Roman"/>
        </w:rPr>
        <w:t>line</w:t>
      </w:r>
      <w:r w:rsidRPr="000C705D">
        <w:rPr>
          <w:rFonts w:ascii="Times New Roman" w:hAnsi="Times New Roman" w:cs="Times New Roman"/>
        </w:rPr>
        <w:t>s in the scroll</w:t>
      </w:r>
      <w:r>
        <w:rPr>
          <w:rFonts w:ascii="Times New Roman" w:hAnsi="Times New Roman" w:cs="Times New Roman"/>
        </w:rPr>
        <w:t>),</w:t>
      </w:r>
      <w:r w:rsidRPr="000C705D">
        <w:rPr>
          <w:rFonts w:ascii="Times New Roman" w:hAnsi="Times New Roman" w:cs="Times New Roman"/>
        </w:rPr>
        <w:t xml:space="preserve"> we get the </w:t>
      </w:r>
      <w:r>
        <w:rPr>
          <w:rFonts w:ascii="Times New Roman" w:hAnsi="Times New Roman" w:cs="Times New Roman"/>
        </w:rPr>
        <w:t xml:space="preserve">approximate </w:t>
      </w:r>
      <w:r w:rsidRPr="000C705D">
        <w:rPr>
          <w:rFonts w:ascii="Times New Roman" w:hAnsi="Times New Roman" w:cs="Times New Roman"/>
        </w:rPr>
        <w:t>width of the column</w:t>
      </w:r>
      <w:r>
        <w:rPr>
          <w:rFonts w:ascii="Times New Roman" w:hAnsi="Times New Roman" w:cs="Times New Roman"/>
        </w:rPr>
        <w:t xml:space="preserve">. Now we can calculate the </w:t>
      </w:r>
      <w:r w:rsidR="0033735B">
        <w:rPr>
          <w:rFonts w:ascii="Times New Roman" w:hAnsi="Times New Roman" w:cs="Times New Roman"/>
        </w:rPr>
        <w:t xml:space="preserve">possible </w:t>
      </w:r>
      <w:r>
        <w:rPr>
          <w:rFonts w:ascii="Times New Roman" w:hAnsi="Times New Roman" w:cs="Times New Roman"/>
        </w:rPr>
        <w:t xml:space="preserve">range of the width of the column, by </w:t>
      </w:r>
      <w:r w:rsidR="0033735B">
        <w:rPr>
          <w:rFonts w:ascii="Times New Roman" w:hAnsi="Times New Roman" w:cs="Times New Roman"/>
        </w:rPr>
        <w:t xml:space="preserve">assigning </w:t>
      </w:r>
      <w:r>
        <w:rPr>
          <w:rFonts w:ascii="Times New Roman" w:hAnsi="Times New Roman" w:cs="Times New Roman"/>
        </w:rPr>
        <w:t xml:space="preserve">variable potential values </w:t>
      </w:r>
      <w:r w:rsidR="0033735B">
        <w:rPr>
          <w:rFonts w:ascii="Times New Roman" w:hAnsi="Times New Roman" w:cs="Times New Roman"/>
        </w:rPr>
        <w:t xml:space="preserve">to </w:t>
      </w:r>
      <w:r>
        <w:rPr>
          <w:rFonts w:ascii="Times New Roman" w:hAnsi="Times New Roman" w:cs="Times New Roman"/>
        </w:rPr>
        <w:t xml:space="preserve">x: </w:t>
      </w:r>
    </w:p>
    <w:p w14:paraId="5F425CBA" w14:textId="77777777" w:rsidR="00783833" w:rsidRDefault="00783833" w:rsidP="00783833">
      <w:pPr>
        <w:bidi w:val="0"/>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2883"/>
        <w:gridCol w:w="2872"/>
        <w:gridCol w:w="2535"/>
      </w:tblGrid>
      <w:tr w:rsidR="00783833" w14:paraId="25199A4E" w14:textId="77777777" w:rsidTr="00895E53">
        <w:tc>
          <w:tcPr>
            <w:tcW w:w="2883" w:type="dxa"/>
          </w:tcPr>
          <w:p w14:paraId="0FEC2F9A" w14:textId="77777777" w:rsidR="00783833" w:rsidRPr="001337F7" w:rsidRDefault="00783833" w:rsidP="00895E53">
            <w:pPr>
              <w:bidi w:val="0"/>
              <w:spacing w:line="360" w:lineRule="auto"/>
              <w:jc w:val="center"/>
              <w:rPr>
                <w:rFonts w:ascii="Times New Roman" w:hAnsi="Times New Roman" w:cs="Times New Roman"/>
              </w:rPr>
            </w:pPr>
            <w:r>
              <w:rPr>
                <w:rFonts w:ascii="Times New Roman" w:hAnsi="Times New Roman" w:cs="Times New Roman"/>
              </w:rPr>
              <w:lastRenderedPageBreak/>
              <w:t>Number of lines in the s</w:t>
            </w:r>
            <w:r w:rsidRPr="001337F7">
              <w:rPr>
                <w:rFonts w:ascii="Times New Roman" w:hAnsi="Times New Roman" w:cs="Times New Roman"/>
              </w:rPr>
              <w:t>croll (x)</w:t>
            </w:r>
          </w:p>
        </w:tc>
        <w:tc>
          <w:tcPr>
            <w:tcW w:w="2872" w:type="dxa"/>
          </w:tcPr>
          <w:p w14:paraId="72EAED3A" w14:textId="77777777" w:rsidR="00783833" w:rsidRPr="001337F7" w:rsidRDefault="00783833" w:rsidP="00895E53">
            <w:pPr>
              <w:bidi w:val="0"/>
              <w:spacing w:line="360" w:lineRule="auto"/>
              <w:jc w:val="center"/>
              <w:rPr>
                <w:rFonts w:ascii="Times New Roman" w:hAnsi="Times New Roman" w:cs="Times New Roman"/>
              </w:rPr>
            </w:pPr>
            <w:r w:rsidRPr="001337F7">
              <w:rPr>
                <w:rFonts w:ascii="Times New Roman" w:hAnsi="Times New Roman" w:cs="Times New Roman"/>
              </w:rPr>
              <w:t>Column’s</w:t>
            </w:r>
            <w:r>
              <w:rPr>
                <w:rFonts w:ascii="Times New Roman" w:hAnsi="Times New Roman" w:cs="Times New Roman"/>
              </w:rPr>
              <w:t xml:space="preserve"> w</w:t>
            </w:r>
            <w:r w:rsidRPr="001337F7">
              <w:rPr>
                <w:rFonts w:ascii="Times New Roman" w:hAnsi="Times New Roman" w:cs="Times New Roman"/>
              </w:rPr>
              <w:t>idth</w:t>
            </w:r>
            <w:r>
              <w:rPr>
                <w:rFonts w:ascii="Times New Roman" w:hAnsi="Times New Roman" w:cs="Times New Roman"/>
              </w:rPr>
              <w:t xml:space="preserve"> (cm)</w:t>
            </w:r>
          </w:p>
        </w:tc>
        <w:tc>
          <w:tcPr>
            <w:tcW w:w="2535" w:type="dxa"/>
          </w:tcPr>
          <w:p w14:paraId="399BB272" w14:textId="77777777" w:rsidR="00783833" w:rsidRPr="001337F7" w:rsidRDefault="00783833" w:rsidP="00895E53">
            <w:pPr>
              <w:bidi w:val="0"/>
              <w:spacing w:line="360" w:lineRule="auto"/>
              <w:jc w:val="center"/>
              <w:rPr>
                <w:rFonts w:ascii="Times New Roman" w:hAnsi="Times New Roman" w:cs="Times New Roman"/>
              </w:rPr>
            </w:pPr>
            <w:r>
              <w:rPr>
                <w:rFonts w:ascii="Times New Roman" w:hAnsi="Times New Roman" w:cs="Times New Roman"/>
              </w:rPr>
              <w:t>Theoretical margin of e</w:t>
            </w:r>
            <w:r w:rsidRPr="001337F7">
              <w:rPr>
                <w:rFonts w:ascii="Times New Roman" w:hAnsi="Times New Roman" w:cs="Times New Roman"/>
              </w:rPr>
              <w:t>rror</w:t>
            </w:r>
            <w:r>
              <w:rPr>
                <w:rFonts w:ascii="Times New Roman" w:hAnsi="Times New Roman" w:cs="Times New Roman"/>
              </w:rPr>
              <w:t xml:space="preserve"> (cm)</w:t>
            </w:r>
            <w:r w:rsidRPr="001337F7">
              <w:rPr>
                <w:rStyle w:val="a5"/>
                <w:rFonts w:ascii="Times New Roman" w:hAnsi="Times New Roman" w:cs="Times New Roman"/>
              </w:rPr>
              <w:footnoteReference w:id="12"/>
            </w:r>
          </w:p>
        </w:tc>
      </w:tr>
      <w:tr w:rsidR="00783833" w14:paraId="744F5AEE" w14:textId="77777777" w:rsidTr="00895E53">
        <w:tc>
          <w:tcPr>
            <w:tcW w:w="2883" w:type="dxa"/>
          </w:tcPr>
          <w:p w14:paraId="62416279" w14:textId="77777777" w:rsidR="00783833" w:rsidRDefault="00783833" w:rsidP="00895E53">
            <w:pPr>
              <w:bidi w:val="0"/>
              <w:spacing w:line="360" w:lineRule="auto"/>
              <w:jc w:val="center"/>
              <w:rPr>
                <w:rFonts w:ascii="Times New Roman" w:hAnsi="Times New Roman" w:cs="Times New Roman"/>
              </w:rPr>
            </w:pPr>
            <w:r>
              <w:rPr>
                <w:rFonts w:ascii="Times New Roman" w:hAnsi="Times New Roman" w:cs="Times New Roman"/>
              </w:rPr>
              <w:t>20</w:t>
            </w:r>
          </w:p>
        </w:tc>
        <w:tc>
          <w:tcPr>
            <w:tcW w:w="2872" w:type="dxa"/>
          </w:tcPr>
          <w:p w14:paraId="016BA862" w14:textId="77777777" w:rsidR="00783833" w:rsidRDefault="00783833" w:rsidP="00895E53">
            <w:pPr>
              <w:bidi w:val="0"/>
              <w:spacing w:line="360" w:lineRule="auto"/>
              <w:jc w:val="center"/>
              <w:rPr>
                <w:rFonts w:ascii="Times New Roman" w:hAnsi="Times New Roman" w:cs="Times New Roman"/>
              </w:rPr>
            </w:pPr>
            <w:r>
              <w:rPr>
                <w:rFonts w:ascii="Times New Roman" w:hAnsi="Times New Roman" w:cs="Times New Roman"/>
              </w:rPr>
              <w:t xml:space="preserve">14.6 </w:t>
            </w:r>
          </w:p>
        </w:tc>
        <w:tc>
          <w:tcPr>
            <w:tcW w:w="2535" w:type="dxa"/>
          </w:tcPr>
          <w:p w14:paraId="1A2764B6" w14:textId="77777777" w:rsidR="00783833" w:rsidRDefault="00783833" w:rsidP="00895E53">
            <w:pPr>
              <w:bidi w:val="0"/>
              <w:spacing w:line="360" w:lineRule="auto"/>
              <w:jc w:val="center"/>
              <w:rPr>
                <w:rFonts w:ascii="Times New Roman" w:hAnsi="Times New Roman" w:cs="Times New Roman"/>
              </w:rPr>
            </w:pPr>
            <w:r>
              <w:rPr>
                <w:rFonts w:ascii="Times New Roman" w:hAnsi="Times New Roman" w:cs="Times New Roman"/>
              </w:rPr>
              <w:t xml:space="preserve">1.3 </w:t>
            </w:r>
          </w:p>
        </w:tc>
      </w:tr>
    </w:tbl>
    <w:p w14:paraId="23604660" w14:textId="77777777" w:rsidR="00783833" w:rsidRDefault="00783833" w:rsidP="00783833">
      <w:pPr>
        <w:tabs>
          <w:tab w:val="left" w:pos="1134"/>
          <w:tab w:val="left" w:pos="4253"/>
        </w:tabs>
        <w:bidi w:val="0"/>
        <w:spacing w:line="360" w:lineRule="auto"/>
        <w:jc w:val="both"/>
        <w:rPr>
          <w:rFonts w:asciiTheme="majorBidi" w:hAnsiTheme="majorBidi" w:cstheme="majorBidi"/>
        </w:rPr>
      </w:pPr>
    </w:p>
    <w:p w14:paraId="3F788DF1" w14:textId="2DC5D672"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column in a 20, 21 and 22-line scroll is wide, but is too narrow to assume that there were two columns between 4Q415 11 and 4Q415 6. </w:t>
      </w:r>
      <w:r w:rsidR="00AA73D5">
        <w:rPr>
          <w:rFonts w:ascii="Times New Roman" w:hAnsi="Times New Roman" w:cs="Times New Roman"/>
        </w:rPr>
        <w:t>At the same time</w:t>
      </w:r>
      <w:r>
        <w:rPr>
          <w:rFonts w:ascii="Times New Roman" w:hAnsi="Times New Roman" w:cs="Times New Roman"/>
        </w:rPr>
        <w:t xml:space="preserve">, the column in a </w:t>
      </w:r>
      <w:r w:rsidR="00AA73D5">
        <w:rPr>
          <w:rFonts w:ascii="Times New Roman" w:hAnsi="Times New Roman" w:cs="Times New Roman"/>
        </w:rPr>
        <w:t xml:space="preserve">scroll of </w:t>
      </w:r>
      <w:r>
        <w:rPr>
          <w:rFonts w:ascii="Times New Roman" w:hAnsi="Times New Roman" w:cs="Times New Roman"/>
        </w:rPr>
        <w:t>30</w:t>
      </w:r>
      <w:r w:rsidR="00AA73D5">
        <w:rPr>
          <w:rFonts w:ascii="Times New Roman" w:hAnsi="Times New Roman" w:cs="Times New Roman"/>
        </w:rPr>
        <w:t xml:space="preserve"> </w:t>
      </w:r>
      <w:r>
        <w:rPr>
          <w:rFonts w:ascii="Times New Roman" w:hAnsi="Times New Roman" w:cs="Times New Roman"/>
        </w:rPr>
        <w:t>line</w:t>
      </w:r>
      <w:r w:rsidR="00AA73D5">
        <w:rPr>
          <w:rFonts w:ascii="Times New Roman" w:hAnsi="Times New Roman" w:cs="Times New Roman"/>
        </w:rPr>
        <w:t xml:space="preserve">s or more </w:t>
      </w:r>
      <w:r>
        <w:rPr>
          <w:rFonts w:ascii="Times New Roman" w:hAnsi="Times New Roman" w:cs="Times New Roman"/>
        </w:rPr>
        <w:t>is narrow</w:t>
      </w:r>
      <w:r w:rsidR="00AA73D5">
        <w:rPr>
          <w:rFonts w:ascii="Times New Roman" w:hAnsi="Times New Roman" w:cs="Times New Roman"/>
        </w:rPr>
        <w:t>,</w:t>
      </w:r>
      <w:r>
        <w:rPr>
          <w:rFonts w:ascii="Times New Roman" w:hAnsi="Times New Roman" w:cs="Times New Roman"/>
        </w:rPr>
        <w:t xml:space="preserve"> and thus unreasonable. </w:t>
      </w:r>
      <w:r w:rsidR="00AA73D5">
        <w:rPr>
          <w:rFonts w:ascii="Times New Roman" w:hAnsi="Times New Roman" w:cs="Times New Roman"/>
        </w:rPr>
        <w:t xml:space="preserve">On this basis, we can </w:t>
      </w:r>
      <w:r>
        <w:rPr>
          <w:rFonts w:ascii="Times New Roman" w:hAnsi="Times New Roman" w:cs="Times New Roman"/>
        </w:rPr>
        <w:t xml:space="preserve">narrow down the </w:t>
      </w:r>
      <w:r w:rsidR="00AA73D5">
        <w:rPr>
          <w:rFonts w:ascii="Times New Roman" w:hAnsi="Times New Roman" w:cs="Times New Roman"/>
        </w:rPr>
        <w:t xml:space="preserve">possible </w:t>
      </w:r>
      <w:r>
        <w:rPr>
          <w:rFonts w:ascii="Times New Roman" w:hAnsi="Times New Roman" w:cs="Times New Roman"/>
        </w:rPr>
        <w:t>range to 23–29 lines</w:t>
      </w:r>
      <w:r w:rsidR="00551A9F">
        <w:rPr>
          <w:rFonts w:ascii="Times New Roman" w:hAnsi="Times New Roman" w:cs="Times New Roman"/>
        </w:rPr>
        <w:t xml:space="preserve"> in the scroll</w:t>
      </w:r>
      <w:r>
        <w:rPr>
          <w:rFonts w:ascii="Times New Roman" w:hAnsi="Times New Roman" w:cs="Times New Roman"/>
        </w:rPr>
        <w:t xml:space="preserve">. </w:t>
      </w:r>
    </w:p>
    <w:p w14:paraId="0EEA31D1" w14:textId="493D4535"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reconstruction requires a specific width of the column. Therefore, </w:t>
      </w:r>
      <w:r w:rsidRPr="00E16FEE">
        <w:rPr>
          <w:rFonts w:ascii="Times New Roman" w:hAnsi="Times New Roman" w:cs="Times New Roman"/>
        </w:rPr>
        <w:t xml:space="preserve">I </w:t>
      </w:r>
      <w:r>
        <w:rPr>
          <w:rFonts w:ascii="Times New Roman" w:hAnsi="Times New Roman" w:cs="Times New Roman"/>
        </w:rPr>
        <w:t>postulate</w:t>
      </w:r>
      <w:r w:rsidRPr="00E16FEE">
        <w:rPr>
          <w:rFonts w:ascii="Times New Roman" w:hAnsi="Times New Roman" w:cs="Times New Roman"/>
        </w:rPr>
        <w:t xml:space="preserve"> that the original scroll </w:t>
      </w:r>
      <w:r>
        <w:rPr>
          <w:rFonts w:ascii="Times New Roman" w:hAnsi="Times New Roman" w:cs="Times New Roman"/>
        </w:rPr>
        <w:t xml:space="preserve">contained </w:t>
      </w:r>
      <w:r w:rsidRPr="00E16FEE">
        <w:rPr>
          <w:rFonts w:ascii="Times New Roman" w:hAnsi="Times New Roman" w:cs="Times New Roman"/>
        </w:rPr>
        <w:t>28 lines</w:t>
      </w:r>
      <w:r>
        <w:rPr>
          <w:rFonts w:ascii="Times New Roman" w:hAnsi="Times New Roman" w:cs="Times New Roman"/>
        </w:rPr>
        <w:t xml:space="preserve">, which is the average </w:t>
      </w:r>
      <w:r w:rsidR="00D90A26">
        <w:rPr>
          <w:rFonts w:ascii="Times New Roman" w:hAnsi="Times New Roman" w:cs="Times New Roman"/>
        </w:rPr>
        <w:t xml:space="preserve">number </w:t>
      </w:r>
      <w:r>
        <w:rPr>
          <w:rFonts w:ascii="Times New Roman" w:hAnsi="Times New Roman" w:cs="Times New Roman"/>
        </w:rPr>
        <w:t xml:space="preserve">of lines per column </w:t>
      </w:r>
      <w:r w:rsidR="00D90A26">
        <w:rPr>
          <w:rFonts w:ascii="Times New Roman" w:hAnsi="Times New Roman" w:cs="Times New Roman"/>
        </w:rPr>
        <w:t xml:space="preserve">in </w:t>
      </w:r>
      <w:r>
        <w:rPr>
          <w:rFonts w:ascii="Times New Roman" w:hAnsi="Times New Roman" w:cs="Times New Roman"/>
        </w:rPr>
        <w:t xml:space="preserve">the copies of </w:t>
      </w:r>
      <w:r w:rsidRPr="001D6986">
        <w:rPr>
          <w:rFonts w:ascii="Times New Roman" w:hAnsi="Times New Roman" w:cs="Times New Roman"/>
          <w:i/>
          <w:iCs/>
        </w:rPr>
        <w:t>Instruction</w:t>
      </w:r>
      <w:r>
        <w:rPr>
          <w:rFonts w:ascii="Times New Roman" w:hAnsi="Times New Roman" w:cs="Times New Roman"/>
        </w:rPr>
        <w:t xml:space="preserve"> from Qumran</w:t>
      </w:r>
      <w:r w:rsidR="00D90A26">
        <w:rPr>
          <w:rFonts w:ascii="Times New Roman" w:hAnsi="Times New Roman" w:cs="Times New Roman"/>
        </w:rPr>
        <w:t xml:space="preserve"> –</w:t>
      </w:r>
      <w:r>
        <w:rPr>
          <w:rFonts w:ascii="Times New Roman" w:hAnsi="Times New Roman" w:cs="Times New Roman"/>
        </w:rPr>
        <w:t xml:space="preserve"> </w:t>
      </w:r>
      <w:r w:rsidRPr="001D6986">
        <w:rPr>
          <w:rFonts w:ascii="Times New Roman" w:hAnsi="Times New Roman" w:cs="Times New Roman"/>
        </w:rPr>
        <w:t>as</w:t>
      </w:r>
      <w:r>
        <w:rPr>
          <w:rFonts w:ascii="Times New Roman" w:hAnsi="Times New Roman" w:cs="Times New Roman"/>
        </w:rPr>
        <w:t xml:space="preserve"> in 4Q417 and 4Q418</w:t>
      </w:r>
      <w:r w:rsidRPr="00E16FEE">
        <w:rPr>
          <w:rFonts w:ascii="Times New Roman" w:hAnsi="Times New Roman" w:cs="Times New Roman"/>
        </w:rPr>
        <w:t>.</w:t>
      </w:r>
      <w:r>
        <w:rPr>
          <w:rStyle w:val="a5"/>
          <w:rFonts w:ascii="Times New Roman" w:hAnsi="Times New Roman" w:cs="Times New Roman"/>
        </w:rPr>
        <w:footnoteReference w:id="13"/>
      </w:r>
      <w:r>
        <w:rPr>
          <w:rFonts w:ascii="Times New Roman" w:hAnsi="Times New Roman" w:cs="Times New Roman"/>
        </w:rPr>
        <w:t xml:space="preserve"> </w:t>
      </w:r>
      <w:r w:rsidRPr="00E16FEE">
        <w:rPr>
          <w:rFonts w:ascii="Times New Roman" w:hAnsi="Times New Roman" w:cs="Times New Roman"/>
        </w:rPr>
        <w:t xml:space="preserve">Although </w:t>
      </w:r>
      <w:r>
        <w:rPr>
          <w:rFonts w:ascii="Times New Roman" w:hAnsi="Times New Roman" w:cs="Times New Roman"/>
        </w:rPr>
        <w:t>my suggestion</w:t>
      </w:r>
      <w:r w:rsidRPr="00E16FEE">
        <w:rPr>
          <w:rFonts w:ascii="Times New Roman" w:hAnsi="Times New Roman" w:cs="Times New Roman"/>
        </w:rPr>
        <w:t xml:space="preserve"> </w:t>
      </w:r>
      <w:r>
        <w:rPr>
          <w:rFonts w:ascii="Times New Roman" w:hAnsi="Times New Roman" w:cs="Times New Roman"/>
        </w:rPr>
        <w:t>may not</w:t>
      </w:r>
      <w:r w:rsidRPr="00E16FEE">
        <w:rPr>
          <w:rFonts w:ascii="Times New Roman" w:hAnsi="Times New Roman" w:cs="Times New Roman"/>
        </w:rPr>
        <w:t xml:space="preserve"> be substantiated </w:t>
      </w:r>
      <w:r>
        <w:rPr>
          <w:rFonts w:ascii="Times New Roman" w:hAnsi="Times New Roman" w:cs="Times New Roman"/>
        </w:rPr>
        <w:t>on the basis of</w:t>
      </w:r>
      <w:r w:rsidRPr="00E16FEE">
        <w:rPr>
          <w:rFonts w:ascii="Times New Roman" w:hAnsi="Times New Roman" w:cs="Times New Roman"/>
        </w:rPr>
        <w:t xml:space="preserve"> material evidence, </w:t>
      </w:r>
      <w:r>
        <w:rPr>
          <w:rFonts w:ascii="Times New Roman" w:hAnsi="Times New Roman" w:cs="Times New Roman"/>
        </w:rPr>
        <w:t>it can be tested by means of “trial and error.</w:t>
      </w:r>
      <w:r w:rsidR="00D90A26">
        <w:rPr>
          <w:rFonts w:ascii="Times New Roman" w:hAnsi="Times New Roman" w:cs="Times New Roman"/>
        </w:rPr>
        <w:t>”</w:t>
      </w:r>
      <w:r>
        <w:rPr>
          <w:rFonts w:ascii="Times New Roman" w:hAnsi="Times New Roman" w:cs="Times New Roman"/>
        </w:rPr>
        <w:t xml:space="preserve"> </w:t>
      </w:r>
    </w:p>
    <w:p w14:paraId="4985DB8B" w14:textId="77777777" w:rsidR="00783833" w:rsidRDefault="00783833" w:rsidP="00783833">
      <w:pPr>
        <w:bidi w:val="0"/>
        <w:spacing w:line="360" w:lineRule="auto"/>
        <w:jc w:val="both"/>
        <w:rPr>
          <w:rFonts w:ascii="Times New Roman" w:hAnsi="Times New Roman" w:cs="Times New Roman"/>
        </w:rPr>
      </w:pPr>
    </w:p>
    <w:p w14:paraId="2F443B50" w14:textId="77777777" w:rsidR="00783833" w:rsidRDefault="00783833" w:rsidP="00783833">
      <w:pPr>
        <w:bidi w:val="0"/>
        <w:spacing w:after="200" w:line="360" w:lineRule="auto"/>
        <w:jc w:val="both"/>
        <w:rPr>
          <w:rFonts w:ascii="Times New Roman" w:hAnsi="Times New Roman" w:cs="Times New Roman"/>
          <w:b/>
          <w:bCs/>
        </w:rPr>
      </w:pPr>
      <w:r w:rsidRPr="00E14C5F">
        <w:rPr>
          <w:rFonts w:ascii="Times New Roman" w:hAnsi="Times New Roman" w:cs="Times New Roman"/>
          <w:b/>
          <w:bCs/>
        </w:rPr>
        <w:t xml:space="preserve">6 </w:t>
      </w:r>
      <w:r w:rsidRPr="002F7B0F">
        <w:rPr>
          <w:rFonts w:ascii="Times New Roman" w:hAnsi="Times New Roman" w:cs="Times New Roman"/>
          <w:b/>
          <w:bCs/>
        </w:rPr>
        <w:tab/>
      </w:r>
      <w:r>
        <w:rPr>
          <w:rFonts w:ascii="Times New Roman" w:hAnsi="Times New Roman" w:cs="Times New Roman"/>
          <w:b/>
          <w:bCs/>
        </w:rPr>
        <w:t xml:space="preserve">Intercolumnar </w:t>
      </w:r>
      <w:r w:rsidRPr="00E14C5F">
        <w:rPr>
          <w:rFonts w:ascii="Times New Roman" w:hAnsi="Times New Roman" w:cs="Times New Roman"/>
          <w:b/>
          <w:bCs/>
        </w:rPr>
        <w:t>Margin</w:t>
      </w:r>
      <w:r>
        <w:rPr>
          <w:rFonts w:ascii="Times New Roman" w:hAnsi="Times New Roman" w:cs="Times New Roman"/>
          <w:b/>
          <w:bCs/>
        </w:rPr>
        <w:t>s</w:t>
      </w:r>
      <w:r w:rsidRPr="00E14C5F">
        <w:rPr>
          <w:rFonts w:ascii="Times New Roman" w:hAnsi="Times New Roman" w:cs="Times New Roman"/>
          <w:b/>
          <w:bCs/>
        </w:rPr>
        <w:t xml:space="preserve"> </w:t>
      </w:r>
    </w:p>
    <w:p w14:paraId="67A44167" w14:textId="2CB0A4BD" w:rsidR="00783833" w:rsidRDefault="00783833" w:rsidP="00783833">
      <w:pPr>
        <w:bidi w:val="0"/>
        <w:spacing w:after="200" w:line="360" w:lineRule="auto"/>
        <w:jc w:val="both"/>
        <w:rPr>
          <w:rFonts w:ascii="Times New Roman" w:eastAsiaTheme="minorEastAsia" w:hAnsi="Times New Roman" w:cs="Times New Roman"/>
        </w:rPr>
      </w:pPr>
      <w:r>
        <w:rPr>
          <w:rFonts w:ascii="Times New Roman" w:hAnsi="Times New Roman" w:cs="Times New Roman"/>
        </w:rPr>
        <w:t xml:space="preserve">Intercolumnar margins have been completely preserved in 4Q415 1 and 4Q415 2, and a large portion of them </w:t>
      </w:r>
      <w:r w:rsidR="00B739EB">
        <w:rPr>
          <w:rFonts w:ascii="Times New Roman" w:hAnsi="Times New Roman" w:cs="Times New Roman"/>
        </w:rPr>
        <w:t xml:space="preserve">are </w:t>
      </w:r>
      <w:r>
        <w:rPr>
          <w:rFonts w:ascii="Times New Roman" w:hAnsi="Times New Roman" w:cs="Times New Roman"/>
        </w:rPr>
        <w:t xml:space="preserve">preserved in 4Q415 6. The </w:t>
      </w:r>
      <w:r w:rsidR="00B739EB">
        <w:rPr>
          <w:rFonts w:ascii="Times New Roman" w:hAnsi="Times New Roman" w:cs="Times New Roman"/>
        </w:rPr>
        <w:t xml:space="preserve">width of the </w:t>
      </w:r>
      <w:r>
        <w:rPr>
          <w:rFonts w:ascii="Times New Roman" w:hAnsi="Times New Roman" w:cs="Times New Roman"/>
        </w:rPr>
        <w:t xml:space="preserve">intercolumnar margin in all </w:t>
      </w:r>
      <w:r w:rsidR="00B739EB">
        <w:rPr>
          <w:rFonts w:ascii="Times New Roman" w:hAnsi="Times New Roman" w:cs="Times New Roman"/>
        </w:rPr>
        <w:t xml:space="preserve">of </w:t>
      </w:r>
      <w:r>
        <w:rPr>
          <w:rFonts w:ascii="Times New Roman" w:hAnsi="Times New Roman" w:cs="Times New Roman"/>
        </w:rPr>
        <w:t xml:space="preserve">these fragments is approximately 1.1 cm. As can be seen from other </w:t>
      </w:r>
      <w:r w:rsidR="00B739EB">
        <w:rPr>
          <w:rFonts w:ascii="Times New Roman" w:hAnsi="Times New Roman" w:cs="Times New Roman"/>
        </w:rPr>
        <w:t xml:space="preserve">scrolls </w:t>
      </w:r>
      <w:r>
        <w:rPr>
          <w:rFonts w:ascii="Times New Roman" w:hAnsi="Times New Roman" w:cs="Times New Roman"/>
        </w:rPr>
        <w:t>that preserve consecutive columns, the width of the intercolumnar margins i</w:t>
      </w:r>
      <w:r w:rsidR="00B739EB">
        <w:rPr>
          <w:rFonts w:ascii="Times New Roman" w:hAnsi="Times New Roman" w:cs="Times New Roman"/>
        </w:rPr>
        <w:t>s</w:t>
      </w:r>
      <w:r>
        <w:rPr>
          <w:rFonts w:ascii="Times New Roman" w:hAnsi="Times New Roman" w:cs="Times New Roman"/>
        </w:rPr>
        <w:t xml:space="preserve"> not uniform throughout the scroll. However, the preserved width fits the average width of intercolumnar margins in DSS</w:t>
      </w:r>
      <w:r w:rsidR="00E444C2">
        <w:rPr>
          <w:rFonts w:ascii="Times New Roman" w:hAnsi="Times New Roman" w:cs="Times New Roman"/>
        </w:rPr>
        <w:t xml:space="preserve"> –</w:t>
      </w:r>
      <w:r>
        <w:rPr>
          <w:rFonts w:ascii="Times New Roman" w:hAnsi="Times New Roman" w:cs="Times New Roman"/>
        </w:rPr>
        <w:t xml:space="preserve"> that is</w:t>
      </w:r>
      <w:r w:rsidR="00E444C2">
        <w:rPr>
          <w:rFonts w:ascii="Times New Roman" w:hAnsi="Times New Roman" w:cs="Times New Roman"/>
        </w:rPr>
        <w:t>,</w:t>
      </w:r>
      <w:r>
        <w:rPr>
          <w:rFonts w:ascii="Times New Roman" w:hAnsi="Times New Roman" w:cs="Times New Roman"/>
        </w:rPr>
        <w:t xml:space="preserve"> 1–1.5 cm.</w:t>
      </w:r>
      <w:r>
        <w:rPr>
          <w:rStyle w:val="a5"/>
          <w:rFonts w:ascii="Times New Roman" w:hAnsi="Times New Roman" w:cs="Times New Roman"/>
        </w:rPr>
        <w:footnoteReference w:id="14"/>
      </w:r>
      <w:r>
        <w:rPr>
          <w:rFonts w:ascii="Times New Roman" w:hAnsi="Times New Roman" w:cs="Times New Roman"/>
        </w:rPr>
        <w:t xml:space="preserve"> Hence it will serve here as the width of the further intercolumnar margins in the reconstructed scroll. Based on the margins preserved in frags. 1, 2</w:t>
      </w:r>
      <w:r w:rsidR="00E444C2">
        <w:rPr>
          <w:rFonts w:ascii="Times New Roman" w:hAnsi="Times New Roman" w:cs="Times New Roman"/>
        </w:rPr>
        <w:t>,</w:t>
      </w:r>
      <w:r>
        <w:rPr>
          <w:rFonts w:ascii="Times New Roman" w:hAnsi="Times New Roman" w:cs="Times New Roman"/>
        </w:rPr>
        <w:t xml:space="preserve"> </w:t>
      </w:r>
      <w:r w:rsidR="00E444C2">
        <w:rPr>
          <w:rFonts w:ascii="Times New Roman" w:hAnsi="Times New Roman" w:cs="Times New Roman"/>
        </w:rPr>
        <w:t>a</w:t>
      </w:r>
      <w:r>
        <w:rPr>
          <w:rFonts w:ascii="Times New Roman" w:hAnsi="Times New Roman" w:cs="Times New Roman"/>
        </w:rPr>
        <w:t xml:space="preserve">nd 6, and the average width of intercolumnar margins, the margin </w:t>
      </w:r>
      <w:r w:rsidR="00E444C2">
        <w:rPr>
          <w:rFonts w:ascii="Times New Roman" w:hAnsi="Times New Roman" w:cs="Times New Roman"/>
        </w:rPr>
        <w:t xml:space="preserve">of </w:t>
      </w:r>
      <w:r>
        <w:rPr>
          <w:rFonts w:ascii="Times New Roman" w:hAnsi="Times New Roman" w:cs="Times New Roman"/>
        </w:rPr>
        <w:t xml:space="preserve">error may be </w:t>
      </w:r>
      <m:oMath>
        <m:r>
          <w:rPr>
            <w:rFonts w:ascii="Cambria Math" w:hAnsi="Cambria Math" w:cstheme="majorBidi"/>
          </w:rPr>
          <m:t>±</m:t>
        </m:r>
      </m:oMath>
      <w:r>
        <w:rPr>
          <w:rFonts w:ascii="Times New Roman" w:eastAsiaTheme="minorEastAsia" w:hAnsi="Times New Roman" w:cs="Times New Roman"/>
        </w:rPr>
        <w:t xml:space="preserve"> 0.3 cm.</w:t>
      </w:r>
    </w:p>
    <w:p w14:paraId="236E085A" w14:textId="77777777" w:rsidR="00783833" w:rsidRPr="00323A5E" w:rsidRDefault="00783833" w:rsidP="00783833">
      <w:pPr>
        <w:bidi w:val="0"/>
        <w:spacing w:after="200" w:line="360" w:lineRule="auto"/>
        <w:jc w:val="both"/>
        <w:rPr>
          <w:rFonts w:ascii="Times New Roman" w:eastAsiaTheme="minorEastAsia" w:hAnsi="Times New Roman" w:cs="Times New Roman"/>
        </w:rPr>
      </w:pPr>
      <w:r>
        <w:rPr>
          <w:rFonts w:ascii="Times New Roman" w:hAnsi="Times New Roman" w:cs="Times New Roman"/>
          <w:b/>
          <w:bCs/>
        </w:rPr>
        <w:t>7</w:t>
      </w:r>
      <w:r>
        <w:rPr>
          <w:rFonts w:ascii="Times New Roman" w:hAnsi="Times New Roman" w:cs="Times New Roman"/>
          <w:b/>
          <w:bCs/>
        </w:rPr>
        <w:tab/>
      </w:r>
      <w:r w:rsidRPr="002F7B0F">
        <w:rPr>
          <w:rFonts w:ascii="Times New Roman" w:hAnsi="Times New Roman" w:cs="Times New Roman"/>
          <w:b/>
          <w:bCs/>
        </w:rPr>
        <w:t>Margins Between Sheets</w:t>
      </w:r>
    </w:p>
    <w:p w14:paraId="4F4328CE" w14:textId="4C870BEE" w:rsidR="00783833" w:rsidRDefault="00783833" w:rsidP="00783833">
      <w:pPr>
        <w:bidi w:val="0"/>
        <w:spacing w:after="200" w:line="360" w:lineRule="auto"/>
        <w:jc w:val="both"/>
        <w:rPr>
          <w:rFonts w:ascii="Times New Roman" w:eastAsiaTheme="minorEastAsia" w:hAnsi="Times New Roman" w:cs="Times New Roman"/>
        </w:rPr>
      </w:pPr>
      <w:r>
        <w:rPr>
          <w:rFonts w:ascii="Times New Roman" w:hAnsi="Times New Roman" w:cs="Times New Roman"/>
        </w:rPr>
        <w:lastRenderedPageBreak/>
        <w:t>Margins between sheets have been completely preserved in 4Q415 10. Two further fragments preserve margins between sheets: 4Q415 8 preserves</w:t>
      </w:r>
      <w:r w:rsidR="00A126AD">
        <w:rPr>
          <w:rFonts w:ascii="Times New Roman" w:hAnsi="Times New Roman" w:cs="Times New Roman"/>
        </w:rPr>
        <w:t xml:space="preserve"> the</w:t>
      </w:r>
      <w:r>
        <w:rPr>
          <w:rFonts w:ascii="Times New Roman" w:hAnsi="Times New Roman" w:cs="Times New Roman"/>
        </w:rPr>
        <w:t xml:space="preserve"> trace of </w:t>
      </w:r>
      <w:r w:rsidR="00A126AD">
        <w:rPr>
          <w:rFonts w:ascii="Times New Roman" w:hAnsi="Times New Roman" w:cs="Times New Roman"/>
        </w:rPr>
        <w:t xml:space="preserve">a </w:t>
      </w:r>
      <w:r>
        <w:rPr>
          <w:rFonts w:ascii="Times New Roman" w:hAnsi="Times New Roman" w:cs="Times New Roman"/>
        </w:rPr>
        <w:t xml:space="preserve">seam at the left margin, and 4Q415 9 preserves </w:t>
      </w:r>
      <w:r w:rsidR="00A126AD">
        <w:rPr>
          <w:rFonts w:ascii="Times New Roman" w:hAnsi="Times New Roman" w:cs="Times New Roman"/>
        </w:rPr>
        <w:t xml:space="preserve">a </w:t>
      </w:r>
      <w:r>
        <w:rPr>
          <w:rFonts w:ascii="Times New Roman" w:hAnsi="Times New Roman" w:cs="Times New Roman"/>
        </w:rPr>
        <w:t xml:space="preserve">seam at the right margin. 4Q415 10 indicates that the margin width is approximately 2 cm, while the margin width </w:t>
      </w:r>
      <w:r w:rsidR="00A126AD">
        <w:rPr>
          <w:rFonts w:ascii="Times New Roman" w:hAnsi="Times New Roman" w:cs="Times New Roman"/>
        </w:rPr>
        <w:t>o</w:t>
      </w:r>
      <w:r>
        <w:rPr>
          <w:rFonts w:ascii="Times New Roman" w:hAnsi="Times New Roman" w:cs="Times New Roman"/>
        </w:rPr>
        <w:t>n the left side of the seam is 1.1 cm (according to 4Q415 9 and 4Q415 10ii</w:t>
      </w:r>
      <w:r w:rsidR="00A126AD">
        <w:rPr>
          <w:rFonts w:ascii="Times New Roman" w:hAnsi="Times New Roman" w:cs="Times New Roman"/>
        </w:rPr>
        <w:t>,</w:t>
      </w:r>
      <w:r>
        <w:rPr>
          <w:rFonts w:ascii="Times New Roman" w:hAnsi="Times New Roman" w:cs="Times New Roman"/>
        </w:rPr>
        <w:t xml:space="preserve"> </w:t>
      </w:r>
      <w:r w:rsidR="00A126AD">
        <w:rPr>
          <w:rFonts w:ascii="Times New Roman" w:hAnsi="Times New Roman" w:cs="Times New Roman"/>
        </w:rPr>
        <w:t xml:space="preserve">which </w:t>
      </w:r>
      <w:r>
        <w:rPr>
          <w:rFonts w:ascii="Times New Roman" w:hAnsi="Times New Roman" w:cs="Times New Roman"/>
        </w:rPr>
        <w:t>probably belong to the same column). The distance between the end of the lines and the seam in 4Q415 8 is also 1.1 cm. Although the width of the margins between sheets is probably not uniform throughout the scroll, methodologically, these figures are the best start</w:t>
      </w:r>
      <w:r w:rsidR="00A126AD">
        <w:rPr>
          <w:rFonts w:ascii="Times New Roman" w:hAnsi="Times New Roman" w:cs="Times New Roman"/>
        </w:rPr>
        <w:t>ing</w:t>
      </w:r>
      <w:r>
        <w:rPr>
          <w:rFonts w:ascii="Times New Roman" w:hAnsi="Times New Roman" w:cs="Times New Roman"/>
        </w:rPr>
        <w:t xml:space="preserve"> point </w:t>
      </w:r>
      <w:r w:rsidR="00A126AD">
        <w:rPr>
          <w:rFonts w:ascii="Times New Roman" w:hAnsi="Times New Roman" w:cs="Times New Roman"/>
        </w:rPr>
        <w:t xml:space="preserve">for estimating </w:t>
      </w:r>
      <w:r>
        <w:rPr>
          <w:rFonts w:ascii="Times New Roman" w:hAnsi="Times New Roman" w:cs="Times New Roman"/>
        </w:rPr>
        <w:t xml:space="preserve">the margin width between sheets in the scroll. Therefore, </w:t>
      </w:r>
      <w:r w:rsidR="00A126AD">
        <w:rPr>
          <w:rFonts w:ascii="Times New Roman" w:hAnsi="Times New Roman" w:cs="Times New Roman"/>
        </w:rPr>
        <w:t xml:space="preserve">with </w:t>
      </w:r>
      <w:r>
        <w:rPr>
          <w:rFonts w:ascii="Times New Roman" w:hAnsi="Times New Roman" w:cs="Times New Roman"/>
        </w:rPr>
        <w:t xml:space="preserve">the </w:t>
      </w:r>
      <w:r w:rsidR="00A126AD">
        <w:rPr>
          <w:rFonts w:ascii="Times New Roman" w:hAnsi="Times New Roman" w:cs="Times New Roman"/>
        </w:rPr>
        <w:t>appropriate caution</w:t>
      </w:r>
      <w:r>
        <w:rPr>
          <w:rFonts w:asciiTheme="majorBidi" w:hAnsiTheme="majorBidi" w:cstheme="majorBidi"/>
        </w:rPr>
        <w:t xml:space="preserve">, I </w:t>
      </w:r>
      <w:r w:rsidR="00A126AD">
        <w:rPr>
          <w:rFonts w:asciiTheme="majorBidi" w:hAnsiTheme="majorBidi" w:cstheme="majorBidi"/>
        </w:rPr>
        <w:t>presuppose</w:t>
      </w:r>
      <w:r>
        <w:rPr>
          <w:rFonts w:asciiTheme="majorBidi" w:hAnsiTheme="majorBidi" w:cstheme="majorBidi"/>
        </w:rPr>
        <w:t xml:space="preserve"> that the margins between sheets in the further seam in the reconstruction is 2.2 cm. </w:t>
      </w:r>
      <w:r>
        <w:rPr>
          <w:rFonts w:ascii="Times New Roman" w:hAnsi="Times New Roman" w:cs="Times New Roman"/>
        </w:rPr>
        <w:t xml:space="preserve">The approximated margin of error is </w:t>
      </w:r>
      <m:oMath>
        <m:r>
          <w:rPr>
            <w:rFonts w:ascii="Cambria Math" w:hAnsi="Cambria Math" w:cstheme="majorBidi"/>
          </w:rPr>
          <m:t>±</m:t>
        </m:r>
      </m:oMath>
      <w:r>
        <w:rPr>
          <w:rFonts w:ascii="Times New Roman" w:eastAsiaTheme="minorEastAsia" w:hAnsi="Times New Roman" w:cs="Times New Roman"/>
        </w:rPr>
        <w:t xml:space="preserve"> 0.4 cm.</w:t>
      </w:r>
    </w:p>
    <w:p w14:paraId="5E8144F2" w14:textId="36165640"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1) The distance between points A</w:t>
      </w:r>
      <w:r w:rsidR="005B3B9D">
        <w:rPr>
          <w:rFonts w:ascii="Times New Roman" w:hAnsi="Times New Roman" w:cs="Times New Roman"/>
        </w:rPr>
        <w:t xml:space="preserve"> and </w:t>
      </w:r>
      <w:r>
        <w:rPr>
          <w:rFonts w:ascii="Times New Roman" w:hAnsi="Times New Roman" w:cs="Times New Roman"/>
        </w:rPr>
        <w:t>B is 20.5.</w:t>
      </w:r>
      <w:r>
        <w:rPr>
          <w:rStyle w:val="a5"/>
          <w:rFonts w:ascii="Times New Roman" w:hAnsi="Times New Roman" w:cs="Times New Roman"/>
        </w:rPr>
        <w:footnoteReference w:id="15"/>
      </w:r>
      <w:r>
        <w:rPr>
          <w:rFonts w:ascii="Times New Roman" w:hAnsi="Times New Roman" w:cs="Times New Roman"/>
        </w:rPr>
        <w:t xml:space="preserve"> Th</w:t>
      </w:r>
      <w:r w:rsidR="005B3B9D">
        <w:rPr>
          <w:rFonts w:ascii="Times New Roman" w:hAnsi="Times New Roman" w:cs="Times New Roman"/>
        </w:rPr>
        <w:t>is</w:t>
      </w:r>
      <w:r>
        <w:rPr>
          <w:rFonts w:ascii="Times New Roman" w:hAnsi="Times New Roman" w:cs="Times New Roman"/>
        </w:rPr>
        <w:t xml:space="preserve"> distance is too large to </w:t>
      </w:r>
      <w:r w:rsidR="005B3B9D">
        <w:rPr>
          <w:rFonts w:ascii="Times New Roman" w:hAnsi="Times New Roman" w:cs="Times New Roman"/>
        </w:rPr>
        <w:t xml:space="preserve">constitute </w:t>
      </w:r>
      <w:r>
        <w:rPr>
          <w:rFonts w:ascii="Times New Roman" w:hAnsi="Times New Roman" w:cs="Times New Roman"/>
        </w:rPr>
        <w:t xml:space="preserve">the circumference of one roll of the scroll. Hence, </w:t>
      </w:r>
      <w:r w:rsidR="005B3B9D">
        <w:rPr>
          <w:rFonts w:ascii="Times New Roman" w:hAnsi="Times New Roman" w:cs="Times New Roman"/>
        </w:rPr>
        <w:t xml:space="preserve">we must </w:t>
      </w:r>
      <w:r>
        <w:rPr>
          <w:rFonts w:ascii="Times New Roman" w:hAnsi="Times New Roman" w:cs="Times New Roman"/>
        </w:rPr>
        <w:t>postulate another</w:t>
      </w:r>
      <w:r w:rsidR="005B3B9D">
        <w:rPr>
          <w:rFonts w:ascii="Times New Roman" w:hAnsi="Times New Roman" w:cs="Times New Roman"/>
        </w:rPr>
        <w:t xml:space="preserve"> layer</w:t>
      </w:r>
      <w:r>
        <w:rPr>
          <w:rFonts w:ascii="Times New Roman" w:hAnsi="Times New Roman" w:cs="Times New Roman"/>
        </w:rPr>
        <w:t xml:space="preserve">, no longer preserved, </w:t>
      </w:r>
      <w:r w:rsidRPr="00924EF6">
        <w:rPr>
          <w:rFonts w:ascii="Times New Roman" w:hAnsi="Times New Roman" w:cs="Times New Roman"/>
        </w:rPr>
        <w:t>between points A and B</w:t>
      </w:r>
      <w:r>
        <w:rPr>
          <w:rFonts w:ascii="Times New Roman" w:hAnsi="Times New Roman" w:cs="Times New Roman"/>
        </w:rPr>
        <w:t xml:space="preserve">. </w:t>
      </w:r>
    </w:p>
    <w:p w14:paraId="203ED726" w14:textId="42EFE8D5"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2)</w:t>
      </w:r>
      <w:r w:rsidRPr="006957B8">
        <w:rPr>
          <w:rFonts w:ascii="Times New Roman" w:hAnsi="Times New Roman" w:cs="Times New Roman"/>
        </w:rPr>
        <w:t xml:space="preserve"> </w:t>
      </w:r>
      <w:r>
        <w:rPr>
          <w:rFonts w:ascii="Times New Roman" w:hAnsi="Times New Roman" w:cs="Times New Roman"/>
        </w:rPr>
        <w:t>I have represented the distance between point A and the next layer (which was not preserved) as a1, and the distance between this layer and point B as a2</w:t>
      </w:r>
      <w:r w:rsidR="00350A1E">
        <w:rPr>
          <w:rFonts w:ascii="Times New Roman" w:hAnsi="Times New Roman" w:cs="Times New Roman"/>
        </w:rPr>
        <w:t>.</w:t>
      </w:r>
      <w:r>
        <w:rPr>
          <w:rFonts w:ascii="Times New Roman" w:hAnsi="Times New Roman" w:cs="Times New Roman"/>
        </w:rPr>
        <w:t xml:space="preserve"> The distance between point A and the previous layer </w:t>
      </w:r>
      <w:r w:rsidR="00350A1E">
        <w:rPr>
          <w:rFonts w:ascii="Times New Roman" w:hAnsi="Times New Roman" w:cs="Times New Roman"/>
        </w:rPr>
        <w:t xml:space="preserve">is </w:t>
      </w:r>
      <w:r>
        <w:rPr>
          <w:rFonts w:ascii="Times New Roman" w:hAnsi="Times New Roman" w:cs="Times New Roman"/>
        </w:rPr>
        <w:t xml:space="preserve">represented as a0, and so on. The </w:t>
      </w:r>
      <w:r w:rsidRPr="005B6548">
        <w:rPr>
          <w:rFonts w:asciiTheme="majorBidi" w:hAnsiTheme="majorBidi" w:cstheme="majorBidi"/>
        </w:rPr>
        <w:t xml:space="preserve">incremental </w:t>
      </w:r>
      <w:r w:rsidR="00350A1E">
        <w:rPr>
          <w:rFonts w:asciiTheme="majorBidi" w:hAnsiTheme="majorBidi" w:cstheme="majorBidi"/>
        </w:rPr>
        <w:t>increase in</w:t>
      </w:r>
      <w:r w:rsidRPr="005B6548">
        <w:rPr>
          <w:rFonts w:asciiTheme="majorBidi" w:hAnsiTheme="majorBidi" w:cstheme="majorBidi"/>
        </w:rPr>
        <w:t xml:space="preserve"> distances between consecutive layers</w:t>
      </w:r>
      <w:r>
        <w:rPr>
          <w:rFonts w:ascii="Times New Roman" w:hAnsi="Times New Roman" w:cs="Times New Roman"/>
        </w:rPr>
        <w:t xml:space="preserve"> is represented with the variable d (fig. 20).</w:t>
      </w:r>
    </w:p>
    <w:p w14:paraId="25D0A17A" w14:textId="6519450E"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3) I can </w:t>
      </w:r>
      <w:r w:rsidR="00350A1E">
        <w:rPr>
          <w:rFonts w:ascii="Times New Roman" w:hAnsi="Times New Roman" w:cs="Times New Roman"/>
        </w:rPr>
        <w:t xml:space="preserve">now </w:t>
      </w:r>
      <w:r>
        <w:rPr>
          <w:rFonts w:ascii="Times New Roman" w:hAnsi="Times New Roman" w:cs="Times New Roman"/>
        </w:rPr>
        <w:t>present the following equation:</w:t>
      </w:r>
    </w:p>
    <w:p w14:paraId="4FCF8289"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a1 + a1 + d = 20.5</w:t>
      </w:r>
    </w:p>
    <w:p w14:paraId="66CFAAF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a1 = (20.5-d)/2</w:t>
      </w:r>
    </w:p>
    <w:p w14:paraId="47DEC6D5" w14:textId="4BE4FF5A"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4) To find the distance between the fragments, I set variable potential values for d (the </w:t>
      </w:r>
      <w:r w:rsidRPr="005B6548">
        <w:rPr>
          <w:rFonts w:asciiTheme="majorBidi" w:hAnsiTheme="majorBidi" w:cstheme="majorBidi"/>
        </w:rPr>
        <w:t xml:space="preserve">incremental </w:t>
      </w:r>
      <w:r w:rsidR="00A229A1">
        <w:rPr>
          <w:rFonts w:asciiTheme="majorBidi" w:hAnsiTheme="majorBidi" w:cstheme="majorBidi"/>
        </w:rPr>
        <w:t xml:space="preserve">increase in </w:t>
      </w:r>
      <w:r w:rsidRPr="005B6548">
        <w:rPr>
          <w:rFonts w:asciiTheme="majorBidi" w:hAnsiTheme="majorBidi" w:cstheme="majorBidi"/>
        </w:rPr>
        <w:t>distance between consecutive layers</w:t>
      </w:r>
      <w:r>
        <w:rPr>
          <w:rFonts w:asciiTheme="majorBidi" w:hAnsiTheme="majorBidi" w:cstheme="majorBidi"/>
        </w:rPr>
        <w:t xml:space="preserve">). </w:t>
      </w:r>
      <w:r>
        <w:rPr>
          <w:rFonts w:ascii="Times New Roman" w:hAnsi="Times New Roman" w:cs="Times New Roman"/>
        </w:rPr>
        <w:t xml:space="preserve">According to </w:t>
      </w:r>
      <w:proofErr w:type="spellStart"/>
      <w:r>
        <w:rPr>
          <w:rFonts w:ascii="Times New Roman" w:hAnsi="Times New Roman" w:cs="Times New Roman"/>
        </w:rPr>
        <w:t>Stegemann</w:t>
      </w:r>
      <w:proofErr w:type="spellEnd"/>
      <w:r>
        <w:rPr>
          <w:rFonts w:ascii="Times New Roman" w:hAnsi="Times New Roman" w:cs="Times New Roman"/>
        </w:rPr>
        <w:t xml:space="preserve">, </w:t>
      </w:r>
      <w:r w:rsidR="00D27711">
        <w:rPr>
          <w:rFonts w:ascii="Times New Roman" w:hAnsi="Times New Roman" w:cs="Times New Roman"/>
        </w:rPr>
        <w:t xml:space="preserve">this variable </w:t>
      </w:r>
      <w:r>
        <w:rPr>
          <w:rFonts w:ascii="Times New Roman" w:hAnsi="Times New Roman" w:cs="Times New Roman"/>
        </w:rPr>
        <w:t>may increase by rates varying from about 0.1 cm up to about 0.5 cm.</w:t>
      </w:r>
      <w:r>
        <w:rPr>
          <w:rStyle w:val="a5"/>
          <w:rFonts w:ascii="Times New Roman" w:hAnsi="Times New Roman" w:cs="Times New Roman"/>
        </w:rPr>
        <w:footnoteReference w:id="16"/>
      </w:r>
      <w:r>
        <w:rPr>
          <w:rFonts w:ascii="Times New Roman" w:hAnsi="Times New Roman" w:cs="Times New Roman"/>
        </w:rPr>
        <w:t xml:space="preserve"> </w:t>
      </w:r>
      <w:r>
        <w:rPr>
          <w:rFonts w:asciiTheme="majorBidi" w:hAnsiTheme="majorBidi" w:cstheme="majorBidi"/>
        </w:rPr>
        <w:t xml:space="preserve"> Nevertheless, complete preserved scrolls show that this growth is not permanently constant, and the growth is often large</w:t>
      </w:r>
      <w:r w:rsidR="00D27711">
        <w:rPr>
          <w:rFonts w:asciiTheme="majorBidi" w:hAnsiTheme="majorBidi" w:cstheme="majorBidi"/>
        </w:rPr>
        <w:t>r</w:t>
      </w:r>
      <w:r>
        <w:rPr>
          <w:rFonts w:asciiTheme="majorBidi" w:hAnsiTheme="majorBidi" w:cstheme="majorBidi"/>
        </w:rPr>
        <w:t xml:space="preserve"> than 0.5 mm.</w:t>
      </w:r>
      <w:r>
        <w:rPr>
          <w:rStyle w:val="a5"/>
          <w:rFonts w:asciiTheme="majorBidi" w:hAnsiTheme="majorBidi" w:cstheme="majorBidi"/>
        </w:rPr>
        <w:footnoteReference w:id="17"/>
      </w:r>
      <w:r>
        <w:rPr>
          <w:rFonts w:asciiTheme="majorBidi" w:hAnsiTheme="majorBidi" w:cstheme="majorBidi"/>
        </w:rPr>
        <w:t xml:space="preserve"> Therefore, I assumed that </w:t>
      </w:r>
      <w:r>
        <w:rPr>
          <w:rFonts w:ascii="Times New Roman" w:hAnsi="Times New Roman" w:cs="Times New Roman"/>
        </w:rPr>
        <w:t xml:space="preserve">the of values of d vary from 0.1 cm up to 0.6 cm, with </w:t>
      </w:r>
      <w:r w:rsidR="00585F53">
        <w:rPr>
          <w:rFonts w:ascii="Times New Roman" w:hAnsi="Times New Roman" w:cs="Times New Roman"/>
        </w:rPr>
        <w:t xml:space="preserve">an </w:t>
      </w:r>
      <w:r>
        <w:rPr>
          <w:rFonts w:ascii="Times New Roman" w:hAnsi="Times New Roman" w:cs="Times New Roman"/>
        </w:rPr>
        <w:t>increase of 0.1 cm.</w:t>
      </w:r>
    </w:p>
    <w:p w14:paraId="487EB1F2" w14:textId="77777777" w:rsidR="00783833" w:rsidRDefault="00783833" w:rsidP="00783833">
      <w:pPr>
        <w:bidi w:val="0"/>
        <w:spacing w:line="360" w:lineRule="auto"/>
        <w:jc w:val="both"/>
        <w:rPr>
          <w:rFonts w:ascii="Times New Roman" w:hAnsi="Times New Roman" w:cs="Times New Roman"/>
        </w:rPr>
      </w:pPr>
    </w:p>
    <w:p w14:paraId="3F7D5F37" w14:textId="2B24F3FE"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lastRenderedPageBreak/>
        <w:t>Table 2 shows that the value of a1, that is, the circumference of the scroll from point A to its correspond</w:t>
      </w:r>
      <w:r w:rsidR="001D09F1">
        <w:rPr>
          <w:rFonts w:ascii="Times New Roman" w:hAnsi="Times New Roman" w:cs="Times New Roman"/>
        </w:rPr>
        <w:t>ing</w:t>
      </w:r>
      <w:r>
        <w:rPr>
          <w:rFonts w:ascii="Times New Roman" w:hAnsi="Times New Roman" w:cs="Times New Roman"/>
        </w:rPr>
        <w:t xml:space="preserve"> point in the unpreserved next layer </w:t>
      </w:r>
      <w:r w:rsidR="001D09F1">
        <w:rPr>
          <w:rFonts w:ascii="Times New Roman" w:hAnsi="Times New Roman" w:cs="Times New Roman"/>
        </w:rPr>
        <w:t xml:space="preserve">of </w:t>
      </w:r>
      <w:r>
        <w:rPr>
          <w:rFonts w:ascii="Times New Roman" w:hAnsi="Times New Roman" w:cs="Times New Roman"/>
        </w:rPr>
        <w:t xml:space="preserve">the rolled scroll, ranges from 9.9 cm to 10.2 cm. </w:t>
      </w:r>
    </w:p>
    <w:p w14:paraId="47BA93B3"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5) I have assumed that the scroll was rolled up in the correct direction, with the beginning of the text on the outside. </w:t>
      </w:r>
    </w:p>
    <w:p w14:paraId="5BC1283F" w14:textId="34B4F446" w:rsidR="00783833" w:rsidRDefault="00783833" w:rsidP="00783833">
      <w:pPr>
        <w:bidi w:val="0"/>
        <w:spacing w:line="360" w:lineRule="auto"/>
        <w:jc w:val="both"/>
        <w:rPr>
          <w:rFonts w:asciiTheme="majorBidi" w:hAnsiTheme="majorBidi" w:cstheme="majorBidi"/>
        </w:rPr>
      </w:pPr>
      <w:r>
        <w:rPr>
          <w:rFonts w:ascii="Times New Roman" w:hAnsi="Times New Roman" w:cs="Times New Roman"/>
        </w:rPr>
        <w:t xml:space="preserve">6) </w:t>
      </w:r>
      <w:r w:rsidRPr="00083869">
        <w:rPr>
          <w:rFonts w:asciiTheme="majorBidi" w:hAnsiTheme="majorBidi" w:cstheme="majorBidi"/>
        </w:rPr>
        <w:t xml:space="preserve">In order to reconstruct the scroll, I attempted to place the fragments in </w:t>
      </w:r>
      <w:r>
        <w:rPr>
          <w:rFonts w:asciiTheme="majorBidi" w:hAnsiTheme="majorBidi" w:cstheme="majorBidi"/>
        </w:rPr>
        <w:t xml:space="preserve">the digital </w:t>
      </w:r>
      <w:r w:rsidRPr="00083869">
        <w:rPr>
          <w:rFonts w:asciiTheme="majorBidi" w:hAnsiTheme="majorBidi" w:cstheme="majorBidi"/>
        </w:rPr>
        <w:t>canvas according to the different values of a1 and d.</w:t>
      </w:r>
      <w:r>
        <w:rPr>
          <w:rFonts w:asciiTheme="majorBidi" w:hAnsiTheme="majorBidi" w:cstheme="majorBidi"/>
        </w:rPr>
        <w:t xml:space="preserve"> I found that the values </w:t>
      </w:r>
      <w:r w:rsidR="001D09F1">
        <w:rPr>
          <w:rFonts w:asciiTheme="majorBidi" w:hAnsiTheme="majorBidi" w:cstheme="majorBidi"/>
        </w:rPr>
        <w:t xml:space="preserve">recorded in </w:t>
      </w:r>
      <w:r>
        <w:rPr>
          <w:rFonts w:asciiTheme="majorBidi" w:hAnsiTheme="majorBidi" w:cstheme="majorBidi"/>
        </w:rPr>
        <w:t xml:space="preserve">line 6 </w:t>
      </w:r>
      <w:r w:rsidR="001D09F1">
        <w:rPr>
          <w:rFonts w:asciiTheme="majorBidi" w:hAnsiTheme="majorBidi" w:cstheme="majorBidi"/>
        </w:rPr>
        <w:t xml:space="preserve">of </w:t>
      </w:r>
      <w:r>
        <w:rPr>
          <w:rFonts w:asciiTheme="majorBidi" w:hAnsiTheme="majorBidi" w:cstheme="majorBidi"/>
        </w:rPr>
        <w:t xml:space="preserve">the table </w:t>
      </w:r>
      <w:r w:rsidR="001D09F1">
        <w:rPr>
          <w:rFonts w:asciiTheme="majorBidi" w:hAnsiTheme="majorBidi" w:cstheme="majorBidi"/>
        </w:rPr>
        <w:t>appear to be</w:t>
      </w:r>
      <w:r>
        <w:rPr>
          <w:rFonts w:asciiTheme="majorBidi" w:hAnsiTheme="majorBidi" w:cstheme="majorBidi"/>
        </w:rPr>
        <w:t xml:space="preserve"> the best option:</w:t>
      </w:r>
    </w:p>
    <w:p w14:paraId="1C31DA25" w14:textId="77777777"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t>a1 = 9.9</w:t>
      </w:r>
    </w:p>
    <w:p w14:paraId="3F8A8E70" w14:textId="77777777" w:rsidR="00783833" w:rsidRDefault="00783833" w:rsidP="00783833">
      <w:pPr>
        <w:bidi w:val="0"/>
        <w:spacing w:line="360" w:lineRule="auto"/>
        <w:jc w:val="both"/>
        <w:rPr>
          <w:rFonts w:asciiTheme="majorBidi" w:hAnsiTheme="majorBidi" w:cstheme="majorBidi"/>
        </w:rPr>
      </w:pPr>
      <w:r>
        <w:rPr>
          <w:rFonts w:asciiTheme="majorBidi" w:hAnsiTheme="majorBidi" w:cstheme="majorBidi"/>
        </w:rPr>
        <w:tab/>
        <w:t>d = 0.6</w:t>
      </w:r>
    </w:p>
    <w:p w14:paraId="41874617" w14:textId="68BB6868" w:rsidR="00783833" w:rsidRDefault="00783833" w:rsidP="00783833">
      <w:pPr>
        <w:bidi w:val="0"/>
        <w:spacing w:line="360" w:lineRule="auto"/>
        <w:jc w:val="both"/>
        <w:rPr>
          <w:rFonts w:ascii="Times New Roman" w:hAnsi="Times New Roman" w:cs="Times New Roman"/>
        </w:rPr>
      </w:pPr>
      <w:r>
        <w:rPr>
          <w:rFonts w:asciiTheme="majorBidi" w:hAnsiTheme="majorBidi" w:cstheme="majorBidi"/>
        </w:rPr>
        <w:t>When these are the values of a1 and d,</w:t>
      </w:r>
      <w:r w:rsidR="00144DA2">
        <w:rPr>
          <w:rFonts w:asciiTheme="majorBidi" w:hAnsiTheme="majorBidi" w:cstheme="majorBidi"/>
        </w:rPr>
        <w:t xml:space="preserve"> respectively,</w:t>
      </w:r>
      <w:r>
        <w:rPr>
          <w:rFonts w:asciiTheme="majorBidi" w:hAnsiTheme="majorBidi" w:cstheme="majorBidi"/>
        </w:rPr>
        <w:t xml:space="preserve"> </w:t>
      </w:r>
      <w:r w:rsidRPr="005639E2">
        <w:rPr>
          <w:rFonts w:asciiTheme="majorBidi" w:hAnsiTheme="majorBidi" w:cstheme="majorBidi"/>
        </w:rPr>
        <w:t xml:space="preserve">the fragments can be placed </w:t>
      </w:r>
      <w:r w:rsidR="005516C5">
        <w:rPr>
          <w:rFonts w:asciiTheme="majorBidi" w:hAnsiTheme="majorBidi" w:cstheme="majorBidi"/>
        </w:rPr>
        <w:t xml:space="preserve">in a manner consistent with </w:t>
      </w:r>
      <w:r w:rsidRPr="005639E2">
        <w:rPr>
          <w:rFonts w:asciiTheme="majorBidi" w:hAnsiTheme="majorBidi" w:cstheme="majorBidi"/>
        </w:rPr>
        <w:t xml:space="preserve">other </w:t>
      </w:r>
      <w:r>
        <w:rPr>
          <w:rFonts w:asciiTheme="majorBidi" w:hAnsiTheme="majorBidi" w:cstheme="majorBidi"/>
        </w:rPr>
        <w:t xml:space="preserve">material constraints, such as intercolumnar margins and a reasonable column width. </w:t>
      </w:r>
      <w:r w:rsidRPr="008D4FF7">
        <w:rPr>
          <w:rFonts w:asciiTheme="majorBidi" w:hAnsiTheme="majorBidi" w:cstheme="majorBidi"/>
        </w:rPr>
        <w:t xml:space="preserve">However, it should be kept in mind that </w:t>
      </w:r>
      <w:r>
        <w:rPr>
          <w:rFonts w:asciiTheme="majorBidi" w:hAnsiTheme="majorBidi" w:cstheme="majorBidi"/>
        </w:rPr>
        <w:t>this option</w:t>
      </w:r>
      <w:r w:rsidRPr="008D4FF7">
        <w:rPr>
          <w:rFonts w:asciiTheme="majorBidi" w:hAnsiTheme="majorBidi" w:cstheme="majorBidi"/>
        </w:rPr>
        <w:t xml:space="preserve"> </w:t>
      </w:r>
      <w:r>
        <w:rPr>
          <w:rFonts w:asciiTheme="majorBidi" w:hAnsiTheme="majorBidi" w:cstheme="majorBidi"/>
        </w:rPr>
        <w:t>represent</w:t>
      </w:r>
      <w:r w:rsidR="00C21746">
        <w:rPr>
          <w:rFonts w:asciiTheme="majorBidi" w:hAnsiTheme="majorBidi" w:cstheme="majorBidi"/>
        </w:rPr>
        <w:t>s</w:t>
      </w:r>
      <w:r>
        <w:rPr>
          <w:rFonts w:asciiTheme="majorBidi" w:hAnsiTheme="majorBidi" w:cstheme="majorBidi"/>
        </w:rPr>
        <w:t xml:space="preserve"> a range of possible values, and </w:t>
      </w:r>
      <w:r w:rsidR="00C21746">
        <w:rPr>
          <w:rFonts w:asciiTheme="majorBidi" w:hAnsiTheme="majorBidi" w:cstheme="majorBidi"/>
        </w:rPr>
        <w:t xml:space="preserve">thus one </w:t>
      </w:r>
      <w:r>
        <w:rPr>
          <w:rFonts w:asciiTheme="majorBidi" w:hAnsiTheme="majorBidi" w:cstheme="majorBidi"/>
        </w:rPr>
        <w:t>may reconsider</w:t>
      </w:r>
      <w:r w:rsidRPr="008D4FF7">
        <w:rPr>
          <w:rFonts w:asciiTheme="majorBidi" w:hAnsiTheme="majorBidi" w:cstheme="majorBidi"/>
        </w:rPr>
        <w:t xml:space="preserve"> </w:t>
      </w:r>
      <w:r w:rsidR="00C21746">
        <w:rPr>
          <w:rFonts w:asciiTheme="majorBidi" w:hAnsiTheme="majorBidi" w:cstheme="majorBidi"/>
        </w:rPr>
        <w:t xml:space="preserve">the values if those proposed do not cohere with </w:t>
      </w:r>
      <w:r w:rsidRPr="008D4FF7">
        <w:rPr>
          <w:rFonts w:asciiTheme="majorBidi" w:hAnsiTheme="majorBidi" w:cstheme="majorBidi"/>
        </w:rPr>
        <w:t>future research</w:t>
      </w:r>
      <w:r>
        <w:rPr>
          <w:rFonts w:asciiTheme="majorBidi" w:hAnsiTheme="majorBidi" w:cstheme="majorBidi"/>
        </w:rPr>
        <w:t xml:space="preserve">. In </w:t>
      </w:r>
      <w:r w:rsidR="00137220">
        <w:rPr>
          <w:rFonts w:asciiTheme="majorBidi" w:hAnsiTheme="majorBidi" w:cstheme="majorBidi"/>
        </w:rPr>
        <w:t xml:space="preserve">such a </w:t>
      </w:r>
      <w:r>
        <w:rPr>
          <w:rFonts w:asciiTheme="majorBidi" w:hAnsiTheme="majorBidi" w:cstheme="majorBidi"/>
        </w:rPr>
        <w:t>case,</w:t>
      </w:r>
      <w:r w:rsidRPr="008D4FF7">
        <w:rPr>
          <w:rFonts w:asciiTheme="majorBidi" w:hAnsiTheme="majorBidi" w:cstheme="majorBidi"/>
        </w:rPr>
        <w:t xml:space="preserve"> </w:t>
      </w:r>
      <w:r w:rsidR="00137220">
        <w:rPr>
          <w:rFonts w:asciiTheme="majorBidi" w:hAnsiTheme="majorBidi" w:cstheme="majorBidi"/>
        </w:rPr>
        <w:t>it would be possible to</w:t>
      </w:r>
      <w:r w:rsidR="00137220" w:rsidRPr="008D4FF7">
        <w:rPr>
          <w:rFonts w:asciiTheme="majorBidi" w:hAnsiTheme="majorBidi" w:cstheme="majorBidi"/>
        </w:rPr>
        <w:t xml:space="preserve"> </w:t>
      </w:r>
      <w:r w:rsidRPr="008D4FF7">
        <w:rPr>
          <w:rFonts w:asciiTheme="majorBidi" w:hAnsiTheme="majorBidi" w:cstheme="majorBidi"/>
        </w:rPr>
        <w:t>return to other alternatives from the table.</w:t>
      </w:r>
      <w:r>
        <w:rPr>
          <w:rFonts w:ascii="Times New Roman" w:hAnsi="Times New Roman" w:cs="Times New Roman"/>
          <w:sz w:val="20"/>
          <w:szCs w:val="20"/>
        </w:rPr>
        <w:t xml:space="preserve"> </w:t>
      </w:r>
      <w:r>
        <w:rPr>
          <w:rFonts w:ascii="Times New Roman" w:hAnsi="Times New Roman" w:cs="Times New Roman"/>
        </w:rPr>
        <w:t>Figure 20 shows the location</w:t>
      </w:r>
      <w:r w:rsidR="00137220">
        <w:rPr>
          <w:rFonts w:ascii="Times New Roman" w:hAnsi="Times New Roman" w:cs="Times New Roman"/>
        </w:rPr>
        <w:t>s</w:t>
      </w:r>
      <w:r>
        <w:rPr>
          <w:rFonts w:ascii="Times New Roman" w:hAnsi="Times New Roman" w:cs="Times New Roman"/>
        </w:rPr>
        <w:t xml:space="preserve"> of 4Q415 1</w:t>
      </w:r>
      <w:r w:rsidR="00137220">
        <w:rPr>
          <w:rFonts w:ascii="Times New Roman" w:hAnsi="Times New Roman" w:cs="Times New Roman"/>
        </w:rPr>
        <w:t xml:space="preserve"> </w:t>
      </w:r>
      <w:r>
        <w:rPr>
          <w:rFonts w:ascii="Times New Roman" w:hAnsi="Times New Roman" w:cs="Times New Roman"/>
        </w:rPr>
        <w:t>and 4Q415 2</w:t>
      </w:r>
      <w:r w:rsidR="00137220">
        <w:rPr>
          <w:rFonts w:ascii="Times New Roman" w:hAnsi="Times New Roman" w:cs="Times New Roman"/>
        </w:rPr>
        <w:t>,</w:t>
      </w:r>
      <w:r>
        <w:rPr>
          <w:rFonts w:ascii="Times New Roman" w:hAnsi="Times New Roman" w:cs="Times New Roman"/>
        </w:rPr>
        <w:t xml:space="preserve"> according to these values.</w:t>
      </w:r>
    </w:p>
    <w:p w14:paraId="7D98AD4E" w14:textId="300E982B"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7) In order to locate fragments 7,</w:t>
      </w:r>
      <w:r w:rsidR="004051D9">
        <w:rPr>
          <w:rFonts w:ascii="Times New Roman" w:hAnsi="Times New Roman" w:cs="Times New Roman"/>
        </w:rPr>
        <w:t xml:space="preserve"> </w:t>
      </w:r>
      <w:r>
        <w:rPr>
          <w:rFonts w:ascii="Times New Roman" w:hAnsi="Times New Roman" w:cs="Times New Roman"/>
        </w:rPr>
        <w:t>9</w:t>
      </w:r>
      <w:r w:rsidR="004051D9">
        <w:rPr>
          <w:rFonts w:ascii="Times New Roman" w:hAnsi="Times New Roman" w:cs="Times New Roman"/>
        </w:rPr>
        <w:t>,</w:t>
      </w:r>
      <w:r>
        <w:rPr>
          <w:rFonts w:ascii="Times New Roman" w:hAnsi="Times New Roman" w:cs="Times New Roman"/>
        </w:rPr>
        <w:t xml:space="preserve"> and 10, I assumed that there were two layers in the rolled-up scroll between points C/F and D/G. These layers were not preserved. </w:t>
      </w:r>
      <w:r w:rsidRPr="00C24F05">
        <w:rPr>
          <w:rFonts w:asciiTheme="majorBidi" w:hAnsiTheme="majorBidi" w:cstheme="majorBidi"/>
        </w:rPr>
        <w:t>Assuming there is only one layer that was not preserved between the</w:t>
      </w:r>
      <w:r w:rsidR="004051D9">
        <w:rPr>
          <w:rFonts w:asciiTheme="majorBidi" w:hAnsiTheme="majorBidi" w:cstheme="majorBidi"/>
        </w:rPr>
        <w:t>se</w:t>
      </w:r>
      <w:r w:rsidRPr="00C24F05">
        <w:rPr>
          <w:rFonts w:asciiTheme="majorBidi" w:hAnsiTheme="majorBidi" w:cstheme="majorBidi"/>
        </w:rPr>
        <w:t xml:space="preserve"> points,</w:t>
      </w:r>
      <w:r w:rsidRPr="00C24F05">
        <w:rPr>
          <w:rFonts w:asciiTheme="majorBidi" w:hAnsiTheme="majorBidi" w:cstheme="majorBidi"/>
          <w:rtl/>
        </w:rPr>
        <w:t xml:space="preserve"> </w:t>
      </w:r>
      <w:r w:rsidRPr="00C24F05">
        <w:rPr>
          <w:rFonts w:asciiTheme="majorBidi" w:hAnsiTheme="majorBidi" w:cstheme="majorBidi"/>
        </w:rPr>
        <w:t>4Q415 10i w</w:t>
      </w:r>
      <w:r w:rsidR="004051D9">
        <w:rPr>
          <w:rFonts w:asciiTheme="majorBidi" w:hAnsiTheme="majorBidi" w:cstheme="majorBidi"/>
        </w:rPr>
        <w:t>ould</w:t>
      </w:r>
      <w:r w:rsidRPr="00C24F05">
        <w:rPr>
          <w:rFonts w:asciiTheme="majorBidi" w:hAnsiTheme="majorBidi" w:cstheme="majorBidi"/>
        </w:rPr>
        <w:t xml:space="preserve"> be in the same columns as 4Q415 1i and 4Q415 2i. The column w</w:t>
      </w:r>
      <w:r w:rsidR="004051D9">
        <w:rPr>
          <w:rFonts w:asciiTheme="majorBidi" w:hAnsiTheme="majorBidi" w:cstheme="majorBidi"/>
        </w:rPr>
        <w:t>ould</w:t>
      </w:r>
      <w:r w:rsidRPr="00C24F05">
        <w:rPr>
          <w:rFonts w:asciiTheme="majorBidi" w:hAnsiTheme="majorBidi" w:cstheme="majorBidi"/>
        </w:rPr>
        <w:t xml:space="preserve"> be unacceptably narrow.</w:t>
      </w:r>
      <w:r w:rsidRPr="00274CA0">
        <w:rPr>
          <w:rFonts w:asciiTheme="majorBidi" w:hAnsiTheme="majorBidi" w:cstheme="majorBidi"/>
          <w:sz w:val="20"/>
          <w:szCs w:val="20"/>
        </w:rPr>
        <w:t xml:space="preserve"> </w:t>
      </w:r>
      <w:r>
        <w:rPr>
          <w:rFonts w:ascii="Times New Roman" w:hAnsi="Times New Roman" w:cs="Times New Roman"/>
        </w:rPr>
        <w:t>Figure 20 shows the location of fragments 1,</w:t>
      </w:r>
      <w:r w:rsidR="004051D9">
        <w:rPr>
          <w:rFonts w:ascii="Times New Roman" w:hAnsi="Times New Roman" w:cs="Times New Roman"/>
        </w:rPr>
        <w:t xml:space="preserve"> </w:t>
      </w:r>
      <w:r>
        <w:rPr>
          <w:rFonts w:ascii="Times New Roman" w:hAnsi="Times New Roman" w:cs="Times New Roman"/>
        </w:rPr>
        <w:t>2,</w:t>
      </w:r>
      <w:r w:rsidR="004051D9">
        <w:rPr>
          <w:rFonts w:ascii="Times New Roman" w:hAnsi="Times New Roman" w:cs="Times New Roman"/>
        </w:rPr>
        <w:t xml:space="preserve"> </w:t>
      </w:r>
      <w:r>
        <w:rPr>
          <w:rFonts w:ascii="Times New Roman" w:hAnsi="Times New Roman" w:cs="Times New Roman"/>
        </w:rPr>
        <w:t>6,</w:t>
      </w:r>
      <w:r w:rsidR="004051D9">
        <w:rPr>
          <w:rFonts w:ascii="Times New Roman" w:hAnsi="Times New Roman" w:cs="Times New Roman"/>
        </w:rPr>
        <w:t xml:space="preserve"> </w:t>
      </w:r>
      <w:r>
        <w:rPr>
          <w:rFonts w:ascii="Times New Roman" w:hAnsi="Times New Roman" w:cs="Times New Roman"/>
        </w:rPr>
        <w:t>7,</w:t>
      </w:r>
      <w:r w:rsidR="004051D9">
        <w:rPr>
          <w:rFonts w:ascii="Times New Roman" w:hAnsi="Times New Roman" w:cs="Times New Roman"/>
        </w:rPr>
        <w:t xml:space="preserve"> </w:t>
      </w:r>
      <w:r>
        <w:rPr>
          <w:rFonts w:ascii="Times New Roman" w:hAnsi="Times New Roman" w:cs="Times New Roman"/>
        </w:rPr>
        <w:t>9,</w:t>
      </w:r>
      <w:r w:rsidR="004051D9">
        <w:rPr>
          <w:rFonts w:ascii="Times New Roman" w:hAnsi="Times New Roman" w:cs="Times New Roman"/>
        </w:rPr>
        <w:t xml:space="preserve"> </w:t>
      </w:r>
      <w:r>
        <w:rPr>
          <w:rFonts w:ascii="Times New Roman" w:hAnsi="Times New Roman" w:cs="Times New Roman"/>
        </w:rPr>
        <w:t>10</w:t>
      </w:r>
      <w:r w:rsidR="004051D9">
        <w:rPr>
          <w:rFonts w:ascii="Times New Roman" w:hAnsi="Times New Roman" w:cs="Times New Roman"/>
        </w:rPr>
        <w:t>,</w:t>
      </w:r>
      <w:r>
        <w:rPr>
          <w:rFonts w:ascii="Times New Roman" w:hAnsi="Times New Roman" w:cs="Times New Roman"/>
        </w:rPr>
        <w:t xml:space="preserve"> and 11</w:t>
      </w:r>
      <w:r w:rsidR="004051D9">
        <w:rPr>
          <w:rFonts w:ascii="Times New Roman" w:hAnsi="Times New Roman" w:cs="Times New Roman"/>
        </w:rPr>
        <w:t>,</w:t>
      </w:r>
      <w:r>
        <w:rPr>
          <w:rFonts w:ascii="Times New Roman" w:hAnsi="Times New Roman" w:cs="Times New Roman"/>
        </w:rPr>
        <w:t xml:space="preserve"> according to the distances between the corresponding point</w:t>
      </w:r>
      <w:r w:rsidR="004051D9">
        <w:rPr>
          <w:rFonts w:ascii="Times New Roman" w:hAnsi="Times New Roman" w:cs="Times New Roman"/>
        </w:rPr>
        <w:t>s</w:t>
      </w:r>
      <w:r>
        <w:rPr>
          <w:rFonts w:ascii="Times New Roman" w:hAnsi="Times New Roman" w:cs="Times New Roman"/>
        </w:rPr>
        <w:t xml:space="preserve"> of damage.</w:t>
      </w:r>
    </w:p>
    <w:p w14:paraId="653D7814" w14:textId="137F0BD5" w:rsidR="00783833" w:rsidRPr="00393808" w:rsidRDefault="006304DA" w:rsidP="00783833">
      <w:pPr>
        <w:bidi w:val="0"/>
        <w:spacing w:line="360" w:lineRule="auto"/>
        <w:jc w:val="both"/>
        <w:rPr>
          <w:rFonts w:asciiTheme="majorBidi" w:hAnsiTheme="majorBidi" w:cstheme="majorBidi"/>
          <w:sz w:val="20"/>
          <w:szCs w:val="20"/>
        </w:rPr>
      </w:pPr>
      <w:r>
        <w:rPr>
          <w:rFonts w:asciiTheme="majorBidi" w:hAnsiTheme="majorBidi" w:cstheme="majorBidi"/>
        </w:rPr>
        <w:t xml:space="preserve">Measurement of </w:t>
      </w:r>
      <w:r w:rsidR="00783833">
        <w:rPr>
          <w:rFonts w:asciiTheme="majorBidi" w:hAnsiTheme="majorBidi" w:cstheme="majorBidi"/>
        </w:rPr>
        <w:t>the distance between point</w:t>
      </w:r>
      <w:r>
        <w:rPr>
          <w:rFonts w:asciiTheme="majorBidi" w:hAnsiTheme="majorBidi" w:cstheme="majorBidi"/>
        </w:rPr>
        <w:t>s</w:t>
      </w:r>
      <w:r w:rsidR="00783833">
        <w:rPr>
          <w:rFonts w:asciiTheme="majorBidi" w:hAnsiTheme="majorBidi" w:cstheme="majorBidi"/>
        </w:rPr>
        <w:t xml:space="preserve"> A and B used the</w:t>
      </w:r>
      <w:r w:rsidR="00783833">
        <w:rPr>
          <w:rFonts w:ascii="Times New Roman" w:hAnsi="Times New Roman" w:cs="Times New Roman"/>
        </w:rPr>
        <w:t xml:space="preserve"> width of columns I, II and III, </w:t>
      </w:r>
      <w:r>
        <w:rPr>
          <w:rFonts w:ascii="Times New Roman" w:hAnsi="Times New Roman" w:cs="Times New Roman"/>
        </w:rPr>
        <w:t xml:space="preserve">as </w:t>
      </w:r>
      <w:r w:rsidR="00783833">
        <w:rPr>
          <w:rFonts w:ascii="Times New Roman" w:hAnsi="Times New Roman" w:cs="Times New Roman"/>
        </w:rPr>
        <w:t xml:space="preserve">estimated </w:t>
      </w:r>
      <w:r>
        <w:rPr>
          <w:rFonts w:ascii="Times New Roman" w:hAnsi="Times New Roman" w:cs="Times New Roman"/>
        </w:rPr>
        <w:t xml:space="preserve">on the basis of </w:t>
      </w:r>
      <w:r w:rsidR="00783833">
        <w:rPr>
          <w:rFonts w:ascii="Times New Roman" w:hAnsi="Times New Roman" w:cs="Times New Roman"/>
        </w:rPr>
        <w:t xml:space="preserve">information </w:t>
      </w:r>
      <w:r>
        <w:rPr>
          <w:rFonts w:ascii="Times New Roman" w:hAnsi="Times New Roman" w:cs="Times New Roman"/>
        </w:rPr>
        <w:t xml:space="preserve">drawn </w:t>
      </w:r>
      <w:r w:rsidR="00783833">
        <w:rPr>
          <w:rFonts w:ascii="Times New Roman" w:hAnsi="Times New Roman" w:cs="Times New Roman"/>
        </w:rPr>
        <w:t xml:space="preserve">from the verso and from textual overlaps in 4Q418a. In the following, I </w:t>
      </w:r>
      <w:r>
        <w:rPr>
          <w:rFonts w:ascii="Times New Roman" w:hAnsi="Times New Roman" w:cs="Times New Roman"/>
        </w:rPr>
        <w:t xml:space="preserve">present </w:t>
      </w:r>
      <w:r w:rsidR="00783833">
        <w:rPr>
          <w:rFonts w:ascii="Times New Roman" w:hAnsi="Times New Roman" w:cs="Times New Roman"/>
        </w:rPr>
        <w:t xml:space="preserve">considerations regarding the division of the further columns of 4Q415: </w:t>
      </w:r>
    </w:p>
    <w:p w14:paraId="02348317"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1) </w:t>
      </w:r>
      <w:r w:rsidRPr="00C30868">
        <w:rPr>
          <w:rFonts w:ascii="Times New Roman" w:hAnsi="Times New Roman" w:cs="Times New Roman"/>
        </w:rPr>
        <w:t>Column IV:</w:t>
      </w:r>
    </w:p>
    <w:p w14:paraId="3395CB71" w14:textId="0BF5B709" w:rsidR="00783833" w:rsidRPr="00C30868" w:rsidRDefault="00783833" w:rsidP="00783833">
      <w:pPr>
        <w:bidi w:val="0"/>
        <w:spacing w:line="360" w:lineRule="auto"/>
        <w:jc w:val="both"/>
        <w:rPr>
          <w:rFonts w:ascii="Times New Roman" w:eastAsiaTheme="minorEastAsia" w:hAnsi="Times New Roman" w:cs="Times New Roman"/>
        </w:rPr>
      </w:pPr>
      <w:r w:rsidRPr="00C30868">
        <w:rPr>
          <w:rFonts w:ascii="Times New Roman" w:hAnsi="Times New Roman" w:cs="Times New Roman"/>
        </w:rPr>
        <w:t xml:space="preserve">The intercolumnar margins between columns III and IV </w:t>
      </w:r>
      <w:r w:rsidR="006304DA">
        <w:rPr>
          <w:rFonts w:ascii="Times New Roman" w:hAnsi="Times New Roman" w:cs="Times New Roman"/>
        </w:rPr>
        <w:t xml:space="preserve">is </w:t>
      </w:r>
      <w:r w:rsidRPr="00C30868">
        <w:rPr>
          <w:rFonts w:ascii="Times New Roman" w:hAnsi="Times New Roman" w:cs="Times New Roman"/>
        </w:rPr>
        <w:t xml:space="preserve">estimated as </w:t>
      </w:r>
      <m:oMath>
        <m:r>
          <w:rPr>
            <w:rFonts w:ascii="Cambria Math" w:hAnsi="Cambria Math" w:cstheme="majorBidi"/>
          </w:rPr>
          <m:t>±</m:t>
        </m:r>
      </m:oMath>
      <w:r w:rsidRPr="00C30868">
        <w:rPr>
          <w:rFonts w:ascii="Times New Roman" w:eastAsiaTheme="minorEastAsia" w:hAnsi="Times New Roman" w:cs="Times New Roman"/>
        </w:rPr>
        <w:t>1.1 cm. The end of the column is marked by the intercolumnar margins in 4Q415 1 and 4Q415 2. Thus, the estimated width of column IV is 8.3 cm.</w:t>
      </w:r>
    </w:p>
    <w:p w14:paraId="14AA8FD6" w14:textId="77777777" w:rsidR="00783833" w:rsidRPr="00C30868"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2) Column V and VI: </w:t>
      </w:r>
    </w:p>
    <w:p w14:paraId="6E5CD0CB" w14:textId="7C60E6BB" w:rsidR="00783833" w:rsidRDefault="00783833" w:rsidP="00783833">
      <w:pPr>
        <w:bidi w:val="0"/>
        <w:spacing w:line="360" w:lineRule="auto"/>
        <w:jc w:val="both"/>
        <w:rPr>
          <w:rFonts w:ascii="Times New Roman" w:hAnsi="Times New Roman" w:cs="Times New Roman"/>
        </w:rPr>
      </w:pPr>
      <w:r w:rsidRPr="00C30868">
        <w:rPr>
          <w:rFonts w:ascii="Times New Roman" w:hAnsi="Times New Roman" w:cs="Times New Roman"/>
        </w:rPr>
        <w:t xml:space="preserve">I marked the borders of column </w:t>
      </w:r>
      <w:r>
        <w:rPr>
          <w:rFonts w:ascii="Times New Roman" w:hAnsi="Times New Roman" w:cs="Times New Roman"/>
        </w:rPr>
        <w:t xml:space="preserve">V according to the column width estimated </w:t>
      </w:r>
      <w:r w:rsidR="006304DA">
        <w:rPr>
          <w:rFonts w:ascii="Times New Roman" w:hAnsi="Times New Roman" w:cs="Times New Roman"/>
        </w:rPr>
        <w:t>on the basis of</w:t>
      </w:r>
      <w:r>
        <w:rPr>
          <w:rFonts w:ascii="Times New Roman" w:hAnsi="Times New Roman" w:cs="Times New Roman"/>
        </w:rPr>
        <w:t xml:space="preserve"> textual overlap (4Q414 2/ 4Q512 42–44) and the formula on the verso: 9.2 cm (tab. </w:t>
      </w:r>
      <w:r>
        <w:rPr>
          <w:rFonts w:ascii="Times New Roman" w:hAnsi="Times New Roman" w:cs="Times New Roman"/>
        </w:rPr>
        <w:lastRenderedPageBreak/>
        <w:t xml:space="preserve">2). If this is </w:t>
      </w:r>
      <w:r w:rsidR="006304DA">
        <w:rPr>
          <w:rFonts w:ascii="Times New Roman" w:hAnsi="Times New Roman" w:cs="Times New Roman"/>
        </w:rPr>
        <w:t>correct</w:t>
      </w:r>
      <w:r>
        <w:rPr>
          <w:rFonts w:ascii="Times New Roman" w:hAnsi="Times New Roman" w:cs="Times New Roman"/>
        </w:rPr>
        <w:t>, r</w:t>
      </w:r>
      <w:r w:rsidRPr="00D016EA">
        <w:rPr>
          <w:rFonts w:ascii="Times New Roman" w:hAnsi="Times New Roman" w:cs="Times New Roman"/>
        </w:rPr>
        <w:t xml:space="preserve">eduction of </w:t>
      </w:r>
      <w:r>
        <w:rPr>
          <w:rFonts w:ascii="Times New Roman" w:hAnsi="Times New Roman" w:cs="Times New Roman"/>
        </w:rPr>
        <w:t>the</w:t>
      </w:r>
      <w:r w:rsidRPr="00D016EA">
        <w:rPr>
          <w:rFonts w:ascii="Times New Roman" w:hAnsi="Times New Roman" w:cs="Times New Roman"/>
        </w:rPr>
        <w:t xml:space="preserve"> width </w:t>
      </w:r>
      <w:r>
        <w:rPr>
          <w:rFonts w:ascii="Times New Roman" w:hAnsi="Times New Roman" w:cs="Times New Roman"/>
        </w:rPr>
        <w:t>of column V</w:t>
      </w:r>
      <w:r w:rsidRPr="00D016EA">
        <w:rPr>
          <w:rFonts w:ascii="Times New Roman" w:hAnsi="Times New Roman" w:cs="Times New Roman"/>
        </w:rPr>
        <w:t xml:space="preserve"> and </w:t>
      </w:r>
      <w:r>
        <w:rPr>
          <w:rFonts w:ascii="Times New Roman" w:hAnsi="Times New Roman" w:cs="Times New Roman"/>
        </w:rPr>
        <w:t xml:space="preserve">the width of the intercolumnar </w:t>
      </w:r>
      <w:r w:rsidRPr="00D016EA">
        <w:rPr>
          <w:rFonts w:ascii="Times New Roman" w:hAnsi="Times New Roman" w:cs="Times New Roman"/>
        </w:rPr>
        <w:t>margin</w:t>
      </w:r>
      <w:r>
        <w:rPr>
          <w:rFonts w:ascii="Times New Roman" w:hAnsi="Times New Roman" w:cs="Times New Roman"/>
        </w:rPr>
        <w:t xml:space="preserve">s (with and without </w:t>
      </w:r>
      <w:r w:rsidR="006304DA">
        <w:rPr>
          <w:rFonts w:ascii="Times New Roman" w:hAnsi="Times New Roman" w:cs="Times New Roman"/>
        </w:rPr>
        <w:t xml:space="preserve">the </w:t>
      </w:r>
      <w:r>
        <w:rPr>
          <w:rFonts w:ascii="Times New Roman" w:hAnsi="Times New Roman" w:cs="Times New Roman"/>
        </w:rPr>
        <w:t xml:space="preserve">seam) </w:t>
      </w:r>
      <w:r w:rsidRPr="00D016EA">
        <w:rPr>
          <w:rFonts w:ascii="Times New Roman" w:hAnsi="Times New Roman" w:cs="Times New Roman"/>
        </w:rPr>
        <w:t xml:space="preserve">from </w:t>
      </w:r>
      <w:r>
        <w:rPr>
          <w:rFonts w:ascii="Times New Roman" w:hAnsi="Times New Roman" w:cs="Times New Roman"/>
        </w:rPr>
        <w:t xml:space="preserve">the </w:t>
      </w:r>
      <w:r w:rsidRPr="00D016EA">
        <w:rPr>
          <w:rFonts w:ascii="Times New Roman" w:hAnsi="Times New Roman" w:cs="Times New Roman"/>
        </w:rPr>
        <w:t>distance between points</w:t>
      </w:r>
      <w:r>
        <w:rPr>
          <w:rFonts w:ascii="Times New Roman" w:hAnsi="Times New Roman" w:cs="Times New Roman"/>
        </w:rPr>
        <w:t xml:space="preserve"> C/F or D/G </w:t>
      </w:r>
      <w:r w:rsidR="006304DA">
        <w:rPr>
          <w:rFonts w:ascii="Times New Roman" w:hAnsi="Times New Roman" w:cs="Times New Roman"/>
        </w:rPr>
        <w:t xml:space="preserve">suggests </w:t>
      </w:r>
      <w:r>
        <w:rPr>
          <w:rFonts w:ascii="Times New Roman" w:hAnsi="Times New Roman" w:cs="Times New Roman"/>
        </w:rPr>
        <w:t xml:space="preserve">that the width of column VI </w:t>
      </w:r>
      <w:r w:rsidR="004D0DDB">
        <w:rPr>
          <w:rFonts w:ascii="Times New Roman" w:hAnsi="Times New Roman" w:cs="Times New Roman"/>
        </w:rPr>
        <w:t xml:space="preserve">can be estimated at </w:t>
      </w:r>
      <w:r>
        <w:rPr>
          <w:rFonts w:ascii="Times New Roman" w:hAnsi="Times New Roman" w:cs="Times New Roman"/>
        </w:rPr>
        <w:t xml:space="preserve">10.7 cm (fig. 21).  </w:t>
      </w:r>
    </w:p>
    <w:p w14:paraId="79C2E398" w14:textId="77777777" w:rsidR="00783833" w:rsidRDefault="00783833" w:rsidP="00783833">
      <w:pPr>
        <w:bidi w:val="0"/>
        <w:spacing w:line="360" w:lineRule="auto"/>
        <w:jc w:val="both"/>
        <w:rPr>
          <w:rFonts w:ascii="Times New Roman" w:hAnsi="Times New Roman" w:cs="Times New Roman"/>
        </w:rPr>
      </w:pPr>
    </w:p>
    <w:p w14:paraId="44A23521" w14:textId="77777777" w:rsidR="00783833" w:rsidRDefault="00783833" w:rsidP="00783833">
      <w:pPr>
        <w:bidi w:val="0"/>
        <w:spacing w:line="360" w:lineRule="auto"/>
        <w:jc w:val="both"/>
        <w:rPr>
          <w:rFonts w:ascii="Times New Roman" w:hAnsi="Times New Roman" w:cs="Times New Roman"/>
          <w:b/>
          <w:bCs/>
        </w:rPr>
      </w:pPr>
      <w:r w:rsidRPr="00D36BBA">
        <w:rPr>
          <w:rFonts w:ascii="Times New Roman" w:hAnsi="Times New Roman" w:cs="Times New Roman"/>
          <w:b/>
          <w:bCs/>
        </w:rPr>
        <w:t xml:space="preserve">8.3 </w:t>
      </w:r>
      <w:r>
        <w:rPr>
          <w:rFonts w:ascii="Times New Roman" w:hAnsi="Times New Roman" w:cs="Times New Roman"/>
          <w:b/>
          <w:bCs/>
        </w:rPr>
        <w:t>Placement</w:t>
      </w:r>
      <w:r w:rsidRPr="00B92822">
        <w:rPr>
          <w:rFonts w:ascii="Times New Roman" w:hAnsi="Times New Roman" w:cs="Times New Roman"/>
          <w:b/>
          <w:bCs/>
        </w:rPr>
        <w:t xml:space="preserve"> of 4Q415 5, 4Q415 13 and 4Q415 21 in the Digital Canvas and its Textual Significance  </w:t>
      </w:r>
    </w:p>
    <w:p w14:paraId="1DDD1705" w14:textId="0AAE8F0C"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Three additional tiny fragments can be attached to the</w:t>
      </w:r>
      <w:r w:rsidR="00595BC2">
        <w:rPr>
          <w:rFonts w:ascii="Times New Roman" w:hAnsi="Times New Roman" w:cs="Times New Roman"/>
        </w:rPr>
        <w:t xml:space="preserve"> proposed</w:t>
      </w:r>
      <w:r>
        <w:rPr>
          <w:rFonts w:ascii="Times New Roman" w:hAnsi="Times New Roman" w:cs="Times New Roman"/>
        </w:rPr>
        <w:t xml:space="preserve"> reconstruction</w:t>
      </w:r>
      <w:r w:rsidR="00595BC2">
        <w:rPr>
          <w:rFonts w:ascii="Times New Roman" w:hAnsi="Times New Roman" w:cs="Times New Roman"/>
        </w:rPr>
        <w:t xml:space="preserve"> </w:t>
      </w:r>
      <w:r>
        <w:rPr>
          <w:rFonts w:ascii="Times New Roman" w:hAnsi="Times New Roman" w:cs="Times New Roman"/>
        </w:rPr>
        <w:t>– 4Q415 5, 4Q415 13</w:t>
      </w:r>
      <w:r w:rsidR="00595BC2">
        <w:rPr>
          <w:rFonts w:ascii="Times New Roman" w:hAnsi="Times New Roman" w:cs="Times New Roman"/>
        </w:rPr>
        <w:t>,</w:t>
      </w:r>
      <w:r>
        <w:rPr>
          <w:rFonts w:ascii="Times New Roman" w:hAnsi="Times New Roman" w:cs="Times New Roman"/>
        </w:rPr>
        <w:t xml:space="preserve"> and 4Q415 21. In these fragments, the corresponding points of damage are limited, and therefore the</w:t>
      </w:r>
      <w:r w:rsidRPr="009C7BCB">
        <w:rPr>
          <w:rFonts w:ascii="Times New Roman" w:hAnsi="Times New Roman" w:cs="Times New Roman"/>
        </w:rPr>
        <w:t xml:space="preserve"> material evidence </w:t>
      </w:r>
      <w:r w:rsidR="00595BC2">
        <w:rPr>
          <w:rFonts w:ascii="Times New Roman" w:hAnsi="Times New Roman" w:cs="Times New Roman"/>
        </w:rPr>
        <w:t>offers</w:t>
      </w:r>
      <w:r w:rsidRPr="009C7BCB">
        <w:rPr>
          <w:rFonts w:ascii="Times New Roman" w:hAnsi="Times New Roman" w:cs="Times New Roman"/>
        </w:rPr>
        <w:t xml:space="preserve"> a less</w:t>
      </w:r>
      <w:r>
        <w:rPr>
          <w:rFonts w:ascii="Times New Roman" w:hAnsi="Times New Roman" w:cs="Times New Roman"/>
        </w:rPr>
        <w:t>er degree of certainty.</w:t>
      </w:r>
      <w:r w:rsidRPr="009C7BCB">
        <w:rPr>
          <w:rFonts w:ascii="Times New Roman" w:hAnsi="Times New Roman" w:cs="Times New Roman"/>
        </w:rPr>
        <w:t xml:space="preserve"> </w:t>
      </w:r>
      <w:r>
        <w:rPr>
          <w:rFonts w:ascii="Times New Roman" w:hAnsi="Times New Roman" w:cs="Times New Roman"/>
        </w:rPr>
        <w:t>Indeed</w:t>
      </w:r>
      <w:r w:rsidRPr="009C7BCB">
        <w:rPr>
          <w:rFonts w:ascii="Times New Roman" w:hAnsi="Times New Roman" w:cs="Times New Roman"/>
        </w:rPr>
        <w:t xml:space="preserve">, the recovery proposal is not based on these fragments. </w:t>
      </w:r>
      <w:r w:rsidR="00595BC2">
        <w:rPr>
          <w:rFonts w:ascii="Times New Roman" w:hAnsi="Times New Roman" w:cs="Times New Roman"/>
        </w:rPr>
        <w:t>Nevertheless</w:t>
      </w:r>
      <w:r w:rsidRPr="009C7BCB">
        <w:rPr>
          <w:rFonts w:ascii="Times New Roman" w:hAnsi="Times New Roman" w:cs="Times New Roman"/>
        </w:rPr>
        <w:t>, since the proposal stands on its own, I would like to suggest, with due caution, that these fragments are</w:t>
      </w:r>
      <w:r>
        <w:rPr>
          <w:rFonts w:ascii="Times New Roman" w:hAnsi="Times New Roman" w:cs="Times New Roman"/>
        </w:rPr>
        <w:t xml:space="preserve"> part of the unpreserved layers of the rolled scroll.</w:t>
      </w:r>
    </w:p>
    <w:p w14:paraId="45C8E119" w14:textId="59447DB2" w:rsidR="00783833" w:rsidRPr="009C7BCB" w:rsidRDefault="00783833" w:rsidP="00783833">
      <w:pPr>
        <w:bidi w:val="0"/>
        <w:spacing w:line="360" w:lineRule="auto"/>
        <w:jc w:val="center"/>
        <w:rPr>
          <w:rFonts w:ascii="Times New Roman" w:hAnsi="Times New Roman" w:cs="Times New Roman"/>
        </w:rPr>
      </w:pPr>
      <w:r w:rsidRPr="005217C1">
        <w:rPr>
          <w:rFonts w:asciiTheme="majorBidi" w:hAnsiTheme="majorBidi" w:cstheme="majorBidi"/>
          <w:noProof/>
          <w:sz w:val="20"/>
          <w:szCs w:val="20"/>
        </w:rPr>
        <w:drawing>
          <wp:inline distT="0" distB="0" distL="0" distR="0" wp14:anchorId="46253197" wp14:editId="1BEC4AEC">
            <wp:extent cx="5270500" cy="1645285"/>
            <wp:effectExtent l="0" t="0" r="12700" b="5715"/>
            <wp:docPr id="267" name="תמונה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645285"/>
                    </a:xfrm>
                    <a:prstGeom prst="rect">
                      <a:avLst/>
                    </a:prstGeom>
                  </pic:spPr>
                </pic:pic>
              </a:graphicData>
            </a:graphic>
          </wp:inline>
        </w:drawing>
      </w:r>
      <w:r w:rsidRPr="002E050B">
        <w:rPr>
          <w:rFonts w:asciiTheme="majorBidi" w:hAnsiTheme="majorBidi" w:cstheme="majorBidi"/>
          <w:sz w:val="20"/>
          <w:szCs w:val="20"/>
        </w:rPr>
        <w:t xml:space="preserve"> </w:t>
      </w:r>
      <w:r>
        <w:rPr>
          <w:rFonts w:asciiTheme="majorBidi" w:hAnsiTheme="majorBidi" w:cstheme="majorBidi"/>
          <w:sz w:val="20"/>
          <w:szCs w:val="20"/>
        </w:rPr>
        <w:t>Fig. 22: Placement of frags. 5,13</w:t>
      </w:r>
      <w:r w:rsidR="00595BC2">
        <w:rPr>
          <w:rFonts w:asciiTheme="majorBidi" w:hAnsiTheme="majorBidi" w:cstheme="majorBidi"/>
          <w:sz w:val="20"/>
          <w:szCs w:val="20"/>
        </w:rPr>
        <w:t>,</w:t>
      </w:r>
      <w:r>
        <w:rPr>
          <w:rFonts w:asciiTheme="majorBidi" w:hAnsiTheme="majorBidi" w:cstheme="majorBidi"/>
          <w:sz w:val="20"/>
          <w:szCs w:val="20"/>
        </w:rPr>
        <w:t xml:space="preserve"> and 21 in the digital canvas</w:t>
      </w:r>
    </w:p>
    <w:p w14:paraId="46706475" w14:textId="77777777" w:rsidR="00783833" w:rsidRDefault="00783833" w:rsidP="00783833">
      <w:pPr>
        <w:bidi w:val="0"/>
        <w:spacing w:line="360" w:lineRule="auto"/>
        <w:jc w:val="both"/>
        <w:rPr>
          <w:rFonts w:ascii="Times New Roman" w:hAnsi="Times New Roman" w:cs="Times New Roman"/>
          <w:i/>
          <w:iCs/>
        </w:rPr>
      </w:pPr>
    </w:p>
    <w:p w14:paraId="60CAB751" w14:textId="77777777" w:rsidR="00783833" w:rsidRPr="001A5AEC" w:rsidRDefault="00783833" w:rsidP="00783833">
      <w:pPr>
        <w:bidi w:val="0"/>
        <w:spacing w:line="360" w:lineRule="auto"/>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682816" behindDoc="0" locked="0" layoutInCell="1" allowOverlap="1" wp14:anchorId="5302FAC7" wp14:editId="345B833A">
            <wp:simplePos x="0" y="0"/>
            <wp:positionH relativeFrom="column">
              <wp:posOffset>4507230</wp:posOffset>
            </wp:positionH>
            <wp:positionV relativeFrom="paragraph">
              <wp:posOffset>214630</wp:posOffset>
            </wp:positionV>
            <wp:extent cx="816610" cy="776605"/>
            <wp:effectExtent l="0" t="0" r="0" b="0"/>
            <wp:wrapTight wrapText="bothSides">
              <wp:wrapPolygon edited="0">
                <wp:start x="1344" y="0"/>
                <wp:lineTo x="0" y="4945"/>
                <wp:lineTo x="0" y="13423"/>
                <wp:lineTo x="6047" y="18368"/>
                <wp:lineTo x="6719" y="19781"/>
                <wp:lineTo x="10078" y="19781"/>
                <wp:lineTo x="17468" y="18368"/>
                <wp:lineTo x="20156" y="16249"/>
                <wp:lineTo x="20156" y="12010"/>
                <wp:lineTo x="4703" y="0"/>
                <wp:lineTo x="1344" y="0"/>
              </wp:wrapPolygon>
            </wp:wrapTight>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Q415_3.png"/>
                    <pic:cNvPicPr/>
                  </pic:nvPicPr>
                  <pic:blipFill>
                    <a:blip r:embed="rId11">
                      <a:extLst>
                        <a:ext uri="{28A0092B-C50C-407E-A947-70E740481C1C}">
                          <a14:useLocalDpi xmlns:a14="http://schemas.microsoft.com/office/drawing/2010/main" val="0"/>
                        </a:ext>
                      </a:extLst>
                    </a:blip>
                    <a:stretch>
                      <a:fillRect/>
                    </a:stretch>
                  </pic:blipFill>
                  <pic:spPr>
                    <a:xfrm>
                      <a:off x="0" y="0"/>
                      <a:ext cx="816610" cy="776605"/>
                    </a:xfrm>
                    <a:prstGeom prst="rect">
                      <a:avLst/>
                    </a:prstGeom>
                  </pic:spPr>
                </pic:pic>
              </a:graphicData>
            </a:graphic>
            <wp14:sizeRelH relativeFrom="page">
              <wp14:pctWidth>0</wp14:pctWidth>
            </wp14:sizeRelH>
            <wp14:sizeRelV relativeFrom="page">
              <wp14:pctHeight>0</wp14:pctHeight>
            </wp14:sizeRelV>
          </wp:anchor>
        </w:drawing>
      </w:r>
      <w:r w:rsidRPr="001A5AEC">
        <w:rPr>
          <w:rFonts w:ascii="Times New Roman" w:hAnsi="Times New Roman" w:cs="Times New Roman"/>
          <w:i/>
          <w:iCs/>
        </w:rPr>
        <w:t>4Q415 5</w:t>
      </w:r>
    </w:p>
    <w:p w14:paraId="5BE77DF5" w14:textId="2DE46326" w:rsidR="00783833" w:rsidRDefault="00783833" w:rsidP="00783833">
      <w:pPr>
        <w:bidi w:val="0"/>
        <w:spacing w:line="360" w:lineRule="auto"/>
        <w:jc w:val="both"/>
        <w:rPr>
          <w:rFonts w:asciiTheme="majorBidi" w:hAnsiTheme="majorBidi" w:cstheme="majorBidi"/>
        </w:rPr>
      </w:pPr>
      <w:r>
        <w:rPr>
          <w:noProof/>
        </w:rPr>
        <mc:AlternateContent>
          <mc:Choice Requires="wps">
            <w:drawing>
              <wp:anchor distT="0" distB="0" distL="114300" distR="114300" simplePos="0" relativeHeight="251694080" behindDoc="0" locked="0" layoutInCell="1" allowOverlap="1" wp14:anchorId="2B32F13B" wp14:editId="5C5D3AC0">
                <wp:simplePos x="0" y="0"/>
                <wp:positionH relativeFrom="column">
                  <wp:posOffset>4394835</wp:posOffset>
                </wp:positionH>
                <wp:positionV relativeFrom="paragraph">
                  <wp:posOffset>641259</wp:posOffset>
                </wp:positionV>
                <wp:extent cx="1050925" cy="310515"/>
                <wp:effectExtent l="0" t="0" r="0" b="0"/>
                <wp:wrapSquare wrapText="bothSides"/>
                <wp:docPr id="57" name="תיבת טקסט 57"/>
                <wp:cNvGraphicFramePr/>
                <a:graphic xmlns:a="http://schemas.openxmlformats.org/drawingml/2006/main">
                  <a:graphicData uri="http://schemas.microsoft.com/office/word/2010/wordprocessingShape">
                    <wps:wsp>
                      <wps:cNvSpPr txBox="1"/>
                      <wps:spPr>
                        <a:xfrm>
                          <a:off x="0" y="0"/>
                          <a:ext cx="1050925" cy="310515"/>
                        </a:xfrm>
                        <a:prstGeom prst="rect">
                          <a:avLst/>
                        </a:prstGeom>
                        <a:noFill/>
                        <a:ln>
                          <a:noFill/>
                        </a:ln>
                        <a:effectLst/>
                      </wps:spPr>
                      <wps:txbx>
                        <w:txbxContent>
                          <w:p w14:paraId="3FD5859F" w14:textId="2DBC7B61" w:rsidR="00895E53" w:rsidRPr="00C83729" w:rsidRDefault="00895E53" w:rsidP="00783833">
                            <w:pPr>
                              <w:bidi w:val="0"/>
                              <w:spacing w:line="360" w:lineRule="auto"/>
                              <w:jc w:val="center"/>
                              <w:rPr>
                                <w:rFonts w:ascii="Times New Roman" w:hAnsi="Times New Roman" w:cs="Times New Roman"/>
                                <w:sz w:val="20"/>
                                <w:szCs w:val="20"/>
                              </w:rPr>
                            </w:pPr>
                            <w:r w:rsidRPr="005915EA">
                              <w:rPr>
                                <w:rFonts w:ascii="Times New Roman" w:hAnsi="Times New Roman" w:cs="Times New Roman"/>
                                <w:sz w:val="20"/>
                                <w:szCs w:val="20"/>
                              </w:rPr>
                              <w:t xml:space="preserve">Fig. </w:t>
                            </w:r>
                            <w:r>
                              <w:rPr>
                                <w:rFonts w:ascii="Times New Roman" w:hAnsi="Times New Roman" w:cs="Times New Roman"/>
                                <w:sz w:val="20"/>
                                <w:szCs w:val="20"/>
                              </w:rPr>
                              <w:t>23</w:t>
                            </w:r>
                            <w:r w:rsidRPr="005915EA">
                              <w:rPr>
                                <w:rFonts w:ascii="Times New Roman" w:hAnsi="Times New Roman" w:cs="Times New Roman"/>
                                <w:sz w:val="20"/>
                                <w:szCs w:val="20"/>
                              </w:rPr>
                              <w:t>: 4Q415 5</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w14:anchorId="2B32F13B" id="תיבת טקסט 57" o:spid="_x0000_s1029" type="#_x0000_t202" style="position:absolute;left:0;text-align:left;margin-left:346.05pt;margin-top:50.5pt;width:82.75pt;height:24.4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" filled="f" stroked="f">
                <v:textbox style="mso-fit-shape-to-text:t">
                  <w:txbxContent>
                    <w:p w14:paraId="3FD5859F" w14:textId="2DBC7B61" w:rsidR="00895E53" w:rsidRPr="00C83729" w:rsidRDefault="00895E53" w:rsidP="00783833">
                      <w:pPr>
                        <w:bidi w:val="0"/>
                        <w:spacing w:line="360" w:lineRule="auto"/>
                        <w:jc w:val="center"/>
                        <w:rPr>
                          <w:rFonts w:ascii="Times New Roman" w:hAnsi="Times New Roman" w:cs="Times New Roman"/>
                          <w:sz w:val="20"/>
                          <w:szCs w:val="20"/>
                        </w:rPr>
                      </w:pPr>
                      <w:r w:rsidRPr="005915EA">
                        <w:rPr>
                          <w:rFonts w:ascii="Times New Roman" w:hAnsi="Times New Roman" w:cs="Times New Roman"/>
                          <w:sz w:val="20"/>
                          <w:szCs w:val="20"/>
                        </w:rPr>
                        <w:t xml:space="preserve">Fig. </w:t>
                      </w:r>
                      <w:r>
                        <w:rPr>
                          <w:rFonts w:ascii="Times New Roman" w:hAnsi="Times New Roman" w:cs="Times New Roman"/>
                          <w:sz w:val="20"/>
                          <w:szCs w:val="20"/>
                        </w:rPr>
                        <w:t>23</w:t>
                      </w:r>
                      <w:r w:rsidRPr="005915EA">
                        <w:rPr>
                          <w:rFonts w:ascii="Times New Roman" w:hAnsi="Times New Roman" w:cs="Times New Roman"/>
                          <w:sz w:val="20"/>
                          <w:szCs w:val="20"/>
                        </w:rPr>
                        <w:t>: 4Q415 5</w:t>
                      </w:r>
                    </w:p>
                  </w:txbxContent>
                </v:textbox>
                <w10:wrap type="square"/>
              </v:shape>
            </w:pict>
          </mc:Fallback>
        </mc:AlternateContent>
      </w:r>
      <w:r w:rsidRPr="00C87E1F">
        <w:rPr>
          <w:rFonts w:asciiTheme="majorBidi" w:hAnsiTheme="majorBidi" w:cstheme="majorBidi"/>
        </w:rPr>
        <w:t xml:space="preserve">4Q415 5 preserves </w:t>
      </w:r>
      <w:r>
        <w:rPr>
          <w:rFonts w:asciiTheme="majorBidi" w:hAnsiTheme="majorBidi" w:cstheme="majorBidi"/>
        </w:rPr>
        <w:t xml:space="preserve">two lines of </w:t>
      </w:r>
      <w:r w:rsidRPr="00C87E1F">
        <w:rPr>
          <w:rFonts w:asciiTheme="majorBidi" w:hAnsiTheme="majorBidi" w:cstheme="majorBidi"/>
        </w:rPr>
        <w:t xml:space="preserve">a fragmentary text. </w:t>
      </w:r>
      <w:r>
        <w:rPr>
          <w:rFonts w:asciiTheme="majorBidi" w:hAnsiTheme="majorBidi" w:cstheme="majorBidi"/>
        </w:rPr>
        <w:t xml:space="preserve">It preserves a large part of </w:t>
      </w:r>
      <w:r w:rsidR="00595BC2">
        <w:rPr>
          <w:rFonts w:asciiTheme="majorBidi" w:hAnsiTheme="majorBidi" w:cstheme="majorBidi"/>
        </w:rPr>
        <w:t xml:space="preserve">the </w:t>
      </w:r>
      <w:r>
        <w:rPr>
          <w:rFonts w:asciiTheme="majorBidi" w:hAnsiTheme="majorBidi" w:cstheme="majorBidi"/>
        </w:rPr>
        <w:t xml:space="preserve">bottom margins. SH join this fragment with 4Q415 3, </w:t>
      </w:r>
      <w:r w:rsidR="00595BC2">
        <w:rPr>
          <w:rFonts w:asciiTheme="majorBidi" w:hAnsiTheme="majorBidi" w:cstheme="majorBidi"/>
        </w:rPr>
        <w:t xml:space="preserve">based </w:t>
      </w:r>
      <w:r>
        <w:rPr>
          <w:rFonts w:asciiTheme="majorBidi" w:hAnsiTheme="majorBidi" w:cstheme="majorBidi"/>
        </w:rPr>
        <w:t>on the bottom margins in the two fragments.</w:t>
      </w:r>
      <w:r>
        <w:rPr>
          <w:rStyle w:val="a5"/>
          <w:rFonts w:asciiTheme="majorBidi" w:hAnsiTheme="majorBidi" w:cstheme="majorBidi"/>
        </w:rPr>
        <w:footnoteReference w:id="18"/>
      </w:r>
      <w:r>
        <w:rPr>
          <w:rFonts w:asciiTheme="majorBidi" w:hAnsiTheme="majorBidi" w:cstheme="majorBidi"/>
        </w:rPr>
        <w:t xml:space="preserve"> However, the text of 4Q415 3 is so poor that </w:t>
      </w:r>
      <w:r w:rsidR="00595BC2">
        <w:rPr>
          <w:rFonts w:asciiTheme="majorBidi" w:hAnsiTheme="majorBidi" w:cstheme="majorBidi"/>
        </w:rPr>
        <w:t xml:space="preserve">no </w:t>
      </w:r>
      <w:r>
        <w:rPr>
          <w:rFonts w:asciiTheme="majorBidi" w:hAnsiTheme="majorBidi" w:cstheme="majorBidi"/>
        </w:rPr>
        <w:t xml:space="preserve">definitive conclusion </w:t>
      </w:r>
      <w:r w:rsidR="00595BC2">
        <w:rPr>
          <w:rFonts w:asciiTheme="majorBidi" w:hAnsiTheme="majorBidi" w:cstheme="majorBidi"/>
        </w:rPr>
        <w:t xml:space="preserve">can </w:t>
      </w:r>
      <w:r>
        <w:rPr>
          <w:rFonts w:asciiTheme="majorBidi" w:hAnsiTheme="majorBidi" w:cstheme="majorBidi"/>
        </w:rPr>
        <w:t xml:space="preserve">be </w:t>
      </w:r>
      <w:r w:rsidR="00595BC2">
        <w:rPr>
          <w:rFonts w:asciiTheme="majorBidi" w:hAnsiTheme="majorBidi" w:cstheme="majorBidi"/>
        </w:rPr>
        <w:t>reached</w:t>
      </w:r>
      <w:r>
        <w:rPr>
          <w:rFonts w:asciiTheme="majorBidi" w:hAnsiTheme="majorBidi" w:cstheme="majorBidi"/>
        </w:rPr>
        <w:t xml:space="preserve">.  </w:t>
      </w:r>
      <w:r w:rsidRPr="00C87E1F">
        <w:rPr>
          <w:rFonts w:asciiTheme="majorBidi" w:hAnsiTheme="majorBidi" w:cstheme="majorBidi"/>
        </w:rPr>
        <w:t>Tigchelaar suggest</w:t>
      </w:r>
      <w:r w:rsidR="00D81D81">
        <w:rPr>
          <w:rFonts w:asciiTheme="majorBidi" w:hAnsiTheme="majorBidi" w:cstheme="majorBidi"/>
        </w:rPr>
        <w:t>s</w:t>
      </w:r>
      <w:r w:rsidRPr="00C87E1F">
        <w:rPr>
          <w:rFonts w:asciiTheme="majorBidi" w:hAnsiTheme="majorBidi" w:cstheme="majorBidi"/>
        </w:rPr>
        <w:t xml:space="preserve"> that </w:t>
      </w:r>
      <w:r>
        <w:rPr>
          <w:rFonts w:asciiTheme="majorBidi" w:hAnsiTheme="majorBidi" w:cstheme="majorBidi"/>
        </w:rPr>
        <w:t>4Q415 5</w:t>
      </w:r>
      <w:r w:rsidRPr="00C87E1F">
        <w:rPr>
          <w:rFonts w:asciiTheme="majorBidi" w:hAnsiTheme="majorBidi" w:cstheme="majorBidi"/>
        </w:rPr>
        <w:t xml:space="preserve"> overlaps</w:t>
      </w:r>
      <w:r>
        <w:rPr>
          <w:rFonts w:asciiTheme="majorBidi" w:hAnsiTheme="majorBidi" w:cstheme="majorBidi"/>
        </w:rPr>
        <w:t xml:space="preserve"> </w:t>
      </w:r>
      <w:r w:rsidR="00D81D81">
        <w:rPr>
          <w:rFonts w:asciiTheme="majorBidi" w:hAnsiTheme="majorBidi" w:cstheme="majorBidi"/>
        </w:rPr>
        <w:t xml:space="preserve">textually </w:t>
      </w:r>
      <w:r>
        <w:rPr>
          <w:rFonts w:asciiTheme="majorBidi" w:hAnsiTheme="majorBidi" w:cstheme="majorBidi"/>
        </w:rPr>
        <w:t>with</w:t>
      </w:r>
      <w:r w:rsidRPr="00C87E1F">
        <w:rPr>
          <w:rFonts w:asciiTheme="majorBidi" w:hAnsiTheme="majorBidi" w:cstheme="majorBidi"/>
        </w:rPr>
        <w:t xml:space="preserve"> 4Q418 172 6–7, bas</w:t>
      </w:r>
      <w:r w:rsidR="00D81D81">
        <w:rPr>
          <w:rFonts w:asciiTheme="majorBidi" w:hAnsiTheme="majorBidi" w:cstheme="majorBidi"/>
        </w:rPr>
        <w:t>ed</w:t>
      </w:r>
      <w:r w:rsidRPr="00C87E1F">
        <w:rPr>
          <w:rFonts w:asciiTheme="majorBidi" w:hAnsiTheme="majorBidi" w:cstheme="majorBidi"/>
        </w:rPr>
        <w:t xml:space="preserve"> on the rare sequence of letters </w:t>
      </w:r>
      <w:r w:rsidRPr="00C87E1F">
        <w:rPr>
          <w:rFonts w:asciiTheme="majorBidi" w:hAnsiTheme="majorBidi" w:cstheme="majorBidi"/>
          <w:rtl/>
        </w:rPr>
        <w:t>שתר</w:t>
      </w:r>
      <w:r>
        <w:rPr>
          <w:rFonts w:asciiTheme="majorBidi" w:hAnsiTheme="majorBidi" w:cstheme="majorBidi"/>
        </w:rPr>
        <w:t xml:space="preserve">. The only </w:t>
      </w:r>
      <w:r w:rsidR="00D81D81">
        <w:rPr>
          <w:rFonts w:asciiTheme="majorBidi" w:hAnsiTheme="majorBidi" w:cstheme="majorBidi"/>
        </w:rPr>
        <w:t xml:space="preserve">additional </w:t>
      </w:r>
      <w:r>
        <w:rPr>
          <w:rFonts w:asciiTheme="majorBidi" w:hAnsiTheme="majorBidi" w:cstheme="majorBidi"/>
        </w:rPr>
        <w:t xml:space="preserve">occurrence of these letters in DSS is </w:t>
      </w:r>
      <w:r w:rsidRPr="00C87E1F">
        <w:rPr>
          <w:rFonts w:asciiTheme="majorBidi" w:hAnsiTheme="majorBidi" w:cstheme="majorBidi"/>
        </w:rPr>
        <w:t>in 4Q418 172.</w:t>
      </w:r>
      <w:r w:rsidRPr="00C87E1F">
        <w:rPr>
          <w:rStyle w:val="a5"/>
          <w:rFonts w:asciiTheme="majorBidi" w:hAnsiTheme="majorBidi" w:cstheme="majorBidi"/>
        </w:rPr>
        <w:t xml:space="preserve"> </w:t>
      </w:r>
      <w:r w:rsidRPr="00C87E1F">
        <w:rPr>
          <w:rStyle w:val="a5"/>
          <w:rFonts w:asciiTheme="majorBidi" w:hAnsiTheme="majorBidi" w:cstheme="majorBidi"/>
        </w:rPr>
        <w:footnoteReference w:id="19"/>
      </w:r>
      <w:r w:rsidRPr="00C87E1F">
        <w:rPr>
          <w:rFonts w:asciiTheme="majorBidi" w:hAnsiTheme="majorBidi" w:cstheme="majorBidi"/>
        </w:rPr>
        <w:t xml:space="preserve"> </w:t>
      </w:r>
      <w:r>
        <w:rPr>
          <w:rFonts w:asciiTheme="majorBidi" w:hAnsiTheme="majorBidi" w:cstheme="majorBidi"/>
        </w:rPr>
        <w:t xml:space="preserve">The combined text of the fragment, according to the textual overlap, is: </w:t>
      </w:r>
    </w:p>
    <w:p w14:paraId="5AD8108B" w14:textId="77777777" w:rsidR="00783833" w:rsidRDefault="00783833" w:rsidP="00783833">
      <w:pPr>
        <w:bidi w:val="0"/>
        <w:spacing w:line="360" w:lineRule="auto"/>
        <w:jc w:val="both"/>
        <w:rPr>
          <w:rFonts w:asciiTheme="majorBidi" w:hAnsiTheme="majorBidi" w:cstheme="majorBidi"/>
        </w:rPr>
      </w:pPr>
    </w:p>
    <w:p w14:paraId="2DFF9DF5" w14:textId="3396ED55" w:rsidR="00783833" w:rsidRPr="00783833" w:rsidRDefault="00783833" w:rsidP="00783833">
      <w:pPr>
        <w:bidi w:val="0"/>
        <w:spacing w:line="360" w:lineRule="auto"/>
        <w:jc w:val="both"/>
        <w:rPr>
          <w:rFonts w:asciiTheme="majorBidi" w:hAnsiTheme="majorBidi" w:cstheme="majorBidi"/>
        </w:rPr>
      </w:pPr>
      <w:r>
        <w:rPr>
          <w:rFonts w:ascii="Times New Roman" w:hAnsi="Times New Roman" w:cs="Times New Roman"/>
        </w:rPr>
        <w:lastRenderedPageBreak/>
        <w:t xml:space="preserve">Since 4Q415 5 shows </w:t>
      </w:r>
      <w:r w:rsidR="00D81D81">
        <w:rPr>
          <w:rFonts w:ascii="Times New Roman" w:hAnsi="Times New Roman" w:cs="Times New Roman"/>
        </w:rPr>
        <w:t xml:space="preserve">the </w:t>
      </w:r>
      <w:r>
        <w:rPr>
          <w:rFonts w:ascii="Times New Roman" w:hAnsi="Times New Roman" w:cs="Times New Roman"/>
        </w:rPr>
        <w:t xml:space="preserve">bottom margin, I </w:t>
      </w:r>
      <w:r w:rsidR="00D81D81">
        <w:rPr>
          <w:rFonts w:ascii="Times New Roman" w:hAnsi="Times New Roman" w:cs="Times New Roman"/>
        </w:rPr>
        <w:t xml:space="preserve">have </w:t>
      </w:r>
      <w:r>
        <w:rPr>
          <w:rFonts w:ascii="Times New Roman" w:hAnsi="Times New Roman" w:cs="Times New Roman"/>
        </w:rPr>
        <w:t xml:space="preserve">examined the possibility that it belongs to the bottom group of the wad. Indeed, figure 24 shows that one can point to its points of damage </w:t>
      </w:r>
      <w:r w:rsidR="00D81D81">
        <w:rPr>
          <w:rFonts w:ascii="Times New Roman" w:hAnsi="Times New Roman" w:cs="Times New Roman"/>
        </w:rPr>
        <w:t xml:space="preserve">corresponding </w:t>
      </w:r>
      <w:r>
        <w:rPr>
          <w:rFonts w:ascii="Times New Roman" w:hAnsi="Times New Roman" w:cs="Times New Roman"/>
        </w:rPr>
        <w:t>with 4Q415 9 and 4Q415 11, and with 4Q415 2.</w:t>
      </w:r>
    </w:p>
    <w:p w14:paraId="425B8457" w14:textId="77777777" w:rsidR="00783833" w:rsidRDefault="00783833" w:rsidP="00783833">
      <w:pPr>
        <w:bidi w:val="0"/>
        <w:spacing w:line="360" w:lineRule="auto"/>
        <w:ind w:firstLine="720"/>
        <w:jc w:val="both"/>
        <w:rPr>
          <w:rFonts w:ascii="Times New Roman" w:hAnsi="Times New Roman" w:cs="Times New Roman"/>
        </w:rPr>
      </w:pPr>
    </w:p>
    <w:p w14:paraId="4BF0CA42" w14:textId="77777777" w:rsidR="00783833" w:rsidRDefault="00783833" w:rsidP="00783833">
      <w:pPr>
        <w:bidi w:val="0"/>
        <w:spacing w:line="360" w:lineRule="auto"/>
        <w:ind w:firstLine="720"/>
        <w:jc w:val="both"/>
        <w:rPr>
          <w:rFonts w:ascii="Times New Roman" w:hAnsi="Times New Roman" w:cs="Times New Roman"/>
        </w:rPr>
      </w:pPr>
    </w:p>
    <w:p w14:paraId="6F8C18D8" w14:textId="77777777" w:rsidR="00783833" w:rsidRDefault="00783833" w:rsidP="00783833">
      <w:pPr>
        <w:bidi w:val="0"/>
        <w:spacing w:line="360" w:lineRule="auto"/>
        <w:ind w:firstLine="720"/>
        <w:jc w:val="both"/>
        <w:rPr>
          <w:rFonts w:ascii="Times New Roman" w:hAnsi="Times New Roman" w:cs="Times New Roman"/>
        </w:rPr>
      </w:pPr>
    </w:p>
    <w:p w14:paraId="6CA2129F" w14:textId="77777777" w:rsidR="00783833" w:rsidRDefault="00783833" w:rsidP="00783833">
      <w:pPr>
        <w:bidi w:val="0"/>
        <w:spacing w:line="360" w:lineRule="auto"/>
        <w:ind w:firstLine="720"/>
        <w:jc w:val="both"/>
        <w:rPr>
          <w:rFonts w:ascii="Times New Roman" w:hAnsi="Times New Roman" w:cs="Times New Roman"/>
        </w:rPr>
      </w:pPr>
    </w:p>
    <w:p w14:paraId="20B15D38" w14:textId="62E2E22C"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w:t>
      </w:r>
      <w:r w:rsidR="00C219CB">
        <w:rPr>
          <w:rFonts w:ascii="Times New Roman" w:hAnsi="Times New Roman" w:cs="Times New Roman"/>
        </w:rPr>
        <w:t xml:space="preserve">size of the </w:t>
      </w:r>
      <w:r>
        <w:rPr>
          <w:rFonts w:ascii="Times New Roman" w:hAnsi="Times New Roman" w:cs="Times New Roman"/>
        </w:rPr>
        <w:t xml:space="preserve">bottom margin can serve as a criterion for locating 4Q415 5. We can assume that the deterioration of the scroll probably </w:t>
      </w:r>
      <w:r w:rsidR="00C219CB">
        <w:rPr>
          <w:rFonts w:ascii="Times New Roman" w:hAnsi="Times New Roman" w:cs="Times New Roman"/>
        </w:rPr>
        <w:t xml:space="preserve">occurred </w:t>
      </w:r>
      <w:r>
        <w:rPr>
          <w:rFonts w:ascii="Times New Roman" w:hAnsi="Times New Roman" w:cs="Times New Roman"/>
        </w:rPr>
        <w:t xml:space="preserve">from </w:t>
      </w:r>
      <w:r w:rsidR="00C219CB">
        <w:rPr>
          <w:rFonts w:ascii="Times New Roman" w:hAnsi="Times New Roman" w:cs="Times New Roman"/>
        </w:rPr>
        <w:t xml:space="preserve">the </w:t>
      </w:r>
      <w:r>
        <w:rPr>
          <w:rFonts w:ascii="Times New Roman" w:hAnsi="Times New Roman" w:cs="Times New Roman"/>
        </w:rPr>
        <w:t>inside out, bas</w:t>
      </w:r>
      <w:r w:rsidR="00760C86">
        <w:rPr>
          <w:rFonts w:ascii="Times New Roman" w:hAnsi="Times New Roman" w:cs="Times New Roman"/>
        </w:rPr>
        <w:t>ed</w:t>
      </w:r>
      <w:r>
        <w:rPr>
          <w:rFonts w:ascii="Times New Roman" w:hAnsi="Times New Roman" w:cs="Times New Roman"/>
        </w:rPr>
        <w:t xml:space="preserve"> on the size of the preserved bottom margin in the fragments belong to the bottom group of the wad: 4Q415 9 does not show </w:t>
      </w:r>
      <w:r w:rsidR="00760C86">
        <w:rPr>
          <w:rFonts w:ascii="Times New Roman" w:hAnsi="Times New Roman" w:cs="Times New Roman"/>
        </w:rPr>
        <w:t xml:space="preserve">the </w:t>
      </w:r>
      <w:r>
        <w:rPr>
          <w:rFonts w:ascii="Times New Roman" w:hAnsi="Times New Roman" w:cs="Times New Roman"/>
        </w:rPr>
        <w:t>bottom margin at all</w:t>
      </w:r>
      <w:r w:rsidR="00760C86">
        <w:rPr>
          <w:rFonts w:ascii="Times New Roman" w:hAnsi="Times New Roman" w:cs="Times New Roman"/>
        </w:rPr>
        <w:t>;</w:t>
      </w:r>
      <w:r>
        <w:rPr>
          <w:rFonts w:ascii="Times New Roman" w:hAnsi="Times New Roman" w:cs="Times New Roman"/>
        </w:rPr>
        <w:t xml:space="preserve"> 4Q415 2 shows a tiny part of the bottom margin</w:t>
      </w:r>
      <w:r w:rsidR="00760C86">
        <w:rPr>
          <w:rFonts w:ascii="Times New Roman" w:hAnsi="Times New Roman" w:cs="Times New Roman"/>
        </w:rPr>
        <w:t>;</w:t>
      </w:r>
      <w:r>
        <w:rPr>
          <w:rFonts w:ascii="Times New Roman" w:hAnsi="Times New Roman" w:cs="Times New Roman"/>
        </w:rPr>
        <w:t xml:space="preserve"> and 4Q415 11 shows a large bottom margin. </w:t>
      </w:r>
      <w:r w:rsidR="00760C86">
        <w:rPr>
          <w:rFonts w:ascii="Times New Roman" w:hAnsi="Times New Roman" w:cs="Times New Roman"/>
        </w:rPr>
        <w:t xml:space="preserve">Based on </w:t>
      </w:r>
      <w:r>
        <w:rPr>
          <w:rFonts w:ascii="Times New Roman" w:hAnsi="Times New Roman" w:cs="Times New Roman"/>
        </w:rPr>
        <w:t xml:space="preserve">this criterion, the location of 4Q415 5 between fragments 2 and 11 seems the best option. If so, 4Q415 5 can theoretically </w:t>
      </w:r>
      <w:r w:rsidR="00760C86">
        <w:rPr>
          <w:rFonts w:ascii="Times New Roman" w:hAnsi="Times New Roman" w:cs="Times New Roman"/>
        </w:rPr>
        <w:t xml:space="preserve">be </w:t>
      </w:r>
      <w:r>
        <w:rPr>
          <w:rFonts w:ascii="Times New Roman" w:hAnsi="Times New Roman" w:cs="Times New Roman"/>
        </w:rPr>
        <w:t>located in columns II, III or IV. The text of 4Q415 2i and 4Q415 5/4Q418 172 cannot be joined due to their different context</w:t>
      </w:r>
      <w:r w:rsidR="00760C86">
        <w:rPr>
          <w:rFonts w:ascii="Times New Roman" w:hAnsi="Times New Roman" w:cs="Times New Roman"/>
        </w:rPr>
        <w:t>;</w:t>
      </w:r>
      <w:r>
        <w:rPr>
          <w:rFonts w:ascii="Times New Roman" w:hAnsi="Times New Roman" w:cs="Times New Roman"/>
        </w:rPr>
        <w:t xml:space="preserve"> therefore</w:t>
      </w:r>
      <w:r w:rsidR="00760C86">
        <w:rPr>
          <w:rFonts w:ascii="Times New Roman" w:hAnsi="Times New Roman" w:cs="Times New Roman"/>
        </w:rPr>
        <w:t>,</w:t>
      </w:r>
      <w:r>
        <w:rPr>
          <w:rFonts w:ascii="Times New Roman" w:hAnsi="Times New Roman" w:cs="Times New Roman"/>
        </w:rPr>
        <w:t xml:space="preserve"> 4Q415 5 cannot be placed in column IV. I suggest </w:t>
      </w:r>
      <w:r w:rsidR="00760C86">
        <w:rPr>
          <w:rFonts w:ascii="Times New Roman" w:hAnsi="Times New Roman" w:cs="Times New Roman"/>
        </w:rPr>
        <w:t>placing</w:t>
      </w:r>
      <w:r>
        <w:rPr>
          <w:rFonts w:ascii="Times New Roman" w:hAnsi="Times New Roman" w:cs="Times New Roman"/>
        </w:rPr>
        <w:t xml:space="preserve"> it in column II, due to the placement of 4Q415 13, as discussed below.   </w:t>
      </w:r>
    </w:p>
    <w:p w14:paraId="4F51DFC5" w14:textId="77777777" w:rsidR="00783833" w:rsidRDefault="00783833" w:rsidP="00783833">
      <w:pPr>
        <w:bidi w:val="0"/>
        <w:spacing w:line="360" w:lineRule="auto"/>
        <w:jc w:val="both"/>
        <w:rPr>
          <w:rFonts w:ascii="Times New Roman" w:hAnsi="Times New Roman" w:cs="Times New Roman"/>
        </w:rPr>
      </w:pPr>
    </w:p>
    <w:p w14:paraId="13026BC6" w14:textId="77777777"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4Q415 13</w:t>
      </w:r>
    </w:p>
    <w:p w14:paraId="5EED5149" w14:textId="0056082C"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4Q415 13 preserves 5 fragmentary lines of text and does not show any margins. </w:t>
      </w:r>
      <w:proofErr w:type="spellStart"/>
      <w:r w:rsidR="00987995">
        <w:rPr>
          <w:rFonts w:ascii="Times New Roman" w:hAnsi="Times New Roman" w:cs="Times New Roman"/>
        </w:rPr>
        <w:t>Eshel</w:t>
      </w:r>
      <w:proofErr w:type="spellEnd"/>
      <w:r w:rsidR="00987995">
        <w:rPr>
          <w:rFonts w:ascii="Times New Roman" w:hAnsi="Times New Roman" w:cs="Times New Roman"/>
        </w:rPr>
        <w:t xml:space="preserve"> joins t</w:t>
      </w:r>
      <w:r w:rsidRPr="00950F4F">
        <w:rPr>
          <w:rFonts w:ascii="Times New Roman" w:hAnsi="Times New Roman" w:cs="Times New Roman"/>
        </w:rPr>
        <w:t>h</w:t>
      </w:r>
      <w:r>
        <w:rPr>
          <w:rFonts w:ascii="Times New Roman" w:hAnsi="Times New Roman" w:cs="Times New Roman"/>
        </w:rPr>
        <w:t>e verso of th</w:t>
      </w:r>
      <w:r w:rsidRPr="00950F4F">
        <w:rPr>
          <w:rFonts w:ascii="Times New Roman" w:hAnsi="Times New Roman" w:cs="Times New Roman"/>
        </w:rPr>
        <w:t>is fragment with 4Q414 2ii</w:t>
      </w:r>
      <w:r>
        <w:rPr>
          <w:rFonts w:ascii="Times New Roman" w:hAnsi="Times New Roman" w:cs="Times New Roman"/>
        </w:rPr>
        <w:t>.</w:t>
      </w:r>
      <w:r>
        <w:rPr>
          <w:rStyle w:val="a5"/>
          <w:rFonts w:ascii="Times New Roman" w:hAnsi="Times New Roman" w:cs="Times New Roman"/>
        </w:rPr>
        <w:footnoteReference w:id="20"/>
      </w:r>
      <w:r>
        <w:rPr>
          <w:rFonts w:ascii="Times New Roman" w:hAnsi="Times New Roman" w:cs="Times New Roman"/>
        </w:rPr>
        <w:t xml:space="preserve"> </w:t>
      </w:r>
      <w:proofErr w:type="spellStart"/>
      <w:r>
        <w:rPr>
          <w:rFonts w:ascii="Times New Roman" w:hAnsi="Times New Roman" w:cs="Times New Roman"/>
        </w:rPr>
        <w:t>Eshel</w:t>
      </w:r>
      <w:proofErr w:type="spellEnd"/>
      <w:r>
        <w:rPr>
          <w:rFonts w:ascii="Times New Roman" w:hAnsi="Times New Roman" w:cs="Times New Roman"/>
        </w:rPr>
        <w:t xml:space="preserve"> </w:t>
      </w:r>
      <w:r w:rsidR="00987995">
        <w:rPr>
          <w:rFonts w:ascii="Times New Roman" w:hAnsi="Times New Roman" w:cs="Times New Roman"/>
        </w:rPr>
        <w:t xml:space="preserve">does not give reason for this </w:t>
      </w:r>
      <w:r>
        <w:rPr>
          <w:rFonts w:ascii="Times New Roman" w:hAnsi="Times New Roman" w:cs="Times New Roman"/>
        </w:rPr>
        <w:t xml:space="preserve">the join, but we can assume that it was </w:t>
      </w:r>
      <w:r w:rsidR="00987995">
        <w:rPr>
          <w:rFonts w:ascii="Times New Roman" w:hAnsi="Times New Roman" w:cs="Times New Roman"/>
        </w:rPr>
        <w:t xml:space="preserve">primarily </w:t>
      </w:r>
      <w:r>
        <w:rPr>
          <w:rFonts w:ascii="Times New Roman" w:hAnsi="Times New Roman" w:cs="Times New Roman"/>
        </w:rPr>
        <w:t>based on textual considerations. Nevertheless, in the recto</w:t>
      </w:r>
      <w:r w:rsidR="00987995">
        <w:rPr>
          <w:rFonts w:ascii="Times New Roman" w:hAnsi="Times New Roman" w:cs="Times New Roman"/>
        </w:rPr>
        <w:t>,</w:t>
      </w:r>
      <w:r>
        <w:rPr>
          <w:rFonts w:ascii="Times New Roman" w:hAnsi="Times New Roman" w:cs="Times New Roman"/>
        </w:rPr>
        <w:t xml:space="preserve"> the join </w:t>
      </w:r>
      <w:r w:rsidRPr="00950F4F">
        <w:rPr>
          <w:rFonts w:ascii="Times New Roman" w:hAnsi="Times New Roman" w:cs="Times New Roman"/>
        </w:rPr>
        <w:t xml:space="preserve">does not fit </w:t>
      </w:r>
      <w:r>
        <w:rPr>
          <w:rFonts w:ascii="Times New Roman" w:hAnsi="Times New Roman" w:cs="Times New Roman"/>
        </w:rPr>
        <w:t xml:space="preserve">from </w:t>
      </w:r>
      <w:r w:rsidR="00987995">
        <w:rPr>
          <w:rFonts w:ascii="Times New Roman" w:hAnsi="Times New Roman" w:cs="Times New Roman"/>
        </w:rPr>
        <w:t xml:space="preserve">a </w:t>
      </w:r>
      <w:r>
        <w:rPr>
          <w:rFonts w:ascii="Times New Roman" w:hAnsi="Times New Roman" w:cs="Times New Roman"/>
        </w:rPr>
        <w:t>textual perspective, as shown below:</w:t>
      </w:r>
    </w:p>
    <w:p w14:paraId="51544CDD" w14:textId="5C69A145" w:rsidR="00783833" w:rsidRPr="00CE7F4A"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While 4Q415 2ii comprises instructions addressed to the female, the conjunction </w:t>
      </w:r>
      <w:r>
        <w:rPr>
          <w:rFonts w:ascii="SBL Hebrew" w:hAnsi="SBL Hebrew" w:cs="SBL Hebrew" w:hint="cs"/>
          <w:rtl/>
        </w:rPr>
        <w:t>וֹהמועל בצאנו</w:t>
      </w:r>
      <w:r>
        <w:rPr>
          <w:rFonts w:ascii="Times New Roman" w:hAnsi="Times New Roman" w:cs="Times New Roman"/>
        </w:rPr>
        <w:t xml:space="preserve"> in fragment 13 suggest</w:t>
      </w:r>
      <w:r w:rsidR="00060D75">
        <w:rPr>
          <w:rFonts w:ascii="Times New Roman" w:hAnsi="Times New Roman" w:cs="Times New Roman"/>
        </w:rPr>
        <w:t>s</w:t>
      </w:r>
      <w:r>
        <w:rPr>
          <w:rFonts w:ascii="Times New Roman" w:hAnsi="Times New Roman" w:cs="Times New Roman"/>
        </w:rPr>
        <w:t xml:space="preserve"> that it </w:t>
      </w:r>
      <w:r w:rsidR="00060D75">
        <w:rPr>
          <w:rFonts w:ascii="Times New Roman" w:hAnsi="Times New Roman" w:cs="Times New Roman"/>
        </w:rPr>
        <w:t>is</w:t>
      </w:r>
      <w:r>
        <w:rPr>
          <w:rFonts w:ascii="Times New Roman" w:hAnsi="Times New Roman" w:cs="Times New Roman"/>
        </w:rPr>
        <w:t xml:space="preserve"> related to the folk scene, attested </w:t>
      </w:r>
      <w:r w:rsidR="00060D75">
        <w:rPr>
          <w:rFonts w:ascii="Times New Roman" w:hAnsi="Times New Roman" w:cs="Times New Roman"/>
        </w:rPr>
        <w:t>i</w:t>
      </w:r>
      <w:r>
        <w:rPr>
          <w:rFonts w:ascii="Times New Roman" w:hAnsi="Times New Roman" w:cs="Times New Roman"/>
        </w:rPr>
        <w:t xml:space="preserve">n further fragments of </w:t>
      </w:r>
      <w:r w:rsidRPr="004B68CA">
        <w:rPr>
          <w:rFonts w:ascii="Times New Roman" w:hAnsi="Times New Roman" w:cs="Times New Roman"/>
          <w:i/>
          <w:iCs/>
        </w:rPr>
        <w:t>Instruction</w:t>
      </w:r>
      <w:r>
        <w:rPr>
          <w:rFonts w:ascii="Times New Roman" w:hAnsi="Times New Roman" w:cs="Times New Roman"/>
        </w:rPr>
        <w:t>, such as 4Q417 3, 4Q418 181</w:t>
      </w:r>
      <w:r w:rsidR="00060D75">
        <w:rPr>
          <w:rFonts w:ascii="Times New Roman" w:hAnsi="Times New Roman" w:cs="Times New Roman"/>
        </w:rPr>
        <w:t>,</w:t>
      </w:r>
      <w:r>
        <w:rPr>
          <w:rFonts w:ascii="Times New Roman" w:hAnsi="Times New Roman" w:cs="Times New Roman"/>
        </w:rPr>
        <w:t xml:space="preserve"> and 4Q418 239. 4Q415 5 also belong</w:t>
      </w:r>
      <w:r w:rsidR="00060D75">
        <w:rPr>
          <w:rFonts w:ascii="Times New Roman" w:hAnsi="Times New Roman" w:cs="Times New Roman"/>
        </w:rPr>
        <w:t>s</w:t>
      </w:r>
      <w:r>
        <w:rPr>
          <w:rFonts w:ascii="Times New Roman" w:hAnsi="Times New Roman" w:cs="Times New Roman"/>
        </w:rPr>
        <w:t xml:space="preserve"> to th</w:t>
      </w:r>
      <w:r w:rsidR="00060D75">
        <w:rPr>
          <w:rFonts w:ascii="Times New Roman" w:hAnsi="Times New Roman" w:cs="Times New Roman"/>
        </w:rPr>
        <w:t>is</w:t>
      </w:r>
      <w:r>
        <w:rPr>
          <w:rFonts w:ascii="Times New Roman" w:hAnsi="Times New Roman" w:cs="Times New Roman"/>
        </w:rPr>
        <w:t xml:space="preserve"> scene, bas</w:t>
      </w:r>
      <w:r w:rsidR="00060D75">
        <w:rPr>
          <w:rFonts w:ascii="Times New Roman" w:hAnsi="Times New Roman" w:cs="Times New Roman"/>
        </w:rPr>
        <w:t>ed</w:t>
      </w:r>
      <w:r>
        <w:rPr>
          <w:rFonts w:ascii="Times New Roman" w:hAnsi="Times New Roman" w:cs="Times New Roman"/>
        </w:rPr>
        <w:t xml:space="preserve"> on the word </w:t>
      </w:r>
      <w:proofErr w:type="spellStart"/>
      <w:r w:rsidRPr="004B68CA">
        <w:rPr>
          <w:rFonts w:ascii="SBL Hebrew" w:hAnsi="SBL Hebrew" w:cs="SBL Hebrew" w:hint="cs"/>
          <w:rtl/>
        </w:rPr>
        <w:t>ע</w:t>
      </w:r>
      <w:r w:rsidRPr="004B68CA">
        <w:rPr>
          <w:rFonts w:ascii="SBL Hebrew" w:hAnsi="SBL Hebrew" w:cs="SBL Hebrew"/>
          <w:color w:val="000000" w:themeColor="text1"/>
          <w:rtl/>
        </w:rPr>
        <w:t>֯</w:t>
      </w:r>
      <w:r w:rsidRPr="004B68CA">
        <w:rPr>
          <w:rFonts w:ascii="SBL Hebrew" w:hAnsi="SBL Hebrew" w:cs="SBL Hebrew" w:hint="cs"/>
          <w:color w:val="000000" w:themeColor="text1"/>
          <w:rtl/>
        </w:rPr>
        <w:t>שתרו</w:t>
      </w:r>
      <w:proofErr w:type="spellEnd"/>
      <w:r w:rsidRPr="004B68CA">
        <w:rPr>
          <w:rFonts w:ascii="SBL Hebrew" w:hAnsi="SBL Hebrew" w:cs="SBL Hebrew" w:hint="cs"/>
          <w:color w:val="000000" w:themeColor="text1"/>
          <w:rtl/>
        </w:rPr>
        <w:t>ֹ</w:t>
      </w:r>
      <w:proofErr w:type="gramStart"/>
      <w:r w:rsidRPr="004B68CA">
        <w:rPr>
          <w:rFonts w:ascii="SBL BibLit" w:hAnsi="SBL BibLit" w:cs="SBL BibLit"/>
          <w:rtl/>
          <w:lang w:val="el-GR"/>
        </w:rPr>
        <w:t>◦</w:t>
      </w:r>
      <w:r w:rsidRPr="004B68CA">
        <w:rPr>
          <w:rFonts w:ascii="SBL Hebrew" w:hAnsi="SBL Hebrew" w:cs="SBL Hebrew" w:hint="cs"/>
          <w:color w:val="000000" w:themeColor="text1"/>
          <w:rtl/>
        </w:rPr>
        <w:t>[</w:t>
      </w:r>
      <w:proofErr w:type="gramEnd"/>
      <w:r w:rsidRPr="004B68CA">
        <w:rPr>
          <w:rFonts w:ascii="SBL Hebrew" w:hAnsi="SBL Hebrew" w:cs="SBL Hebrew" w:hint="cs"/>
          <w:color w:val="000000" w:themeColor="text1"/>
          <w:rtl/>
        </w:rPr>
        <w:t>יה</w:t>
      </w:r>
      <w:r>
        <w:rPr>
          <w:rFonts w:ascii="Times New Roman" w:hAnsi="Times New Roman" w:cs="Times New Roman"/>
        </w:rPr>
        <w:t xml:space="preserve"> in line 2, and on the combined text with 4Q418 172. </w:t>
      </w:r>
    </w:p>
    <w:p w14:paraId="2A1590FB" w14:textId="10F80762" w:rsidR="00783833" w:rsidRDefault="00783833">
      <w:pPr>
        <w:bidi w:val="0"/>
        <w:spacing w:line="360" w:lineRule="auto"/>
        <w:ind w:firstLine="720"/>
        <w:jc w:val="both"/>
        <w:rPr>
          <w:rFonts w:asciiTheme="majorBidi" w:hAnsiTheme="majorBidi" w:cstheme="majorBidi"/>
        </w:rPr>
      </w:pPr>
      <w:r>
        <w:rPr>
          <w:rFonts w:asciiTheme="majorBidi" w:hAnsiTheme="majorBidi" w:cstheme="majorBidi"/>
        </w:rPr>
        <w:t>Materially, the bottom border of 4Q415 13 resembles part of the bottom border of the fragments belonging the top group of the wad – 4Q415 1, 4Q415 6</w:t>
      </w:r>
      <w:r w:rsidR="00495BD2">
        <w:rPr>
          <w:rFonts w:asciiTheme="majorBidi" w:hAnsiTheme="majorBidi" w:cstheme="majorBidi"/>
        </w:rPr>
        <w:t>,</w:t>
      </w:r>
      <w:r>
        <w:rPr>
          <w:rFonts w:asciiTheme="majorBidi" w:hAnsiTheme="majorBidi" w:cstheme="majorBidi"/>
        </w:rPr>
        <w:t xml:space="preserve"> and 4Q415 10 (fig. 26). Furthermore, when placing fragment 13 according to the recurring damage </w:t>
      </w:r>
      <w:r>
        <w:rPr>
          <w:rFonts w:asciiTheme="majorBidi" w:hAnsiTheme="majorBidi" w:cstheme="majorBidi"/>
        </w:rPr>
        <w:lastRenderedPageBreak/>
        <w:t xml:space="preserve">pattern, </w:t>
      </w:r>
      <w:r w:rsidRPr="00C0164A">
        <w:rPr>
          <w:rFonts w:asciiTheme="majorBidi" w:hAnsiTheme="majorBidi" w:cstheme="majorBidi"/>
        </w:rPr>
        <w:t xml:space="preserve">we </w:t>
      </w:r>
      <w:r w:rsidR="00495BD2">
        <w:rPr>
          <w:rFonts w:asciiTheme="majorBidi" w:hAnsiTheme="majorBidi" w:cstheme="majorBidi"/>
        </w:rPr>
        <w:t>observe</w:t>
      </w:r>
      <w:r w:rsidRPr="00C0164A">
        <w:rPr>
          <w:rFonts w:asciiTheme="majorBidi" w:hAnsiTheme="majorBidi" w:cstheme="majorBidi"/>
        </w:rPr>
        <w:t xml:space="preserve"> an overlap between </w:t>
      </w:r>
      <w:r>
        <w:rPr>
          <w:rFonts w:asciiTheme="majorBidi" w:hAnsiTheme="majorBidi" w:cstheme="majorBidi"/>
        </w:rPr>
        <w:t xml:space="preserve">the borders of fragment 13 and fragments 9 and 11 (fig. 27). </w:t>
      </w:r>
      <w:r w:rsidR="00495BD2">
        <w:rPr>
          <w:rFonts w:asciiTheme="majorBidi" w:hAnsiTheme="majorBidi" w:cstheme="majorBidi"/>
        </w:rPr>
        <w:t>T</w:t>
      </w:r>
      <w:r>
        <w:rPr>
          <w:rFonts w:asciiTheme="majorBidi" w:hAnsiTheme="majorBidi" w:cstheme="majorBidi"/>
        </w:rPr>
        <w:t xml:space="preserve">he fragments </w:t>
      </w:r>
      <w:r w:rsidR="00495BD2">
        <w:rPr>
          <w:rFonts w:asciiTheme="majorBidi" w:hAnsiTheme="majorBidi" w:cstheme="majorBidi"/>
        </w:rPr>
        <w:t xml:space="preserve">may possibly </w:t>
      </w:r>
      <w:r>
        <w:rPr>
          <w:rFonts w:asciiTheme="majorBidi" w:hAnsiTheme="majorBidi" w:cstheme="majorBidi"/>
        </w:rPr>
        <w:t>have been formed as a result of the same crack, preserving different sides of it in the different layer</w:t>
      </w:r>
      <w:r w:rsidR="00495BD2">
        <w:rPr>
          <w:rFonts w:asciiTheme="majorBidi" w:hAnsiTheme="majorBidi" w:cstheme="majorBidi"/>
        </w:rPr>
        <w:t>s</w:t>
      </w:r>
      <w:r>
        <w:rPr>
          <w:rFonts w:asciiTheme="majorBidi" w:hAnsiTheme="majorBidi" w:cstheme="majorBidi"/>
        </w:rPr>
        <w:t xml:space="preserve">.  </w:t>
      </w:r>
    </w:p>
    <w:p w14:paraId="1867A6BB" w14:textId="77777777" w:rsidR="00783833" w:rsidRDefault="00783833" w:rsidP="00783833">
      <w:pPr>
        <w:bidi w:val="0"/>
        <w:spacing w:line="360" w:lineRule="auto"/>
        <w:ind w:firstLine="720"/>
        <w:jc w:val="both"/>
        <w:rPr>
          <w:rFonts w:asciiTheme="majorBidi" w:hAnsiTheme="majorBidi" w:cstheme="majorBidi"/>
        </w:rPr>
      </w:pPr>
      <w:r>
        <w:rPr>
          <w:rFonts w:asciiTheme="majorBidi" w:hAnsiTheme="majorBidi" w:cstheme="majorBidi"/>
        </w:rPr>
        <w:t xml:space="preserve">  </w:t>
      </w:r>
    </w:p>
    <w:p w14:paraId="5B741A97" w14:textId="77777777" w:rsidR="00783833" w:rsidRDefault="00783833" w:rsidP="00783833">
      <w:pPr>
        <w:bidi w:val="0"/>
        <w:spacing w:line="360" w:lineRule="auto"/>
        <w:ind w:firstLine="720"/>
        <w:jc w:val="both"/>
        <w:rPr>
          <w:rFonts w:asciiTheme="majorBidi" w:hAnsiTheme="majorBidi" w:cstheme="majorBidi"/>
        </w:rPr>
      </w:pPr>
    </w:p>
    <w:p w14:paraId="102CF7B6" w14:textId="77777777" w:rsidR="00783833" w:rsidRDefault="00783833" w:rsidP="00783833">
      <w:pPr>
        <w:bidi w:val="0"/>
        <w:spacing w:line="360" w:lineRule="auto"/>
        <w:jc w:val="both"/>
        <w:rPr>
          <w:rFonts w:asciiTheme="majorBidi" w:hAnsiTheme="majorBidi" w:cstheme="majorBidi"/>
        </w:rPr>
      </w:pPr>
    </w:p>
    <w:p w14:paraId="2827C754" w14:textId="77777777" w:rsidR="00783833" w:rsidRDefault="00783833" w:rsidP="00783833">
      <w:pPr>
        <w:spacing w:line="360" w:lineRule="auto"/>
        <w:jc w:val="both"/>
        <w:rPr>
          <w:rFonts w:asciiTheme="majorBidi" w:hAnsiTheme="majorBidi" w:cstheme="majorBidi"/>
        </w:rPr>
      </w:pPr>
    </w:p>
    <w:p w14:paraId="19169C90" w14:textId="77777777" w:rsidR="00783833" w:rsidRDefault="00783833" w:rsidP="00783833">
      <w:pPr>
        <w:spacing w:line="360" w:lineRule="auto"/>
        <w:jc w:val="both"/>
        <w:rPr>
          <w:rFonts w:asciiTheme="majorBidi" w:hAnsiTheme="majorBidi" w:cstheme="majorBidi"/>
        </w:rPr>
      </w:pPr>
    </w:p>
    <w:p w14:paraId="1380F8E3" w14:textId="77777777" w:rsidR="00783833" w:rsidRDefault="00783833" w:rsidP="00783833">
      <w:pPr>
        <w:spacing w:line="360" w:lineRule="auto"/>
        <w:jc w:val="both"/>
        <w:rPr>
          <w:rFonts w:asciiTheme="majorBidi" w:hAnsiTheme="majorBidi" w:cstheme="majorBidi"/>
        </w:rPr>
      </w:pPr>
    </w:p>
    <w:p w14:paraId="55D8D542" w14:textId="77777777" w:rsidR="00783833" w:rsidRDefault="00783833" w:rsidP="00783833">
      <w:pPr>
        <w:spacing w:line="360" w:lineRule="auto"/>
        <w:jc w:val="both"/>
        <w:rPr>
          <w:rFonts w:asciiTheme="majorBidi" w:hAnsiTheme="majorBidi" w:cstheme="majorBidi"/>
        </w:rPr>
      </w:pPr>
    </w:p>
    <w:p w14:paraId="7A7A390A" w14:textId="2E49BF2E"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If 4Q415 13 indeed belongs to the top group of the wad, I propose </w:t>
      </w:r>
      <w:r w:rsidR="00227AAA">
        <w:rPr>
          <w:rFonts w:ascii="Times New Roman" w:hAnsi="Times New Roman" w:cs="Times New Roman"/>
        </w:rPr>
        <w:t>locating</w:t>
      </w:r>
      <w:r>
        <w:rPr>
          <w:rFonts w:ascii="Times New Roman" w:hAnsi="Times New Roman" w:cs="Times New Roman"/>
        </w:rPr>
        <w:t xml:space="preserve"> it in column II</w:t>
      </w:r>
      <w:r w:rsidR="00227AAA">
        <w:rPr>
          <w:rFonts w:ascii="Times New Roman" w:hAnsi="Times New Roman" w:cs="Times New Roman"/>
        </w:rPr>
        <w:t>,</w:t>
      </w:r>
      <w:r>
        <w:rPr>
          <w:rFonts w:ascii="Times New Roman" w:hAnsi="Times New Roman" w:cs="Times New Roman"/>
        </w:rPr>
        <w:t xml:space="preserve"> </w:t>
      </w:r>
      <w:r w:rsidR="00227AAA">
        <w:rPr>
          <w:rFonts w:ascii="Times New Roman" w:hAnsi="Times New Roman" w:cs="Times New Roman"/>
        </w:rPr>
        <w:t xml:space="preserve">based </w:t>
      </w:r>
      <w:r>
        <w:rPr>
          <w:rFonts w:ascii="Times New Roman" w:hAnsi="Times New Roman" w:cs="Times New Roman"/>
        </w:rPr>
        <w:t>on the following considerations:</w:t>
      </w:r>
    </w:p>
    <w:p w14:paraId="3DEB1C56" w14:textId="27CB4E29"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The spaces between the lines fit the sheet of fragments 1,2</w:t>
      </w:r>
      <w:r w:rsidR="003A44D3">
        <w:rPr>
          <w:rFonts w:ascii="Times New Roman" w:hAnsi="Times New Roman" w:cs="Times New Roman"/>
        </w:rPr>
        <w:t>,</w:t>
      </w:r>
      <w:r>
        <w:rPr>
          <w:rFonts w:ascii="Times New Roman" w:hAnsi="Times New Roman" w:cs="Times New Roman"/>
        </w:rPr>
        <w:t xml:space="preserve"> and 6. </w:t>
      </w:r>
    </w:p>
    <w:p w14:paraId="7FAAD1B3" w14:textId="3D53686F"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Measuring the distances between the corresponding points of damage (A, B, C, F</w:t>
      </w:r>
      <w:r w:rsidR="00631392">
        <w:rPr>
          <w:rFonts w:ascii="Times New Roman" w:hAnsi="Times New Roman" w:cs="Times New Roman"/>
        </w:rPr>
        <w:t>,</w:t>
      </w:r>
      <w:r>
        <w:rPr>
          <w:rFonts w:ascii="Times New Roman" w:hAnsi="Times New Roman" w:cs="Times New Roman"/>
        </w:rPr>
        <w:t xml:space="preserve"> and K, fig. 22) reveals that 4Q415 13 can be placed in column II (a1) or in column VI (-a3). </w:t>
      </w:r>
      <w:r w:rsidR="00631392">
        <w:rPr>
          <w:rFonts w:ascii="Times New Roman" w:hAnsi="Times New Roman" w:cs="Times New Roman"/>
        </w:rPr>
        <w:t>O</w:t>
      </w:r>
      <w:r>
        <w:rPr>
          <w:rFonts w:ascii="Times New Roman" w:hAnsi="Times New Roman" w:cs="Times New Roman"/>
        </w:rPr>
        <w:t xml:space="preserve">ther </w:t>
      </w:r>
      <w:r w:rsidR="00631392">
        <w:rPr>
          <w:rFonts w:ascii="Times New Roman" w:hAnsi="Times New Roman" w:cs="Times New Roman"/>
        </w:rPr>
        <w:t xml:space="preserve">scroll </w:t>
      </w:r>
      <w:r>
        <w:rPr>
          <w:rFonts w:ascii="Times New Roman" w:hAnsi="Times New Roman" w:cs="Times New Roman"/>
        </w:rPr>
        <w:t xml:space="preserve">circumferences </w:t>
      </w:r>
      <w:r w:rsidR="00631392">
        <w:rPr>
          <w:rFonts w:ascii="Times New Roman" w:hAnsi="Times New Roman" w:cs="Times New Roman"/>
        </w:rPr>
        <w:t xml:space="preserve">would lead to the implausible placement of the </w:t>
      </w:r>
      <w:r>
        <w:rPr>
          <w:rFonts w:ascii="Times New Roman" w:hAnsi="Times New Roman" w:cs="Times New Roman"/>
        </w:rPr>
        <w:t xml:space="preserve">fragment </w:t>
      </w:r>
      <w:r w:rsidR="00631392">
        <w:rPr>
          <w:rFonts w:ascii="Times New Roman" w:hAnsi="Times New Roman" w:cs="Times New Roman"/>
        </w:rPr>
        <w:t>in</w:t>
      </w:r>
      <w:r>
        <w:rPr>
          <w:rFonts w:ascii="Times New Roman" w:hAnsi="Times New Roman" w:cs="Times New Roman"/>
        </w:rPr>
        <w:t xml:space="preserve"> intercolumnar margins. </w:t>
      </w:r>
    </w:p>
    <w:p w14:paraId="573BC4A6" w14:textId="3948F863" w:rsidR="00783833" w:rsidRDefault="00783833" w:rsidP="00783833">
      <w:pPr>
        <w:pStyle w:val="a6"/>
        <w:numPr>
          <w:ilvl w:val="0"/>
          <w:numId w:val="2"/>
        </w:numPr>
        <w:bidi w:val="0"/>
        <w:spacing w:line="360" w:lineRule="auto"/>
        <w:jc w:val="both"/>
        <w:rPr>
          <w:rFonts w:ascii="Times New Roman" w:hAnsi="Times New Roman" w:cs="Times New Roman"/>
        </w:rPr>
      </w:pPr>
      <w:r>
        <w:rPr>
          <w:rFonts w:ascii="Times New Roman" w:hAnsi="Times New Roman" w:cs="Times New Roman"/>
        </w:rPr>
        <w:t xml:space="preserve">Textually, 4Q415 13 fits the context of 4Q415 5, which also belongs to the folk scene. </w:t>
      </w:r>
      <w:r w:rsidR="00D8308C">
        <w:rPr>
          <w:rFonts w:ascii="Times New Roman" w:hAnsi="Times New Roman" w:cs="Times New Roman"/>
        </w:rPr>
        <w:t>This being the case</w:t>
      </w:r>
      <w:r>
        <w:rPr>
          <w:rFonts w:ascii="Times New Roman" w:hAnsi="Times New Roman" w:cs="Times New Roman"/>
        </w:rPr>
        <w:t xml:space="preserve">, </w:t>
      </w:r>
      <w:r w:rsidRPr="001E521E">
        <w:rPr>
          <w:rFonts w:ascii="Times New Roman" w:hAnsi="Times New Roman" w:cs="Times New Roman"/>
        </w:rPr>
        <w:t xml:space="preserve">I </w:t>
      </w:r>
      <w:r w:rsidR="00D8308C">
        <w:rPr>
          <w:rFonts w:ascii="Times New Roman" w:hAnsi="Times New Roman" w:cs="Times New Roman"/>
        </w:rPr>
        <w:t xml:space="preserve">have </w:t>
      </w:r>
      <w:r w:rsidRPr="001E521E">
        <w:rPr>
          <w:rFonts w:ascii="Times New Roman" w:hAnsi="Times New Roman" w:cs="Times New Roman"/>
        </w:rPr>
        <w:t>placed the</w:t>
      </w:r>
      <w:r>
        <w:rPr>
          <w:rFonts w:ascii="Times New Roman" w:hAnsi="Times New Roman" w:cs="Times New Roman"/>
        </w:rPr>
        <w:t>se</w:t>
      </w:r>
      <w:r w:rsidRPr="001E521E">
        <w:rPr>
          <w:rFonts w:ascii="Times New Roman" w:hAnsi="Times New Roman" w:cs="Times New Roman"/>
        </w:rPr>
        <w:t xml:space="preserve"> fragments in</w:t>
      </w:r>
      <w:r>
        <w:rPr>
          <w:rFonts w:ascii="Times New Roman" w:hAnsi="Times New Roman" w:cs="Times New Roman"/>
        </w:rPr>
        <w:t xml:space="preserve"> column II, </w:t>
      </w:r>
      <w:r w:rsidR="00D8308C">
        <w:rPr>
          <w:rFonts w:ascii="Times New Roman" w:hAnsi="Times New Roman" w:cs="Times New Roman"/>
        </w:rPr>
        <w:t xml:space="preserve">the sole </w:t>
      </w:r>
      <w:r w:rsidRPr="001E521E">
        <w:rPr>
          <w:rFonts w:ascii="Times New Roman" w:hAnsi="Times New Roman" w:cs="Times New Roman"/>
        </w:rPr>
        <w:t xml:space="preserve">column </w:t>
      </w:r>
      <w:r w:rsidR="00D8308C">
        <w:rPr>
          <w:rFonts w:ascii="Times New Roman" w:hAnsi="Times New Roman" w:cs="Times New Roman"/>
        </w:rPr>
        <w:t>in which it is possible to place both.</w:t>
      </w:r>
    </w:p>
    <w:p w14:paraId="2AF401A0" w14:textId="3F6DC3E8" w:rsidR="00783833" w:rsidRPr="0058012F"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If 4Q415 13 and 4Q415 5 are indeed located </w:t>
      </w:r>
      <w:r w:rsidR="00102E42">
        <w:rPr>
          <w:rFonts w:ascii="Times New Roman" w:hAnsi="Times New Roman" w:cs="Times New Roman"/>
        </w:rPr>
        <w:t>i</w:t>
      </w:r>
      <w:r>
        <w:rPr>
          <w:rFonts w:ascii="Times New Roman" w:hAnsi="Times New Roman" w:cs="Times New Roman"/>
        </w:rPr>
        <w:t xml:space="preserve">n column II, then there is an </w:t>
      </w:r>
      <w:commentRangeStart w:id="0"/>
      <w:commentRangeStart w:id="1"/>
      <w:r>
        <w:rPr>
          <w:rFonts w:ascii="Times New Roman" w:hAnsi="Times New Roman" w:cs="Times New Roman"/>
        </w:rPr>
        <w:t>approximate</w:t>
      </w:r>
      <w:commentRangeEnd w:id="0"/>
      <w:r w:rsidR="005B55AD">
        <w:rPr>
          <w:rStyle w:val="a8"/>
        </w:rPr>
        <w:commentReference w:id="0"/>
      </w:r>
      <w:commentRangeEnd w:id="1"/>
      <w:r w:rsidR="00513E2C">
        <w:rPr>
          <w:rStyle w:val="a8"/>
        </w:rPr>
        <w:commentReference w:id="1"/>
      </w:r>
      <w:r>
        <w:rPr>
          <w:rFonts w:ascii="Times New Roman" w:hAnsi="Times New Roman" w:cs="Times New Roman"/>
        </w:rPr>
        <w:t xml:space="preserve"> column between 4Q415 11 and 4Q416 6 that discuss the folk scene. This is a significant insight, since the main preserved text of 4Q415 mostly dea</w:t>
      </w:r>
      <w:r>
        <w:rPr>
          <w:rFonts w:ascii="Times New Roman" w:hAnsi="Times New Roman" w:cs="Times New Roman"/>
        </w:rPr>
        <w:t>l</w:t>
      </w:r>
      <w:r w:rsidR="005B55AD">
        <w:rPr>
          <w:rFonts w:ascii="Times New Roman" w:hAnsi="Times New Roman" w:cs="Times New Roman"/>
        </w:rPr>
        <w:t>s</w:t>
      </w:r>
      <w:r>
        <w:rPr>
          <w:rFonts w:ascii="Times New Roman" w:hAnsi="Times New Roman" w:cs="Times New Roman"/>
        </w:rPr>
        <w:t xml:space="preserve"> with female instructions.  </w:t>
      </w:r>
    </w:p>
    <w:p w14:paraId="6DEF317C" w14:textId="77777777" w:rsidR="00783833" w:rsidRPr="00C12286" w:rsidRDefault="00783833" w:rsidP="00783833">
      <w:pPr>
        <w:spacing w:line="360" w:lineRule="auto"/>
        <w:jc w:val="both"/>
        <w:rPr>
          <w:rFonts w:asciiTheme="majorBidi" w:hAnsiTheme="majorBidi" w:cstheme="majorBidi"/>
        </w:rPr>
      </w:pPr>
    </w:p>
    <w:p w14:paraId="0C4A6480" w14:textId="77777777"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4Q415 21</w:t>
      </w:r>
    </w:p>
    <w:p w14:paraId="1CFE3F1F" w14:textId="2DD18535" w:rsidR="00783833" w:rsidRPr="00BC17BC" w:rsidRDefault="00783833" w:rsidP="00783833">
      <w:pPr>
        <w:bidi w:val="0"/>
        <w:spacing w:line="360" w:lineRule="auto"/>
        <w:jc w:val="both"/>
        <w:rPr>
          <w:rFonts w:ascii="Times New Roman" w:hAnsi="Times New Roman" w:cs="Times New Roman"/>
          <w:i/>
          <w:iCs/>
        </w:rPr>
      </w:pPr>
      <w:r>
        <w:rPr>
          <w:rFonts w:ascii="Times New Roman" w:hAnsi="Times New Roman" w:cs="Times New Roman"/>
        </w:rPr>
        <w:t xml:space="preserve">4Q415 21 preserves 4 lines and shows </w:t>
      </w:r>
      <w:r w:rsidR="00AF67BA">
        <w:rPr>
          <w:rFonts w:ascii="Times New Roman" w:hAnsi="Times New Roman" w:cs="Times New Roman"/>
        </w:rPr>
        <w:t xml:space="preserve">the </w:t>
      </w:r>
      <w:r>
        <w:rPr>
          <w:rFonts w:ascii="Times New Roman" w:hAnsi="Times New Roman" w:cs="Times New Roman"/>
        </w:rPr>
        <w:t>right margin. Its text is so poor that n</w:t>
      </w:r>
      <w:r w:rsidRPr="00F50F3A">
        <w:rPr>
          <w:rFonts w:ascii="Times New Roman" w:hAnsi="Times New Roman" w:cs="Times New Roman"/>
        </w:rPr>
        <w:t xml:space="preserve">o conclusion can be drawn about </w:t>
      </w:r>
      <w:r w:rsidR="00CE2C55">
        <w:rPr>
          <w:rFonts w:ascii="Times New Roman" w:hAnsi="Times New Roman" w:cs="Times New Roman"/>
        </w:rPr>
        <w:t>it</w:t>
      </w:r>
      <w:r>
        <w:rPr>
          <w:rFonts w:ascii="Times New Roman" w:hAnsi="Times New Roman" w:cs="Times New Roman"/>
        </w:rPr>
        <w:t xml:space="preserve">. </w:t>
      </w:r>
    </w:p>
    <w:p w14:paraId="60C839B6" w14:textId="77777777" w:rsidR="00783833" w:rsidRDefault="00783833" w:rsidP="00783833">
      <w:pPr>
        <w:tabs>
          <w:tab w:val="left" w:pos="4758"/>
        </w:tabs>
        <w:rPr>
          <w:rFonts w:ascii="SBL Hebrew" w:hAnsi="SBL Hebrew" w:cs="SBL Hebrew"/>
        </w:rPr>
      </w:pPr>
    </w:p>
    <w:p w14:paraId="7C5AF6D2" w14:textId="59EFFC9F" w:rsidR="00783833" w:rsidRPr="00155BC2" w:rsidRDefault="00455086" w:rsidP="00783833">
      <w:pPr>
        <w:bidi w:val="0"/>
        <w:spacing w:line="360" w:lineRule="auto"/>
        <w:jc w:val="both"/>
        <w:rPr>
          <w:rFonts w:asciiTheme="majorBidi" w:hAnsiTheme="majorBidi" w:cstheme="majorBidi"/>
        </w:rPr>
      </w:pPr>
      <w:r>
        <w:rPr>
          <w:rFonts w:asciiTheme="majorBidi" w:hAnsiTheme="majorBidi" w:cstheme="majorBidi"/>
        </w:rPr>
        <w:t>A</w:t>
      </w:r>
      <w:r w:rsidR="00783833">
        <w:rPr>
          <w:rFonts w:asciiTheme="majorBidi" w:hAnsiTheme="majorBidi" w:cstheme="majorBidi"/>
        </w:rPr>
        <w:t xml:space="preserve">lthough the material similarity is not </w:t>
      </w:r>
      <w:r>
        <w:rPr>
          <w:rFonts w:asciiTheme="majorBidi" w:hAnsiTheme="majorBidi" w:cstheme="majorBidi"/>
        </w:rPr>
        <w:t>extensive</w:t>
      </w:r>
      <w:r w:rsidR="00783833">
        <w:rPr>
          <w:rFonts w:asciiTheme="majorBidi" w:hAnsiTheme="majorBidi" w:cstheme="majorBidi"/>
        </w:rPr>
        <w:t xml:space="preserve">, we can identify corresponding points </w:t>
      </w:r>
      <w:r>
        <w:rPr>
          <w:rFonts w:asciiTheme="majorBidi" w:hAnsiTheme="majorBidi" w:cstheme="majorBidi"/>
        </w:rPr>
        <w:t xml:space="preserve">with </w:t>
      </w:r>
      <w:r w:rsidR="00783833">
        <w:rPr>
          <w:rFonts w:asciiTheme="majorBidi" w:hAnsiTheme="majorBidi" w:cstheme="majorBidi"/>
        </w:rPr>
        <w:t xml:space="preserve">the wad (fig. 29). </w:t>
      </w:r>
    </w:p>
    <w:p w14:paraId="48BBD238" w14:textId="35A53D6B"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The only option for </w:t>
      </w:r>
      <w:r w:rsidR="00F30C55">
        <w:rPr>
          <w:rFonts w:ascii="Times New Roman" w:hAnsi="Times New Roman" w:cs="Times New Roman"/>
        </w:rPr>
        <w:t xml:space="preserve">placement </w:t>
      </w:r>
      <w:r>
        <w:rPr>
          <w:rFonts w:ascii="Times New Roman" w:hAnsi="Times New Roman" w:cs="Times New Roman"/>
        </w:rPr>
        <w:t xml:space="preserve">of 4Q415 21 is </w:t>
      </w:r>
      <w:r w:rsidR="00F30C55">
        <w:rPr>
          <w:rFonts w:ascii="Times New Roman" w:hAnsi="Times New Roman" w:cs="Times New Roman"/>
        </w:rPr>
        <w:t xml:space="preserve">in </w:t>
      </w:r>
      <w:r>
        <w:rPr>
          <w:rFonts w:ascii="Times New Roman" w:hAnsi="Times New Roman" w:cs="Times New Roman"/>
        </w:rPr>
        <w:t xml:space="preserve">column IV. </w:t>
      </w:r>
      <w:r w:rsidRPr="0026297A">
        <w:rPr>
          <w:rFonts w:ascii="Times New Roman" w:hAnsi="Times New Roman" w:cs="Times New Roman"/>
        </w:rPr>
        <w:t>Measuring the distances between the points of damage</w:t>
      </w:r>
      <w:r>
        <w:rPr>
          <w:rFonts w:ascii="Times New Roman" w:hAnsi="Times New Roman" w:cs="Times New Roman"/>
        </w:rPr>
        <w:t xml:space="preserve"> </w:t>
      </w:r>
      <w:r w:rsidRPr="0026297A">
        <w:rPr>
          <w:rFonts w:ascii="Times New Roman" w:hAnsi="Times New Roman" w:cs="Times New Roman"/>
        </w:rPr>
        <w:t xml:space="preserve">indicates that </w:t>
      </w:r>
      <w:r>
        <w:rPr>
          <w:rFonts w:ascii="Times New Roman" w:hAnsi="Times New Roman" w:cs="Times New Roman"/>
        </w:rPr>
        <w:t xml:space="preserve">other </w:t>
      </w:r>
      <w:r w:rsidR="00F30C55">
        <w:rPr>
          <w:rFonts w:ascii="Times New Roman" w:hAnsi="Times New Roman" w:cs="Times New Roman"/>
        </w:rPr>
        <w:t xml:space="preserve">scroll </w:t>
      </w:r>
      <w:r>
        <w:rPr>
          <w:rFonts w:ascii="Times New Roman" w:hAnsi="Times New Roman" w:cs="Times New Roman"/>
        </w:rPr>
        <w:t xml:space="preserve">circumferences </w:t>
      </w:r>
      <w:r w:rsidR="00F30C55">
        <w:rPr>
          <w:rFonts w:ascii="Times New Roman" w:hAnsi="Times New Roman" w:cs="Times New Roman"/>
        </w:rPr>
        <w:t xml:space="preserve">would lead to placement of </w:t>
      </w:r>
      <w:r>
        <w:rPr>
          <w:rFonts w:ascii="Times New Roman" w:hAnsi="Times New Roman" w:cs="Times New Roman"/>
        </w:rPr>
        <w:t xml:space="preserve">the fragment in the middle of </w:t>
      </w:r>
      <w:r w:rsidR="00F30C55">
        <w:rPr>
          <w:rFonts w:ascii="Times New Roman" w:hAnsi="Times New Roman" w:cs="Times New Roman"/>
        </w:rPr>
        <w:t xml:space="preserve">a </w:t>
      </w:r>
      <w:r>
        <w:rPr>
          <w:rFonts w:ascii="Times New Roman" w:hAnsi="Times New Roman" w:cs="Times New Roman"/>
        </w:rPr>
        <w:t xml:space="preserve">column, which is impossible due to the right margin, or in intercolumnar margins. Indeed, placing 4Q415 21 </w:t>
      </w:r>
      <w:r w:rsidR="00FD4DCD">
        <w:rPr>
          <w:rFonts w:ascii="Times New Roman" w:hAnsi="Times New Roman" w:cs="Times New Roman"/>
        </w:rPr>
        <w:t xml:space="preserve">in </w:t>
      </w:r>
      <w:r>
        <w:rPr>
          <w:rFonts w:ascii="Times New Roman" w:hAnsi="Times New Roman" w:cs="Times New Roman"/>
        </w:rPr>
        <w:t xml:space="preserve">column IV </w:t>
      </w:r>
      <w:r>
        <w:rPr>
          <w:rFonts w:ascii="Times New Roman" w:hAnsi="Times New Roman" w:cs="Times New Roman"/>
        </w:rPr>
        <w:lastRenderedPageBreak/>
        <w:t>shows correlation between the beginning of the lines in this fragment and the estimated beginning of the column</w:t>
      </w:r>
      <w:r w:rsidR="00FD4DCD">
        <w:rPr>
          <w:rFonts w:ascii="Times New Roman" w:hAnsi="Times New Roman" w:cs="Times New Roman"/>
        </w:rPr>
        <w:t>, as</w:t>
      </w:r>
      <w:r>
        <w:rPr>
          <w:rFonts w:ascii="Times New Roman" w:hAnsi="Times New Roman" w:cs="Times New Roman"/>
        </w:rPr>
        <w:t xml:space="preserve"> calculated in section 8. Moreover, the spaces between lines in 4Q415 21 fit the spaces between lines in fragments 1,</w:t>
      </w:r>
      <w:r w:rsidR="00FD4DCD">
        <w:rPr>
          <w:rFonts w:ascii="Times New Roman" w:hAnsi="Times New Roman" w:cs="Times New Roman"/>
        </w:rPr>
        <w:t xml:space="preserve"> </w:t>
      </w:r>
      <w:r>
        <w:rPr>
          <w:rFonts w:ascii="Times New Roman" w:hAnsi="Times New Roman" w:cs="Times New Roman"/>
        </w:rPr>
        <w:t>6,</w:t>
      </w:r>
      <w:r w:rsidR="00FD4DCD">
        <w:rPr>
          <w:rFonts w:ascii="Times New Roman" w:hAnsi="Times New Roman" w:cs="Times New Roman"/>
        </w:rPr>
        <w:t xml:space="preserve"> </w:t>
      </w:r>
      <w:r>
        <w:rPr>
          <w:rFonts w:ascii="Times New Roman" w:hAnsi="Times New Roman" w:cs="Times New Roman"/>
        </w:rPr>
        <w:t>10i</w:t>
      </w:r>
      <w:r w:rsidR="00FD4DCD">
        <w:rPr>
          <w:rFonts w:ascii="Times New Roman" w:hAnsi="Times New Roman" w:cs="Times New Roman"/>
        </w:rPr>
        <w:t>,</w:t>
      </w:r>
      <w:r>
        <w:rPr>
          <w:rFonts w:ascii="Times New Roman" w:hAnsi="Times New Roman" w:cs="Times New Roman"/>
        </w:rPr>
        <w:t xml:space="preserve"> and 13</w:t>
      </w:r>
      <w:r w:rsidR="00FD4DCD">
        <w:rPr>
          <w:rFonts w:ascii="Times New Roman" w:hAnsi="Times New Roman" w:cs="Times New Roman"/>
        </w:rPr>
        <w:t>, which</w:t>
      </w:r>
      <w:r>
        <w:rPr>
          <w:rFonts w:ascii="Times New Roman" w:hAnsi="Times New Roman" w:cs="Times New Roman"/>
        </w:rPr>
        <w:t xml:space="preserve"> are in the same sheet. </w:t>
      </w:r>
    </w:p>
    <w:p w14:paraId="687C98F7" w14:textId="32DD2AB7" w:rsidR="00783833" w:rsidRDefault="00FD4DCD" w:rsidP="00783833">
      <w:pPr>
        <w:bidi w:val="0"/>
        <w:spacing w:line="360" w:lineRule="auto"/>
        <w:jc w:val="both"/>
        <w:rPr>
          <w:rFonts w:ascii="Times New Roman" w:hAnsi="Times New Roman" w:cs="Times New Roman"/>
        </w:rPr>
      </w:pPr>
      <w:r>
        <w:rPr>
          <w:rFonts w:ascii="Times New Roman" w:hAnsi="Times New Roman" w:cs="Times New Roman"/>
        </w:rPr>
        <w:t>This being the case</w:t>
      </w:r>
      <w:r w:rsidR="00783833">
        <w:rPr>
          <w:rFonts w:ascii="Times New Roman" w:hAnsi="Times New Roman" w:cs="Times New Roman"/>
        </w:rPr>
        <w:t>, lines 14–15 in column IV comprise a distant join of 4Q415 21 and 4Q415 1ii. The text obtained from the join is:</w:t>
      </w:r>
    </w:p>
    <w:p w14:paraId="0F0527C8" w14:textId="77777777" w:rsidR="00783833" w:rsidRPr="00D420AF" w:rsidRDefault="00783833" w:rsidP="00783833">
      <w:pPr>
        <w:bidi w:val="0"/>
        <w:spacing w:line="360" w:lineRule="auto"/>
        <w:jc w:val="both"/>
        <w:rPr>
          <w:rFonts w:ascii="Times New Roman" w:hAnsi="Times New Roman" w:cs="Times New Roman"/>
        </w:rPr>
      </w:pPr>
    </w:p>
    <w:p w14:paraId="53D3D449" w14:textId="77777777" w:rsidR="00783833" w:rsidRDefault="00783833" w:rsidP="00783833">
      <w:pPr>
        <w:tabs>
          <w:tab w:val="left" w:pos="1134"/>
          <w:tab w:val="left" w:pos="4253"/>
        </w:tabs>
        <w:bidi w:val="0"/>
        <w:jc w:val="center"/>
        <w:rPr>
          <w:rFonts w:ascii="SBL Hebrew" w:hAnsi="SBL Hebrew" w:cs="SBL Hebrew"/>
        </w:rPr>
      </w:pPr>
    </w:p>
    <w:p w14:paraId="0083C9F1" w14:textId="2FBE7FE4" w:rsidR="00783833" w:rsidRDefault="00783833" w:rsidP="00783833">
      <w:pPr>
        <w:bidi w:val="0"/>
        <w:spacing w:line="360" w:lineRule="auto"/>
        <w:jc w:val="both"/>
        <w:rPr>
          <w:rFonts w:ascii="Times New Roman" w:hAnsi="Times New Roman" w:cs="Times New Roman"/>
        </w:rPr>
      </w:pPr>
      <w:r w:rsidRPr="0038517E">
        <w:rPr>
          <w:rFonts w:ascii="Times New Roman" w:hAnsi="Times New Roman" w:cs="Times New Roman"/>
        </w:rPr>
        <w:t xml:space="preserve">The textual </w:t>
      </w:r>
      <w:r w:rsidR="00FD4DCD">
        <w:rPr>
          <w:rFonts w:ascii="Times New Roman" w:hAnsi="Times New Roman" w:cs="Times New Roman"/>
        </w:rPr>
        <w:t>dimension</w:t>
      </w:r>
      <w:r w:rsidR="00FD4DCD" w:rsidRPr="0038517E">
        <w:rPr>
          <w:rFonts w:ascii="Times New Roman" w:hAnsi="Times New Roman" w:cs="Times New Roman"/>
        </w:rPr>
        <w:t xml:space="preserve"> </w:t>
      </w:r>
      <w:r w:rsidRPr="0038517E">
        <w:rPr>
          <w:rFonts w:ascii="Times New Roman" w:hAnsi="Times New Roman" w:cs="Times New Roman"/>
        </w:rPr>
        <w:t>doe</w:t>
      </w:r>
      <w:r>
        <w:rPr>
          <w:rFonts w:ascii="Times New Roman" w:hAnsi="Times New Roman" w:cs="Times New Roman"/>
        </w:rPr>
        <w:t>s not contribute to establish</w:t>
      </w:r>
      <w:r w:rsidR="00FD4DCD">
        <w:rPr>
          <w:rFonts w:ascii="Times New Roman" w:hAnsi="Times New Roman" w:cs="Times New Roman"/>
        </w:rPr>
        <w:t>ing</w:t>
      </w:r>
      <w:r w:rsidRPr="0038517E">
        <w:rPr>
          <w:rFonts w:ascii="Times New Roman" w:hAnsi="Times New Roman" w:cs="Times New Roman"/>
        </w:rPr>
        <w:t xml:space="preserve"> or</w:t>
      </w:r>
      <w:r>
        <w:rPr>
          <w:rFonts w:ascii="Times New Roman" w:hAnsi="Times New Roman" w:cs="Times New Roman"/>
        </w:rPr>
        <w:t xml:space="preserve"> </w:t>
      </w:r>
      <w:r w:rsidR="00FD4DCD">
        <w:rPr>
          <w:rFonts w:ascii="Times New Roman" w:hAnsi="Times New Roman" w:cs="Times New Roman"/>
        </w:rPr>
        <w:t>refuting</w:t>
      </w:r>
      <w:r w:rsidRPr="0038517E">
        <w:rPr>
          <w:rFonts w:ascii="Times New Roman" w:hAnsi="Times New Roman" w:cs="Times New Roman"/>
        </w:rPr>
        <w:t xml:space="preserve"> the </w:t>
      </w:r>
      <w:r>
        <w:rPr>
          <w:rFonts w:ascii="Times New Roman" w:hAnsi="Times New Roman" w:cs="Times New Roman"/>
        </w:rPr>
        <w:t xml:space="preserve">join. The content of these two fragments is too poor for any </w:t>
      </w:r>
      <w:r w:rsidR="00FD4DCD">
        <w:rPr>
          <w:rFonts w:ascii="Times New Roman" w:hAnsi="Times New Roman" w:cs="Times New Roman"/>
        </w:rPr>
        <w:t xml:space="preserve">definitive </w:t>
      </w:r>
      <w:r>
        <w:rPr>
          <w:rFonts w:ascii="Times New Roman" w:hAnsi="Times New Roman" w:cs="Times New Roman"/>
        </w:rPr>
        <w:t>conclusions</w:t>
      </w:r>
      <w:r w:rsidR="00FD4DCD">
        <w:rPr>
          <w:rFonts w:ascii="Times New Roman" w:hAnsi="Times New Roman" w:cs="Times New Roman"/>
        </w:rPr>
        <w:t xml:space="preserve"> to be drawn</w:t>
      </w:r>
      <w:r>
        <w:rPr>
          <w:rFonts w:ascii="Times New Roman" w:hAnsi="Times New Roman" w:cs="Times New Roman"/>
        </w:rPr>
        <w:t xml:space="preserve">. </w:t>
      </w:r>
    </w:p>
    <w:p w14:paraId="5AE6D8B9" w14:textId="77777777" w:rsidR="00783833" w:rsidRDefault="00783833" w:rsidP="00783833">
      <w:pPr>
        <w:bidi w:val="0"/>
        <w:spacing w:line="360" w:lineRule="auto"/>
        <w:jc w:val="both"/>
        <w:rPr>
          <w:rFonts w:ascii="Times New Roman" w:hAnsi="Times New Roman" w:cs="Times New Roman"/>
        </w:rPr>
      </w:pPr>
    </w:p>
    <w:p w14:paraId="6515178F" w14:textId="77777777" w:rsidR="00783833" w:rsidRPr="00B92822" w:rsidRDefault="00783833" w:rsidP="00783833">
      <w:pPr>
        <w:bidi w:val="0"/>
        <w:spacing w:line="360" w:lineRule="auto"/>
        <w:jc w:val="both"/>
        <w:rPr>
          <w:rFonts w:ascii="Times New Roman" w:hAnsi="Times New Roman" w:cs="Times New Roman"/>
          <w:b/>
          <w:bCs/>
        </w:rPr>
      </w:pPr>
      <w:r w:rsidRPr="00B92822">
        <w:rPr>
          <w:rFonts w:ascii="Times New Roman" w:hAnsi="Times New Roman" w:cs="Times New Roman"/>
          <w:b/>
          <w:bCs/>
        </w:rPr>
        <w:t>8.</w:t>
      </w:r>
      <w:r>
        <w:rPr>
          <w:rFonts w:ascii="Times New Roman" w:hAnsi="Times New Roman" w:cs="Times New Roman"/>
          <w:b/>
          <w:bCs/>
        </w:rPr>
        <w:t>4</w:t>
      </w:r>
      <w:r w:rsidRPr="00B92822">
        <w:rPr>
          <w:rFonts w:ascii="Times New Roman" w:hAnsi="Times New Roman" w:cs="Times New Roman"/>
          <w:b/>
          <w:bCs/>
        </w:rPr>
        <w:t xml:space="preserve"> Material Evidence Supporting the Reconstruction</w:t>
      </w:r>
    </w:p>
    <w:p w14:paraId="7535B2E5" w14:textId="0ABCB552" w:rsidR="00783833" w:rsidRDefault="00783833">
      <w:pPr>
        <w:bidi w:val="0"/>
        <w:spacing w:line="360" w:lineRule="auto"/>
        <w:jc w:val="both"/>
        <w:rPr>
          <w:rFonts w:ascii="Times New Roman" w:hAnsi="Times New Roman" w:cs="Times New Roman"/>
        </w:rPr>
      </w:pPr>
      <w:r>
        <w:rPr>
          <w:rFonts w:ascii="Times New Roman" w:hAnsi="Times New Roman" w:cs="Times New Roman"/>
        </w:rPr>
        <w:t xml:space="preserve">The vertical damage </w:t>
      </w:r>
      <w:r w:rsidR="00ED0B12">
        <w:rPr>
          <w:rFonts w:ascii="Times New Roman" w:hAnsi="Times New Roman" w:cs="Times New Roman"/>
        </w:rPr>
        <w:t>at</w:t>
      </w:r>
      <w:r>
        <w:rPr>
          <w:rFonts w:ascii="Times New Roman" w:hAnsi="Times New Roman" w:cs="Times New Roman"/>
        </w:rPr>
        <w:t xml:space="preserve"> the right edge of 4Q415 11 serve</w:t>
      </w:r>
      <w:r w:rsidR="00740529">
        <w:rPr>
          <w:rFonts w:ascii="Times New Roman" w:hAnsi="Times New Roman" w:cs="Times New Roman"/>
        </w:rPr>
        <w:t>s</w:t>
      </w:r>
      <w:r>
        <w:rPr>
          <w:rFonts w:ascii="Times New Roman" w:hAnsi="Times New Roman" w:cs="Times New Roman"/>
        </w:rPr>
        <w:t xml:space="preserve"> as material evidence </w:t>
      </w:r>
      <w:r w:rsidR="00740529">
        <w:rPr>
          <w:rFonts w:ascii="Times New Roman" w:hAnsi="Times New Roman" w:cs="Times New Roman"/>
        </w:rPr>
        <w:t xml:space="preserve">which supports </w:t>
      </w:r>
      <w:r>
        <w:rPr>
          <w:rFonts w:ascii="Times New Roman" w:hAnsi="Times New Roman" w:cs="Times New Roman"/>
        </w:rPr>
        <w:t xml:space="preserve">the </w:t>
      </w:r>
      <w:r w:rsidR="00740529">
        <w:rPr>
          <w:rFonts w:ascii="Times New Roman" w:hAnsi="Times New Roman" w:cs="Times New Roman"/>
        </w:rPr>
        <w:t xml:space="preserve">proposed </w:t>
      </w:r>
      <w:r>
        <w:rPr>
          <w:rFonts w:ascii="Times New Roman" w:hAnsi="Times New Roman" w:cs="Times New Roman"/>
        </w:rPr>
        <w:t xml:space="preserve">reconstruction. I suggest that this damage was caused by the seam that was assumed to be in the previous layer in the rolled scroll, between columns I and II (fig. 22). </w:t>
      </w:r>
      <w:r w:rsidR="002A5FA5">
        <w:rPr>
          <w:rFonts w:ascii="Times New Roman" w:hAnsi="Times New Roman" w:cs="Times New Roman"/>
        </w:rPr>
        <w:t>T</w:t>
      </w:r>
      <w:r>
        <w:rPr>
          <w:rFonts w:ascii="Times New Roman" w:hAnsi="Times New Roman" w:cs="Times New Roman"/>
        </w:rPr>
        <w:t xml:space="preserve">he distance between the seam and the vertical damage in 4Q415 11 is </w:t>
      </w:r>
      <w:r w:rsidR="002A5FA5">
        <w:rPr>
          <w:rFonts w:ascii="Times New Roman" w:hAnsi="Times New Roman" w:cs="Times New Roman"/>
        </w:rPr>
        <w:t xml:space="preserve">9.9 cm – </w:t>
      </w:r>
      <w:r>
        <w:rPr>
          <w:rFonts w:ascii="Times New Roman" w:hAnsi="Times New Roman" w:cs="Times New Roman"/>
        </w:rPr>
        <w:t xml:space="preserve">equal to the circumference of the scroll at that point, according to the reconstruction </w:t>
      </w:r>
      <w:r w:rsidR="002A5FA5">
        <w:rPr>
          <w:rFonts w:ascii="Times New Roman" w:hAnsi="Times New Roman" w:cs="Times New Roman"/>
        </w:rPr>
        <w:t>I have proposed.</w:t>
      </w:r>
    </w:p>
    <w:p w14:paraId="281CF540" w14:textId="77777777" w:rsidR="00783833" w:rsidRDefault="00783833" w:rsidP="00783833">
      <w:pPr>
        <w:bidi w:val="0"/>
        <w:spacing w:line="360" w:lineRule="auto"/>
        <w:jc w:val="both"/>
        <w:rPr>
          <w:rFonts w:ascii="Times New Roman" w:hAnsi="Times New Roman" w:cs="Times New Roman"/>
          <w:b/>
          <w:bCs/>
        </w:rPr>
      </w:pPr>
    </w:p>
    <w:p w14:paraId="79F96E0A" w14:textId="77777777" w:rsidR="00783833" w:rsidRDefault="00783833" w:rsidP="00783833">
      <w:pPr>
        <w:bidi w:val="0"/>
        <w:spacing w:line="360" w:lineRule="auto"/>
        <w:jc w:val="both"/>
        <w:rPr>
          <w:rFonts w:ascii="Times New Roman" w:hAnsi="Times New Roman" w:cs="Times New Roman"/>
          <w:b/>
          <w:bCs/>
        </w:rPr>
      </w:pPr>
      <w:r>
        <w:rPr>
          <w:rFonts w:ascii="Times New Roman" w:hAnsi="Times New Roman" w:cs="Times New Roman"/>
          <w:b/>
          <w:bCs/>
        </w:rPr>
        <w:t xml:space="preserve">8.5 </w:t>
      </w:r>
      <w:r w:rsidRPr="00B92822">
        <w:rPr>
          <w:rFonts w:ascii="Times New Roman" w:hAnsi="Times New Roman" w:cs="Times New Roman"/>
          <w:b/>
          <w:bCs/>
        </w:rPr>
        <w:t>Margin of Error</w:t>
      </w:r>
    </w:p>
    <w:p w14:paraId="70FF7502" w14:textId="3F20D8A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A material reconstruction is </w:t>
      </w:r>
      <w:r w:rsidR="00C1590B">
        <w:rPr>
          <w:rFonts w:ascii="Times New Roman" w:hAnsi="Times New Roman" w:cs="Times New Roman"/>
        </w:rPr>
        <w:t xml:space="preserve">incomplete </w:t>
      </w:r>
      <w:r>
        <w:rPr>
          <w:rFonts w:ascii="Times New Roman" w:hAnsi="Times New Roman" w:cs="Times New Roman"/>
        </w:rPr>
        <w:t xml:space="preserve">without </w:t>
      </w:r>
      <w:r w:rsidR="00C1590B">
        <w:rPr>
          <w:rFonts w:ascii="Times New Roman" w:hAnsi="Times New Roman" w:cs="Times New Roman"/>
        </w:rPr>
        <w:t xml:space="preserve">an </w:t>
      </w:r>
      <w:r>
        <w:rPr>
          <w:rFonts w:ascii="Times New Roman" w:hAnsi="Times New Roman" w:cs="Times New Roman"/>
        </w:rPr>
        <w:t>estimation of the margin of error for the place</w:t>
      </w:r>
      <w:r w:rsidR="00840C40">
        <w:rPr>
          <w:rFonts w:ascii="Times New Roman" w:hAnsi="Times New Roman" w:cs="Times New Roman"/>
        </w:rPr>
        <w:t>ment</w:t>
      </w:r>
      <w:r>
        <w:rPr>
          <w:rFonts w:ascii="Times New Roman" w:hAnsi="Times New Roman" w:cs="Times New Roman"/>
        </w:rPr>
        <w:t xml:space="preserve"> of each fragment. This estimation allows us to assess</w:t>
      </w:r>
      <w:r w:rsidRPr="00EE2258">
        <w:rPr>
          <w:rFonts w:ascii="Times New Roman" w:hAnsi="Times New Roman" w:cs="Times New Roman"/>
        </w:rPr>
        <w:t xml:space="preserve"> the accuracy of the reconstruction</w:t>
      </w:r>
      <w:r>
        <w:rPr>
          <w:rFonts w:ascii="Times New Roman" w:hAnsi="Times New Roman" w:cs="Times New Roman"/>
        </w:rPr>
        <w:t>. In what follows</w:t>
      </w:r>
      <w:r w:rsidR="00840C40">
        <w:rPr>
          <w:rFonts w:ascii="Times New Roman" w:hAnsi="Times New Roman" w:cs="Times New Roman"/>
        </w:rPr>
        <w:t>,</w:t>
      </w:r>
      <w:r>
        <w:rPr>
          <w:rFonts w:ascii="Times New Roman" w:hAnsi="Times New Roman" w:cs="Times New Roman"/>
        </w:rPr>
        <w:t xml:space="preserve"> I calculate the margin of error</w:t>
      </w:r>
      <w:r w:rsidR="00A403F9">
        <w:rPr>
          <w:rFonts w:ascii="Times New Roman" w:hAnsi="Times New Roman" w:cs="Times New Roman"/>
        </w:rPr>
        <w:t>,</w:t>
      </w:r>
      <w:r>
        <w:rPr>
          <w:rFonts w:ascii="Times New Roman" w:hAnsi="Times New Roman" w:cs="Times New Roman"/>
        </w:rPr>
        <w:t xml:space="preserve"> </w:t>
      </w:r>
      <w:r w:rsidR="00A403F9">
        <w:rPr>
          <w:rFonts w:ascii="Times New Roman" w:hAnsi="Times New Roman" w:cs="Times New Roman"/>
        </w:rPr>
        <w:t xml:space="preserve">based </w:t>
      </w:r>
      <w:r>
        <w:rPr>
          <w:rFonts w:ascii="Times New Roman" w:hAnsi="Times New Roman" w:cs="Times New Roman"/>
        </w:rPr>
        <w:t>on a method suggested by Ben-</w:t>
      </w:r>
      <w:proofErr w:type="spellStart"/>
      <w:r>
        <w:rPr>
          <w:rFonts w:ascii="Times New Roman" w:hAnsi="Times New Roman" w:cs="Times New Roman"/>
        </w:rPr>
        <w:t>Dov</w:t>
      </w:r>
      <w:proofErr w:type="spellEnd"/>
      <w:r>
        <w:rPr>
          <w:rFonts w:ascii="Times New Roman" w:hAnsi="Times New Roman" w:cs="Times New Roman"/>
        </w:rPr>
        <w:t xml:space="preserve">, Gayer and </w:t>
      </w:r>
      <w:proofErr w:type="spellStart"/>
      <w:r>
        <w:rPr>
          <w:rFonts w:ascii="Times New Roman" w:hAnsi="Times New Roman" w:cs="Times New Roman"/>
        </w:rPr>
        <w:t>Ratzon</w:t>
      </w:r>
      <w:proofErr w:type="spellEnd"/>
      <w:r>
        <w:rPr>
          <w:rFonts w:asciiTheme="majorBidi" w:hAnsiTheme="majorBidi" w:cstheme="majorBidi"/>
        </w:rPr>
        <w:t>.</w:t>
      </w:r>
      <w:r>
        <w:rPr>
          <w:rStyle w:val="a5"/>
          <w:rFonts w:ascii="Times New Roman" w:hAnsi="Times New Roman" w:cs="Times New Roman"/>
        </w:rPr>
        <w:footnoteReference w:id="21"/>
      </w:r>
      <w:r>
        <w:rPr>
          <w:rFonts w:ascii="Times New Roman" w:hAnsi="Times New Roman" w:cs="Times New Roman"/>
        </w:rPr>
        <w:t xml:space="preserve"> </w:t>
      </w:r>
    </w:p>
    <w:p w14:paraId="1338C5D7" w14:textId="67FB4806"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In fact, </w:t>
      </w:r>
      <w:r w:rsidR="003C756F">
        <w:rPr>
          <w:rFonts w:ascii="Times New Roman" w:hAnsi="Times New Roman" w:cs="Times New Roman"/>
        </w:rPr>
        <w:t xml:space="preserve">in </w:t>
      </w:r>
      <w:r>
        <w:rPr>
          <w:rFonts w:ascii="Times New Roman" w:hAnsi="Times New Roman" w:cs="Times New Roman"/>
        </w:rPr>
        <w:t xml:space="preserve">applying </w:t>
      </w:r>
      <w:r w:rsidR="00C063AA">
        <w:rPr>
          <w:rFonts w:ascii="Times New Roman" w:hAnsi="Times New Roman" w:cs="Times New Roman"/>
        </w:rPr>
        <w:t xml:space="preserve">the </w:t>
      </w:r>
      <w:proofErr w:type="spellStart"/>
      <w:r>
        <w:rPr>
          <w:rFonts w:ascii="Times New Roman" w:hAnsi="Times New Roman" w:cs="Times New Roman"/>
        </w:rPr>
        <w:t>Stegemann</w:t>
      </w:r>
      <w:proofErr w:type="spellEnd"/>
      <w:r>
        <w:rPr>
          <w:rFonts w:ascii="Times New Roman" w:hAnsi="Times New Roman" w:cs="Times New Roman"/>
        </w:rPr>
        <w:t xml:space="preserve"> Method</w:t>
      </w:r>
      <w:r w:rsidR="003C756F">
        <w:rPr>
          <w:rFonts w:ascii="Times New Roman" w:hAnsi="Times New Roman" w:cs="Times New Roman"/>
        </w:rPr>
        <w:t>,</w:t>
      </w:r>
      <w:r>
        <w:rPr>
          <w:rFonts w:ascii="Times New Roman" w:hAnsi="Times New Roman" w:cs="Times New Roman"/>
        </w:rPr>
        <w:t xml:space="preserve"> I assumed that the distances between corresponding points of damage </w:t>
      </w:r>
      <w:r w:rsidR="00AC7B4B">
        <w:rPr>
          <w:rFonts w:ascii="Times New Roman" w:hAnsi="Times New Roman" w:cs="Times New Roman"/>
        </w:rPr>
        <w:t>constituted an</w:t>
      </w:r>
      <w:r w:rsidR="00F70EEF">
        <w:rPr>
          <w:rFonts w:ascii="Times New Roman" w:hAnsi="Times New Roman" w:cs="Times New Roman"/>
        </w:rPr>
        <w:t xml:space="preserve"> </w:t>
      </w:r>
      <w:r>
        <w:rPr>
          <w:rFonts w:ascii="Times New Roman" w:hAnsi="Times New Roman" w:cs="Times New Roman"/>
        </w:rPr>
        <w:t xml:space="preserve">arithmetical series. I calculated a1, the circumference between two certain points of damage, and </w:t>
      </w:r>
      <w:r w:rsidR="00DD13C2">
        <w:rPr>
          <w:rFonts w:ascii="Times New Roman" w:hAnsi="Times New Roman" w:cs="Times New Roman"/>
        </w:rPr>
        <w:t xml:space="preserve">then </w:t>
      </w:r>
      <w:r w:rsidRPr="00571296">
        <w:rPr>
          <w:rFonts w:ascii="Times New Roman" w:hAnsi="Times New Roman" w:cs="Times New Roman"/>
        </w:rPr>
        <w:t>calculated the circumference</w:t>
      </w:r>
      <w:r>
        <w:rPr>
          <w:rFonts w:ascii="Times New Roman" w:hAnsi="Times New Roman" w:cs="Times New Roman"/>
        </w:rPr>
        <w:t>s</w:t>
      </w:r>
      <w:r w:rsidRPr="00571296">
        <w:rPr>
          <w:rFonts w:ascii="Times New Roman" w:hAnsi="Times New Roman" w:cs="Times New Roman"/>
        </w:rPr>
        <w:t xml:space="preserve"> </w:t>
      </w:r>
      <w:r>
        <w:rPr>
          <w:rFonts w:ascii="Times New Roman" w:hAnsi="Times New Roman" w:cs="Times New Roman"/>
        </w:rPr>
        <w:t>of the</w:t>
      </w:r>
      <w:r w:rsidRPr="00571296">
        <w:rPr>
          <w:rFonts w:ascii="Times New Roman" w:hAnsi="Times New Roman" w:cs="Times New Roman"/>
        </w:rPr>
        <w:t xml:space="preserve"> additional </w:t>
      </w:r>
      <w:r>
        <w:rPr>
          <w:rFonts w:ascii="Times New Roman" w:hAnsi="Times New Roman" w:cs="Times New Roman"/>
        </w:rPr>
        <w:t>roll</w:t>
      </w:r>
      <w:r w:rsidRPr="00571296">
        <w:rPr>
          <w:rFonts w:ascii="Times New Roman" w:hAnsi="Times New Roman" w:cs="Times New Roman"/>
        </w:rPr>
        <w:t>s</w:t>
      </w:r>
      <w:r>
        <w:rPr>
          <w:rFonts w:ascii="Times New Roman" w:hAnsi="Times New Roman" w:cs="Times New Roman"/>
        </w:rPr>
        <w:t xml:space="preserve"> by assuming</w:t>
      </w:r>
      <w:r w:rsidRPr="00571296">
        <w:rPr>
          <w:rFonts w:ascii="Times New Roman" w:hAnsi="Times New Roman" w:cs="Times New Roman"/>
        </w:rPr>
        <w:t xml:space="preserve"> that there </w:t>
      </w:r>
      <w:r>
        <w:rPr>
          <w:rFonts w:ascii="Times New Roman" w:hAnsi="Times New Roman" w:cs="Times New Roman"/>
        </w:rPr>
        <w:t>was</w:t>
      </w:r>
      <w:r w:rsidRPr="00571296">
        <w:rPr>
          <w:rFonts w:ascii="Times New Roman" w:hAnsi="Times New Roman" w:cs="Times New Roman"/>
        </w:rPr>
        <w:t xml:space="preserve"> a</w:t>
      </w:r>
      <w:r>
        <w:rPr>
          <w:rFonts w:ascii="Times New Roman" w:hAnsi="Times New Roman" w:cs="Times New Roman"/>
        </w:rPr>
        <w:t>n</w:t>
      </w:r>
      <w:r w:rsidRPr="00571296">
        <w:rPr>
          <w:rFonts w:ascii="Times New Roman" w:hAnsi="Times New Roman" w:cs="Times New Roman"/>
        </w:rPr>
        <w:t xml:space="preserve"> </w:t>
      </w:r>
      <w:r>
        <w:rPr>
          <w:rFonts w:ascii="Times New Roman" w:hAnsi="Times New Roman" w:cs="Times New Roman"/>
        </w:rPr>
        <w:t>incremental</w:t>
      </w:r>
      <w:r w:rsidRPr="00571296">
        <w:rPr>
          <w:rFonts w:ascii="Times New Roman" w:hAnsi="Times New Roman" w:cs="Times New Roman"/>
        </w:rPr>
        <w:t xml:space="preserve"> growth between the </w:t>
      </w:r>
      <w:r>
        <w:rPr>
          <w:rFonts w:ascii="Times New Roman" w:hAnsi="Times New Roman" w:cs="Times New Roman"/>
        </w:rPr>
        <w:t xml:space="preserve">consecutive </w:t>
      </w:r>
      <w:r w:rsidRPr="00571296">
        <w:rPr>
          <w:rFonts w:ascii="Times New Roman" w:hAnsi="Times New Roman" w:cs="Times New Roman"/>
        </w:rPr>
        <w:t>layers</w:t>
      </w:r>
      <w:r>
        <w:rPr>
          <w:rFonts w:ascii="Times New Roman" w:hAnsi="Times New Roman" w:cs="Times New Roman"/>
        </w:rPr>
        <w:t>.</w:t>
      </w:r>
      <w:r w:rsidRPr="00571296">
        <w:rPr>
          <w:rFonts w:ascii="Times New Roman" w:hAnsi="Times New Roman" w:cs="Times New Roman"/>
        </w:rPr>
        <w:t xml:space="preserve"> </w:t>
      </w:r>
      <w:r>
        <w:rPr>
          <w:rFonts w:ascii="Times New Roman" w:hAnsi="Times New Roman" w:cs="Times New Roman"/>
        </w:rPr>
        <w:t xml:space="preserve">Therefore, the </w:t>
      </w:r>
      <w:r w:rsidR="00EB1168">
        <w:rPr>
          <w:rFonts w:ascii="Times New Roman" w:hAnsi="Times New Roman" w:cs="Times New Roman"/>
        </w:rPr>
        <w:t>estimated</w:t>
      </w:r>
      <w:r>
        <w:rPr>
          <w:rFonts w:ascii="Times New Roman" w:hAnsi="Times New Roman" w:cs="Times New Roman"/>
        </w:rPr>
        <w:t xml:space="preserve"> margin of error should focus on these two factors: a1 (the first reconstructed circumference</w:t>
      </w:r>
      <w:r w:rsidR="009B4C1E">
        <w:rPr>
          <w:rFonts w:ascii="Times New Roman" w:hAnsi="Times New Roman" w:cs="Times New Roman"/>
        </w:rPr>
        <w:t>,</w:t>
      </w:r>
      <w:r>
        <w:rPr>
          <w:rFonts w:ascii="Times New Roman" w:hAnsi="Times New Roman" w:cs="Times New Roman"/>
        </w:rPr>
        <w:t xml:space="preserve"> </w:t>
      </w:r>
      <w:r w:rsidR="009B4C1E">
        <w:rPr>
          <w:rFonts w:ascii="Times New Roman" w:hAnsi="Times New Roman" w:cs="Times New Roman"/>
        </w:rPr>
        <w:t xml:space="preserve">which </w:t>
      </w:r>
      <w:r>
        <w:rPr>
          <w:rFonts w:ascii="Times New Roman" w:hAnsi="Times New Roman" w:cs="Times New Roman"/>
        </w:rPr>
        <w:t xml:space="preserve">served </w:t>
      </w:r>
      <w:r w:rsidR="009B4C1E">
        <w:rPr>
          <w:rFonts w:ascii="Times New Roman" w:hAnsi="Times New Roman" w:cs="Times New Roman"/>
        </w:rPr>
        <w:t xml:space="preserve">as a basis </w:t>
      </w:r>
      <w:r>
        <w:rPr>
          <w:rFonts w:ascii="Times New Roman" w:hAnsi="Times New Roman" w:cs="Times New Roman"/>
        </w:rPr>
        <w:t xml:space="preserve">for placing the other fragments) and d (the growth between consecutive rolls). </w:t>
      </w:r>
    </w:p>
    <w:p w14:paraId="040A832E" w14:textId="77777777" w:rsidR="00783833" w:rsidRDefault="00783833" w:rsidP="00783833">
      <w:pPr>
        <w:bidi w:val="0"/>
        <w:spacing w:line="360" w:lineRule="auto"/>
        <w:jc w:val="both"/>
        <w:rPr>
          <w:rFonts w:ascii="Times New Roman" w:hAnsi="Times New Roman" w:cs="Times New Roman"/>
          <w:i/>
          <w:iCs/>
        </w:rPr>
      </w:pPr>
    </w:p>
    <w:p w14:paraId="2257266C" w14:textId="2E070C36" w:rsidR="00783833" w:rsidRPr="00E036CB"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lastRenderedPageBreak/>
        <w:t>Margin of E</w:t>
      </w:r>
      <w:r w:rsidRPr="00E036CB">
        <w:rPr>
          <w:rFonts w:ascii="Times New Roman" w:hAnsi="Times New Roman" w:cs="Times New Roman"/>
          <w:i/>
          <w:iCs/>
        </w:rPr>
        <w:t xml:space="preserve">rror </w:t>
      </w:r>
      <w:r w:rsidR="00615333">
        <w:rPr>
          <w:rFonts w:ascii="Times New Roman" w:hAnsi="Times New Roman" w:cs="Times New Roman"/>
          <w:i/>
          <w:iCs/>
        </w:rPr>
        <w:t>for</w:t>
      </w:r>
      <w:r w:rsidRPr="00E036CB">
        <w:rPr>
          <w:rFonts w:ascii="Times New Roman" w:hAnsi="Times New Roman" w:cs="Times New Roman"/>
          <w:i/>
          <w:iCs/>
        </w:rPr>
        <w:t xml:space="preserve"> a1</w:t>
      </w:r>
    </w:p>
    <w:p w14:paraId="0469C53F" w14:textId="7240C95A"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 xml:space="preserve">a1 was calculated </w:t>
      </w:r>
      <w:r w:rsidR="00615333">
        <w:rPr>
          <w:rFonts w:ascii="Times New Roman" w:hAnsi="Times New Roman" w:cs="Times New Roman"/>
        </w:rPr>
        <w:t xml:space="preserve">using an </w:t>
      </w:r>
      <w:r>
        <w:rPr>
          <w:rFonts w:ascii="Times New Roman" w:hAnsi="Times New Roman" w:cs="Times New Roman"/>
        </w:rPr>
        <w:t>equation that represented the distances between points A and B, a pair of corresponding points of damage (par. 8.1 sec 3). This equation include</w:t>
      </w:r>
      <w:r w:rsidR="00615333">
        <w:rPr>
          <w:rFonts w:ascii="Times New Roman" w:hAnsi="Times New Roman" w:cs="Times New Roman"/>
        </w:rPr>
        <w:t>s</w:t>
      </w:r>
      <w:r>
        <w:rPr>
          <w:rFonts w:ascii="Times New Roman" w:hAnsi="Times New Roman" w:cs="Times New Roman"/>
        </w:rPr>
        <w:t xml:space="preserve"> </w:t>
      </w:r>
      <w:r w:rsidR="00615333">
        <w:rPr>
          <w:rFonts w:ascii="Times New Roman" w:hAnsi="Times New Roman" w:cs="Times New Roman"/>
        </w:rPr>
        <w:t xml:space="preserve">measurement </w:t>
      </w:r>
      <w:r>
        <w:rPr>
          <w:rFonts w:ascii="Times New Roman" w:hAnsi="Times New Roman" w:cs="Times New Roman"/>
        </w:rPr>
        <w:t xml:space="preserve">of distance </w:t>
      </w:r>
      <w:r w:rsidR="00615333">
        <w:rPr>
          <w:rFonts w:ascii="Times New Roman" w:hAnsi="Times New Roman" w:cs="Times New Roman"/>
        </w:rPr>
        <w:t xml:space="preserve">based </w:t>
      </w:r>
      <w:r>
        <w:rPr>
          <w:rFonts w:ascii="Times New Roman" w:hAnsi="Times New Roman" w:cs="Times New Roman"/>
        </w:rPr>
        <w:t>on the estimated width of columns I, II</w:t>
      </w:r>
      <w:r w:rsidR="00615333">
        <w:rPr>
          <w:rFonts w:ascii="Times New Roman" w:hAnsi="Times New Roman" w:cs="Times New Roman"/>
        </w:rPr>
        <w:t>,</w:t>
      </w:r>
      <w:r>
        <w:rPr>
          <w:rFonts w:ascii="Times New Roman" w:hAnsi="Times New Roman" w:cs="Times New Roman"/>
        </w:rPr>
        <w:t xml:space="preserve"> and III (par. 4)</w:t>
      </w:r>
      <w:r w:rsidR="00615333">
        <w:rPr>
          <w:rFonts w:ascii="Times New Roman" w:hAnsi="Times New Roman" w:cs="Times New Roman"/>
        </w:rPr>
        <w:t>,</w:t>
      </w:r>
      <w:r>
        <w:rPr>
          <w:rFonts w:ascii="Times New Roman" w:hAnsi="Times New Roman" w:cs="Times New Roman"/>
        </w:rPr>
        <w:t xml:space="preserve"> and the width of the intercolumnar margins (par. 6; par. 7). </w:t>
      </w:r>
    </w:p>
    <w:p w14:paraId="68C0A45A" w14:textId="33C63BEE" w:rsidR="00783833" w:rsidRDefault="00783833" w:rsidP="00783833">
      <w:pPr>
        <w:bidi w:val="0"/>
        <w:spacing w:line="360" w:lineRule="auto"/>
        <w:jc w:val="both"/>
        <w:rPr>
          <w:rFonts w:ascii="Times New Roman" w:hAnsi="Times New Roman" w:cs="Times New Roman"/>
        </w:rPr>
      </w:pPr>
      <w:r>
        <w:rPr>
          <w:rFonts w:asciiTheme="majorBidi" w:hAnsiTheme="majorBidi" w:cstheme="majorBidi"/>
        </w:rPr>
        <w:t>The</w:t>
      </w:r>
      <w:r w:rsidRPr="005B6548">
        <w:rPr>
          <w:rFonts w:asciiTheme="majorBidi" w:hAnsiTheme="majorBidi" w:cstheme="majorBidi"/>
        </w:rPr>
        <w:t xml:space="preserve"> </w:t>
      </w:r>
      <w:r>
        <w:rPr>
          <w:rFonts w:asciiTheme="majorBidi" w:hAnsiTheme="majorBidi" w:cstheme="majorBidi"/>
        </w:rPr>
        <w:t xml:space="preserve">margin of error </w:t>
      </w:r>
      <w:r w:rsidR="00615333">
        <w:rPr>
          <w:rFonts w:asciiTheme="majorBidi" w:hAnsiTheme="majorBidi" w:cstheme="majorBidi"/>
        </w:rPr>
        <w:t>for</w:t>
      </w:r>
      <w:r w:rsidR="00615333" w:rsidRPr="005B6548">
        <w:rPr>
          <w:rFonts w:asciiTheme="majorBidi" w:hAnsiTheme="majorBidi" w:cstheme="majorBidi"/>
        </w:rPr>
        <w:t xml:space="preserve"> </w:t>
      </w:r>
      <w:r>
        <w:rPr>
          <w:rFonts w:asciiTheme="majorBidi" w:hAnsiTheme="majorBidi" w:cstheme="majorBidi"/>
        </w:rPr>
        <w:t>a1 is represented by</w:t>
      </w:r>
      <w:r w:rsidRPr="005B6548">
        <w:rPr>
          <w:rFonts w:asciiTheme="majorBidi" w:hAnsiTheme="majorBidi" w:cstheme="majorBidi"/>
        </w:rPr>
        <w:t xml:space="preserve">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oMath>
      <w:r>
        <w:rPr>
          <w:rFonts w:asciiTheme="majorBidi" w:eastAsiaTheme="minorEastAsia" w:hAnsiTheme="majorBidi" w:cstheme="majorBidi"/>
        </w:rPr>
        <w:t xml:space="preserve">, and </w:t>
      </w:r>
      <w:r w:rsidR="00615333">
        <w:rPr>
          <w:rFonts w:asciiTheme="majorBidi" w:eastAsiaTheme="minorEastAsia" w:hAnsiTheme="majorBidi" w:cstheme="majorBidi"/>
        </w:rPr>
        <w:t xml:space="preserve">it is comprised of </w:t>
      </w:r>
      <w:r>
        <w:rPr>
          <w:rFonts w:asciiTheme="majorBidi" w:eastAsiaTheme="minorEastAsia" w:hAnsiTheme="majorBidi" w:cstheme="majorBidi"/>
        </w:rPr>
        <w:t xml:space="preserve">the margins of error </w:t>
      </w:r>
      <w:r w:rsidR="00615333">
        <w:rPr>
          <w:rFonts w:asciiTheme="majorBidi" w:eastAsiaTheme="minorEastAsia" w:hAnsiTheme="majorBidi" w:cstheme="majorBidi"/>
        </w:rPr>
        <w:t xml:space="preserve">for </w:t>
      </w:r>
      <w:r>
        <w:rPr>
          <w:rFonts w:asciiTheme="majorBidi" w:eastAsiaTheme="minorEastAsia" w:hAnsiTheme="majorBidi" w:cstheme="majorBidi"/>
        </w:rPr>
        <w:t xml:space="preserve">each estimated width of </w:t>
      </w:r>
      <w:r w:rsidR="00615333">
        <w:rPr>
          <w:rFonts w:asciiTheme="majorBidi" w:eastAsiaTheme="minorEastAsia" w:hAnsiTheme="majorBidi" w:cstheme="majorBidi"/>
        </w:rPr>
        <w:t xml:space="preserve">a </w:t>
      </w:r>
      <w:r>
        <w:rPr>
          <w:rFonts w:asciiTheme="majorBidi" w:eastAsiaTheme="minorEastAsia" w:hAnsiTheme="majorBidi" w:cstheme="majorBidi"/>
        </w:rPr>
        <w:t xml:space="preserve">column or intercolumnar margin: </w:t>
      </w:r>
    </w:p>
    <w:p w14:paraId="416DFFD0" w14:textId="56F5DF98" w:rsidR="00783833" w:rsidRDefault="00783833" w:rsidP="00783833">
      <w:pPr>
        <w:bidi w:val="0"/>
        <w:spacing w:line="360" w:lineRule="auto"/>
        <w:ind w:firstLine="720"/>
        <w:jc w:val="both"/>
        <w:rPr>
          <w:rFonts w:ascii="Times New Roman" w:hAnsi="Times New Roman" w:cs="Times New Roman"/>
        </w:rPr>
      </w:pPr>
      <w:r>
        <w:rPr>
          <w:rFonts w:ascii="Times New Roman" w:hAnsi="Times New Roman" w:cs="Times New Roman"/>
        </w:rPr>
        <w:t xml:space="preserve">margin of error </w:t>
      </w:r>
      <w:r w:rsidR="00744F78">
        <w:rPr>
          <w:rFonts w:ascii="Times New Roman" w:hAnsi="Times New Roman" w:cs="Times New Roman"/>
        </w:rPr>
        <w:t xml:space="preserve">for </w:t>
      </w:r>
      <w:r>
        <w:rPr>
          <w:rFonts w:ascii="Times New Roman" w:hAnsi="Times New Roman" w:cs="Times New Roman"/>
        </w:rPr>
        <w:t>column I: 0.3/2=0.15 cm</w:t>
      </w:r>
      <w:r>
        <w:rPr>
          <w:rStyle w:val="a5"/>
          <w:rFonts w:ascii="Times New Roman" w:hAnsi="Times New Roman" w:cs="Times New Roman"/>
        </w:rPr>
        <w:footnoteReference w:id="22"/>
      </w:r>
    </w:p>
    <w:p w14:paraId="33FBB6B7" w14:textId="318FA4A9"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margin of error </w:t>
      </w:r>
      <w:r w:rsidR="00744F78">
        <w:rPr>
          <w:rFonts w:ascii="Times New Roman" w:hAnsi="Times New Roman" w:cs="Times New Roman"/>
        </w:rPr>
        <w:t xml:space="preserve">for </w:t>
      </w:r>
      <w:r>
        <w:rPr>
          <w:rFonts w:ascii="Times New Roman" w:hAnsi="Times New Roman" w:cs="Times New Roman"/>
        </w:rPr>
        <w:t>column II: 0.2 cm</w:t>
      </w:r>
    </w:p>
    <w:p w14:paraId="5A9D5063" w14:textId="6EACA415"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margin of error </w:t>
      </w:r>
      <w:r w:rsidR="00744F78">
        <w:rPr>
          <w:rFonts w:ascii="Times New Roman" w:hAnsi="Times New Roman" w:cs="Times New Roman"/>
        </w:rPr>
        <w:t>for</w:t>
      </w:r>
      <w:r>
        <w:rPr>
          <w:rFonts w:ascii="Times New Roman" w:hAnsi="Times New Roman" w:cs="Times New Roman"/>
        </w:rPr>
        <w:t xml:space="preserve"> column III: 0.3 cm</w:t>
      </w:r>
    </w:p>
    <w:p w14:paraId="6021D1DC" w14:textId="1AD7C26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t xml:space="preserve">margin of </w:t>
      </w:r>
      <w:r w:rsidR="00744F78">
        <w:rPr>
          <w:rFonts w:ascii="Times New Roman" w:hAnsi="Times New Roman" w:cs="Times New Roman"/>
        </w:rPr>
        <w:t xml:space="preserve">error for </w:t>
      </w:r>
      <w:r>
        <w:rPr>
          <w:rFonts w:ascii="Times New Roman" w:hAnsi="Times New Roman" w:cs="Times New Roman"/>
        </w:rPr>
        <w:t>intercolumnar margins: 0.3+0.4=0.7 cm</w:t>
      </w:r>
    </w:p>
    <w:p w14:paraId="0C7CD458" w14:textId="77777777" w:rsidR="00783833" w:rsidRDefault="00783833" w:rsidP="00783833">
      <w:pPr>
        <w:bidi w:val="0"/>
        <w:spacing w:line="360" w:lineRule="auto"/>
        <w:jc w:val="both"/>
        <w:rPr>
          <w:rFonts w:ascii="Times New Roman" w:hAnsi="Times New Roman" w:cs="Times New Roman"/>
        </w:rPr>
      </w:pPr>
      <w:r>
        <w:rPr>
          <w:rFonts w:ascii="Times New Roman" w:hAnsi="Times New Roman" w:cs="Times New Roman"/>
        </w:rPr>
        <w:tab/>
      </w:r>
    </w:p>
    <w:p w14:paraId="2BEAEB44" w14:textId="0804E2D8" w:rsidR="00783833" w:rsidRDefault="00783833" w:rsidP="00783833">
      <w:pPr>
        <w:bidi w:val="0"/>
        <w:spacing w:line="360" w:lineRule="auto"/>
        <w:jc w:val="both"/>
        <w:rPr>
          <w:rFonts w:ascii="Times New Roman" w:eastAsiaTheme="minorEastAsia" w:hAnsi="Times New Roman" w:cs="Times New Roman"/>
        </w:rPr>
      </w:pP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oMath>
      <w:r>
        <w:rPr>
          <w:rFonts w:ascii="Times New Roman" w:eastAsiaTheme="minorEastAsia" w:hAnsi="Times New Roman" w:cs="Times New Roman"/>
        </w:rPr>
        <w:t xml:space="preserve"> equals the sum of these margins of erro</w:t>
      </w:r>
      <w:r>
        <w:rPr>
          <w:rFonts w:ascii="Times New Roman" w:eastAsiaTheme="minorEastAsia" w:hAnsi="Times New Roman" w:cs="Times New Roman"/>
        </w:rPr>
        <w:t>r</w:t>
      </w:r>
      <w:r w:rsidR="00181EFA">
        <w:rPr>
          <w:rFonts w:ascii="Times New Roman" w:eastAsiaTheme="minorEastAsia" w:hAnsi="Times New Roman" w:cs="Times New Roman"/>
        </w:rPr>
        <w:t xml:space="preserve"> –</w:t>
      </w:r>
      <w:r>
        <w:rPr>
          <w:rFonts w:ascii="Times New Roman" w:eastAsiaTheme="minorEastAsia" w:hAnsi="Times New Roman" w:cs="Times New Roman"/>
        </w:rPr>
        <w:t xml:space="preserve"> tha</w:t>
      </w:r>
      <w:r w:rsidR="00181EFA">
        <w:rPr>
          <w:rFonts w:ascii="Times New Roman" w:eastAsiaTheme="minorEastAsia" w:hAnsi="Times New Roman" w:cs="Times New Roman"/>
        </w:rPr>
        <w:t>t</w:t>
      </w:r>
      <w:r>
        <w:rPr>
          <w:rFonts w:ascii="Times New Roman" w:eastAsiaTheme="minorEastAsia" w:hAnsi="Times New Roman" w:cs="Times New Roman"/>
        </w:rPr>
        <w:t xml:space="preserve"> is</w:t>
      </w:r>
      <w:r w:rsidR="00181EFA">
        <w:rPr>
          <w:rFonts w:ascii="Times New Roman" w:eastAsiaTheme="minorEastAsia" w:hAnsi="Times New Roman" w:cs="Times New Roman"/>
        </w:rPr>
        <w:t>,</w:t>
      </w:r>
      <w:r>
        <w:rPr>
          <w:rFonts w:ascii="Times New Roman" w:eastAsiaTheme="minorEastAsia" w:hAnsi="Times New Roman" w:cs="Times New Roman"/>
        </w:rPr>
        <w:t xml:space="preserve"> 1.3 cm.</w:t>
      </w:r>
    </w:p>
    <w:p w14:paraId="6E506B7D" w14:textId="77777777" w:rsidR="00783833" w:rsidRDefault="00783833" w:rsidP="00783833">
      <w:pPr>
        <w:bidi w:val="0"/>
        <w:spacing w:line="360" w:lineRule="auto"/>
        <w:jc w:val="both"/>
        <w:rPr>
          <w:rFonts w:ascii="Times New Roman" w:eastAsiaTheme="minorEastAsia" w:hAnsi="Times New Roman" w:cs="Times New Roman"/>
        </w:rPr>
      </w:pPr>
    </w:p>
    <w:p w14:paraId="1E3887CF" w14:textId="3229F90A" w:rsidR="00783833" w:rsidRDefault="00783833" w:rsidP="00783833">
      <w:pPr>
        <w:bidi w:val="0"/>
        <w:spacing w:line="360" w:lineRule="auto"/>
        <w:jc w:val="both"/>
        <w:rPr>
          <w:rFonts w:ascii="Times New Roman" w:hAnsi="Times New Roman" w:cs="Times New Roman"/>
          <w:i/>
          <w:iCs/>
        </w:rPr>
      </w:pPr>
      <w:r>
        <w:rPr>
          <w:rFonts w:ascii="Times New Roman" w:hAnsi="Times New Roman" w:cs="Times New Roman"/>
          <w:i/>
          <w:iCs/>
        </w:rPr>
        <w:t>Margin of E</w:t>
      </w:r>
      <w:r w:rsidRPr="00E036CB">
        <w:rPr>
          <w:rFonts w:ascii="Times New Roman" w:hAnsi="Times New Roman" w:cs="Times New Roman"/>
          <w:i/>
          <w:iCs/>
        </w:rPr>
        <w:t xml:space="preserve">rror </w:t>
      </w:r>
      <w:r w:rsidR="00EA4A1A">
        <w:rPr>
          <w:rFonts w:ascii="Times New Roman" w:hAnsi="Times New Roman" w:cs="Times New Roman"/>
          <w:i/>
          <w:iCs/>
        </w:rPr>
        <w:t xml:space="preserve">for </w:t>
      </w:r>
      <w:r>
        <w:rPr>
          <w:rFonts w:ascii="Times New Roman" w:hAnsi="Times New Roman" w:cs="Times New Roman"/>
          <w:i/>
          <w:iCs/>
        </w:rPr>
        <w:t>d</w:t>
      </w:r>
    </w:p>
    <w:p w14:paraId="79BECB2A" w14:textId="7A64B51B" w:rsidR="00783833" w:rsidRPr="005B6548" w:rsidRDefault="00783833" w:rsidP="00783833">
      <w:pPr>
        <w:bidi w:val="0"/>
        <w:spacing w:line="360" w:lineRule="auto"/>
        <w:jc w:val="both"/>
        <w:rPr>
          <w:rFonts w:asciiTheme="majorBidi" w:hAnsiTheme="majorBidi" w:cstheme="majorBidi"/>
        </w:rPr>
      </w:pPr>
      <w:r>
        <w:rPr>
          <w:rFonts w:ascii="Times New Roman" w:eastAsiaTheme="minorEastAsia" w:hAnsi="Times New Roman" w:cs="Times New Roman"/>
        </w:rPr>
        <w:t xml:space="preserve">The incremental growth between consecutive layers, represented by the variable d, was estimated </w:t>
      </w:r>
      <w:r w:rsidR="00A17F9D">
        <w:rPr>
          <w:rFonts w:ascii="Times New Roman" w:eastAsiaTheme="minorEastAsia" w:hAnsi="Times New Roman" w:cs="Times New Roman"/>
        </w:rPr>
        <w:t>at</w:t>
      </w:r>
      <w:r>
        <w:rPr>
          <w:rFonts w:ascii="Times New Roman" w:eastAsiaTheme="minorEastAsia" w:hAnsi="Times New Roman" w:cs="Times New Roman"/>
        </w:rPr>
        <w:t xml:space="preserve"> 0.6 cm. As stated above, </w:t>
      </w:r>
      <w:proofErr w:type="spellStart"/>
      <w:r>
        <w:rPr>
          <w:rFonts w:ascii="Times New Roman" w:eastAsiaTheme="minorEastAsia" w:hAnsi="Times New Roman" w:cs="Times New Roman"/>
        </w:rPr>
        <w:t>Stegem</w:t>
      </w:r>
      <w:r w:rsidR="00A17F9D">
        <w:rPr>
          <w:rFonts w:ascii="Times New Roman" w:eastAsiaTheme="minorEastAsia" w:hAnsi="Times New Roman" w:cs="Times New Roman"/>
        </w:rPr>
        <w:t>a</w:t>
      </w:r>
      <w:r>
        <w:rPr>
          <w:rFonts w:ascii="Times New Roman" w:eastAsiaTheme="minorEastAsia" w:hAnsi="Times New Roman" w:cs="Times New Roman"/>
        </w:rPr>
        <w:t>nn</w:t>
      </w:r>
      <w:proofErr w:type="spellEnd"/>
      <w:r>
        <w:rPr>
          <w:rFonts w:ascii="Times New Roman" w:eastAsiaTheme="minorEastAsia" w:hAnsi="Times New Roman" w:cs="Times New Roman"/>
        </w:rPr>
        <w:t xml:space="preserve"> claim</w:t>
      </w:r>
      <w:r w:rsidR="00EA4A1A">
        <w:rPr>
          <w:rFonts w:ascii="Times New Roman" w:eastAsiaTheme="minorEastAsia" w:hAnsi="Times New Roman" w:cs="Times New Roman"/>
        </w:rPr>
        <w:t>s</w:t>
      </w:r>
      <w:r>
        <w:rPr>
          <w:rFonts w:ascii="Times New Roman" w:eastAsiaTheme="minorEastAsia" w:hAnsi="Times New Roman" w:cs="Times New Roman"/>
        </w:rPr>
        <w:t xml:space="preserve"> that the growth between layers varies from 0.1 cm to 0.5 cm. Nonetheless, </w:t>
      </w:r>
      <w:r>
        <w:rPr>
          <w:rFonts w:asciiTheme="majorBidi" w:hAnsiTheme="majorBidi" w:cstheme="majorBidi"/>
        </w:rPr>
        <w:t xml:space="preserve">most of the leather scrolls </w:t>
      </w:r>
      <w:r w:rsidRPr="005B6548">
        <w:rPr>
          <w:rFonts w:asciiTheme="majorBidi" w:hAnsiTheme="majorBidi" w:cstheme="majorBidi"/>
        </w:rPr>
        <w:t xml:space="preserve">have rates of increase of </w:t>
      </w:r>
      <w:r w:rsidR="00EA4A1A">
        <w:rPr>
          <w:rFonts w:asciiTheme="majorBidi" w:hAnsiTheme="majorBidi" w:cstheme="majorBidi"/>
        </w:rPr>
        <w:t>approximately</w:t>
      </w:r>
      <w:r w:rsidR="00EA4A1A" w:rsidRPr="005B6548">
        <w:rPr>
          <w:rFonts w:asciiTheme="majorBidi" w:hAnsiTheme="majorBidi" w:cstheme="majorBidi"/>
        </w:rPr>
        <w:t xml:space="preserve"> </w:t>
      </w:r>
      <w:r>
        <w:rPr>
          <w:rFonts w:asciiTheme="majorBidi" w:hAnsiTheme="majorBidi" w:cstheme="majorBidi"/>
        </w:rPr>
        <w:t>0.</w:t>
      </w:r>
      <w:r w:rsidRPr="005B6548">
        <w:rPr>
          <w:rFonts w:asciiTheme="majorBidi" w:hAnsiTheme="majorBidi" w:cstheme="majorBidi"/>
        </w:rPr>
        <w:t>2</w:t>
      </w:r>
      <w:r w:rsidR="00EA4A1A">
        <w:rPr>
          <w:rFonts w:asciiTheme="majorBidi" w:hAnsiTheme="majorBidi" w:cstheme="majorBidi"/>
        </w:rPr>
        <w:t>-</w:t>
      </w:r>
      <w:r>
        <w:rPr>
          <w:rFonts w:asciiTheme="majorBidi" w:hAnsiTheme="majorBidi" w:cstheme="majorBidi"/>
        </w:rPr>
        <w:t>0.3 c</w:t>
      </w:r>
      <w:r w:rsidRPr="005B6548">
        <w:rPr>
          <w:rFonts w:asciiTheme="majorBidi" w:hAnsiTheme="majorBidi" w:cstheme="majorBidi"/>
        </w:rPr>
        <w:t>m, as the quality of the leather was only of medium grade.</w:t>
      </w:r>
      <w:r w:rsidRPr="005B6548">
        <w:rPr>
          <w:rStyle w:val="a5"/>
          <w:rFonts w:asciiTheme="majorBidi" w:hAnsiTheme="majorBidi" w:cstheme="majorBidi"/>
        </w:rPr>
        <w:footnoteReference w:id="23"/>
      </w:r>
      <w:r>
        <w:rPr>
          <w:rFonts w:asciiTheme="majorBidi" w:hAnsiTheme="majorBidi" w:cstheme="majorBidi"/>
        </w:rPr>
        <w:t xml:space="preserve"> Therefore, the margin of error </w:t>
      </w:r>
      <w:r w:rsidR="00EA4A1A">
        <w:rPr>
          <w:rFonts w:asciiTheme="majorBidi" w:hAnsiTheme="majorBidi" w:cstheme="majorBidi"/>
        </w:rPr>
        <w:t xml:space="preserve">for </w:t>
      </w:r>
      <w:r>
        <w:rPr>
          <w:rFonts w:asciiTheme="majorBidi" w:hAnsiTheme="majorBidi" w:cstheme="majorBidi"/>
        </w:rPr>
        <w:t xml:space="preserve">d, represented by </w:t>
      </w:r>
      <m:oMath>
        <m:r>
          <w:rPr>
            <w:rFonts w:ascii="Cambria Math" w:eastAsiaTheme="minorEastAsia" w:hAnsi="Cambria Math" w:cstheme="majorBidi"/>
          </w:rPr>
          <m:t>∆d</m:t>
        </m:r>
      </m:oMath>
      <w:r>
        <w:rPr>
          <w:rFonts w:asciiTheme="majorBidi" w:eastAsiaTheme="minorEastAsia" w:hAnsiTheme="majorBidi" w:cstheme="majorBidi"/>
        </w:rPr>
        <w:t xml:space="preserve">, is </w:t>
      </w:r>
      <m:oMath>
        <m:r>
          <w:rPr>
            <w:rFonts w:ascii="Cambria Math" w:hAnsi="Cambria Math" w:cstheme="majorBidi"/>
          </w:rPr>
          <m:t>±</m:t>
        </m:r>
      </m:oMath>
      <w:r>
        <w:rPr>
          <w:rFonts w:asciiTheme="majorBidi" w:eastAsiaTheme="minorEastAsia" w:hAnsiTheme="majorBidi" w:cstheme="majorBidi"/>
        </w:rPr>
        <w:t xml:space="preserve"> 0.2 cm. </w:t>
      </w:r>
    </w:p>
    <w:p w14:paraId="27850897" w14:textId="77777777" w:rsidR="00783833" w:rsidRDefault="00783833" w:rsidP="00783833">
      <w:pPr>
        <w:bidi w:val="0"/>
        <w:spacing w:line="360" w:lineRule="auto"/>
        <w:jc w:val="both"/>
        <w:rPr>
          <w:rFonts w:ascii="Times New Roman" w:eastAsiaTheme="minorEastAsia" w:hAnsi="Times New Roman" w:cs="Times New Roman"/>
        </w:rPr>
      </w:pPr>
    </w:p>
    <w:p w14:paraId="35A745EC" w14:textId="77777777" w:rsidR="00783833" w:rsidRDefault="00783833" w:rsidP="00783833">
      <w:pPr>
        <w:bidi w:val="0"/>
        <w:spacing w:line="360" w:lineRule="auto"/>
        <w:jc w:val="both"/>
        <w:rPr>
          <w:rFonts w:ascii="Times New Roman" w:eastAsiaTheme="minorEastAsia" w:hAnsi="Times New Roman" w:cs="Times New Roman"/>
          <w:i/>
          <w:iCs/>
        </w:rPr>
      </w:pPr>
      <w:r w:rsidRPr="008B5BB1">
        <w:rPr>
          <w:rFonts w:ascii="Times New Roman" w:eastAsiaTheme="minorEastAsia" w:hAnsi="Times New Roman" w:cs="Times New Roman"/>
          <w:i/>
          <w:iCs/>
        </w:rPr>
        <w:t xml:space="preserve">Margin of Error for the Reconstruction of 4Q415 </w:t>
      </w:r>
    </w:p>
    <w:p w14:paraId="6D3249FF" w14:textId="724F835D" w:rsidR="00783833" w:rsidRPr="00213096" w:rsidRDefault="00783833" w:rsidP="00783833">
      <w:pPr>
        <w:bidi w:val="0"/>
        <w:spacing w:line="360" w:lineRule="auto"/>
        <w:jc w:val="both"/>
        <w:rPr>
          <w:rFonts w:asciiTheme="majorBidi" w:eastAsiaTheme="minorEastAsia" w:hAnsiTheme="majorBidi" w:cstheme="majorBidi"/>
        </w:rPr>
      </w:pPr>
      <w:r>
        <w:rPr>
          <w:rFonts w:asciiTheme="majorBidi" w:eastAsiaTheme="minorEastAsia" w:hAnsiTheme="majorBidi" w:cstheme="majorBidi"/>
        </w:rPr>
        <w:t xml:space="preserve">I will represent the error </w:t>
      </w:r>
      <w:r w:rsidR="00F343C4">
        <w:rPr>
          <w:rFonts w:asciiTheme="majorBidi" w:eastAsiaTheme="minorEastAsia" w:hAnsiTheme="majorBidi" w:cstheme="majorBidi"/>
        </w:rPr>
        <w:t xml:space="preserve">in positioning </w:t>
      </w:r>
      <w:r>
        <w:rPr>
          <w:rFonts w:asciiTheme="majorBidi" w:eastAsiaTheme="minorEastAsia" w:hAnsiTheme="majorBidi" w:cstheme="majorBidi"/>
        </w:rPr>
        <w:t xml:space="preserve">the </w:t>
      </w:r>
      <w:r>
        <w:rPr>
          <w:rFonts w:asciiTheme="majorBidi" w:eastAsiaTheme="minorEastAsia" w:hAnsiTheme="majorBidi" w:cstheme="majorBidi"/>
          <w:i/>
          <w:iCs/>
        </w:rPr>
        <w:t>n</w:t>
      </w:r>
      <w:r>
        <w:rPr>
          <w:rFonts w:asciiTheme="majorBidi" w:eastAsiaTheme="minorEastAsia" w:hAnsiTheme="majorBidi" w:cstheme="majorBidi"/>
        </w:rPr>
        <w:t xml:space="preserve">th fragment as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r>
          <w:rPr>
            <w:rFonts w:ascii="Cambria Math" w:eastAsiaTheme="minorEastAsia" w:hAnsi="Cambria Math" w:cstheme="majorBidi"/>
          </w:rPr>
          <m:t xml:space="preserve">. </m:t>
        </m:r>
      </m:oMath>
      <w:r>
        <w:rPr>
          <w:rFonts w:asciiTheme="majorBidi" w:eastAsiaTheme="minorEastAsia" w:hAnsiTheme="majorBidi" w:cstheme="majorBidi"/>
        </w:rPr>
        <w:t xml:space="preserve">As </w:t>
      </w:r>
      <w:r w:rsidR="00F343C4">
        <w:rPr>
          <w:rFonts w:asciiTheme="majorBidi" w:eastAsiaTheme="minorEastAsia" w:hAnsiTheme="majorBidi" w:cstheme="majorBidi"/>
        </w:rPr>
        <w:t xml:space="preserve">is </w:t>
      </w:r>
      <w:r>
        <w:rPr>
          <w:rFonts w:asciiTheme="majorBidi" w:eastAsiaTheme="minorEastAsia" w:hAnsiTheme="majorBidi" w:cstheme="majorBidi"/>
        </w:rPr>
        <w:t xml:space="preserve">customary in </w:t>
      </w:r>
      <w:r>
        <w:rPr>
          <w:rFonts w:ascii="Times New Roman" w:hAnsi="Times New Roman" w:cs="Times New Roman"/>
        </w:rPr>
        <w:t>arithmetical series</w:t>
      </w:r>
      <w:r>
        <w:rPr>
          <w:rFonts w:asciiTheme="majorBidi" w:eastAsiaTheme="minorEastAsia" w:hAnsiTheme="majorBidi" w:cstheme="majorBidi"/>
        </w:rPr>
        <w:t xml:space="preserve">,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oMath>
      <w:r>
        <w:rPr>
          <w:rFonts w:asciiTheme="majorBidi" w:eastAsiaTheme="minorEastAsia" w:hAnsiTheme="majorBidi" w:cstheme="majorBidi"/>
        </w:rPr>
        <w:t xml:space="preserve"> depends on </w:t>
      </w:r>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r>
          <w:rPr>
            <w:rFonts w:ascii="Cambria Math" w:eastAsiaTheme="minorEastAsia" w:hAnsi="Cambria Math" w:cstheme="majorBidi"/>
          </w:rPr>
          <m:t xml:space="preserve"> </m:t>
        </m:r>
        <m:r>
          <m:rPr>
            <m:sty m:val="p"/>
          </m:rPr>
          <w:rPr>
            <w:rFonts w:ascii="Cambria Math" w:eastAsiaTheme="minorEastAsia" w:hAnsi="Cambria Math" w:cstheme="majorBidi"/>
          </w:rPr>
          <m:t>and</m:t>
        </m:r>
        <m:r>
          <w:rPr>
            <w:rFonts w:ascii="Cambria Math" w:eastAsiaTheme="minorEastAsia" w:hAnsi="Cambria Math" w:cstheme="majorBidi"/>
          </w:rPr>
          <m:t xml:space="preserve"> </m:t>
        </m:r>
        <m:r>
          <w:rPr>
            <w:rFonts w:ascii="Cambria Math" w:eastAsiaTheme="minorEastAsia" w:hAnsi="Cambria Math" w:cstheme="majorBidi"/>
          </w:rPr>
          <m:t>∆d</m:t>
        </m:r>
      </m:oMath>
      <w:r w:rsidR="00F343C4">
        <w:rPr>
          <w:rFonts w:asciiTheme="majorBidi" w:eastAsiaTheme="minorEastAsia" w:hAnsiTheme="majorBidi" w:cstheme="majorBidi"/>
        </w:rPr>
        <w:t>,</w:t>
      </w:r>
      <w:r>
        <w:rPr>
          <w:rFonts w:asciiTheme="majorBidi" w:eastAsiaTheme="minorEastAsia" w:hAnsiTheme="majorBidi" w:cstheme="majorBidi"/>
        </w:rPr>
        <w:t xml:space="preserve"> as well as on </w:t>
      </w:r>
      <w:r>
        <w:rPr>
          <w:rFonts w:asciiTheme="majorBidi" w:eastAsiaTheme="minorEastAsia" w:hAnsiTheme="majorBidi" w:cstheme="majorBidi"/>
          <w:i/>
          <w:iCs/>
        </w:rPr>
        <w:t>n</w:t>
      </w:r>
      <w:r w:rsidR="000776A4" w:rsidRPr="0007733B">
        <w:rPr>
          <w:rFonts w:asciiTheme="majorBidi" w:eastAsiaTheme="minorEastAsia" w:hAnsiTheme="majorBidi" w:cstheme="majorBidi"/>
        </w:rPr>
        <w:t>:</w:t>
      </w:r>
      <w:r>
        <w:rPr>
          <w:rFonts w:asciiTheme="majorBidi" w:eastAsiaTheme="minorEastAsia" w:hAnsiTheme="majorBidi" w:cstheme="majorBidi"/>
        </w:rPr>
        <w:t xml:space="preserve"> </w:t>
      </w:r>
    </w:p>
    <w:p w14:paraId="3D4D9E9E" w14:textId="77777777" w:rsidR="00783833" w:rsidRPr="00642216" w:rsidRDefault="00783833" w:rsidP="00783833">
      <w:pPr>
        <w:spacing w:line="360" w:lineRule="auto"/>
        <w:jc w:val="center"/>
        <w:rPr>
          <w:rFonts w:asciiTheme="majorBidi" w:eastAsiaTheme="minorEastAsia" w:hAnsiTheme="majorBidi" w:cstheme="majorBidi"/>
        </w:rPr>
      </w:pPr>
      <m:oMathPara>
        <m:oMath>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S</m:t>
              </m:r>
            </m:e>
            <m:sub>
              <m:r>
                <w:rPr>
                  <w:rFonts w:ascii="Cambria Math" w:eastAsiaTheme="minorEastAsia" w:hAnsi="Cambria Math" w:cstheme="majorBidi"/>
                </w:rPr>
                <m:t>n</m:t>
              </m:r>
            </m:sub>
          </m:sSub>
          <m:r>
            <w:rPr>
              <w:rFonts w:ascii="Cambria Math" w:eastAsiaTheme="minorEastAsia" w:hAnsi="Cambria Math" w:cstheme="majorBidi"/>
            </w:rPr>
            <m:t>=</m:t>
          </m:r>
          <m:rad>
            <m:radPr>
              <m:degHide m:val="1"/>
              <m:ctrlPr>
                <w:rPr>
                  <w:rFonts w:ascii="Cambria Math" w:eastAsiaTheme="minorEastAsia" w:hAnsi="Cambria Math" w:cstheme="majorBidi"/>
                  <w:i/>
                </w:rPr>
              </m:ctrlPr>
            </m:radPr>
            <m:deg/>
            <m:e>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r>
                        <w:rPr>
                          <w:rFonts w:ascii="Cambria Math" w:eastAsiaTheme="minorEastAsia" w:hAnsi="Cambria Math" w:cstheme="majorBidi"/>
                        </w:rPr>
                        <m:t>n∆</m:t>
                      </m:r>
                      <m:sSub>
                        <m:sSubPr>
                          <m:ctrlPr>
                            <w:rPr>
                              <w:rFonts w:ascii="Cambria Math" w:eastAsiaTheme="minorEastAsia" w:hAnsi="Cambria Math" w:cstheme="majorBidi"/>
                              <w:i/>
                            </w:rPr>
                          </m:ctrlPr>
                        </m:sSubPr>
                        <m:e>
                          <m:r>
                            <w:rPr>
                              <w:rFonts w:ascii="Cambria Math" w:eastAsiaTheme="minorEastAsia" w:hAnsi="Cambria Math" w:cstheme="majorBidi"/>
                            </w:rPr>
                            <m:t>a</m:t>
                          </m:r>
                        </m:e>
                        <m:sub>
                          <m:r>
                            <w:rPr>
                              <w:rFonts w:ascii="Cambria Math" w:eastAsiaTheme="minorEastAsia" w:hAnsi="Cambria Math" w:cstheme="majorBidi"/>
                            </w:rPr>
                            <m:t>1</m:t>
                          </m:r>
                        </m:sub>
                      </m:sSub>
                    </m:e>
                  </m:d>
                </m:e>
                <m:sup>
                  <m:r>
                    <w:rPr>
                      <w:rFonts w:ascii="Cambria Math" w:eastAsiaTheme="minorEastAsia" w:hAnsi="Cambria Math" w:cstheme="majorBidi"/>
                    </w:rPr>
                    <m:t>2</m:t>
                  </m:r>
                </m:sup>
              </m:sSup>
              <m:r>
                <w:rPr>
                  <w:rFonts w:ascii="Cambria Math" w:eastAsiaTheme="minorEastAsia" w:hAnsi="Cambria Math" w:cstheme="majorBidi"/>
                </w:rPr>
                <m:t>+</m:t>
              </m:r>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n(n-1)∆d</m:t>
                          </m:r>
                        </m:num>
                        <m:den>
                          <m:r>
                            <w:rPr>
                              <w:rFonts w:ascii="Cambria Math" w:eastAsiaTheme="minorEastAsia" w:hAnsi="Cambria Math" w:cstheme="majorBidi"/>
                            </w:rPr>
                            <m:t>2</m:t>
                          </m:r>
                        </m:den>
                      </m:f>
                    </m:e>
                  </m:d>
                </m:e>
                <m:sup>
                  <m:r>
                    <w:rPr>
                      <w:rFonts w:ascii="Cambria Math" w:eastAsiaTheme="minorEastAsia" w:hAnsi="Cambria Math" w:cstheme="majorBidi"/>
                    </w:rPr>
                    <m:t>2</m:t>
                  </m:r>
                </m:sup>
              </m:sSup>
            </m:e>
          </m:rad>
        </m:oMath>
      </m:oMathPara>
    </w:p>
    <w:p w14:paraId="65CAEB4A" w14:textId="7C7D36A9" w:rsidR="00783833" w:rsidRDefault="00783833" w:rsidP="00783833">
      <w:pPr>
        <w:bidi w:val="0"/>
        <w:spacing w:line="360" w:lineRule="auto"/>
        <w:jc w:val="both"/>
        <w:rPr>
          <w:rFonts w:ascii="Times New Roman" w:eastAsiaTheme="minorEastAsia" w:hAnsi="Times New Roman" w:cs="Times New Roman"/>
        </w:rPr>
      </w:pPr>
      <w:r>
        <w:rPr>
          <w:rFonts w:ascii="Times New Roman" w:eastAsiaTheme="minorEastAsia" w:hAnsi="Times New Roman" w:cs="Times New Roman"/>
        </w:rPr>
        <w:t>The following table show</w:t>
      </w:r>
      <w:r w:rsidR="008E3334">
        <w:rPr>
          <w:rFonts w:ascii="Times New Roman" w:eastAsiaTheme="minorEastAsia" w:hAnsi="Times New Roman" w:cs="Times New Roman"/>
        </w:rPr>
        <w:t>s</w:t>
      </w:r>
      <w:r>
        <w:rPr>
          <w:rFonts w:ascii="Times New Roman" w:eastAsiaTheme="minorEastAsia" w:hAnsi="Times New Roman" w:cs="Times New Roman"/>
        </w:rPr>
        <w:t xml:space="preserve"> the reconstructed measurement of each </w:t>
      </w:r>
      <w:r w:rsidR="00A4654C">
        <w:rPr>
          <w:rFonts w:ascii="Times New Roman" w:eastAsiaTheme="minorEastAsia" w:hAnsi="Times New Roman" w:cs="Times New Roman"/>
        </w:rPr>
        <w:t xml:space="preserve">scroll </w:t>
      </w:r>
      <w:r>
        <w:rPr>
          <w:rFonts w:ascii="Times New Roman" w:eastAsiaTheme="minorEastAsia" w:hAnsi="Times New Roman" w:cs="Times New Roman"/>
        </w:rPr>
        <w:t xml:space="preserve">circumference </w:t>
      </w:r>
      <w:r w:rsidR="00A4654C">
        <w:rPr>
          <w:rFonts w:ascii="Times New Roman" w:eastAsiaTheme="minorEastAsia" w:hAnsi="Times New Roman" w:cs="Times New Roman"/>
        </w:rPr>
        <w:t>along with</w:t>
      </w:r>
      <w:r>
        <w:rPr>
          <w:rFonts w:ascii="Times New Roman" w:eastAsiaTheme="minorEastAsia" w:hAnsi="Times New Roman" w:cs="Times New Roman"/>
        </w:rPr>
        <w:t xml:space="preserve"> the respective error:</w:t>
      </w:r>
    </w:p>
    <w:p w14:paraId="34B15232" w14:textId="77777777" w:rsidR="00783833" w:rsidRDefault="00783833" w:rsidP="00783833">
      <w:pPr>
        <w:bidi w:val="0"/>
        <w:spacing w:line="360" w:lineRule="auto"/>
        <w:jc w:val="both"/>
        <w:rPr>
          <w:rFonts w:ascii="Times New Roman" w:eastAsiaTheme="minorEastAsia" w:hAnsi="Times New Roman" w:cs="Times New Roman"/>
        </w:rPr>
      </w:pPr>
    </w:p>
    <w:tbl>
      <w:tblPr>
        <w:tblStyle w:val="a7"/>
        <w:tblW w:w="0" w:type="auto"/>
        <w:tblLook w:val="04A0" w:firstRow="1" w:lastRow="0" w:firstColumn="1" w:lastColumn="0" w:noHBand="0" w:noVBand="1"/>
      </w:tblPr>
      <w:tblGrid>
        <w:gridCol w:w="2319"/>
        <w:gridCol w:w="2161"/>
        <w:gridCol w:w="2161"/>
        <w:gridCol w:w="1649"/>
      </w:tblGrid>
      <w:tr w:rsidR="00783833" w14:paraId="59FE1F0E" w14:textId="77777777" w:rsidTr="00895E53">
        <w:tc>
          <w:tcPr>
            <w:tcW w:w="2319" w:type="dxa"/>
          </w:tcPr>
          <w:p w14:paraId="11AB199D" w14:textId="77777777" w:rsidR="00783833" w:rsidRPr="001337F7" w:rsidRDefault="00783833" w:rsidP="00895E5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lastRenderedPageBreak/>
              <w:t>Circumference of the scroll</w:t>
            </w:r>
          </w:p>
        </w:tc>
        <w:tc>
          <w:tcPr>
            <w:tcW w:w="2161" w:type="dxa"/>
          </w:tcPr>
          <w:p w14:paraId="6C026084" w14:textId="77777777" w:rsidR="00783833" w:rsidRPr="001337F7" w:rsidRDefault="00783833" w:rsidP="00895E5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Distance between consecutive layers (cm)</w:t>
            </w:r>
          </w:p>
        </w:tc>
        <w:tc>
          <w:tcPr>
            <w:tcW w:w="2161" w:type="dxa"/>
          </w:tcPr>
          <w:p w14:paraId="323DA8E8" w14:textId="77777777" w:rsidR="00783833" w:rsidRPr="001337F7" w:rsidRDefault="00783833" w:rsidP="00895E5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Theoretical margin of error (cm)</w:t>
            </w:r>
          </w:p>
        </w:tc>
        <w:tc>
          <w:tcPr>
            <w:tcW w:w="1649" w:type="dxa"/>
          </w:tcPr>
          <w:p w14:paraId="028596FD" w14:textId="77777777" w:rsidR="00783833" w:rsidRPr="001337F7" w:rsidRDefault="00783833" w:rsidP="00895E53">
            <w:pPr>
              <w:bidi w:val="0"/>
              <w:spacing w:line="360" w:lineRule="auto"/>
              <w:jc w:val="center"/>
              <w:rPr>
                <w:rFonts w:ascii="Times New Roman" w:eastAsiaTheme="minorEastAsia" w:hAnsi="Times New Roman" w:cs="Times New Roman"/>
              </w:rPr>
            </w:pPr>
            <w:r w:rsidRPr="001337F7">
              <w:rPr>
                <w:rFonts w:ascii="Times New Roman" w:eastAsiaTheme="minorEastAsia" w:hAnsi="Times New Roman" w:cs="Times New Roman"/>
              </w:rPr>
              <w:t>Theoretical margin of error (%)</w:t>
            </w:r>
          </w:p>
        </w:tc>
      </w:tr>
      <w:tr w:rsidR="00783833" w14:paraId="5A190065" w14:textId="77777777" w:rsidTr="00895E53">
        <w:tc>
          <w:tcPr>
            <w:tcW w:w="2319" w:type="dxa"/>
          </w:tcPr>
          <w:p w14:paraId="04FA504E" w14:textId="77777777" w:rsidR="00783833" w:rsidRDefault="00783833" w:rsidP="00895E5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a2</w:t>
            </w:r>
          </w:p>
        </w:tc>
        <w:tc>
          <w:tcPr>
            <w:tcW w:w="2161" w:type="dxa"/>
          </w:tcPr>
          <w:p w14:paraId="11E78041" w14:textId="77777777" w:rsidR="00783833" w:rsidRDefault="00783833" w:rsidP="00895E5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10.5</w:t>
            </w:r>
          </w:p>
        </w:tc>
        <w:tc>
          <w:tcPr>
            <w:tcW w:w="2161" w:type="dxa"/>
          </w:tcPr>
          <w:p w14:paraId="792FEEC3" w14:textId="77777777" w:rsidR="00783833" w:rsidRDefault="00783833" w:rsidP="00895E5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2.6</w:t>
            </w:r>
          </w:p>
        </w:tc>
        <w:tc>
          <w:tcPr>
            <w:tcW w:w="1649" w:type="dxa"/>
          </w:tcPr>
          <w:p w14:paraId="3EE7B509" w14:textId="77777777" w:rsidR="00783833" w:rsidRDefault="00783833" w:rsidP="00895E53">
            <w:pPr>
              <w:bidi w:val="0"/>
              <w:spacing w:line="360" w:lineRule="auto"/>
              <w:jc w:val="center"/>
              <w:rPr>
                <w:rFonts w:ascii="Times New Roman" w:eastAsiaTheme="minorEastAsia" w:hAnsi="Times New Roman" w:cs="Times New Roman"/>
              </w:rPr>
            </w:pPr>
            <w:r>
              <w:rPr>
                <w:rFonts w:ascii="Times New Roman" w:eastAsiaTheme="minorEastAsia" w:hAnsi="Times New Roman" w:cs="Times New Roman"/>
              </w:rPr>
              <w:t>24</w:t>
            </w:r>
          </w:p>
        </w:tc>
      </w:tr>
    </w:tbl>
    <w:p w14:paraId="0C3112A3" w14:textId="77777777" w:rsidR="00783833" w:rsidRDefault="00783833" w:rsidP="00783833">
      <w:pPr>
        <w:bidi w:val="0"/>
        <w:spacing w:line="360" w:lineRule="auto"/>
        <w:jc w:val="center"/>
        <w:rPr>
          <w:rFonts w:ascii="Times New Roman" w:eastAsiaTheme="minorEastAsia" w:hAnsi="Times New Roman" w:cs="Times New Roman"/>
          <w:sz w:val="20"/>
          <w:szCs w:val="20"/>
        </w:rPr>
      </w:pPr>
    </w:p>
    <w:p w14:paraId="51A4B8ED" w14:textId="6AA6F81D" w:rsidR="00783833" w:rsidRPr="001337F7" w:rsidRDefault="00783833" w:rsidP="00783833">
      <w:pPr>
        <w:bidi w:val="0"/>
        <w:spacing w:line="36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Table 4: Theoretical margin of error</w:t>
      </w:r>
    </w:p>
    <w:p w14:paraId="37574167" w14:textId="77777777" w:rsidR="00783833" w:rsidRDefault="00783833" w:rsidP="00783833">
      <w:pPr>
        <w:bidi w:val="0"/>
        <w:spacing w:line="360" w:lineRule="auto"/>
        <w:jc w:val="both"/>
        <w:rPr>
          <w:rFonts w:asciiTheme="majorBidi" w:hAnsiTheme="majorBidi" w:cstheme="majorBidi"/>
          <w:color w:val="000000" w:themeColor="text1"/>
        </w:rPr>
      </w:pPr>
    </w:p>
    <w:p w14:paraId="2974D613" w14:textId="5686B906" w:rsidR="00783833" w:rsidRDefault="00783833" w:rsidP="00783833">
      <w:pPr>
        <w:bidi w:val="0"/>
        <w:spacing w:line="360" w:lineRule="auto"/>
        <w:jc w:val="both"/>
        <w:rPr>
          <w:rFonts w:asciiTheme="majorBidi" w:hAnsiTheme="majorBidi" w:cstheme="majorBidi"/>
          <w:color w:val="000000" w:themeColor="text1"/>
        </w:rPr>
      </w:pPr>
      <w:r w:rsidRPr="00DE7AE1">
        <w:rPr>
          <w:rFonts w:asciiTheme="majorBidi" w:hAnsiTheme="majorBidi" w:cstheme="majorBidi"/>
          <w:color w:val="000000" w:themeColor="text1"/>
        </w:rPr>
        <w:t xml:space="preserve">As seen </w:t>
      </w:r>
      <w:r w:rsidR="00827C8D">
        <w:rPr>
          <w:rFonts w:asciiTheme="majorBidi" w:hAnsiTheme="majorBidi" w:cstheme="majorBidi"/>
          <w:color w:val="000000" w:themeColor="text1"/>
        </w:rPr>
        <w:t xml:space="preserve">in </w:t>
      </w:r>
      <w:r>
        <w:rPr>
          <w:rFonts w:asciiTheme="majorBidi" w:hAnsiTheme="majorBidi" w:cstheme="majorBidi"/>
          <w:color w:val="000000" w:themeColor="text1"/>
        </w:rPr>
        <w:t>table 4</w:t>
      </w:r>
      <w:r w:rsidRPr="00DE7AE1">
        <w:rPr>
          <w:rFonts w:asciiTheme="majorBidi" w:hAnsiTheme="majorBidi" w:cstheme="majorBidi"/>
          <w:color w:val="000000" w:themeColor="text1"/>
        </w:rPr>
        <w:t>, the range of circumference</w:t>
      </w:r>
      <w:r w:rsidR="00770433">
        <w:rPr>
          <w:rFonts w:asciiTheme="majorBidi" w:hAnsiTheme="majorBidi" w:cstheme="majorBidi"/>
          <w:color w:val="000000" w:themeColor="text1"/>
        </w:rPr>
        <w:t>s</w:t>
      </w:r>
      <w:r w:rsidRPr="00DE7AE1">
        <w:rPr>
          <w:rFonts w:asciiTheme="majorBidi" w:hAnsiTheme="majorBidi" w:cstheme="majorBidi"/>
          <w:color w:val="000000" w:themeColor="text1"/>
        </w:rPr>
        <w:t xml:space="preserve"> for the rolls in the scroll is significant and varies between 24</w:t>
      </w:r>
      <w:r w:rsidR="00770433">
        <w:rPr>
          <w:rFonts w:asciiTheme="majorBidi" w:hAnsiTheme="majorBidi" w:cstheme="majorBidi"/>
          <w:color w:val="000000" w:themeColor="text1"/>
        </w:rPr>
        <w:t xml:space="preserve">% and </w:t>
      </w:r>
      <w:r w:rsidRPr="00DE7AE1">
        <w:rPr>
          <w:rFonts w:asciiTheme="majorBidi" w:hAnsiTheme="majorBidi" w:cstheme="majorBidi"/>
          <w:color w:val="000000" w:themeColor="text1"/>
        </w:rPr>
        <w:t xml:space="preserve">45%. In fact, this error is a maximalist evaluation. The location of the fragments fits </w:t>
      </w:r>
      <w:r w:rsidR="00770433">
        <w:rPr>
          <w:rFonts w:asciiTheme="majorBidi" w:hAnsiTheme="majorBidi" w:cstheme="majorBidi"/>
          <w:color w:val="000000" w:themeColor="text1"/>
        </w:rPr>
        <w:t>with</w:t>
      </w:r>
      <w:r w:rsidR="00770433" w:rsidRPr="00DE7AE1">
        <w:rPr>
          <w:rFonts w:asciiTheme="majorBidi" w:hAnsiTheme="majorBidi" w:cstheme="majorBidi"/>
          <w:color w:val="000000" w:themeColor="text1"/>
        </w:rPr>
        <w:t xml:space="preserve"> </w:t>
      </w:r>
      <w:r w:rsidRPr="00DE7AE1">
        <w:rPr>
          <w:rFonts w:asciiTheme="majorBidi" w:hAnsiTheme="majorBidi" w:cstheme="majorBidi"/>
          <w:color w:val="000000" w:themeColor="text1"/>
        </w:rPr>
        <w:t xml:space="preserve">the various data available to us, including the material data of the fragments and the column width estimated </w:t>
      </w:r>
      <w:r w:rsidR="00770433">
        <w:rPr>
          <w:rFonts w:asciiTheme="majorBidi" w:hAnsiTheme="majorBidi" w:cstheme="majorBidi"/>
          <w:color w:val="000000" w:themeColor="text1"/>
        </w:rPr>
        <w:t>on the basis of</w:t>
      </w:r>
      <w:r w:rsidR="00770433" w:rsidRPr="00DE7AE1">
        <w:rPr>
          <w:rFonts w:asciiTheme="majorBidi" w:hAnsiTheme="majorBidi" w:cstheme="majorBidi"/>
          <w:color w:val="000000" w:themeColor="text1"/>
        </w:rPr>
        <w:t xml:space="preserve"> </w:t>
      </w:r>
      <w:r w:rsidRPr="00DE7AE1">
        <w:rPr>
          <w:rFonts w:asciiTheme="majorBidi" w:hAnsiTheme="majorBidi" w:cstheme="majorBidi"/>
          <w:color w:val="000000" w:themeColor="text1"/>
        </w:rPr>
        <w:t xml:space="preserve">textual overlap and the verso. In addition, the material evidence </w:t>
      </w:r>
      <w:r w:rsidR="00770433">
        <w:rPr>
          <w:rFonts w:asciiTheme="majorBidi" w:hAnsiTheme="majorBidi" w:cstheme="majorBidi"/>
          <w:color w:val="000000" w:themeColor="text1"/>
        </w:rPr>
        <w:t>presented</w:t>
      </w:r>
      <w:r w:rsidR="00770433" w:rsidRPr="00DE7AE1">
        <w:rPr>
          <w:rFonts w:asciiTheme="majorBidi" w:hAnsiTheme="majorBidi" w:cstheme="majorBidi"/>
          <w:color w:val="000000" w:themeColor="text1"/>
        </w:rPr>
        <w:t xml:space="preserve"> </w:t>
      </w:r>
      <w:r w:rsidRPr="00DE7AE1">
        <w:rPr>
          <w:rFonts w:asciiTheme="majorBidi" w:hAnsiTheme="majorBidi" w:cstheme="majorBidi"/>
          <w:color w:val="000000" w:themeColor="text1"/>
        </w:rPr>
        <w:t xml:space="preserve">in </w:t>
      </w:r>
      <w:r w:rsidR="00770433">
        <w:rPr>
          <w:rFonts w:asciiTheme="majorBidi" w:hAnsiTheme="majorBidi" w:cstheme="majorBidi"/>
          <w:color w:val="000000" w:themeColor="text1"/>
        </w:rPr>
        <w:t>section</w:t>
      </w:r>
      <w:r w:rsidR="00770433" w:rsidRPr="00DE7AE1">
        <w:rPr>
          <w:rFonts w:asciiTheme="majorBidi" w:hAnsiTheme="majorBidi" w:cstheme="majorBidi"/>
          <w:color w:val="000000" w:themeColor="text1"/>
        </w:rPr>
        <w:t xml:space="preserve"> </w:t>
      </w:r>
      <w:r w:rsidRPr="00DE7AE1">
        <w:rPr>
          <w:rFonts w:asciiTheme="majorBidi" w:hAnsiTheme="majorBidi" w:cstheme="majorBidi"/>
          <w:color w:val="000000" w:themeColor="text1"/>
        </w:rPr>
        <w:t>8.</w:t>
      </w:r>
      <w:r>
        <w:rPr>
          <w:rFonts w:asciiTheme="majorBidi" w:hAnsiTheme="majorBidi" w:cstheme="majorBidi"/>
          <w:color w:val="000000" w:themeColor="text1"/>
        </w:rPr>
        <w:t>4</w:t>
      </w:r>
      <w:r w:rsidRPr="00DE7AE1">
        <w:rPr>
          <w:rFonts w:asciiTheme="majorBidi" w:hAnsiTheme="majorBidi" w:cstheme="majorBidi"/>
          <w:color w:val="000000" w:themeColor="text1"/>
        </w:rPr>
        <w:t xml:space="preserve"> should probably narrow down the margin of error and </w:t>
      </w:r>
      <w:r w:rsidR="00770433">
        <w:rPr>
          <w:rFonts w:asciiTheme="majorBidi" w:hAnsiTheme="majorBidi" w:cstheme="majorBidi"/>
          <w:color w:val="000000" w:themeColor="text1"/>
        </w:rPr>
        <w:t xml:space="preserve">further support </w:t>
      </w:r>
      <w:r w:rsidRPr="00DE7AE1">
        <w:rPr>
          <w:rFonts w:asciiTheme="majorBidi" w:hAnsiTheme="majorBidi" w:cstheme="majorBidi"/>
          <w:color w:val="000000" w:themeColor="text1"/>
        </w:rPr>
        <w:t xml:space="preserve">the </w:t>
      </w:r>
      <w:r w:rsidR="00770433">
        <w:rPr>
          <w:rFonts w:asciiTheme="majorBidi" w:hAnsiTheme="majorBidi" w:cstheme="majorBidi"/>
          <w:color w:val="000000" w:themeColor="text1"/>
        </w:rPr>
        <w:t xml:space="preserve">proposed </w:t>
      </w:r>
      <w:r w:rsidRPr="00DE7AE1">
        <w:rPr>
          <w:rFonts w:asciiTheme="majorBidi" w:hAnsiTheme="majorBidi" w:cstheme="majorBidi"/>
          <w:color w:val="000000" w:themeColor="text1"/>
        </w:rPr>
        <w:t xml:space="preserve">reconstruction. Note, however, that the order of the fragments does not depend on the distances between them </w:t>
      </w:r>
      <w:r w:rsidR="00770433">
        <w:rPr>
          <w:rFonts w:asciiTheme="majorBidi" w:hAnsiTheme="majorBidi" w:cstheme="majorBidi"/>
          <w:color w:val="000000" w:themeColor="text1"/>
        </w:rPr>
        <w:t>or</w:t>
      </w:r>
      <w:r w:rsidR="00770433" w:rsidRPr="00DE7AE1">
        <w:rPr>
          <w:rFonts w:asciiTheme="majorBidi" w:hAnsiTheme="majorBidi" w:cstheme="majorBidi"/>
          <w:color w:val="000000" w:themeColor="text1"/>
        </w:rPr>
        <w:t xml:space="preserve"> </w:t>
      </w:r>
      <w:r w:rsidRPr="00DE7AE1">
        <w:rPr>
          <w:rFonts w:asciiTheme="majorBidi" w:hAnsiTheme="majorBidi" w:cstheme="majorBidi"/>
          <w:color w:val="000000" w:themeColor="text1"/>
        </w:rPr>
        <w:t xml:space="preserve">on the margin of error calculated above. </w:t>
      </w:r>
    </w:p>
    <w:p w14:paraId="02455F96" w14:textId="0BC15E12" w:rsidR="00783833" w:rsidRPr="00BE7A4F" w:rsidRDefault="00783833" w:rsidP="00783833">
      <w:pPr>
        <w:bidi w:val="0"/>
        <w:spacing w:line="360" w:lineRule="auto"/>
        <w:ind w:firstLine="720"/>
        <w:jc w:val="both"/>
        <w:rPr>
          <w:rFonts w:asciiTheme="majorBidi" w:hAnsiTheme="majorBidi" w:cstheme="majorBidi"/>
          <w:color w:val="000000" w:themeColor="text1"/>
          <w:rtl/>
        </w:rPr>
      </w:pPr>
      <w:r>
        <w:rPr>
          <w:rFonts w:asciiTheme="majorBidi" w:hAnsiTheme="majorBidi" w:cstheme="majorBidi"/>
          <w:color w:val="000000" w:themeColor="text1"/>
        </w:rPr>
        <w:t xml:space="preserve">In addition, the fact that the material reconstruction suggested here is in line with the material reconstruction of 4Q418a may also narrow the range calculated above. According to the </w:t>
      </w:r>
      <w:r w:rsidR="00770433">
        <w:rPr>
          <w:rFonts w:asciiTheme="majorBidi" w:hAnsiTheme="majorBidi" w:cstheme="majorBidi"/>
          <w:color w:val="000000" w:themeColor="text1"/>
        </w:rPr>
        <w:t xml:space="preserve">proposed </w:t>
      </w:r>
      <w:r>
        <w:rPr>
          <w:rFonts w:asciiTheme="majorBidi" w:hAnsiTheme="majorBidi" w:cstheme="majorBidi"/>
          <w:color w:val="000000" w:themeColor="text1"/>
        </w:rPr>
        <w:t xml:space="preserve">reconstruction, the text of 4Q415 fits well </w:t>
      </w:r>
      <w:r w:rsidR="00770433">
        <w:rPr>
          <w:rFonts w:asciiTheme="majorBidi" w:hAnsiTheme="majorBidi" w:cstheme="majorBidi"/>
          <w:color w:val="000000" w:themeColor="text1"/>
        </w:rPr>
        <w:t xml:space="preserve">with </w:t>
      </w:r>
      <w:r>
        <w:rPr>
          <w:rFonts w:asciiTheme="majorBidi" w:hAnsiTheme="majorBidi" w:cstheme="majorBidi"/>
          <w:color w:val="000000" w:themeColor="text1"/>
        </w:rPr>
        <w:t xml:space="preserve">the skeleton of </w:t>
      </w:r>
      <w:r>
        <w:rPr>
          <w:rFonts w:asciiTheme="majorBidi" w:hAnsiTheme="majorBidi" w:cstheme="majorBidi"/>
          <w:i/>
          <w:iCs/>
          <w:color w:val="000000" w:themeColor="text1"/>
        </w:rPr>
        <w:t>Instruction</w:t>
      </w:r>
      <w:r>
        <w:rPr>
          <w:rFonts w:asciiTheme="majorBidi" w:hAnsiTheme="majorBidi" w:cstheme="majorBidi"/>
          <w:color w:val="000000" w:themeColor="text1"/>
        </w:rPr>
        <w:t xml:space="preserve"> suggested in the reconstruction of 4Q418a. Hopefully, a future </w:t>
      </w:r>
      <w:r w:rsidR="00770433">
        <w:rPr>
          <w:rFonts w:asciiTheme="majorBidi" w:hAnsiTheme="majorBidi" w:cstheme="majorBidi"/>
          <w:color w:val="000000" w:themeColor="text1"/>
        </w:rPr>
        <w:t xml:space="preserve">study of additional </w:t>
      </w:r>
      <w:r>
        <w:rPr>
          <w:rFonts w:asciiTheme="majorBidi" w:hAnsiTheme="majorBidi" w:cstheme="majorBidi"/>
          <w:color w:val="000000" w:themeColor="text1"/>
        </w:rPr>
        <w:t xml:space="preserve">copies of </w:t>
      </w:r>
      <w:r>
        <w:rPr>
          <w:rFonts w:asciiTheme="majorBidi" w:hAnsiTheme="majorBidi" w:cstheme="majorBidi"/>
          <w:i/>
          <w:iCs/>
          <w:color w:val="000000" w:themeColor="text1"/>
        </w:rPr>
        <w:t>Instruction</w:t>
      </w:r>
      <w:r>
        <w:rPr>
          <w:rFonts w:asciiTheme="majorBidi" w:hAnsiTheme="majorBidi" w:cstheme="majorBidi"/>
          <w:color w:val="000000" w:themeColor="text1"/>
        </w:rPr>
        <w:t xml:space="preserve"> will </w:t>
      </w:r>
      <w:r w:rsidR="00770433">
        <w:rPr>
          <w:rFonts w:asciiTheme="majorBidi" w:hAnsiTheme="majorBidi" w:cstheme="majorBidi"/>
          <w:color w:val="000000" w:themeColor="text1"/>
        </w:rPr>
        <w:t xml:space="preserve">further </w:t>
      </w:r>
      <w:r>
        <w:rPr>
          <w:rFonts w:asciiTheme="majorBidi" w:hAnsiTheme="majorBidi" w:cstheme="majorBidi"/>
          <w:color w:val="000000" w:themeColor="text1"/>
        </w:rPr>
        <w:t xml:space="preserve">reduce this range. </w:t>
      </w:r>
    </w:p>
    <w:p w14:paraId="3A70B850" w14:textId="77777777" w:rsidR="00783833" w:rsidRPr="0038517E" w:rsidRDefault="00783833" w:rsidP="00783833">
      <w:pPr>
        <w:bidi w:val="0"/>
        <w:spacing w:line="360" w:lineRule="auto"/>
        <w:jc w:val="both"/>
        <w:rPr>
          <w:rFonts w:ascii="Times New Roman" w:hAnsi="Times New Roman" w:cs="Times New Roman"/>
          <w:rtl/>
        </w:rPr>
      </w:pPr>
    </w:p>
    <w:p w14:paraId="115B9F19" w14:textId="77777777" w:rsidR="00783833" w:rsidRPr="00B92822" w:rsidRDefault="00783833" w:rsidP="00783833">
      <w:pPr>
        <w:bidi w:val="0"/>
        <w:spacing w:line="360" w:lineRule="auto"/>
        <w:jc w:val="both"/>
        <w:rPr>
          <w:rFonts w:ascii="Times New Roman" w:hAnsi="Times New Roman" w:cs="Times New Roman"/>
          <w:b/>
          <w:bCs/>
        </w:rPr>
      </w:pPr>
      <w:r w:rsidRPr="00B92822">
        <w:rPr>
          <w:rFonts w:ascii="Times New Roman" w:hAnsi="Times New Roman" w:cs="Times New Roman"/>
          <w:b/>
          <w:bCs/>
        </w:rPr>
        <w:t>9</w:t>
      </w:r>
      <w:r w:rsidRPr="00B92822">
        <w:rPr>
          <w:rFonts w:ascii="Times New Roman" w:hAnsi="Times New Roman" w:cs="Times New Roman"/>
          <w:b/>
          <w:bCs/>
        </w:rPr>
        <w:tab/>
        <w:t>Summary</w:t>
      </w:r>
    </w:p>
    <w:p w14:paraId="02F337E2" w14:textId="1C901E59" w:rsidR="00783833" w:rsidRDefault="00783833">
      <w:pPr>
        <w:bidi w:val="0"/>
        <w:spacing w:line="360" w:lineRule="auto"/>
        <w:jc w:val="both"/>
        <w:rPr>
          <w:rFonts w:ascii="Times New Roman" w:hAnsi="Times New Roman" w:cs="Times New Roman"/>
        </w:rPr>
      </w:pPr>
      <w:r>
        <w:rPr>
          <w:rFonts w:ascii="Times New Roman" w:hAnsi="Times New Roman" w:cs="Times New Roman"/>
        </w:rPr>
        <w:t>I have proposed a reconstruction of 4Q415 that include</w:t>
      </w:r>
      <w:r w:rsidR="00847905">
        <w:rPr>
          <w:rFonts w:ascii="Times New Roman" w:hAnsi="Times New Roman" w:cs="Times New Roman"/>
        </w:rPr>
        <w:t>s</w:t>
      </w:r>
      <w:r>
        <w:rPr>
          <w:rFonts w:ascii="Times New Roman" w:hAnsi="Times New Roman" w:cs="Times New Roman"/>
        </w:rPr>
        <w:t xml:space="preserve"> approximately </w:t>
      </w:r>
      <w:r w:rsidR="00847905">
        <w:rPr>
          <w:rFonts w:ascii="Times New Roman" w:hAnsi="Times New Roman" w:cs="Times New Roman"/>
        </w:rPr>
        <w:t>one</w:t>
      </w:r>
      <w:r>
        <w:rPr>
          <w:rFonts w:ascii="Times New Roman" w:hAnsi="Times New Roman" w:cs="Times New Roman"/>
        </w:rPr>
        <w:t xml:space="preserve"> quarter of the fragments of the scroll. This reconstruction supports </w:t>
      </w:r>
      <w:r w:rsidR="00847905">
        <w:rPr>
          <w:rFonts w:ascii="Times New Roman" w:hAnsi="Times New Roman" w:cs="Times New Roman"/>
        </w:rPr>
        <w:t xml:space="preserve">and further develops </w:t>
      </w:r>
      <w:r>
        <w:rPr>
          <w:rFonts w:ascii="Times New Roman" w:hAnsi="Times New Roman" w:cs="Times New Roman"/>
        </w:rPr>
        <w:t xml:space="preserve">the suggestion that several fragments of the scroll were wadded in the rolled scroll. I </w:t>
      </w:r>
      <w:r w:rsidR="00847905">
        <w:rPr>
          <w:rFonts w:ascii="Times New Roman" w:hAnsi="Times New Roman" w:cs="Times New Roman"/>
        </w:rPr>
        <w:t xml:space="preserve">have </w:t>
      </w:r>
      <w:r>
        <w:rPr>
          <w:rFonts w:ascii="Times New Roman" w:hAnsi="Times New Roman" w:cs="Times New Roman"/>
        </w:rPr>
        <w:t>demonstrate</w:t>
      </w:r>
      <w:r w:rsidR="00847905">
        <w:rPr>
          <w:rFonts w:ascii="Times New Roman" w:hAnsi="Times New Roman" w:cs="Times New Roman"/>
        </w:rPr>
        <w:t>d</w:t>
      </w:r>
      <w:r>
        <w:rPr>
          <w:rFonts w:ascii="Times New Roman" w:hAnsi="Times New Roman" w:cs="Times New Roman"/>
        </w:rPr>
        <w:t xml:space="preserve"> the possibility </w:t>
      </w:r>
      <w:r w:rsidR="00847905">
        <w:rPr>
          <w:rFonts w:ascii="Times New Roman" w:hAnsi="Times New Roman" w:cs="Times New Roman"/>
        </w:rPr>
        <w:t>of placing</w:t>
      </w:r>
      <w:r>
        <w:rPr>
          <w:rFonts w:ascii="Times New Roman" w:hAnsi="Times New Roman" w:cs="Times New Roman"/>
        </w:rPr>
        <w:t xml:space="preserve"> the fragments in 7 consecutive layers, and </w:t>
      </w:r>
      <w:r w:rsidR="00847905">
        <w:rPr>
          <w:rFonts w:ascii="Times New Roman" w:hAnsi="Times New Roman" w:cs="Times New Roman"/>
        </w:rPr>
        <w:t xml:space="preserve">I have </w:t>
      </w:r>
      <w:r>
        <w:rPr>
          <w:rFonts w:ascii="Times New Roman" w:hAnsi="Times New Roman" w:cs="Times New Roman"/>
        </w:rPr>
        <w:t xml:space="preserve">arranged them in a digital canvas. The material evidence </w:t>
      </w:r>
      <w:r w:rsidR="00847905">
        <w:rPr>
          <w:rFonts w:ascii="Times New Roman" w:hAnsi="Times New Roman" w:cs="Times New Roman"/>
        </w:rPr>
        <w:t>supported</w:t>
      </w:r>
      <w:r>
        <w:rPr>
          <w:rFonts w:ascii="Times New Roman" w:hAnsi="Times New Roman" w:cs="Times New Roman"/>
        </w:rPr>
        <w:t xml:space="preserve"> new joins, and consequently new readings. Despite the large theoretical margin of error, the reconstruction shed</w:t>
      </w:r>
      <w:r w:rsidR="00847905">
        <w:rPr>
          <w:rFonts w:ascii="Times New Roman" w:hAnsi="Times New Roman" w:cs="Times New Roman"/>
        </w:rPr>
        <w:t>s</w:t>
      </w:r>
      <w:r>
        <w:rPr>
          <w:rFonts w:ascii="Times New Roman" w:hAnsi="Times New Roman" w:cs="Times New Roman"/>
        </w:rPr>
        <w:t xml:space="preserve"> new light on the sequence of the fragments and on the arrangement of the main text of the scroll. </w:t>
      </w:r>
      <w:r w:rsidR="00847905">
        <w:rPr>
          <w:rFonts w:ascii="Times New Roman" w:hAnsi="Times New Roman" w:cs="Times New Roman"/>
        </w:rPr>
        <w:t>I</w:t>
      </w:r>
      <w:r>
        <w:rPr>
          <w:rFonts w:ascii="Times New Roman" w:hAnsi="Times New Roman" w:cs="Times New Roman"/>
        </w:rPr>
        <w:t xml:space="preserve">t </w:t>
      </w:r>
      <w:r w:rsidR="00847905">
        <w:rPr>
          <w:rFonts w:ascii="Times New Roman" w:hAnsi="Times New Roman" w:cs="Times New Roman"/>
        </w:rPr>
        <w:t xml:space="preserve">thus </w:t>
      </w:r>
      <w:r>
        <w:rPr>
          <w:rFonts w:ascii="Times New Roman" w:hAnsi="Times New Roman" w:cs="Times New Roman"/>
        </w:rPr>
        <w:t xml:space="preserve">establishes a better understanding of this fragmentary copy of </w:t>
      </w:r>
      <w:r w:rsidRPr="00057C89">
        <w:rPr>
          <w:rFonts w:ascii="Times New Roman" w:hAnsi="Times New Roman" w:cs="Times New Roman"/>
          <w:i/>
          <w:iCs/>
        </w:rPr>
        <w:t>Instruction</w:t>
      </w:r>
      <w:r>
        <w:rPr>
          <w:rFonts w:ascii="Times New Roman" w:hAnsi="Times New Roman" w:cs="Times New Roman"/>
        </w:rPr>
        <w:t>, a</w:t>
      </w:r>
      <w:r w:rsidRPr="00057C89">
        <w:rPr>
          <w:rFonts w:ascii="Times New Roman" w:hAnsi="Times New Roman" w:cs="Times New Roman"/>
        </w:rPr>
        <w:t xml:space="preserve">nd </w:t>
      </w:r>
      <w:r w:rsidR="00847905">
        <w:rPr>
          <w:rFonts w:ascii="Times New Roman" w:hAnsi="Times New Roman" w:cs="Times New Roman"/>
        </w:rPr>
        <w:t xml:space="preserve">it </w:t>
      </w:r>
      <w:r w:rsidRPr="00057C89">
        <w:rPr>
          <w:rFonts w:ascii="Times New Roman" w:hAnsi="Times New Roman" w:cs="Times New Roman"/>
        </w:rPr>
        <w:t xml:space="preserve">hopefully </w:t>
      </w:r>
      <w:r>
        <w:rPr>
          <w:rFonts w:ascii="Times New Roman" w:hAnsi="Times New Roman" w:cs="Times New Roman"/>
        </w:rPr>
        <w:t xml:space="preserve">will </w:t>
      </w:r>
      <w:r w:rsidRPr="00057C89">
        <w:rPr>
          <w:rFonts w:ascii="Times New Roman" w:hAnsi="Times New Roman" w:cs="Times New Roman"/>
        </w:rPr>
        <w:t xml:space="preserve">serve as </w:t>
      </w:r>
      <w:r w:rsidR="004552FF">
        <w:rPr>
          <w:rFonts w:ascii="Times New Roman" w:hAnsi="Times New Roman" w:cs="Times New Roman"/>
        </w:rPr>
        <w:t xml:space="preserve">a </w:t>
      </w:r>
      <w:r>
        <w:rPr>
          <w:rFonts w:ascii="Times New Roman" w:hAnsi="Times New Roman" w:cs="Times New Roman"/>
        </w:rPr>
        <w:t>further</w:t>
      </w:r>
      <w:r w:rsidRPr="00057C89">
        <w:rPr>
          <w:rFonts w:ascii="Times New Roman" w:hAnsi="Times New Roman" w:cs="Times New Roman"/>
        </w:rPr>
        <w:t xml:space="preserve"> milestone in the study of this enigmatic </w:t>
      </w:r>
      <w:r>
        <w:rPr>
          <w:rFonts w:ascii="Times New Roman" w:hAnsi="Times New Roman" w:cs="Times New Roman"/>
        </w:rPr>
        <w:t xml:space="preserve">composition. </w:t>
      </w:r>
    </w:p>
    <w:p w14:paraId="47B39C9D" w14:textId="77777777" w:rsidR="00783833" w:rsidRDefault="00783833" w:rsidP="00783833">
      <w:pPr>
        <w:bidi w:val="0"/>
        <w:spacing w:line="360" w:lineRule="auto"/>
        <w:jc w:val="both"/>
        <w:rPr>
          <w:rFonts w:ascii="Times New Roman" w:hAnsi="Times New Roman" w:cs="Times New Roman"/>
        </w:rPr>
      </w:pPr>
    </w:p>
    <w:p w14:paraId="508BFFC3" w14:textId="77777777" w:rsidR="00783833" w:rsidRDefault="00783833" w:rsidP="00783833">
      <w:pPr>
        <w:bidi w:val="0"/>
        <w:spacing w:line="360" w:lineRule="auto"/>
        <w:jc w:val="both"/>
        <w:rPr>
          <w:rFonts w:asciiTheme="majorBidi" w:hAnsiTheme="majorBidi" w:cstheme="majorBidi"/>
        </w:rPr>
      </w:pPr>
    </w:p>
    <w:p w14:paraId="25DFCCAF" w14:textId="77777777" w:rsidR="00783833" w:rsidRPr="003659CC" w:rsidRDefault="00783833" w:rsidP="00783833">
      <w:pPr>
        <w:tabs>
          <w:tab w:val="left" w:pos="1134"/>
          <w:tab w:val="left" w:pos="4253"/>
        </w:tabs>
        <w:bidi w:val="0"/>
        <w:spacing w:line="360" w:lineRule="auto"/>
        <w:jc w:val="both"/>
        <w:rPr>
          <w:rFonts w:asciiTheme="majorBidi" w:hAnsiTheme="majorBidi" w:cstheme="majorBidi"/>
        </w:rPr>
      </w:pPr>
    </w:p>
    <w:sectPr w:rsidR="00783833" w:rsidRPr="003659CC" w:rsidSect="00FC4E52">
      <w:pgSz w:w="11900" w:h="16840"/>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uthor" w:initials="A">
    <w:p w14:paraId="2008F426" w14:textId="6764BCAC" w:rsidR="00895E53" w:rsidRDefault="00895E53" w:rsidP="00513E2C">
      <w:pPr>
        <w:pStyle w:val="a9"/>
        <w:bidi w:val="0"/>
      </w:pPr>
      <w:bookmarkStart w:id="2" w:name="_GoBack"/>
      <w:bookmarkEnd w:id="2"/>
      <w:r>
        <w:rPr>
          <w:rStyle w:val="a8"/>
        </w:rPr>
        <w:annotationRef/>
      </w:r>
      <w:r>
        <w:t>Unclear: do you mean ‘additional’?</w:t>
      </w:r>
    </w:p>
  </w:comment>
  <w:comment w:id="1" w:author="יהונתן דיפני" w:date="2020-03-03T14:49:00Z" w:initials="יד">
    <w:p w14:paraId="127ACF97" w14:textId="3D88AF10" w:rsidR="00513E2C" w:rsidRDefault="00513E2C">
      <w:pPr>
        <w:pStyle w:val="a9"/>
        <w:rPr>
          <w:rFonts w:hint="cs"/>
        </w:rPr>
      </w:pPr>
      <w:r>
        <w:rPr>
          <w:rStyle w:val="a8"/>
        </w:rPr>
        <w:annotationRef/>
      </w:r>
      <w:r>
        <w:rPr>
          <w:rFonts w:hint="cs"/>
          <w:rtl/>
        </w:rPr>
        <w:t>הכוונה היא שיש חלק שמדבר על ענייני צאן, והוא בערך בהיקף של עמודה אחת במגילה.</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08F426" w15:done="0"/>
  <w15:commentEx w15:paraId="127ACF97" w15:paraIdParent="2008F42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1F93B2" w16cid:durableId="220223CB"/>
  <w16cid:commentId w16cid:paraId="5B823A46" w16cid:durableId="2202267F"/>
  <w16cid:commentId w16cid:paraId="654E5A61" w16cid:durableId="220227B8"/>
  <w16cid:commentId w16cid:paraId="00FB3BC4" w16cid:durableId="2202310F"/>
  <w16cid:commentId w16cid:paraId="57EF957B" w16cid:durableId="22023401"/>
  <w16cid:commentId w16cid:paraId="2008F426" w16cid:durableId="22023EC7"/>
  <w16cid:commentId w16cid:paraId="6249AD00" w16cid:durableId="2202435D"/>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B681F" w14:textId="77777777" w:rsidR="00841A0D" w:rsidRDefault="00841A0D" w:rsidP="00783833">
      <w:r>
        <w:separator/>
      </w:r>
    </w:p>
  </w:endnote>
  <w:endnote w:type="continuationSeparator" w:id="0">
    <w:p w14:paraId="3CC21024" w14:textId="77777777" w:rsidR="00841A0D" w:rsidRDefault="00841A0D" w:rsidP="00783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SBL Hebrew">
    <w:panose1 w:val="02000000000000000000"/>
    <w:charset w:val="B1"/>
    <w:family w:val="auto"/>
    <w:pitch w:val="variable"/>
    <w:sig w:usb0="8000086F" w:usb1="4000204A" w:usb2="00000000" w:usb3="00000000" w:csb0="0000002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BL BibLit">
    <w:altName w:val="Times New Roman"/>
    <w:charset w:val="00"/>
    <w:family w:val="auto"/>
    <w:pitch w:val="variable"/>
    <w:sig w:usb0="00000000" w:usb1="5201E0EB" w:usb2="02000020" w:usb3="00000000" w:csb0="000000BB"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1A54A" w14:textId="77777777" w:rsidR="00841A0D" w:rsidRDefault="00841A0D" w:rsidP="00783833">
      <w:r>
        <w:separator/>
      </w:r>
    </w:p>
  </w:footnote>
  <w:footnote w:type="continuationSeparator" w:id="0">
    <w:p w14:paraId="00769EE7" w14:textId="77777777" w:rsidR="00841A0D" w:rsidRDefault="00841A0D" w:rsidP="00783833">
      <w:r>
        <w:continuationSeparator/>
      </w:r>
    </w:p>
  </w:footnote>
  <w:footnote w:id="1">
    <w:p w14:paraId="3614FCC3" w14:textId="3040BCCB" w:rsidR="00895E53" w:rsidRPr="00A71A38" w:rsidRDefault="00895E53" w:rsidP="00783833">
      <w:pPr>
        <w:pStyle w:val="a3"/>
        <w:bidi w:val="0"/>
        <w:jc w:val="both"/>
        <w:rPr>
          <w:rFonts w:asciiTheme="majorBidi" w:hAnsiTheme="majorBidi" w:cstheme="majorBidi"/>
          <w:i/>
          <w:iCs/>
          <w:sz w:val="20"/>
          <w:szCs w:val="20"/>
        </w:rPr>
      </w:pPr>
      <w:r w:rsidRPr="0043476B">
        <w:rPr>
          <w:rFonts w:asciiTheme="majorBidi" w:hAnsiTheme="majorBidi" w:cstheme="majorBidi"/>
          <w:vertAlign w:val="superscript"/>
        </w:rPr>
        <w:footnoteRef/>
      </w:r>
      <w:r w:rsidRPr="0043476B">
        <w:rPr>
          <w:rFonts w:asciiTheme="majorBidi" w:hAnsiTheme="majorBidi" w:cstheme="majorBidi"/>
          <w:vertAlign w:val="superscript"/>
          <w:rtl/>
        </w:rPr>
        <w:t xml:space="preserve"> </w:t>
      </w:r>
      <w:r w:rsidRPr="00A71A38">
        <w:rPr>
          <w:rFonts w:asciiTheme="majorBidi" w:hAnsiTheme="majorBidi" w:cstheme="majorBidi"/>
          <w:sz w:val="20"/>
          <w:szCs w:val="20"/>
        </w:rPr>
        <w:t xml:space="preserve">The exact number of copies of </w:t>
      </w:r>
      <w:r w:rsidRPr="00A71A38">
        <w:rPr>
          <w:rFonts w:asciiTheme="majorBidi" w:hAnsiTheme="majorBidi" w:cstheme="majorBidi"/>
          <w:i/>
          <w:iCs/>
          <w:sz w:val="20"/>
          <w:szCs w:val="20"/>
        </w:rPr>
        <w:t>Instruction</w:t>
      </w:r>
      <w:r w:rsidRPr="00A71A38">
        <w:rPr>
          <w:rFonts w:asciiTheme="majorBidi" w:hAnsiTheme="majorBidi" w:cstheme="majorBidi"/>
          <w:sz w:val="20"/>
          <w:szCs w:val="20"/>
        </w:rPr>
        <w:t xml:space="preserve"> is still be</w:t>
      </w:r>
      <w:r>
        <w:rPr>
          <w:rFonts w:asciiTheme="majorBidi" w:hAnsiTheme="majorBidi" w:cstheme="majorBidi"/>
          <w:sz w:val="20"/>
          <w:szCs w:val="20"/>
        </w:rPr>
        <w:t>ing</w:t>
      </w:r>
      <w:r w:rsidRPr="00A71A38">
        <w:rPr>
          <w:rFonts w:asciiTheme="majorBidi" w:hAnsiTheme="majorBidi" w:cstheme="majorBidi"/>
          <w:sz w:val="20"/>
          <w:szCs w:val="20"/>
        </w:rPr>
        <w:t xml:space="preserve"> discussed among scholars. </w:t>
      </w:r>
      <w:proofErr w:type="spellStart"/>
      <w:r w:rsidRPr="00A71A38">
        <w:rPr>
          <w:rFonts w:asciiTheme="majorBidi" w:hAnsiTheme="majorBidi" w:cstheme="majorBidi"/>
          <w:sz w:val="20"/>
          <w:szCs w:val="20"/>
        </w:rPr>
        <w:t>Elgvin</w:t>
      </w:r>
      <w:proofErr w:type="spellEnd"/>
      <w:r w:rsidRPr="00A71A38">
        <w:rPr>
          <w:rFonts w:asciiTheme="majorBidi" w:hAnsiTheme="majorBidi" w:cstheme="majorBidi"/>
          <w:sz w:val="20"/>
          <w:szCs w:val="20"/>
        </w:rPr>
        <w:t xml:space="preserve">,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19–23</w:t>
      </w:r>
      <w:r>
        <w:rPr>
          <w:rFonts w:asciiTheme="majorBidi" w:hAnsiTheme="majorBidi" w:cstheme="majorBidi"/>
          <w:sz w:val="20"/>
          <w:szCs w:val="20"/>
        </w:rPr>
        <w:t>,</w:t>
      </w:r>
      <w:r w:rsidRPr="00A71A38">
        <w:rPr>
          <w:rFonts w:asciiTheme="majorBidi" w:hAnsiTheme="majorBidi" w:cstheme="majorBidi"/>
          <w:sz w:val="20"/>
          <w:szCs w:val="20"/>
        </w:rPr>
        <w:t xml:space="preserve"> was the first to note that not all </w:t>
      </w:r>
      <w:r>
        <w:rPr>
          <w:rFonts w:asciiTheme="majorBidi" w:hAnsiTheme="majorBidi" w:cstheme="majorBidi"/>
          <w:sz w:val="20"/>
          <w:szCs w:val="20"/>
        </w:rPr>
        <w:t xml:space="preserve">of </w:t>
      </w:r>
      <w:r w:rsidRPr="00A71A38">
        <w:rPr>
          <w:rFonts w:asciiTheme="majorBidi" w:hAnsiTheme="majorBidi" w:cstheme="majorBidi"/>
          <w:sz w:val="20"/>
          <w:szCs w:val="20"/>
        </w:rPr>
        <w:t xml:space="preserve">the fragments originally identified with 4Q418 belong to this copy. Over the years, </w:t>
      </w:r>
      <w:r>
        <w:rPr>
          <w:rFonts w:asciiTheme="majorBidi" w:hAnsiTheme="majorBidi" w:cstheme="majorBidi"/>
          <w:sz w:val="20"/>
          <w:szCs w:val="20"/>
        </w:rPr>
        <w:t>other</w:t>
      </w:r>
      <w:r w:rsidRPr="00A71A38">
        <w:rPr>
          <w:rFonts w:asciiTheme="majorBidi" w:hAnsiTheme="majorBidi" w:cstheme="majorBidi"/>
          <w:sz w:val="20"/>
          <w:szCs w:val="20"/>
        </w:rPr>
        <w:t xml:space="preserve"> </w:t>
      </w:r>
      <w:r w:rsidRPr="00A71A38">
        <w:rPr>
          <w:rFonts w:asciiTheme="majorBidi" w:hAnsiTheme="majorBidi" w:cstheme="majorBidi"/>
          <w:sz w:val="20"/>
          <w:szCs w:val="20"/>
        </w:rPr>
        <w:t xml:space="preserve">scholars </w:t>
      </w:r>
      <w:r>
        <w:rPr>
          <w:rFonts w:asciiTheme="majorBidi" w:hAnsiTheme="majorBidi" w:cstheme="majorBidi"/>
          <w:sz w:val="20"/>
          <w:szCs w:val="20"/>
        </w:rPr>
        <w:t xml:space="preserve">have </w:t>
      </w:r>
      <w:r w:rsidRPr="00A71A38">
        <w:rPr>
          <w:rFonts w:asciiTheme="majorBidi" w:hAnsiTheme="majorBidi" w:cstheme="majorBidi"/>
          <w:sz w:val="20"/>
          <w:szCs w:val="20"/>
        </w:rPr>
        <w:t xml:space="preserve">suggested </w:t>
      </w:r>
      <w:r>
        <w:rPr>
          <w:rFonts w:asciiTheme="majorBidi" w:hAnsiTheme="majorBidi" w:cstheme="majorBidi"/>
          <w:sz w:val="20"/>
          <w:szCs w:val="20"/>
        </w:rPr>
        <w:t>separating</w:t>
      </w:r>
      <w:r w:rsidRPr="00A71A38">
        <w:rPr>
          <w:rFonts w:asciiTheme="majorBidi" w:hAnsiTheme="majorBidi" w:cstheme="majorBidi"/>
          <w:sz w:val="20"/>
          <w:szCs w:val="20"/>
        </w:rPr>
        <w:t xml:space="preserve"> </w:t>
      </w:r>
      <w:r>
        <w:rPr>
          <w:rFonts w:asciiTheme="majorBidi" w:hAnsiTheme="majorBidi" w:cstheme="majorBidi"/>
          <w:sz w:val="20"/>
          <w:szCs w:val="20"/>
        </w:rPr>
        <w:t>fragment</w:t>
      </w:r>
      <w:r w:rsidRPr="00A71A38">
        <w:rPr>
          <w:rFonts w:asciiTheme="majorBidi" w:hAnsiTheme="majorBidi" w:cstheme="majorBidi"/>
          <w:sz w:val="20"/>
          <w:szCs w:val="20"/>
        </w:rPr>
        <w:t xml:space="preserve">s from 4Q418 and </w:t>
      </w:r>
      <w:r>
        <w:rPr>
          <w:rFonts w:asciiTheme="majorBidi" w:hAnsiTheme="majorBidi" w:cstheme="majorBidi"/>
          <w:sz w:val="20"/>
          <w:szCs w:val="20"/>
        </w:rPr>
        <w:t>identifying</w:t>
      </w:r>
      <w:r w:rsidRPr="00A71A38">
        <w:rPr>
          <w:rFonts w:asciiTheme="majorBidi" w:hAnsiTheme="majorBidi" w:cstheme="majorBidi"/>
          <w:sz w:val="20"/>
          <w:szCs w:val="20"/>
        </w:rPr>
        <w:t xml:space="preserve"> them with other copies, or even with other composition</w:t>
      </w:r>
      <w:r>
        <w:rPr>
          <w:rFonts w:asciiTheme="majorBidi" w:hAnsiTheme="majorBidi" w:cstheme="majorBidi"/>
          <w:sz w:val="20"/>
          <w:szCs w:val="20"/>
        </w:rPr>
        <w:t>s</w:t>
      </w:r>
      <w:r w:rsidRPr="00A71A38">
        <w:rPr>
          <w:rFonts w:asciiTheme="majorBidi" w:hAnsiTheme="majorBidi" w:cstheme="majorBidi"/>
          <w:sz w:val="20"/>
          <w:szCs w:val="20"/>
        </w:rPr>
        <w:t xml:space="preserve">. See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xml:space="preserve">, 497, 501; Tigchelaar, </w:t>
      </w:r>
      <w:r w:rsidRPr="00A71A38">
        <w:rPr>
          <w:rFonts w:asciiTheme="majorBidi" w:hAnsiTheme="majorBidi" w:cstheme="majorBidi"/>
          <w:i/>
          <w:iCs/>
          <w:sz w:val="20"/>
          <w:szCs w:val="20"/>
        </w:rPr>
        <w:t>Increase Learning</w:t>
      </w:r>
      <w:r w:rsidRPr="00A71A38">
        <w:rPr>
          <w:rFonts w:asciiTheme="majorBidi" w:hAnsiTheme="majorBidi" w:cstheme="majorBidi"/>
          <w:sz w:val="20"/>
          <w:szCs w:val="20"/>
        </w:rPr>
        <w:t xml:space="preserve">, 61–64. </w:t>
      </w:r>
    </w:p>
  </w:footnote>
  <w:footnote w:id="2">
    <w:p w14:paraId="5E31A05D" w14:textId="77777777" w:rsidR="00895E53" w:rsidRPr="0043476B" w:rsidRDefault="00895E53" w:rsidP="00783833">
      <w:pPr>
        <w:pStyle w:val="a3"/>
        <w:bidi w:val="0"/>
        <w:rPr>
          <w:vertAlign w:val="superscript"/>
        </w:rPr>
      </w:pPr>
      <w:r w:rsidRPr="0043476B">
        <w:rPr>
          <w:rFonts w:asciiTheme="majorBidi" w:hAnsiTheme="majorBidi" w:cstheme="majorBidi"/>
          <w:vertAlign w:val="superscript"/>
        </w:rPr>
        <w:footnoteRef/>
      </w:r>
      <w:r w:rsidRPr="0043476B">
        <w:rPr>
          <w:vertAlign w:val="superscript"/>
          <w:rtl/>
        </w:rPr>
        <w:t xml:space="preserv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43.</w:t>
      </w:r>
    </w:p>
  </w:footnote>
  <w:footnote w:id="3">
    <w:p w14:paraId="30E1F7F0" w14:textId="77777777" w:rsidR="00895E53" w:rsidRPr="00A71A38" w:rsidRDefault="00895E53" w:rsidP="00783833">
      <w:pPr>
        <w:pStyle w:val="a3"/>
        <w:bidi w:val="0"/>
        <w:jc w:val="both"/>
        <w:rPr>
          <w:sz w:val="20"/>
          <w:szCs w:val="20"/>
        </w:rPr>
      </w:pPr>
      <w:r w:rsidRPr="0004331A">
        <w:rPr>
          <w:rFonts w:asciiTheme="majorBidi" w:hAnsiTheme="majorBidi" w:cstheme="majorBidi"/>
          <w:vertAlign w:val="superscript"/>
        </w:rPr>
        <w:footnoteRef/>
      </w:r>
      <w:r w:rsidRPr="0004331A">
        <w:rPr>
          <w:rFonts w:asciiTheme="majorBidi" w:hAnsiTheme="majorBidi" w:cstheme="majorBidi"/>
          <w:vertAlign w:val="superscript"/>
          <w:rtl/>
        </w:rPr>
        <w:t xml:space="preserve">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xml:space="preserve">, “How to Connect”;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“Methods.”</w:t>
      </w:r>
    </w:p>
  </w:footnote>
  <w:footnote w:id="4">
    <w:p w14:paraId="67F17818" w14:textId="77777777" w:rsidR="00895E53" w:rsidRPr="00A71A38" w:rsidRDefault="00895E53" w:rsidP="00783833">
      <w:pPr>
        <w:pStyle w:val="a3"/>
        <w:bidi w:val="0"/>
        <w:jc w:val="both"/>
        <w:rPr>
          <w:sz w:val="20"/>
          <w:szCs w:val="20"/>
          <w:vertAlign w:val="superscript"/>
        </w:rPr>
      </w:pPr>
      <w:r w:rsidRPr="00B8731B">
        <w:rPr>
          <w:rFonts w:asciiTheme="majorBidi" w:hAnsiTheme="majorBidi" w:cstheme="majorBidi"/>
          <w:vertAlign w:val="superscript"/>
        </w:rPr>
        <w:footnoteRef/>
      </w:r>
      <w:r w:rsidRPr="00B8731B">
        <w:rPr>
          <w:vertAlign w:val="superscript"/>
          <w:rtl/>
        </w:rPr>
        <w:t xml:space="preserve"> </w:t>
      </w:r>
      <w:proofErr w:type="spellStart"/>
      <w:r w:rsidRPr="00A71A38">
        <w:rPr>
          <w:rFonts w:asciiTheme="majorBidi" w:hAnsiTheme="majorBidi" w:cstheme="majorBidi"/>
          <w:sz w:val="20"/>
          <w:szCs w:val="20"/>
        </w:rPr>
        <w:t>Stegemann</w:t>
      </w:r>
      <w:proofErr w:type="spellEnd"/>
      <w:r w:rsidRPr="00A71A38">
        <w:rPr>
          <w:rFonts w:asciiTheme="majorBidi" w:hAnsiTheme="majorBidi" w:cstheme="majorBidi"/>
          <w:sz w:val="20"/>
          <w:szCs w:val="20"/>
        </w:rPr>
        <w:t>, “1QHodayot.”</w:t>
      </w:r>
    </w:p>
  </w:footnote>
  <w:footnote w:id="5">
    <w:p w14:paraId="35991C9E" w14:textId="71161394" w:rsidR="00895E53" w:rsidRPr="000A7416" w:rsidRDefault="00895E53" w:rsidP="00783833">
      <w:pPr>
        <w:pStyle w:val="a3"/>
        <w:bidi w:val="0"/>
        <w:jc w:val="both"/>
      </w:pPr>
      <w:r w:rsidRPr="000A7416">
        <w:rPr>
          <w:rFonts w:asciiTheme="majorBidi" w:hAnsiTheme="majorBidi" w:cstheme="majorBidi"/>
          <w:vertAlign w:val="superscript"/>
        </w:rPr>
        <w:footnoteRef/>
      </w:r>
      <w:r w:rsidRPr="000A7416">
        <w:rPr>
          <w:vertAlign w:val="superscript"/>
          <w:rtl/>
        </w:rPr>
        <w:t xml:space="preserve"> </w:t>
      </w:r>
      <w:r w:rsidRPr="00A71A38">
        <w:rPr>
          <w:rFonts w:asciiTheme="majorBidi" w:hAnsiTheme="majorBidi" w:cstheme="majorBidi"/>
          <w:sz w:val="20"/>
          <w:szCs w:val="20"/>
        </w:rPr>
        <w:t xml:space="preserve">Tigchelaar, “Constructing”; </w:t>
      </w:r>
      <w:proofErr w:type="spellStart"/>
      <w:r w:rsidRPr="00A71A38">
        <w:rPr>
          <w:rFonts w:asciiTheme="majorBidi" w:hAnsiTheme="majorBidi" w:cstheme="majorBidi"/>
          <w:sz w:val="20"/>
          <w:szCs w:val="20"/>
        </w:rPr>
        <w:t>Steudel</w:t>
      </w:r>
      <w:proofErr w:type="spellEnd"/>
      <w:r w:rsidRPr="00A71A38">
        <w:rPr>
          <w:rFonts w:asciiTheme="majorBidi" w:hAnsiTheme="majorBidi" w:cstheme="majorBidi"/>
          <w:sz w:val="20"/>
          <w:szCs w:val="20"/>
        </w:rPr>
        <w:t>, “Assembling.” See further</w:t>
      </w:r>
      <w:r>
        <w:rPr>
          <w:rFonts w:asciiTheme="majorBidi" w:hAnsiTheme="majorBidi" w:cstheme="majorBidi"/>
          <w:sz w:val="20"/>
          <w:szCs w:val="20"/>
        </w:rPr>
        <w:t>:</w:t>
      </w:r>
      <w:r w:rsidRPr="00A71A38">
        <w:rPr>
          <w:rFonts w:asciiTheme="majorBidi" w:hAnsiTheme="majorBidi" w:cstheme="majorBidi"/>
          <w:sz w:val="20"/>
          <w:szCs w:val="20"/>
        </w:rPr>
        <w:t xml:space="preserve"> Davis, </w:t>
      </w:r>
      <w:proofErr w:type="spellStart"/>
      <w:r w:rsidRPr="00A71A38">
        <w:rPr>
          <w:rFonts w:asciiTheme="majorBidi" w:hAnsiTheme="majorBidi" w:cstheme="majorBidi"/>
          <w:i/>
          <w:iCs/>
          <w:sz w:val="20"/>
          <w:szCs w:val="20"/>
        </w:rPr>
        <w:t>Apocryphon</w:t>
      </w:r>
      <w:proofErr w:type="spellEnd"/>
      <w:r w:rsidRPr="00A71A38">
        <w:rPr>
          <w:rFonts w:asciiTheme="majorBidi" w:hAnsiTheme="majorBidi" w:cstheme="majorBidi"/>
          <w:i/>
          <w:iCs/>
          <w:sz w:val="20"/>
          <w:szCs w:val="20"/>
        </w:rPr>
        <w:t xml:space="preserve"> of Jeremiah</w:t>
      </w:r>
      <w:r w:rsidRPr="00A71A38">
        <w:rPr>
          <w:rFonts w:asciiTheme="majorBidi" w:hAnsiTheme="majorBidi" w:cstheme="majorBidi"/>
          <w:sz w:val="20"/>
          <w:szCs w:val="20"/>
        </w:rPr>
        <w:t>, 70–102. Recently, Ben-</w:t>
      </w:r>
      <w:proofErr w:type="spellStart"/>
      <w:r w:rsidRPr="00A71A38">
        <w:rPr>
          <w:rFonts w:asciiTheme="majorBidi" w:hAnsiTheme="majorBidi" w:cstheme="majorBidi"/>
          <w:sz w:val="20"/>
          <w:szCs w:val="20"/>
        </w:rPr>
        <w:t>Dov</w:t>
      </w:r>
      <w:proofErr w:type="spellEnd"/>
      <w:r w:rsidRPr="00A71A38">
        <w:rPr>
          <w:rFonts w:asciiTheme="majorBidi" w:hAnsiTheme="majorBidi" w:cstheme="majorBidi"/>
          <w:sz w:val="20"/>
          <w:szCs w:val="20"/>
        </w:rPr>
        <w:t xml:space="preserve">, Gayer and </w:t>
      </w:r>
      <w:proofErr w:type="spellStart"/>
      <w:r w:rsidRPr="00A71A38">
        <w:rPr>
          <w:rFonts w:asciiTheme="majorBidi" w:hAnsiTheme="majorBidi" w:cstheme="majorBidi"/>
          <w:sz w:val="20"/>
          <w:szCs w:val="20"/>
        </w:rPr>
        <w:t>Ratzon</w:t>
      </w:r>
      <w:proofErr w:type="spellEnd"/>
      <w:r w:rsidRPr="00A71A38">
        <w:rPr>
          <w:rFonts w:asciiTheme="majorBidi" w:hAnsiTheme="majorBidi" w:cstheme="majorBidi"/>
          <w:sz w:val="20"/>
          <w:szCs w:val="20"/>
        </w:rPr>
        <w:t xml:space="preserve"> proposed a material reconstruction of 4Q418a (Ben-</w:t>
      </w:r>
      <w:proofErr w:type="spellStart"/>
      <w:r w:rsidRPr="00A71A38">
        <w:rPr>
          <w:rFonts w:asciiTheme="majorBidi" w:hAnsiTheme="majorBidi" w:cstheme="majorBidi"/>
          <w:sz w:val="20"/>
          <w:szCs w:val="20"/>
        </w:rPr>
        <w:t>Dov</w:t>
      </w:r>
      <w:proofErr w:type="spellEnd"/>
      <w:r w:rsidRPr="00A71A38">
        <w:rPr>
          <w:rFonts w:asciiTheme="majorBidi" w:hAnsiTheme="majorBidi" w:cstheme="majorBidi"/>
          <w:sz w:val="20"/>
          <w:szCs w:val="20"/>
        </w:rPr>
        <w:t xml:space="preserve">, Gayer and </w:t>
      </w:r>
      <w:proofErr w:type="spellStart"/>
      <w:r w:rsidRPr="00A71A38">
        <w:rPr>
          <w:rFonts w:asciiTheme="majorBidi" w:hAnsiTheme="majorBidi" w:cstheme="majorBidi"/>
          <w:sz w:val="20"/>
          <w:szCs w:val="20"/>
        </w:rPr>
        <w:t>Ratzon</w:t>
      </w:r>
      <w:proofErr w:type="spellEnd"/>
      <w:r w:rsidRPr="00A71A38">
        <w:rPr>
          <w:rFonts w:asciiTheme="majorBidi" w:hAnsiTheme="majorBidi" w:cstheme="majorBidi"/>
          <w:sz w:val="20"/>
          <w:szCs w:val="20"/>
        </w:rPr>
        <w:t xml:space="preserve"> 2020, forthcoming).</w:t>
      </w:r>
      <w:r>
        <w:rPr>
          <w:rFonts w:asciiTheme="majorBidi" w:hAnsiTheme="majorBidi" w:cstheme="majorBidi"/>
        </w:rPr>
        <w:t xml:space="preserve"> </w:t>
      </w:r>
    </w:p>
  </w:footnote>
  <w:footnote w:id="6">
    <w:p w14:paraId="4DEBA274" w14:textId="77777777" w:rsidR="00895E53" w:rsidRPr="00A71A38" w:rsidRDefault="00895E53" w:rsidP="00783833">
      <w:pPr>
        <w:pStyle w:val="a3"/>
        <w:bidi w:val="0"/>
        <w:rPr>
          <w:sz w:val="20"/>
          <w:szCs w:val="20"/>
        </w:rPr>
      </w:pPr>
      <w:r w:rsidRPr="00764FB3">
        <w:rPr>
          <w:rFonts w:asciiTheme="majorBidi" w:hAnsiTheme="majorBidi" w:cstheme="majorBidi"/>
          <w:vertAlign w:val="superscript"/>
        </w:rPr>
        <w:footnoteRef/>
      </w:r>
      <w:r>
        <w:rPr>
          <w:rFonts w:asciiTheme="majorBidi" w:hAnsiTheme="majorBidi" w:cstheme="majorBidi"/>
        </w:rPr>
        <w:t xml:space="preserve"> </w:t>
      </w:r>
      <w:proofErr w:type="spellStart"/>
      <w:r w:rsidRPr="00A71A38">
        <w:rPr>
          <w:rFonts w:asciiTheme="majorBidi" w:hAnsiTheme="majorBidi" w:cstheme="majorBidi"/>
          <w:sz w:val="20"/>
          <w:szCs w:val="20"/>
        </w:rPr>
        <w:t>Elgvin</w:t>
      </w:r>
      <w:proofErr w:type="spellEnd"/>
      <w:r w:rsidRPr="00A71A38">
        <w:rPr>
          <w:rFonts w:asciiTheme="majorBidi" w:hAnsiTheme="majorBidi" w:cstheme="majorBidi"/>
          <w:sz w:val="20"/>
          <w:szCs w:val="20"/>
        </w:rPr>
        <w:t xml:space="preserve">,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26–27. </w:t>
      </w:r>
    </w:p>
  </w:footnote>
  <w:footnote w:id="7">
    <w:p w14:paraId="63C419CD" w14:textId="77777777" w:rsidR="00895E53" w:rsidRPr="00A71A38" w:rsidRDefault="00895E53" w:rsidP="00783833">
      <w:pPr>
        <w:pStyle w:val="a3"/>
        <w:bidi w:val="0"/>
        <w:rPr>
          <w:sz w:val="20"/>
          <w:szCs w:val="20"/>
        </w:rPr>
      </w:pPr>
      <w:r w:rsidRPr="00FB61EF">
        <w:rPr>
          <w:rFonts w:asciiTheme="majorBidi" w:hAnsiTheme="majorBidi" w:cstheme="majorBidi"/>
          <w:vertAlign w:val="superscript"/>
        </w:rPr>
        <w:footnoteRef/>
      </w:r>
      <w:r w:rsidRPr="00FB61EF">
        <w:rPr>
          <w:vertAlign w:val="superscript"/>
          <w:rtl/>
        </w:rPr>
        <w:t xml:space="preserve"> </w:t>
      </w:r>
      <w:proofErr w:type="spellStart"/>
      <w:r w:rsidRPr="00A71A38">
        <w:rPr>
          <w:rFonts w:asciiTheme="majorBidi" w:hAnsiTheme="majorBidi" w:cstheme="majorBidi"/>
          <w:sz w:val="20"/>
          <w:szCs w:val="20"/>
        </w:rPr>
        <w:t>Strugnell</w:t>
      </w:r>
      <w:proofErr w:type="spellEnd"/>
      <w:r w:rsidRPr="00A71A38">
        <w:rPr>
          <w:rFonts w:asciiTheme="majorBidi" w:hAnsiTheme="majorBidi" w:cstheme="majorBidi"/>
          <w:sz w:val="20"/>
          <w:szCs w:val="20"/>
        </w:rPr>
        <w:t xml:space="preserve"> and Harrington, </w:t>
      </w:r>
      <w:r w:rsidRPr="00A71A38">
        <w:rPr>
          <w:rFonts w:asciiTheme="majorBidi" w:hAnsiTheme="majorBidi" w:cstheme="majorBidi"/>
          <w:i/>
          <w:iCs/>
          <w:sz w:val="20"/>
          <w:szCs w:val="20"/>
        </w:rPr>
        <w:t>4QInstruction</w:t>
      </w:r>
      <w:r w:rsidRPr="00A71A38">
        <w:rPr>
          <w:rFonts w:asciiTheme="majorBidi" w:hAnsiTheme="majorBidi" w:cstheme="majorBidi"/>
          <w:sz w:val="20"/>
          <w:szCs w:val="20"/>
        </w:rPr>
        <w:t xml:space="preserve">, 43. </w:t>
      </w:r>
    </w:p>
  </w:footnote>
  <w:footnote w:id="8">
    <w:p w14:paraId="751EA942" w14:textId="3B51CE4B" w:rsidR="00895E53" w:rsidRDefault="00895E53" w:rsidP="00783833">
      <w:pPr>
        <w:pStyle w:val="a3"/>
        <w:bidi w:val="0"/>
        <w:jc w:val="both"/>
      </w:pPr>
      <w:r w:rsidRPr="002C67E4">
        <w:rPr>
          <w:rStyle w:val="a5"/>
          <w:rFonts w:ascii="Times New Roman" w:hAnsi="Times New Roman" w:cs="Times New Roman"/>
        </w:rPr>
        <w:footnoteRef/>
      </w:r>
      <w:r w:rsidRPr="002C67E4">
        <w:rPr>
          <w:rStyle w:val="a5"/>
          <w:rFonts w:ascii="Times New Roman" w:hAnsi="Times New Roman" w:cs="Times New Roman"/>
          <w:rtl/>
        </w:rPr>
        <w:t xml:space="preserve"> </w:t>
      </w:r>
      <w:r w:rsidRPr="00A71A38">
        <w:rPr>
          <w:rFonts w:ascii="Times New Roman" w:hAnsi="Times New Roman" w:cs="Times New Roman"/>
          <w:sz w:val="20"/>
          <w:szCs w:val="20"/>
        </w:rPr>
        <w:t>c</w:t>
      </w:r>
      <w:r>
        <w:rPr>
          <w:rFonts w:ascii="Times New Roman" w:hAnsi="Times New Roman" w:cs="Times New Roman"/>
          <w:sz w:val="20"/>
          <w:szCs w:val="20"/>
        </w:rPr>
        <w:t>f</w:t>
      </w:r>
      <w:r w:rsidRPr="00A71A38">
        <w:rPr>
          <w:rFonts w:ascii="Times New Roman" w:hAnsi="Times New Roman" w:cs="Times New Roman"/>
          <w:sz w:val="20"/>
          <w:szCs w:val="20"/>
        </w:rPr>
        <w:t xml:space="preserve">. SH, </w:t>
      </w:r>
      <w:r>
        <w:rPr>
          <w:rFonts w:ascii="Times New Roman" w:hAnsi="Times New Roman" w:cs="Times New Roman"/>
          <w:sz w:val="20"/>
          <w:szCs w:val="20"/>
        </w:rPr>
        <w:t xml:space="preserve">“A. Instruction.”, 47; </w:t>
      </w:r>
      <w:r w:rsidRPr="00A71A38">
        <w:rPr>
          <w:rFonts w:ascii="Times New Roman" w:hAnsi="Times New Roman" w:cs="Times New Roman"/>
          <w:sz w:val="20"/>
          <w:szCs w:val="20"/>
        </w:rPr>
        <w:t xml:space="preserve">Rey,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139 and Goff, </w:t>
      </w:r>
      <w:r w:rsidRPr="00A71A38">
        <w:rPr>
          <w:rFonts w:ascii="Times New Roman" w:hAnsi="Times New Roman" w:cs="Times New Roman"/>
          <w:i/>
          <w:iCs/>
          <w:sz w:val="20"/>
          <w:szCs w:val="20"/>
        </w:rPr>
        <w:t>4QInstruction</w:t>
      </w:r>
      <w:r w:rsidRPr="00A71A38">
        <w:rPr>
          <w:rFonts w:ascii="Times New Roman" w:hAnsi="Times New Roman" w:cs="Times New Roman"/>
          <w:sz w:val="20"/>
          <w:szCs w:val="20"/>
        </w:rPr>
        <w:t xml:space="preserve">, 33 </w:t>
      </w:r>
      <w:r>
        <w:rPr>
          <w:rFonts w:ascii="Times New Roman" w:hAnsi="Times New Roman" w:cs="Times New Roman"/>
          <w:sz w:val="20"/>
          <w:szCs w:val="20"/>
        </w:rPr>
        <w:t>who</w:t>
      </w:r>
      <w:r w:rsidRPr="00A71A38">
        <w:rPr>
          <w:rFonts w:ascii="Times New Roman" w:hAnsi="Times New Roman" w:cs="Times New Roman"/>
          <w:sz w:val="20"/>
          <w:szCs w:val="20"/>
        </w:rPr>
        <w:t xml:space="preserve"> suggest the reading </w:t>
      </w:r>
      <w:r w:rsidRPr="00A71A38">
        <w:rPr>
          <w:rFonts w:ascii="SBL Hebrew" w:hAnsi="SBL Hebrew" w:cs="SBL Hebrew" w:hint="cs"/>
          <w:sz w:val="20"/>
          <w:szCs w:val="20"/>
          <w:rtl/>
        </w:rPr>
        <w:t>ח</w:t>
      </w:r>
      <w:r w:rsidRPr="00A71A38">
        <w:rPr>
          <w:rFonts w:ascii="SBL Hebrew" w:hAnsi="SBL Hebrew" w:cs="SBL Hebrew"/>
          <w:sz w:val="20"/>
          <w:szCs w:val="20"/>
          <w:rtl/>
        </w:rPr>
        <w:t>֯</w:t>
      </w:r>
      <w:r w:rsidRPr="00A71A38">
        <w:rPr>
          <w:rFonts w:ascii="SBL Hebrew" w:hAnsi="SBL Hebrew" w:cs="SBL Hebrew" w:hint="cs"/>
          <w:sz w:val="20"/>
          <w:szCs w:val="20"/>
          <w:rtl/>
        </w:rPr>
        <w:t>[</w:t>
      </w:r>
      <w:proofErr w:type="spellStart"/>
      <w:r w:rsidRPr="00A71A38">
        <w:rPr>
          <w:rFonts w:ascii="SBL Hebrew" w:hAnsi="SBL Hebrew" w:cs="SBL Hebrew" w:hint="cs"/>
          <w:sz w:val="20"/>
          <w:szCs w:val="20"/>
          <w:rtl/>
        </w:rPr>
        <w:t>ותנ</w:t>
      </w:r>
      <w:proofErr w:type="spellEnd"/>
      <w:r w:rsidRPr="00A71A38">
        <w:rPr>
          <w:rFonts w:ascii="SBL Hebrew" w:hAnsi="SBL Hebrew" w:cs="SBL Hebrew" w:hint="cs"/>
          <w:sz w:val="20"/>
          <w:szCs w:val="20"/>
          <w:rtl/>
        </w:rPr>
        <w:t>]</w:t>
      </w:r>
      <w:r w:rsidRPr="00A71A38">
        <w:rPr>
          <w:rFonts w:ascii="SBL Hebrew" w:hAnsi="SBL Hebrew" w:cs="SBL Hebrew" w:hint="cs"/>
          <w:color w:val="000000" w:themeColor="text1"/>
          <w:sz w:val="20"/>
          <w:szCs w:val="20"/>
          <w:rtl/>
        </w:rPr>
        <w:t>ך</w:t>
      </w:r>
      <w:r w:rsidRPr="00A71A38">
        <w:rPr>
          <w:rFonts w:ascii="SBL Hebrew" w:hAnsi="SBL Hebrew" w:cs="SBL Hebrew"/>
          <w:color w:val="000000" w:themeColor="text1"/>
          <w:sz w:val="20"/>
          <w:szCs w:val="20"/>
          <w:rtl/>
        </w:rPr>
        <w:t>֯</w:t>
      </w:r>
      <w:r w:rsidRPr="00A71A38">
        <w:rPr>
          <w:rFonts w:ascii="SBL Hebrew" w:hAnsi="SBL Hebrew" w:cs="SBL Hebrew"/>
          <w:color w:val="000000" w:themeColor="text1"/>
          <w:sz w:val="20"/>
          <w:szCs w:val="20"/>
        </w:rPr>
        <w:t xml:space="preserve">, </w:t>
      </w:r>
      <w:r w:rsidRPr="00A71A38">
        <w:rPr>
          <w:rFonts w:ascii="SBL Hebrew" w:hAnsi="SBL Hebrew" w:cs="SBL Hebrew"/>
          <w:i/>
          <w:iCs/>
          <w:color w:val="000000" w:themeColor="text1"/>
          <w:sz w:val="20"/>
          <w:szCs w:val="20"/>
        </w:rPr>
        <w:t>your father in law</w:t>
      </w:r>
      <w:r w:rsidRPr="00A71A38">
        <w:rPr>
          <w:rFonts w:ascii="SBL Hebrew" w:hAnsi="SBL Hebrew" w:cs="SBL Hebrew"/>
          <w:color w:val="000000" w:themeColor="text1"/>
          <w:sz w:val="20"/>
          <w:szCs w:val="20"/>
        </w:rPr>
        <w:t>.</w:t>
      </w:r>
      <w:r>
        <w:rPr>
          <w:rFonts w:ascii="SBL Hebrew" w:hAnsi="SBL Hebrew" w:cs="SBL Hebrew"/>
          <w:color w:val="000000" w:themeColor="text1"/>
        </w:rPr>
        <w:t xml:space="preserve">   </w:t>
      </w:r>
    </w:p>
  </w:footnote>
  <w:footnote w:id="9">
    <w:p w14:paraId="3450365F" w14:textId="77777777" w:rsidR="00895E53" w:rsidRDefault="00895E53" w:rsidP="00783833">
      <w:pPr>
        <w:pStyle w:val="a3"/>
        <w:bidi w:val="0"/>
        <w:jc w:val="both"/>
      </w:pPr>
      <w:r>
        <w:rPr>
          <w:rStyle w:val="a5"/>
        </w:rPr>
        <w:footnoteRef/>
      </w:r>
      <w:r>
        <w:rPr>
          <w:rFonts w:asciiTheme="majorBidi" w:hAnsiTheme="majorBidi" w:cstheme="majorBidi" w:hint="cs"/>
          <w:sz w:val="20"/>
          <w:szCs w:val="20"/>
          <w:rtl/>
        </w:rPr>
        <w:t xml:space="preserve"> </w:t>
      </w:r>
      <w:proofErr w:type="spellStart"/>
      <w:r w:rsidRPr="00847842">
        <w:rPr>
          <w:rFonts w:asciiTheme="majorBidi" w:hAnsiTheme="majorBidi" w:cstheme="majorBidi"/>
          <w:sz w:val="20"/>
          <w:szCs w:val="20"/>
        </w:rPr>
        <w:t>CD</w:t>
      </w:r>
      <w:r w:rsidRPr="00847842">
        <w:rPr>
          <w:rFonts w:asciiTheme="majorBidi" w:hAnsiTheme="majorBidi" w:cstheme="majorBidi"/>
          <w:sz w:val="20"/>
          <w:szCs w:val="20"/>
          <w:vertAlign w:val="superscript"/>
        </w:rPr>
        <w:t>a</w:t>
      </w:r>
      <w:proofErr w:type="spellEnd"/>
      <w:r w:rsidRPr="00847842">
        <w:rPr>
          <w:rFonts w:asciiTheme="majorBidi" w:hAnsiTheme="majorBidi" w:cstheme="majorBidi"/>
          <w:sz w:val="20"/>
          <w:szCs w:val="20"/>
        </w:rPr>
        <w:t xml:space="preserve"> reads</w:t>
      </w:r>
      <w:r>
        <w:rPr>
          <w:rFonts w:asciiTheme="majorBidi" w:hAnsiTheme="majorBidi" w:cstheme="majorBidi"/>
          <w:sz w:val="20"/>
          <w:szCs w:val="20"/>
        </w:rPr>
        <w:t xml:space="preserve"> in both cases </w:t>
      </w:r>
      <w:r w:rsidRPr="00C225E0">
        <w:rPr>
          <w:rFonts w:ascii="SBL Hebrew" w:hAnsi="SBL Hebrew" w:cs="SBL Hebrew" w:hint="cs"/>
          <w:sz w:val="20"/>
          <w:szCs w:val="20"/>
          <w:rtl/>
        </w:rPr>
        <w:t>ביד</w:t>
      </w:r>
      <w:r>
        <w:rPr>
          <w:rFonts w:asciiTheme="majorBidi" w:hAnsiTheme="majorBidi" w:cstheme="majorBidi"/>
          <w:sz w:val="20"/>
          <w:szCs w:val="20"/>
        </w:rPr>
        <w:t xml:space="preserve"> instead of </w:t>
      </w:r>
      <w:r w:rsidRPr="00C225E0">
        <w:rPr>
          <w:rFonts w:ascii="SBL Hebrew" w:hAnsi="SBL Hebrew" w:cs="SBL Hebrew" w:hint="cs"/>
          <w:sz w:val="20"/>
          <w:szCs w:val="20"/>
          <w:rtl/>
        </w:rPr>
        <w:t>בעד</w:t>
      </w:r>
      <w:r>
        <w:rPr>
          <w:rFonts w:ascii="SBL Hebrew" w:hAnsi="SBL Hebrew" w:cs="SBL Hebrew"/>
          <w:sz w:val="20"/>
          <w:szCs w:val="20"/>
        </w:rPr>
        <w:t>.</w:t>
      </w:r>
      <w:r>
        <w:rPr>
          <w:rtl/>
        </w:rPr>
        <w:t xml:space="preserve"> </w:t>
      </w:r>
      <w:r>
        <w:rPr>
          <w:rFonts w:hint="cs"/>
          <w:rtl/>
        </w:rPr>
        <w:t xml:space="preserve"> </w:t>
      </w:r>
    </w:p>
  </w:footnote>
  <w:footnote w:id="10">
    <w:p w14:paraId="0442BBD9" w14:textId="62E6C663" w:rsidR="00895E53" w:rsidRPr="00F9011B" w:rsidRDefault="00895E53" w:rsidP="00783833">
      <w:pPr>
        <w:pStyle w:val="a3"/>
        <w:bidi w:val="0"/>
        <w:jc w:val="both"/>
        <w:rPr>
          <w:rFonts w:asciiTheme="majorBidi" w:hAnsiTheme="majorBidi" w:cstheme="majorBidi"/>
          <w:sz w:val="20"/>
          <w:szCs w:val="20"/>
        </w:rPr>
      </w:pPr>
      <w:r>
        <w:rPr>
          <w:rStyle w:val="a5"/>
        </w:rPr>
        <w:footnoteRef/>
      </w:r>
      <w:r>
        <w:rPr>
          <w:rtl/>
        </w:rPr>
        <w:t xml:space="preserve"> </w:t>
      </w:r>
      <w:r w:rsidRPr="001716CA">
        <w:rPr>
          <w:rFonts w:asciiTheme="majorBidi" w:hAnsiTheme="majorBidi" w:cstheme="majorBidi"/>
          <w:sz w:val="20"/>
          <w:szCs w:val="20"/>
        </w:rPr>
        <w:t xml:space="preserve">See </w:t>
      </w:r>
      <w:proofErr w:type="spellStart"/>
      <w:r w:rsidRPr="001716CA">
        <w:rPr>
          <w:rFonts w:asciiTheme="majorBidi" w:hAnsiTheme="majorBidi" w:cstheme="majorBidi"/>
          <w:sz w:val="20"/>
          <w:szCs w:val="20"/>
        </w:rPr>
        <w:t>Wold</w:t>
      </w:r>
      <w:proofErr w:type="spellEnd"/>
      <w:r w:rsidRPr="001716CA">
        <w:rPr>
          <w:rFonts w:asciiTheme="majorBidi" w:hAnsiTheme="majorBidi" w:cstheme="majorBidi"/>
          <w:sz w:val="20"/>
          <w:szCs w:val="20"/>
        </w:rPr>
        <w:t xml:space="preserve">, </w:t>
      </w:r>
      <w:r w:rsidRPr="001716CA">
        <w:rPr>
          <w:rFonts w:asciiTheme="majorBidi" w:hAnsiTheme="majorBidi" w:cstheme="majorBidi"/>
          <w:i/>
          <w:iCs/>
          <w:sz w:val="20"/>
          <w:szCs w:val="20"/>
        </w:rPr>
        <w:t>Women</w:t>
      </w:r>
      <w:r w:rsidRPr="001716CA">
        <w:rPr>
          <w:rFonts w:asciiTheme="majorBidi" w:hAnsiTheme="majorBidi" w:cstheme="majorBidi"/>
          <w:sz w:val="20"/>
          <w:szCs w:val="20"/>
        </w:rPr>
        <w:t>,</w:t>
      </w:r>
      <w:r>
        <w:t xml:space="preserve"> </w:t>
      </w:r>
      <w:r>
        <w:rPr>
          <w:rFonts w:asciiTheme="majorBidi" w:hAnsiTheme="majorBidi" w:cstheme="majorBidi"/>
          <w:sz w:val="20"/>
          <w:szCs w:val="20"/>
        </w:rPr>
        <w:t>231</w:t>
      </w:r>
      <w:r w:rsidRPr="006C5F64">
        <w:rPr>
          <w:rFonts w:asciiTheme="majorBidi" w:hAnsiTheme="majorBidi" w:cstheme="majorBidi"/>
          <w:sz w:val="20"/>
          <w:szCs w:val="20"/>
        </w:rPr>
        <w:t>–232.</w:t>
      </w:r>
      <w:r>
        <w:rPr>
          <w:rFonts w:asciiTheme="majorBidi" w:hAnsiTheme="majorBidi" w:cstheme="majorBidi"/>
          <w:sz w:val="20"/>
          <w:szCs w:val="20"/>
        </w:rPr>
        <w:t xml:space="preserve"> Qimron suggested in oral conversation that</w:t>
      </w:r>
      <w:r w:rsidRPr="006C5F64">
        <w:rPr>
          <w:rFonts w:asciiTheme="majorBidi" w:hAnsiTheme="majorBidi" w:cstheme="majorBidi"/>
          <w:sz w:val="20"/>
          <w:szCs w:val="20"/>
        </w:rPr>
        <w:t xml:space="preserve"> </w:t>
      </w:r>
      <w:r>
        <w:rPr>
          <w:rFonts w:asciiTheme="majorBidi" w:hAnsiTheme="majorBidi" w:cstheme="majorBidi"/>
          <w:sz w:val="20"/>
          <w:szCs w:val="20"/>
        </w:rPr>
        <w:t>the metaphor may express that the husband should prevent immorality by keeping his wife at home</w:t>
      </w:r>
      <w:r>
        <w:rPr>
          <w:rFonts w:asciiTheme="majorBidi" w:hAnsiTheme="majorBidi" w:cstheme="majorBidi"/>
          <w:sz w:val="20"/>
          <w:szCs w:val="20"/>
        </w:rPr>
        <w:t>.</w:t>
      </w:r>
      <w:r>
        <w:rPr>
          <w:rFonts w:asciiTheme="majorBidi" w:hAnsiTheme="majorBidi" w:cstheme="majorBidi"/>
          <w:sz w:val="20"/>
          <w:szCs w:val="20"/>
        </w:rPr>
        <w:t xml:space="preserve"> See also </w:t>
      </w:r>
      <w:r w:rsidRPr="005B4A65">
        <w:rPr>
          <w:rFonts w:asciiTheme="majorBidi" w:hAnsiTheme="majorBidi" w:cstheme="majorBidi"/>
          <w:i/>
          <w:iCs/>
          <w:sz w:val="20"/>
          <w:szCs w:val="20"/>
        </w:rPr>
        <w:t>Ben-</w:t>
      </w:r>
      <w:proofErr w:type="spellStart"/>
      <w:r w:rsidRPr="005B4A65">
        <w:rPr>
          <w:rFonts w:asciiTheme="majorBidi" w:hAnsiTheme="majorBidi" w:cstheme="majorBidi"/>
          <w:i/>
          <w:iCs/>
          <w:sz w:val="20"/>
          <w:szCs w:val="20"/>
        </w:rPr>
        <w:t>Sira</w:t>
      </w:r>
      <w:proofErr w:type="spellEnd"/>
      <w:r>
        <w:rPr>
          <w:rFonts w:asciiTheme="majorBidi" w:hAnsiTheme="majorBidi" w:cstheme="majorBidi"/>
          <w:sz w:val="20"/>
          <w:szCs w:val="20"/>
        </w:rPr>
        <w:t xml:space="preserve"> 11, 34–35; cf. Ps 147,</w:t>
      </w:r>
      <w:proofErr w:type="gramStart"/>
      <w:r>
        <w:rPr>
          <w:rFonts w:asciiTheme="majorBidi" w:hAnsiTheme="majorBidi" w:cstheme="majorBidi"/>
          <w:sz w:val="20"/>
          <w:szCs w:val="20"/>
        </w:rPr>
        <w:t>13:</w:t>
      </w:r>
      <w:r>
        <w:rPr>
          <w:rFonts w:ascii="Helvetica" w:hAnsi="Helvetica" w:cs="Times New Roman"/>
          <w:color w:val="59330E"/>
          <w:sz w:val="41"/>
          <w:szCs w:val="41"/>
          <w:rtl/>
        </w:rPr>
        <w:t>‏</w:t>
      </w:r>
      <w:proofErr w:type="spellStart"/>
      <w:proofErr w:type="gramEnd"/>
      <w:r w:rsidRPr="00F9011B">
        <w:rPr>
          <w:rFonts w:ascii="SBL Hebrew" w:hAnsi="SBL Hebrew" w:cs="SBL Hebrew"/>
          <w:sz w:val="20"/>
          <w:szCs w:val="20"/>
          <w:rtl/>
        </w:rPr>
        <w:t>כִּי־חִזַּק</w:t>
      </w:r>
      <w:proofErr w:type="spellEnd"/>
      <w:r w:rsidRPr="00F9011B">
        <w:rPr>
          <w:rFonts w:ascii="SBL Hebrew" w:hAnsi="SBL Hebrew" w:cs="SBL Hebrew"/>
          <w:sz w:val="20"/>
          <w:szCs w:val="20"/>
          <w:rtl/>
        </w:rPr>
        <w:t xml:space="preserve"> </w:t>
      </w:r>
      <w:proofErr w:type="spellStart"/>
      <w:r w:rsidRPr="00F9011B">
        <w:rPr>
          <w:rFonts w:ascii="SBL Hebrew" w:hAnsi="SBL Hebrew" w:cs="SBL Hebrew"/>
          <w:sz w:val="20"/>
          <w:szCs w:val="20"/>
          <w:rtl/>
        </w:rPr>
        <w:t>בְּרִיחֵי</w:t>
      </w:r>
      <w:proofErr w:type="spellEnd"/>
      <w:r w:rsidRPr="00F9011B">
        <w:rPr>
          <w:rFonts w:ascii="SBL Hebrew" w:hAnsi="SBL Hebrew" w:cs="SBL Hebrew"/>
          <w:sz w:val="20"/>
          <w:szCs w:val="20"/>
          <w:rtl/>
        </w:rPr>
        <w:t xml:space="preserve"> </w:t>
      </w:r>
      <w:proofErr w:type="spellStart"/>
      <w:r w:rsidRPr="00F9011B">
        <w:rPr>
          <w:rFonts w:ascii="SBL Hebrew" w:hAnsi="SBL Hebrew" w:cs="SBL Hebrew"/>
          <w:sz w:val="20"/>
          <w:szCs w:val="20"/>
          <w:rtl/>
        </w:rPr>
        <w:t>שְׁעָרָיִך</w:t>
      </w:r>
      <w:proofErr w:type="spellEnd"/>
      <w:r w:rsidRPr="00F9011B">
        <w:rPr>
          <w:rFonts w:ascii="SBL Hebrew" w:hAnsi="SBL Hebrew" w:cs="SBL Hebrew"/>
          <w:sz w:val="20"/>
          <w:szCs w:val="20"/>
          <w:rtl/>
        </w:rPr>
        <w:t>ְ</w:t>
      </w:r>
      <w:r>
        <w:rPr>
          <w:rFonts w:ascii="SBL Hebrew" w:hAnsi="SBL Hebrew" w:cs="SBL Hebrew"/>
          <w:sz w:val="20"/>
          <w:szCs w:val="20"/>
        </w:rPr>
        <w:t>.</w:t>
      </w:r>
    </w:p>
    <w:p w14:paraId="0F2D2570" w14:textId="77777777" w:rsidR="00895E53" w:rsidRPr="00F9011B" w:rsidRDefault="00895E53" w:rsidP="00783833">
      <w:pPr>
        <w:pStyle w:val="a3"/>
        <w:bidi w:val="0"/>
        <w:jc w:val="both"/>
        <w:rPr>
          <w:rFonts w:ascii="SBL Hebrew" w:hAnsi="SBL Hebrew" w:cs="SBL Hebrew"/>
          <w:sz w:val="20"/>
          <w:szCs w:val="20"/>
        </w:rPr>
      </w:pPr>
    </w:p>
  </w:footnote>
  <w:footnote w:id="11">
    <w:p w14:paraId="5201F69A" w14:textId="77777777" w:rsidR="00895E53" w:rsidRPr="009A7B94" w:rsidRDefault="00895E53" w:rsidP="00783833">
      <w:pPr>
        <w:pStyle w:val="a3"/>
        <w:bidi w:val="0"/>
        <w:rPr>
          <w:rFonts w:asciiTheme="majorBidi" w:hAnsiTheme="majorBidi" w:cstheme="majorBidi"/>
        </w:rPr>
      </w:pPr>
      <w:r>
        <w:rPr>
          <w:rStyle w:val="a5"/>
        </w:rPr>
        <w:footnoteRef/>
      </w:r>
      <w:r>
        <w:rPr>
          <w:rtl/>
        </w:rPr>
        <w:t xml:space="preserve"> </w:t>
      </w:r>
      <w:r>
        <w:rPr>
          <w:rFonts w:asciiTheme="majorBidi" w:hAnsiTheme="majorBidi" w:cstheme="majorBidi"/>
          <w:sz w:val="20"/>
          <w:szCs w:val="20"/>
        </w:rPr>
        <w:t>SH, “A. Instruction.”,</w:t>
      </w:r>
      <w:r w:rsidRPr="00A71A38">
        <w:rPr>
          <w:rFonts w:asciiTheme="majorBidi" w:hAnsiTheme="majorBidi" w:cstheme="majorBidi"/>
          <w:sz w:val="20"/>
          <w:szCs w:val="20"/>
        </w:rPr>
        <w:t xml:space="preserve"> 34</w:t>
      </w:r>
      <w:r>
        <w:rPr>
          <w:rFonts w:asciiTheme="majorBidi" w:hAnsiTheme="majorBidi" w:cstheme="majorBidi"/>
          <w:sz w:val="20"/>
          <w:szCs w:val="20"/>
        </w:rPr>
        <w:t>, 42, 57–58; cf. Tigchelaar</w:t>
      </w:r>
      <w:r w:rsidRPr="00A71A38">
        <w:rPr>
          <w:rFonts w:asciiTheme="majorBidi" w:hAnsiTheme="majorBidi" w:cstheme="majorBidi"/>
          <w:sz w:val="20"/>
          <w:szCs w:val="20"/>
        </w:rPr>
        <w:t xml:space="preserve">, </w:t>
      </w:r>
      <w:r>
        <w:rPr>
          <w:rFonts w:asciiTheme="majorBidi" w:hAnsiTheme="majorBidi" w:cstheme="majorBidi"/>
          <w:i/>
          <w:iCs/>
          <w:sz w:val="20"/>
          <w:szCs w:val="20"/>
        </w:rPr>
        <w:t>Increase Learning</w:t>
      </w:r>
      <w:r>
        <w:rPr>
          <w:rFonts w:asciiTheme="majorBidi" w:hAnsiTheme="majorBidi" w:cstheme="majorBidi"/>
          <w:sz w:val="20"/>
          <w:szCs w:val="20"/>
        </w:rPr>
        <w:t xml:space="preserve">, </w:t>
      </w:r>
      <w:r w:rsidRPr="00A71A38">
        <w:rPr>
          <w:rFonts w:asciiTheme="majorBidi" w:hAnsiTheme="majorBidi" w:cstheme="majorBidi"/>
          <w:sz w:val="20"/>
          <w:szCs w:val="20"/>
        </w:rPr>
        <w:t>37.</w:t>
      </w:r>
      <w:r>
        <w:rPr>
          <w:rFonts w:asciiTheme="majorBidi" w:hAnsiTheme="majorBidi" w:cstheme="majorBidi"/>
        </w:rPr>
        <w:t xml:space="preserve"> </w:t>
      </w:r>
    </w:p>
  </w:footnote>
  <w:footnote w:id="12">
    <w:p w14:paraId="305E65A3" w14:textId="3560E216" w:rsidR="00895E53" w:rsidRPr="00337D28" w:rsidRDefault="00895E53" w:rsidP="0078383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 The theoretical margin of error </w:t>
      </w:r>
      <w:r>
        <w:rPr>
          <w:rFonts w:asciiTheme="majorBidi" w:hAnsiTheme="majorBidi" w:cstheme="majorBidi"/>
          <w:sz w:val="20"/>
          <w:szCs w:val="20"/>
        </w:rPr>
        <w:t xml:space="preserve">is </w:t>
      </w:r>
      <w:r>
        <w:rPr>
          <w:rFonts w:asciiTheme="majorBidi" w:hAnsiTheme="majorBidi" w:cstheme="majorBidi"/>
          <w:sz w:val="20"/>
          <w:szCs w:val="20"/>
        </w:rPr>
        <w:t xml:space="preserve">calculated by 3.7% * 332.9 (the margin of error </w:t>
      </w:r>
      <w:r>
        <w:rPr>
          <w:rFonts w:asciiTheme="majorBidi" w:hAnsiTheme="majorBidi" w:cstheme="majorBidi"/>
          <w:sz w:val="20"/>
          <w:szCs w:val="20"/>
        </w:rPr>
        <w:t xml:space="preserve">for </w:t>
      </w:r>
      <w:r>
        <w:rPr>
          <w:rFonts w:asciiTheme="majorBidi" w:hAnsiTheme="majorBidi" w:cstheme="majorBidi"/>
          <w:sz w:val="20"/>
          <w:szCs w:val="20"/>
        </w:rPr>
        <w:t xml:space="preserve">the column in 4Q18a) + 3.7% * (9.2* x-16) (the margin of error </w:t>
      </w:r>
      <w:r>
        <w:rPr>
          <w:rFonts w:asciiTheme="majorBidi" w:hAnsiTheme="majorBidi" w:cstheme="majorBidi"/>
          <w:sz w:val="20"/>
          <w:szCs w:val="20"/>
        </w:rPr>
        <w:t xml:space="preserve">for </w:t>
      </w:r>
      <w:r>
        <w:rPr>
          <w:rFonts w:asciiTheme="majorBidi" w:hAnsiTheme="majorBidi" w:cstheme="majorBidi"/>
          <w:sz w:val="20"/>
          <w:szCs w:val="20"/>
        </w:rPr>
        <w:t xml:space="preserve">the column of 4Q415 6).  </w:t>
      </w:r>
    </w:p>
  </w:footnote>
  <w:footnote w:id="13">
    <w:p w14:paraId="306DE313" w14:textId="78C10219" w:rsidR="00895E53" w:rsidRPr="00364CD8" w:rsidRDefault="00895E53" w:rsidP="00783833">
      <w:pPr>
        <w:pStyle w:val="a3"/>
        <w:bidi w:val="0"/>
        <w:jc w:val="both"/>
        <w:rPr>
          <w:rFonts w:asciiTheme="majorBidi" w:hAnsiTheme="majorBidi" w:cstheme="majorBidi"/>
          <w:sz w:val="20"/>
          <w:szCs w:val="20"/>
          <w:rtl/>
        </w:rPr>
      </w:pPr>
      <w:r>
        <w:rPr>
          <w:rStyle w:val="a5"/>
        </w:rPr>
        <w:footnoteRef/>
      </w:r>
      <w:r w:rsidRPr="00F86EE5">
        <w:rPr>
          <w:rFonts w:asciiTheme="majorBidi" w:hAnsiTheme="majorBidi" w:cstheme="majorBidi"/>
          <w:rtl/>
        </w:rPr>
        <w:t xml:space="preserve"> </w:t>
      </w:r>
      <w:r>
        <w:rPr>
          <w:rFonts w:asciiTheme="majorBidi" w:hAnsiTheme="majorBidi" w:cstheme="majorBidi"/>
          <w:sz w:val="20"/>
          <w:szCs w:val="20"/>
        </w:rPr>
        <w:t>4Q416 1 preserves a column of 21 lines and 4Q417 2 preserves columns of 28 lines. Tigchelaar, “</w:t>
      </w:r>
      <w:r>
        <w:rPr>
          <w:rFonts w:asciiTheme="majorBidi" w:hAnsiTheme="majorBidi" w:cstheme="majorBidi" w:hint="cs"/>
          <w:sz w:val="20"/>
          <w:szCs w:val="20"/>
          <w:rtl/>
        </w:rPr>
        <w:t>הבא ביחד</w:t>
      </w:r>
      <w:r>
        <w:rPr>
          <w:rFonts w:asciiTheme="majorBidi" w:hAnsiTheme="majorBidi" w:cstheme="majorBidi"/>
          <w:sz w:val="20"/>
          <w:szCs w:val="20"/>
        </w:rPr>
        <w:t>”,</w:t>
      </w:r>
      <w:r w:rsidRPr="00A71A38">
        <w:rPr>
          <w:rFonts w:asciiTheme="majorBidi" w:hAnsiTheme="majorBidi" w:cstheme="majorBidi"/>
          <w:sz w:val="20"/>
          <w:szCs w:val="20"/>
        </w:rPr>
        <w:t xml:space="preserve"> </w:t>
      </w:r>
      <w:r>
        <w:rPr>
          <w:rFonts w:asciiTheme="majorBidi" w:hAnsiTheme="majorBidi" w:cstheme="majorBidi"/>
          <w:sz w:val="20"/>
          <w:szCs w:val="20"/>
        </w:rPr>
        <w:t>suggests that 4Q418 is a 28-line scroll. Ben-</w:t>
      </w:r>
      <w:proofErr w:type="spellStart"/>
      <w:r>
        <w:rPr>
          <w:rFonts w:asciiTheme="majorBidi" w:hAnsiTheme="majorBidi" w:cstheme="majorBidi"/>
          <w:sz w:val="20"/>
          <w:szCs w:val="20"/>
        </w:rPr>
        <w:t>Dov</w:t>
      </w:r>
      <w:proofErr w:type="spellEnd"/>
      <w:r>
        <w:rPr>
          <w:rFonts w:asciiTheme="majorBidi" w:hAnsiTheme="majorBidi" w:cstheme="majorBidi"/>
          <w:sz w:val="20"/>
          <w:szCs w:val="20"/>
        </w:rPr>
        <w:t xml:space="preserve">, Gayer and </w:t>
      </w:r>
      <w:proofErr w:type="spellStart"/>
      <w:r>
        <w:rPr>
          <w:rFonts w:asciiTheme="majorBidi" w:hAnsiTheme="majorBidi" w:cstheme="majorBidi"/>
          <w:sz w:val="20"/>
          <w:szCs w:val="20"/>
        </w:rPr>
        <w:t>Ratzon</w:t>
      </w:r>
      <w:proofErr w:type="spellEnd"/>
      <w:r>
        <w:rPr>
          <w:rFonts w:asciiTheme="majorBidi" w:hAnsiTheme="majorBidi" w:cstheme="majorBidi"/>
          <w:sz w:val="20"/>
          <w:szCs w:val="20"/>
        </w:rPr>
        <w:t xml:space="preserve">, </w:t>
      </w:r>
      <w:r w:rsidRPr="00A71A38">
        <w:rPr>
          <w:rFonts w:asciiTheme="majorBidi" w:hAnsiTheme="majorBidi" w:cstheme="majorBidi"/>
          <w:i/>
          <w:iCs/>
          <w:sz w:val="20"/>
          <w:szCs w:val="20"/>
        </w:rPr>
        <w:t>Material and Digital Reconstruction</w:t>
      </w:r>
      <w:r>
        <w:rPr>
          <w:rFonts w:asciiTheme="majorBidi" w:hAnsiTheme="majorBidi" w:cstheme="majorBidi"/>
          <w:sz w:val="20"/>
          <w:szCs w:val="20"/>
        </w:rPr>
        <w:t xml:space="preserve">, show that 4Q418a is a 36-line scroll. The hypothesis that 4Q415 is a </w:t>
      </w:r>
      <w:r w:rsidRPr="00A71A38">
        <w:rPr>
          <w:rFonts w:asciiTheme="majorBidi" w:hAnsiTheme="majorBidi" w:cstheme="majorBidi"/>
          <w:sz w:val="20"/>
          <w:szCs w:val="20"/>
        </w:rPr>
        <w:t xml:space="preserve">28-line scroll corresponds to the speculation that the sheets of 4Q415 once belonged to 4Q418, based on the similarity of the scripts in 4Q415 and 4Q418. </w:t>
      </w:r>
      <w:r w:rsidRPr="005B4A23">
        <w:rPr>
          <w:rFonts w:ascii="Times New Roman" w:hAnsi="Times New Roman" w:cs="Times New Roman"/>
          <w:sz w:val="20"/>
          <w:szCs w:val="20"/>
        </w:rPr>
        <w:t xml:space="preserve">This number is higher than the average of 20 lines per column in the Dead Sea Scroll corpus estimated by Tov, </w:t>
      </w:r>
      <w:r w:rsidRPr="005B4A23">
        <w:rPr>
          <w:rFonts w:ascii="Times New Roman" w:hAnsi="Times New Roman" w:cs="Times New Roman"/>
          <w:i/>
          <w:iCs/>
          <w:sz w:val="20"/>
          <w:szCs w:val="20"/>
        </w:rPr>
        <w:t>Scribal Practices</w:t>
      </w:r>
      <w:r w:rsidRPr="005B4A23">
        <w:rPr>
          <w:rFonts w:ascii="Times New Roman" w:hAnsi="Times New Roman" w:cs="Times New Roman"/>
          <w:sz w:val="20"/>
          <w:szCs w:val="20"/>
        </w:rPr>
        <w:t xml:space="preserve">, 78.   </w:t>
      </w:r>
    </w:p>
  </w:footnote>
  <w:footnote w:id="14">
    <w:p w14:paraId="02AD26F9" w14:textId="77777777" w:rsidR="00895E53" w:rsidRPr="006D3161" w:rsidRDefault="00895E53" w:rsidP="00783833">
      <w:pPr>
        <w:pStyle w:val="a3"/>
        <w:bidi w:val="0"/>
        <w:jc w:val="both"/>
        <w:rPr>
          <w:rFonts w:asciiTheme="majorBidi" w:hAnsiTheme="majorBidi" w:cstheme="majorBidi"/>
          <w:sz w:val="20"/>
          <w:szCs w:val="20"/>
        </w:rPr>
      </w:pPr>
      <w:r>
        <w:rPr>
          <w:rStyle w:val="a5"/>
        </w:rPr>
        <w:footnoteRef/>
      </w:r>
      <w:r>
        <w:rPr>
          <w:rtl/>
        </w:rPr>
        <w:t xml:space="preserve"> </w:t>
      </w:r>
      <w:r>
        <w:rPr>
          <w:rFonts w:asciiTheme="majorBidi" w:hAnsiTheme="majorBidi" w:cstheme="majorBidi"/>
          <w:sz w:val="20"/>
          <w:szCs w:val="20"/>
        </w:rPr>
        <w:t xml:space="preserve">Tov, </w:t>
      </w:r>
      <w:r>
        <w:rPr>
          <w:rFonts w:asciiTheme="majorBidi" w:hAnsiTheme="majorBidi" w:cstheme="majorBidi"/>
          <w:i/>
          <w:iCs/>
          <w:sz w:val="20"/>
          <w:szCs w:val="20"/>
        </w:rPr>
        <w:t>Scribal Practices</w:t>
      </w:r>
      <w:r>
        <w:rPr>
          <w:rFonts w:asciiTheme="majorBidi" w:hAnsiTheme="majorBidi" w:cstheme="majorBidi"/>
          <w:sz w:val="20"/>
          <w:szCs w:val="20"/>
        </w:rPr>
        <w:t xml:space="preserve">, 97. </w:t>
      </w:r>
    </w:p>
  </w:footnote>
  <w:footnote w:id="15">
    <w:p w14:paraId="47BCD47B" w14:textId="77777777" w:rsidR="00895E53" w:rsidRDefault="00895E53" w:rsidP="00783833">
      <w:pPr>
        <w:pStyle w:val="a3"/>
        <w:bidi w:val="0"/>
      </w:pPr>
      <w:r>
        <w:rPr>
          <w:rStyle w:val="a5"/>
        </w:rPr>
        <w:footnoteRef/>
      </w:r>
      <w:r>
        <w:rPr>
          <w:rtl/>
        </w:rPr>
        <w:t xml:space="preserve"> </w:t>
      </w:r>
      <w:r w:rsidRPr="00EA696B">
        <w:rPr>
          <w:rFonts w:asciiTheme="majorBidi" w:hAnsiTheme="majorBidi" w:cstheme="majorBidi"/>
          <w:sz w:val="20"/>
          <w:szCs w:val="20"/>
        </w:rPr>
        <w:t>Using the Adobe InDesign measuring tool, my measurement error is not more than 0.5 mm.</w:t>
      </w:r>
    </w:p>
  </w:footnote>
  <w:footnote w:id="16">
    <w:p w14:paraId="32304B1A" w14:textId="77777777" w:rsidR="00895E53" w:rsidRPr="00C27BBD" w:rsidRDefault="00895E5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Stegemann</w:t>
      </w:r>
      <w:proofErr w:type="spellEnd"/>
      <w:r>
        <w:rPr>
          <w:rFonts w:asciiTheme="majorBidi" w:hAnsiTheme="majorBidi" w:cstheme="majorBidi"/>
          <w:sz w:val="20"/>
          <w:szCs w:val="20"/>
        </w:rPr>
        <w:t xml:space="preserve">, “Methods,” 195. </w:t>
      </w:r>
    </w:p>
  </w:footnote>
  <w:footnote w:id="17">
    <w:p w14:paraId="01BDFBD1" w14:textId="77777777" w:rsidR="00895E53" w:rsidRPr="00AA1014" w:rsidRDefault="00895E5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Ratzon</w:t>
      </w:r>
      <w:proofErr w:type="spellEnd"/>
      <w:r>
        <w:rPr>
          <w:rFonts w:asciiTheme="majorBidi" w:hAnsiTheme="majorBidi" w:cstheme="majorBidi"/>
          <w:sz w:val="20"/>
          <w:szCs w:val="20"/>
        </w:rPr>
        <w:t xml:space="preserve"> and Dershowitz, “Can We Determine”. </w:t>
      </w:r>
    </w:p>
  </w:footnote>
  <w:footnote w:id="18">
    <w:p w14:paraId="70722C75" w14:textId="77777777" w:rsidR="00895E53" w:rsidRDefault="00895E53" w:rsidP="00783833">
      <w:pPr>
        <w:pStyle w:val="a3"/>
        <w:bidi w:val="0"/>
      </w:pPr>
      <w:r>
        <w:rPr>
          <w:rStyle w:val="a5"/>
        </w:rPr>
        <w:footnoteRef/>
      </w:r>
      <w:r>
        <w:rPr>
          <w:rtl/>
        </w:rPr>
        <w:t xml:space="preserve"> </w:t>
      </w:r>
      <w:r>
        <w:rPr>
          <w:rFonts w:asciiTheme="majorBidi" w:hAnsiTheme="majorBidi" w:cstheme="majorBidi"/>
          <w:sz w:val="20"/>
          <w:szCs w:val="20"/>
        </w:rPr>
        <w:t>SH, “A. Instruction.”, 50.</w:t>
      </w:r>
    </w:p>
  </w:footnote>
  <w:footnote w:id="19">
    <w:p w14:paraId="672072CC" w14:textId="77777777" w:rsidR="00895E53" w:rsidRDefault="00895E53" w:rsidP="00783833">
      <w:pPr>
        <w:pStyle w:val="a3"/>
        <w:bidi w:val="0"/>
        <w:jc w:val="both"/>
      </w:pPr>
      <w:r>
        <w:rPr>
          <w:rStyle w:val="a5"/>
        </w:rPr>
        <w:footnoteRef/>
      </w:r>
      <w:r>
        <w:rPr>
          <w:rtl/>
        </w:rPr>
        <w:t xml:space="preserve"> </w:t>
      </w:r>
      <w:r>
        <w:rPr>
          <w:rFonts w:asciiTheme="majorBidi" w:hAnsiTheme="majorBidi" w:cstheme="majorBidi"/>
          <w:sz w:val="20"/>
          <w:szCs w:val="20"/>
        </w:rPr>
        <w:t xml:space="preserve">Tigchelaar, </w:t>
      </w:r>
      <w:r>
        <w:rPr>
          <w:rFonts w:asciiTheme="majorBidi" w:hAnsiTheme="majorBidi" w:cstheme="majorBidi"/>
          <w:i/>
          <w:iCs/>
          <w:sz w:val="20"/>
          <w:szCs w:val="20"/>
        </w:rPr>
        <w:t>Increase Learning</w:t>
      </w:r>
      <w:r>
        <w:rPr>
          <w:rFonts w:asciiTheme="majorBidi" w:hAnsiTheme="majorBidi" w:cstheme="majorBidi"/>
          <w:sz w:val="20"/>
          <w:szCs w:val="20"/>
        </w:rPr>
        <w:t>,</w:t>
      </w:r>
      <w:r w:rsidRPr="00A71A38">
        <w:rPr>
          <w:rFonts w:asciiTheme="majorBidi" w:hAnsiTheme="majorBidi" w:cstheme="majorBidi"/>
          <w:sz w:val="20"/>
          <w:szCs w:val="20"/>
        </w:rPr>
        <w:t xml:space="preserve"> </w:t>
      </w:r>
      <w:r>
        <w:rPr>
          <w:rFonts w:asciiTheme="majorBidi" w:hAnsiTheme="majorBidi" w:cstheme="majorBidi"/>
          <w:sz w:val="20"/>
          <w:szCs w:val="20"/>
        </w:rPr>
        <w:t>33.</w:t>
      </w:r>
    </w:p>
  </w:footnote>
  <w:footnote w:id="20">
    <w:p w14:paraId="62E0FB69" w14:textId="77777777" w:rsidR="00895E53" w:rsidRPr="00950F4F" w:rsidRDefault="00895E53" w:rsidP="00783833">
      <w:pPr>
        <w:pStyle w:val="a3"/>
        <w:bidi w:val="0"/>
        <w:rPr>
          <w:rFonts w:asciiTheme="majorBidi" w:hAnsiTheme="majorBidi" w:cstheme="majorBidi"/>
          <w:sz w:val="20"/>
          <w:szCs w:val="20"/>
        </w:rPr>
      </w:pPr>
      <w:r>
        <w:rPr>
          <w:rStyle w:val="a5"/>
        </w:rPr>
        <w:footnoteRef/>
      </w:r>
      <w:r>
        <w:rPr>
          <w:rtl/>
        </w:rPr>
        <w:t xml:space="preserve"> </w:t>
      </w:r>
      <w:proofErr w:type="spellStart"/>
      <w:r>
        <w:rPr>
          <w:rFonts w:asciiTheme="majorBidi" w:hAnsiTheme="majorBidi" w:cstheme="majorBidi"/>
          <w:sz w:val="20"/>
          <w:szCs w:val="20"/>
        </w:rPr>
        <w:t>Eshel</w:t>
      </w:r>
      <w:proofErr w:type="spellEnd"/>
      <w:r>
        <w:rPr>
          <w:rFonts w:asciiTheme="majorBidi" w:hAnsiTheme="majorBidi" w:cstheme="majorBidi"/>
          <w:sz w:val="20"/>
          <w:szCs w:val="20"/>
        </w:rPr>
        <w:t xml:space="preserve">, “414,” 141–142. </w:t>
      </w:r>
    </w:p>
  </w:footnote>
  <w:footnote w:id="21">
    <w:p w14:paraId="6C19DC49" w14:textId="77777777" w:rsidR="00895E53" w:rsidRPr="00EE2258" w:rsidRDefault="00895E53" w:rsidP="00783833">
      <w:pPr>
        <w:pStyle w:val="a3"/>
        <w:bidi w:val="0"/>
        <w:rPr>
          <w:rFonts w:asciiTheme="majorBidi" w:hAnsiTheme="majorBidi" w:cstheme="majorBidi"/>
        </w:rPr>
      </w:pPr>
      <w:r>
        <w:rPr>
          <w:rStyle w:val="a5"/>
        </w:rPr>
        <w:footnoteRef/>
      </w:r>
      <w:r>
        <w:rPr>
          <w:rtl/>
        </w:rPr>
        <w:t xml:space="preserve"> </w:t>
      </w:r>
      <w:r w:rsidRPr="00AE786D">
        <w:rPr>
          <w:rFonts w:asciiTheme="majorBidi" w:hAnsiTheme="majorBidi" w:cstheme="majorBidi"/>
          <w:sz w:val="20"/>
          <w:szCs w:val="20"/>
        </w:rPr>
        <w:t>Ben-</w:t>
      </w:r>
      <w:proofErr w:type="spellStart"/>
      <w:r w:rsidRPr="00AE786D">
        <w:rPr>
          <w:rFonts w:asciiTheme="majorBidi" w:hAnsiTheme="majorBidi" w:cstheme="majorBidi"/>
          <w:sz w:val="20"/>
          <w:szCs w:val="20"/>
        </w:rPr>
        <w:t>Dov</w:t>
      </w:r>
      <w:proofErr w:type="spellEnd"/>
      <w:r w:rsidRPr="00AE786D">
        <w:rPr>
          <w:rFonts w:asciiTheme="majorBidi" w:hAnsiTheme="majorBidi" w:cstheme="majorBidi"/>
          <w:sz w:val="20"/>
          <w:szCs w:val="20"/>
        </w:rPr>
        <w:t xml:space="preserve">, Gayer and </w:t>
      </w:r>
      <w:proofErr w:type="spellStart"/>
      <w:r w:rsidRPr="00AE786D">
        <w:rPr>
          <w:rFonts w:asciiTheme="majorBidi" w:hAnsiTheme="majorBidi" w:cstheme="majorBidi"/>
          <w:sz w:val="20"/>
          <w:szCs w:val="20"/>
        </w:rPr>
        <w:t>Ratzon</w:t>
      </w:r>
      <w:proofErr w:type="spellEnd"/>
      <w:r w:rsidRPr="00AE786D">
        <w:rPr>
          <w:rFonts w:asciiTheme="majorBidi" w:hAnsiTheme="majorBidi" w:cstheme="majorBidi"/>
          <w:sz w:val="20"/>
          <w:szCs w:val="20"/>
        </w:rPr>
        <w:t xml:space="preserve">, </w:t>
      </w:r>
      <w:r w:rsidRPr="00AE786D">
        <w:rPr>
          <w:rFonts w:asciiTheme="majorBidi" w:hAnsiTheme="majorBidi" w:cstheme="majorBidi"/>
          <w:i/>
          <w:iCs/>
          <w:sz w:val="20"/>
          <w:szCs w:val="20"/>
        </w:rPr>
        <w:t>Material and Digital Reconstruction</w:t>
      </w:r>
      <w:r w:rsidRPr="00AE786D">
        <w:rPr>
          <w:rFonts w:asciiTheme="majorBidi" w:hAnsiTheme="majorBidi" w:cstheme="majorBidi"/>
          <w:sz w:val="20"/>
          <w:szCs w:val="20"/>
        </w:rPr>
        <w:t>,</w:t>
      </w:r>
      <w:r w:rsidRPr="00AE786D">
        <w:rPr>
          <w:rFonts w:asciiTheme="majorBidi" w:hAnsiTheme="majorBidi" w:cstheme="majorBidi"/>
          <w:i/>
          <w:iCs/>
          <w:sz w:val="20"/>
          <w:szCs w:val="20"/>
        </w:rPr>
        <w:t xml:space="preserve"> </w:t>
      </w:r>
      <w:r w:rsidRPr="00AE786D">
        <w:rPr>
          <w:rFonts w:asciiTheme="majorBidi" w:hAnsiTheme="majorBidi" w:cstheme="majorBidi"/>
          <w:sz w:val="20"/>
          <w:szCs w:val="20"/>
        </w:rPr>
        <w:t>Chap. N.</w:t>
      </w:r>
      <w:r>
        <w:rPr>
          <w:rFonts w:asciiTheme="majorBidi" w:hAnsiTheme="majorBidi" w:cstheme="majorBidi"/>
          <w:i/>
          <w:iCs/>
        </w:rPr>
        <w:t xml:space="preserve"> </w:t>
      </w:r>
    </w:p>
  </w:footnote>
  <w:footnote w:id="22">
    <w:p w14:paraId="3724C100" w14:textId="3E08B2F8" w:rsidR="00895E53" w:rsidRPr="00717BB2" w:rsidRDefault="00895E53" w:rsidP="00783833">
      <w:pPr>
        <w:pStyle w:val="a3"/>
        <w:bidi w:val="0"/>
        <w:jc w:val="both"/>
        <w:rPr>
          <w:rFonts w:asciiTheme="majorBidi" w:hAnsiTheme="majorBidi" w:cstheme="majorBidi"/>
        </w:rPr>
      </w:pPr>
      <w:r>
        <w:rPr>
          <w:rStyle w:val="a5"/>
        </w:rPr>
        <w:footnoteRef/>
      </w:r>
      <w:r>
        <w:rPr>
          <w:rtl/>
        </w:rPr>
        <w:t xml:space="preserve"> </w:t>
      </w:r>
      <w:r w:rsidRPr="0064152E">
        <w:rPr>
          <w:rFonts w:asciiTheme="majorBidi" w:hAnsiTheme="majorBidi" w:cstheme="majorBidi"/>
          <w:sz w:val="20"/>
          <w:szCs w:val="20"/>
        </w:rPr>
        <w:t xml:space="preserve">The full margin of error </w:t>
      </w:r>
      <w:r>
        <w:rPr>
          <w:rFonts w:asciiTheme="majorBidi" w:hAnsiTheme="majorBidi" w:cstheme="majorBidi"/>
          <w:sz w:val="20"/>
          <w:szCs w:val="20"/>
        </w:rPr>
        <w:t>for</w:t>
      </w:r>
      <w:r w:rsidRPr="0064152E">
        <w:rPr>
          <w:rFonts w:asciiTheme="majorBidi" w:hAnsiTheme="majorBidi" w:cstheme="majorBidi"/>
          <w:sz w:val="20"/>
          <w:szCs w:val="20"/>
        </w:rPr>
        <w:t xml:space="preserve"> the width of column 1 is 0.3 cm, but the </w:t>
      </w:r>
      <w:r>
        <w:rPr>
          <w:rFonts w:asciiTheme="majorBidi" w:hAnsiTheme="majorBidi" w:cstheme="majorBidi"/>
          <w:sz w:val="20"/>
          <w:szCs w:val="20"/>
        </w:rPr>
        <w:t>measurement</w:t>
      </w:r>
      <w:r w:rsidRPr="0064152E">
        <w:rPr>
          <w:rFonts w:asciiTheme="majorBidi" w:hAnsiTheme="majorBidi" w:cstheme="majorBidi"/>
          <w:sz w:val="20"/>
          <w:szCs w:val="20"/>
        </w:rPr>
        <w:t xml:space="preserve"> of the distance between A and B included only half of this column.</w:t>
      </w:r>
      <w:r>
        <w:rPr>
          <w:rFonts w:asciiTheme="majorBidi" w:hAnsiTheme="majorBidi" w:cstheme="majorBidi"/>
        </w:rPr>
        <w:t xml:space="preserve"> </w:t>
      </w:r>
    </w:p>
  </w:footnote>
  <w:footnote w:id="23">
    <w:p w14:paraId="180CE6CF" w14:textId="77777777" w:rsidR="00895E53" w:rsidRPr="00E5601D" w:rsidRDefault="00895E53" w:rsidP="00783833">
      <w:pPr>
        <w:pStyle w:val="a3"/>
        <w:bidi w:val="0"/>
        <w:spacing w:line="360" w:lineRule="auto"/>
        <w:rPr>
          <w:rFonts w:asciiTheme="majorBidi" w:hAnsiTheme="majorBidi" w:cstheme="majorBidi"/>
        </w:rPr>
      </w:pPr>
      <w:r w:rsidRPr="00E5601D">
        <w:rPr>
          <w:rStyle w:val="a5"/>
          <w:rFonts w:asciiTheme="majorBidi" w:hAnsiTheme="majorBidi" w:cstheme="majorBidi"/>
        </w:rPr>
        <w:footnoteRef/>
      </w:r>
      <w:r w:rsidRPr="00E5601D">
        <w:rPr>
          <w:rFonts w:asciiTheme="majorBidi" w:hAnsiTheme="majorBidi" w:cstheme="majorBidi"/>
        </w:rPr>
        <w:t xml:space="preserve"> </w:t>
      </w:r>
      <w:proofErr w:type="spellStart"/>
      <w:r w:rsidRPr="0064152E">
        <w:rPr>
          <w:rFonts w:asciiTheme="majorBidi" w:hAnsiTheme="majorBidi" w:cstheme="majorBidi"/>
          <w:sz w:val="20"/>
          <w:szCs w:val="20"/>
        </w:rPr>
        <w:t>Stegemann</w:t>
      </w:r>
      <w:proofErr w:type="spellEnd"/>
      <w:r w:rsidRPr="0064152E">
        <w:rPr>
          <w:rFonts w:asciiTheme="majorBidi" w:hAnsiTheme="majorBidi" w:cstheme="majorBidi"/>
          <w:sz w:val="20"/>
          <w:szCs w:val="20"/>
        </w:rPr>
        <w:t>, “Methods,” 195.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F54A35"/>
    <w:multiLevelType w:val="hybridMultilevel"/>
    <w:tmpl w:val="3B56E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2D1EA9"/>
    <w:multiLevelType w:val="hybridMultilevel"/>
    <w:tmpl w:val="C2EE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יהונתן דיפני">
    <w15:presenceInfo w15:providerId="Windows Live" w15:userId="aee9333f00d16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yszAwszQzMTYwNTdX0lEKTi0uzszPAykwrAUAW4YvbywAAAA="/>
  </w:docVars>
  <w:rsids>
    <w:rsidRoot w:val="00783833"/>
    <w:rsid w:val="00005A11"/>
    <w:rsid w:val="00014D13"/>
    <w:rsid w:val="00060D75"/>
    <w:rsid w:val="0007733B"/>
    <w:rsid w:val="000776A4"/>
    <w:rsid w:val="000C65B9"/>
    <w:rsid w:val="00102E42"/>
    <w:rsid w:val="00103519"/>
    <w:rsid w:val="00107930"/>
    <w:rsid w:val="00137220"/>
    <w:rsid w:val="00141E38"/>
    <w:rsid w:val="00144DA2"/>
    <w:rsid w:val="001507A2"/>
    <w:rsid w:val="0016135A"/>
    <w:rsid w:val="00181EFA"/>
    <w:rsid w:val="0018399E"/>
    <w:rsid w:val="00191A6A"/>
    <w:rsid w:val="001B2485"/>
    <w:rsid w:val="001B4DF2"/>
    <w:rsid w:val="001D09F1"/>
    <w:rsid w:val="002119C3"/>
    <w:rsid w:val="002222B5"/>
    <w:rsid w:val="00222ACF"/>
    <w:rsid w:val="00227AAA"/>
    <w:rsid w:val="00233F64"/>
    <w:rsid w:val="0023524D"/>
    <w:rsid w:val="00251109"/>
    <w:rsid w:val="002A5FA5"/>
    <w:rsid w:val="0033735B"/>
    <w:rsid w:val="00337630"/>
    <w:rsid w:val="00350A1E"/>
    <w:rsid w:val="003550D2"/>
    <w:rsid w:val="0038577E"/>
    <w:rsid w:val="003A44D3"/>
    <w:rsid w:val="003C756F"/>
    <w:rsid w:val="003E0EE5"/>
    <w:rsid w:val="003E0FF1"/>
    <w:rsid w:val="003F05B8"/>
    <w:rsid w:val="00401589"/>
    <w:rsid w:val="004051D9"/>
    <w:rsid w:val="00414DFA"/>
    <w:rsid w:val="00455086"/>
    <w:rsid w:val="004552FF"/>
    <w:rsid w:val="00495BD2"/>
    <w:rsid w:val="004A16AD"/>
    <w:rsid w:val="004D0DDB"/>
    <w:rsid w:val="00513E2C"/>
    <w:rsid w:val="005354CD"/>
    <w:rsid w:val="005516C5"/>
    <w:rsid w:val="00551A9F"/>
    <w:rsid w:val="0056052A"/>
    <w:rsid w:val="00585F53"/>
    <w:rsid w:val="00595BC2"/>
    <w:rsid w:val="005B3B9D"/>
    <w:rsid w:val="005B4A65"/>
    <w:rsid w:val="005B55AD"/>
    <w:rsid w:val="005C1B42"/>
    <w:rsid w:val="005F0066"/>
    <w:rsid w:val="00610791"/>
    <w:rsid w:val="00615333"/>
    <w:rsid w:val="00625F09"/>
    <w:rsid w:val="006304DA"/>
    <w:rsid w:val="00631392"/>
    <w:rsid w:val="00686AB6"/>
    <w:rsid w:val="00687703"/>
    <w:rsid w:val="007026B5"/>
    <w:rsid w:val="00711D71"/>
    <w:rsid w:val="007178A7"/>
    <w:rsid w:val="007223F9"/>
    <w:rsid w:val="007322A9"/>
    <w:rsid w:val="00740529"/>
    <w:rsid w:val="00740E16"/>
    <w:rsid w:val="00744F78"/>
    <w:rsid w:val="00760C86"/>
    <w:rsid w:val="007663D9"/>
    <w:rsid w:val="00770433"/>
    <w:rsid w:val="00783833"/>
    <w:rsid w:val="007F4B39"/>
    <w:rsid w:val="00827C8D"/>
    <w:rsid w:val="00830666"/>
    <w:rsid w:val="00840C40"/>
    <w:rsid w:val="00841A0D"/>
    <w:rsid w:val="00847905"/>
    <w:rsid w:val="00885EE7"/>
    <w:rsid w:val="00895E53"/>
    <w:rsid w:val="008C03BD"/>
    <w:rsid w:val="008C3D43"/>
    <w:rsid w:val="008E3334"/>
    <w:rsid w:val="009465CC"/>
    <w:rsid w:val="00954214"/>
    <w:rsid w:val="00976B72"/>
    <w:rsid w:val="00987995"/>
    <w:rsid w:val="00993109"/>
    <w:rsid w:val="00995095"/>
    <w:rsid w:val="009A7005"/>
    <w:rsid w:val="009B4C1E"/>
    <w:rsid w:val="009C4940"/>
    <w:rsid w:val="009E3DA2"/>
    <w:rsid w:val="009E5D0B"/>
    <w:rsid w:val="00A126AD"/>
    <w:rsid w:val="00A17F9D"/>
    <w:rsid w:val="00A229A1"/>
    <w:rsid w:val="00A403F9"/>
    <w:rsid w:val="00A4654C"/>
    <w:rsid w:val="00A57281"/>
    <w:rsid w:val="00A95632"/>
    <w:rsid w:val="00AA73D5"/>
    <w:rsid w:val="00AC7B4B"/>
    <w:rsid w:val="00AE5F8F"/>
    <w:rsid w:val="00AF67BA"/>
    <w:rsid w:val="00B10CA9"/>
    <w:rsid w:val="00B276E7"/>
    <w:rsid w:val="00B32B3A"/>
    <w:rsid w:val="00B552DE"/>
    <w:rsid w:val="00B739EB"/>
    <w:rsid w:val="00BE4316"/>
    <w:rsid w:val="00BE551D"/>
    <w:rsid w:val="00BF32A3"/>
    <w:rsid w:val="00C063AA"/>
    <w:rsid w:val="00C1590B"/>
    <w:rsid w:val="00C21746"/>
    <w:rsid w:val="00C219CB"/>
    <w:rsid w:val="00C459CF"/>
    <w:rsid w:val="00C475C4"/>
    <w:rsid w:val="00C74CAF"/>
    <w:rsid w:val="00CA14E1"/>
    <w:rsid w:val="00CB266D"/>
    <w:rsid w:val="00CE167E"/>
    <w:rsid w:val="00CE2C55"/>
    <w:rsid w:val="00CE614E"/>
    <w:rsid w:val="00D27711"/>
    <w:rsid w:val="00D5353B"/>
    <w:rsid w:val="00D81D81"/>
    <w:rsid w:val="00D8308C"/>
    <w:rsid w:val="00D87348"/>
    <w:rsid w:val="00D900B1"/>
    <w:rsid w:val="00D90A26"/>
    <w:rsid w:val="00DB48A3"/>
    <w:rsid w:val="00DC1D20"/>
    <w:rsid w:val="00DD13C2"/>
    <w:rsid w:val="00DD3B40"/>
    <w:rsid w:val="00DE4551"/>
    <w:rsid w:val="00E41DAC"/>
    <w:rsid w:val="00E444C2"/>
    <w:rsid w:val="00E46D6A"/>
    <w:rsid w:val="00E75B0C"/>
    <w:rsid w:val="00E94FA9"/>
    <w:rsid w:val="00EA0392"/>
    <w:rsid w:val="00EA2096"/>
    <w:rsid w:val="00EA4A1A"/>
    <w:rsid w:val="00EB1168"/>
    <w:rsid w:val="00EB3C01"/>
    <w:rsid w:val="00EC3CA0"/>
    <w:rsid w:val="00ED0B12"/>
    <w:rsid w:val="00EE0DC5"/>
    <w:rsid w:val="00F30C55"/>
    <w:rsid w:val="00F32A52"/>
    <w:rsid w:val="00F33E49"/>
    <w:rsid w:val="00F343C4"/>
    <w:rsid w:val="00F61AC6"/>
    <w:rsid w:val="00F70EEF"/>
    <w:rsid w:val="00F72252"/>
    <w:rsid w:val="00F92619"/>
    <w:rsid w:val="00FA495A"/>
    <w:rsid w:val="00FC4E52"/>
    <w:rsid w:val="00FD4DCD"/>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CB5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83833"/>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83833"/>
  </w:style>
  <w:style w:type="character" w:customStyle="1" w:styleId="a4">
    <w:name w:val="טקסט הערת שוליים תו"/>
    <w:basedOn w:val="a0"/>
    <w:link w:val="a3"/>
    <w:uiPriority w:val="99"/>
    <w:rsid w:val="00783833"/>
  </w:style>
  <w:style w:type="character" w:styleId="a5">
    <w:name w:val="footnote reference"/>
    <w:basedOn w:val="a0"/>
    <w:uiPriority w:val="99"/>
    <w:unhideWhenUsed/>
    <w:rsid w:val="00783833"/>
    <w:rPr>
      <w:vertAlign w:val="superscript"/>
    </w:rPr>
  </w:style>
  <w:style w:type="paragraph" w:styleId="a6">
    <w:name w:val="List Paragraph"/>
    <w:basedOn w:val="a"/>
    <w:uiPriority w:val="34"/>
    <w:qFormat/>
    <w:rsid w:val="00783833"/>
    <w:pPr>
      <w:ind w:left="720"/>
      <w:contextualSpacing/>
    </w:pPr>
  </w:style>
  <w:style w:type="table" w:styleId="a7">
    <w:name w:val="Table Grid"/>
    <w:basedOn w:val="a1"/>
    <w:uiPriority w:val="39"/>
    <w:rsid w:val="007838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DB48A3"/>
    <w:rPr>
      <w:sz w:val="16"/>
      <w:szCs w:val="16"/>
    </w:rPr>
  </w:style>
  <w:style w:type="paragraph" w:styleId="a9">
    <w:name w:val="annotation text"/>
    <w:basedOn w:val="a"/>
    <w:link w:val="aa"/>
    <w:uiPriority w:val="99"/>
    <w:semiHidden/>
    <w:unhideWhenUsed/>
    <w:rsid w:val="00DB48A3"/>
    <w:rPr>
      <w:sz w:val="20"/>
      <w:szCs w:val="20"/>
    </w:rPr>
  </w:style>
  <w:style w:type="character" w:customStyle="1" w:styleId="aa">
    <w:name w:val="טקסט הערה תו"/>
    <w:basedOn w:val="a0"/>
    <w:link w:val="a9"/>
    <w:uiPriority w:val="99"/>
    <w:semiHidden/>
    <w:rsid w:val="00DB48A3"/>
    <w:rPr>
      <w:sz w:val="20"/>
      <w:szCs w:val="20"/>
    </w:rPr>
  </w:style>
  <w:style w:type="paragraph" w:styleId="ab">
    <w:name w:val="annotation subject"/>
    <w:basedOn w:val="a9"/>
    <w:next w:val="a9"/>
    <w:link w:val="ac"/>
    <w:uiPriority w:val="99"/>
    <w:semiHidden/>
    <w:unhideWhenUsed/>
    <w:rsid w:val="00DB48A3"/>
    <w:rPr>
      <w:b/>
      <w:bCs/>
    </w:rPr>
  </w:style>
  <w:style w:type="character" w:customStyle="1" w:styleId="ac">
    <w:name w:val="נושא הערה תו"/>
    <w:basedOn w:val="aa"/>
    <w:link w:val="ab"/>
    <w:uiPriority w:val="99"/>
    <w:semiHidden/>
    <w:rsid w:val="00DB48A3"/>
    <w:rPr>
      <w:b/>
      <w:bCs/>
      <w:sz w:val="20"/>
      <w:szCs w:val="20"/>
    </w:rPr>
  </w:style>
  <w:style w:type="paragraph" w:styleId="ad">
    <w:name w:val="Balloon Text"/>
    <w:basedOn w:val="a"/>
    <w:link w:val="ae"/>
    <w:uiPriority w:val="99"/>
    <w:semiHidden/>
    <w:unhideWhenUsed/>
    <w:rsid w:val="00DB48A3"/>
    <w:rPr>
      <w:rFonts w:ascii="Segoe UI" w:hAnsi="Segoe UI" w:cs="Segoe UI"/>
      <w:sz w:val="18"/>
      <w:szCs w:val="18"/>
    </w:rPr>
  </w:style>
  <w:style w:type="character" w:customStyle="1" w:styleId="ae">
    <w:name w:val="טקסט בלונים תו"/>
    <w:basedOn w:val="a0"/>
    <w:link w:val="ad"/>
    <w:uiPriority w:val="99"/>
    <w:semiHidden/>
    <w:rsid w:val="00DB48A3"/>
    <w:rPr>
      <w:rFonts w:ascii="Segoe UI" w:hAnsi="Segoe UI" w:cs="Segoe UI"/>
      <w:sz w:val="18"/>
      <w:szCs w:val="18"/>
    </w:rPr>
  </w:style>
  <w:style w:type="paragraph" w:styleId="af">
    <w:name w:val="header"/>
    <w:basedOn w:val="a"/>
    <w:link w:val="af0"/>
    <w:uiPriority w:val="99"/>
    <w:unhideWhenUsed/>
    <w:rsid w:val="0007733B"/>
    <w:pPr>
      <w:tabs>
        <w:tab w:val="center" w:pos="4513"/>
        <w:tab w:val="right" w:pos="9026"/>
      </w:tabs>
    </w:pPr>
  </w:style>
  <w:style w:type="character" w:customStyle="1" w:styleId="af0">
    <w:name w:val="כותרת עליונה תו"/>
    <w:basedOn w:val="a0"/>
    <w:link w:val="af"/>
    <w:uiPriority w:val="99"/>
    <w:rsid w:val="0007733B"/>
  </w:style>
  <w:style w:type="paragraph" w:styleId="af1">
    <w:name w:val="footer"/>
    <w:basedOn w:val="a"/>
    <w:link w:val="af2"/>
    <w:uiPriority w:val="99"/>
    <w:unhideWhenUsed/>
    <w:rsid w:val="0007733B"/>
    <w:pPr>
      <w:tabs>
        <w:tab w:val="center" w:pos="4513"/>
        <w:tab w:val="right" w:pos="9026"/>
      </w:tabs>
    </w:pPr>
  </w:style>
  <w:style w:type="character" w:customStyle="1" w:styleId="af2">
    <w:name w:val="כותרת תחתונה תו"/>
    <w:basedOn w:val="a0"/>
    <w:link w:val="af1"/>
    <w:uiPriority w:val="99"/>
    <w:rsid w:val="00077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comments" Target="comments.xml"/><Relationship Id="rId13" Type="http://schemas.microsoft.com/office/2011/relationships/commentsExtended" Target="commentsExtended.xml"/><Relationship Id="rId14" Type="http://schemas.openxmlformats.org/officeDocument/2006/relationships/fontTable" Target="fontTable.xml"/><Relationship Id="rId15" Type="http://schemas.microsoft.com/office/2011/relationships/people" Target="people.xml"/><Relationship Id="rId16" Type="http://schemas.openxmlformats.org/officeDocument/2006/relationships/theme" Target="theme/theme1.xml"/><Relationship Id="rId17"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emf"/></Relationships>
</file>

<file path=word/theme/theme1.xml><?xml version="1.0" encoding="utf-8"?>
<a:theme xmlns:a="http://schemas.openxmlformats.org/drawingml/2006/main" name="ערכת נושא של Office">
  <a:themeElements>
    <a:clrScheme name="משרד">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משרד">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משרד">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16</Pages>
  <Words>4630</Words>
  <Characters>23152</Characters>
  <Application>Microsoft Macintosh Word</Application>
  <DocSecurity>0</DocSecurity>
  <Lines>192</Lines>
  <Paragraphs>55</Paragraphs>
  <ScaleCrop>false</ScaleCrop>
  <HeadingPairs>
    <vt:vector size="2" baseType="variant">
      <vt:variant>
        <vt:lpstr>כותרת</vt:lpstr>
      </vt:variant>
      <vt:variant>
        <vt:i4>1</vt:i4>
      </vt:variant>
    </vt:vector>
  </HeadingPairs>
  <TitlesOfParts>
    <vt:vector size="1" baseType="lpstr">
      <vt:lpstr/>
    </vt:vector>
  </TitlesOfParts>
  <Company/>
  <LinksUpToDate>false</LinksUpToDate>
  <CharactersWithSpaces>27727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יהונתן דיפני</cp:lastModifiedBy>
  <cp:revision>5</cp:revision>
  <dcterms:created xsi:type="dcterms:W3CDTF">2020-02-27T11:46:00Z</dcterms:created>
  <dcterms:modified xsi:type="dcterms:W3CDTF">2020-03-03T14:47:00Z</dcterms:modified>
</cp:coreProperties>
</file>