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A539" w14:textId="77777777" w:rsidR="003172C5" w:rsidRPr="00AC40D5" w:rsidRDefault="00EF6B07" w:rsidP="00EF6B07">
      <w:pPr>
        <w:bidi/>
        <w:rPr>
          <w:rFonts w:cstheme="minorHAnsi"/>
          <w:b/>
          <w:bCs/>
          <w:sz w:val="30"/>
          <w:szCs w:val="30"/>
        </w:rPr>
      </w:pPr>
      <w:bookmarkStart w:id="0" w:name="_GoBack"/>
      <w:bookmarkEnd w:id="0"/>
      <w:r w:rsidRPr="00AC40D5">
        <w:rPr>
          <w:rFonts w:cs="Times New Roman" w:hint="cs"/>
          <w:b/>
          <w:bCs/>
          <w:sz w:val="30"/>
          <w:szCs w:val="30"/>
          <w:rtl/>
        </w:rPr>
        <w:t>הנפקת מניות בכורה</w:t>
      </w:r>
    </w:p>
    <w:p w14:paraId="2A5D255E" w14:textId="77777777" w:rsidR="00A52394" w:rsidRPr="007F1CB6" w:rsidRDefault="00A52394" w:rsidP="00A52394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95A38" w:rsidRPr="007F1CB6" w14:paraId="15DD1C1A" w14:textId="77777777" w:rsidTr="00B95A38">
        <w:tc>
          <w:tcPr>
            <w:tcW w:w="8630" w:type="dxa"/>
            <w:gridSpan w:val="2"/>
            <w:shd w:val="clear" w:color="auto" w:fill="D9D9D9" w:themeFill="background1" w:themeFillShade="D9"/>
          </w:tcPr>
          <w:p w14:paraId="526F60B0" w14:textId="77777777" w:rsidR="00B95A38" w:rsidRPr="00B95A38" w:rsidRDefault="00B95A38" w:rsidP="00A52394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B95A38">
              <w:rPr>
                <w:rFonts w:cs="Times New Roman"/>
                <w:b/>
                <w:bCs/>
                <w:sz w:val="20"/>
                <w:szCs w:val="20"/>
                <w:rtl/>
              </w:rPr>
              <w:t>ניתוח רווחיות למשקיע</w:t>
            </w:r>
          </w:p>
        </w:tc>
      </w:tr>
      <w:tr w:rsidR="00A52394" w:rsidRPr="007F1CB6" w14:paraId="78E4EAC5" w14:textId="77777777" w:rsidTr="00A52394">
        <w:tc>
          <w:tcPr>
            <w:tcW w:w="4315" w:type="dxa"/>
          </w:tcPr>
          <w:p w14:paraId="5E8BD4F4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 xml:space="preserve">כ כספים זמינים לחלוקה </w:t>
            </w:r>
            <w:r w:rsidRPr="007F1CB6">
              <w:rPr>
                <w:rFonts w:cstheme="minorHAnsi"/>
                <w:sz w:val="20"/>
                <w:szCs w:val="20"/>
                <w:rtl/>
              </w:rPr>
              <w:t>(100%)</w:t>
            </w:r>
          </w:p>
        </w:tc>
        <w:tc>
          <w:tcPr>
            <w:tcW w:w="4315" w:type="dxa"/>
          </w:tcPr>
          <w:p w14:paraId="357587BB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82,265,893</w:t>
            </w:r>
          </w:p>
        </w:tc>
      </w:tr>
      <w:tr w:rsidR="00A52394" w:rsidRPr="007F1CB6" w14:paraId="53484136" w14:textId="77777777" w:rsidTr="00A52394">
        <w:tc>
          <w:tcPr>
            <w:tcW w:w="4315" w:type="dxa"/>
          </w:tcPr>
          <w:p w14:paraId="010F7F9B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תשואה מועדפת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7F1CB6">
              <w:rPr>
                <w:rFonts w:cs="Times New Roman"/>
                <w:sz w:val="20"/>
                <w:szCs w:val="20"/>
                <w:rtl/>
              </w:rPr>
              <w:t>קרן</w:t>
            </w:r>
          </w:p>
        </w:tc>
        <w:tc>
          <w:tcPr>
            <w:tcW w:w="4315" w:type="dxa"/>
          </w:tcPr>
          <w:p w14:paraId="4A9F107C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(32,412,512)</w:t>
            </w:r>
          </w:p>
        </w:tc>
      </w:tr>
      <w:tr w:rsidR="00A52394" w:rsidRPr="007F1CB6" w14:paraId="2F23CD98" w14:textId="77777777" w:rsidTr="00A52394">
        <w:tc>
          <w:tcPr>
            <w:tcW w:w="4315" w:type="dxa"/>
          </w:tcPr>
          <w:p w14:paraId="15FA8398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תשואה מועדפת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7F1CB6">
              <w:rPr>
                <w:rFonts w:cs="Times New Roman"/>
                <w:sz w:val="20"/>
                <w:szCs w:val="20"/>
                <w:rtl/>
              </w:rPr>
              <w:t>ריבית</w:t>
            </w:r>
          </w:p>
        </w:tc>
        <w:tc>
          <w:tcPr>
            <w:tcW w:w="4315" w:type="dxa"/>
          </w:tcPr>
          <w:p w14:paraId="469722EE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(5,313,439)</w:t>
            </w:r>
          </w:p>
        </w:tc>
      </w:tr>
      <w:tr w:rsidR="00A52394" w:rsidRPr="007F1CB6" w14:paraId="3D89DDE3" w14:textId="77777777" w:rsidTr="00A52394">
        <w:tc>
          <w:tcPr>
            <w:tcW w:w="4315" w:type="dxa"/>
          </w:tcPr>
          <w:p w14:paraId="0B92FE7D" w14:textId="77777777" w:rsidR="00A52394" w:rsidRPr="007F1CB6" w:rsidRDefault="00A52394" w:rsidP="00EF6B07">
            <w:pPr>
              <w:bidi/>
              <w:rPr>
                <w:rFonts w:cstheme="minorHAnsi"/>
                <w:sz w:val="20"/>
                <w:szCs w:val="20"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רווח זמין לחלוקה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="00EF6B07">
              <w:rPr>
                <w:rFonts w:cs="Times New Roman" w:hint="cs"/>
                <w:sz w:val="20"/>
                <w:szCs w:val="20"/>
                <w:rtl/>
              </w:rPr>
              <w:t xml:space="preserve">אחרי חלוקה </w:t>
            </w:r>
            <w:r w:rsidR="009F3AD8">
              <w:rPr>
                <w:rFonts w:cs="Times New Roman" w:hint="cs"/>
                <w:sz w:val="20"/>
                <w:szCs w:val="20"/>
                <w:rtl/>
              </w:rPr>
              <w:t>מועדפת</w:t>
            </w:r>
          </w:p>
        </w:tc>
        <w:tc>
          <w:tcPr>
            <w:tcW w:w="4315" w:type="dxa"/>
          </w:tcPr>
          <w:p w14:paraId="2139B2B7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44,539,942</w:t>
            </w:r>
          </w:p>
        </w:tc>
      </w:tr>
      <w:tr w:rsidR="00A52394" w:rsidRPr="007F1CB6" w14:paraId="0DDFEB66" w14:textId="77777777" w:rsidTr="00A52394">
        <w:tc>
          <w:tcPr>
            <w:tcW w:w="4315" w:type="dxa"/>
          </w:tcPr>
          <w:p w14:paraId="6D122B46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רווח זמין לחלוקה ל</w:t>
            </w:r>
            <w:r w:rsidRPr="007F1CB6">
              <w:rPr>
                <w:rFonts w:cstheme="minorHAnsi"/>
                <w:sz w:val="20"/>
                <w:szCs w:val="20"/>
                <w:rtl/>
              </w:rPr>
              <w:t>-</w:t>
            </w:r>
            <w:r w:rsidRPr="00B95A38">
              <w:rPr>
                <w:rFonts w:cstheme="minorHAnsi"/>
                <w:sz w:val="20"/>
                <w:szCs w:val="20"/>
                <w:highlight w:val="yellow"/>
              </w:rPr>
              <w:t>ADI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 (50%)</w:t>
            </w:r>
          </w:p>
        </w:tc>
        <w:tc>
          <w:tcPr>
            <w:tcW w:w="4315" w:type="dxa"/>
          </w:tcPr>
          <w:p w14:paraId="6D130627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22,269,971</w:t>
            </w:r>
          </w:p>
        </w:tc>
      </w:tr>
      <w:tr w:rsidR="00A52394" w:rsidRPr="007F1CB6" w14:paraId="1FCA345A" w14:textId="77777777" w:rsidTr="00A52394">
        <w:tc>
          <w:tcPr>
            <w:tcW w:w="4315" w:type="dxa"/>
          </w:tcPr>
          <w:p w14:paraId="62566AD0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 xml:space="preserve">כספים זמינים למשקיעי </w:t>
            </w:r>
            <w:r w:rsidRPr="00B95A38">
              <w:rPr>
                <w:rFonts w:cstheme="minorHAnsi"/>
                <w:sz w:val="20"/>
                <w:szCs w:val="20"/>
                <w:highlight w:val="yellow"/>
              </w:rPr>
              <w:t>ADI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 (70%)</w:t>
            </w:r>
          </w:p>
        </w:tc>
        <w:tc>
          <w:tcPr>
            <w:tcW w:w="4315" w:type="dxa"/>
          </w:tcPr>
          <w:p w14:paraId="284CA7B3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15,588,980</w:t>
            </w:r>
          </w:p>
        </w:tc>
      </w:tr>
      <w:tr w:rsidR="00A52394" w:rsidRPr="007F1CB6" w14:paraId="4273E2D3" w14:textId="77777777" w:rsidTr="00A52394">
        <w:tc>
          <w:tcPr>
            <w:tcW w:w="4315" w:type="dxa"/>
          </w:tcPr>
          <w:p w14:paraId="2B472E9F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עמלת הצלחה</w:t>
            </w:r>
          </w:p>
        </w:tc>
        <w:tc>
          <w:tcPr>
            <w:tcW w:w="4315" w:type="dxa"/>
          </w:tcPr>
          <w:p w14:paraId="64D46001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2,031,430</w:t>
            </w:r>
          </w:p>
        </w:tc>
      </w:tr>
      <w:tr w:rsidR="00A52394" w:rsidRPr="007F1CB6" w14:paraId="57E433B6" w14:textId="77777777" w:rsidTr="00A52394">
        <w:tc>
          <w:tcPr>
            <w:tcW w:w="4315" w:type="dxa"/>
          </w:tcPr>
          <w:p w14:paraId="72D19809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שארית</w:t>
            </w:r>
          </w:p>
        </w:tc>
        <w:tc>
          <w:tcPr>
            <w:tcW w:w="4315" w:type="dxa"/>
          </w:tcPr>
          <w:p w14:paraId="6DC273DF" w14:textId="77777777" w:rsidR="00A52394" w:rsidRPr="007F1CB6" w:rsidRDefault="00A52394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13,557,550</w:t>
            </w:r>
          </w:p>
        </w:tc>
      </w:tr>
      <w:tr w:rsidR="00897809" w:rsidRPr="007F1CB6" w14:paraId="7C6EDC9E" w14:textId="77777777" w:rsidTr="00A52394">
        <w:tc>
          <w:tcPr>
            <w:tcW w:w="4315" w:type="dxa"/>
          </w:tcPr>
          <w:p w14:paraId="68A0B723" w14:textId="77777777" w:rsidR="00897809" w:rsidRPr="007F1CB6" w:rsidRDefault="00897809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4315" w:type="dxa"/>
          </w:tcPr>
          <w:p w14:paraId="789EBABD" w14:textId="77777777" w:rsidR="00897809" w:rsidRPr="007F1CB6" w:rsidRDefault="00897809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897809" w:rsidRPr="007F1CB6" w14:paraId="68CA2F5F" w14:textId="77777777" w:rsidTr="00A52394">
        <w:tc>
          <w:tcPr>
            <w:tcW w:w="4315" w:type="dxa"/>
          </w:tcPr>
          <w:p w14:paraId="44129242" w14:textId="77777777" w:rsidR="00897809" w:rsidRPr="007F1CB6" w:rsidRDefault="00897809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שיעור תשואה פנימי</w:t>
            </w:r>
          </w:p>
        </w:tc>
        <w:tc>
          <w:tcPr>
            <w:tcW w:w="4315" w:type="dxa"/>
          </w:tcPr>
          <w:p w14:paraId="1781C75E" w14:textId="77777777" w:rsidR="00897809" w:rsidRPr="007F1CB6" w:rsidRDefault="00897809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19.6%</w:t>
            </w:r>
          </w:p>
        </w:tc>
      </w:tr>
    </w:tbl>
    <w:p w14:paraId="2F8841A1" w14:textId="77777777" w:rsidR="00A52394" w:rsidRPr="007F1CB6" w:rsidRDefault="00A52394" w:rsidP="00A52394">
      <w:pPr>
        <w:bidi/>
        <w:rPr>
          <w:rFonts w:cstheme="minorHAnsi"/>
          <w:sz w:val="20"/>
          <w:szCs w:val="20"/>
          <w:rtl/>
        </w:rPr>
      </w:pPr>
    </w:p>
    <w:p w14:paraId="194A8978" w14:textId="77777777" w:rsidR="00A52394" w:rsidRPr="007F1CB6" w:rsidRDefault="00A52394" w:rsidP="00A52394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301B1" w:rsidRPr="007F1CB6" w14:paraId="62F1DABA" w14:textId="77777777" w:rsidTr="007F1CB6">
        <w:tc>
          <w:tcPr>
            <w:tcW w:w="4315" w:type="dxa"/>
            <w:shd w:val="clear" w:color="auto" w:fill="D9D9D9" w:themeFill="background1" w:themeFillShade="D9"/>
          </w:tcPr>
          <w:p w14:paraId="5B887B1D" w14:textId="77777777" w:rsidR="005301B1" w:rsidRPr="00B95A38" w:rsidRDefault="005301B1" w:rsidP="00A52394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B95A38">
              <w:rPr>
                <w:rFonts w:cs="Times New Roman"/>
                <w:b/>
                <w:bCs/>
                <w:sz w:val="20"/>
                <w:szCs w:val="20"/>
                <w:rtl/>
              </w:rPr>
              <w:t>ניתוח רווח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1DE7DC0F" w14:textId="77777777" w:rsidR="005301B1" w:rsidRPr="00B95A38" w:rsidRDefault="005301B1" w:rsidP="00A52394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B95A38">
              <w:rPr>
                <w:rFonts w:cs="Times New Roman"/>
                <w:b/>
                <w:bCs/>
                <w:sz w:val="20"/>
                <w:szCs w:val="20"/>
                <w:rtl/>
              </w:rPr>
              <w:t>₪</w:t>
            </w:r>
          </w:p>
        </w:tc>
      </w:tr>
      <w:tr w:rsidR="005301B1" w:rsidRPr="007F1CB6" w14:paraId="5BB532F3" w14:textId="77777777" w:rsidTr="005301B1">
        <w:tc>
          <w:tcPr>
            <w:tcW w:w="4315" w:type="dxa"/>
          </w:tcPr>
          <w:p w14:paraId="73610302" w14:textId="77777777" w:rsidR="005301B1" w:rsidRPr="007F1CB6" w:rsidRDefault="005301B1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>כ הכנסות</w:t>
            </w:r>
          </w:p>
        </w:tc>
        <w:tc>
          <w:tcPr>
            <w:tcW w:w="4315" w:type="dxa"/>
          </w:tcPr>
          <w:p w14:paraId="6BBD6414" w14:textId="77777777" w:rsidR="005301B1" w:rsidRPr="007F1CB6" w:rsidRDefault="005301B1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298,349,305</w:t>
            </w:r>
          </w:p>
        </w:tc>
      </w:tr>
      <w:tr w:rsidR="005301B1" w:rsidRPr="007F1CB6" w14:paraId="0CBC0ED6" w14:textId="77777777" w:rsidTr="005301B1">
        <w:tc>
          <w:tcPr>
            <w:tcW w:w="4315" w:type="dxa"/>
          </w:tcPr>
          <w:p w14:paraId="51706C78" w14:textId="77777777" w:rsidR="005301B1" w:rsidRPr="007F1CB6" w:rsidRDefault="005301B1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>כ הוצאות</w:t>
            </w:r>
          </w:p>
        </w:tc>
        <w:tc>
          <w:tcPr>
            <w:tcW w:w="4315" w:type="dxa"/>
          </w:tcPr>
          <w:p w14:paraId="60FE096A" w14:textId="77777777" w:rsidR="005301B1" w:rsidRPr="007F1CB6" w:rsidRDefault="005301B1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216,083,412</w:t>
            </w:r>
          </w:p>
        </w:tc>
      </w:tr>
      <w:tr w:rsidR="005301B1" w:rsidRPr="007F1CB6" w14:paraId="10EA2ED7" w14:textId="77777777" w:rsidTr="005301B1">
        <w:tc>
          <w:tcPr>
            <w:tcW w:w="4315" w:type="dxa"/>
          </w:tcPr>
          <w:p w14:paraId="2591EDBA" w14:textId="77777777" w:rsidR="005301B1" w:rsidRPr="007F1CB6" w:rsidRDefault="005301B1" w:rsidP="005301B1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רווח כולל לפרויקט</w:t>
            </w:r>
          </w:p>
        </w:tc>
        <w:tc>
          <w:tcPr>
            <w:tcW w:w="4315" w:type="dxa"/>
          </w:tcPr>
          <w:p w14:paraId="6A59C512" w14:textId="77777777" w:rsidR="005301B1" w:rsidRPr="007F1CB6" w:rsidRDefault="005301B1" w:rsidP="00A5239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82,265,893</w:t>
            </w:r>
          </w:p>
        </w:tc>
      </w:tr>
    </w:tbl>
    <w:p w14:paraId="0313A5C8" w14:textId="77777777" w:rsidR="00A52394" w:rsidRPr="007F1CB6" w:rsidRDefault="00A52394" w:rsidP="00A52394">
      <w:pPr>
        <w:bidi/>
        <w:rPr>
          <w:rFonts w:cstheme="minorHAnsi"/>
          <w:sz w:val="20"/>
          <w:szCs w:val="20"/>
          <w:rtl/>
        </w:rPr>
      </w:pPr>
    </w:p>
    <w:p w14:paraId="23CB9B8F" w14:textId="77777777" w:rsidR="005301B1" w:rsidRPr="007F1CB6" w:rsidRDefault="005301B1" w:rsidP="005301B1">
      <w:pPr>
        <w:pStyle w:val="ListParagraph"/>
        <w:numPr>
          <w:ilvl w:val="0"/>
          <w:numId w:val="1"/>
        </w:numPr>
        <w:bidi/>
        <w:rPr>
          <w:rFonts w:cstheme="minorHAnsi"/>
          <w:sz w:val="20"/>
          <w:szCs w:val="20"/>
        </w:rPr>
      </w:pPr>
      <w:r w:rsidRPr="007F1CB6">
        <w:rPr>
          <w:rFonts w:cs="Times New Roman"/>
          <w:sz w:val="20"/>
          <w:szCs w:val="20"/>
          <w:rtl/>
        </w:rPr>
        <w:t>השקעה מבוקשת</w:t>
      </w:r>
      <w:r w:rsidRPr="007F1CB6">
        <w:rPr>
          <w:rFonts w:cstheme="minorHAnsi"/>
          <w:sz w:val="20"/>
          <w:szCs w:val="20"/>
          <w:rtl/>
        </w:rPr>
        <w:t xml:space="preserve">: 30 </w:t>
      </w:r>
      <w:r w:rsidRPr="007F1CB6">
        <w:rPr>
          <w:rFonts w:cs="Times New Roman"/>
          <w:sz w:val="20"/>
          <w:szCs w:val="20"/>
          <w:rtl/>
        </w:rPr>
        <w:t>מיליון ₪</w:t>
      </w:r>
      <w:r w:rsidR="00897809" w:rsidRPr="007F1CB6">
        <w:rPr>
          <w:rFonts w:cstheme="minorHAnsi"/>
          <w:sz w:val="20"/>
          <w:szCs w:val="20"/>
          <w:rtl/>
        </w:rPr>
        <w:t>.</w:t>
      </w:r>
    </w:p>
    <w:p w14:paraId="551B95BE" w14:textId="77777777" w:rsidR="005301B1" w:rsidRPr="007F1CB6" w:rsidRDefault="005301B1" w:rsidP="005301B1">
      <w:pPr>
        <w:pStyle w:val="ListParagraph"/>
        <w:numPr>
          <w:ilvl w:val="0"/>
          <w:numId w:val="1"/>
        </w:numPr>
        <w:bidi/>
        <w:rPr>
          <w:rFonts w:cstheme="minorHAnsi"/>
          <w:sz w:val="20"/>
          <w:szCs w:val="20"/>
        </w:rPr>
      </w:pPr>
      <w:r w:rsidRPr="007F1CB6">
        <w:rPr>
          <w:rFonts w:cs="Times New Roman"/>
          <w:sz w:val="20"/>
          <w:szCs w:val="20"/>
          <w:rtl/>
        </w:rPr>
        <w:t>משך חיים</w:t>
      </w:r>
      <w:r w:rsidRPr="007F1CB6">
        <w:rPr>
          <w:rFonts w:cstheme="minorHAnsi"/>
          <w:sz w:val="20"/>
          <w:szCs w:val="20"/>
          <w:rtl/>
        </w:rPr>
        <w:t xml:space="preserve">: 4 </w:t>
      </w:r>
      <w:r w:rsidRPr="007F1CB6">
        <w:rPr>
          <w:rFonts w:cs="Times New Roman"/>
          <w:sz w:val="20"/>
          <w:szCs w:val="20"/>
          <w:rtl/>
        </w:rPr>
        <w:t>שנים</w:t>
      </w:r>
      <w:r w:rsidR="00897809" w:rsidRPr="007F1CB6">
        <w:rPr>
          <w:rFonts w:cstheme="minorHAnsi"/>
          <w:sz w:val="20"/>
          <w:szCs w:val="20"/>
          <w:rtl/>
        </w:rPr>
        <w:t>.</w:t>
      </w:r>
    </w:p>
    <w:p w14:paraId="1E4C6DDF" w14:textId="77777777" w:rsidR="005301B1" w:rsidRPr="007F1CB6" w:rsidRDefault="005301B1" w:rsidP="00897809">
      <w:pPr>
        <w:pStyle w:val="ListParagraph"/>
        <w:numPr>
          <w:ilvl w:val="0"/>
          <w:numId w:val="1"/>
        </w:numPr>
        <w:bidi/>
        <w:rPr>
          <w:rFonts w:cstheme="minorHAnsi"/>
          <w:sz w:val="20"/>
          <w:szCs w:val="20"/>
        </w:rPr>
      </w:pPr>
      <w:r w:rsidRPr="007F1CB6">
        <w:rPr>
          <w:rFonts w:cs="Times New Roman"/>
          <w:sz w:val="20"/>
          <w:szCs w:val="20"/>
          <w:rtl/>
        </w:rPr>
        <w:t xml:space="preserve">תשואה </w:t>
      </w:r>
      <w:r w:rsidR="00897809" w:rsidRPr="007F1CB6">
        <w:rPr>
          <w:rFonts w:cs="Times New Roman"/>
          <w:sz w:val="20"/>
          <w:szCs w:val="20"/>
          <w:rtl/>
        </w:rPr>
        <w:t xml:space="preserve">מועדפת על ההון של </w:t>
      </w:r>
      <w:r w:rsidR="00897809" w:rsidRPr="007F1CB6">
        <w:rPr>
          <w:rFonts w:cstheme="minorHAnsi"/>
          <w:sz w:val="20"/>
          <w:szCs w:val="20"/>
          <w:rtl/>
        </w:rPr>
        <w:t xml:space="preserve">7% - </w:t>
      </w:r>
      <w:r w:rsidR="00897809" w:rsidRPr="007F1CB6">
        <w:rPr>
          <w:rFonts w:cs="Times New Roman"/>
          <w:sz w:val="20"/>
          <w:szCs w:val="20"/>
          <w:rtl/>
        </w:rPr>
        <w:t>לתשלום במועד המכירה</w:t>
      </w:r>
      <w:r w:rsidR="00897809" w:rsidRPr="007F1CB6">
        <w:rPr>
          <w:rFonts w:cstheme="minorHAnsi"/>
          <w:sz w:val="20"/>
          <w:szCs w:val="20"/>
          <w:rtl/>
        </w:rPr>
        <w:t>.</w:t>
      </w:r>
    </w:p>
    <w:p w14:paraId="751FC14D" w14:textId="77777777" w:rsidR="00897809" w:rsidRPr="007F1CB6" w:rsidRDefault="00897809" w:rsidP="00897809">
      <w:pPr>
        <w:pStyle w:val="ListParagraph"/>
        <w:numPr>
          <w:ilvl w:val="0"/>
          <w:numId w:val="1"/>
        </w:numPr>
        <w:bidi/>
        <w:rPr>
          <w:rFonts w:cstheme="minorHAnsi"/>
          <w:sz w:val="20"/>
          <w:szCs w:val="20"/>
        </w:rPr>
      </w:pPr>
      <w:r w:rsidRPr="007F1CB6">
        <w:rPr>
          <w:rFonts w:cstheme="minorHAnsi"/>
          <w:sz w:val="20"/>
          <w:szCs w:val="20"/>
          <w:rtl/>
        </w:rPr>
        <w:t xml:space="preserve">70% </w:t>
      </w:r>
      <w:r w:rsidRPr="007F1CB6">
        <w:rPr>
          <w:rFonts w:cs="Times New Roman"/>
          <w:sz w:val="20"/>
          <w:szCs w:val="20"/>
          <w:rtl/>
        </w:rPr>
        <w:t xml:space="preserve">מהרווח הנקי משולם לחברת איגוח </w:t>
      </w:r>
      <w:r w:rsidRPr="007F1CB6">
        <w:rPr>
          <w:rFonts w:cstheme="minorHAnsi"/>
          <w:sz w:val="20"/>
          <w:szCs w:val="20"/>
          <w:rtl/>
        </w:rPr>
        <w:t>(</w:t>
      </w:r>
      <w:r w:rsidRPr="007F1CB6">
        <w:rPr>
          <w:rFonts w:cstheme="minorHAnsi"/>
          <w:sz w:val="20"/>
          <w:szCs w:val="20"/>
        </w:rPr>
        <w:t>SPV</w:t>
      </w:r>
      <w:r w:rsidRPr="007F1CB6">
        <w:rPr>
          <w:rFonts w:cstheme="minorHAnsi"/>
          <w:sz w:val="20"/>
          <w:szCs w:val="20"/>
          <w:rtl/>
        </w:rPr>
        <w:t xml:space="preserve">) </w:t>
      </w:r>
      <w:r w:rsidRPr="007F1CB6">
        <w:rPr>
          <w:rFonts w:cs="Times New Roman"/>
          <w:sz w:val="20"/>
          <w:szCs w:val="20"/>
          <w:rtl/>
        </w:rPr>
        <w:t>לתשלום במועד המכירה</w:t>
      </w:r>
      <w:r w:rsidRPr="007F1CB6">
        <w:rPr>
          <w:rFonts w:cstheme="minorHAnsi"/>
          <w:sz w:val="20"/>
          <w:szCs w:val="20"/>
          <w:rtl/>
        </w:rPr>
        <w:t>.</w:t>
      </w:r>
    </w:p>
    <w:p w14:paraId="5E479724" w14:textId="77777777" w:rsidR="00897809" w:rsidRPr="007F1CB6" w:rsidRDefault="00897809" w:rsidP="00897809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3417"/>
        <w:gridCol w:w="2158"/>
      </w:tblGrid>
      <w:tr w:rsidR="00897809" w:rsidRPr="007F1CB6" w14:paraId="5331AF0E" w14:textId="77777777" w:rsidTr="007F1CB6">
        <w:tc>
          <w:tcPr>
            <w:tcW w:w="1435" w:type="dxa"/>
            <w:shd w:val="clear" w:color="auto" w:fill="D9D9D9" w:themeFill="background1" w:themeFillShade="D9"/>
          </w:tcPr>
          <w:p w14:paraId="7B7E16C4" w14:textId="77777777" w:rsidR="00897809" w:rsidRPr="007F1CB6" w:rsidRDefault="00897809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מקורות ההון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F3C637A" w14:textId="77777777" w:rsidR="00897809" w:rsidRPr="007F1CB6" w:rsidRDefault="00897809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(</w:t>
            </w:r>
            <w:r w:rsidRPr="007F1CB6">
              <w:rPr>
                <w:rFonts w:cs="Times New Roman"/>
                <w:sz w:val="20"/>
                <w:szCs w:val="20"/>
                <w:rtl/>
              </w:rPr>
              <w:t>₪</w:t>
            </w:r>
            <w:r w:rsidRPr="007F1CB6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AC105FA" w14:textId="77777777" w:rsidR="00897809" w:rsidRPr="007F1CB6" w:rsidRDefault="00897809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שימושים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A0F2CAD" w14:textId="77777777" w:rsidR="00897809" w:rsidRPr="007F1CB6" w:rsidRDefault="00897809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(</w:t>
            </w:r>
            <w:r w:rsidRPr="007F1CB6">
              <w:rPr>
                <w:rFonts w:cs="Times New Roman"/>
                <w:sz w:val="20"/>
                <w:szCs w:val="20"/>
                <w:rtl/>
              </w:rPr>
              <w:t>₪</w:t>
            </w:r>
            <w:r w:rsidRPr="007F1CB6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</w:tr>
      <w:tr w:rsidR="00897809" w:rsidRPr="007F1CB6" w14:paraId="585DF874" w14:textId="77777777" w:rsidTr="007F1CB6">
        <w:tc>
          <w:tcPr>
            <w:tcW w:w="1435" w:type="dxa"/>
          </w:tcPr>
          <w:p w14:paraId="34158D7E" w14:textId="77777777" w:rsidR="00897809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>כ הון</w:t>
            </w:r>
          </w:p>
        </w:tc>
        <w:tc>
          <w:tcPr>
            <w:tcW w:w="1620" w:type="dxa"/>
          </w:tcPr>
          <w:p w14:paraId="39E1F9B5" w14:textId="77777777" w:rsidR="00897809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32,412,512</w:t>
            </w:r>
          </w:p>
        </w:tc>
        <w:tc>
          <w:tcPr>
            <w:tcW w:w="3417" w:type="dxa"/>
          </w:tcPr>
          <w:p w14:paraId="2D3573EA" w14:textId="77777777" w:rsidR="00897809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רכישת קרקע</w:t>
            </w:r>
          </w:p>
        </w:tc>
        <w:tc>
          <w:tcPr>
            <w:tcW w:w="2158" w:type="dxa"/>
          </w:tcPr>
          <w:p w14:paraId="76ACA5B5" w14:textId="77777777" w:rsidR="00897809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32,274,825</w:t>
            </w:r>
          </w:p>
        </w:tc>
      </w:tr>
      <w:tr w:rsidR="007F1CB6" w:rsidRPr="007F1CB6" w14:paraId="01CC1D6B" w14:textId="77777777" w:rsidTr="007F1CB6">
        <w:tc>
          <w:tcPr>
            <w:tcW w:w="1435" w:type="dxa"/>
          </w:tcPr>
          <w:p w14:paraId="281162F8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>כ חוב</w:t>
            </w:r>
          </w:p>
        </w:tc>
        <w:tc>
          <w:tcPr>
            <w:tcW w:w="1620" w:type="dxa"/>
          </w:tcPr>
          <w:p w14:paraId="3E0E7BFE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183,670,900</w:t>
            </w:r>
          </w:p>
        </w:tc>
        <w:tc>
          <w:tcPr>
            <w:tcW w:w="3417" w:type="dxa"/>
          </w:tcPr>
          <w:p w14:paraId="4CB78615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עלויות רכישת קרקע</w:t>
            </w:r>
          </w:p>
        </w:tc>
        <w:tc>
          <w:tcPr>
            <w:tcW w:w="2158" w:type="dxa"/>
          </w:tcPr>
          <w:p w14:paraId="379FA00E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2,259,238</w:t>
            </w:r>
          </w:p>
        </w:tc>
      </w:tr>
      <w:tr w:rsidR="007F1CB6" w:rsidRPr="007F1CB6" w14:paraId="45A5F99F" w14:textId="77777777" w:rsidTr="007F1CB6">
        <w:tc>
          <w:tcPr>
            <w:tcW w:w="1435" w:type="dxa"/>
          </w:tcPr>
          <w:p w14:paraId="0E914DAB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775D4AA6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17" w:type="dxa"/>
          </w:tcPr>
          <w:p w14:paraId="5105B59E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>כ רכישת קרקע</w:t>
            </w:r>
          </w:p>
        </w:tc>
        <w:tc>
          <w:tcPr>
            <w:tcW w:w="2158" w:type="dxa"/>
          </w:tcPr>
          <w:p w14:paraId="63155D37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34,534,063</w:t>
            </w:r>
          </w:p>
        </w:tc>
      </w:tr>
      <w:tr w:rsidR="007F1CB6" w:rsidRPr="007F1CB6" w14:paraId="65FBD173" w14:textId="77777777" w:rsidTr="007F1CB6">
        <w:tc>
          <w:tcPr>
            <w:tcW w:w="1435" w:type="dxa"/>
          </w:tcPr>
          <w:p w14:paraId="0B661F28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67C60590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17" w:type="dxa"/>
          </w:tcPr>
          <w:p w14:paraId="32D062D2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/>
                <w:sz w:val="20"/>
                <w:szCs w:val="20"/>
                <w:rtl/>
              </w:rPr>
              <w:t>"</w:t>
            </w:r>
            <w:r w:rsidRPr="007F1CB6">
              <w:rPr>
                <w:rFonts w:cs="Times New Roman"/>
                <w:sz w:val="20"/>
                <w:szCs w:val="20"/>
                <w:rtl/>
              </w:rPr>
              <w:t xml:space="preserve">כ עלויות בניה </w:t>
            </w:r>
            <w:r w:rsidRPr="007F1CB6">
              <w:rPr>
                <w:rFonts w:cstheme="minorHAnsi"/>
                <w:sz w:val="20"/>
                <w:szCs w:val="20"/>
                <w:rtl/>
              </w:rPr>
              <w:t>(</w:t>
            </w:r>
            <w:r w:rsidRPr="007F1CB6">
              <w:rPr>
                <w:rFonts w:cs="Times New Roman"/>
                <w:sz w:val="20"/>
                <w:szCs w:val="20"/>
                <w:rtl/>
              </w:rPr>
              <w:t xml:space="preserve">כולל </w:t>
            </w:r>
            <w:r w:rsidRPr="007F1CB6">
              <w:rPr>
                <w:rFonts w:cstheme="minorHAnsi"/>
                <w:sz w:val="20"/>
                <w:szCs w:val="20"/>
                <w:rtl/>
              </w:rPr>
              <w:t xml:space="preserve">3% </w:t>
            </w:r>
            <w:r w:rsidRPr="007F1CB6">
              <w:rPr>
                <w:rFonts w:cs="Times New Roman"/>
                <w:sz w:val="20"/>
                <w:szCs w:val="20"/>
                <w:rtl/>
              </w:rPr>
              <w:t>תלויות</w:t>
            </w:r>
            <w:r w:rsidRPr="007F1CB6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2158" w:type="dxa"/>
          </w:tcPr>
          <w:p w14:paraId="7F6BCF47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153,206,165</w:t>
            </w:r>
          </w:p>
        </w:tc>
      </w:tr>
      <w:tr w:rsidR="007F1CB6" w:rsidRPr="007F1CB6" w14:paraId="32C8C35F" w14:textId="77777777" w:rsidTr="007F1CB6">
        <w:tc>
          <w:tcPr>
            <w:tcW w:w="1435" w:type="dxa"/>
          </w:tcPr>
          <w:p w14:paraId="089F0FF5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933E20D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17" w:type="dxa"/>
          </w:tcPr>
          <w:p w14:paraId="3673E178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="Times New Roman"/>
                <w:sz w:val="20"/>
                <w:szCs w:val="20"/>
                <w:rtl/>
              </w:rPr>
              <w:t>עלויות מימון ומשפטיות</w:t>
            </w:r>
          </w:p>
        </w:tc>
        <w:tc>
          <w:tcPr>
            <w:tcW w:w="2158" w:type="dxa"/>
          </w:tcPr>
          <w:p w14:paraId="169D7CC8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F1CB6">
              <w:rPr>
                <w:rFonts w:cstheme="minorHAnsi"/>
                <w:sz w:val="20"/>
                <w:szCs w:val="20"/>
                <w:rtl/>
              </w:rPr>
              <w:t>28,343,184</w:t>
            </w:r>
          </w:p>
        </w:tc>
      </w:tr>
      <w:tr w:rsidR="007F1CB6" w:rsidRPr="007F1CB6" w14:paraId="7D6E9885" w14:textId="77777777" w:rsidTr="007F1CB6">
        <w:tc>
          <w:tcPr>
            <w:tcW w:w="1435" w:type="dxa"/>
          </w:tcPr>
          <w:p w14:paraId="5AFBEEA0" w14:textId="77777777" w:rsidR="007F1CB6" w:rsidRPr="007F1CB6" w:rsidRDefault="007F1CB6" w:rsidP="00897809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סה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"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כ מקורות</w:t>
            </w:r>
          </w:p>
        </w:tc>
        <w:tc>
          <w:tcPr>
            <w:tcW w:w="1620" w:type="dxa"/>
          </w:tcPr>
          <w:p w14:paraId="0DFE452C" w14:textId="77777777" w:rsidR="007F1CB6" w:rsidRPr="007F1CB6" w:rsidRDefault="007F1CB6" w:rsidP="00897809">
            <w:pPr>
              <w:bidi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216,083,412</w:t>
            </w:r>
          </w:p>
        </w:tc>
        <w:tc>
          <w:tcPr>
            <w:tcW w:w="3417" w:type="dxa"/>
          </w:tcPr>
          <w:p w14:paraId="6EB062AD" w14:textId="77777777" w:rsidR="007F1CB6" w:rsidRPr="007F1CB6" w:rsidRDefault="007F1CB6" w:rsidP="00897809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7F1CB6">
              <w:rPr>
                <w:rFonts w:cs="Times New Roman" w:hint="cs"/>
                <w:b/>
                <w:bCs/>
                <w:sz w:val="20"/>
                <w:szCs w:val="20"/>
                <w:rtl/>
              </w:rPr>
              <w:t>סה</w:t>
            </w:r>
            <w:r w:rsidRPr="007F1CB6">
              <w:rPr>
                <w:rFonts w:cstheme="minorHAnsi" w:hint="cs"/>
                <w:b/>
                <w:bCs/>
                <w:sz w:val="20"/>
                <w:szCs w:val="20"/>
                <w:rtl/>
              </w:rPr>
              <w:t>"</w:t>
            </w:r>
            <w:r w:rsidRPr="007F1CB6">
              <w:rPr>
                <w:rFonts w:cs="Times New Roman" w:hint="cs"/>
                <w:b/>
                <w:bCs/>
                <w:sz w:val="20"/>
                <w:szCs w:val="20"/>
                <w:rtl/>
              </w:rPr>
              <w:t>כ עלויות</w:t>
            </w:r>
          </w:p>
        </w:tc>
        <w:tc>
          <w:tcPr>
            <w:tcW w:w="2158" w:type="dxa"/>
          </w:tcPr>
          <w:p w14:paraId="7FC681CD" w14:textId="77777777" w:rsidR="007F1CB6" w:rsidRPr="007F1CB6" w:rsidRDefault="007F1CB6" w:rsidP="00897809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7F1CB6">
              <w:rPr>
                <w:rFonts w:cstheme="minorHAnsi" w:hint="cs"/>
                <w:b/>
                <w:bCs/>
                <w:sz w:val="20"/>
                <w:szCs w:val="20"/>
                <w:rtl/>
              </w:rPr>
              <w:t>216,083,412</w:t>
            </w:r>
          </w:p>
        </w:tc>
      </w:tr>
    </w:tbl>
    <w:p w14:paraId="16DE1AAF" w14:textId="77777777" w:rsidR="00897809" w:rsidRPr="007F1CB6" w:rsidRDefault="00897809" w:rsidP="00897809">
      <w:pPr>
        <w:bidi/>
        <w:rPr>
          <w:rFonts w:cstheme="minorHAnsi"/>
          <w:sz w:val="20"/>
          <w:szCs w:val="20"/>
          <w:rtl/>
        </w:rPr>
      </w:pPr>
    </w:p>
    <w:sectPr w:rsidR="00897809" w:rsidRPr="007F1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0B3C"/>
    <w:multiLevelType w:val="hybridMultilevel"/>
    <w:tmpl w:val="CA72FC0A"/>
    <w:lvl w:ilvl="0" w:tplc="A69AF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TIwMjY2sbQ0MTdT0lEKTi0uzszPAykwrAUA74q5tCwAAAA="/>
  </w:docVars>
  <w:rsids>
    <w:rsidRoot w:val="00A52394"/>
    <w:rsid w:val="000118FD"/>
    <w:rsid w:val="002C7F90"/>
    <w:rsid w:val="002E5340"/>
    <w:rsid w:val="002F0C83"/>
    <w:rsid w:val="003172C5"/>
    <w:rsid w:val="00341972"/>
    <w:rsid w:val="004332A8"/>
    <w:rsid w:val="005301B1"/>
    <w:rsid w:val="00545BCA"/>
    <w:rsid w:val="00701601"/>
    <w:rsid w:val="007E7633"/>
    <w:rsid w:val="007F1CB6"/>
    <w:rsid w:val="00817C15"/>
    <w:rsid w:val="00897809"/>
    <w:rsid w:val="008C5593"/>
    <w:rsid w:val="009F0173"/>
    <w:rsid w:val="009F3AD8"/>
    <w:rsid w:val="00A52394"/>
    <w:rsid w:val="00A74EB6"/>
    <w:rsid w:val="00AB39B0"/>
    <w:rsid w:val="00AC40D5"/>
    <w:rsid w:val="00AC68B4"/>
    <w:rsid w:val="00B95A38"/>
    <w:rsid w:val="00DF011E"/>
    <w:rsid w:val="00E45FA4"/>
    <w:rsid w:val="00E804C0"/>
    <w:rsid w:val="00E9313C"/>
    <w:rsid w:val="00EB3C71"/>
    <w:rsid w:val="00EF6B07"/>
    <w:rsid w:val="00F96899"/>
    <w:rsid w:val="00F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8173"/>
  <w15:chartTrackingRefBased/>
  <w15:docId w15:val="{4ECF3020-42F6-42F3-8711-12CD2AA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Guter</dc:creator>
  <cp:keywords/>
  <dc:description/>
  <cp:lastModifiedBy>sam tee</cp:lastModifiedBy>
  <cp:revision>2</cp:revision>
  <dcterms:created xsi:type="dcterms:W3CDTF">2019-08-15T12:19:00Z</dcterms:created>
  <dcterms:modified xsi:type="dcterms:W3CDTF">2019-08-15T12:19:00Z</dcterms:modified>
</cp:coreProperties>
</file>