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53B7F" w14:textId="6C8DE616" w:rsidR="00FB5816" w:rsidRDefault="006E6BED" w:rsidP="009673B4">
      <w:pPr>
        <w:bidi w:val="0"/>
        <w:spacing w:line="360" w:lineRule="auto"/>
        <w:rPr>
          <w:rFonts w:ascii="Times New Roman" w:hAnsi="Times New Roman" w:cs="Times New Roman"/>
          <w:b/>
          <w:bCs/>
          <w:sz w:val="32"/>
          <w:szCs w:val="32"/>
          <w:u w:val="single"/>
        </w:rPr>
      </w:pPr>
      <w:r w:rsidRPr="006E6BED">
        <w:rPr>
          <w:rFonts w:ascii="Times New Roman" w:hAnsi="Times New Roman" w:cs="Times New Roman"/>
          <w:b/>
          <w:bCs/>
          <w:sz w:val="32"/>
          <w:szCs w:val="32"/>
          <w:u w:val="single"/>
        </w:rPr>
        <w:t>Health Schemes</w:t>
      </w:r>
    </w:p>
    <w:p w14:paraId="1AC0BCC0" w14:textId="77777777" w:rsidR="006E6BED" w:rsidRDefault="006E6BED" w:rsidP="002A7AAF">
      <w:pPr>
        <w:bidi w:val="0"/>
        <w:spacing w:line="360" w:lineRule="auto"/>
        <w:jc w:val="both"/>
        <w:rPr>
          <w:rFonts w:ascii="Times New Roman" w:hAnsi="Times New Roman" w:cs="Times New Roman"/>
          <w:b/>
          <w:bCs/>
          <w:sz w:val="28"/>
          <w:szCs w:val="28"/>
        </w:rPr>
      </w:pPr>
    </w:p>
    <w:p w14:paraId="6F15D4CF" w14:textId="020442D3" w:rsidR="006E6BED" w:rsidRDefault="006E6BED" w:rsidP="002A7AAF">
      <w:pPr>
        <w:bidi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Background</w:t>
      </w:r>
    </w:p>
    <w:p w14:paraId="3391F8D8" w14:textId="413115B1" w:rsidR="006E6BED" w:rsidRDefault="006E6BED" w:rsidP="002A7AAF">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January 1995, the National Health Insurance Law of 1994 entered into force, establishing </w:t>
      </w:r>
      <w:r w:rsidR="00DC6FBA">
        <w:rPr>
          <w:rFonts w:ascii="Times New Roman" w:hAnsi="Times New Roman" w:cs="Times New Roman"/>
          <w:sz w:val="24"/>
          <w:szCs w:val="24"/>
        </w:rPr>
        <w:t>compulsory</w:t>
      </w:r>
      <w:r>
        <w:rPr>
          <w:rFonts w:ascii="Times New Roman" w:hAnsi="Times New Roman" w:cs="Times New Roman"/>
          <w:sz w:val="24"/>
          <w:szCs w:val="24"/>
        </w:rPr>
        <w:t xml:space="preserve"> health insurance for every </w:t>
      </w:r>
      <w:commentRangeStart w:id="0"/>
      <w:r>
        <w:rPr>
          <w:rFonts w:ascii="Times New Roman" w:hAnsi="Times New Roman" w:cs="Times New Roman"/>
          <w:sz w:val="24"/>
          <w:szCs w:val="24"/>
        </w:rPr>
        <w:t>resident</w:t>
      </w:r>
      <w:commentRangeEnd w:id="0"/>
      <w:r w:rsidR="00F750DC">
        <w:rPr>
          <w:rStyle w:val="CommentReference"/>
        </w:rPr>
        <w:commentReference w:id="0"/>
      </w:r>
      <w:r>
        <w:rPr>
          <w:rFonts w:ascii="Times New Roman" w:hAnsi="Times New Roman" w:cs="Times New Roman"/>
          <w:sz w:val="24"/>
          <w:szCs w:val="24"/>
        </w:rPr>
        <w:t xml:space="preserve">. </w:t>
      </w:r>
      <w:r w:rsidR="001E021B">
        <w:rPr>
          <w:rFonts w:ascii="Times New Roman" w:hAnsi="Times New Roman" w:cs="Times New Roman"/>
          <w:sz w:val="24"/>
          <w:szCs w:val="24"/>
        </w:rPr>
        <w:t>The law</w:t>
      </w:r>
      <w:r w:rsidR="007D1A26">
        <w:rPr>
          <w:rFonts w:ascii="Times New Roman" w:hAnsi="Times New Roman" w:cs="Times New Roman"/>
          <w:sz w:val="24"/>
          <w:szCs w:val="24"/>
        </w:rPr>
        <w:t xml:space="preserve"> prohibited </w:t>
      </w:r>
      <w:commentRangeStart w:id="1"/>
      <w:r w:rsidR="001E021B">
        <w:rPr>
          <w:rFonts w:ascii="Times New Roman" w:hAnsi="Times New Roman" w:cs="Times New Roman"/>
          <w:sz w:val="24"/>
          <w:szCs w:val="24"/>
        </w:rPr>
        <w:t>health management organizations (HMOs</w:t>
      </w:r>
      <w:r w:rsidR="00556270">
        <w:rPr>
          <w:rFonts w:ascii="Times New Roman" w:hAnsi="Times New Roman" w:cs="Times New Roman"/>
          <w:sz w:val="24"/>
          <w:szCs w:val="24"/>
        </w:rPr>
        <w:t xml:space="preserve">, </w:t>
      </w:r>
      <w:r w:rsidR="00556270">
        <w:rPr>
          <w:rFonts w:ascii="Times New Roman" w:hAnsi="Times New Roman" w:cs="Times New Roman"/>
          <w:i/>
          <w:iCs/>
          <w:sz w:val="24"/>
          <w:szCs w:val="24"/>
        </w:rPr>
        <w:t>kupot holim</w:t>
      </w:r>
      <w:r w:rsidR="001E021B">
        <w:rPr>
          <w:rFonts w:ascii="Times New Roman" w:hAnsi="Times New Roman" w:cs="Times New Roman"/>
          <w:sz w:val="24"/>
          <w:szCs w:val="24"/>
        </w:rPr>
        <w:t>)</w:t>
      </w:r>
      <w:commentRangeEnd w:id="1"/>
      <w:r w:rsidR="001E021B">
        <w:rPr>
          <w:rStyle w:val="CommentReference"/>
        </w:rPr>
        <w:commentReference w:id="1"/>
      </w:r>
      <w:r w:rsidR="001E021B">
        <w:rPr>
          <w:rFonts w:ascii="Times New Roman" w:hAnsi="Times New Roman" w:cs="Times New Roman"/>
          <w:sz w:val="24"/>
          <w:szCs w:val="24"/>
        </w:rPr>
        <w:t xml:space="preserve"> from denying insurance</w:t>
      </w:r>
      <w:r w:rsidR="007D1A26">
        <w:rPr>
          <w:rFonts w:ascii="Times New Roman" w:hAnsi="Times New Roman" w:cs="Times New Roman"/>
          <w:sz w:val="24"/>
          <w:szCs w:val="24"/>
        </w:rPr>
        <w:t xml:space="preserve"> to anyone,</w:t>
      </w:r>
      <w:r w:rsidR="001E021B">
        <w:rPr>
          <w:rFonts w:ascii="Times New Roman" w:hAnsi="Times New Roman" w:cs="Times New Roman"/>
          <w:sz w:val="24"/>
          <w:szCs w:val="24"/>
        </w:rPr>
        <w:t xml:space="preserve"> and</w:t>
      </w:r>
      <w:r w:rsidR="007D1A26">
        <w:rPr>
          <w:rFonts w:ascii="Times New Roman" w:hAnsi="Times New Roman" w:cs="Times New Roman"/>
          <w:sz w:val="24"/>
          <w:szCs w:val="24"/>
        </w:rPr>
        <w:t xml:space="preserve"> it established </w:t>
      </w:r>
      <w:r w:rsidR="001E021B">
        <w:rPr>
          <w:rFonts w:ascii="Times New Roman" w:hAnsi="Times New Roman" w:cs="Times New Roman"/>
          <w:sz w:val="24"/>
          <w:szCs w:val="24"/>
        </w:rPr>
        <w:t xml:space="preserve">insurance </w:t>
      </w:r>
      <w:r w:rsidR="00CA3343">
        <w:rPr>
          <w:rFonts w:ascii="Times New Roman" w:hAnsi="Times New Roman" w:cs="Times New Roman"/>
          <w:sz w:val="24"/>
          <w:szCs w:val="24"/>
        </w:rPr>
        <w:t>fees</w:t>
      </w:r>
      <w:r w:rsidR="007D1A26">
        <w:rPr>
          <w:rFonts w:ascii="Times New Roman" w:hAnsi="Times New Roman" w:cs="Times New Roman"/>
          <w:sz w:val="24"/>
          <w:szCs w:val="24"/>
        </w:rPr>
        <w:t xml:space="preserve"> based on </w:t>
      </w:r>
      <w:r w:rsidR="00A57C1A">
        <w:rPr>
          <w:rFonts w:ascii="Times New Roman" w:hAnsi="Times New Roman" w:cs="Times New Roman"/>
          <w:sz w:val="24"/>
          <w:szCs w:val="24"/>
        </w:rPr>
        <w:t>a</w:t>
      </w:r>
      <w:r w:rsidR="008F70CF">
        <w:rPr>
          <w:rFonts w:ascii="Times New Roman" w:hAnsi="Times New Roman" w:cs="Times New Roman"/>
          <w:sz w:val="24"/>
          <w:szCs w:val="24"/>
        </w:rPr>
        <w:t xml:space="preserve"> resident’s income</w:t>
      </w:r>
      <w:r w:rsidR="007D1A26">
        <w:rPr>
          <w:rFonts w:ascii="Times New Roman" w:hAnsi="Times New Roman" w:cs="Times New Roman"/>
          <w:sz w:val="24"/>
          <w:szCs w:val="24"/>
        </w:rPr>
        <w:t xml:space="preserve"> </w:t>
      </w:r>
      <w:r w:rsidR="00A57C1A">
        <w:rPr>
          <w:rFonts w:ascii="Times New Roman" w:hAnsi="Times New Roman" w:cs="Times New Roman"/>
          <w:sz w:val="24"/>
          <w:szCs w:val="24"/>
        </w:rPr>
        <w:t xml:space="preserve">and a </w:t>
      </w:r>
      <w:r w:rsidR="007D1A26">
        <w:rPr>
          <w:rFonts w:ascii="Times New Roman" w:hAnsi="Times New Roman" w:cs="Times New Roman"/>
          <w:sz w:val="24"/>
          <w:szCs w:val="24"/>
        </w:rPr>
        <w:t xml:space="preserve">specified </w:t>
      </w:r>
      <w:r w:rsidR="008F70CF">
        <w:rPr>
          <w:rFonts w:ascii="Times New Roman" w:hAnsi="Times New Roman" w:cs="Times New Roman"/>
          <w:sz w:val="24"/>
          <w:szCs w:val="24"/>
        </w:rPr>
        <w:t>rate. Unemployed residents are also required to pay health insurance based on a minimum that is periodically updated.</w:t>
      </w:r>
      <w:r w:rsidR="007D1A26">
        <w:rPr>
          <w:rFonts w:ascii="Times New Roman" w:hAnsi="Times New Roman" w:cs="Times New Roman"/>
          <w:sz w:val="24"/>
          <w:szCs w:val="24"/>
        </w:rPr>
        <w:t xml:space="preserve"> The enactment of this law, one of the most important social laws </w:t>
      </w:r>
      <w:r w:rsidR="00F750DC">
        <w:rPr>
          <w:rFonts w:ascii="Times New Roman" w:hAnsi="Times New Roman" w:cs="Times New Roman"/>
          <w:sz w:val="24"/>
          <w:szCs w:val="24"/>
        </w:rPr>
        <w:t xml:space="preserve">adopted </w:t>
      </w:r>
      <w:r w:rsidR="007D1A26">
        <w:rPr>
          <w:rFonts w:ascii="Times New Roman" w:hAnsi="Times New Roman" w:cs="Times New Roman"/>
          <w:sz w:val="24"/>
          <w:szCs w:val="24"/>
        </w:rPr>
        <w:t xml:space="preserve">since </w:t>
      </w:r>
      <w:r w:rsidR="00F750DC">
        <w:rPr>
          <w:rFonts w:ascii="Times New Roman" w:hAnsi="Times New Roman" w:cs="Times New Roman"/>
          <w:sz w:val="24"/>
          <w:szCs w:val="24"/>
        </w:rPr>
        <w:t>Israel’s</w:t>
      </w:r>
      <w:r w:rsidR="007D1A26">
        <w:rPr>
          <w:rFonts w:ascii="Times New Roman" w:hAnsi="Times New Roman" w:cs="Times New Roman"/>
          <w:sz w:val="24"/>
          <w:szCs w:val="24"/>
        </w:rPr>
        <w:t xml:space="preserve"> founding</w:t>
      </w:r>
      <w:r w:rsidR="00F750DC">
        <w:rPr>
          <w:rFonts w:ascii="Times New Roman" w:hAnsi="Times New Roman" w:cs="Times New Roman"/>
          <w:sz w:val="24"/>
          <w:szCs w:val="24"/>
        </w:rPr>
        <w:t>, marked the end of a struggle for the provision of healthcare services, which had begun even before statehood.</w:t>
      </w:r>
    </w:p>
    <w:p w14:paraId="78711543" w14:textId="116B3EE0" w:rsidR="00F750DC" w:rsidRDefault="00E51842" w:rsidP="002A7AAF">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 large extent, </w:t>
      </w:r>
      <w:r w:rsidR="00823D9E">
        <w:rPr>
          <w:rFonts w:ascii="Times New Roman" w:hAnsi="Times New Roman" w:cs="Times New Roman"/>
          <w:sz w:val="24"/>
          <w:szCs w:val="24"/>
        </w:rPr>
        <w:t>Israel’s</w:t>
      </w:r>
      <w:r>
        <w:rPr>
          <w:rFonts w:ascii="Times New Roman" w:hAnsi="Times New Roman" w:cs="Times New Roman"/>
          <w:sz w:val="24"/>
          <w:szCs w:val="24"/>
        </w:rPr>
        <w:t xml:space="preserve"> healthcare services can only be</w:t>
      </w:r>
      <w:r w:rsidR="00E94498">
        <w:rPr>
          <w:rFonts w:ascii="Times New Roman" w:hAnsi="Times New Roman" w:cs="Times New Roman"/>
          <w:sz w:val="24"/>
          <w:szCs w:val="24"/>
        </w:rPr>
        <w:t xml:space="preserve"> characterized </w:t>
      </w:r>
      <w:r>
        <w:rPr>
          <w:rFonts w:ascii="Times New Roman" w:hAnsi="Times New Roman" w:cs="Times New Roman"/>
          <w:sz w:val="24"/>
          <w:szCs w:val="24"/>
        </w:rPr>
        <w:t xml:space="preserve">as a “healthcare system” </w:t>
      </w:r>
      <w:r w:rsidR="00823D9E">
        <w:rPr>
          <w:rFonts w:ascii="Times New Roman" w:hAnsi="Times New Roman" w:cs="Times New Roman"/>
          <w:sz w:val="24"/>
          <w:szCs w:val="24"/>
        </w:rPr>
        <w:t>since</w:t>
      </w:r>
      <w:r>
        <w:rPr>
          <w:rFonts w:ascii="Times New Roman" w:hAnsi="Times New Roman" w:cs="Times New Roman"/>
          <w:sz w:val="24"/>
          <w:szCs w:val="24"/>
        </w:rPr>
        <w:t xml:space="preserve"> the British Mandate era</w:t>
      </w:r>
      <w:r w:rsidR="00E94498">
        <w:rPr>
          <w:rFonts w:ascii="Times New Roman" w:hAnsi="Times New Roman" w:cs="Times New Roman"/>
          <w:sz w:val="24"/>
          <w:szCs w:val="24"/>
        </w:rPr>
        <w:t>. Until then services were provided pri</w:t>
      </w:r>
      <w:r w:rsidR="00823D9E">
        <w:rPr>
          <w:rFonts w:ascii="Times New Roman" w:hAnsi="Times New Roman" w:cs="Times New Roman"/>
          <w:sz w:val="24"/>
          <w:szCs w:val="24"/>
        </w:rPr>
        <w:t>marily</w:t>
      </w:r>
      <w:r w:rsidR="00E94498">
        <w:rPr>
          <w:rFonts w:ascii="Times New Roman" w:hAnsi="Times New Roman" w:cs="Times New Roman"/>
          <w:sz w:val="24"/>
          <w:szCs w:val="24"/>
        </w:rPr>
        <w:t xml:space="preserve"> by local and voluntary organizations, with almost no planning, management, or central coordination. The Ottoman government </w:t>
      </w:r>
      <w:r w:rsidR="003B28A9">
        <w:rPr>
          <w:rFonts w:ascii="Times New Roman" w:hAnsi="Times New Roman" w:cs="Times New Roman"/>
          <w:sz w:val="24"/>
          <w:szCs w:val="24"/>
        </w:rPr>
        <w:t>provided</w:t>
      </w:r>
      <w:r w:rsidR="00035DC3">
        <w:rPr>
          <w:rFonts w:ascii="Times New Roman" w:hAnsi="Times New Roman" w:cs="Times New Roman"/>
          <w:sz w:val="24"/>
          <w:szCs w:val="24"/>
        </w:rPr>
        <w:t xml:space="preserve"> some</w:t>
      </w:r>
      <w:r w:rsidR="003B28A9">
        <w:rPr>
          <w:rFonts w:ascii="Times New Roman" w:hAnsi="Times New Roman" w:cs="Times New Roman"/>
          <w:sz w:val="24"/>
          <w:szCs w:val="24"/>
        </w:rPr>
        <w:t xml:space="preserve"> health </w:t>
      </w:r>
      <w:r w:rsidR="00E94498">
        <w:rPr>
          <w:rFonts w:ascii="Times New Roman" w:hAnsi="Times New Roman" w:cs="Times New Roman"/>
          <w:sz w:val="24"/>
          <w:szCs w:val="24"/>
        </w:rPr>
        <w:t>services</w:t>
      </w:r>
      <w:r w:rsidR="00035DC3">
        <w:rPr>
          <w:rFonts w:ascii="Times New Roman" w:hAnsi="Times New Roman" w:cs="Times New Roman"/>
          <w:sz w:val="24"/>
          <w:szCs w:val="24"/>
        </w:rPr>
        <w:t>, which</w:t>
      </w:r>
      <w:r w:rsidR="003B28A9">
        <w:rPr>
          <w:rFonts w:ascii="Times New Roman" w:hAnsi="Times New Roman" w:cs="Times New Roman"/>
          <w:sz w:val="24"/>
          <w:szCs w:val="24"/>
        </w:rPr>
        <w:t xml:space="preserve"> focused</w:t>
      </w:r>
      <w:r w:rsidR="00E94498">
        <w:rPr>
          <w:rFonts w:ascii="Times New Roman" w:hAnsi="Times New Roman" w:cs="Times New Roman"/>
          <w:sz w:val="24"/>
          <w:szCs w:val="24"/>
        </w:rPr>
        <w:t xml:space="preserve"> mainly </w:t>
      </w:r>
      <w:r w:rsidR="003B28A9">
        <w:rPr>
          <w:rFonts w:ascii="Times New Roman" w:hAnsi="Times New Roman" w:cs="Times New Roman"/>
          <w:sz w:val="24"/>
          <w:szCs w:val="24"/>
        </w:rPr>
        <w:t xml:space="preserve">on </w:t>
      </w:r>
      <w:r w:rsidR="00035DC3">
        <w:rPr>
          <w:rFonts w:ascii="Times New Roman" w:hAnsi="Times New Roman" w:cs="Times New Roman"/>
          <w:sz w:val="24"/>
          <w:szCs w:val="24"/>
        </w:rPr>
        <w:t>public health issues</w:t>
      </w:r>
      <w:r w:rsidR="00E94498">
        <w:rPr>
          <w:rFonts w:ascii="Times New Roman" w:hAnsi="Times New Roman" w:cs="Times New Roman"/>
          <w:sz w:val="24"/>
          <w:szCs w:val="24"/>
        </w:rPr>
        <w:t xml:space="preserve"> such as quarantine centers, examinations of immigrants, and a limited </w:t>
      </w:r>
      <w:r w:rsidR="000C3FE4">
        <w:rPr>
          <w:rFonts w:ascii="Times New Roman" w:hAnsi="Times New Roman" w:cs="Times New Roman"/>
          <w:sz w:val="24"/>
          <w:szCs w:val="24"/>
        </w:rPr>
        <w:t>selection</w:t>
      </w:r>
      <w:r w:rsidR="00E94498">
        <w:rPr>
          <w:rFonts w:ascii="Times New Roman" w:hAnsi="Times New Roman" w:cs="Times New Roman"/>
          <w:sz w:val="24"/>
          <w:szCs w:val="24"/>
        </w:rPr>
        <w:t xml:space="preserve"> of government medical services. During the British Mandate era,</w:t>
      </w:r>
      <w:r w:rsidR="007A6E01">
        <w:rPr>
          <w:rFonts w:ascii="Times New Roman" w:hAnsi="Times New Roman" w:cs="Times New Roman"/>
          <w:sz w:val="24"/>
          <w:szCs w:val="24"/>
        </w:rPr>
        <w:t xml:space="preserve"> an infrastructure of community and hospital-based healthcare services gradually developed, and with the founding of the state this infrastructure steadily expanded, alongside the spread and growth of the population</w:t>
      </w:r>
      <w:r w:rsidR="000A1540">
        <w:rPr>
          <w:rFonts w:ascii="Times New Roman" w:hAnsi="Times New Roman" w:cs="Times New Roman"/>
          <w:sz w:val="24"/>
          <w:szCs w:val="24"/>
        </w:rPr>
        <w:t xml:space="preserve">. The main difference was that before statehood </w:t>
      </w:r>
      <w:r w:rsidR="00BE1700">
        <w:rPr>
          <w:rFonts w:ascii="Times New Roman" w:hAnsi="Times New Roman" w:cs="Times New Roman"/>
          <w:sz w:val="24"/>
          <w:szCs w:val="24"/>
        </w:rPr>
        <w:t>this</w:t>
      </w:r>
      <w:r w:rsidR="000A1540">
        <w:rPr>
          <w:rFonts w:ascii="Times New Roman" w:hAnsi="Times New Roman" w:cs="Times New Roman"/>
          <w:sz w:val="24"/>
          <w:szCs w:val="24"/>
        </w:rPr>
        <w:t xml:space="preserve"> system had been voluntary and </w:t>
      </w:r>
      <w:r w:rsidR="002E34E2">
        <w:rPr>
          <w:rFonts w:ascii="Times New Roman" w:hAnsi="Times New Roman" w:cs="Times New Roman"/>
          <w:sz w:val="24"/>
          <w:szCs w:val="24"/>
        </w:rPr>
        <w:t xml:space="preserve">operated in </w:t>
      </w:r>
      <w:r w:rsidR="00BE1700">
        <w:rPr>
          <w:rFonts w:ascii="Times New Roman" w:hAnsi="Times New Roman" w:cs="Times New Roman"/>
          <w:sz w:val="24"/>
          <w:szCs w:val="24"/>
        </w:rPr>
        <w:t>parallel to</w:t>
      </w:r>
      <w:r w:rsidR="000A1540">
        <w:rPr>
          <w:rFonts w:ascii="Times New Roman" w:hAnsi="Times New Roman" w:cs="Times New Roman"/>
          <w:sz w:val="24"/>
          <w:szCs w:val="24"/>
        </w:rPr>
        <w:t xml:space="preserve"> the British Mandate system, which created tension and redundancy. </w:t>
      </w:r>
      <w:r w:rsidR="002E34E2">
        <w:rPr>
          <w:rFonts w:ascii="Times New Roman" w:hAnsi="Times New Roman" w:cs="Times New Roman"/>
          <w:sz w:val="24"/>
          <w:szCs w:val="24"/>
        </w:rPr>
        <w:t>Nonetheless</w:t>
      </w:r>
      <w:r w:rsidR="000A1540">
        <w:rPr>
          <w:rFonts w:ascii="Times New Roman" w:hAnsi="Times New Roman" w:cs="Times New Roman"/>
          <w:sz w:val="24"/>
          <w:szCs w:val="24"/>
        </w:rPr>
        <w:t xml:space="preserve">, the </w:t>
      </w:r>
      <w:r w:rsidR="003E396A">
        <w:rPr>
          <w:rFonts w:ascii="Times New Roman" w:hAnsi="Times New Roman" w:cs="Times New Roman"/>
          <w:sz w:val="24"/>
          <w:szCs w:val="24"/>
        </w:rPr>
        <w:t xml:space="preserve">healthcare </w:t>
      </w:r>
      <w:r w:rsidR="000A1540">
        <w:rPr>
          <w:rFonts w:ascii="Times New Roman" w:hAnsi="Times New Roman" w:cs="Times New Roman"/>
          <w:sz w:val="24"/>
          <w:szCs w:val="24"/>
        </w:rPr>
        <w:t xml:space="preserve">infrastructure </w:t>
      </w:r>
      <w:r w:rsidR="003E396A">
        <w:rPr>
          <w:rFonts w:ascii="Times New Roman" w:hAnsi="Times New Roman" w:cs="Times New Roman"/>
          <w:sz w:val="24"/>
          <w:szCs w:val="24"/>
        </w:rPr>
        <w:t>that served the</w:t>
      </w:r>
      <w:r w:rsidR="000A1540">
        <w:rPr>
          <w:rFonts w:ascii="Times New Roman" w:hAnsi="Times New Roman" w:cs="Times New Roman"/>
          <w:sz w:val="24"/>
          <w:szCs w:val="24"/>
        </w:rPr>
        <w:t xml:space="preserve"> </w:t>
      </w:r>
      <w:commentRangeStart w:id="2"/>
      <w:r w:rsidR="00C07D22">
        <w:rPr>
          <w:rFonts w:ascii="Times New Roman" w:hAnsi="Times New Roman" w:cs="Times New Roman"/>
          <w:sz w:val="24"/>
          <w:szCs w:val="24"/>
        </w:rPr>
        <w:t xml:space="preserve">pre-state </w:t>
      </w:r>
      <w:r w:rsidR="000A1540">
        <w:rPr>
          <w:rFonts w:ascii="Times New Roman" w:hAnsi="Times New Roman" w:cs="Times New Roman"/>
          <w:sz w:val="24"/>
          <w:szCs w:val="24"/>
        </w:rPr>
        <w:t>Jewish population</w:t>
      </w:r>
      <w:commentRangeEnd w:id="2"/>
      <w:r w:rsidR="00C07D22">
        <w:rPr>
          <w:rStyle w:val="CommentReference"/>
        </w:rPr>
        <w:commentReference w:id="2"/>
      </w:r>
      <w:r w:rsidR="000A1540">
        <w:rPr>
          <w:rFonts w:ascii="Times New Roman" w:hAnsi="Times New Roman" w:cs="Times New Roman"/>
          <w:sz w:val="24"/>
          <w:szCs w:val="24"/>
        </w:rPr>
        <w:t xml:space="preserve"> had a very strong community network, </w:t>
      </w:r>
      <w:r w:rsidR="003E396A">
        <w:rPr>
          <w:rFonts w:ascii="Times New Roman" w:hAnsi="Times New Roman" w:cs="Times New Roman"/>
          <w:sz w:val="24"/>
          <w:szCs w:val="24"/>
        </w:rPr>
        <w:t>including</w:t>
      </w:r>
      <w:r w:rsidR="000A1540">
        <w:rPr>
          <w:rFonts w:ascii="Times New Roman" w:hAnsi="Times New Roman" w:cs="Times New Roman"/>
          <w:sz w:val="24"/>
          <w:szCs w:val="24"/>
        </w:rPr>
        <w:t xml:space="preserve"> clinics in peripheral locations</w:t>
      </w:r>
      <w:r w:rsidR="00556270">
        <w:rPr>
          <w:rFonts w:ascii="Times New Roman" w:hAnsi="Times New Roman" w:cs="Times New Roman"/>
          <w:sz w:val="24"/>
          <w:szCs w:val="24"/>
        </w:rPr>
        <w:t xml:space="preserve"> as well as</w:t>
      </w:r>
      <w:r w:rsidR="000A1540">
        <w:rPr>
          <w:rFonts w:ascii="Times New Roman" w:hAnsi="Times New Roman" w:cs="Times New Roman"/>
          <w:sz w:val="24"/>
          <w:szCs w:val="24"/>
        </w:rPr>
        <w:t xml:space="preserve"> </w:t>
      </w:r>
      <w:commentRangeStart w:id="3"/>
      <w:r w:rsidR="00556270">
        <w:rPr>
          <w:rFonts w:ascii="Times New Roman" w:hAnsi="Times New Roman" w:cs="Times New Roman"/>
          <w:sz w:val="24"/>
          <w:szCs w:val="24"/>
        </w:rPr>
        <w:t xml:space="preserve">prenatal and early childhood healthcare centers </w:t>
      </w:r>
      <w:commentRangeEnd w:id="3"/>
      <w:r w:rsidR="00556270">
        <w:rPr>
          <w:rStyle w:val="CommentReference"/>
        </w:rPr>
        <w:commentReference w:id="3"/>
      </w:r>
      <w:r w:rsidR="00556270">
        <w:rPr>
          <w:rFonts w:ascii="Times New Roman" w:hAnsi="Times New Roman" w:cs="Times New Roman"/>
          <w:sz w:val="24"/>
          <w:szCs w:val="24"/>
        </w:rPr>
        <w:t>(</w:t>
      </w:r>
      <w:r w:rsidR="00556270">
        <w:rPr>
          <w:rFonts w:ascii="Times New Roman" w:hAnsi="Times New Roman" w:cs="Times New Roman"/>
          <w:i/>
          <w:iCs/>
          <w:sz w:val="24"/>
          <w:szCs w:val="24"/>
        </w:rPr>
        <w:t>tipot halav</w:t>
      </w:r>
      <w:r w:rsidR="00556270">
        <w:rPr>
          <w:rFonts w:ascii="Times New Roman" w:hAnsi="Times New Roman" w:cs="Times New Roman"/>
          <w:sz w:val="24"/>
          <w:szCs w:val="24"/>
        </w:rPr>
        <w:t xml:space="preserve">), among other services, and this provided an important foundation </w:t>
      </w:r>
      <w:r w:rsidR="003E396A">
        <w:rPr>
          <w:rFonts w:ascii="Times New Roman" w:hAnsi="Times New Roman" w:cs="Times New Roman"/>
          <w:sz w:val="24"/>
          <w:szCs w:val="24"/>
        </w:rPr>
        <w:t>once</w:t>
      </w:r>
      <w:r w:rsidR="00556270">
        <w:rPr>
          <w:rFonts w:ascii="Times New Roman" w:hAnsi="Times New Roman" w:cs="Times New Roman"/>
          <w:sz w:val="24"/>
          <w:szCs w:val="24"/>
        </w:rPr>
        <w:t xml:space="preserve"> Israel achieved statehood. The Mandatory government invested in public health as well, primarily to prevent the spread of contagious diseases, </w:t>
      </w:r>
      <w:r w:rsidR="003E396A">
        <w:rPr>
          <w:rFonts w:ascii="Times New Roman" w:hAnsi="Times New Roman" w:cs="Times New Roman"/>
          <w:sz w:val="24"/>
          <w:szCs w:val="24"/>
        </w:rPr>
        <w:t>whereas it invested</w:t>
      </w:r>
      <w:r w:rsidR="00556270">
        <w:rPr>
          <w:rFonts w:ascii="Times New Roman" w:hAnsi="Times New Roman" w:cs="Times New Roman"/>
          <w:sz w:val="24"/>
          <w:szCs w:val="24"/>
        </w:rPr>
        <w:t xml:space="preserve"> relatively little in the hospital </w:t>
      </w:r>
      <w:r w:rsidR="003E396A">
        <w:rPr>
          <w:rFonts w:ascii="Times New Roman" w:hAnsi="Times New Roman" w:cs="Times New Roman"/>
          <w:sz w:val="24"/>
          <w:szCs w:val="24"/>
        </w:rPr>
        <w:t>system</w:t>
      </w:r>
      <w:r w:rsidR="00556270">
        <w:rPr>
          <w:rFonts w:ascii="Times New Roman" w:hAnsi="Times New Roman" w:cs="Times New Roman"/>
          <w:sz w:val="24"/>
          <w:szCs w:val="24"/>
        </w:rPr>
        <w:t>. The infrastructure of military hospitals</w:t>
      </w:r>
      <w:r w:rsidR="00FD2A18">
        <w:rPr>
          <w:rFonts w:ascii="Times New Roman" w:hAnsi="Times New Roman" w:cs="Times New Roman"/>
          <w:sz w:val="24"/>
          <w:szCs w:val="24"/>
        </w:rPr>
        <w:t xml:space="preserve"> developed by the British</w:t>
      </w:r>
      <w:r w:rsidR="00AB5023">
        <w:rPr>
          <w:rFonts w:ascii="Times New Roman" w:hAnsi="Times New Roman" w:cs="Times New Roman"/>
          <w:sz w:val="24"/>
          <w:szCs w:val="24"/>
        </w:rPr>
        <w:t xml:space="preserve"> during World War II provided a foundation for military hospitals after Israel was founded. In the 1950s these were transferred to the Ministry of Health in what was meant to be an interim arrangement prior to their </w:t>
      </w:r>
      <w:r w:rsidR="00AB5023">
        <w:rPr>
          <w:rFonts w:ascii="Times New Roman" w:hAnsi="Times New Roman" w:cs="Times New Roman"/>
          <w:sz w:val="24"/>
          <w:szCs w:val="24"/>
        </w:rPr>
        <w:lastRenderedPageBreak/>
        <w:t xml:space="preserve">transfer to local authorities, a process that never took place and left the Ministry of Health responsible to this day for many hospitals, some of which are </w:t>
      </w:r>
      <w:r w:rsidR="00FD2A18">
        <w:rPr>
          <w:rFonts w:ascii="Times New Roman" w:hAnsi="Times New Roman" w:cs="Times New Roman"/>
          <w:sz w:val="24"/>
          <w:szCs w:val="24"/>
        </w:rPr>
        <w:t xml:space="preserve">spread across several old facilities – as </w:t>
      </w:r>
      <w:r w:rsidR="00AB5023">
        <w:rPr>
          <w:rFonts w:ascii="Times New Roman" w:hAnsi="Times New Roman" w:cs="Times New Roman"/>
          <w:sz w:val="24"/>
          <w:szCs w:val="24"/>
        </w:rPr>
        <w:t xml:space="preserve">exemplified by Sheba Hospital and Assaf HaRofeh Medical Center. </w:t>
      </w:r>
      <w:r w:rsidR="00171216">
        <w:rPr>
          <w:rFonts w:ascii="Times New Roman" w:hAnsi="Times New Roman" w:cs="Times New Roman"/>
          <w:sz w:val="24"/>
          <w:szCs w:val="24"/>
        </w:rPr>
        <w:t xml:space="preserve">This contrasts with </w:t>
      </w:r>
      <w:r w:rsidR="00FD2A18">
        <w:rPr>
          <w:rFonts w:ascii="Times New Roman" w:hAnsi="Times New Roman" w:cs="Times New Roman"/>
          <w:sz w:val="24"/>
          <w:szCs w:val="24"/>
        </w:rPr>
        <w:t xml:space="preserve">the </w:t>
      </w:r>
      <w:r w:rsidR="00171216">
        <w:rPr>
          <w:rFonts w:ascii="Times New Roman" w:hAnsi="Times New Roman" w:cs="Times New Roman"/>
          <w:sz w:val="24"/>
          <w:szCs w:val="24"/>
        </w:rPr>
        <w:t>manner in which the</w:t>
      </w:r>
      <w:r w:rsidR="00FD2A18">
        <w:rPr>
          <w:rFonts w:ascii="Times New Roman" w:hAnsi="Times New Roman" w:cs="Times New Roman"/>
          <w:sz w:val="24"/>
          <w:szCs w:val="24"/>
        </w:rPr>
        <w:t xml:space="preserve"> HMO</w:t>
      </w:r>
      <w:r w:rsidR="00171216">
        <w:rPr>
          <w:rFonts w:ascii="Times New Roman" w:hAnsi="Times New Roman" w:cs="Times New Roman"/>
          <w:sz w:val="24"/>
          <w:szCs w:val="24"/>
        </w:rPr>
        <w:t xml:space="preserve"> Klalit constructed its hospital network, </w:t>
      </w:r>
      <w:r w:rsidR="0013178E">
        <w:rPr>
          <w:rFonts w:ascii="Times New Roman" w:hAnsi="Times New Roman" w:cs="Times New Roman"/>
          <w:sz w:val="24"/>
          <w:szCs w:val="24"/>
        </w:rPr>
        <w:t>which began</w:t>
      </w:r>
      <w:r w:rsidR="00171216">
        <w:rPr>
          <w:rFonts w:ascii="Times New Roman" w:hAnsi="Times New Roman" w:cs="Times New Roman"/>
          <w:sz w:val="24"/>
          <w:szCs w:val="24"/>
        </w:rPr>
        <w:t xml:space="preserve"> even before Israel’s founding</w:t>
      </w:r>
      <w:r w:rsidR="0013178E">
        <w:rPr>
          <w:rFonts w:ascii="Times New Roman" w:hAnsi="Times New Roman" w:cs="Times New Roman"/>
          <w:sz w:val="24"/>
          <w:szCs w:val="24"/>
        </w:rPr>
        <w:t xml:space="preserve"> and was based on</w:t>
      </w:r>
      <w:r w:rsidR="00171216">
        <w:rPr>
          <w:rFonts w:ascii="Times New Roman" w:hAnsi="Times New Roman" w:cs="Times New Roman"/>
          <w:sz w:val="24"/>
          <w:szCs w:val="24"/>
        </w:rPr>
        <w:t xml:space="preserve"> infrastructures</w:t>
      </w:r>
      <w:r w:rsidR="0013178E">
        <w:rPr>
          <w:rFonts w:ascii="Times New Roman" w:hAnsi="Times New Roman" w:cs="Times New Roman"/>
          <w:sz w:val="24"/>
          <w:szCs w:val="24"/>
        </w:rPr>
        <w:t xml:space="preserve"> of higher quality</w:t>
      </w:r>
      <w:r w:rsidR="00171216">
        <w:rPr>
          <w:rFonts w:ascii="Times New Roman" w:hAnsi="Times New Roman" w:cs="Times New Roman"/>
          <w:sz w:val="24"/>
          <w:szCs w:val="24"/>
        </w:rPr>
        <w:t xml:space="preserve">. Another hospital system that the State of Israel “inherited” is the Hadassah </w:t>
      </w:r>
      <w:r w:rsidR="0013178E">
        <w:rPr>
          <w:rFonts w:ascii="Times New Roman" w:hAnsi="Times New Roman" w:cs="Times New Roman"/>
          <w:sz w:val="24"/>
          <w:szCs w:val="24"/>
        </w:rPr>
        <w:t xml:space="preserve">network of </w:t>
      </w:r>
      <w:r w:rsidR="00171216">
        <w:rPr>
          <w:rFonts w:ascii="Times New Roman" w:hAnsi="Times New Roman" w:cs="Times New Roman"/>
          <w:sz w:val="24"/>
          <w:szCs w:val="24"/>
        </w:rPr>
        <w:t>hospitals</w:t>
      </w:r>
      <w:r w:rsidR="00DB0E72">
        <w:rPr>
          <w:rFonts w:ascii="Times New Roman" w:hAnsi="Times New Roman" w:cs="Times New Roman"/>
          <w:sz w:val="24"/>
          <w:szCs w:val="24"/>
        </w:rPr>
        <w:t>, which, with the exception of Jerusalem, were transferred to other entities. Hadassah Tel Aviv, for example, was transferred to the Tel Aviv municipality as early as the 1930s.</w:t>
      </w:r>
    </w:p>
    <w:p w14:paraId="3F9D7F54" w14:textId="5DB834F9" w:rsidR="00DB0E72" w:rsidRDefault="00DB0E72" w:rsidP="002A7AAF">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survey of developments in the healthcare system since the 1920s indicates that to a large extent those years shaped the character and organization of the healthcare system in Israel </w:t>
      </w:r>
      <w:r w:rsidR="0013178E">
        <w:rPr>
          <w:rFonts w:ascii="Times New Roman" w:hAnsi="Times New Roman" w:cs="Times New Roman"/>
          <w:sz w:val="24"/>
          <w:szCs w:val="24"/>
        </w:rPr>
        <w:t>prior to</w:t>
      </w:r>
      <w:r>
        <w:rPr>
          <w:rFonts w:ascii="Times New Roman" w:hAnsi="Times New Roman" w:cs="Times New Roman"/>
          <w:sz w:val="24"/>
          <w:szCs w:val="24"/>
        </w:rPr>
        <w:t xml:space="preserve"> passage of the National Health Insurance law, and to some extent to this day. The characteristics of this healthcare system included:</w:t>
      </w:r>
    </w:p>
    <w:p w14:paraId="393BDA0E" w14:textId="3DA758A7" w:rsidR="00DB0E72" w:rsidRDefault="0097359F" w:rsidP="002A7AAF">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pluralistic healthcare </w:t>
      </w:r>
      <w:r w:rsidR="0013178E">
        <w:rPr>
          <w:rFonts w:ascii="Times New Roman" w:hAnsi="Times New Roman" w:cs="Times New Roman"/>
          <w:sz w:val="24"/>
          <w:szCs w:val="24"/>
        </w:rPr>
        <w:t>network</w:t>
      </w:r>
      <w:r>
        <w:rPr>
          <w:rFonts w:ascii="Times New Roman" w:hAnsi="Times New Roman" w:cs="Times New Roman"/>
          <w:sz w:val="24"/>
          <w:szCs w:val="24"/>
        </w:rPr>
        <w:t xml:space="preserve"> comprising many institutio</w:t>
      </w:r>
      <w:r w:rsidR="00611404">
        <w:rPr>
          <w:rFonts w:ascii="Times New Roman" w:hAnsi="Times New Roman" w:cs="Times New Roman"/>
          <w:sz w:val="24"/>
          <w:szCs w:val="24"/>
        </w:rPr>
        <w:t>ns and organizations.</w:t>
      </w:r>
    </w:p>
    <w:p w14:paraId="5D4CB915" w14:textId="02E8CD7B" w:rsidR="0097359F" w:rsidRDefault="0097359F" w:rsidP="005B0268">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Adoption </w:t>
      </w:r>
      <w:r w:rsidR="00640A12">
        <w:rPr>
          <w:rFonts w:ascii="Times New Roman" w:hAnsi="Times New Roman" w:cs="Times New Roman"/>
          <w:sz w:val="24"/>
          <w:szCs w:val="24"/>
        </w:rPr>
        <w:t>by the</w:t>
      </w:r>
      <w:r w:rsidR="00C07D22">
        <w:rPr>
          <w:rFonts w:ascii="Times New Roman" w:hAnsi="Times New Roman" w:cs="Times New Roman"/>
          <w:sz w:val="24"/>
          <w:szCs w:val="24"/>
        </w:rPr>
        <w:t xml:space="preserve"> </w:t>
      </w:r>
      <w:commentRangeStart w:id="4"/>
      <w:r w:rsidR="00C07D22">
        <w:rPr>
          <w:rFonts w:ascii="Times New Roman" w:hAnsi="Times New Roman" w:cs="Times New Roman"/>
          <w:sz w:val="24"/>
          <w:szCs w:val="24"/>
        </w:rPr>
        <w:t>pre-state Jewish community leadership</w:t>
      </w:r>
      <w:commentRangeEnd w:id="4"/>
      <w:r w:rsidR="00C07D22">
        <w:rPr>
          <w:rStyle w:val="CommentReference"/>
        </w:rPr>
        <w:commentReference w:id="4"/>
      </w:r>
      <w:r w:rsidR="00C07D22">
        <w:rPr>
          <w:rFonts w:ascii="Times New Roman" w:hAnsi="Times New Roman" w:cs="Times New Roman"/>
          <w:sz w:val="24"/>
          <w:szCs w:val="24"/>
        </w:rPr>
        <w:t xml:space="preserve"> </w:t>
      </w:r>
      <w:r>
        <w:rPr>
          <w:rFonts w:ascii="Times New Roman" w:hAnsi="Times New Roman" w:cs="Times New Roman"/>
          <w:sz w:val="24"/>
          <w:szCs w:val="24"/>
        </w:rPr>
        <w:t>of a model based on</w:t>
      </w:r>
      <w:r w:rsidR="005A1D2F">
        <w:rPr>
          <w:rFonts w:ascii="Times New Roman" w:hAnsi="Times New Roman" w:cs="Times New Roman"/>
          <w:sz w:val="24"/>
          <w:szCs w:val="24"/>
        </w:rPr>
        <w:t xml:space="preserve"> HMOs </w:t>
      </w:r>
      <w:r w:rsidR="005207BC">
        <w:rPr>
          <w:rFonts w:ascii="Times New Roman" w:hAnsi="Times New Roman" w:cs="Times New Roman"/>
          <w:sz w:val="24"/>
          <w:szCs w:val="24"/>
        </w:rPr>
        <w:t xml:space="preserve">in many aspects </w:t>
      </w:r>
      <w:r w:rsidR="005B0268">
        <w:rPr>
          <w:rFonts w:ascii="Times New Roman" w:hAnsi="Times New Roman" w:cs="Times New Roman"/>
          <w:sz w:val="24"/>
          <w:szCs w:val="24"/>
        </w:rPr>
        <w:t>within the purview</w:t>
      </w:r>
      <w:r w:rsidR="005207BC">
        <w:rPr>
          <w:rFonts w:ascii="Times New Roman" w:hAnsi="Times New Roman" w:cs="Times New Roman"/>
          <w:sz w:val="24"/>
          <w:szCs w:val="24"/>
        </w:rPr>
        <w:t xml:space="preserve"> of the </w:t>
      </w:r>
      <w:r w:rsidR="00F27C82">
        <w:rPr>
          <w:rFonts w:ascii="Times New Roman" w:hAnsi="Times New Roman" w:cs="Times New Roman"/>
          <w:sz w:val="24"/>
          <w:szCs w:val="24"/>
        </w:rPr>
        <w:t>state-in-the-making</w:t>
      </w:r>
      <w:r w:rsidR="005A1D2F">
        <w:rPr>
          <w:rFonts w:ascii="Times New Roman" w:hAnsi="Times New Roman" w:cs="Times New Roman"/>
          <w:sz w:val="24"/>
          <w:szCs w:val="24"/>
        </w:rPr>
        <w:t xml:space="preserve">, as practiced in </w:t>
      </w:r>
      <w:r w:rsidR="005B0268">
        <w:rPr>
          <w:rFonts w:ascii="Times New Roman" w:hAnsi="Times New Roman" w:cs="Times New Roman"/>
          <w:sz w:val="24"/>
          <w:szCs w:val="24"/>
        </w:rPr>
        <w:t>various</w:t>
      </w:r>
      <w:r w:rsidR="005A1D2F">
        <w:rPr>
          <w:rFonts w:ascii="Times New Roman" w:hAnsi="Times New Roman" w:cs="Times New Roman"/>
          <w:sz w:val="24"/>
          <w:szCs w:val="24"/>
        </w:rPr>
        <w:t xml:space="preserve"> European countries. Later the healthcare system adopted certain characteristics of centralized control, on the one hand, and a market economy, on the other, thus </w:t>
      </w:r>
      <w:r w:rsidR="00CD54A0">
        <w:rPr>
          <w:rFonts w:ascii="Times New Roman" w:hAnsi="Times New Roman" w:cs="Times New Roman"/>
          <w:sz w:val="24"/>
          <w:szCs w:val="24"/>
        </w:rPr>
        <w:t>making it more of</w:t>
      </w:r>
      <w:r w:rsidR="005A1D2F">
        <w:rPr>
          <w:rFonts w:ascii="Times New Roman" w:hAnsi="Times New Roman" w:cs="Times New Roman"/>
          <w:sz w:val="24"/>
          <w:szCs w:val="24"/>
        </w:rPr>
        <w:t xml:space="preserve"> a “mixed” than a distinct </w:t>
      </w:r>
      <w:r w:rsidR="00CD54A0">
        <w:rPr>
          <w:rFonts w:ascii="Times New Roman" w:hAnsi="Times New Roman" w:cs="Times New Roman"/>
          <w:sz w:val="24"/>
          <w:szCs w:val="24"/>
        </w:rPr>
        <w:t>model</w:t>
      </w:r>
      <w:r w:rsidR="005A1D2F">
        <w:rPr>
          <w:rFonts w:ascii="Times New Roman" w:hAnsi="Times New Roman" w:cs="Times New Roman"/>
          <w:sz w:val="24"/>
          <w:szCs w:val="24"/>
        </w:rPr>
        <w:t xml:space="preserve">. Even before statehood, the principles of relatively accessible care for the community, </w:t>
      </w:r>
      <w:r w:rsidR="009528C4">
        <w:rPr>
          <w:rFonts w:ascii="Times New Roman" w:hAnsi="Times New Roman" w:cs="Times New Roman"/>
          <w:sz w:val="24"/>
          <w:szCs w:val="24"/>
        </w:rPr>
        <w:t>including</w:t>
      </w:r>
      <w:r w:rsidR="005A1D2F">
        <w:rPr>
          <w:rFonts w:ascii="Times New Roman" w:hAnsi="Times New Roman" w:cs="Times New Roman"/>
          <w:sz w:val="24"/>
          <w:szCs w:val="24"/>
        </w:rPr>
        <w:t xml:space="preserve"> in remote areas, and the political ideological composition of health organizations </w:t>
      </w:r>
      <w:r w:rsidR="00E86A84">
        <w:rPr>
          <w:rFonts w:ascii="Times New Roman" w:hAnsi="Times New Roman" w:cs="Times New Roman"/>
          <w:sz w:val="24"/>
          <w:szCs w:val="24"/>
        </w:rPr>
        <w:t>constituted</w:t>
      </w:r>
      <w:r w:rsidR="009528C4">
        <w:rPr>
          <w:rFonts w:ascii="Times New Roman" w:hAnsi="Times New Roman" w:cs="Times New Roman"/>
          <w:sz w:val="24"/>
          <w:szCs w:val="24"/>
        </w:rPr>
        <w:t xml:space="preserve"> unique features</w:t>
      </w:r>
      <w:r w:rsidR="005A1D2F">
        <w:rPr>
          <w:rFonts w:ascii="Times New Roman" w:hAnsi="Times New Roman" w:cs="Times New Roman"/>
          <w:sz w:val="24"/>
          <w:szCs w:val="24"/>
        </w:rPr>
        <w:t xml:space="preserve"> of the healthcare system, and they continue to shape its nature today.</w:t>
      </w:r>
    </w:p>
    <w:p w14:paraId="7F159E91" w14:textId="638306E7" w:rsidR="005A1D2F" w:rsidRDefault="009673B4" w:rsidP="002A7AAF">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Financial activity characterized by a permanent deficit.</w:t>
      </w:r>
    </w:p>
    <w:p w14:paraId="63FFB301" w14:textId="3AE0205D" w:rsidR="009673B4" w:rsidRDefault="009673B4" w:rsidP="002A7AAF">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Direct provision of health services by the Ministry of Health, alongside its ministerial functions.</w:t>
      </w:r>
    </w:p>
    <w:p w14:paraId="2C470038" w14:textId="43B0AB46" w:rsidR="00BC165D" w:rsidRDefault="009673B4" w:rsidP="002A7AAF">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Direct provision of health services by the HMOs, alongside their role as an insurer.</w:t>
      </w:r>
      <w:r w:rsidR="00BC165D">
        <w:rPr>
          <w:rFonts w:ascii="Times New Roman" w:hAnsi="Times New Roman" w:cs="Times New Roman"/>
          <w:sz w:val="24"/>
          <w:szCs w:val="24"/>
        </w:rPr>
        <w:t>(1 p27-38)</w:t>
      </w:r>
    </w:p>
    <w:p w14:paraId="458FB310" w14:textId="755D4316" w:rsidR="00BC165D" w:rsidRDefault="00A24D11"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After</w:t>
      </w:r>
      <w:r w:rsidR="00D13A03">
        <w:rPr>
          <w:rFonts w:ascii="Times New Roman" w:hAnsi="Times New Roman" w:cs="Times New Roman"/>
          <w:sz w:val="24"/>
          <w:szCs w:val="24"/>
        </w:rPr>
        <w:t xml:space="preserve"> </w:t>
      </w:r>
      <w:r w:rsidR="00BC165D">
        <w:rPr>
          <w:rFonts w:ascii="Times New Roman" w:hAnsi="Times New Roman" w:cs="Times New Roman"/>
          <w:sz w:val="24"/>
          <w:szCs w:val="24"/>
        </w:rPr>
        <w:t>many attempts to enact a national health insurance law</w:t>
      </w:r>
      <w:r>
        <w:rPr>
          <w:rFonts w:ascii="Times New Roman" w:hAnsi="Times New Roman" w:cs="Times New Roman"/>
          <w:sz w:val="24"/>
          <w:szCs w:val="24"/>
        </w:rPr>
        <w:t>, the right political moment eventually arrived</w:t>
      </w:r>
      <w:r w:rsidR="00D13A03">
        <w:rPr>
          <w:rFonts w:ascii="Times New Roman" w:hAnsi="Times New Roman" w:cs="Times New Roman"/>
          <w:sz w:val="24"/>
          <w:szCs w:val="24"/>
        </w:rPr>
        <w:t>.</w:t>
      </w:r>
      <w:r>
        <w:rPr>
          <w:rFonts w:ascii="Times New Roman" w:hAnsi="Times New Roman" w:cs="Times New Roman"/>
          <w:sz w:val="24"/>
          <w:szCs w:val="24"/>
        </w:rPr>
        <w:t xml:space="preserve"> It had first been necessary</w:t>
      </w:r>
      <w:r w:rsidR="00D13A03">
        <w:rPr>
          <w:rFonts w:ascii="Times New Roman" w:hAnsi="Times New Roman" w:cs="Times New Roman"/>
          <w:sz w:val="24"/>
          <w:szCs w:val="24"/>
        </w:rPr>
        <w:t xml:space="preserve"> to separate </w:t>
      </w:r>
      <w:commentRangeStart w:id="5"/>
      <w:r w:rsidR="00BC165D">
        <w:rPr>
          <w:rFonts w:ascii="Times New Roman" w:hAnsi="Times New Roman" w:cs="Times New Roman"/>
          <w:sz w:val="24"/>
          <w:szCs w:val="24"/>
        </w:rPr>
        <w:t xml:space="preserve">Histadrut HaOvdim HaKlalit </w:t>
      </w:r>
      <w:r w:rsidR="00BC165D">
        <w:rPr>
          <w:rFonts w:ascii="Times New Roman" w:hAnsi="Times New Roman" w:cs="Times New Roman"/>
          <w:sz w:val="24"/>
          <w:szCs w:val="24"/>
        </w:rPr>
        <w:lastRenderedPageBreak/>
        <w:t xml:space="preserve">(the national trade union association) </w:t>
      </w:r>
      <w:r w:rsidR="00D13A03">
        <w:rPr>
          <w:rFonts w:ascii="Times New Roman" w:hAnsi="Times New Roman" w:cs="Times New Roman"/>
          <w:sz w:val="24"/>
          <w:szCs w:val="24"/>
        </w:rPr>
        <w:t>from</w:t>
      </w:r>
      <w:r w:rsidR="00AB54B9">
        <w:rPr>
          <w:rFonts w:ascii="Times New Roman" w:hAnsi="Times New Roman" w:cs="Times New Roman"/>
          <w:sz w:val="24"/>
          <w:szCs w:val="24"/>
        </w:rPr>
        <w:t xml:space="preserve"> </w:t>
      </w:r>
      <w:r w:rsidR="00BC165D">
        <w:rPr>
          <w:rFonts w:ascii="Times New Roman" w:hAnsi="Times New Roman" w:cs="Times New Roman"/>
          <w:sz w:val="24"/>
          <w:szCs w:val="24"/>
        </w:rPr>
        <w:t>Kupat Holim Klalit (the HMO originally affiliated with the Histadrut)</w:t>
      </w:r>
      <w:commentRangeEnd w:id="5"/>
      <w:r w:rsidR="00BC165D">
        <w:rPr>
          <w:rStyle w:val="CommentReference"/>
        </w:rPr>
        <w:commentReference w:id="5"/>
      </w:r>
      <w:r w:rsidR="00D13A03">
        <w:rPr>
          <w:rFonts w:ascii="Times New Roman" w:hAnsi="Times New Roman" w:cs="Times New Roman"/>
          <w:sz w:val="24"/>
          <w:szCs w:val="24"/>
        </w:rPr>
        <w:t xml:space="preserve"> at the political level</w:t>
      </w:r>
      <w:r w:rsidR="00BC165D">
        <w:rPr>
          <w:rFonts w:ascii="Times New Roman" w:hAnsi="Times New Roman" w:cs="Times New Roman"/>
          <w:sz w:val="24"/>
          <w:szCs w:val="24"/>
        </w:rPr>
        <w:t xml:space="preserve">, </w:t>
      </w:r>
      <w:r w:rsidR="00D13A03">
        <w:rPr>
          <w:rFonts w:ascii="Times New Roman" w:hAnsi="Times New Roman" w:cs="Times New Roman"/>
          <w:sz w:val="24"/>
          <w:szCs w:val="24"/>
        </w:rPr>
        <w:t xml:space="preserve">while also allowing </w:t>
      </w:r>
      <w:r w:rsidR="00BC165D">
        <w:rPr>
          <w:rFonts w:ascii="Times New Roman" w:hAnsi="Times New Roman" w:cs="Times New Roman"/>
          <w:sz w:val="24"/>
          <w:szCs w:val="24"/>
        </w:rPr>
        <w:t>the economy and healthcare policy</w:t>
      </w:r>
      <w:r w:rsidR="00D13A03">
        <w:rPr>
          <w:rFonts w:ascii="Times New Roman" w:hAnsi="Times New Roman" w:cs="Times New Roman"/>
          <w:sz w:val="24"/>
          <w:szCs w:val="24"/>
        </w:rPr>
        <w:t xml:space="preserve"> to </w:t>
      </w:r>
      <w:r>
        <w:rPr>
          <w:rFonts w:ascii="Times New Roman" w:hAnsi="Times New Roman" w:cs="Times New Roman"/>
          <w:sz w:val="24"/>
          <w:szCs w:val="24"/>
        </w:rPr>
        <w:t>mature sufficiently</w:t>
      </w:r>
      <w:r w:rsidR="00BC165D">
        <w:rPr>
          <w:rFonts w:ascii="Times New Roman" w:hAnsi="Times New Roman" w:cs="Times New Roman"/>
          <w:sz w:val="24"/>
          <w:szCs w:val="24"/>
        </w:rPr>
        <w:t>. In the early 1990s</w:t>
      </w:r>
      <w:r>
        <w:rPr>
          <w:rFonts w:ascii="Times New Roman" w:hAnsi="Times New Roman" w:cs="Times New Roman"/>
          <w:sz w:val="24"/>
          <w:szCs w:val="24"/>
        </w:rPr>
        <w:t>,</w:t>
      </w:r>
      <w:r w:rsidR="00BC165D">
        <w:rPr>
          <w:rFonts w:ascii="Times New Roman" w:hAnsi="Times New Roman" w:cs="Times New Roman"/>
          <w:sz w:val="24"/>
          <w:szCs w:val="24"/>
        </w:rPr>
        <w:t xml:space="preserve"> the political, economic, and professional conditions became ripe for legislation of the law on which Israel’s healthcare system is </w:t>
      </w:r>
      <w:r>
        <w:rPr>
          <w:rFonts w:ascii="Times New Roman" w:hAnsi="Times New Roman" w:cs="Times New Roman"/>
          <w:sz w:val="24"/>
          <w:szCs w:val="24"/>
        </w:rPr>
        <w:t xml:space="preserve">now </w:t>
      </w:r>
      <w:r w:rsidR="00BC165D">
        <w:rPr>
          <w:rFonts w:ascii="Times New Roman" w:hAnsi="Times New Roman" w:cs="Times New Roman"/>
          <w:sz w:val="24"/>
          <w:szCs w:val="24"/>
        </w:rPr>
        <w:t>based.</w:t>
      </w:r>
    </w:p>
    <w:p w14:paraId="2D7AFCB9" w14:textId="344FA888"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guiding principle </w:t>
      </w:r>
      <w:r w:rsidR="006F6CF8">
        <w:rPr>
          <w:rFonts w:ascii="Times New Roman" w:hAnsi="Times New Roman" w:cs="Times New Roman"/>
          <w:sz w:val="24"/>
          <w:szCs w:val="24"/>
        </w:rPr>
        <w:t>underpinning</w:t>
      </w:r>
      <w:r>
        <w:rPr>
          <w:rFonts w:ascii="Times New Roman" w:hAnsi="Times New Roman" w:cs="Times New Roman"/>
          <w:sz w:val="24"/>
          <w:szCs w:val="24"/>
        </w:rPr>
        <w:t xml:space="preserve"> the National Health Insurance Law is that medical care in Israel is to be provided on the basis of medical justification, independently of the financial means of the insured. The law also defined a uniform basket of medical services that HMOs must provide, with government oversight over the operations of the HMOs. In addition to compulsory insurance, HMOs were granted the option of offering complementary insurance to the insured, for additional services not included in the public medical services basket. Health insurance fees are paid via the National Insurance Institute, allowing for fair competition among the HMOs, freedom of choice for citizens to select their preferred HMO, </w:t>
      </w:r>
      <w:r w:rsidR="00BF1412">
        <w:rPr>
          <w:rFonts w:ascii="Times New Roman" w:hAnsi="Times New Roman" w:cs="Times New Roman"/>
          <w:sz w:val="24"/>
          <w:szCs w:val="24"/>
        </w:rPr>
        <w:t>focused dues collection as needed</w:t>
      </w:r>
      <w:r>
        <w:rPr>
          <w:rFonts w:ascii="Times New Roman" w:hAnsi="Times New Roman" w:cs="Times New Roman"/>
          <w:sz w:val="24"/>
          <w:szCs w:val="24"/>
        </w:rPr>
        <w:t>, and guaranteed income for the HMOs. At the same time, the responsibility for managing the Ministry of Health’s budget was delegated to the Ministry of Finance.</w:t>
      </w:r>
    </w:p>
    <w:p w14:paraId="34D53678" w14:textId="641C8E17"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fees are collected by a single national entity – the National Insurance Institute. The public sources of funding for the HMOs are determined on the basis of capitation (accounting for 88.5% of all funding sources), that is, according to the number of insureds in each HMO, weighted by age and other socio-demographic factors. This mechanism is an important means for implementing the system’s policy of resource allocation.</w:t>
      </w:r>
      <w:r w:rsidR="00F656B4">
        <w:rPr>
          <w:rFonts w:ascii="Times New Roman" w:hAnsi="Times New Roman" w:cs="Times New Roman"/>
          <w:sz w:val="24"/>
          <w:szCs w:val="24"/>
        </w:rPr>
        <w:t xml:space="preserve"> Its</w:t>
      </w:r>
      <w:r>
        <w:rPr>
          <w:rFonts w:ascii="Times New Roman" w:hAnsi="Times New Roman" w:cs="Times New Roman"/>
          <w:sz w:val="24"/>
          <w:szCs w:val="24"/>
        </w:rPr>
        <w:t xml:space="preserve"> structure and implementation </w:t>
      </w:r>
      <w:r w:rsidR="00F656B4">
        <w:rPr>
          <w:rFonts w:ascii="Times New Roman" w:hAnsi="Times New Roman" w:cs="Times New Roman"/>
          <w:sz w:val="24"/>
          <w:szCs w:val="24"/>
        </w:rPr>
        <w:t>represent the financial expression</w:t>
      </w:r>
      <w:r>
        <w:rPr>
          <w:rFonts w:ascii="Times New Roman" w:hAnsi="Times New Roman" w:cs="Times New Roman"/>
          <w:sz w:val="24"/>
          <w:szCs w:val="24"/>
        </w:rPr>
        <w:t xml:space="preserve"> of the system’s structure, management, precedence, and concept of social justice. Given that there is variance in the consumption of services across different age groups, allocations are based on the relative weight of each group in relation to </w:t>
      </w:r>
      <w:r w:rsidR="00F656B4">
        <w:rPr>
          <w:rFonts w:ascii="Times New Roman" w:hAnsi="Times New Roman" w:cs="Times New Roman"/>
          <w:sz w:val="24"/>
          <w:szCs w:val="24"/>
        </w:rPr>
        <w:t xml:space="preserve">its </w:t>
      </w:r>
      <w:r>
        <w:rPr>
          <w:rFonts w:ascii="Times New Roman" w:hAnsi="Times New Roman" w:cs="Times New Roman"/>
          <w:sz w:val="24"/>
          <w:szCs w:val="24"/>
        </w:rPr>
        <w:t xml:space="preserve">consumption of the medical services covered by the basket of services for which HMOs are responsible. Furthermore, for five severe diseases (end-stage renal failure, Gaucher disease, hemophilia, </w:t>
      </w:r>
      <w:r w:rsidRPr="004013AE">
        <w:rPr>
          <w:rFonts w:ascii="Times New Roman" w:hAnsi="Times New Roman" w:cs="Times New Roman"/>
          <w:sz w:val="24"/>
          <w:szCs w:val="24"/>
        </w:rPr>
        <w:t>thalassemia</w:t>
      </w:r>
      <w:r>
        <w:rPr>
          <w:rFonts w:ascii="Times New Roman" w:hAnsi="Times New Roman" w:cs="Times New Roman"/>
          <w:sz w:val="24"/>
          <w:szCs w:val="24"/>
        </w:rPr>
        <w:t>, AIDS)</w:t>
      </w:r>
      <w:r w:rsidR="00F656B4">
        <w:rPr>
          <w:rFonts w:ascii="Times New Roman" w:hAnsi="Times New Roman" w:cs="Times New Roman"/>
          <w:sz w:val="24"/>
          <w:szCs w:val="24"/>
        </w:rPr>
        <w:t>,</w:t>
      </w:r>
      <w:r>
        <w:rPr>
          <w:rFonts w:ascii="Times New Roman" w:hAnsi="Times New Roman" w:cs="Times New Roman"/>
          <w:sz w:val="24"/>
          <w:szCs w:val="24"/>
        </w:rPr>
        <w:t xml:space="preserve"> HMOs receive an additional budgetary allocation based on the </w:t>
      </w:r>
      <w:r w:rsidR="00F656B4">
        <w:rPr>
          <w:rFonts w:ascii="Times New Roman" w:hAnsi="Times New Roman" w:cs="Times New Roman"/>
          <w:sz w:val="24"/>
          <w:szCs w:val="24"/>
        </w:rPr>
        <w:t>actual</w:t>
      </w:r>
      <w:r>
        <w:rPr>
          <w:rFonts w:ascii="Times New Roman" w:hAnsi="Times New Roman" w:cs="Times New Roman"/>
          <w:sz w:val="24"/>
          <w:szCs w:val="24"/>
        </w:rPr>
        <w:t xml:space="preserve"> number of patients</w:t>
      </w:r>
      <w:r w:rsidR="009C78D5">
        <w:rPr>
          <w:rFonts w:ascii="Times New Roman" w:hAnsi="Times New Roman" w:cs="Times New Roman"/>
          <w:sz w:val="24"/>
          <w:szCs w:val="24"/>
        </w:rPr>
        <w:t xml:space="preserve"> because these diseases are highly responsive to treatment</w:t>
      </w:r>
      <w:r>
        <w:rPr>
          <w:rFonts w:ascii="Times New Roman" w:hAnsi="Times New Roman" w:cs="Times New Roman"/>
          <w:sz w:val="24"/>
          <w:szCs w:val="24"/>
        </w:rPr>
        <w:t>. These days, in light of the changing reality, the Ministry of Health is formulating a new model for capitation and the designation of severe diseases.</w:t>
      </w:r>
    </w:p>
    <w:p w14:paraId="64F594FF" w14:textId="0E1E2512"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addition, HMOs are entitled to charge members a deductible fee for some of the services in the services basket. The Ministry of Health updates the maximum deductible that HMOs may charge for services and drugs approved by the Finance Committee of the Knesset </w:t>
      </w:r>
      <w:commentRangeStart w:id="6"/>
      <w:r>
        <w:rPr>
          <w:rFonts w:ascii="Times New Roman" w:hAnsi="Times New Roman" w:cs="Times New Roman"/>
          <w:sz w:val="24"/>
          <w:szCs w:val="24"/>
        </w:rPr>
        <w:t>(Israeli parliament)</w:t>
      </w:r>
      <w:commentRangeEnd w:id="6"/>
      <w:r w:rsidR="008D11DC">
        <w:rPr>
          <w:rStyle w:val="CommentReference"/>
        </w:rPr>
        <w:commentReference w:id="6"/>
      </w:r>
      <w:r>
        <w:rPr>
          <w:rFonts w:ascii="Times New Roman" w:hAnsi="Times New Roman" w:cs="Times New Roman"/>
          <w:sz w:val="24"/>
          <w:szCs w:val="24"/>
        </w:rPr>
        <w:t>. The original purpose of the deductible was to prevent the overuse of services (a market failure term</w:t>
      </w:r>
      <w:r w:rsidR="003A1E5B">
        <w:rPr>
          <w:rFonts w:ascii="Times New Roman" w:hAnsi="Times New Roman" w:cs="Times New Roman"/>
          <w:sz w:val="24"/>
          <w:szCs w:val="24"/>
        </w:rPr>
        <w:t>ed</w:t>
      </w:r>
      <w:r>
        <w:rPr>
          <w:rFonts w:ascii="Times New Roman" w:hAnsi="Times New Roman" w:cs="Times New Roman"/>
          <w:sz w:val="24"/>
          <w:szCs w:val="24"/>
        </w:rPr>
        <w:t xml:space="preserve"> “moral hazard”)</w:t>
      </w:r>
      <w:r w:rsidR="003A1E5B">
        <w:rPr>
          <w:rFonts w:ascii="Times New Roman" w:hAnsi="Times New Roman" w:cs="Times New Roman"/>
          <w:sz w:val="24"/>
          <w:szCs w:val="24"/>
        </w:rPr>
        <w:t>,</w:t>
      </w:r>
      <w:r>
        <w:rPr>
          <w:rFonts w:ascii="Times New Roman" w:hAnsi="Times New Roman" w:cs="Times New Roman"/>
          <w:sz w:val="24"/>
          <w:szCs w:val="24"/>
        </w:rPr>
        <w:t xml:space="preserve"> but in time it became a system for collecting fees from members. Having a deductible for some of the services constitutes a heavy burden for patients, undermines equality, and </w:t>
      </w:r>
      <w:r w:rsidR="003A1E5B">
        <w:rPr>
          <w:rFonts w:ascii="Times New Roman" w:hAnsi="Times New Roman" w:cs="Times New Roman"/>
          <w:sz w:val="24"/>
          <w:szCs w:val="24"/>
        </w:rPr>
        <w:t>increases</w:t>
      </w:r>
      <w:r>
        <w:rPr>
          <w:rFonts w:ascii="Times New Roman" w:hAnsi="Times New Roman" w:cs="Times New Roman"/>
          <w:sz w:val="24"/>
          <w:szCs w:val="24"/>
        </w:rPr>
        <w:t xml:space="preserve"> economic gaps within the population.</w:t>
      </w:r>
    </w:p>
    <w:p w14:paraId="10BBC9B4" w14:textId="49837843"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w:t>
      </w:r>
      <w:r w:rsidR="003A1E5B">
        <w:rPr>
          <w:rFonts w:ascii="Times New Roman" w:hAnsi="Times New Roman" w:cs="Times New Roman"/>
          <w:sz w:val="24"/>
          <w:szCs w:val="24"/>
        </w:rPr>
        <w:t>sections</w:t>
      </w:r>
      <w:r>
        <w:rPr>
          <w:rFonts w:ascii="Times New Roman" w:hAnsi="Times New Roman" w:cs="Times New Roman"/>
          <w:sz w:val="24"/>
          <w:szCs w:val="24"/>
        </w:rPr>
        <w:t xml:space="preserve"> discuss the characteristics of morbidity and health in Israel and their impact on health needs.</w:t>
      </w:r>
    </w:p>
    <w:p w14:paraId="6B909881" w14:textId="77777777" w:rsidR="00BC165D" w:rsidRDefault="00BC165D" w:rsidP="00845139">
      <w:pPr>
        <w:bidi w:val="0"/>
        <w:spacing w:line="360" w:lineRule="auto"/>
        <w:jc w:val="both"/>
        <w:rPr>
          <w:rFonts w:ascii="Times New Roman" w:hAnsi="Times New Roman" w:cs="Times New Roman"/>
          <w:sz w:val="24"/>
          <w:szCs w:val="24"/>
        </w:rPr>
      </w:pPr>
    </w:p>
    <w:p w14:paraId="5DBE8745" w14:textId="53A984F2" w:rsidR="00BC165D" w:rsidRPr="00E11D3A" w:rsidRDefault="00BC165D" w:rsidP="00845139">
      <w:pPr>
        <w:bidi w:val="0"/>
        <w:spacing w:line="360" w:lineRule="auto"/>
        <w:jc w:val="both"/>
        <w:rPr>
          <w:rFonts w:ascii="Times New Roman" w:hAnsi="Times New Roman" w:cs="Times New Roman"/>
          <w:b/>
          <w:bCs/>
          <w:sz w:val="28"/>
          <w:szCs w:val="28"/>
          <w:u w:val="single"/>
        </w:rPr>
      </w:pPr>
      <w:r w:rsidRPr="00E11D3A">
        <w:rPr>
          <w:rFonts w:ascii="Times New Roman" w:hAnsi="Times New Roman" w:cs="Times New Roman"/>
          <w:b/>
          <w:bCs/>
          <w:sz w:val="28"/>
          <w:szCs w:val="28"/>
          <w:u w:val="single"/>
        </w:rPr>
        <w:t>Morbidity characteristics in Israel</w:t>
      </w:r>
      <w:r w:rsidR="003A1E5B">
        <w:rPr>
          <w:rFonts w:ascii="Times New Roman" w:hAnsi="Times New Roman" w:cs="Times New Roman"/>
          <w:b/>
          <w:bCs/>
          <w:sz w:val="28"/>
          <w:szCs w:val="28"/>
          <w:u w:val="single"/>
        </w:rPr>
        <w:t>,</w:t>
      </w:r>
      <w:r w:rsidRPr="00E11D3A">
        <w:rPr>
          <w:rFonts w:ascii="Times New Roman" w:hAnsi="Times New Roman" w:cs="Times New Roman"/>
          <w:b/>
          <w:bCs/>
          <w:sz w:val="28"/>
          <w:szCs w:val="28"/>
          <w:u w:val="single"/>
        </w:rPr>
        <w:t xml:space="preserve"> with attention to demographic distribution</w:t>
      </w:r>
    </w:p>
    <w:p w14:paraId="270612E8" w14:textId="6CE17384" w:rsidR="00BC165D" w:rsidRDefault="00BC165D" w:rsidP="00845139">
      <w:pPr>
        <w:bidi w:val="0"/>
        <w:spacing w:line="360" w:lineRule="auto"/>
        <w:jc w:val="both"/>
        <w:rPr>
          <w:rFonts w:ascii="Times New Roman" w:hAnsi="Times New Roman" w:cs="Times New Roman"/>
          <w:sz w:val="24"/>
          <w:szCs w:val="24"/>
        </w:rPr>
      </w:pPr>
      <w:commentRangeStart w:id="7"/>
      <w:r>
        <w:rPr>
          <w:rFonts w:ascii="Times New Roman" w:hAnsi="Times New Roman" w:cs="Times New Roman"/>
          <w:sz w:val="24"/>
          <w:szCs w:val="24"/>
        </w:rPr>
        <w:t xml:space="preserve">In the past decade there has been a decline in the mortality rate in Israel for most </w:t>
      </w:r>
      <w:r w:rsidR="003A1E5B">
        <w:rPr>
          <w:rFonts w:ascii="Times New Roman" w:hAnsi="Times New Roman" w:cs="Times New Roman"/>
          <w:sz w:val="24"/>
          <w:szCs w:val="24"/>
        </w:rPr>
        <w:t xml:space="preserve">of the </w:t>
      </w:r>
      <w:r>
        <w:rPr>
          <w:rFonts w:ascii="Times New Roman" w:hAnsi="Times New Roman" w:cs="Times New Roman"/>
          <w:sz w:val="24"/>
          <w:szCs w:val="24"/>
        </w:rPr>
        <w:t xml:space="preserve">leading causes of death indicated as </w:t>
      </w:r>
      <w:r w:rsidR="003A1E5B">
        <w:rPr>
          <w:rFonts w:ascii="Times New Roman" w:hAnsi="Times New Roman" w:cs="Times New Roman"/>
          <w:sz w:val="24"/>
          <w:szCs w:val="24"/>
        </w:rPr>
        <w:t>the</w:t>
      </w:r>
      <w:r>
        <w:rPr>
          <w:rFonts w:ascii="Times New Roman" w:hAnsi="Times New Roman" w:cs="Times New Roman"/>
          <w:sz w:val="24"/>
          <w:szCs w:val="24"/>
        </w:rPr>
        <w:t xml:space="preserve"> underlying cause of death</w:t>
      </w:r>
      <w:commentRangeEnd w:id="7"/>
      <w:r>
        <w:rPr>
          <w:rStyle w:val="CommentReference"/>
        </w:rPr>
        <w:commentReference w:id="7"/>
      </w:r>
      <w:r>
        <w:rPr>
          <w:rFonts w:ascii="Times New Roman" w:hAnsi="Times New Roman" w:cs="Times New Roman"/>
          <w:sz w:val="24"/>
          <w:szCs w:val="24"/>
        </w:rPr>
        <w:t xml:space="preserve">. Notably, the mortality rate among men and women for all deaths, adjusted by age, declined by 25% during 2000-2015. In the past year it rose by 3% among men and 1% among women. </w:t>
      </w:r>
    </w:p>
    <w:p w14:paraId="1A6D39A4" w14:textId="4348643D"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 2016 Israel recorded 43,966 deaths. Since 1999 the leading cause of death in Israel for both men and women has been cancer, and the second leading cause has been heart disease.</w:t>
      </w:r>
    </w:p>
    <w:p w14:paraId="4A30A2F6" w14:textId="7463ED8A"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During 2013-2015, on average, cancer was the leading underlying cause of death for all ages, as well as for women aged 15-74 and men aged 25 and above. Heart disease was the leading cause among women aged 75 and above, and the second leading cause among men aged 45 and above and women aged 45-74. Accidents were the leading cause of death among men aged 15-24, and the second leading cause among men age</w:t>
      </w:r>
      <w:r w:rsidR="00C01918">
        <w:rPr>
          <w:rFonts w:ascii="Times New Roman" w:hAnsi="Times New Roman" w:cs="Times New Roman"/>
          <w:sz w:val="24"/>
          <w:szCs w:val="24"/>
        </w:rPr>
        <w:t>d</w:t>
      </w:r>
      <w:r>
        <w:rPr>
          <w:rFonts w:ascii="Times New Roman" w:hAnsi="Times New Roman" w:cs="Times New Roman"/>
          <w:sz w:val="24"/>
          <w:szCs w:val="24"/>
        </w:rPr>
        <w:t xml:space="preserve"> 25-44 and women aged 15-44. Suicide was the second leading cause among men aged 15-44 and the third leading cause among women age 15-44.</w:t>
      </w:r>
    </w:p>
    <w:p w14:paraId="557B2BBF" w14:textId="77777777" w:rsidR="00BC165D" w:rsidRDefault="00BC165D" w:rsidP="00845139">
      <w:pPr>
        <w:bidi w:val="0"/>
        <w:spacing w:line="360" w:lineRule="auto"/>
        <w:ind w:left="360"/>
        <w:jc w:val="both"/>
        <w:rPr>
          <w:rFonts w:ascii="Times New Roman" w:hAnsi="Times New Roman" w:cs="Times New Roman"/>
          <w:sz w:val="24"/>
          <w:szCs w:val="24"/>
        </w:rPr>
      </w:pPr>
    </w:p>
    <w:p w14:paraId="52F5F32D" w14:textId="6BA7810E" w:rsidR="00BC165D" w:rsidRPr="00A650BE" w:rsidRDefault="00BC165D" w:rsidP="00845139">
      <w:pPr>
        <w:bidi w:val="0"/>
        <w:spacing w:line="360" w:lineRule="auto"/>
        <w:ind w:left="360"/>
        <w:jc w:val="both"/>
        <w:rPr>
          <w:rFonts w:ascii="Times New Roman" w:hAnsi="Times New Roman" w:cs="Times New Roman"/>
          <w:b/>
          <w:bCs/>
          <w:sz w:val="24"/>
          <w:szCs w:val="24"/>
        </w:rPr>
      </w:pPr>
      <w:r w:rsidRPr="00A650BE">
        <w:rPr>
          <w:rFonts w:ascii="Times New Roman" w:hAnsi="Times New Roman" w:cs="Times New Roman"/>
          <w:b/>
          <w:bCs/>
          <w:sz w:val="24"/>
          <w:szCs w:val="24"/>
        </w:rPr>
        <w:t>Age-adjusted mortality rate per 100,000 persons</w:t>
      </w:r>
      <w:r w:rsidR="005B21E9">
        <w:rPr>
          <w:rFonts w:ascii="Times New Roman" w:hAnsi="Times New Roman" w:cs="Times New Roman"/>
          <w:b/>
          <w:bCs/>
          <w:sz w:val="24"/>
          <w:szCs w:val="24"/>
        </w:rPr>
        <w:t xml:space="preserve"> </w:t>
      </w:r>
      <w:r w:rsidR="005B21E9" w:rsidRPr="00247D6B">
        <w:rPr>
          <w:rFonts w:ascii="Times New Roman" w:hAnsi="Times New Roman" w:cs="Times New Roman"/>
          <w:sz w:val="24"/>
          <w:szCs w:val="24"/>
        </w:rPr>
        <w:t>(2)</w:t>
      </w:r>
    </w:p>
    <w:p w14:paraId="163C6480"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lastRenderedPageBreak/>
        <w:drawing>
          <wp:inline distT="0" distB="0" distL="0" distR="0" wp14:anchorId="10BE4A49" wp14:editId="6F3499B3">
            <wp:extent cx="4907294" cy="1804306"/>
            <wp:effectExtent l="0" t="0" r="7620" b="571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34" t="49645" r="29208" b="22731"/>
                    <a:stretch/>
                  </pic:blipFill>
                  <pic:spPr bwMode="auto">
                    <a:xfrm>
                      <a:off x="0" y="0"/>
                      <a:ext cx="4983135" cy="1832191"/>
                    </a:xfrm>
                    <a:prstGeom prst="rect">
                      <a:avLst/>
                    </a:prstGeom>
                    <a:ln>
                      <a:noFill/>
                    </a:ln>
                    <a:extLst>
                      <a:ext uri="{53640926-AAD7-44D8-BBD7-CCE9431645EC}">
                        <a14:shadowObscured xmlns:a14="http://schemas.microsoft.com/office/drawing/2010/main"/>
                      </a:ext>
                    </a:extLst>
                  </pic:spPr>
                </pic:pic>
              </a:graphicData>
            </a:graphic>
          </wp:inline>
        </w:drawing>
      </w:r>
    </w:p>
    <w:p w14:paraId="75E7E96B" w14:textId="62FC7E3A"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the end of the 1990s, cancer has been the leading cause of death and heart disease the second leading cause. Cerebrovascular diseases were the third leading cause and diabetes was the fourth among men and women </w:t>
      </w:r>
      <w:r w:rsidR="00C01918">
        <w:rPr>
          <w:rFonts w:ascii="Times New Roman" w:hAnsi="Times New Roman" w:cs="Times New Roman"/>
          <w:sz w:val="24"/>
          <w:szCs w:val="24"/>
        </w:rPr>
        <w:t>in most of the</w:t>
      </w:r>
      <w:r>
        <w:rPr>
          <w:rFonts w:ascii="Times New Roman" w:hAnsi="Times New Roman" w:cs="Times New Roman"/>
          <w:sz w:val="24"/>
          <w:szCs w:val="24"/>
        </w:rPr>
        <w:t xml:space="preserve"> years. These four causes account</w:t>
      </w:r>
      <w:r w:rsidR="000F53B6">
        <w:rPr>
          <w:rFonts w:ascii="Times New Roman" w:hAnsi="Times New Roman" w:cs="Times New Roman"/>
          <w:sz w:val="24"/>
          <w:szCs w:val="24"/>
        </w:rPr>
        <w:t>ed</w:t>
      </w:r>
      <w:r>
        <w:rPr>
          <w:rFonts w:ascii="Times New Roman" w:hAnsi="Times New Roman" w:cs="Times New Roman"/>
          <w:sz w:val="24"/>
          <w:szCs w:val="24"/>
        </w:rPr>
        <w:t xml:space="preserve"> for approximately half of all deaths in 2015 (51% for men, 52% for women), </w:t>
      </w:r>
      <w:r w:rsidR="000F53B6">
        <w:rPr>
          <w:rFonts w:ascii="Times New Roman" w:hAnsi="Times New Roman" w:cs="Times New Roman"/>
          <w:sz w:val="24"/>
          <w:szCs w:val="24"/>
        </w:rPr>
        <w:t>compared with higher percentages in</w:t>
      </w:r>
      <w:r>
        <w:rPr>
          <w:rFonts w:ascii="Times New Roman" w:hAnsi="Times New Roman" w:cs="Times New Roman"/>
          <w:sz w:val="24"/>
          <w:szCs w:val="24"/>
        </w:rPr>
        <w:t xml:space="preserve"> 2000 (57% for men, 60% for women).</w:t>
      </w:r>
    </w:p>
    <w:p w14:paraId="714A3020" w14:textId="77777777" w:rsidR="00BC165D" w:rsidRDefault="00BC165D" w:rsidP="00845139">
      <w:pPr>
        <w:bidi w:val="0"/>
        <w:spacing w:line="360" w:lineRule="auto"/>
        <w:jc w:val="both"/>
        <w:rPr>
          <w:rFonts w:ascii="Times New Roman" w:hAnsi="Times New Roman" w:cs="Times New Roman"/>
          <w:sz w:val="24"/>
          <w:szCs w:val="24"/>
        </w:rPr>
      </w:pPr>
    </w:p>
    <w:p w14:paraId="4625317D" w14:textId="02BDBCF8" w:rsidR="00BC165D" w:rsidRPr="006563F5" w:rsidRDefault="00BC165D" w:rsidP="00845139">
      <w:pPr>
        <w:bidi w:val="0"/>
        <w:spacing w:line="360" w:lineRule="auto"/>
        <w:jc w:val="both"/>
        <w:rPr>
          <w:rFonts w:ascii="Times New Roman" w:hAnsi="Times New Roman" w:cs="Times New Roman"/>
          <w:b/>
          <w:bCs/>
          <w:sz w:val="24"/>
          <w:szCs w:val="24"/>
        </w:rPr>
      </w:pPr>
      <w:r w:rsidRPr="006563F5">
        <w:rPr>
          <w:rFonts w:ascii="Times New Roman" w:hAnsi="Times New Roman" w:cs="Times New Roman"/>
          <w:b/>
          <w:bCs/>
          <w:sz w:val="24"/>
          <w:szCs w:val="24"/>
        </w:rPr>
        <w:t>Causes of death by gender (percentage)</w:t>
      </w:r>
    </w:p>
    <w:p w14:paraId="1278312D" w14:textId="227954B4" w:rsidR="00BC165D" w:rsidRDefault="00BC165D" w:rsidP="00845139">
      <w:pPr>
        <w:bidi w:val="0"/>
        <w:spacing w:line="360" w:lineRule="auto"/>
        <w:jc w:val="both"/>
        <w:rPr>
          <w:rFonts w:ascii="Times New Roman" w:hAnsi="Times New Roman" w:cs="Times New Roman"/>
          <w:sz w:val="24"/>
          <w:szCs w:val="24"/>
        </w:rPr>
      </w:pPr>
      <w:r w:rsidRPr="00A617D1">
        <w:rPr>
          <w:rFonts w:ascii="David" w:hAnsi="David" w:cs="David"/>
          <w:noProof/>
          <w:sz w:val="24"/>
          <w:szCs w:val="24"/>
        </w:rPr>
        <w:lastRenderedPageBreak/>
        <w:drawing>
          <wp:inline distT="0" distB="0" distL="0" distR="0" wp14:anchorId="23B3331E" wp14:editId="2CBCC271">
            <wp:extent cx="4912250" cy="6330950"/>
            <wp:effectExtent l="0" t="0" r="0" b="0"/>
            <wp:docPr id="1"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86" t="10274" r="34265" b="13313"/>
                    <a:stretch/>
                  </pic:blipFill>
                  <pic:spPr bwMode="auto">
                    <a:xfrm>
                      <a:off x="0" y="0"/>
                      <a:ext cx="4912250" cy="6330950"/>
                    </a:xfrm>
                    <a:prstGeom prst="rect">
                      <a:avLst/>
                    </a:prstGeom>
                    <a:ln>
                      <a:noFill/>
                    </a:ln>
                    <a:extLst>
                      <a:ext uri="{53640926-AAD7-44D8-BBD7-CCE9431645EC}">
                        <a14:shadowObscured xmlns:a14="http://schemas.microsoft.com/office/drawing/2010/main"/>
                      </a:ext>
                    </a:extLst>
                  </pic:spPr>
                </pic:pic>
              </a:graphicData>
            </a:graphic>
          </wp:inline>
        </w:drawing>
      </w:r>
    </w:p>
    <w:p w14:paraId="77CBB28E" w14:textId="75AB838B"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age-adjusted mortality rate for heart diseases decreased significantly over the past decade, by 33% for men and 37% for women for the years 2013-2015, on average, </w:t>
      </w:r>
      <w:r w:rsidR="00946691">
        <w:rPr>
          <w:rFonts w:ascii="Times New Roman" w:hAnsi="Times New Roman" w:cs="Times New Roman"/>
          <w:sz w:val="24"/>
          <w:szCs w:val="24"/>
        </w:rPr>
        <w:t>relative to</w:t>
      </w:r>
      <w:r>
        <w:rPr>
          <w:rFonts w:ascii="Times New Roman" w:hAnsi="Times New Roman" w:cs="Times New Roman"/>
          <w:sz w:val="24"/>
          <w:szCs w:val="24"/>
        </w:rPr>
        <w:t xml:space="preserve"> 2004-2006. A considerable decrease was also recorded for cerebrovascular diseases (32% for men, 35% for women), diabetes (25% for men, 29% for women), and kidney diseases (40% for men 38% for women). A relatively large decrease was also recorded for deaths caused by accidents (30% for men, 39% for women) and chronic lower respiratory diseases (16% for men, 22% for women).</w:t>
      </w:r>
    </w:p>
    <w:p w14:paraId="38CE3EC4" w14:textId="03747F3C"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some causes of death </w:t>
      </w:r>
      <w:r w:rsidR="00946691">
        <w:rPr>
          <w:rFonts w:ascii="Times New Roman" w:hAnsi="Times New Roman" w:cs="Times New Roman"/>
          <w:sz w:val="24"/>
          <w:szCs w:val="24"/>
        </w:rPr>
        <w:t>an increase was recorded</w:t>
      </w:r>
      <w:r>
        <w:rPr>
          <w:rFonts w:ascii="Times New Roman" w:hAnsi="Times New Roman" w:cs="Times New Roman"/>
          <w:sz w:val="24"/>
          <w:szCs w:val="24"/>
        </w:rPr>
        <w:t xml:space="preserve"> during 2013-2013, on average, </w:t>
      </w:r>
      <w:r w:rsidR="00946691">
        <w:rPr>
          <w:rFonts w:ascii="Times New Roman" w:hAnsi="Times New Roman" w:cs="Times New Roman"/>
          <w:sz w:val="24"/>
          <w:szCs w:val="24"/>
        </w:rPr>
        <w:t>relative to</w:t>
      </w:r>
      <w:r>
        <w:rPr>
          <w:rFonts w:ascii="Times New Roman" w:hAnsi="Times New Roman" w:cs="Times New Roman"/>
          <w:sz w:val="24"/>
          <w:szCs w:val="24"/>
        </w:rPr>
        <w:t xml:space="preserve"> 2004-2006. The highest increase in mortality rate was recorded for dementia, by a factor of 2.5 for women and nearly 3 for men. A considerable increase was also recorded for deaths caused by septicemia (76% for men, 49% for women) and by Alzheimer’s disease (27% for men, 37% for women). The mortality rate for deaths caused by kidney diseases </w:t>
      </w:r>
      <w:r w:rsidR="001B01AC">
        <w:rPr>
          <w:rFonts w:ascii="Times New Roman" w:hAnsi="Times New Roman" w:cs="Times New Roman"/>
          <w:sz w:val="24"/>
          <w:szCs w:val="24"/>
        </w:rPr>
        <w:t>was increasing</w:t>
      </w:r>
      <w:r>
        <w:rPr>
          <w:rFonts w:ascii="Times New Roman" w:hAnsi="Times New Roman" w:cs="Times New Roman"/>
          <w:sz w:val="24"/>
          <w:szCs w:val="24"/>
        </w:rPr>
        <w:t xml:space="preserve"> until 2006</w:t>
      </w:r>
      <w:r w:rsidR="00946691">
        <w:rPr>
          <w:rFonts w:ascii="Times New Roman" w:hAnsi="Times New Roman" w:cs="Times New Roman"/>
          <w:sz w:val="24"/>
          <w:szCs w:val="24"/>
        </w:rPr>
        <w:t xml:space="preserve"> and has been decreasing</w:t>
      </w:r>
      <w:r>
        <w:rPr>
          <w:rFonts w:ascii="Times New Roman" w:hAnsi="Times New Roman" w:cs="Times New Roman"/>
          <w:sz w:val="24"/>
          <w:szCs w:val="24"/>
        </w:rPr>
        <w:t xml:space="preserve"> in recent years.</w:t>
      </w:r>
    </w:p>
    <w:p w14:paraId="3368535F" w14:textId="77777777" w:rsidR="00BC165D" w:rsidRDefault="00BC165D" w:rsidP="00845139">
      <w:pPr>
        <w:bidi w:val="0"/>
        <w:spacing w:line="360" w:lineRule="auto"/>
        <w:jc w:val="both"/>
        <w:rPr>
          <w:rFonts w:ascii="Times New Roman" w:hAnsi="Times New Roman" w:cs="Times New Roman"/>
          <w:sz w:val="24"/>
          <w:szCs w:val="24"/>
        </w:rPr>
      </w:pPr>
    </w:p>
    <w:p w14:paraId="445341FF" w14:textId="013D7BA8" w:rsidR="00BC165D" w:rsidRPr="00DE5944" w:rsidRDefault="00BC165D" w:rsidP="00845139">
      <w:pPr>
        <w:bidi w:val="0"/>
        <w:spacing w:line="360" w:lineRule="auto"/>
        <w:jc w:val="both"/>
        <w:rPr>
          <w:rFonts w:ascii="Times New Roman" w:hAnsi="Times New Roman" w:cs="Times New Roman"/>
          <w:b/>
          <w:bCs/>
          <w:sz w:val="24"/>
          <w:szCs w:val="24"/>
        </w:rPr>
      </w:pPr>
      <w:r w:rsidRPr="00DE5944">
        <w:rPr>
          <w:rFonts w:ascii="Times New Roman" w:hAnsi="Times New Roman" w:cs="Times New Roman"/>
          <w:b/>
          <w:bCs/>
          <w:sz w:val="24"/>
          <w:szCs w:val="24"/>
        </w:rPr>
        <w:t>The 20 leading causes of death – percent of change 2004-2006 / 2013-2015 (age-adjusted mortality rate per 100,000 persons)</w:t>
      </w:r>
      <w:r w:rsidR="00B55D80">
        <w:rPr>
          <w:rFonts w:ascii="Times New Roman" w:hAnsi="Times New Roman" w:cs="Times New Roman"/>
          <w:b/>
          <w:bCs/>
          <w:sz w:val="24"/>
          <w:szCs w:val="24"/>
        </w:rPr>
        <w:t xml:space="preserve"> </w:t>
      </w:r>
      <w:r w:rsidR="00B55D80" w:rsidRPr="007B3A58">
        <w:rPr>
          <w:rFonts w:ascii="Times New Roman" w:hAnsi="Times New Roman" w:cs="Times New Roman"/>
          <w:sz w:val="24"/>
          <w:szCs w:val="24"/>
        </w:rPr>
        <w:t>(2)</w:t>
      </w:r>
    </w:p>
    <w:p w14:paraId="294B4F1F" w14:textId="52C827FC" w:rsidR="00BC165D" w:rsidRPr="00EA4B72" w:rsidRDefault="00BC165D" w:rsidP="00845139">
      <w:pPr>
        <w:spacing w:line="360" w:lineRule="auto"/>
        <w:jc w:val="both"/>
        <w:rPr>
          <w:rFonts w:ascii="David" w:hAnsi="David" w:cs="David"/>
          <w:b/>
          <w:bCs/>
          <w:i/>
          <w:iCs/>
          <w:sz w:val="24"/>
          <w:szCs w:val="24"/>
          <w:rtl/>
        </w:rPr>
      </w:pPr>
    </w:p>
    <w:p w14:paraId="49271195"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537956C7" wp14:editId="7102F8D1">
            <wp:extent cx="5314950" cy="4851400"/>
            <wp:effectExtent l="0" t="0" r="0" b="635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56" t="28201" r="29995" b="17166"/>
                    <a:stretch/>
                  </pic:blipFill>
                  <pic:spPr bwMode="auto">
                    <a:xfrm>
                      <a:off x="0" y="0"/>
                      <a:ext cx="5337520" cy="4872002"/>
                    </a:xfrm>
                    <a:prstGeom prst="rect">
                      <a:avLst/>
                    </a:prstGeom>
                    <a:ln>
                      <a:noFill/>
                    </a:ln>
                    <a:extLst>
                      <a:ext uri="{53640926-AAD7-44D8-BBD7-CCE9431645EC}">
                        <a14:shadowObscured xmlns:a14="http://schemas.microsoft.com/office/drawing/2010/main"/>
                      </a:ext>
                    </a:extLst>
                  </pic:spPr>
                </pic:pic>
              </a:graphicData>
            </a:graphic>
          </wp:inline>
        </w:drawing>
      </w:r>
    </w:p>
    <w:p w14:paraId="7ADA593E" w14:textId="77777777" w:rsidR="00BC165D" w:rsidRPr="00A617D1" w:rsidRDefault="00BC165D" w:rsidP="00845139">
      <w:pPr>
        <w:spacing w:line="360" w:lineRule="auto"/>
        <w:jc w:val="both"/>
        <w:rPr>
          <w:rFonts w:ascii="David" w:hAnsi="David" w:cs="David"/>
          <w:sz w:val="24"/>
          <w:szCs w:val="24"/>
          <w:rtl/>
        </w:rPr>
      </w:pPr>
    </w:p>
    <w:p w14:paraId="63B2E1B6" w14:textId="52C596A8"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distribution by sub-districts indicates differences in mortality rates by a factor of up to 1.6. The sub-districts of Be’er Sheva, the Jezreel Valley, and Acre had </w:t>
      </w:r>
      <w:r w:rsidR="001B01AC">
        <w:rPr>
          <w:rFonts w:ascii="Times New Roman" w:hAnsi="Times New Roman" w:cs="Times New Roman"/>
          <w:sz w:val="24"/>
          <w:szCs w:val="24"/>
        </w:rPr>
        <w:t>higher</w:t>
      </w:r>
      <w:r>
        <w:rPr>
          <w:rFonts w:ascii="Times New Roman" w:hAnsi="Times New Roman" w:cs="Times New Roman"/>
          <w:sz w:val="24"/>
          <w:szCs w:val="24"/>
        </w:rPr>
        <w:t xml:space="preserve"> mortality rates than the Judea and Samaria Area, Rehovot, Petah Tikva, and the Golan Heights. </w:t>
      </w:r>
    </w:p>
    <w:p w14:paraId="4CD80DD4" w14:textId="77777777" w:rsidR="00BC165D" w:rsidRDefault="00BC165D" w:rsidP="00845139">
      <w:pPr>
        <w:bidi w:val="0"/>
        <w:spacing w:line="360" w:lineRule="auto"/>
        <w:jc w:val="both"/>
        <w:rPr>
          <w:rFonts w:ascii="Times New Roman" w:hAnsi="Times New Roman" w:cs="Times New Roman"/>
          <w:sz w:val="24"/>
          <w:szCs w:val="24"/>
        </w:rPr>
      </w:pPr>
    </w:p>
    <w:p w14:paraId="38056B92" w14:textId="5F92CE65" w:rsidR="00BC165D" w:rsidRPr="00A76D33" w:rsidRDefault="00BC165D" w:rsidP="00845139">
      <w:pPr>
        <w:bidi w:val="0"/>
        <w:spacing w:line="360" w:lineRule="auto"/>
        <w:jc w:val="both"/>
        <w:rPr>
          <w:rFonts w:ascii="Times New Roman" w:hAnsi="Times New Roman" w:cs="Times New Roman"/>
          <w:b/>
          <w:bCs/>
          <w:sz w:val="24"/>
          <w:szCs w:val="24"/>
          <w:rtl/>
        </w:rPr>
      </w:pPr>
      <w:r w:rsidRPr="00A76D33">
        <w:rPr>
          <w:rFonts w:ascii="Times New Roman" w:hAnsi="Times New Roman" w:cs="Times New Roman"/>
          <w:b/>
          <w:bCs/>
          <w:sz w:val="24"/>
          <w:szCs w:val="24"/>
        </w:rPr>
        <w:t>Overall adjusted mortality rates by sub-district, 2017</w:t>
      </w:r>
    </w:p>
    <w:p w14:paraId="6FAAFE47"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1A1052AE" wp14:editId="7F408E49">
            <wp:extent cx="4819021" cy="4296410"/>
            <wp:effectExtent l="0" t="0" r="635" b="889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02" t="23235" r="29020" b="12449"/>
                    <a:stretch/>
                  </pic:blipFill>
                  <pic:spPr bwMode="auto">
                    <a:xfrm>
                      <a:off x="0" y="0"/>
                      <a:ext cx="4837464" cy="4312853"/>
                    </a:xfrm>
                    <a:prstGeom prst="rect">
                      <a:avLst/>
                    </a:prstGeom>
                    <a:ln>
                      <a:noFill/>
                    </a:ln>
                    <a:extLst>
                      <a:ext uri="{53640926-AAD7-44D8-BBD7-CCE9431645EC}">
                        <a14:shadowObscured xmlns:a14="http://schemas.microsoft.com/office/drawing/2010/main"/>
                      </a:ext>
                    </a:extLst>
                  </pic:spPr>
                </pic:pic>
              </a:graphicData>
            </a:graphic>
          </wp:inline>
        </w:drawing>
      </w:r>
    </w:p>
    <w:p w14:paraId="179758AF" w14:textId="1F5680E3" w:rsidR="00BC165D" w:rsidRPr="008C7214" w:rsidRDefault="00BC165D" w:rsidP="00845139">
      <w:pPr>
        <w:bidi w:val="0"/>
        <w:spacing w:line="360" w:lineRule="auto"/>
        <w:jc w:val="both"/>
        <w:rPr>
          <w:rFonts w:ascii="Times New Roman" w:hAnsi="Times New Roman" w:cs="Times New Roman"/>
          <w:sz w:val="24"/>
          <w:szCs w:val="24"/>
          <w:u w:val="single"/>
        </w:rPr>
      </w:pPr>
      <w:r w:rsidRPr="008C7214">
        <w:rPr>
          <w:rFonts w:ascii="Times New Roman" w:hAnsi="Times New Roman" w:cs="Times New Roman"/>
          <w:sz w:val="24"/>
          <w:szCs w:val="24"/>
          <w:u w:val="single"/>
        </w:rPr>
        <w:t>Cancer morbidity</w:t>
      </w:r>
    </w:p>
    <w:p w14:paraId="549B58E8" w14:textId="440DF44E" w:rsidR="00BC165D" w:rsidRDefault="00BC165D" w:rsidP="00845139">
      <w:pPr>
        <w:bidi w:val="0"/>
        <w:spacing w:line="360" w:lineRule="auto"/>
        <w:jc w:val="both"/>
        <w:rPr>
          <w:rFonts w:ascii="Times New Roman" w:hAnsi="Times New Roman" w:cs="Times New Roman"/>
          <w:sz w:val="24"/>
          <w:szCs w:val="24"/>
        </w:rPr>
      </w:pPr>
      <w:r w:rsidRPr="008C7214">
        <w:rPr>
          <w:rFonts w:ascii="Times New Roman" w:hAnsi="Times New Roman" w:cs="Times New Roman"/>
          <w:sz w:val="24"/>
          <w:szCs w:val="24"/>
        </w:rPr>
        <w:t>The incidence of cancer varies generally by location and specifically acros</w:t>
      </w:r>
      <w:r w:rsidR="001B01AC">
        <w:rPr>
          <w:rFonts w:ascii="Times New Roman" w:hAnsi="Times New Roman" w:cs="Times New Roman"/>
          <w:sz w:val="24"/>
          <w:szCs w:val="24"/>
        </w:rPr>
        <w:t>s sub-</w:t>
      </w:r>
      <w:r w:rsidRPr="008C7214">
        <w:rPr>
          <w:rFonts w:ascii="Times New Roman" w:hAnsi="Times New Roman" w:cs="Times New Roman"/>
          <w:sz w:val="24"/>
          <w:szCs w:val="24"/>
        </w:rPr>
        <w:t>distr</w:t>
      </w:r>
      <w:r w:rsidR="001B01AC">
        <w:rPr>
          <w:rFonts w:ascii="Times New Roman" w:hAnsi="Times New Roman" w:cs="Times New Roman"/>
          <w:sz w:val="24"/>
          <w:szCs w:val="24"/>
        </w:rPr>
        <w:t>icts, although a number of sub-</w:t>
      </w:r>
      <w:r w:rsidRPr="008C7214">
        <w:rPr>
          <w:rFonts w:ascii="Times New Roman" w:hAnsi="Times New Roman" w:cs="Times New Roman"/>
          <w:sz w:val="24"/>
          <w:szCs w:val="24"/>
        </w:rPr>
        <w:t>districts consistently recorded</w:t>
      </w:r>
      <w:r>
        <w:rPr>
          <w:rFonts w:ascii="Times New Roman" w:hAnsi="Times New Roman" w:cs="Times New Roman"/>
          <w:sz w:val="24"/>
          <w:szCs w:val="24"/>
        </w:rPr>
        <w:t xml:space="preserve"> values that differed from what was expected throughout or during most</w:t>
      </w:r>
      <w:r w:rsidR="001B01AC">
        <w:rPr>
          <w:rFonts w:ascii="Times New Roman" w:hAnsi="Times New Roman" w:cs="Times New Roman"/>
          <w:sz w:val="24"/>
          <w:szCs w:val="24"/>
        </w:rPr>
        <w:t xml:space="preserve"> of the periods: The Haifa sub-</w:t>
      </w:r>
      <w:r>
        <w:rPr>
          <w:rFonts w:ascii="Times New Roman" w:hAnsi="Times New Roman" w:cs="Times New Roman"/>
          <w:sz w:val="24"/>
          <w:szCs w:val="24"/>
        </w:rPr>
        <w:t xml:space="preserve">district recorded a significant excess morbidity rate for most types of cancer examined (excluding prostate cancer in men) during most or all of the periods (excess morbidity varied between 9% and 14%). The Tel Aviv sub-district also recorded a significant excess morbidity rate for some types of cancer during all or most of the periods (3%-6% for women), as did the Ashkelon sub-district among men (6%-9%), the Rehovot </w:t>
      </w:r>
      <w:r>
        <w:rPr>
          <w:rFonts w:ascii="Times New Roman" w:hAnsi="Times New Roman" w:cs="Times New Roman"/>
          <w:sz w:val="24"/>
          <w:szCs w:val="24"/>
        </w:rPr>
        <w:lastRenderedPageBreak/>
        <w:t>sub-district among men</w:t>
      </w:r>
      <w:r w:rsidR="001B01AC">
        <w:rPr>
          <w:rFonts w:ascii="Times New Roman" w:hAnsi="Times New Roman" w:cs="Times New Roman"/>
          <w:sz w:val="24"/>
          <w:szCs w:val="24"/>
        </w:rPr>
        <w:t xml:space="preserve"> (5%), and the Petah Tikva sub-</w:t>
      </w:r>
      <w:r>
        <w:rPr>
          <w:rFonts w:ascii="Times New Roman" w:hAnsi="Times New Roman" w:cs="Times New Roman"/>
          <w:sz w:val="24"/>
          <w:szCs w:val="24"/>
        </w:rPr>
        <w:t xml:space="preserve">district among women (4%). In contrast, the Jerusalem sub-district recorded a </w:t>
      </w:r>
      <w:commentRangeStart w:id="8"/>
      <w:r w:rsidR="000438E6">
        <w:rPr>
          <w:rFonts w:ascii="Times New Roman" w:hAnsi="Times New Roman" w:cs="Times New Roman"/>
          <w:sz w:val="24"/>
          <w:szCs w:val="24"/>
        </w:rPr>
        <w:t>significantly l</w:t>
      </w:r>
      <w:r>
        <w:rPr>
          <w:rFonts w:ascii="Times New Roman" w:hAnsi="Times New Roman" w:cs="Times New Roman"/>
          <w:sz w:val="24"/>
          <w:szCs w:val="24"/>
        </w:rPr>
        <w:t>ower than expected cancer morbidity</w:t>
      </w:r>
      <w:commentRangeEnd w:id="8"/>
      <w:r>
        <w:rPr>
          <w:rStyle w:val="CommentReference"/>
        </w:rPr>
        <w:commentReference w:id="8"/>
      </w:r>
      <w:r>
        <w:rPr>
          <w:rFonts w:ascii="Times New Roman" w:hAnsi="Times New Roman" w:cs="Times New Roman"/>
          <w:sz w:val="24"/>
          <w:szCs w:val="24"/>
        </w:rPr>
        <w:t xml:space="preserve"> rate among both genders for most types of cancer (excluding non-Hodgkin’s lymphoma) during most or all periods. The Jezreel Valley, Sea of Galilee, and Acre sub-districts also recorded low morbidity rates for some types of cancer during all or most of the periods.</w:t>
      </w:r>
    </w:p>
    <w:p w14:paraId="583C7F55" w14:textId="3C1656E7"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2013 the International Agency for Research on Cancer (IARC) of the World Health Organization </w:t>
      </w:r>
      <w:commentRangeStart w:id="9"/>
      <w:r>
        <w:rPr>
          <w:rFonts w:ascii="Times New Roman" w:hAnsi="Times New Roman" w:cs="Times New Roman"/>
          <w:sz w:val="24"/>
          <w:szCs w:val="24"/>
        </w:rPr>
        <w:t>classified outdoor air pollution as carcinogenic to humans and noted a positive association with an increased risk of bladder cancer</w:t>
      </w:r>
      <w:commentRangeEnd w:id="9"/>
      <w:r>
        <w:rPr>
          <w:rStyle w:val="CommentReference"/>
        </w:rPr>
        <w:commentReference w:id="9"/>
      </w:r>
      <w:r>
        <w:rPr>
          <w:rFonts w:ascii="Times New Roman" w:hAnsi="Times New Roman" w:cs="Times New Roman"/>
          <w:sz w:val="24"/>
          <w:szCs w:val="24"/>
        </w:rPr>
        <w:t xml:space="preserve">. According to current data on cancer incidence, excess lung cancer rates were recorded among men in the sub-districts of Hadera, Haifa, Jezreel Valley, </w:t>
      </w:r>
      <w:r w:rsidR="006703A2">
        <w:rPr>
          <w:rFonts w:ascii="Times New Roman" w:hAnsi="Times New Roman" w:cs="Times New Roman"/>
          <w:sz w:val="24"/>
          <w:szCs w:val="24"/>
        </w:rPr>
        <w:t>Sea of Galilee</w:t>
      </w:r>
      <w:r>
        <w:rPr>
          <w:rFonts w:ascii="Times New Roman" w:hAnsi="Times New Roman" w:cs="Times New Roman"/>
          <w:sz w:val="24"/>
          <w:szCs w:val="24"/>
        </w:rPr>
        <w:t xml:space="preserve">, and Acre, and among women in the sub-districts of Haifa and Tel Aviv. The </w:t>
      </w:r>
      <w:r w:rsidR="006703A2">
        <w:rPr>
          <w:rFonts w:ascii="Times New Roman" w:hAnsi="Times New Roman" w:cs="Times New Roman"/>
          <w:sz w:val="24"/>
          <w:szCs w:val="24"/>
        </w:rPr>
        <w:t>greatest</w:t>
      </w:r>
      <w:r>
        <w:rPr>
          <w:rFonts w:ascii="Times New Roman" w:hAnsi="Times New Roman" w:cs="Times New Roman"/>
          <w:sz w:val="24"/>
          <w:szCs w:val="24"/>
        </w:rPr>
        <w:t xml:space="preserve"> excess during the latest period (2011-2015) was recorded in the Acre sub-district among men (38%) and the Tel Aviv sub-district (24%).</w:t>
      </w:r>
      <w:r w:rsidR="00B55D80">
        <w:rPr>
          <w:rFonts w:ascii="Times New Roman" w:hAnsi="Times New Roman" w:cs="Times New Roman"/>
          <w:sz w:val="24"/>
          <w:szCs w:val="24"/>
        </w:rPr>
        <w:t>(3)</w:t>
      </w:r>
    </w:p>
    <w:p w14:paraId="4309DA23" w14:textId="77777777" w:rsidR="00BC165D" w:rsidRDefault="00BC165D" w:rsidP="00845139">
      <w:pPr>
        <w:bidi w:val="0"/>
        <w:spacing w:line="360" w:lineRule="auto"/>
        <w:jc w:val="both"/>
        <w:rPr>
          <w:rFonts w:ascii="Times New Roman" w:hAnsi="Times New Roman" w:cs="Times New Roman"/>
          <w:sz w:val="24"/>
          <w:szCs w:val="24"/>
        </w:rPr>
      </w:pPr>
    </w:p>
    <w:p w14:paraId="6C0236C5" w14:textId="70D4AA95" w:rsidR="00BC165D" w:rsidRPr="00060BD9" w:rsidRDefault="00BC165D" w:rsidP="00845139">
      <w:pPr>
        <w:bidi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Incidence of cancer across sub-districts by gender</w:t>
      </w:r>
    </w:p>
    <w:p w14:paraId="33173FC8"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6A9F85BF" wp14:editId="04DADAB7">
            <wp:extent cx="4743450" cy="2882995"/>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44" t="23545" r="28244" b="33004"/>
                    <a:stretch/>
                  </pic:blipFill>
                  <pic:spPr bwMode="auto">
                    <a:xfrm>
                      <a:off x="0" y="0"/>
                      <a:ext cx="4785789" cy="2908728"/>
                    </a:xfrm>
                    <a:prstGeom prst="rect">
                      <a:avLst/>
                    </a:prstGeom>
                    <a:ln>
                      <a:noFill/>
                    </a:ln>
                    <a:extLst>
                      <a:ext uri="{53640926-AAD7-44D8-BBD7-CCE9431645EC}">
                        <a14:shadowObscured xmlns:a14="http://schemas.microsoft.com/office/drawing/2010/main"/>
                      </a:ext>
                    </a:extLst>
                  </pic:spPr>
                </pic:pic>
              </a:graphicData>
            </a:graphic>
          </wp:inline>
        </w:drawing>
      </w:r>
    </w:p>
    <w:p w14:paraId="1DF69787"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lastRenderedPageBreak/>
        <w:drawing>
          <wp:inline distT="0" distB="0" distL="0" distR="0" wp14:anchorId="5B05484A" wp14:editId="74B3265B">
            <wp:extent cx="4863347" cy="301180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21" t="28896" r="27402" b="25513"/>
                    <a:stretch/>
                  </pic:blipFill>
                  <pic:spPr bwMode="auto">
                    <a:xfrm>
                      <a:off x="0" y="0"/>
                      <a:ext cx="4935305" cy="3056367"/>
                    </a:xfrm>
                    <a:prstGeom prst="rect">
                      <a:avLst/>
                    </a:prstGeom>
                    <a:ln>
                      <a:noFill/>
                    </a:ln>
                    <a:extLst>
                      <a:ext uri="{53640926-AAD7-44D8-BBD7-CCE9431645EC}">
                        <a14:shadowObscured xmlns:a14="http://schemas.microsoft.com/office/drawing/2010/main"/>
                      </a:ext>
                    </a:extLst>
                  </pic:spPr>
                </pic:pic>
              </a:graphicData>
            </a:graphic>
          </wp:inline>
        </w:drawing>
      </w:r>
    </w:p>
    <w:p w14:paraId="147ACA40" w14:textId="77777777" w:rsidR="00BC165D" w:rsidRDefault="00BC165D" w:rsidP="00845139">
      <w:pPr>
        <w:spacing w:line="360" w:lineRule="auto"/>
        <w:jc w:val="both"/>
        <w:rPr>
          <w:rFonts w:ascii="David" w:hAnsi="David" w:cs="David"/>
          <w:sz w:val="24"/>
          <w:szCs w:val="24"/>
          <w:rtl/>
        </w:rPr>
      </w:pPr>
    </w:p>
    <w:p w14:paraId="29A108FF" w14:textId="60F9BD64"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2016 Israel recorded a total of 30,569 cases of tumors that required reporting to the cancer registry. Of the reported cancer cases, 88% were malignant – 12,553 (47%) among men and 14,380 (53%) for women. Among the men, 84% were Jewish, 10% were Arab, and 5% were classified as other. Among the women, 84% were Jewish, 10% were Arab, and 6% were classified as other. </w:t>
      </w:r>
    </w:p>
    <w:p w14:paraId="1A8ECE62" w14:textId="7BE7170D"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main types of cancer, accounting for more than 50% of all the morbidity cases among men in Israel, were the same for Jews and Arabs</w:t>
      </w:r>
      <w:r w:rsidR="00C67F6E">
        <w:rPr>
          <w:rFonts w:ascii="Times New Roman" w:hAnsi="Times New Roman" w:cs="Times New Roman"/>
          <w:sz w:val="24"/>
          <w:szCs w:val="24"/>
        </w:rPr>
        <w:t>. They</w:t>
      </w:r>
      <w:r>
        <w:rPr>
          <w:rFonts w:ascii="Times New Roman" w:hAnsi="Times New Roman" w:cs="Times New Roman"/>
          <w:sz w:val="24"/>
          <w:szCs w:val="24"/>
        </w:rPr>
        <w:t xml:space="preserve"> included prostate cancer, lung cancer, colorectal cancer, non-Hodgkin’s lymphoma, and bladder cancer. Among Jewish men, however, prostate cancer accounted for 17% of all malignant tumors, compared with a figure of 9% for Arab men, and malignant melanoma accounted for 5.5%, whereas among Arabs it is very rare (&lt;1%). In addition, among Arab men lung cancer accounted for 22% of all malignant tumors, compared with 12% among Jewish men.</w:t>
      </w:r>
    </w:p>
    <w:p w14:paraId="15E7E8F5" w14:textId="0D7F4F0A"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Jewish and Arab women, likewise, there were similarities in the most prevalent types of cancer. For both population groups breast tumors accounted for about one third of all tumors, and colorectal tumors for about 9%-10%. Lung cancer, thyroid cancer, non-Hodgkin’s lymphoma, and uterine cancer </w:t>
      </w:r>
      <w:r w:rsidR="00C67F6E">
        <w:rPr>
          <w:rFonts w:ascii="Times New Roman" w:hAnsi="Times New Roman" w:cs="Times New Roman"/>
          <w:sz w:val="24"/>
          <w:szCs w:val="24"/>
        </w:rPr>
        <w:t>were also prevalent</w:t>
      </w:r>
      <w:r>
        <w:rPr>
          <w:rFonts w:ascii="Times New Roman" w:hAnsi="Times New Roman" w:cs="Times New Roman"/>
          <w:sz w:val="24"/>
          <w:szCs w:val="24"/>
        </w:rPr>
        <w:t xml:space="preserve"> among women.</w:t>
      </w:r>
      <w:r w:rsidR="00671B1D">
        <w:rPr>
          <w:rFonts w:ascii="Times New Roman" w:hAnsi="Times New Roman" w:cs="Times New Roman"/>
          <w:sz w:val="24"/>
          <w:szCs w:val="24"/>
        </w:rPr>
        <w:t>(3)</w:t>
      </w:r>
    </w:p>
    <w:p w14:paraId="3A6F3C5D" w14:textId="77777777" w:rsidR="00C67F6E" w:rsidRDefault="00C67F6E" w:rsidP="00845139">
      <w:pPr>
        <w:bidi w:val="0"/>
        <w:spacing w:line="360" w:lineRule="auto"/>
        <w:jc w:val="both"/>
        <w:rPr>
          <w:rFonts w:ascii="Times New Roman" w:hAnsi="Times New Roman" w:cs="Times New Roman"/>
          <w:b/>
          <w:sz w:val="24"/>
          <w:szCs w:val="24"/>
        </w:rPr>
      </w:pPr>
    </w:p>
    <w:p w14:paraId="1E3256F0" w14:textId="10FCBE64" w:rsidR="00BC165D" w:rsidRPr="002C5A3A" w:rsidRDefault="00C67F6E" w:rsidP="00845139">
      <w:pPr>
        <w:bidi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w:t>
      </w:r>
      <w:r w:rsidR="00BC165D">
        <w:rPr>
          <w:rFonts w:ascii="Times New Roman" w:hAnsi="Times New Roman" w:cs="Times New Roman"/>
          <w:b/>
          <w:sz w:val="24"/>
          <w:szCs w:val="24"/>
        </w:rPr>
        <w:t>ercentage of all new cancer cases in 2016 by location, gender, and population group (malignant tumors only)</w:t>
      </w:r>
    </w:p>
    <w:p w14:paraId="4394B501" w14:textId="77777777" w:rsidR="00BC165D" w:rsidRPr="00A617D1" w:rsidRDefault="00BC165D" w:rsidP="00845139">
      <w:pPr>
        <w:spacing w:line="360" w:lineRule="auto"/>
        <w:jc w:val="both"/>
        <w:rPr>
          <w:rFonts w:ascii="David" w:hAnsi="David" w:cs="David"/>
          <w:sz w:val="24"/>
          <w:szCs w:val="24"/>
        </w:rPr>
      </w:pPr>
      <w:r w:rsidRPr="00A617D1">
        <w:rPr>
          <w:rFonts w:ascii="David" w:hAnsi="David" w:cs="David"/>
          <w:noProof/>
          <w:sz w:val="24"/>
          <w:szCs w:val="24"/>
        </w:rPr>
        <w:drawing>
          <wp:inline distT="0" distB="0" distL="0" distR="0" wp14:anchorId="17D36B58" wp14:editId="24C9D33B">
            <wp:extent cx="5084445" cy="1396803"/>
            <wp:effectExtent l="0" t="0" r="190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64" t="17593" r="27041" b="59357"/>
                    <a:stretch/>
                  </pic:blipFill>
                  <pic:spPr bwMode="auto">
                    <a:xfrm>
                      <a:off x="0" y="0"/>
                      <a:ext cx="5122026" cy="1407127"/>
                    </a:xfrm>
                    <a:prstGeom prst="rect">
                      <a:avLst/>
                    </a:prstGeom>
                    <a:ln>
                      <a:noFill/>
                    </a:ln>
                    <a:extLst>
                      <a:ext uri="{53640926-AAD7-44D8-BBD7-CCE9431645EC}">
                        <a14:shadowObscured xmlns:a14="http://schemas.microsoft.com/office/drawing/2010/main"/>
                      </a:ext>
                    </a:extLst>
                  </pic:spPr>
                </pic:pic>
              </a:graphicData>
            </a:graphic>
          </wp:inline>
        </w:drawing>
      </w:r>
    </w:p>
    <w:p w14:paraId="1529FFA2"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7A308558" wp14:editId="32788212">
            <wp:extent cx="5274310" cy="2966720"/>
            <wp:effectExtent l="0" t="0" r="2540" b="508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6720"/>
                    </a:xfrm>
                    <a:prstGeom prst="rect">
                      <a:avLst/>
                    </a:prstGeom>
                  </pic:spPr>
                </pic:pic>
              </a:graphicData>
            </a:graphic>
          </wp:inline>
        </w:drawing>
      </w:r>
    </w:p>
    <w:p w14:paraId="566D1F57" w14:textId="77777777" w:rsidR="00BC165D" w:rsidRPr="00A617D1" w:rsidRDefault="00BC165D" w:rsidP="00845139">
      <w:pPr>
        <w:spacing w:line="360" w:lineRule="auto"/>
        <w:jc w:val="both"/>
        <w:rPr>
          <w:rFonts w:ascii="David" w:hAnsi="David" w:cs="David"/>
          <w:sz w:val="24"/>
          <w:szCs w:val="24"/>
          <w:rtl/>
        </w:rPr>
      </w:pPr>
    </w:p>
    <w:p w14:paraId="54191A5C" w14:textId="189668D0"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Heart diseases</w:t>
      </w:r>
    </w:p>
    <w:p w14:paraId="5D3FBDBD" w14:textId="055365D4"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 recent years heart diseases have been the second-leading cause of death in Israel among men aged 45 and above and women age</w:t>
      </w:r>
      <w:r w:rsidR="006D11D7">
        <w:rPr>
          <w:rFonts w:ascii="Times New Roman" w:hAnsi="Times New Roman" w:cs="Times New Roman"/>
          <w:sz w:val="24"/>
          <w:szCs w:val="24"/>
        </w:rPr>
        <w:t>d</w:t>
      </w:r>
      <w:r>
        <w:rPr>
          <w:rFonts w:ascii="Times New Roman" w:hAnsi="Times New Roman" w:cs="Times New Roman"/>
          <w:sz w:val="24"/>
          <w:szCs w:val="24"/>
        </w:rPr>
        <w:t xml:space="preserve"> 45-74. The main behavioral risk factors for heart disease are smoking, </w:t>
      </w:r>
      <w:r w:rsidR="006D11D7">
        <w:rPr>
          <w:rFonts w:ascii="Times New Roman" w:hAnsi="Times New Roman" w:cs="Times New Roman"/>
          <w:sz w:val="24"/>
          <w:szCs w:val="24"/>
        </w:rPr>
        <w:t>nutritional imbalance</w:t>
      </w:r>
      <w:r>
        <w:rPr>
          <w:rFonts w:ascii="Times New Roman" w:hAnsi="Times New Roman" w:cs="Times New Roman"/>
          <w:sz w:val="24"/>
          <w:szCs w:val="24"/>
        </w:rPr>
        <w:t xml:space="preserve">, and lack of physical activity, which result in high blood pressure, high LDL cholesterol </w:t>
      </w:r>
      <w:r w:rsidR="006D11D7">
        <w:rPr>
          <w:rFonts w:ascii="Times New Roman" w:hAnsi="Times New Roman" w:cs="Times New Roman"/>
          <w:sz w:val="24"/>
          <w:szCs w:val="24"/>
        </w:rPr>
        <w:t>levels</w:t>
      </w:r>
      <w:r>
        <w:rPr>
          <w:rFonts w:ascii="Times New Roman" w:hAnsi="Times New Roman" w:cs="Times New Roman"/>
          <w:sz w:val="24"/>
          <w:szCs w:val="24"/>
        </w:rPr>
        <w:t xml:space="preserve">, overweight and obesity. </w:t>
      </w:r>
    </w:p>
    <w:p w14:paraId="76644BA5" w14:textId="1E11BA25" w:rsidR="00BC165D" w:rsidRDefault="00BC165D" w:rsidP="00845139">
      <w:pPr>
        <w:bidi w:val="0"/>
        <w:spacing w:line="360" w:lineRule="auto"/>
        <w:jc w:val="both"/>
        <w:rPr>
          <w:rFonts w:ascii="Times New Roman" w:hAnsi="Times New Roman" w:cs="Times New Roman"/>
          <w:sz w:val="24"/>
          <w:szCs w:val="24"/>
        </w:rPr>
      </w:pPr>
      <w:r w:rsidRPr="00216E8C">
        <w:rPr>
          <w:rFonts w:ascii="Times New Roman" w:hAnsi="Times New Roman" w:cs="Times New Roman"/>
          <w:i/>
          <w:iCs/>
          <w:sz w:val="24"/>
          <w:szCs w:val="24"/>
        </w:rPr>
        <w:t>All heart disease</w:t>
      </w:r>
      <w:r w:rsidR="006F7483">
        <w:rPr>
          <w:rFonts w:ascii="Times New Roman" w:hAnsi="Times New Roman" w:cs="Times New Roman"/>
          <w:i/>
          <w:iCs/>
          <w:sz w:val="24"/>
          <w:szCs w:val="24"/>
        </w:rPr>
        <w:t>s</w:t>
      </w:r>
      <w:r>
        <w:rPr>
          <w:rFonts w:ascii="Times New Roman" w:hAnsi="Times New Roman" w:cs="Times New Roman"/>
          <w:sz w:val="24"/>
          <w:szCs w:val="24"/>
        </w:rPr>
        <w:t>: These occur among both Jews and Arabs. Heart disease rates are higher among men, and the highest rate is among Jewish men. The rate among Jewish men is about 29% higher than the rate among Arab men. The rates among women are nearly identical between the two population groups.</w:t>
      </w:r>
    </w:p>
    <w:p w14:paraId="4549EDB5" w14:textId="18736A7C" w:rsidR="00BC165D" w:rsidRPr="00BC7674"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Coronary heart disease</w:t>
      </w:r>
      <w:r>
        <w:rPr>
          <w:rFonts w:ascii="Times New Roman" w:hAnsi="Times New Roman" w:cs="Times New Roman"/>
          <w:iCs/>
          <w:sz w:val="24"/>
          <w:szCs w:val="24"/>
        </w:rPr>
        <w:t>: The rates are higher among men, with the highest rate among Jewi</w:t>
      </w:r>
      <w:r w:rsidR="006F7483">
        <w:rPr>
          <w:rFonts w:ascii="Times New Roman" w:hAnsi="Times New Roman" w:cs="Times New Roman"/>
          <w:iCs/>
          <w:sz w:val="24"/>
          <w:szCs w:val="24"/>
        </w:rPr>
        <w:t>sh men. The rate among Jewish me</w:t>
      </w:r>
      <w:r>
        <w:rPr>
          <w:rFonts w:ascii="Times New Roman" w:hAnsi="Times New Roman" w:cs="Times New Roman"/>
          <w:iCs/>
          <w:sz w:val="24"/>
          <w:szCs w:val="24"/>
        </w:rPr>
        <w:t xml:space="preserve">n is about 24% higher than among Arab men. </w:t>
      </w:r>
      <w:r w:rsidRPr="00BC7674">
        <w:rPr>
          <w:rFonts w:ascii="Times New Roman" w:hAnsi="Times New Roman" w:cs="Times New Roman"/>
          <w:iCs/>
          <w:sz w:val="24"/>
          <w:szCs w:val="24"/>
        </w:rPr>
        <w:t>The rate among Jewish women is about 69% higher than the rate among Arab women.</w:t>
      </w:r>
    </w:p>
    <w:p w14:paraId="366C59D7" w14:textId="77777777" w:rsidR="00BC165D" w:rsidRPr="00BC7674" w:rsidRDefault="00BC165D" w:rsidP="00845139">
      <w:pPr>
        <w:bidi w:val="0"/>
        <w:spacing w:line="360" w:lineRule="auto"/>
        <w:jc w:val="both"/>
        <w:rPr>
          <w:rFonts w:ascii="Times New Roman" w:hAnsi="Times New Roman" w:cs="Times New Roman"/>
          <w:sz w:val="24"/>
          <w:szCs w:val="24"/>
        </w:rPr>
      </w:pPr>
    </w:p>
    <w:p w14:paraId="51EF5CDC" w14:textId="5ACB3BCA" w:rsidR="00BC165D" w:rsidRPr="00BC7674" w:rsidRDefault="00BC165D" w:rsidP="00845139">
      <w:pPr>
        <w:bidi w:val="0"/>
        <w:spacing w:line="360" w:lineRule="auto"/>
        <w:jc w:val="both"/>
        <w:rPr>
          <w:rFonts w:ascii="Times New Roman" w:hAnsi="Times New Roman" w:cs="Times New Roman"/>
          <w:b/>
          <w:bCs/>
          <w:sz w:val="24"/>
          <w:szCs w:val="24"/>
          <w:rtl/>
        </w:rPr>
      </w:pPr>
      <w:r w:rsidRPr="00BC7674">
        <w:rPr>
          <w:rFonts w:ascii="Times New Roman" w:hAnsi="Times New Roman" w:cs="Times New Roman"/>
          <w:b/>
          <w:bCs/>
          <w:sz w:val="24"/>
          <w:szCs w:val="24"/>
        </w:rPr>
        <w:t>Incidence of heart disease diagnosed by a physician, Israel National Health Interview Survey</w:t>
      </w:r>
      <w:r>
        <w:rPr>
          <w:rFonts w:ascii="Times New Roman" w:hAnsi="Times New Roman" w:cs="Times New Roman"/>
          <w:b/>
          <w:bCs/>
          <w:sz w:val="24"/>
          <w:szCs w:val="24"/>
        </w:rPr>
        <w:t xml:space="preserve"> (INHIS)</w:t>
      </w:r>
      <w:r w:rsidRPr="00BC7674">
        <w:rPr>
          <w:rFonts w:ascii="Times New Roman" w:hAnsi="Times New Roman" w:cs="Times New Roman"/>
          <w:b/>
          <w:bCs/>
          <w:sz w:val="24"/>
          <w:szCs w:val="24"/>
        </w:rPr>
        <w:t xml:space="preserve"> (rates weighted by age)</w:t>
      </w:r>
    </w:p>
    <w:p w14:paraId="58B53A47"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5422C52E" wp14:editId="54F34AFA">
            <wp:extent cx="5199380" cy="2014845"/>
            <wp:effectExtent l="0" t="0" r="1270" b="508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23" t="42718" r="28365" b="25514"/>
                    <a:stretch/>
                  </pic:blipFill>
                  <pic:spPr bwMode="auto">
                    <a:xfrm>
                      <a:off x="0" y="0"/>
                      <a:ext cx="5228872" cy="2026274"/>
                    </a:xfrm>
                    <a:prstGeom prst="rect">
                      <a:avLst/>
                    </a:prstGeom>
                    <a:ln>
                      <a:noFill/>
                    </a:ln>
                    <a:extLst>
                      <a:ext uri="{53640926-AAD7-44D8-BBD7-CCE9431645EC}">
                        <a14:shadowObscured xmlns:a14="http://schemas.microsoft.com/office/drawing/2010/main"/>
                      </a:ext>
                    </a:extLst>
                  </pic:spPr>
                </pic:pic>
              </a:graphicData>
            </a:graphic>
          </wp:inline>
        </w:drawing>
      </w:r>
    </w:p>
    <w:p w14:paraId="4D5B135A" w14:textId="1EC8D324"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incidence of heart disease is higher among men than among women for all age groups. The frequency of heart diseases increases with age for both genders. The rates of incidence peak at ages 75 and above, with 42.0% for men and 31.0% for women.</w:t>
      </w:r>
    </w:p>
    <w:p w14:paraId="676FC822" w14:textId="77777777" w:rsidR="00BC165D" w:rsidRDefault="00BC165D" w:rsidP="00845139">
      <w:pPr>
        <w:bidi w:val="0"/>
        <w:spacing w:line="360" w:lineRule="auto"/>
        <w:jc w:val="both"/>
        <w:rPr>
          <w:rFonts w:ascii="Times New Roman" w:hAnsi="Times New Roman" w:cs="Times New Roman"/>
          <w:sz w:val="24"/>
          <w:szCs w:val="24"/>
        </w:rPr>
      </w:pPr>
    </w:p>
    <w:p w14:paraId="465DB278" w14:textId="1958D97B" w:rsidR="00BC165D" w:rsidRPr="00BC7674" w:rsidRDefault="00BC165D" w:rsidP="00845139">
      <w:pPr>
        <w:bidi w:val="0"/>
        <w:spacing w:line="360" w:lineRule="auto"/>
        <w:jc w:val="both"/>
        <w:rPr>
          <w:rFonts w:ascii="Times New Roman" w:hAnsi="Times New Roman" w:cs="Times New Roman"/>
          <w:sz w:val="24"/>
          <w:szCs w:val="24"/>
        </w:rPr>
      </w:pPr>
      <w:r w:rsidRPr="00BC7674">
        <w:rPr>
          <w:rFonts w:ascii="Times New Roman" w:hAnsi="Times New Roman" w:cs="Times New Roman"/>
          <w:b/>
          <w:bCs/>
          <w:sz w:val="24"/>
          <w:szCs w:val="24"/>
        </w:rPr>
        <w:t xml:space="preserve">Incidence of heart disease diagnosed by a physician, </w:t>
      </w:r>
      <w:r>
        <w:rPr>
          <w:rFonts w:ascii="Times New Roman" w:hAnsi="Times New Roman" w:cs="Times New Roman"/>
          <w:b/>
          <w:bCs/>
          <w:sz w:val="24"/>
          <w:szCs w:val="24"/>
        </w:rPr>
        <w:t>INHIS</w:t>
      </w:r>
      <w:r w:rsidRPr="00BC7674">
        <w:rPr>
          <w:rFonts w:ascii="Times New Roman" w:hAnsi="Times New Roman" w:cs="Times New Roman"/>
          <w:b/>
          <w:bCs/>
          <w:sz w:val="24"/>
          <w:szCs w:val="24"/>
        </w:rPr>
        <w:t xml:space="preserve"> (rates weighted</w:t>
      </w:r>
      <w:r>
        <w:rPr>
          <w:rFonts w:ascii="Times New Roman" w:hAnsi="Times New Roman" w:cs="Times New Roman"/>
          <w:b/>
          <w:bCs/>
          <w:sz w:val="24"/>
          <w:szCs w:val="24"/>
        </w:rPr>
        <w:t xml:space="preserve"> by population group)</w:t>
      </w:r>
    </w:p>
    <w:p w14:paraId="0CAAB9C6"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14904DC9" wp14:editId="7F04E03F">
            <wp:extent cx="5599717" cy="2166620"/>
            <wp:effectExtent l="0" t="0" r="1270" b="508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98" t="40193" r="28726" b="27011"/>
                    <a:stretch/>
                  </pic:blipFill>
                  <pic:spPr bwMode="auto">
                    <a:xfrm>
                      <a:off x="0" y="0"/>
                      <a:ext cx="5660986" cy="2190326"/>
                    </a:xfrm>
                    <a:prstGeom prst="rect">
                      <a:avLst/>
                    </a:prstGeom>
                    <a:ln>
                      <a:noFill/>
                    </a:ln>
                    <a:extLst>
                      <a:ext uri="{53640926-AAD7-44D8-BBD7-CCE9431645EC}">
                        <a14:shadowObscured xmlns:a14="http://schemas.microsoft.com/office/drawing/2010/main"/>
                      </a:ext>
                    </a:extLst>
                  </pic:spPr>
                </pic:pic>
              </a:graphicData>
            </a:graphic>
          </wp:inline>
        </w:drawing>
      </w:r>
    </w:p>
    <w:p w14:paraId="089DEBBE" w14:textId="35AC49F4" w:rsidR="00BC165D" w:rsidRDefault="006F7483"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Heart disease rates</w:t>
      </w:r>
      <w:r w:rsidR="00BC165D">
        <w:rPr>
          <w:rFonts w:ascii="Times New Roman" w:hAnsi="Times New Roman" w:cs="Times New Roman"/>
          <w:sz w:val="24"/>
          <w:szCs w:val="24"/>
        </w:rPr>
        <w:t xml:space="preserve"> among young men (up to age 45) are relatively low</w:t>
      </w:r>
      <w:r>
        <w:rPr>
          <w:rFonts w:ascii="Times New Roman" w:hAnsi="Times New Roman" w:cs="Times New Roman"/>
          <w:sz w:val="24"/>
          <w:szCs w:val="24"/>
        </w:rPr>
        <w:t>,</w:t>
      </w:r>
      <w:r w:rsidR="00BC165D">
        <w:rPr>
          <w:rFonts w:ascii="Times New Roman" w:hAnsi="Times New Roman" w:cs="Times New Roman"/>
          <w:sz w:val="24"/>
          <w:szCs w:val="24"/>
        </w:rPr>
        <w:t xml:space="preserve"> and are comparable for Jews and Arabs. For ages 45-64, </w:t>
      </w:r>
      <w:r>
        <w:rPr>
          <w:rFonts w:ascii="Times New Roman" w:hAnsi="Times New Roman" w:cs="Times New Roman"/>
          <w:sz w:val="24"/>
          <w:szCs w:val="24"/>
        </w:rPr>
        <w:t>heart disease rates are</w:t>
      </w:r>
      <w:r w:rsidR="00BC165D">
        <w:rPr>
          <w:rFonts w:ascii="Times New Roman" w:hAnsi="Times New Roman" w:cs="Times New Roman"/>
          <w:sz w:val="24"/>
          <w:szCs w:val="24"/>
        </w:rPr>
        <w:t xml:space="preserve"> higher among </w:t>
      </w:r>
      <w:r w:rsidR="00BC165D">
        <w:rPr>
          <w:rFonts w:ascii="Times New Roman" w:hAnsi="Times New Roman" w:cs="Times New Roman"/>
          <w:sz w:val="24"/>
          <w:szCs w:val="24"/>
        </w:rPr>
        <w:lastRenderedPageBreak/>
        <w:t xml:space="preserve">Arabs, and for age 65 and above the rates are higher among Jews. Among Jewish men </w:t>
      </w:r>
      <w:r>
        <w:rPr>
          <w:rFonts w:ascii="Times New Roman" w:hAnsi="Times New Roman" w:cs="Times New Roman"/>
          <w:sz w:val="24"/>
          <w:szCs w:val="24"/>
        </w:rPr>
        <w:t xml:space="preserve">the </w:t>
      </w:r>
      <w:r w:rsidR="00BC165D">
        <w:rPr>
          <w:rFonts w:ascii="Times New Roman" w:hAnsi="Times New Roman" w:cs="Times New Roman"/>
          <w:sz w:val="24"/>
          <w:szCs w:val="24"/>
        </w:rPr>
        <w:t xml:space="preserve">morbidity rates </w:t>
      </w:r>
      <w:r>
        <w:rPr>
          <w:rFonts w:ascii="Times New Roman" w:hAnsi="Times New Roman" w:cs="Times New Roman"/>
          <w:sz w:val="24"/>
          <w:szCs w:val="24"/>
        </w:rPr>
        <w:t>increase sharply at</w:t>
      </w:r>
      <w:r w:rsidR="00BC165D">
        <w:rPr>
          <w:rFonts w:ascii="Times New Roman" w:hAnsi="Times New Roman" w:cs="Times New Roman"/>
          <w:sz w:val="24"/>
          <w:szCs w:val="24"/>
        </w:rPr>
        <w:t xml:space="preserve"> ages 65 and above, </w:t>
      </w:r>
      <w:r>
        <w:rPr>
          <w:rFonts w:ascii="Times New Roman" w:hAnsi="Times New Roman" w:cs="Times New Roman"/>
          <w:sz w:val="24"/>
          <w:szCs w:val="24"/>
        </w:rPr>
        <w:t xml:space="preserve">whereas they increase moderately </w:t>
      </w:r>
      <w:r w:rsidR="00BC165D">
        <w:rPr>
          <w:rFonts w:ascii="Times New Roman" w:hAnsi="Times New Roman" w:cs="Times New Roman"/>
          <w:sz w:val="24"/>
          <w:szCs w:val="24"/>
        </w:rPr>
        <w:t>among Arabs.</w:t>
      </w:r>
    </w:p>
    <w:p w14:paraId="7FCBFB99" w14:textId="69961A86"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women, Arabs have higher rates of heart diseases, until age 75. </w:t>
      </w:r>
      <w:r w:rsidR="007C7757">
        <w:rPr>
          <w:rFonts w:ascii="Times New Roman" w:hAnsi="Times New Roman" w:cs="Times New Roman"/>
          <w:sz w:val="24"/>
          <w:szCs w:val="24"/>
        </w:rPr>
        <w:t>At</w:t>
      </w:r>
      <w:r>
        <w:rPr>
          <w:rFonts w:ascii="Times New Roman" w:hAnsi="Times New Roman" w:cs="Times New Roman"/>
          <w:sz w:val="24"/>
          <w:szCs w:val="24"/>
        </w:rPr>
        <w:t xml:space="preserve"> ages 75 and above, Jewish women have higher rates, although it should be noted that that the rate among Arab women is based on a very small number of cases within this age group. As with the men, among Jewish women there is a sharp increase in morbidity at age</w:t>
      </w:r>
      <w:r w:rsidR="007C7757">
        <w:rPr>
          <w:rFonts w:ascii="Times New Roman" w:hAnsi="Times New Roman" w:cs="Times New Roman"/>
          <w:sz w:val="24"/>
          <w:szCs w:val="24"/>
        </w:rPr>
        <w:t>s</w:t>
      </w:r>
      <w:r>
        <w:rPr>
          <w:rFonts w:ascii="Times New Roman" w:hAnsi="Times New Roman" w:cs="Times New Roman"/>
          <w:sz w:val="24"/>
          <w:szCs w:val="24"/>
        </w:rPr>
        <w:t xml:space="preserve"> 65 and above, compared with a moderate increase </w:t>
      </w:r>
      <w:r w:rsidR="007C7757">
        <w:rPr>
          <w:rFonts w:ascii="Times New Roman" w:hAnsi="Times New Roman" w:cs="Times New Roman"/>
          <w:sz w:val="24"/>
          <w:szCs w:val="24"/>
        </w:rPr>
        <w:t>followed by</w:t>
      </w:r>
      <w:r>
        <w:rPr>
          <w:rFonts w:ascii="Times New Roman" w:hAnsi="Times New Roman" w:cs="Times New Roman"/>
          <w:sz w:val="24"/>
          <w:szCs w:val="24"/>
        </w:rPr>
        <w:t xml:space="preserve"> steady rates among Arab women.</w:t>
      </w:r>
    </w:p>
    <w:p w14:paraId="30B90C37" w14:textId="77777777" w:rsidR="00BC165D" w:rsidRDefault="00BC165D" w:rsidP="00845139">
      <w:pPr>
        <w:bidi w:val="0"/>
        <w:spacing w:line="360" w:lineRule="auto"/>
        <w:jc w:val="both"/>
        <w:rPr>
          <w:rFonts w:ascii="Times New Roman" w:hAnsi="Times New Roman" w:cs="Times New Roman"/>
          <w:sz w:val="24"/>
          <w:szCs w:val="24"/>
        </w:rPr>
      </w:pPr>
    </w:p>
    <w:p w14:paraId="461662A9" w14:textId="26AF3BB2" w:rsidR="00BC165D" w:rsidRPr="002C2AD2" w:rsidRDefault="00BC165D" w:rsidP="00845139">
      <w:pPr>
        <w:bidi w:val="0"/>
        <w:spacing w:line="360" w:lineRule="auto"/>
        <w:jc w:val="both"/>
        <w:rPr>
          <w:rFonts w:ascii="Times New Roman" w:hAnsi="Times New Roman" w:cs="Times New Roman"/>
          <w:b/>
          <w:bCs/>
          <w:sz w:val="24"/>
          <w:szCs w:val="24"/>
        </w:rPr>
      </w:pPr>
      <w:r w:rsidRPr="002C2AD2">
        <w:rPr>
          <w:rFonts w:ascii="Times New Roman" w:hAnsi="Times New Roman" w:cs="Times New Roman"/>
          <w:b/>
          <w:bCs/>
          <w:sz w:val="24"/>
          <w:szCs w:val="24"/>
        </w:rPr>
        <w:t xml:space="preserve">Incidence of heart disease diagnosed by a physician, by age and </w:t>
      </w:r>
      <w:r w:rsidR="007C7757">
        <w:rPr>
          <w:rFonts w:ascii="Times New Roman" w:hAnsi="Times New Roman" w:cs="Times New Roman"/>
          <w:b/>
          <w:bCs/>
          <w:sz w:val="24"/>
          <w:szCs w:val="24"/>
        </w:rPr>
        <w:t>population</w:t>
      </w:r>
      <w:r w:rsidRPr="002C2AD2">
        <w:rPr>
          <w:rFonts w:ascii="Times New Roman" w:hAnsi="Times New Roman" w:cs="Times New Roman"/>
          <w:b/>
          <w:bCs/>
          <w:sz w:val="24"/>
          <w:szCs w:val="24"/>
        </w:rPr>
        <w:t xml:space="preserve"> group, INHIS </w:t>
      </w:r>
    </w:p>
    <w:p w14:paraId="2DC44140"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791BD4FB" wp14:editId="3BC6AA61">
            <wp:extent cx="4990460" cy="4107815"/>
            <wp:effectExtent l="0" t="0" r="1270" b="698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09" t="22382" r="24753" b="7320"/>
                    <a:stretch/>
                  </pic:blipFill>
                  <pic:spPr bwMode="auto">
                    <a:xfrm>
                      <a:off x="0" y="0"/>
                      <a:ext cx="5006097" cy="4120687"/>
                    </a:xfrm>
                    <a:prstGeom prst="rect">
                      <a:avLst/>
                    </a:prstGeom>
                    <a:ln>
                      <a:noFill/>
                    </a:ln>
                    <a:extLst>
                      <a:ext uri="{53640926-AAD7-44D8-BBD7-CCE9431645EC}">
                        <a14:shadowObscured xmlns:a14="http://schemas.microsoft.com/office/drawing/2010/main"/>
                      </a:ext>
                    </a:extLst>
                  </pic:spPr>
                </pic:pic>
              </a:graphicData>
            </a:graphic>
          </wp:inline>
        </w:drawing>
      </w:r>
    </w:p>
    <w:p w14:paraId="2C6953E8" w14:textId="005B8DBF"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coronary heart disease </w:t>
      </w:r>
      <w:r w:rsidR="00783152">
        <w:rPr>
          <w:rFonts w:ascii="Times New Roman" w:hAnsi="Times New Roman" w:cs="Times New Roman"/>
          <w:sz w:val="24"/>
          <w:szCs w:val="24"/>
        </w:rPr>
        <w:t xml:space="preserve">morbidity rates </w:t>
      </w:r>
      <w:r>
        <w:rPr>
          <w:rFonts w:ascii="Times New Roman" w:hAnsi="Times New Roman" w:cs="Times New Roman"/>
          <w:sz w:val="24"/>
          <w:szCs w:val="24"/>
        </w:rPr>
        <w:t xml:space="preserve">in Israel are lower than </w:t>
      </w:r>
      <w:r w:rsidR="00783152">
        <w:rPr>
          <w:rFonts w:ascii="Times New Roman" w:hAnsi="Times New Roman" w:cs="Times New Roman"/>
          <w:sz w:val="24"/>
          <w:szCs w:val="24"/>
        </w:rPr>
        <w:t>in</w:t>
      </w:r>
      <w:r>
        <w:rPr>
          <w:rFonts w:ascii="Times New Roman" w:hAnsi="Times New Roman" w:cs="Times New Roman"/>
          <w:sz w:val="24"/>
          <w:szCs w:val="24"/>
        </w:rPr>
        <w:t xml:space="preserve"> most OECD states, </w:t>
      </w:r>
      <w:r w:rsidR="00783152">
        <w:rPr>
          <w:rFonts w:ascii="Times New Roman" w:hAnsi="Times New Roman" w:cs="Times New Roman"/>
          <w:sz w:val="24"/>
          <w:szCs w:val="24"/>
        </w:rPr>
        <w:t>for</w:t>
      </w:r>
      <w:r>
        <w:rPr>
          <w:rFonts w:ascii="Times New Roman" w:hAnsi="Times New Roman" w:cs="Times New Roman"/>
          <w:sz w:val="24"/>
          <w:szCs w:val="24"/>
        </w:rPr>
        <w:t xml:space="preserve"> both men and women. Of the 33 OECD member states, Israel is ranked 25 for men and 23 for women.</w:t>
      </w:r>
      <w:r w:rsidR="00671B1D">
        <w:rPr>
          <w:rFonts w:ascii="Times New Roman" w:hAnsi="Times New Roman" w:cs="Times New Roman"/>
          <w:sz w:val="24"/>
          <w:szCs w:val="24"/>
        </w:rPr>
        <w:t>(4)</w:t>
      </w:r>
    </w:p>
    <w:p w14:paraId="5D853447" w14:textId="77777777" w:rsidR="00BC165D" w:rsidRDefault="00BC165D" w:rsidP="00845139">
      <w:pPr>
        <w:bidi w:val="0"/>
        <w:spacing w:line="360" w:lineRule="auto"/>
        <w:jc w:val="both"/>
        <w:rPr>
          <w:rFonts w:ascii="Times New Roman" w:hAnsi="Times New Roman" w:cs="Times New Roman"/>
          <w:sz w:val="24"/>
          <w:szCs w:val="24"/>
        </w:rPr>
      </w:pPr>
    </w:p>
    <w:p w14:paraId="5A336394" w14:textId="4E22B6D8" w:rsidR="00BC165D" w:rsidRPr="006709EA" w:rsidRDefault="00BC165D" w:rsidP="00845139">
      <w:pPr>
        <w:bidi w:val="0"/>
        <w:spacing w:line="360" w:lineRule="auto"/>
        <w:jc w:val="both"/>
        <w:rPr>
          <w:rFonts w:ascii="Times New Roman" w:hAnsi="Times New Roman" w:cs="Times New Roman"/>
          <w:b/>
          <w:bCs/>
          <w:sz w:val="24"/>
          <w:szCs w:val="24"/>
        </w:rPr>
      </w:pPr>
      <w:r w:rsidRPr="006709EA">
        <w:rPr>
          <w:rFonts w:ascii="Times New Roman" w:hAnsi="Times New Roman" w:cs="Times New Roman"/>
          <w:b/>
          <w:bCs/>
          <w:sz w:val="24"/>
          <w:szCs w:val="24"/>
        </w:rPr>
        <w:t>Coronary heart disease morbidity rates in Israel and other OECD countries by gender, 2010 (age-adjusted rates per 100,000)</w:t>
      </w:r>
    </w:p>
    <w:p w14:paraId="48FDC13C" w14:textId="77777777" w:rsidR="00BC165D" w:rsidRPr="00A617D1" w:rsidRDefault="00BC165D" w:rsidP="00845139">
      <w:pPr>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4F831531" wp14:editId="72D0DD5A">
            <wp:extent cx="5041411" cy="5064760"/>
            <wp:effectExtent l="0" t="0" r="6985" b="254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617" t="22572" r="30291" b="5823"/>
                    <a:stretch/>
                  </pic:blipFill>
                  <pic:spPr bwMode="auto">
                    <a:xfrm>
                      <a:off x="0" y="0"/>
                      <a:ext cx="5062229" cy="5085674"/>
                    </a:xfrm>
                    <a:prstGeom prst="rect">
                      <a:avLst/>
                    </a:prstGeom>
                    <a:ln>
                      <a:noFill/>
                    </a:ln>
                    <a:extLst>
                      <a:ext uri="{53640926-AAD7-44D8-BBD7-CCE9431645EC}">
                        <a14:shadowObscured xmlns:a14="http://schemas.microsoft.com/office/drawing/2010/main"/>
                      </a:ext>
                    </a:extLst>
                  </pic:spPr>
                </pic:pic>
              </a:graphicData>
            </a:graphic>
          </wp:inline>
        </w:drawing>
      </w:r>
    </w:p>
    <w:p w14:paraId="49EAF95B" w14:textId="2FDD7B4D" w:rsidR="00BC165D" w:rsidRDefault="00BC165D" w:rsidP="00845139">
      <w:pPr>
        <w:bidi w:val="0"/>
        <w:spacing w:line="360" w:lineRule="auto"/>
        <w:jc w:val="both"/>
        <w:rPr>
          <w:rFonts w:ascii="Times New Roman" w:hAnsi="Times New Roman" w:cs="Times New Roman"/>
          <w:sz w:val="24"/>
          <w:szCs w:val="24"/>
        </w:rPr>
      </w:pPr>
      <w:r w:rsidRPr="00A15CF2">
        <w:rPr>
          <w:rFonts w:ascii="Times New Roman" w:hAnsi="Times New Roman" w:cs="Times New Roman"/>
          <w:sz w:val="24"/>
          <w:szCs w:val="24"/>
          <w:u w:val="single"/>
        </w:rPr>
        <w:t>Stroke</w:t>
      </w:r>
    </w:p>
    <w:p w14:paraId="394CE4DB" w14:textId="0197392F" w:rsidR="00BC165D"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Each year about 15 million people experience a stroke, which is a manifestation of cerebrovascular disease. The leading risk factors for a stroke are smoking and high blood pressure. Cerebrovascular diseases have been the fourth leading cause of mortality in Israel since 2008. Recent years have seen a decrease in the incidence of strokes in many developed countries, primarily as a result of increased attention to risk factors such as high blood pressure and smoking. At the same time, the absolute number of strokes is rising because </w:t>
      </w:r>
      <w:r w:rsidR="00FE1A50">
        <w:rPr>
          <w:rFonts w:ascii="Times New Roman" w:hAnsi="Times New Roman" w:cs="Times New Roman"/>
          <w:sz w:val="24"/>
          <w:szCs w:val="24"/>
        </w:rPr>
        <w:t>the</w:t>
      </w:r>
      <w:r>
        <w:rPr>
          <w:rFonts w:ascii="Times New Roman" w:hAnsi="Times New Roman" w:cs="Times New Roman"/>
          <w:sz w:val="24"/>
          <w:szCs w:val="24"/>
        </w:rPr>
        <w:t xml:space="preserve"> population</w:t>
      </w:r>
      <w:r w:rsidR="00FE1A50">
        <w:rPr>
          <w:rFonts w:ascii="Times New Roman" w:hAnsi="Times New Roman" w:cs="Times New Roman"/>
          <w:sz w:val="24"/>
          <w:szCs w:val="24"/>
        </w:rPr>
        <w:t xml:space="preserve"> is aging</w:t>
      </w:r>
      <w:r>
        <w:rPr>
          <w:rFonts w:ascii="Times New Roman" w:hAnsi="Times New Roman" w:cs="Times New Roman"/>
          <w:sz w:val="24"/>
          <w:szCs w:val="24"/>
        </w:rPr>
        <w:t>.</w:t>
      </w:r>
    </w:p>
    <w:p w14:paraId="69CF097D" w14:textId="4DD0DD2F" w:rsidR="00BC165D" w:rsidRPr="00A15CF2" w:rsidRDefault="00BC165D" w:rsidP="0084513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incidence of strokes is higher among the Jewish population than the Arab population for both men and women. In both population groups, the incidence is significantly higher for men, by a factor of </w:t>
      </w:r>
      <w:r w:rsidR="00FE1A50">
        <w:rPr>
          <w:rFonts w:ascii="Times New Roman" w:hAnsi="Times New Roman" w:cs="Times New Roman"/>
          <w:sz w:val="24"/>
          <w:szCs w:val="24"/>
        </w:rPr>
        <w:t>2</w:t>
      </w:r>
      <w:r>
        <w:rPr>
          <w:rFonts w:ascii="Times New Roman" w:hAnsi="Times New Roman" w:cs="Times New Roman"/>
          <w:sz w:val="24"/>
          <w:szCs w:val="24"/>
        </w:rPr>
        <w:t xml:space="preserve"> for Jewish men compared with Jewish women and 1.5 for Arab men compared with Arab women.</w:t>
      </w:r>
    </w:p>
    <w:p w14:paraId="66997993" w14:textId="77777777" w:rsidR="00BC165D" w:rsidRPr="00015C02" w:rsidRDefault="00BC165D" w:rsidP="00845139">
      <w:pPr>
        <w:bidi w:val="0"/>
        <w:spacing w:line="360" w:lineRule="auto"/>
        <w:jc w:val="both"/>
        <w:rPr>
          <w:rFonts w:ascii="Times New Roman" w:hAnsi="Times New Roman" w:cs="Times New Roman"/>
          <w:b/>
          <w:bCs/>
          <w:sz w:val="24"/>
          <w:szCs w:val="24"/>
        </w:rPr>
      </w:pPr>
    </w:p>
    <w:p w14:paraId="7306481E" w14:textId="3FA9DCD8" w:rsidR="00BC165D" w:rsidRPr="00015C02" w:rsidRDefault="00BC165D" w:rsidP="00845139">
      <w:pPr>
        <w:bidi w:val="0"/>
        <w:spacing w:line="360" w:lineRule="auto"/>
        <w:jc w:val="both"/>
        <w:rPr>
          <w:rFonts w:ascii="Times New Roman" w:hAnsi="Times New Roman" w:cs="Times New Roman"/>
          <w:b/>
          <w:bCs/>
          <w:sz w:val="24"/>
          <w:szCs w:val="24"/>
          <w:rtl/>
        </w:rPr>
      </w:pPr>
      <w:r w:rsidRPr="00015C02">
        <w:rPr>
          <w:rFonts w:ascii="Times New Roman" w:hAnsi="Times New Roman" w:cs="Times New Roman"/>
          <w:b/>
          <w:bCs/>
          <w:sz w:val="24"/>
          <w:szCs w:val="24"/>
        </w:rPr>
        <w:t>Incidence of a stroke diagnosed by a physician for ages 45 and above, by gender and population group, INHIS (rates weighted by age).</w:t>
      </w:r>
    </w:p>
    <w:p w14:paraId="115965A4" w14:textId="77777777" w:rsidR="00BC165D" w:rsidRPr="000452EC" w:rsidRDefault="00BC165D" w:rsidP="00604D1E">
      <w:pPr>
        <w:spacing w:line="360" w:lineRule="auto"/>
        <w:jc w:val="both"/>
        <w:rPr>
          <w:rFonts w:ascii="Times New Roman" w:hAnsi="Times New Roman" w:cs="Times New Roman"/>
          <w:sz w:val="24"/>
          <w:szCs w:val="24"/>
          <w:rtl/>
        </w:rPr>
      </w:pPr>
      <w:r w:rsidRPr="00A617D1">
        <w:rPr>
          <w:rFonts w:ascii="David" w:hAnsi="David" w:cs="David"/>
          <w:noProof/>
          <w:sz w:val="24"/>
          <w:szCs w:val="24"/>
        </w:rPr>
        <w:drawing>
          <wp:inline distT="0" distB="0" distL="0" distR="0" wp14:anchorId="51C8BCC1" wp14:editId="1CFE2A15">
            <wp:extent cx="5146040" cy="1841413"/>
            <wp:effectExtent l="0" t="0" r="0" b="698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959" t="41665" r="28485" b="28083"/>
                    <a:stretch/>
                  </pic:blipFill>
                  <pic:spPr bwMode="auto">
                    <a:xfrm>
                      <a:off x="0" y="0"/>
                      <a:ext cx="5174705" cy="1851670"/>
                    </a:xfrm>
                    <a:prstGeom prst="rect">
                      <a:avLst/>
                    </a:prstGeom>
                    <a:ln>
                      <a:noFill/>
                    </a:ln>
                    <a:extLst>
                      <a:ext uri="{53640926-AAD7-44D8-BBD7-CCE9431645EC}">
                        <a14:shadowObscured xmlns:a14="http://schemas.microsoft.com/office/drawing/2010/main"/>
                      </a:ext>
                    </a:extLst>
                  </pic:spPr>
                </pic:pic>
              </a:graphicData>
            </a:graphic>
          </wp:inline>
        </w:drawing>
      </w:r>
    </w:p>
    <w:p w14:paraId="3C77944E" w14:textId="7750FC17" w:rsidR="00BC165D" w:rsidRDefault="00BC165D" w:rsidP="00604D1E">
      <w:pPr>
        <w:bidi w:val="0"/>
        <w:spacing w:line="360" w:lineRule="auto"/>
        <w:jc w:val="both"/>
        <w:rPr>
          <w:rFonts w:ascii="Times New Roman" w:hAnsi="Times New Roman" w:cs="Times New Roman"/>
          <w:sz w:val="24"/>
          <w:szCs w:val="24"/>
        </w:rPr>
      </w:pPr>
      <w:bookmarkStart w:id="10" w:name="_Hlk15145499"/>
      <w:r w:rsidRPr="000452EC">
        <w:rPr>
          <w:rFonts w:ascii="Times New Roman" w:hAnsi="Times New Roman" w:cs="Times New Roman"/>
          <w:sz w:val="24"/>
          <w:szCs w:val="24"/>
        </w:rPr>
        <w:t>The incidence of strokes increases with age for both men and women. In the 55-64 age group</w:t>
      </w:r>
      <w:r>
        <w:rPr>
          <w:rFonts w:ascii="Times New Roman" w:hAnsi="Times New Roman" w:cs="Times New Roman"/>
          <w:sz w:val="24"/>
          <w:szCs w:val="24"/>
        </w:rPr>
        <w:t xml:space="preserve"> there is a sharp increase in strokes among men, which continues at a more moderate rate for ages 65 and above. Among women, in contrast, there is a sharp increase at later ages (65-74), which continues </w:t>
      </w:r>
      <w:r w:rsidR="00845139">
        <w:rPr>
          <w:rFonts w:ascii="Times New Roman" w:hAnsi="Times New Roman" w:cs="Times New Roman"/>
          <w:sz w:val="24"/>
          <w:szCs w:val="24"/>
        </w:rPr>
        <w:t>in</w:t>
      </w:r>
      <w:r>
        <w:rPr>
          <w:rFonts w:ascii="Times New Roman" w:hAnsi="Times New Roman" w:cs="Times New Roman"/>
          <w:sz w:val="24"/>
          <w:szCs w:val="24"/>
        </w:rPr>
        <w:t xml:space="preserve"> the age group of 75 and above. Below age 75 the rates among men are significantly higher than among women. </w:t>
      </w:r>
      <w:r w:rsidR="00845139">
        <w:rPr>
          <w:rFonts w:ascii="Times New Roman" w:hAnsi="Times New Roman" w:cs="Times New Roman"/>
          <w:sz w:val="24"/>
          <w:szCs w:val="24"/>
        </w:rPr>
        <w:t>The rate among men is higher by a factor of 1.5 than the rate among women at</w:t>
      </w:r>
      <w:r>
        <w:rPr>
          <w:rFonts w:ascii="Times New Roman" w:hAnsi="Times New Roman" w:cs="Times New Roman"/>
          <w:sz w:val="24"/>
          <w:szCs w:val="24"/>
        </w:rPr>
        <w:t xml:space="preserve"> young ages (35-54) and</w:t>
      </w:r>
      <w:r w:rsidR="00845139">
        <w:rPr>
          <w:rFonts w:ascii="Times New Roman" w:hAnsi="Times New Roman" w:cs="Times New Roman"/>
          <w:sz w:val="24"/>
          <w:szCs w:val="24"/>
        </w:rPr>
        <w:t xml:space="preserve"> higher by</w:t>
      </w:r>
      <w:r>
        <w:rPr>
          <w:rFonts w:ascii="Times New Roman" w:hAnsi="Times New Roman" w:cs="Times New Roman"/>
          <w:sz w:val="24"/>
          <w:szCs w:val="24"/>
        </w:rPr>
        <w:t xml:space="preserve"> a factor of 3.6 </w:t>
      </w:r>
      <w:r w:rsidR="00845139">
        <w:rPr>
          <w:rFonts w:ascii="Times New Roman" w:hAnsi="Times New Roman" w:cs="Times New Roman"/>
          <w:sz w:val="24"/>
          <w:szCs w:val="24"/>
        </w:rPr>
        <w:t>in</w:t>
      </w:r>
      <w:r>
        <w:rPr>
          <w:rFonts w:ascii="Times New Roman" w:hAnsi="Times New Roman" w:cs="Times New Roman"/>
          <w:sz w:val="24"/>
          <w:szCs w:val="24"/>
        </w:rPr>
        <w:t xml:space="preserve"> the 55-64 age group. </w:t>
      </w:r>
      <w:r w:rsidR="00845139">
        <w:rPr>
          <w:rFonts w:ascii="Times New Roman" w:hAnsi="Times New Roman" w:cs="Times New Roman"/>
          <w:sz w:val="24"/>
          <w:szCs w:val="24"/>
        </w:rPr>
        <w:t>At</w:t>
      </w:r>
      <w:r>
        <w:rPr>
          <w:rFonts w:ascii="Times New Roman" w:hAnsi="Times New Roman" w:cs="Times New Roman"/>
          <w:sz w:val="24"/>
          <w:szCs w:val="24"/>
        </w:rPr>
        <w:t xml:space="preserve"> ages 65-74 the discrepancy diminishes, and </w:t>
      </w:r>
      <w:r w:rsidR="00845139">
        <w:rPr>
          <w:rFonts w:ascii="Times New Roman" w:hAnsi="Times New Roman" w:cs="Times New Roman"/>
          <w:sz w:val="24"/>
          <w:szCs w:val="24"/>
        </w:rPr>
        <w:t>at</w:t>
      </w:r>
      <w:r>
        <w:rPr>
          <w:rFonts w:ascii="Times New Roman" w:hAnsi="Times New Roman" w:cs="Times New Roman"/>
          <w:sz w:val="24"/>
          <w:szCs w:val="24"/>
        </w:rPr>
        <w:t xml:space="preserve"> ages 75 and above the incidence of strokes is nearly identical among men and women (6.8% and 7.1%, respectively).</w:t>
      </w:r>
      <w:r w:rsidR="00671B1D">
        <w:rPr>
          <w:rFonts w:ascii="Times New Roman" w:hAnsi="Times New Roman" w:cs="Times New Roman"/>
          <w:sz w:val="24"/>
          <w:szCs w:val="24"/>
        </w:rPr>
        <w:t>(4)</w:t>
      </w:r>
    </w:p>
    <w:p w14:paraId="2B86031D" w14:textId="77777777" w:rsidR="00BC165D" w:rsidRDefault="00BC165D" w:rsidP="00604D1E">
      <w:pPr>
        <w:bidi w:val="0"/>
        <w:spacing w:line="360" w:lineRule="auto"/>
        <w:jc w:val="both"/>
        <w:rPr>
          <w:rFonts w:ascii="Times New Roman" w:hAnsi="Times New Roman" w:cs="Times New Roman"/>
          <w:sz w:val="24"/>
          <w:szCs w:val="24"/>
        </w:rPr>
      </w:pPr>
    </w:p>
    <w:p w14:paraId="193D2748" w14:textId="084544C6" w:rsidR="00BC165D" w:rsidRPr="00052435" w:rsidRDefault="00BC165D" w:rsidP="00245907">
      <w:pPr>
        <w:bidi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Incidence of strokes diagnosed by a physician, by age and gender, INHIS, (rates weighted by population group)</w:t>
      </w:r>
    </w:p>
    <w:bookmarkEnd w:id="10"/>
    <w:p w14:paraId="6FB290F4"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lastRenderedPageBreak/>
        <w:drawing>
          <wp:inline distT="0" distB="0" distL="0" distR="0" wp14:anchorId="5DA125AB" wp14:editId="0A2EFA40">
            <wp:extent cx="5532755" cy="1942936"/>
            <wp:effectExtent l="0" t="0" r="0" b="63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28" t="61266" r="25355" b="8818"/>
                    <a:stretch/>
                  </pic:blipFill>
                  <pic:spPr bwMode="auto">
                    <a:xfrm>
                      <a:off x="0" y="0"/>
                      <a:ext cx="5538163" cy="1944835"/>
                    </a:xfrm>
                    <a:prstGeom prst="rect">
                      <a:avLst/>
                    </a:prstGeom>
                    <a:ln>
                      <a:noFill/>
                    </a:ln>
                    <a:extLst>
                      <a:ext uri="{53640926-AAD7-44D8-BBD7-CCE9431645EC}">
                        <a14:shadowObscured xmlns:a14="http://schemas.microsoft.com/office/drawing/2010/main"/>
                      </a:ext>
                    </a:extLst>
                  </pic:spPr>
                </pic:pic>
              </a:graphicData>
            </a:graphic>
          </wp:inline>
        </w:drawing>
      </w:r>
    </w:p>
    <w:p w14:paraId="306FC7F8" w14:textId="0C75EC51"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mortality rates for strokes in Israel are lower than those of most OECD countries. Israel is ranked 31 among 33 for both men and women. </w:t>
      </w:r>
    </w:p>
    <w:p w14:paraId="75209A92" w14:textId="7ED6D410"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Diabetes</w:t>
      </w:r>
    </w:p>
    <w:p w14:paraId="22F7A82F" w14:textId="58880001"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Diabetes is a chronic disease characterized by a high concentration of glucose in the blood. There are three types of diabetes: Type 1 (juvenile onset) occurs before age 30 and characterizes about 10% of diabetes patients. Type 2 diabetes usually occurs after age 30 and its prevalence increases with age. About 90% of diabetes patients have this type. The risk factors for developing type 2 diabetes include family </w:t>
      </w:r>
      <w:r w:rsidR="001F2461">
        <w:rPr>
          <w:rFonts w:ascii="Times New Roman" w:hAnsi="Times New Roman" w:cs="Times New Roman"/>
          <w:sz w:val="24"/>
          <w:szCs w:val="24"/>
        </w:rPr>
        <w:t>history</w:t>
      </w:r>
      <w:r>
        <w:rPr>
          <w:rFonts w:ascii="Times New Roman" w:hAnsi="Times New Roman" w:cs="Times New Roman"/>
          <w:sz w:val="24"/>
          <w:szCs w:val="24"/>
        </w:rPr>
        <w:t xml:space="preserve">, lack of physical activity, overweight, high blood pressure, and previous gestational diabetes, among others. The third type, gestational diabetes, first occurs or </w:t>
      </w:r>
      <w:r w:rsidR="001F2461">
        <w:rPr>
          <w:rFonts w:ascii="Times New Roman" w:hAnsi="Times New Roman" w:cs="Times New Roman"/>
          <w:sz w:val="24"/>
          <w:szCs w:val="24"/>
        </w:rPr>
        <w:t xml:space="preserve">first </w:t>
      </w:r>
      <w:r>
        <w:rPr>
          <w:rFonts w:ascii="Times New Roman" w:hAnsi="Times New Roman" w:cs="Times New Roman"/>
          <w:sz w:val="24"/>
          <w:szCs w:val="24"/>
        </w:rPr>
        <w:t>manifests during pregnancy and its symptoms are similar to those of type 2 diabetes.</w:t>
      </w:r>
      <w:r w:rsidR="00671B1D">
        <w:rPr>
          <w:rFonts w:ascii="Times New Roman" w:hAnsi="Times New Roman" w:cs="Times New Roman"/>
          <w:sz w:val="24"/>
          <w:szCs w:val="24"/>
        </w:rPr>
        <w:t>(5)</w:t>
      </w:r>
    </w:p>
    <w:p w14:paraId="40DDD87A" w14:textId="2671F8CB"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incidence of diabetes within the population increases with age (excluding ages 85+) among men and women. Among the 65-74 age group there is a sharp increase in diabetes for men as well as women, which continues at a more moderate rate at ages 75-84. The incidence of diabetes is higher among men than women for all ages.</w:t>
      </w:r>
      <w:r w:rsidR="00671B1D">
        <w:rPr>
          <w:rFonts w:ascii="Times New Roman" w:hAnsi="Times New Roman" w:cs="Times New Roman"/>
          <w:sz w:val="24"/>
          <w:szCs w:val="24"/>
        </w:rPr>
        <w:t>(6)</w:t>
      </w:r>
    </w:p>
    <w:p w14:paraId="32DC1730" w14:textId="77777777" w:rsidR="00BC165D" w:rsidRDefault="00BC165D" w:rsidP="00245907">
      <w:pPr>
        <w:bidi w:val="0"/>
        <w:spacing w:line="360" w:lineRule="auto"/>
        <w:jc w:val="both"/>
        <w:rPr>
          <w:rFonts w:ascii="Times New Roman" w:hAnsi="Times New Roman" w:cs="Times New Roman"/>
          <w:sz w:val="24"/>
          <w:szCs w:val="24"/>
        </w:rPr>
      </w:pPr>
    </w:p>
    <w:p w14:paraId="129261ED" w14:textId="720131B0" w:rsidR="00BC165D" w:rsidRPr="00760F59" w:rsidRDefault="00BC165D" w:rsidP="00245907">
      <w:pPr>
        <w:bidi w:val="0"/>
        <w:spacing w:line="360" w:lineRule="auto"/>
        <w:jc w:val="both"/>
        <w:rPr>
          <w:rFonts w:ascii="Times New Roman" w:hAnsi="Times New Roman" w:cs="Times New Roman"/>
          <w:b/>
          <w:sz w:val="24"/>
          <w:szCs w:val="24"/>
          <w:rtl/>
        </w:rPr>
      </w:pPr>
      <w:r>
        <w:rPr>
          <w:rFonts w:ascii="Times New Roman" w:hAnsi="Times New Roman" w:cs="Times New Roman"/>
          <w:b/>
          <w:sz w:val="24"/>
          <w:szCs w:val="24"/>
        </w:rPr>
        <w:t>Rates of diabetes in Israel by gender and age</w:t>
      </w:r>
    </w:p>
    <w:p w14:paraId="591312EE"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lastRenderedPageBreak/>
        <w:drawing>
          <wp:inline distT="0" distB="0" distL="0" distR="0" wp14:anchorId="0239EBC6" wp14:editId="0316BAD0">
            <wp:extent cx="4971415" cy="2432050"/>
            <wp:effectExtent l="0" t="0" r="635" b="635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30" t="53570" r="27883" b="6678"/>
                    <a:stretch/>
                  </pic:blipFill>
                  <pic:spPr bwMode="auto">
                    <a:xfrm>
                      <a:off x="0" y="0"/>
                      <a:ext cx="5005053" cy="2448506"/>
                    </a:xfrm>
                    <a:prstGeom prst="rect">
                      <a:avLst/>
                    </a:prstGeom>
                    <a:ln>
                      <a:noFill/>
                    </a:ln>
                    <a:extLst>
                      <a:ext uri="{53640926-AAD7-44D8-BBD7-CCE9431645EC}">
                        <a14:shadowObscured xmlns:a14="http://schemas.microsoft.com/office/drawing/2010/main"/>
                      </a:ext>
                    </a:extLst>
                  </pic:spPr>
                </pic:pic>
              </a:graphicData>
            </a:graphic>
          </wp:inline>
        </w:drawing>
      </w:r>
    </w:p>
    <w:p w14:paraId="4BCA2B26" w14:textId="77777777" w:rsidR="00BC165D" w:rsidRPr="00A617D1" w:rsidRDefault="00BC165D" w:rsidP="00245907">
      <w:pPr>
        <w:bidi w:val="0"/>
        <w:spacing w:line="360" w:lineRule="auto"/>
        <w:jc w:val="both"/>
        <w:rPr>
          <w:rFonts w:ascii="David" w:hAnsi="David" w:cs="David"/>
          <w:sz w:val="24"/>
          <w:szCs w:val="24"/>
          <w:rtl/>
        </w:rPr>
      </w:pPr>
    </w:p>
    <w:p w14:paraId="407255CB" w14:textId="1031C5F9"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incidence of diabetes is higher among the Arab population </w:t>
      </w:r>
      <w:r w:rsidR="00604D1E">
        <w:rPr>
          <w:rFonts w:ascii="Times New Roman" w:hAnsi="Times New Roman" w:cs="Times New Roman"/>
          <w:sz w:val="24"/>
          <w:szCs w:val="24"/>
        </w:rPr>
        <w:t>than</w:t>
      </w:r>
      <w:r>
        <w:rPr>
          <w:rFonts w:ascii="Times New Roman" w:hAnsi="Times New Roman" w:cs="Times New Roman"/>
          <w:sz w:val="24"/>
          <w:szCs w:val="24"/>
        </w:rPr>
        <w:t xml:space="preserve"> the Jewish population for both men and women. In both population groups the incidence rises with age.</w:t>
      </w:r>
    </w:p>
    <w:p w14:paraId="588B547B" w14:textId="77777777" w:rsidR="00BC165D" w:rsidRDefault="00BC165D" w:rsidP="00245907">
      <w:pPr>
        <w:bidi w:val="0"/>
        <w:spacing w:line="360" w:lineRule="auto"/>
        <w:jc w:val="both"/>
        <w:rPr>
          <w:rFonts w:ascii="Times New Roman" w:hAnsi="Times New Roman" w:cs="Times New Roman"/>
          <w:sz w:val="24"/>
          <w:szCs w:val="24"/>
        </w:rPr>
      </w:pPr>
    </w:p>
    <w:p w14:paraId="7434DA4E" w14:textId="78F1AC7D" w:rsidR="00BC165D" w:rsidRPr="00760F59" w:rsidRDefault="00BC165D" w:rsidP="00245907">
      <w:pPr>
        <w:bidi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Incidence of diabetes among men by </w:t>
      </w:r>
      <w:commentRangeStart w:id="11"/>
      <w:r>
        <w:rPr>
          <w:rFonts w:ascii="Times New Roman" w:hAnsi="Times New Roman" w:cs="Times New Roman"/>
          <w:b/>
          <w:sz w:val="24"/>
          <w:szCs w:val="24"/>
        </w:rPr>
        <w:t xml:space="preserve">sector </w:t>
      </w:r>
      <w:commentRangeEnd w:id="11"/>
      <w:r>
        <w:rPr>
          <w:rStyle w:val="CommentReference"/>
        </w:rPr>
        <w:commentReference w:id="11"/>
      </w:r>
      <w:r>
        <w:rPr>
          <w:rFonts w:ascii="Times New Roman" w:hAnsi="Times New Roman" w:cs="Times New Roman"/>
          <w:b/>
          <w:sz w:val="24"/>
          <w:szCs w:val="24"/>
        </w:rPr>
        <w:t>and age</w:t>
      </w:r>
    </w:p>
    <w:p w14:paraId="0787492C"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1A0973AA" wp14:editId="77A710C6">
            <wp:extent cx="4616335" cy="2346325"/>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67" t="46196" r="27402" b="12029"/>
                    <a:stretch/>
                  </pic:blipFill>
                  <pic:spPr bwMode="auto">
                    <a:xfrm>
                      <a:off x="0" y="0"/>
                      <a:ext cx="4634275" cy="2355443"/>
                    </a:xfrm>
                    <a:prstGeom prst="rect">
                      <a:avLst/>
                    </a:prstGeom>
                    <a:ln>
                      <a:noFill/>
                    </a:ln>
                    <a:extLst>
                      <a:ext uri="{53640926-AAD7-44D8-BBD7-CCE9431645EC}">
                        <a14:shadowObscured xmlns:a14="http://schemas.microsoft.com/office/drawing/2010/main"/>
                      </a:ext>
                    </a:extLst>
                  </pic:spPr>
                </pic:pic>
              </a:graphicData>
            </a:graphic>
          </wp:inline>
        </w:drawing>
      </w:r>
    </w:p>
    <w:p w14:paraId="6F5F6AC4" w14:textId="77777777" w:rsidR="00BC165D" w:rsidRDefault="00BC165D" w:rsidP="00245907">
      <w:pPr>
        <w:bidi w:val="0"/>
        <w:spacing w:line="360" w:lineRule="auto"/>
        <w:jc w:val="both"/>
        <w:rPr>
          <w:rFonts w:cs="David"/>
          <w:b/>
          <w:bCs/>
          <w:i/>
          <w:iCs/>
          <w:sz w:val="24"/>
          <w:szCs w:val="24"/>
        </w:rPr>
      </w:pPr>
    </w:p>
    <w:p w14:paraId="231AF21A" w14:textId="35FC9CB1" w:rsidR="00BC165D" w:rsidRPr="00760F59" w:rsidRDefault="00BC165D" w:rsidP="00245907">
      <w:pPr>
        <w:bidi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Incidence of diabetes among women by </w:t>
      </w:r>
      <w:commentRangeStart w:id="12"/>
      <w:r>
        <w:rPr>
          <w:rFonts w:ascii="Times New Roman" w:hAnsi="Times New Roman" w:cs="Times New Roman"/>
          <w:b/>
          <w:bCs/>
          <w:sz w:val="24"/>
          <w:szCs w:val="24"/>
        </w:rPr>
        <w:t xml:space="preserve">sector </w:t>
      </w:r>
      <w:commentRangeEnd w:id="12"/>
      <w:r>
        <w:rPr>
          <w:rStyle w:val="CommentReference"/>
        </w:rPr>
        <w:commentReference w:id="12"/>
      </w:r>
      <w:r>
        <w:rPr>
          <w:rFonts w:ascii="Times New Roman" w:hAnsi="Times New Roman" w:cs="Times New Roman"/>
          <w:b/>
          <w:bCs/>
          <w:sz w:val="24"/>
          <w:szCs w:val="24"/>
        </w:rPr>
        <w:t>and age</w:t>
      </w:r>
    </w:p>
    <w:p w14:paraId="110C5D46"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lastRenderedPageBreak/>
        <w:drawing>
          <wp:inline distT="0" distB="0" distL="0" distR="0" wp14:anchorId="5F3B7435" wp14:editId="06E5FBD6">
            <wp:extent cx="4755334" cy="2487930"/>
            <wp:effectExtent l="0" t="0" r="7620" b="762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330" t="49543" r="28365" b="9247"/>
                    <a:stretch/>
                  </pic:blipFill>
                  <pic:spPr bwMode="auto">
                    <a:xfrm>
                      <a:off x="0" y="0"/>
                      <a:ext cx="4772001" cy="2496650"/>
                    </a:xfrm>
                    <a:prstGeom prst="rect">
                      <a:avLst/>
                    </a:prstGeom>
                    <a:ln>
                      <a:noFill/>
                    </a:ln>
                    <a:extLst>
                      <a:ext uri="{53640926-AAD7-44D8-BBD7-CCE9431645EC}">
                        <a14:shadowObscured xmlns:a14="http://schemas.microsoft.com/office/drawing/2010/main"/>
                      </a:ext>
                    </a:extLst>
                  </pic:spPr>
                </pic:pic>
              </a:graphicData>
            </a:graphic>
          </wp:inline>
        </w:drawing>
      </w:r>
    </w:p>
    <w:p w14:paraId="0861396F" w14:textId="77777777" w:rsidR="00BC165D" w:rsidRDefault="00BC165D" w:rsidP="00245907">
      <w:pPr>
        <w:bidi w:val="0"/>
        <w:spacing w:line="360" w:lineRule="auto"/>
        <w:jc w:val="both"/>
        <w:rPr>
          <w:rFonts w:ascii="David" w:hAnsi="David" w:cs="David"/>
          <w:b/>
          <w:bCs/>
          <w:i/>
          <w:iCs/>
          <w:sz w:val="24"/>
          <w:szCs w:val="24"/>
          <w:rtl/>
        </w:rPr>
      </w:pPr>
    </w:p>
    <w:p w14:paraId="3F3CD36F" w14:textId="77777777" w:rsidR="00BC165D" w:rsidRDefault="00BC165D" w:rsidP="00245907">
      <w:pPr>
        <w:bidi w:val="0"/>
        <w:spacing w:line="360" w:lineRule="auto"/>
        <w:jc w:val="both"/>
        <w:rPr>
          <w:rFonts w:ascii="David" w:hAnsi="David" w:cs="David"/>
          <w:b/>
          <w:bCs/>
          <w:i/>
          <w:iCs/>
          <w:sz w:val="24"/>
          <w:szCs w:val="24"/>
        </w:rPr>
      </w:pPr>
    </w:p>
    <w:p w14:paraId="1B881920" w14:textId="77777777" w:rsidR="00BC165D" w:rsidRDefault="00BC165D" w:rsidP="00245907">
      <w:pPr>
        <w:bidi w:val="0"/>
        <w:spacing w:line="360" w:lineRule="auto"/>
        <w:jc w:val="both"/>
        <w:rPr>
          <w:rFonts w:ascii="David" w:hAnsi="David" w:cs="David"/>
          <w:b/>
          <w:bCs/>
          <w:i/>
          <w:iCs/>
          <w:sz w:val="24"/>
          <w:szCs w:val="24"/>
        </w:rPr>
      </w:pPr>
    </w:p>
    <w:p w14:paraId="4F38A542" w14:textId="4170B7E1" w:rsidR="00BC165D" w:rsidRPr="0081164F"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Diabetes </w:t>
      </w:r>
      <w:r w:rsidR="007B3A58">
        <w:rPr>
          <w:rFonts w:ascii="Times New Roman" w:hAnsi="Times New Roman" w:cs="Times New Roman"/>
          <w:b/>
          <w:bCs/>
          <w:sz w:val="24"/>
          <w:szCs w:val="24"/>
        </w:rPr>
        <w:t xml:space="preserve">incidence </w:t>
      </w:r>
      <w:r>
        <w:rPr>
          <w:rFonts w:ascii="Times New Roman" w:hAnsi="Times New Roman" w:cs="Times New Roman"/>
          <w:b/>
          <w:bCs/>
          <w:sz w:val="24"/>
          <w:szCs w:val="24"/>
        </w:rPr>
        <w:t>rates in Israel during 2002-2014 by socioeconomic status</w:t>
      </w:r>
      <w:r w:rsidR="00671B1D">
        <w:rPr>
          <w:rFonts w:ascii="Times New Roman" w:hAnsi="Times New Roman" w:cs="Times New Roman"/>
          <w:b/>
          <w:bCs/>
          <w:sz w:val="24"/>
          <w:szCs w:val="24"/>
        </w:rPr>
        <w:t xml:space="preserve"> </w:t>
      </w:r>
      <w:r w:rsidR="00671B1D" w:rsidRPr="007B3A58">
        <w:rPr>
          <w:rFonts w:ascii="Times New Roman" w:hAnsi="Times New Roman" w:cs="Times New Roman"/>
          <w:sz w:val="24"/>
          <w:szCs w:val="24"/>
        </w:rPr>
        <w:t>(7)</w:t>
      </w:r>
    </w:p>
    <w:p w14:paraId="4A030BFD" w14:textId="77777777" w:rsidR="00BC165D" w:rsidRDefault="00BC165D" w:rsidP="00245907">
      <w:pPr>
        <w:bidi w:val="0"/>
        <w:spacing w:line="360" w:lineRule="auto"/>
        <w:jc w:val="both"/>
        <w:rPr>
          <w:rFonts w:ascii="David" w:hAnsi="David" w:cs="David"/>
          <w:sz w:val="24"/>
          <w:szCs w:val="24"/>
          <w:rtl/>
        </w:rPr>
      </w:pPr>
      <w:r w:rsidRPr="00AE6869">
        <w:rPr>
          <w:rFonts w:ascii="David" w:hAnsi="David" w:cs="David"/>
          <w:noProof/>
          <w:sz w:val="24"/>
          <w:szCs w:val="24"/>
        </w:rPr>
        <w:drawing>
          <wp:inline distT="0" distB="0" distL="0" distR="0" wp14:anchorId="1F24FC66" wp14:editId="68F3A8AC">
            <wp:extent cx="5274310" cy="2124075"/>
            <wp:effectExtent l="0" t="0" r="2540" b="9525"/>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20B797" w14:textId="49941BA9"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above graph indicates a dramatic increase in diabetes, particularly among the socioeconomically disadvantaged.</w:t>
      </w:r>
    </w:p>
    <w:p w14:paraId="51F5F68A" w14:textId="30B95FD7" w:rsidR="00BC165D" w:rsidRPr="0081164F" w:rsidRDefault="00BC165D" w:rsidP="00245907">
      <w:pPr>
        <w:bidi w:val="0"/>
        <w:spacing w:line="360" w:lineRule="auto"/>
        <w:jc w:val="both"/>
        <w:rPr>
          <w:rFonts w:ascii="Times New Roman" w:hAnsi="Times New Roman" w:cs="Times New Roman"/>
          <w:sz w:val="20"/>
          <w:szCs w:val="20"/>
        </w:rPr>
      </w:pPr>
      <w:r w:rsidRPr="0081164F">
        <w:rPr>
          <w:rFonts w:ascii="Times New Roman" w:hAnsi="Times New Roman" w:cs="Times New Roman"/>
          <w:sz w:val="20"/>
          <w:szCs w:val="20"/>
        </w:rPr>
        <w:t xml:space="preserve">(*) Socioeconomic status is based on entitlement to a waiver from paying a deductible when receiving services (as determined by the National </w:t>
      </w:r>
      <w:r w:rsidR="00487AFA">
        <w:rPr>
          <w:rFonts w:ascii="Times New Roman" w:hAnsi="Times New Roman" w:cs="Times New Roman"/>
          <w:sz w:val="20"/>
          <w:szCs w:val="20"/>
        </w:rPr>
        <w:t xml:space="preserve">Insurance </w:t>
      </w:r>
      <w:r w:rsidRPr="0081164F">
        <w:rPr>
          <w:rFonts w:ascii="Times New Roman" w:hAnsi="Times New Roman" w:cs="Times New Roman"/>
          <w:sz w:val="20"/>
          <w:szCs w:val="20"/>
        </w:rPr>
        <w:t xml:space="preserve">Institute). </w:t>
      </w:r>
    </w:p>
    <w:p w14:paraId="603441F3" w14:textId="73BB0109" w:rsidR="00BC165D" w:rsidRDefault="00BC165D" w:rsidP="00245907">
      <w:pPr>
        <w:bidi w:v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Notably, in 2011 the algorithm for </w:t>
      </w:r>
      <w:r w:rsidR="00487AFA">
        <w:rPr>
          <w:rFonts w:ascii="Times New Roman" w:hAnsi="Times New Roman" w:cs="Times New Roman"/>
          <w:sz w:val="20"/>
          <w:szCs w:val="20"/>
        </w:rPr>
        <w:t>assessing the incidence of diabetes</w:t>
      </w:r>
      <w:r>
        <w:rPr>
          <w:rFonts w:ascii="Times New Roman" w:hAnsi="Times New Roman" w:cs="Times New Roman"/>
          <w:sz w:val="20"/>
          <w:szCs w:val="20"/>
        </w:rPr>
        <w:t xml:space="preserve"> was changed. </w:t>
      </w:r>
      <w:r w:rsidR="00487AFA">
        <w:rPr>
          <w:rFonts w:ascii="Times New Roman" w:hAnsi="Times New Roman" w:cs="Times New Roman"/>
          <w:sz w:val="20"/>
          <w:szCs w:val="20"/>
        </w:rPr>
        <w:t xml:space="preserve">It was expanded to include </w:t>
      </w:r>
      <w:r>
        <w:rPr>
          <w:rFonts w:ascii="Times New Roman" w:hAnsi="Times New Roman" w:cs="Times New Roman"/>
          <w:sz w:val="20"/>
          <w:szCs w:val="20"/>
        </w:rPr>
        <w:t>laboratory test</w:t>
      </w:r>
      <w:r w:rsidR="00487AFA">
        <w:rPr>
          <w:rFonts w:ascii="Times New Roman" w:hAnsi="Times New Roman" w:cs="Times New Roman"/>
          <w:sz w:val="20"/>
          <w:szCs w:val="20"/>
        </w:rPr>
        <w:t xml:space="preserve"> result</w:t>
      </w:r>
      <w:r>
        <w:rPr>
          <w:rFonts w:ascii="Times New Roman" w:hAnsi="Times New Roman" w:cs="Times New Roman"/>
          <w:sz w:val="20"/>
          <w:szCs w:val="20"/>
        </w:rPr>
        <w:t>s (</w:t>
      </w:r>
      <w:r w:rsidR="00487AFA">
        <w:rPr>
          <w:rFonts w:ascii="Times New Roman" w:hAnsi="Times New Roman" w:cs="Times New Roman"/>
          <w:sz w:val="20"/>
          <w:szCs w:val="20"/>
        </w:rPr>
        <w:t xml:space="preserve">thus </w:t>
      </w:r>
      <w:r>
        <w:rPr>
          <w:rFonts w:ascii="Times New Roman" w:hAnsi="Times New Roman" w:cs="Times New Roman"/>
          <w:sz w:val="20"/>
          <w:szCs w:val="20"/>
        </w:rPr>
        <w:t>the graph shows a sharp increase between 2010 and 2011).</w:t>
      </w:r>
    </w:p>
    <w:p w14:paraId="20F51873" w14:textId="77777777" w:rsidR="00BC165D" w:rsidRDefault="00BC165D" w:rsidP="00245907">
      <w:pPr>
        <w:bidi w:val="0"/>
        <w:spacing w:line="360" w:lineRule="auto"/>
        <w:jc w:val="both"/>
        <w:rPr>
          <w:rFonts w:ascii="Times New Roman" w:hAnsi="Times New Roman" w:cs="Times New Roman"/>
          <w:sz w:val="24"/>
          <w:szCs w:val="24"/>
        </w:rPr>
      </w:pPr>
    </w:p>
    <w:p w14:paraId="75B7B842" w14:textId="50A79CD0"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Incidence of diabetes among</w:t>
      </w:r>
      <w:r w:rsidR="00AB54B9">
        <w:rPr>
          <w:rFonts w:ascii="Times New Roman" w:hAnsi="Times New Roman" w:cs="Times New Roman"/>
          <w:sz w:val="24"/>
          <w:szCs w:val="24"/>
        </w:rPr>
        <w:t xml:space="preserve"> </w:t>
      </w:r>
      <w:r>
        <w:rPr>
          <w:rFonts w:ascii="Times New Roman" w:hAnsi="Times New Roman" w:cs="Times New Roman"/>
          <w:sz w:val="24"/>
          <w:szCs w:val="24"/>
        </w:rPr>
        <w:t>Ethiopian</w:t>
      </w:r>
      <w:r w:rsidR="00AB54B9">
        <w:rPr>
          <w:rFonts w:ascii="Times New Roman" w:hAnsi="Times New Roman" w:cs="Times New Roman"/>
          <w:sz w:val="24"/>
          <w:szCs w:val="24"/>
        </w:rPr>
        <w:t xml:space="preserve"> </w:t>
      </w:r>
      <w:r>
        <w:rPr>
          <w:rFonts w:ascii="Times New Roman" w:hAnsi="Times New Roman" w:cs="Times New Roman"/>
          <w:sz w:val="24"/>
          <w:szCs w:val="24"/>
        </w:rPr>
        <w:t>immigrants: According to findings, the longer</w:t>
      </w:r>
      <w:r w:rsidR="00AB54B9">
        <w:rPr>
          <w:rFonts w:ascii="Times New Roman" w:hAnsi="Times New Roman" w:cs="Times New Roman"/>
          <w:sz w:val="24"/>
          <w:szCs w:val="24"/>
        </w:rPr>
        <w:t xml:space="preserve"> </w:t>
      </w:r>
      <w:r>
        <w:rPr>
          <w:rFonts w:ascii="Times New Roman" w:hAnsi="Times New Roman" w:cs="Times New Roman"/>
          <w:sz w:val="24"/>
          <w:szCs w:val="24"/>
        </w:rPr>
        <w:t>the immigrants have resided in Israel, the higher the incidence of</w:t>
      </w:r>
      <w:r w:rsidR="00AB54B9">
        <w:rPr>
          <w:rFonts w:ascii="Times New Roman" w:hAnsi="Times New Roman" w:cs="Times New Roman"/>
          <w:sz w:val="24"/>
          <w:szCs w:val="24"/>
        </w:rPr>
        <w:t xml:space="preserve"> </w:t>
      </w:r>
      <w:r>
        <w:rPr>
          <w:rFonts w:ascii="Times New Roman" w:hAnsi="Times New Roman" w:cs="Times New Roman"/>
          <w:sz w:val="24"/>
          <w:szCs w:val="24"/>
        </w:rPr>
        <w:t xml:space="preserve">diabetes among them. </w:t>
      </w:r>
      <w:r>
        <w:rPr>
          <w:rFonts w:ascii="Times New Roman" w:hAnsi="Times New Roman" w:cs="Times New Roman"/>
          <w:sz w:val="24"/>
          <w:szCs w:val="24"/>
        </w:rPr>
        <w:lastRenderedPageBreak/>
        <w:t>After 10 years of residence in</w:t>
      </w:r>
      <w:r w:rsidR="00AB54B9">
        <w:rPr>
          <w:rFonts w:ascii="Times New Roman" w:hAnsi="Times New Roman" w:cs="Times New Roman"/>
          <w:sz w:val="24"/>
          <w:szCs w:val="24"/>
        </w:rPr>
        <w:t xml:space="preserve"> </w:t>
      </w:r>
      <w:r>
        <w:rPr>
          <w:rFonts w:ascii="Times New Roman" w:hAnsi="Times New Roman" w:cs="Times New Roman"/>
          <w:sz w:val="24"/>
          <w:szCs w:val="24"/>
        </w:rPr>
        <w:t>Israel, the diabetes rate among</w:t>
      </w:r>
      <w:r w:rsidR="00AB54B9">
        <w:rPr>
          <w:rFonts w:ascii="Times New Roman" w:hAnsi="Times New Roman" w:cs="Times New Roman"/>
          <w:sz w:val="24"/>
          <w:szCs w:val="24"/>
        </w:rPr>
        <w:t xml:space="preserve"> </w:t>
      </w:r>
      <w:r>
        <w:rPr>
          <w:rFonts w:ascii="Times New Roman" w:hAnsi="Times New Roman" w:cs="Times New Roman"/>
          <w:sz w:val="24"/>
          <w:szCs w:val="24"/>
        </w:rPr>
        <w:t>Ethiopian immigrants reaches 17.6%.</w:t>
      </w:r>
    </w:p>
    <w:p w14:paraId="26CE9378" w14:textId="77777777" w:rsidR="00BC165D" w:rsidRDefault="00BC165D" w:rsidP="00245907">
      <w:pPr>
        <w:bidi w:val="0"/>
        <w:spacing w:line="360" w:lineRule="auto"/>
        <w:jc w:val="both"/>
        <w:rPr>
          <w:rFonts w:ascii="Times New Roman" w:hAnsi="Times New Roman" w:cs="Times New Roman"/>
          <w:sz w:val="24"/>
          <w:szCs w:val="24"/>
        </w:rPr>
      </w:pPr>
    </w:p>
    <w:p w14:paraId="5DFC2AC0" w14:textId="4E0931EE" w:rsidR="00BC165D" w:rsidRPr="00BD1380"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Prevalence of diabetes among immigrants from Ethiopia as a function of</w:t>
      </w:r>
      <w:r w:rsidR="00AB54B9">
        <w:rPr>
          <w:rFonts w:ascii="Times New Roman" w:hAnsi="Times New Roman" w:cs="Times New Roman"/>
          <w:b/>
          <w:bCs/>
          <w:sz w:val="24"/>
          <w:szCs w:val="24"/>
        </w:rPr>
        <w:t xml:space="preserve"> </w:t>
      </w:r>
      <w:r>
        <w:rPr>
          <w:rFonts w:ascii="Times New Roman" w:hAnsi="Times New Roman" w:cs="Times New Roman"/>
          <w:b/>
          <w:bCs/>
          <w:sz w:val="24"/>
          <w:szCs w:val="24"/>
        </w:rPr>
        <w:t>duration</w:t>
      </w:r>
      <w:r w:rsidR="00AB54B9">
        <w:rPr>
          <w:rFonts w:ascii="Times New Roman" w:hAnsi="Times New Roman" w:cs="Times New Roman"/>
          <w:b/>
          <w:bCs/>
          <w:sz w:val="24"/>
          <w:szCs w:val="24"/>
        </w:rPr>
        <w:t xml:space="preserve"> </w:t>
      </w:r>
      <w:r>
        <w:rPr>
          <w:rFonts w:ascii="Times New Roman" w:hAnsi="Times New Roman" w:cs="Times New Roman"/>
          <w:b/>
          <w:bCs/>
          <w:sz w:val="24"/>
          <w:szCs w:val="24"/>
        </w:rPr>
        <w:t>of residence in Israel</w:t>
      </w:r>
      <w:r w:rsidR="00671B1D">
        <w:rPr>
          <w:rFonts w:ascii="Times New Roman" w:hAnsi="Times New Roman" w:cs="Times New Roman"/>
          <w:b/>
          <w:bCs/>
          <w:sz w:val="24"/>
          <w:szCs w:val="24"/>
        </w:rPr>
        <w:t xml:space="preserve"> </w:t>
      </w:r>
      <w:r w:rsidR="00671B1D" w:rsidRPr="007B3A58">
        <w:rPr>
          <w:rFonts w:ascii="Times New Roman" w:hAnsi="Times New Roman" w:cs="Times New Roman"/>
          <w:sz w:val="24"/>
          <w:szCs w:val="24"/>
        </w:rPr>
        <w:t>(6)</w:t>
      </w:r>
    </w:p>
    <w:p w14:paraId="7C3ADCE7"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4A085C65" wp14:editId="3DCD5BB8">
            <wp:extent cx="4959350" cy="2112859"/>
            <wp:effectExtent l="0" t="0" r="0" b="190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895" t="48373" r="30411" b="20805"/>
                    <a:stretch/>
                  </pic:blipFill>
                  <pic:spPr bwMode="auto">
                    <a:xfrm>
                      <a:off x="0" y="0"/>
                      <a:ext cx="4991707" cy="2126644"/>
                    </a:xfrm>
                    <a:prstGeom prst="rect">
                      <a:avLst/>
                    </a:prstGeom>
                    <a:ln>
                      <a:noFill/>
                    </a:ln>
                    <a:extLst>
                      <a:ext uri="{53640926-AAD7-44D8-BBD7-CCE9431645EC}">
                        <a14:shadowObscured xmlns:a14="http://schemas.microsoft.com/office/drawing/2010/main"/>
                      </a:ext>
                    </a:extLst>
                  </pic:spPr>
                </pic:pic>
              </a:graphicData>
            </a:graphic>
          </wp:inline>
        </w:drawing>
      </w:r>
    </w:p>
    <w:p w14:paraId="69B5918B" w14:textId="45345859"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diabetes is higher among </w:t>
      </w:r>
      <w:r w:rsidR="00487AFA">
        <w:rPr>
          <w:rFonts w:ascii="Times New Roman" w:hAnsi="Times New Roman" w:cs="Times New Roman"/>
          <w:sz w:val="24"/>
          <w:szCs w:val="24"/>
        </w:rPr>
        <w:t>people with</w:t>
      </w:r>
      <w:r>
        <w:rPr>
          <w:rFonts w:ascii="Times New Roman" w:hAnsi="Times New Roman" w:cs="Times New Roman"/>
          <w:sz w:val="24"/>
          <w:szCs w:val="24"/>
        </w:rPr>
        <w:t xml:space="preserve"> a low socioeconomic status (exempted from HMO deductible payments). The proportion of diabetics </w:t>
      </w:r>
      <w:r w:rsidR="00245907">
        <w:rPr>
          <w:rFonts w:ascii="Times New Roman" w:hAnsi="Times New Roman" w:cs="Times New Roman"/>
          <w:sz w:val="24"/>
          <w:szCs w:val="24"/>
        </w:rPr>
        <w:t xml:space="preserve">exempted from deductible payments </w:t>
      </w:r>
      <w:r>
        <w:rPr>
          <w:rFonts w:ascii="Times New Roman" w:hAnsi="Times New Roman" w:cs="Times New Roman"/>
          <w:sz w:val="24"/>
          <w:szCs w:val="24"/>
        </w:rPr>
        <w:t>is 4.5 times higher than the number of HMO members who are not exempted.</w:t>
      </w:r>
    </w:p>
    <w:p w14:paraId="69259C66" w14:textId="77777777" w:rsidR="00BC165D" w:rsidRDefault="00BC165D" w:rsidP="00245907">
      <w:pPr>
        <w:bidi w:val="0"/>
        <w:spacing w:line="360" w:lineRule="auto"/>
        <w:jc w:val="both"/>
        <w:rPr>
          <w:rFonts w:ascii="Times New Roman" w:hAnsi="Times New Roman" w:cs="Times New Roman"/>
          <w:sz w:val="24"/>
          <w:szCs w:val="24"/>
        </w:rPr>
      </w:pPr>
    </w:p>
    <w:p w14:paraId="3C51723F" w14:textId="0AA02FE1" w:rsidR="00BC165D" w:rsidRPr="00CC55D1" w:rsidRDefault="00245907" w:rsidP="00245907">
      <w:pPr>
        <w:bidi w:val="0"/>
        <w:spacing w:line="360" w:lineRule="auto"/>
        <w:jc w:val="both"/>
        <w:rPr>
          <w:rFonts w:ascii="Times New Roman" w:hAnsi="Times New Roman" w:cs="Times New Roman"/>
          <w:b/>
          <w:bCs/>
          <w:sz w:val="24"/>
          <w:szCs w:val="24"/>
          <w:rtl/>
        </w:rPr>
      </w:pPr>
      <w:r>
        <w:rPr>
          <w:rFonts w:ascii="Times New Roman" w:hAnsi="Times New Roman" w:cs="Times New Roman"/>
          <w:b/>
          <w:bCs/>
          <w:sz w:val="24"/>
          <w:szCs w:val="24"/>
        </w:rPr>
        <w:t>Percentage of HMO members with diabetes</w:t>
      </w:r>
      <w:r w:rsidR="00BC165D">
        <w:rPr>
          <w:rFonts w:ascii="Times New Roman" w:hAnsi="Times New Roman" w:cs="Times New Roman"/>
          <w:b/>
          <w:bCs/>
          <w:sz w:val="24"/>
          <w:szCs w:val="24"/>
        </w:rPr>
        <w:t>, by socioeconomic status</w:t>
      </w:r>
    </w:p>
    <w:p w14:paraId="2E334FEE" w14:textId="77777777" w:rsidR="00BC165D" w:rsidRPr="00A617D1" w:rsidRDefault="00BC165D" w:rsidP="00245907">
      <w:pPr>
        <w:bidi w:val="0"/>
        <w:spacing w:line="360" w:lineRule="auto"/>
        <w:jc w:val="both"/>
        <w:rPr>
          <w:rFonts w:ascii="David" w:hAnsi="David" w:cs="David"/>
          <w:sz w:val="24"/>
          <w:szCs w:val="24"/>
          <w:rtl/>
        </w:rPr>
      </w:pPr>
      <w:r w:rsidRPr="00A617D1">
        <w:rPr>
          <w:rFonts w:ascii="David" w:hAnsi="David" w:cs="David"/>
          <w:noProof/>
          <w:sz w:val="24"/>
          <w:szCs w:val="24"/>
        </w:rPr>
        <w:drawing>
          <wp:inline distT="0" distB="0" distL="0" distR="0" wp14:anchorId="0A447132" wp14:editId="7EB74C59">
            <wp:extent cx="5295515" cy="2711450"/>
            <wp:effectExtent l="0" t="0" r="63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654" t="51419" r="31095" b="14671"/>
                    <a:stretch/>
                  </pic:blipFill>
                  <pic:spPr bwMode="auto">
                    <a:xfrm>
                      <a:off x="0" y="0"/>
                      <a:ext cx="5322715" cy="2725377"/>
                    </a:xfrm>
                    <a:prstGeom prst="rect">
                      <a:avLst/>
                    </a:prstGeom>
                    <a:ln>
                      <a:noFill/>
                    </a:ln>
                    <a:extLst>
                      <a:ext uri="{53640926-AAD7-44D8-BBD7-CCE9431645EC}">
                        <a14:shadowObscured xmlns:a14="http://schemas.microsoft.com/office/drawing/2010/main"/>
                      </a:ext>
                    </a:extLst>
                  </pic:spPr>
                </pic:pic>
              </a:graphicData>
            </a:graphic>
          </wp:inline>
        </w:drawing>
      </w:r>
    </w:p>
    <w:p w14:paraId="2C7085B4" w14:textId="07988B25" w:rsidR="00BC165D" w:rsidRDefault="00BC165D" w:rsidP="00245907">
      <w:pPr>
        <w:bidi w:val="0"/>
        <w:spacing w:line="360" w:lineRule="auto"/>
        <w:jc w:val="both"/>
        <w:rPr>
          <w:rFonts w:ascii="Times New Roman" w:hAnsi="Times New Roman" w:cs="Times New Roman"/>
          <w:sz w:val="24"/>
          <w:szCs w:val="24"/>
        </w:rPr>
      </w:pPr>
      <w:commentRangeStart w:id="13"/>
      <w:r>
        <w:rPr>
          <w:rFonts w:ascii="Times New Roman" w:hAnsi="Times New Roman" w:cs="Times New Roman"/>
          <w:sz w:val="24"/>
          <w:szCs w:val="24"/>
        </w:rPr>
        <w:lastRenderedPageBreak/>
        <w:t xml:space="preserve">Among diabetics, the prevalence of controlled diabetes </w:t>
      </w:r>
      <w:commentRangeEnd w:id="13"/>
      <w:r>
        <w:rPr>
          <w:rStyle w:val="CommentReference"/>
        </w:rPr>
        <w:commentReference w:id="13"/>
      </w:r>
      <w:r>
        <w:rPr>
          <w:rFonts w:ascii="Times New Roman" w:hAnsi="Times New Roman" w:cs="Times New Roman"/>
          <w:sz w:val="24"/>
          <w:szCs w:val="24"/>
        </w:rPr>
        <w:t xml:space="preserve">increases with age. </w:t>
      </w:r>
      <w:commentRangeStart w:id="14"/>
      <w:r>
        <w:rPr>
          <w:rFonts w:ascii="Times New Roman" w:hAnsi="Times New Roman" w:cs="Times New Roman"/>
          <w:sz w:val="24"/>
          <w:szCs w:val="24"/>
        </w:rPr>
        <w:t xml:space="preserve">Controlled diabetes was less frequent </w:t>
      </w:r>
      <w:commentRangeEnd w:id="14"/>
      <w:r>
        <w:rPr>
          <w:rStyle w:val="CommentReference"/>
        </w:rPr>
        <w:commentReference w:id="14"/>
      </w:r>
      <w:r>
        <w:rPr>
          <w:rFonts w:ascii="Times New Roman" w:hAnsi="Times New Roman" w:cs="Times New Roman"/>
          <w:sz w:val="24"/>
          <w:szCs w:val="24"/>
        </w:rPr>
        <w:t>among diabetics aged 18-24 of both sexes (males: 41.6%, females: 48.5%) than diabetics aged 75-84 (males: 85.8%, females: 86.0%).</w:t>
      </w:r>
      <w:r w:rsidR="00671B1D">
        <w:rPr>
          <w:rFonts w:ascii="Times New Roman" w:hAnsi="Times New Roman" w:cs="Times New Roman"/>
          <w:sz w:val="24"/>
          <w:szCs w:val="24"/>
        </w:rPr>
        <w:t>(8)</w:t>
      </w:r>
    </w:p>
    <w:p w14:paraId="05954732" w14:textId="77777777" w:rsidR="00BC165D" w:rsidRDefault="00BC165D" w:rsidP="00245907">
      <w:pPr>
        <w:bidi w:val="0"/>
        <w:spacing w:line="360" w:lineRule="auto"/>
        <w:jc w:val="both"/>
        <w:rPr>
          <w:rFonts w:ascii="Times New Roman" w:hAnsi="Times New Roman" w:cs="Times New Roman"/>
          <w:sz w:val="24"/>
          <w:szCs w:val="24"/>
        </w:rPr>
      </w:pPr>
    </w:p>
    <w:p w14:paraId="4AD8EC9B" w14:textId="3806D224" w:rsidR="00BC165D" w:rsidRPr="00162520" w:rsidRDefault="00BC165D" w:rsidP="00245907">
      <w:pPr>
        <w:bidi w:val="0"/>
        <w:spacing w:line="360" w:lineRule="auto"/>
        <w:jc w:val="both"/>
        <w:rPr>
          <w:rFonts w:ascii="Times New Roman" w:hAnsi="Times New Roman" w:cs="Times New Roman"/>
          <w:b/>
          <w:bCs/>
          <w:sz w:val="24"/>
          <w:szCs w:val="24"/>
        </w:rPr>
      </w:pPr>
      <w:r w:rsidRPr="00162520">
        <w:rPr>
          <w:rFonts w:ascii="Times New Roman" w:hAnsi="Times New Roman" w:cs="Times New Roman"/>
          <w:b/>
          <w:bCs/>
          <w:sz w:val="24"/>
          <w:szCs w:val="24"/>
        </w:rPr>
        <w:t>Diabetics with well-controlled HbAlc levels, by age and gender, 2017</w:t>
      </w:r>
    </w:p>
    <w:p w14:paraId="37603660" w14:textId="55381EFB" w:rsidR="00BC165D" w:rsidRDefault="00BC165D" w:rsidP="00245907">
      <w:pPr>
        <w:bidi w:val="0"/>
        <w:spacing w:line="360" w:lineRule="auto"/>
        <w:jc w:val="both"/>
        <w:rPr>
          <w:rFonts w:ascii="David" w:hAnsi="David" w:cs="David"/>
          <w:sz w:val="24"/>
          <w:szCs w:val="24"/>
          <w:rtl/>
        </w:rPr>
      </w:pPr>
      <w:r>
        <w:rPr>
          <w:noProof/>
        </w:rPr>
        <w:drawing>
          <wp:inline distT="0" distB="0" distL="0" distR="0" wp14:anchorId="6509542E" wp14:editId="00315BD6">
            <wp:extent cx="5251081" cy="2418715"/>
            <wp:effectExtent l="0" t="0" r="6985" b="63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831" t="50311" r="29328" b="19521"/>
                    <a:stretch/>
                  </pic:blipFill>
                  <pic:spPr bwMode="auto">
                    <a:xfrm>
                      <a:off x="0" y="0"/>
                      <a:ext cx="5267866" cy="2426447"/>
                    </a:xfrm>
                    <a:prstGeom prst="rect">
                      <a:avLst/>
                    </a:prstGeom>
                    <a:ln>
                      <a:noFill/>
                    </a:ln>
                    <a:extLst>
                      <a:ext uri="{53640926-AAD7-44D8-BBD7-CCE9431645EC}">
                        <a14:shadowObscured xmlns:a14="http://schemas.microsoft.com/office/drawing/2010/main"/>
                      </a:ext>
                    </a:extLst>
                  </pic:spPr>
                </pic:pic>
              </a:graphicData>
            </a:graphic>
          </wp:inline>
        </w:drawing>
      </w:r>
    </w:p>
    <w:p w14:paraId="78E3CDA2" w14:textId="45858E3B" w:rsidR="00BC165D" w:rsidRDefault="00BC165D" w:rsidP="0024590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w:t>
      </w:r>
      <w:commentRangeStart w:id="15"/>
      <w:r>
        <w:rPr>
          <w:rFonts w:ascii="Times New Roman" w:hAnsi="Times New Roman" w:cs="Times New Roman"/>
          <w:sz w:val="24"/>
          <w:szCs w:val="24"/>
        </w:rPr>
        <w:t xml:space="preserve">controlled diabetes among diabetics </w:t>
      </w:r>
      <w:commentRangeEnd w:id="15"/>
      <w:r>
        <w:rPr>
          <w:rStyle w:val="CommentReference"/>
        </w:rPr>
        <w:commentReference w:id="15"/>
      </w:r>
      <w:r>
        <w:rPr>
          <w:rFonts w:ascii="Times New Roman" w:hAnsi="Times New Roman" w:cs="Times New Roman"/>
          <w:sz w:val="24"/>
          <w:szCs w:val="24"/>
        </w:rPr>
        <w:t xml:space="preserve">of both sexes is lower among </w:t>
      </w:r>
      <w:r w:rsidR="00245907">
        <w:rPr>
          <w:rFonts w:ascii="Times New Roman" w:hAnsi="Times New Roman" w:cs="Times New Roman"/>
          <w:sz w:val="24"/>
          <w:szCs w:val="24"/>
        </w:rPr>
        <w:t>people with a</w:t>
      </w:r>
      <w:r>
        <w:rPr>
          <w:rFonts w:ascii="Times New Roman" w:hAnsi="Times New Roman" w:cs="Times New Roman"/>
          <w:sz w:val="24"/>
          <w:szCs w:val="24"/>
        </w:rPr>
        <w:t xml:space="preserve"> low socioeconomic status than </w:t>
      </w:r>
      <w:r w:rsidR="00245907">
        <w:rPr>
          <w:rFonts w:ascii="Times New Roman" w:hAnsi="Times New Roman" w:cs="Times New Roman"/>
          <w:sz w:val="24"/>
          <w:szCs w:val="24"/>
        </w:rPr>
        <w:t xml:space="preserve">people with a </w:t>
      </w:r>
      <w:r>
        <w:rPr>
          <w:rFonts w:ascii="Times New Roman" w:hAnsi="Times New Roman" w:cs="Times New Roman"/>
          <w:sz w:val="24"/>
          <w:szCs w:val="24"/>
        </w:rPr>
        <w:t>high socioeconomic status. As socioeconomic status increases, so too does the proportion of diabetics with controlled diabetes (for both sexes).</w:t>
      </w:r>
    </w:p>
    <w:p w14:paraId="7735A494" w14:textId="77777777" w:rsidR="00BC165D" w:rsidRDefault="00BC165D" w:rsidP="00740E4B">
      <w:pPr>
        <w:bidi w:val="0"/>
        <w:spacing w:line="360" w:lineRule="auto"/>
        <w:rPr>
          <w:rFonts w:ascii="Times New Roman" w:hAnsi="Times New Roman" w:cs="Times New Roman"/>
          <w:sz w:val="24"/>
          <w:szCs w:val="24"/>
        </w:rPr>
      </w:pPr>
    </w:p>
    <w:p w14:paraId="5FF7C484" w14:textId="5548564A" w:rsidR="00BC165D" w:rsidRPr="00740E4B" w:rsidRDefault="00BC165D" w:rsidP="00245907">
      <w:pPr>
        <w:bidi w:val="0"/>
        <w:spacing w:line="360" w:lineRule="auto"/>
        <w:jc w:val="both"/>
        <w:rPr>
          <w:rFonts w:ascii="Times New Roman" w:hAnsi="Times New Roman" w:cs="Times New Roman"/>
          <w:b/>
          <w:bCs/>
          <w:sz w:val="24"/>
          <w:szCs w:val="24"/>
          <w:rtl/>
        </w:rPr>
      </w:pPr>
      <w:r w:rsidRPr="00162520">
        <w:rPr>
          <w:rFonts w:ascii="Times New Roman" w:hAnsi="Times New Roman" w:cs="Times New Roman"/>
          <w:b/>
          <w:bCs/>
          <w:sz w:val="24"/>
          <w:szCs w:val="24"/>
        </w:rPr>
        <w:t>Diabetics with well-controlled HbAlc levels</w:t>
      </w:r>
      <w:r>
        <w:rPr>
          <w:rFonts w:ascii="Times New Roman" w:hAnsi="Times New Roman" w:cs="Times New Roman"/>
          <w:b/>
          <w:bCs/>
          <w:sz w:val="24"/>
          <w:szCs w:val="24"/>
        </w:rPr>
        <w:t>, by socioeconomic status and gender, 2017</w:t>
      </w:r>
    </w:p>
    <w:p w14:paraId="19565F28" w14:textId="6C4F5D2F" w:rsidR="00BC165D" w:rsidRDefault="00BC165D" w:rsidP="00A617D1">
      <w:pPr>
        <w:spacing w:line="360" w:lineRule="auto"/>
        <w:rPr>
          <w:rFonts w:ascii="David" w:hAnsi="David" w:cs="David"/>
          <w:sz w:val="24"/>
          <w:szCs w:val="24"/>
          <w:rtl/>
        </w:rPr>
      </w:pPr>
      <w:r w:rsidRPr="002339F5">
        <w:rPr>
          <w:noProof/>
        </w:rPr>
        <w:drawing>
          <wp:inline distT="0" distB="0" distL="0" distR="0" wp14:anchorId="3BB6C8BD" wp14:editId="623F766C">
            <wp:extent cx="5295604" cy="2324100"/>
            <wp:effectExtent l="0" t="0" r="63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025" t="41080" r="28726" b="28296"/>
                    <a:stretch/>
                  </pic:blipFill>
                  <pic:spPr bwMode="auto">
                    <a:xfrm>
                      <a:off x="0" y="0"/>
                      <a:ext cx="5313344" cy="2331886"/>
                    </a:xfrm>
                    <a:prstGeom prst="rect">
                      <a:avLst/>
                    </a:prstGeom>
                    <a:ln>
                      <a:noFill/>
                    </a:ln>
                    <a:extLst>
                      <a:ext uri="{53640926-AAD7-44D8-BBD7-CCE9431645EC}">
                        <a14:shadowObscured xmlns:a14="http://schemas.microsoft.com/office/drawing/2010/main"/>
                      </a:ext>
                    </a:extLst>
                  </pic:spPr>
                </pic:pic>
              </a:graphicData>
            </a:graphic>
          </wp:inline>
        </w:drawing>
      </w:r>
    </w:p>
    <w:p w14:paraId="29F4A62C" w14:textId="77777777" w:rsidR="00BC165D" w:rsidRDefault="00BC165D" w:rsidP="00740E4B">
      <w:pPr>
        <w:bidi w:val="0"/>
        <w:spacing w:line="360" w:lineRule="auto"/>
        <w:jc w:val="both"/>
        <w:rPr>
          <w:rFonts w:ascii="Times New Roman" w:hAnsi="Times New Roman" w:cs="Times New Roman"/>
          <w:sz w:val="24"/>
          <w:szCs w:val="24"/>
          <w:u w:val="single"/>
        </w:rPr>
      </w:pPr>
    </w:p>
    <w:p w14:paraId="5C76F1C8" w14:textId="5A267B84" w:rsidR="00BC165D" w:rsidRDefault="00BC165D" w:rsidP="00740E4B">
      <w:pPr>
        <w:bidi w:val="0"/>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Lifestyle risk factors</w:t>
      </w:r>
    </w:p>
    <w:p w14:paraId="115D6C72" w14:textId="4815FDB2" w:rsidR="00BC165D" w:rsidRDefault="00BC165D" w:rsidP="00740E4B">
      <w:pPr>
        <w:bidi w:val="0"/>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Smoking</w:t>
      </w:r>
    </w:p>
    <w:p w14:paraId="0EB27CEB" w14:textId="055006B5" w:rsidR="00BC165D" w:rsidRDefault="00BC165D" w:rsidP="000058CE">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Cigarette smoking is one of the</w:t>
      </w:r>
      <w:r w:rsidR="00CE0826">
        <w:rPr>
          <w:rFonts w:ascii="Times New Roman" w:hAnsi="Times New Roman" w:cs="Times New Roman"/>
          <w:sz w:val="24"/>
          <w:szCs w:val="24"/>
        </w:rPr>
        <w:t xml:space="preserve"> most dangerous behavior patterns</w:t>
      </w:r>
      <w:r w:rsidR="001B4A4E">
        <w:rPr>
          <w:rFonts w:ascii="Times New Roman" w:hAnsi="Times New Roman" w:cs="Times New Roman"/>
          <w:sz w:val="24"/>
          <w:szCs w:val="24"/>
        </w:rPr>
        <w:t xml:space="preserve"> in terms of health</w:t>
      </w:r>
      <w:r w:rsidR="0010109C">
        <w:rPr>
          <w:rFonts w:ascii="Times New Roman" w:hAnsi="Times New Roman" w:cs="Times New Roman"/>
          <w:sz w:val="24"/>
          <w:szCs w:val="24"/>
        </w:rPr>
        <w:t xml:space="preserve">, as it causes </w:t>
      </w:r>
      <w:r w:rsidR="000058CE">
        <w:rPr>
          <w:rFonts w:ascii="Times New Roman" w:hAnsi="Times New Roman" w:cs="Times New Roman"/>
          <w:sz w:val="24"/>
          <w:szCs w:val="24"/>
        </w:rPr>
        <w:t>many types of</w:t>
      </w:r>
      <w:r>
        <w:rPr>
          <w:rFonts w:ascii="Times New Roman" w:hAnsi="Times New Roman" w:cs="Times New Roman"/>
          <w:sz w:val="24"/>
          <w:szCs w:val="24"/>
        </w:rPr>
        <w:t xml:space="preserve"> harm and severe diseases.</w:t>
      </w:r>
    </w:p>
    <w:p w14:paraId="66027874" w14:textId="7C429B44"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Central Bureau of Statistics (CBS), as of 2017, 22.1% of people aged 20 and above reported that they smoke at least one cigarette per day – 29.9% of men and 14.7% of women. The highest rate of smoking was found among Arab men (47.5%). This was about 1.8 times the rate among Jewish men (25.8%). The lowest rate of smoking was found among Arab women (4.8%), which was significantly lower than the rate among Jewish women (16.2%). In both population groups smoking was found to be more prevalent among men than women, with a larger gender discrepancy in the Arab population. The rate of smoking among Jewish men was 1.3 times higher than the figure for Jewish women, whereas the rate of smoking among Arab men was 5.3 times higher than the figure for Arab women.</w:t>
      </w:r>
    </w:p>
    <w:p w14:paraId="1EB3B8C1" w14:textId="77777777" w:rsidR="00BC165D" w:rsidRDefault="00BC165D" w:rsidP="00BA74F3">
      <w:pPr>
        <w:bidi w:val="0"/>
        <w:spacing w:line="360" w:lineRule="auto"/>
        <w:jc w:val="both"/>
        <w:rPr>
          <w:rFonts w:ascii="Times New Roman" w:hAnsi="Times New Roman" w:cs="Times New Roman"/>
          <w:sz w:val="24"/>
          <w:szCs w:val="24"/>
        </w:rPr>
      </w:pPr>
    </w:p>
    <w:p w14:paraId="7747DE3C" w14:textId="499B02B8" w:rsidR="00BC165D" w:rsidRPr="002F09E4" w:rsidRDefault="00BC165D" w:rsidP="00BA74F3">
      <w:pPr>
        <w:bidi w:val="0"/>
        <w:spacing w:line="360" w:lineRule="auto"/>
        <w:jc w:val="both"/>
        <w:rPr>
          <w:rFonts w:ascii="David" w:hAnsi="David" w:cs="David"/>
          <w:b/>
          <w:bCs/>
          <w:sz w:val="24"/>
          <w:szCs w:val="24"/>
          <w:rtl/>
        </w:rPr>
      </w:pPr>
      <w:r w:rsidRPr="002F09E4">
        <w:rPr>
          <w:rFonts w:ascii="Times New Roman" w:hAnsi="Times New Roman" w:cs="Times New Roman"/>
          <w:b/>
          <w:bCs/>
          <w:sz w:val="24"/>
          <w:szCs w:val="24"/>
        </w:rPr>
        <w:t>Rate of smoking among the adult population in Israel, by gender and population group (KAP Survey, 2017)</w:t>
      </w:r>
      <w:r w:rsidRPr="002F09E4">
        <w:rPr>
          <w:rFonts w:ascii="David" w:hAnsi="David" w:cs="David" w:hint="cs"/>
          <w:b/>
          <w:bCs/>
          <w:sz w:val="24"/>
          <w:szCs w:val="24"/>
          <w:rtl/>
        </w:rPr>
        <w:t xml:space="preserve"> </w:t>
      </w:r>
    </w:p>
    <w:p w14:paraId="670AA5F0" w14:textId="6F6B74D3" w:rsidR="00BC165D" w:rsidRDefault="00BC165D" w:rsidP="00BA74F3">
      <w:pPr>
        <w:spacing w:line="360" w:lineRule="auto"/>
        <w:jc w:val="both"/>
        <w:rPr>
          <w:rFonts w:ascii="David" w:hAnsi="David" w:cs="David"/>
          <w:sz w:val="24"/>
          <w:szCs w:val="24"/>
          <w:rtl/>
        </w:rPr>
      </w:pPr>
      <w:r w:rsidRPr="006F78D3">
        <w:rPr>
          <w:noProof/>
        </w:rPr>
        <w:drawing>
          <wp:inline distT="0" distB="0" distL="0" distR="0" wp14:anchorId="086DC21C" wp14:editId="318FEC98">
            <wp:extent cx="4476750" cy="2187343"/>
            <wp:effectExtent l="0" t="0" r="0" b="381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978" t="47167" r="29208" b="17380"/>
                    <a:stretch/>
                  </pic:blipFill>
                  <pic:spPr bwMode="auto">
                    <a:xfrm>
                      <a:off x="0" y="0"/>
                      <a:ext cx="4502541" cy="2199944"/>
                    </a:xfrm>
                    <a:prstGeom prst="rect">
                      <a:avLst/>
                    </a:prstGeom>
                    <a:ln>
                      <a:noFill/>
                    </a:ln>
                    <a:extLst>
                      <a:ext uri="{53640926-AAD7-44D8-BBD7-CCE9431645EC}">
                        <a14:shadowObscured xmlns:a14="http://schemas.microsoft.com/office/drawing/2010/main"/>
                      </a:ext>
                    </a:extLst>
                  </pic:spPr>
                </pic:pic>
              </a:graphicData>
            </a:graphic>
          </wp:inline>
        </w:drawing>
      </w:r>
    </w:p>
    <w:p w14:paraId="2D70FC02" w14:textId="53E5E862"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all population groups the prevalence of smoking was found to be lower among interviewees with a high level of education (17.1%) than those with a low or medium level of education (23.2% and 29.1%, respectively). The highest rates of smoking were reported by interviewees with a medium level of education (29.4% for Jewish men, </w:t>
      </w:r>
      <w:r>
        <w:rPr>
          <w:rFonts w:ascii="Times New Roman" w:hAnsi="Times New Roman" w:cs="Times New Roman"/>
          <w:sz w:val="24"/>
          <w:szCs w:val="24"/>
        </w:rPr>
        <w:lastRenderedPageBreak/>
        <w:t xml:space="preserve">29.0% for Jewish women, and 10.7% for Arab women), with the exception of Arab men, </w:t>
      </w:r>
      <w:r w:rsidR="00BA74F3">
        <w:rPr>
          <w:rFonts w:ascii="Times New Roman" w:hAnsi="Times New Roman" w:cs="Times New Roman"/>
          <w:sz w:val="24"/>
          <w:szCs w:val="24"/>
        </w:rPr>
        <w:t>and</w:t>
      </w:r>
      <w:r>
        <w:rPr>
          <w:rFonts w:ascii="Times New Roman" w:hAnsi="Times New Roman" w:cs="Times New Roman"/>
          <w:sz w:val="24"/>
          <w:szCs w:val="24"/>
        </w:rPr>
        <w:t xml:space="preserve"> the highest prevalence of smoking was found among those with a low level of education. For all levels of education, the rate of smoking was higher among Arab men than </w:t>
      </w:r>
      <w:r w:rsidR="00BA74F3">
        <w:rPr>
          <w:rFonts w:ascii="Times New Roman" w:hAnsi="Times New Roman" w:cs="Times New Roman"/>
          <w:sz w:val="24"/>
          <w:szCs w:val="24"/>
        </w:rPr>
        <w:t>Jewish me</w:t>
      </w:r>
      <w:r>
        <w:rPr>
          <w:rFonts w:ascii="Times New Roman" w:hAnsi="Times New Roman" w:cs="Times New Roman"/>
          <w:sz w:val="24"/>
          <w:szCs w:val="24"/>
        </w:rPr>
        <w:t xml:space="preserve">n, and higher among Jewish women than Arab women. The rate of smoking among Arab men with a high level of education </w:t>
      </w:r>
      <w:r w:rsidR="00BA74F3">
        <w:rPr>
          <w:rFonts w:ascii="Times New Roman" w:hAnsi="Times New Roman" w:cs="Times New Roman"/>
          <w:sz w:val="24"/>
          <w:szCs w:val="24"/>
        </w:rPr>
        <w:t>was</w:t>
      </w:r>
      <w:r>
        <w:rPr>
          <w:rFonts w:ascii="Times New Roman" w:hAnsi="Times New Roman" w:cs="Times New Roman"/>
          <w:sz w:val="24"/>
          <w:szCs w:val="24"/>
        </w:rPr>
        <w:t xml:space="preserve"> greater by a factor of </w:t>
      </w:r>
      <w:r w:rsidR="00BA74F3">
        <w:rPr>
          <w:rFonts w:ascii="Times New Roman" w:hAnsi="Times New Roman" w:cs="Times New Roman"/>
          <w:sz w:val="24"/>
          <w:szCs w:val="24"/>
        </w:rPr>
        <w:t>2 than</w:t>
      </w:r>
      <w:r>
        <w:rPr>
          <w:rFonts w:ascii="Times New Roman" w:hAnsi="Times New Roman" w:cs="Times New Roman"/>
          <w:sz w:val="24"/>
          <w:szCs w:val="24"/>
        </w:rPr>
        <w:t xml:space="preserve"> the rate among Jewish men. The rate of smoking among Arab men with a low level of education was higher by a factor of 1.3 </w:t>
      </w:r>
      <w:r w:rsidR="00BA74F3">
        <w:rPr>
          <w:rFonts w:ascii="Times New Roman" w:hAnsi="Times New Roman" w:cs="Times New Roman"/>
          <w:sz w:val="24"/>
          <w:szCs w:val="24"/>
        </w:rPr>
        <w:t>than</w:t>
      </w:r>
      <w:r>
        <w:rPr>
          <w:rFonts w:ascii="Times New Roman" w:hAnsi="Times New Roman" w:cs="Times New Roman"/>
          <w:sz w:val="24"/>
          <w:szCs w:val="24"/>
        </w:rPr>
        <w:t xml:space="preserve"> the rate among Arab men with a high level of education. The rate of smoking among Arab women with a high level of education was lower by a factor of 2.2 than the rate among Jewish women with a high level of education.</w:t>
      </w:r>
      <w:r w:rsidR="00671B1D">
        <w:rPr>
          <w:rFonts w:ascii="Times New Roman" w:hAnsi="Times New Roman" w:cs="Times New Roman"/>
          <w:sz w:val="24"/>
          <w:szCs w:val="24"/>
        </w:rPr>
        <w:t>(9)</w:t>
      </w:r>
    </w:p>
    <w:p w14:paraId="5028E552" w14:textId="77777777" w:rsidR="00BC165D" w:rsidRDefault="00BC165D" w:rsidP="00BA74F3">
      <w:pPr>
        <w:bidi w:val="0"/>
        <w:spacing w:line="360" w:lineRule="auto"/>
        <w:jc w:val="both"/>
        <w:rPr>
          <w:rFonts w:ascii="Times New Roman" w:hAnsi="Times New Roman" w:cs="Times New Roman"/>
          <w:sz w:val="24"/>
          <w:szCs w:val="24"/>
        </w:rPr>
      </w:pPr>
    </w:p>
    <w:p w14:paraId="2E430C85" w14:textId="34D3705F" w:rsidR="00BC165D" w:rsidRPr="00793577" w:rsidRDefault="00BC165D" w:rsidP="00BA74F3">
      <w:pPr>
        <w:bidi w:val="0"/>
        <w:spacing w:line="360" w:lineRule="auto"/>
        <w:jc w:val="both"/>
        <w:rPr>
          <w:rFonts w:ascii="Times New Roman" w:hAnsi="Times New Roman" w:cs="Times New Roman"/>
          <w:b/>
          <w:bCs/>
          <w:sz w:val="24"/>
          <w:szCs w:val="24"/>
        </w:rPr>
      </w:pPr>
      <w:r w:rsidRPr="00793577">
        <w:rPr>
          <w:rFonts w:ascii="Times New Roman" w:hAnsi="Times New Roman" w:cs="Times New Roman"/>
          <w:b/>
          <w:bCs/>
          <w:sz w:val="24"/>
          <w:szCs w:val="24"/>
        </w:rPr>
        <w:t>Rate of smoking among the adult population in Israel, by level of education and population group (KAP survey, 2017)</w:t>
      </w:r>
    </w:p>
    <w:p w14:paraId="1B398DE5" w14:textId="07092BDC" w:rsidR="00BC165D" w:rsidRDefault="00BC165D" w:rsidP="00BA74F3">
      <w:pPr>
        <w:spacing w:line="360" w:lineRule="auto"/>
        <w:jc w:val="both"/>
        <w:rPr>
          <w:rFonts w:ascii="David" w:hAnsi="David" w:cs="David"/>
          <w:sz w:val="24"/>
          <w:szCs w:val="24"/>
          <w:rtl/>
        </w:rPr>
      </w:pPr>
      <w:r w:rsidRPr="007A7877">
        <w:rPr>
          <w:noProof/>
        </w:rPr>
        <w:drawing>
          <wp:inline distT="0" distB="0" distL="0" distR="0" wp14:anchorId="05E440E3" wp14:editId="6828E8DB">
            <wp:extent cx="5168265" cy="4525715"/>
            <wp:effectExtent l="0" t="0" r="0" b="825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489" t="44574" r="37997" b="20377"/>
                    <a:stretch/>
                  </pic:blipFill>
                  <pic:spPr bwMode="auto">
                    <a:xfrm>
                      <a:off x="0" y="0"/>
                      <a:ext cx="5196348" cy="4550306"/>
                    </a:xfrm>
                    <a:prstGeom prst="rect">
                      <a:avLst/>
                    </a:prstGeom>
                    <a:ln>
                      <a:noFill/>
                    </a:ln>
                    <a:extLst>
                      <a:ext uri="{53640926-AAD7-44D8-BBD7-CCE9431645EC}">
                        <a14:shadowObscured xmlns:a14="http://schemas.microsoft.com/office/drawing/2010/main"/>
                      </a:ext>
                    </a:extLst>
                  </pic:spPr>
                </pic:pic>
              </a:graphicData>
            </a:graphic>
          </wp:inline>
        </w:drawing>
      </w:r>
    </w:p>
    <w:p w14:paraId="2E8AC7DA" w14:textId="0E724E93"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percentage of smokers in Israel is relatively high compared with other OECD member states and 20% higher than the average for all OECD states.</w:t>
      </w:r>
    </w:p>
    <w:p w14:paraId="0AB4E550" w14:textId="77777777" w:rsidR="00BC165D" w:rsidRDefault="00BC165D" w:rsidP="00BA74F3">
      <w:pPr>
        <w:bidi w:val="0"/>
        <w:spacing w:line="360" w:lineRule="auto"/>
        <w:jc w:val="both"/>
        <w:rPr>
          <w:rFonts w:ascii="Times New Roman" w:hAnsi="Times New Roman" w:cs="Times New Roman"/>
          <w:sz w:val="24"/>
          <w:szCs w:val="24"/>
        </w:rPr>
      </w:pPr>
    </w:p>
    <w:p w14:paraId="27566748" w14:textId="139059F4" w:rsidR="00BC165D" w:rsidRPr="00FE1C1A" w:rsidRDefault="00BC165D" w:rsidP="00BA74F3">
      <w:pPr>
        <w:bidi w:val="0"/>
        <w:spacing w:line="360" w:lineRule="auto"/>
        <w:jc w:val="both"/>
        <w:rPr>
          <w:rFonts w:ascii="Times New Roman" w:hAnsi="Times New Roman" w:cs="Times New Roman"/>
          <w:b/>
          <w:bCs/>
          <w:sz w:val="24"/>
          <w:szCs w:val="24"/>
          <w:rtl/>
        </w:rPr>
      </w:pPr>
      <w:r>
        <w:rPr>
          <w:rFonts w:ascii="Times New Roman" w:hAnsi="Times New Roman" w:cs="Times New Roman"/>
          <w:b/>
          <w:bCs/>
          <w:sz w:val="24"/>
          <w:szCs w:val="24"/>
        </w:rPr>
        <w:t>Percentage of smokers aged 15 and above, Israel versus OECD states, 2016</w:t>
      </w:r>
    </w:p>
    <w:p w14:paraId="4A14CDB7" w14:textId="488861C2" w:rsidR="00BC165D" w:rsidRDefault="00BC165D" w:rsidP="00BA74F3">
      <w:pPr>
        <w:spacing w:line="360" w:lineRule="auto"/>
        <w:jc w:val="both"/>
        <w:rPr>
          <w:rFonts w:ascii="David" w:hAnsi="David" w:cs="David"/>
          <w:sz w:val="24"/>
          <w:szCs w:val="24"/>
          <w:rtl/>
        </w:rPr>
      </w:pPr>
      <w:r w:rsidRPr="0037386C">
        <w:rPr>
          <w:noProof/>
        </w:rPr>
        <w:drawing>
          <wp:inline distT="0" distB="0" distL="0" distR="0" wp14:anchorId="331B2C77" wp14:editId="7564EE1F">
            <wp:extent cx="5734050" cy="2517775"/>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523" t="52303" r="26319" b="10102"/>
                    <a:stretch/>
                  </pic:blipFill>
                  <pic:spPr bwMode="auto">
                    <a:xfrm>
                      <a:off x="0" y="0"/>
                      <a:ext cx="5734050" cy="2517775"/>
                    </a:xfrm>
                    <a:prstGeom prst="rect">
                      <a:avLst/>
                    </a:prstGeom>
                    <a:ln>
                      <a:noFill/>
                    </a:ln>
                    <a:extLst>
                      <a:ext uri="{53640926-AAD7-44D8-BBD7-CCE9431645EC}">
                        <a14:shadowObscured xmlns:a14="http://schemas.microsoft.com/office/drawing/2010/main"/>
                      </a:ext>
                    </a:extLst>
                  </pic:spPr>
                </pic:pic>
              </a:graphicData>
            </a:graphic>
          </wp:inline>
        </w:drawing>
      </w:r>
    </w:p>
    <w:p w14:paraId="29BE317A" w14:textId="548DF6DD" w:rsidR="00BC165D" w:rsidRDefault="00BC165D" w:rsidP="00BA74F3">
      <w:pPr>
        <w:bidi w:val="0"/>
        <w:spacing w:line="360" w:lineRule="auto"/>
        <w:jc w:val="both"/>
        <w:rPr>
          <w:rFonts w:ascii="Times New Roman" w:hAnsi="Times New Roman" w:cs="Times New Roman"/>
          <w:sz w:val="24"/>
          <w:szCs w:val="24"/>
        </w:rPr>
      </w:pPr>
    </w:p>
    <w:p w14:paraId="59DE1229" w14:textId="376B971F"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Obesity</w:t>
      </w:r>
    </w:p>
    <w:p w14:paraId="35914D24" w14:textId="2D43BE21"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Obesity is a major public health problem because of its short-term as well as long-term effects. The extent of obesity among the population has increased over time, and there is much evidence linking it to a large number of chronic diseases. It also reduces the lifespan and undermines quality of life. In developed countries obesity is recognized as the second most important cause (after smoking) of preventable death. Obesity also constitutes an economic burden. In a number of developed countries the economic costs of obesity range between 2% and 7% of healthcare expenditures. The expenditure for an obese adult </w:t>
      </w:r>
      <w:r w:rsidR="00BA74F3">
        <w:rPr>
          <w:rFonts w:ascii="Times New Roman" w:hAnsi="Times New Roman" w:cs="Times New Roman"/>
          <w:sz w:val="24"/>
          <w:szCs w:val="24"/>
        </w:rPr>
        <w:t>is</w:t>
      </w:r>
      <w:r>
        <w:rPr>
          <w:rFonts w:ascii="Times New Roman" w:hAnsi="Times New Roman" w:cs="Times New Roman"/>
          <w:sz w:val="24"/>
          <w:szCs w:val="24"/>
        </w:rPr>
        <w:t xml:space="preserve"> significantly higher than the expenditure for an adult of normal weight.</w:t>
      </w:r>
      <w:r w:rsidR="00671B1D">
        <w:rPr>
          <w:rFonts w:ascii="Times New Roman" w:hAnsi="Times New Roman" w:cs="Times New Roman"/>
          <w:sz w:val="24"/>
          <w:szCs w:val="24"/>
        </w:rPr>
        <w:t>(10)</w:t>
      </w:r>
    </w:p>
    <w:p w14:paraId="446CFD87" w14:textId="5FC37728" w:rsidR="00BC165D" w:rsidRDefault="00BC165D" w:rsidP="00BA74F3">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 Israel, as of 2017, about half of those age</w:t>
      </w:r>
      <w:r w:rsidR="00BA74F3">
        <w:rPr>
          <w:rFonts w:ascii="Times New Roman" w:hAnsi="Times New Roman" w:cs="Times New Roman"/>
          <w:sz w:val="24"/>
          <w:szCs w:val="24"/>
        </w:rPr>
        <w:t>d</w:t>
      </w:r>
      <w:r>
        <w:rPr>
          <w:rFonts w:ascii="Times New Roman" w:hAnsi="Times New Roman" w:cs="Times New Roman"/>
          <w:sz w:val="24"/>
          <w:szCs w:val="24"/>
        </w:rPr>
        <w:t xml:space="preserve"> 20 and above (48%) are overweight, obese, or morbidly obese: 55% of men compared with 41% of women, 46% of Jews compared with 54% of Arabs, 37% of the 20-44 age group, and 60% of those aged 45 and above. For all age groups the prevalence of overweight is higher among men than women (39% compared with 26%, respectively).</w:t>
      </w:r>
      <w:r w:rsidR="00671B1D">
        <w:rPr>
          <w:rFonts w:ascii="Times New Roman" w:hAnsi="Times New Roman" w:cs="Times New Roman"/>
          <w:sz w:val="24"/>
          <w:szCs w:val="24"/>
        </w:rPr>
        <w:t>(11)</w:t>
      </w:r>
    </w:p>
    <w:p w14:paraId="3C1E559E" w14:textId="77777777" w:rsidR="00BC165D" w:rsidRDefault="00BC165D" w:rsidP="00B20592">
      <w:pPr>
        <w:bidi w:val="0"/>
        <w:spacing w:line="360" w:lineRule="auto"/>
        <w:rPr>
          <w:rFonts w:ascii="Times New Roman" w:hAnsi="Times New Roman" w:cs="Times New Roman"/>
          <w:sz w:val="24"/>
          <w:szCs w:val="24"/>
        </w:rPr>
      </w:pPr>
    </w:p>
    <w:p w14:paraId="05C1D033" w14:textId="10C6A268" w:rsidR="00BC165D" w:rsidRPr="00B20592" w:rsidRDefault="00BC165D" w:rsidP="00BA74F3">
      <w:pPr>
        <w:bidi w:val="0"/>
        <w:spacing w:line="360" w:lineRule="auto"/>
        <w:jc w:val="both"/>
        <w:rPr>
          <w:rFonts w:ascii="Times New Roman" w:hAnsi="Times New Roman" w:cs="Times New Roman"/>
          <w:b/>
          <w:bCs/>
          <w:sz w:val="24"/>
          <w:szCs w:val="24"/>
          <w:rtl/>
        </w:rPr>
      </w:pPr>
      <w:r>
        <w:rPr>
          <w:rFonts w:ascii="Times New Roman" w:hAnsi="Times New Roman" w:cs="Times New Roman"/>
          <w:b/>
          <w:bCs/>
          <w:sz w:val="24"/>
          <w:szCs w:val="24"/>
        </w:rPr>
        <w:lastRenderedPageBreak/>
        <w:t>Population aged 20 and above, by body mass index (BMI) and gender, percentage, 2017</w:t>
      </w:r>
    </w:p>
    <w:p w14:paraId="46F4A33E" w14:textId="48E54FE8" w:rsidR="00BC165D" w:rsidRDefault="00BC165D" w:rsidP="00A617D1">
      <w:pPr>
        <w:spacing w:line="360" w:lineRule="auto"/>
        <w:rPr>
          <w:rFonts w:ascii="David" w:hAnsi="David" w:cs="David"/>
          <w:sz w:val="24"/>
          <w:szCs w:val="24"/>
          <w:rtl/>
        </w:rPr>
      </w:pPr>
      <w:r w:rsidRPr="00B23E5F">
        <w:rPr>
          <w:noProof/>
        </w:rPr>
        <w:drawing>
          <wp:inline distT="0" distB="0" distL="0" distR="0" wp14:anchorId="20375BEA" wp14:editId="7FBC4EA0">
            <wp:extent cx="5257466" cy="2717800"/>
            <wp:effectExtent l="0" t="0" r="635" b="635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005" t="48635" r="25837" b="7106"/>
                    <a:stretch/>
                  </pic:blipFill>
                  <pic:spPr bwMode="auto">
                    <a:xfrm>
                      <a:off x="0" y="0"/>
                      <a:ext cx="5275291" cy="2727015"/>
                    </a:xfrm>
                    <a:prstGeom prst="rect">
                      <a:avLst/>
                    </a:prstGeom>
                    <a:ln>
                      <a:noFill/>
                    </a:ln>
                    <a:extLst>
                      <a:ext uri="{53640926-AAD7-44D8-BBD7-CCE9431645EC}">
                        <a14:shadowObscured xmlns:a14="http://schemas.microsoft.com/office/drawing/2010/main"/>
                      </a:ext>
                    </a:extLst>
                  </pic:spPr>
                </pic:pic>
              </a:graphicData>
            </a:graphic>
          </wp:inline>
        </w:drawing>
      </w:r>
    </w:p>
    <w:p w14:paraId="2BFD0194" w14:textId="18A15611" w:rsidR="00BC165D" w:rsidRDefault="00BC165D" w:rsidP="008F25FB">
      <w:pPr>
        <w:bidi w:val="0"/>
        <w:spacing w:line="360" w:lineRule="auto"/>
        <w:rPr>
          <w:rFonts w:ascii="Times New Roman" w:hAnsi="Times New Roman" w:cs="Times New Roman"/>
          <w:sz w:val="24"/>
          <w:szCs w:val="24"/>
        </w:rPr>
      </w:pPr>
    </w:p>
    <w:p w14:paraId="4742BB35" w14:textId="6935310E" w:rsidR="00BC165D" w:rsidRPr="008F25FB" w:rsidRDefault="00BC165D" w:rsidP="00F95DC4">
      <w:pPr>
        <w:bidi w:val="0"/>
        <w:spacing w:line="360" w:lineRule="auto"/>
        <w:rPr>
          <w:rFonts w:ascii="Times New Roman" w:hAnsi="Times New Roman" w:cs="Times New Roman"/>
          <w:sz w:val="24"/>
          <w:szCs w:val="24"/>
          <w:rtl/>
        </w:rPr>
      </w:pPr>
      <w:r>
        <w:rPr>
          <w:rFonts w:ascii="Times New Roman" w:hAnsi="Times New Roman" w:cs="Times New Roman"/>
          <w:b/>
          <w:bCs/>
          <w:sz w:val="24"/>
          <w:szCs w:val="24"/>
        </w:rPr>
        <w:t xml:space="preserve"> Rates of obesity and morbid obesity among diabetics in Israel</w:t>
      </w:r>
      <w:r w:rsidR="00671B1D">
        <w:rPr>
          <w:rFonts w:ascii="Times New Roman" w:hAnsi="Times New Roman" w:cs="Times New Roman"/>
          <w:b/>
          <w:bCs/>
          <w:sz w:val="24"/>
          <w:szCs w:val="24"/>
        </w:rPr>
        <w:t xml:space="preserve"> </w:t>
      </w:r>
      <w:r w:rsidR="00671B1D" w:rsidRPr="00F95DC4">
        <w:rPr>
          <w:rFonts w:ascii="Times New Roman" w:hAnsi="Times New Roman" w:cs="Times New Roman"/>
          <w:sz w:val="24"/>
          <w:szCs w:val="24"/>
        </w:rPr>
        <w:t>(</w:t>
      </w:r>
      <w:r w:rsidR="00FB6160" w:rsidRPr="00F95DC4">
        <w:rPr>
          <w:rFonts w:ascii="Times New Roman" w:hAnsi="Times New Roman" w:cs="Times New Roman"/>
          <w:sz w:val="24"/>
          <w:szCs w:val="24"/>
        </w:rPr>
        <w:t>7)</w:t>
      </w:r>
    </w:p>
    <w:p w14:paraId="765AA561" w14:textId="77777777" w:rsidR="00BC165D" w:rsidRDefault="00BC165D" w:rsidP="00206DAE">
      <w:pPr>
        <w:spacing w:line="360" w:lineRule="auto"/>
        <w:jc w:val="both"/>
        <w:rPr>
          <w:rFonts w:ascii="David" w:hAnsi="David" w:cs="David"/>
          <w:sz w:val="24"/>
          <w:szCs w:val="24"/>
          <w:rtl/>
        </w:rPr>
      </w:pPr>
      <w:r>
        <w:rPr>
          <w:noProof/>
        </w:rPr>
        <w:drawing>
          <wp:inline distT="0" distB="0" distL="0" distR="0" wp14:anchorId="7E00F7C3" wp14:editId="062DFADD">
            <wp:extent cx="5274310" cy="3008630"/>
            <wp:effectExtent l="19050" t="19050" r="21590" b="203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008630"/>
                    </a:xfrm>
                    <a:prstGeom prst="rect">
                      <a:avLst/>
                    </a:prstGeom>
                    <a:noFill/>
                    <a:ln>
                      <a:solidFill>
                        <a:sysClr val="windowText" lastClr="000000"/>
                      </a:solidFill>
                    </a:ln>
                  </pic:spPr>
                </pic:pic>
              </a:graphicData>
            </a:graphic>
          </wp:inline>
        </w:drawing>
      </w:r>
    </w:p>
    <w:p w14:paraId="55DBE410" w14:textId="2404906A" w:rsidR="00BC165D" w:rsidRDefault="00BC165D" w:rsidP="004604EB">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above graph indicates that among diabetics, the lower their socioeconomic status, the higher their rates of obesity and morbid obesity. These discrepancies exist for both sexes but appear to be especially significant among women.</w:t>
      </w:r>
    </w:p>
    <w:p w14:paraId="68BF2FD7" w14:textId="77777777" w:rsidR="00BA74F3" w:rsidRDefault="00BA74F3" w:rsidP="00BA74F3">
      <w:pPr>
        <w:bidi w:val="0"/>
        <w:spacing w:line="360" w:lineRule="auto"/>
        <w:jc w:val="both"/>
        <w:rPr>
          <w:rFonts w:ascii="Times New Roman" w:hAnsi="Times New Roman" w:cs="Times New Roman"/>
          <w:sz w:val="24"/>
          <w:szCs w:val="24"/>
        </w:rPr>
      </w:pPr>
    </w:p>
    <w:p w14:paraId="5E2506A7" w14:textId="7D3F31ED" w:rsidR="00BC165D" w:rsidRDefault="00BC165D" w:rsidP="004604EB">
      <w:pPr>
        <w:bidi w:val="0"/>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Socio-demographic trends and their impact on the healthcare system</w:t>
      </w:r>
    </w:p>
    <w:p w14:paraId="7C6B4250" w14:textId="5FD938D6" w:rsidR="00BC165D" w:rsidRDefault="00BC165D" w:rsidP="002D73A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 2016 the worldwide elderly population (aged 65 and above) reached 626 million, accounting for 9% of the global population. By 2030 the number of elderly worldwide is expected to reach 997 million and account for 12% of the global population. A majority of the worldwide elderly population (56%) resides in Asia. The continent with the highest percentage of elderly is Europe (about 18% of the total population), where they will constitute about 23% of the population in 2030.</w:t>
      </w:r>
    </w:p>
    <w:p w14:paraId="2B6648D4" w14:textId="29E43603" w:rsidR="00BC165D" w:rsidRDefault="00BC165D" w:rsidP="0033209E">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Israel has a relatively young population compared with most OECD states. In 2016 the population aged 65 and above accounted for about 11% of Israel’s total population, compared with an OECD average of 17%. In fact, only three states (Chile, Turkey, and Mexico) have a lower percentage of elderly.</w:t>
      </w:r>
      <w:r w:rsidR="00FB6160">
        <w:rPr>
          <w:rFonts w:ascii="Times New Roman" w:hAnsi="Times New Roman" w:cs="Times New Roman"/>
          <w:sz w:val="24"/>
          <w:szCs w:val="24"/>
        </w:rPr>
        <w:t>(12)</w:t>
      </w:r>
      <w:r>
        <w:rPr>
          <w:rFonts w:ascii="Times New Roman" w:hAnsi="Times New Roman" w:cs="Times New Roman"/>
          <w:sz w:val="24"/>
          <w:szCs w:val="24"/>
        </w:rPr>
        <w:t xml:space="preserve"> According to CBS projections, however, even though the average age in Israel is significantly lower than the average for OECD states, the number of elderly is expected to increase considerably, reaching 1.66 million in 2035. This means that the elderly population will increase by 77% during 2015-2035, and its rate of growth will be 2.2 times greater than that of the general population for this period. The percentage of Arabs within the elderly population is expected to increase from 8% in 2015 to 14% in 2035. This data has dramatic implications for</w:t>
      </w:r>
      <w:r w:rsidR="004B1927">
        <w:rPr>
          <w:rFonts w:ascii="Times New Roman" w:hAnsi="Times New Roman" w:cs="Times New Roman"/>
          <w:sz w:val="24"/>
          <w:szCs w:val="24"/>
        </w:rPr>
        <w:t xml:space="preserve"> the</w:t>
      </w:r>
      <w:r>
        <w:rPr>
          <w:rFonts w:ascii="Times New Roman" w:hAnsi="Times New Roman" w:cs="Times New Roman"/>
          <w:sz w:val="24"/>
          <w:szCs w:val="24"/>
        </w:rPr>
        <w:t xml:space="preserve"> healthcare system: an increase in the prevalence of chronic diseases (such as diabetes, heart diseases, and the like), </w:t>
      </w:r>
      <w:r w:rsidR="0033209E">
        <w:rPr>
          <w:rFonts w:ascii="Times New Roman" w:hAnsi="Times New Roman" w:cs="Times New Roman"/>
          <w:sz w:val="24"/>
          <w:szCs w:val="24"/>
        </w:rPr>
        <w:t xml:space="preserve">and </w:t>
      </w:r>
      <w:r>
        <w:rPr>
          <w:rFonts w:ascii="Times New Roman" w:hAnsi="Times New Roman" w:cs="Times New Roman"/>
          <w:sz w:val="24"/>
          <w:szCs w:val="24"/>
        </w:rPr>
        <w:t>a higher number of chronic diseases per person and over the course more years</w:t>
      </w:r>
      <w:r w:rsidR="0033209E">
        <w:rPr>
          <w:rFonts w:ascii="Times New Roman" w:hAnsi="Times New Roman" w:cs="Times New Roman"/>
          <w:sz w:val="24"/>
          <w:szCs w:val="24"/>
        </w:rPr>
        <w:t xml:space="preserve">, thus placing </w:t>
      </w:r>
      <w:r>
        <w:rPr>
          <w:rFonts w:ascii="Times New Roman" w:hAnsi="Times New Roman" w:cs="Times New Roman"/>
          <w:sz w:val="24"/>
          <w:szCs w:val="24"/>
        </w:rPr>
        <w:t xml:space="preserve">a </w:t>
      </w:r>
      <w:r w:rsidR="004B1927">
        <w:rPr>
          <w:rFonts w:ascii="Times New Roman" w:hAnsi="Times New Roman" w:cs="Times New Roman"/>
          <w:sz w:val="24"/>
          <w:szCs w:val="24"/>
        </w:rPr>
        <w:t>heavier</w:t>
      </w:r>
      <w:r>
        <w:rPr>
          <w:rFonts w:ascii="Times New Roman" w:hAnsi="Times New Roman" w:cs="Times New Roman"/>
          <w:sz w:val="24"/>
          <w:szCs w:val="24"/>
        </w:rPr>
        <w:t xml:space="preserve"> burden </w:t>
      </w:r>
      <w:r w:rsidR="0033209E">
        <w:rPr>
          <w:rFonts w:ascii="Times New Roman" w:hAnsi="Times New Roman" w:cs="Times New Roman"/>
          <w:sz w:val="24"/>
          <w:szCs w:val="24"/>
        </w:rPr>
        <w:t>on</w:t>
      </w:r>
      <w:r>
        <w:rPr>
          <w:rFonts w:ascii="Times New Roman" w:hAnsi="Times New Roman" w:cs="Times New Roman"/>
          <w:sz w:val="24"/>
          <w:szCs w:val="24"/>
        </w:rPr>
        <w:t xml:space="preserve"> Israel’s healthcare system.</w:t>
      </w:r>
    </w:p>
    <w:p w14:paraId="4C8601E0" w14:textId="77777777" w:rsidR="00BC165D" w:rsidRDefault="00BC165D" w:rsidP="00A1798A">
      <w:pPr>
        <w:bidi w:val="0"/>
        <w:spacing w:line="360" w:lineRule="auto"/>
        <w:jc w:val="both"/>
        <w:rPr>
          <w:rFonts w:ascii="Times New Roman" w:hAnsi="Times New Roman" w:cs="Times New Roman"/>
          <w:sz w:val="24"/>
          <w:szCs w:val="24"/>
        </w:rPr>
      </w:pPr>
    </w:p>
    <w:p w14:paraId="4C02D793" w14:textId="03CDE916" w:rsidR="00BC165D" w:rsidRPr="00723F43" w:rsidRDefault="00BC165D" w:rsidP="00723F43">
      <w:pPr>
        <w:bidi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Projected growth of the elderly population, 2015-2045 (as a percentage of the total population)</w:t>
      </w:r>
    </w:p>
    <w:p w14:paraId="70241B67" w14:textId="77777777" w:rsidR="00BC165D" w:rsidRPr="00A617D1" w:rsidRDefault="00BC165D" w:rsidP="00060C86">
      <w:pPr>
        <w:spacing w:line="360" w:lineRule="auto"/>
        <w:rPr>
          <w:rFonts w:ascii="David" w:hAnsi="David" w:cs="David"/>
          <w:sz w:val="24"/>
          <w:szCs w:val="24"/>
          <w:rtl/>
        </w:rPr>
      </w:pPr>
      <w:r w:rsidRPr="00A617D1">
        <w:rPr>
          <w:rFonts w:ascii="David" w:hAnsi="David" w:cs="David"/>
          <w:noProof/>
          <w:sz w:val="24"/>
          <w:szCs w:val="24"/>
        </w:rPr>
        <w:lastRenderedPageBreak/>
        <w:drawing>
          <wp:inline distT="0" distB="0" distL="0" distR="0" wp14:anchorId="25968AF3" wp14:editId="1B5D5A95">
            <wp:extent cx="5103531" cy="2269490"/>
            <wp:effectExtent l="19050" t="19050" r="20955" b="165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106" t="41452" r="25114" b="15240"/>
                    <a:stretch/>
                  </pic:blipFill>
                  <pic:spPr bwMode="auto">
                    <a:xfrm>
                      <a:off x="0" y="0"/>
                      <a:ext cx="5150782" cy="229050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D73A97E" w14:textId="23E9EE3C" w:rsidR="00BC165D" w:rsidRDefault="00BC165D" w:rsidP="008F2155">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Israel’s elderly population increased rapidly </w:t>
      </w:r>
      <w:r w:rsidR="008F2155">
        <w:rPr>
          <w:rFonts w:ascii="Times New Roman" w:hAnsi="Times New Roman" w:cs="Times New Roman"/>
          <w:sz w:val="24"/>
          <w:szCs w:val="24"/>
        </w:rPr>
        <w:t>as the</w:t>
      </w:r>
      <w:r>
        <w:rPr>
          <w:rFonts w:ascii="Times New Roman" w:hAnsi="Times New Roman" w:cs="Times New Roman"/>
          <w:sz w:val="24"/>
          <w:szCs w:val="24"/>
        </w:rPr>
        <w:t xml:space="preserve"> large numbers of children born after World War II</w:t>
      </w:r>
      <w:r w:rsidR="008F2155">
        <w:rPr>
          <w:rFonts w:ascii="Times New Roman" w:hAnsi="Times New Roman" w:cs="Times New Roman"/>
          <w:sz w:val="24"/>
          <w:szCs w:val="24"/>
        </w:rPr>
        <w:t xml:space="preserve"> aged and the life expectancy increased significantly</w:t>
      </w:r>
      <w:r>
        <w:rPr>
          <w:rFonts w:ascii="Times New Roman" w:hAnsi="Times New Roman" w:cs="Times New Roman"/>
          <w:sz w:val="24"/>
          <w:szCs w:val="24"/>
        </w:rPr>
        <w:t>. An additional and unique characteristic that contributes to the aging of Israel’s population is the wave of immigration from the former Soviet Union during the 1990s. The population experienced a sharp increase within a brief period, and immigrants from the former Soviet Union, as a group, were heavily weighted towards older people rather than children and infants. According to current CBS projections, the percentage of elderly is expected to rise gradually from about 11% in 2015 to about 15% in 2045. The percentage of very elderly (ages 80+), which tends to be highly dependent on long-term care, is expected to remain at about 3% until the middle of the next decade, after which it will sharply rise to 4.8% in 2045.</w:t>
      </w:r>
      <w:r w:rsidR="00FB6160">
        <w:rPr>
          <w:rFonts w:ascii="Times New Roman" w:hAnsi="Times New Roman" w:cs="Times New Roman"/>
          <w:sz w:val="24"/>
          <w:szCs w:val="24"/>
        </w:rPr>
        <w:t>(13)</w:t>
      </w:r>
    </w:p>
    <w:p w14:paraId="264095C5" w14:textId="5E239EFD" w:rsidR="00BC165D" w:rsidRDefault="00BC165D" w:rsidP="008F2155">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Matters of health have a strong impact on the life and welfare of the elderly. Deteriorating health, and especially the emergence of disabilities, greatly undermines their quality of life. It is therefore important, concurrent with the significant increase in life expectancy, to identify and underscore ways of improving life for the elderly, ensuring </w:t>
      </w:r>
      <w:r w:rsidR="008F2155">
        <w:rPr>
          <w:rFonts w:ascii="Times New Roman" w:hAnsi="Times New Roman" w:cs="Times New Roman"/>
          <w:sz w:val="24"/>
          <w:szCs w:val="24"/>
        </w:rPr>
        <w:t>not only their longevity but also their</w:t>
      </w:r>
      <w:r>
        <w:rPr>
          <w:rFonts w:ascii="Times New Roman" w:hAnsi="Times New Roman" w:cs="Times New Roman"/>
          <w:sz w:val="24"/>
          <w:szCs w:val="24"/>
        </w:rPr>
        <w:t xml:space="preserve"> quality of life.</w:t>
      </w:r>
      <w:r w:rsidR="00FB6160">
        <w:rPr>
          <w:rFonts w:ascii="Times New Roman" w:hAnsi="Times New Roman" w:cs="Times New Roman"/>
          <w:sz w:val="24"/>
          <w:szCs w:val="24"/>
        </w:rPr>
        <w:t>(14)</w:t>
      </w:r>
    </w:p>
    <w:p w14:paraId="4808C97E" w14:textId="77777777" w:rsidR="00BC165D" w:rsidRDefault="00BC165D" w:rsidP="006C53A1">
      <w:pPr>
        <w:bidi w:val="0"/>
        <w:spacing w:line="360" w:lineRule="auto"/>
        <w:jc w:val="both"/>
        <w:rPr>
          <w:rFonts w:ascii="Times New Roman" w:hAnsi="Times New Roman" w:cs="Times New Roman"/>
          <w:sz w:val="24"/>
          <w:szCs w:val="24"/>
        </w:rPr>
      </w:pPr>
    </w:p>
    <w:p w14:paraId="1426BD78" w14:textId="5A27063A" w:rsidR="00BC165D" w:rsidRDefault="00BC165D" w:rsidP="006C53A1">
      <w:pPr>
        <w:bidi w:val="0"/>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Conclusion </w:t>
      </w:r>
    </w:p>
    <w:p w14:paraId="730B51BC" w14:textId="63E2C993" w:rsidR="00BC165D" w:rsidRDefault="00BC165D" w:rsidP="006C53A1">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In the coming years the healthcare system will face a variety of challenges stemming primarily from the aging of the population and increased morbidity (from chronic diseases). This will increase the already existing burden on the healthcare system in terms of both community healthcare and hospitalization.</w:t>
      </w:r>
    </w:p>
    <w:p w14:paraId="0E5BED83" w14:textId="20CD8C65" w:rsidR="00BC165D" w:rsidRDefault="00AA79E9" w:rsidP="00AA79E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chronically ill person</w:t>
      </w:r>
      <w:r w:rsidR="00BC165D">
        <w:rPr>
          <w:rFonts w:ascii="Times New Roman" w:hAnsi="Times New Roman" w:cs="Times New Roman"/>
          <w:sz w:val="24"/>
          <w:szCs w:val="24"/>
        </w:rPr>
        <w:t xml:space="preserve"> consume</w:t>
      </w:r>
      <w:r>
        <w:rPr>
          <w:rFonts w:ascii="Times New Roman" w:hAnsi="Times New Roman" w:cs="Times New Roman"/>
          <w:sz w:val="24"/>
          <w:szCs w:val="24"/>
        </w:rPr>
        <w:t>s</w:t>
      </w:r>
      <w:r w:rsidR="00BC165D">
        <w:rPr>
          <w:rFonts w:ascii="Times New Roman" w:hAnsi="Times New Roman" w:cs="Times New Roman"/>
          <w:sz w:val="24"/>
          <w:szCs w:val="24"/>
        </w:rPr>
        <w:t xml:space="preserve"> health services – at the community and hospital levels – on a scale that is several times higher than the average per person, and</w:t>
      </w:r>
      <w:r>
        <w:rPr>
          <w:rFonts w:ascii="Times New Roman" w:hAnsi="Times New Roman" w:cs="Times New Roman"/>
          <w:sz w:val="24"/>
          <w:szCs w:val="24"/>
        </w:rPr>
        <w:t xml:space="preserve"> this</w:t>
      </w:r>
      <w:r w:rsidR="00BC165D">
        <w:rPr>
          <w:rFonts w:ascii="Times New Roman" w:hAnsi="Times New Roman" w:cs="Times New Roman"/>
          <w:sz w:val="24"/>
          <w:szCs w:val="24"/>
        </w:rPr>
        <w:t xml:space="preserve"> is further multiplied in cases of chronic morbidity involving several diseases simultaneously. Moreover, chronic morbidity </w:t>
      </w:r>
      <w:r>
        <w:rPr>
          <w:rFonts w:ascii="Times New Roman" w:hAnsi="Times New Roman" w:cs="Times New Roman"/>
          <w:sz w:val="24"/>
          <w:szCs w:val="24"/>
        </w:rPr>
        <w:t>affects not only</w:t>
      </w:r>
      <w:r w:rsidR="00BC165D">
        <w:rPr>
          <w:rFonts w:ascii="Times New Roman" w:hAnsi="Times New Roman" w:cs="Times New Roman"/>
          <w:sz w:val="24"/>
          <w:szCs w:val="24"/>
        </w:rPr>
        <w:t xml:space="preserve"> the elderly. We are already seeing significant percentages of children who suffer from respiratory diseases such as asthma.</w:t>
      </w:r>
    </w:p>
    <w:p w14:paraId="21E2FC0E" w14:textId="4CC06D8F" w:rsidR="00BC165D" w:rsidRDefault="00FD4CD9" w:rsidP="00FD4CD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Furthermore</w:t>
      </w:r>
      <w:r w:rsidR="00BC165D">
        <w:rPr>
          <w:rFonts w:ascii="Times New Roman" w:hAnsi="Times New Roman" w:cs="Times New Roman"/>
          <w:sz w:val="24"/>
          <w:szCs w:val="24"/>
        </w:rPr>
        <w:t xml:space="preserve">, </w:t>
      </w:r>
      <w:r>
        <w:rPr>
          <w:rFonts w:ascii="Times New Roman" w:hAnsi="Times New Roman" w:cs="Times New Roman"/>
          <w:sz w:val="24"/>
          <w:szCs w:val="24"/>
        </w:rPr>
        <w:t>differences were found in the nature of</w:t>
      </w:r>
      <w:r w:rsidR="00BC165D">
        <w:rPr>
          <w:rFonts w:ascii="Times New Roman" w:hAnsi="Times New Roman" w:cs="Times New Roman"/>
          <w:sz w:val="24"/>
          <w:szCs w:val="24"/>
        </w:rPr>
        <w:t xml:space="preserve"> morbidity – and the outcomes of medical treatment – among population groups that vary by ethnic background and socioeconomic status. For example, the percentage of diabetics with well-controlled diabetes is higher among population groups with a high socioeconomic status than among diabetics </w:t>
      </w:r>
      <w:r>
        <w:rPr>
          <w:rFonts w:ascii="Times New Roman" w:hAnsi="Times New Roman" w:cs="Times New Roman"/>
          <w:sz w:val="24"/>
          <w:szCs w:val="24"/>
        </w:rPr>
        <w:t>with</w:t>
      </w:r>
      <w:r w:rsidR="00BC165D">
        <w:rPr>
          <w:rFonts w:ascii="Times New Roman" w:hAnsi="Times New Roman" w:cs="Times New Roman"/>
          <w:sz w:val="24"/>
          <w:szCs w:val="24"/>
        </w:rPr>
        <w:t xml:space="preserve"> a low socioeconomic status. Likewise, differences were found in morbidity rates across Israel’s various sub-districts, with higher morbidity rates in the peripheries than the central regions.</w:t>
      </w:r>
    </w:p>
    <w:p w14:paraId="200EAEE8" w14:textId="77777777" w:rsidR="00BC165D" w:rsidRDefault="00BC165D" w:rsidP="00F46D1E">
      <w:pPr>
        <w:bidi w:val="0"/>
        <w:spacing w:line="360" w:lineRule="auto"/>
        <w:jc w:val="both"/>
        <w:rPr>
          <w:rFonts w:ascii="Times New Roman" w:hAnsi="Times New Roman" w:cs="Times New Roman"/>
          <w:sz w:val="24"/>
          <w:szCs w:val="24"/>
        </w:rPr>
      </w:pPr>
    </w:p>
    <w:p w14:paraId="11A78883" w14:textId="17A63E49" w:rsidR="00BC165D" w:rsidRPr="0080648E" w:rsidRDefault="00BC165D" w:rsidP="00FA4CB2">
      <w:pPr>
        <w:bidi w:val="0"/>
        <w:spacing w:line="360" w:lineRule="auto"/>
        <w:jc w:val="both"/>
        <w:rPr>
          <w:rFonts w:ascii="Times New Roman" w:hAnsi="Times New Roman" w:cs="Times New Roman"/>
          <w:b/>
          <w:bCs/>
          <w:sz w:val="28"/>
          <w:szCs w:val="28"/>
          <w:u w:val="single"/>
        </w:rPr>
      </w:pPr>
      <w:commentRangeStart w:id="16"/>
      <w:r w:rsidRPr="0080648E">
        <w:rPr>
          <w:rFonts w:ascii="Times New Roman" w:hAnsi="Times New Roman" w:cs="Times New Roman"/>
          <w:b/>
          <w:bCs/>
          <w:sz w:val="28"/>
          <w:szCs w:val="28"/>
          <w:u w:val="single"/>
        </w:rPr>
        <w:t>C</w:t>
      </w:r>
      <w:commentRangeEnd w:id="16"/>
      <w:r>
        <w:rPr>
          <w:rStyle w:val="CommentReference"/>
        </w:rPr>
        <w:commentReference w:id="16"/>
      </w:r>
      <w:r w:rsidRPr="0080648E">
        <w:rPr>
          <w:rFonts w:ascii="Times New Roman" w:hAnsi="Times New Roman" w:cs="Times New Roman"/>
          <w:b/>
          <w:bCs/>
          <w:sz w:val="28"/>
          <w:szCs w:val="28"/>
          <w:u w:val="single"/>
        </w:rPr>
        <w:t>. Expected changes in morbidity trends and implications for the consumption of health services</w:t>
      </w:r>
    </w:p>
    <w:p w14:paraId="6E58BA91" w14:textId="604886F9" w:rsidR="00BC165D" w:rsidRDefault="00BC165D" w:rsidP="00F95DC4">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Chronic diseases (long-term conditions lasting more than three months), with which a person might live for many years, are becoming more prevalent throughout the world and their impact on human health is increasing. Unhealthy lifestyles result in ever-growing numbers of heart diseases, diabetes, and the like. Moreover, thanks to technological developments, diseases that in the past were harbingers of a few months’ life expectancy, such as AIDS or even cancer, have become chronic diseases with which patients</w:t>
      </w:r>
      <w:r w:rsidR="00FE5CF7">
        <w:rPr>
          <w:rFonts w:ascii="Times New Roman" w:hAnsi="Times New Roman" w:cs="Times New Roman"/>
          <w:sz w:val="24"/>
          <w:szCs w:val="24"/>
        </w:rPr>
        <w:t xml:space="preserve"> can</w:t>
      </w:r>
      <w:r>
        <w:rPr>
          <w:rFonts w:ascii="Times New Roman" w:hAnsi="Times New Roman" w:cs="Times New Roman"/>
          <w:sz w:val="24"/>
          <w:szCs w:val="24"/>
        </w:rPr>
        <w:t xml:space="preserve"> live for many years. A chronic patient consumes healthcare services – in the community or through hospitalization – on a scale that is several times higher than the average per person, and</w:t>
      </w:r>
      <w:r w:rsidR="00FE5CF7">
        <w:rPr>
          <w:rFonts w:ascii="Times New Roman" w:hAnsi="Times New Roman" w:cs="Times New Roman"/>
          <w:sz w:val="24"/>
          <w:szCs w:val="24"/>
        </w:rPr>
        <w:t xml:space="preserve"> this</w:t>
      </w:r>
      <w:r>
        <w:rPr>
          <w:rFonts w:ascii="Times New Roman" w:hAnsi="Times New Roman" w:cs="Times New Roman"/>
          <w:sz w:val="24"/>
          <w:szCs w:val="24"/>
        </w:rPr>
        <w:t xml:space="preserve"> is further multiplied in cases of chronic morbidity involving several diseases simultaneously.</w:t>
      </w:r>
      <w:r w:rsidR="00FB6160">
        <w:rPr>
          <w:rFonts w:ascii="Times New Roman" w:hAnsi="Times New Roman" w:cs="Times New Roman"/>
          <w:sz w:val="24"/>
          <w:szCs w:val="24"/>
        </w:rPr>
        <w:t>(15)</w:t>
      </w:r>
      <w:r>
        <w:rPr>
          <w:rFonts w:ascii="Times New Roman" w:hAnsi="Times New Roman" w:cs="Times New Roman"/>
          <w:sz w:val="24"/>
          <w:szCs w:val="24"/>
        </w:rPr>
        <w:t xml:space="preserve"> </w:t>
      </w:r>
    </w:p>
    <w:p w14:paraId="5FFC13B2" w14:textId="740918B0" w:rsidR="00BC165D" w:rsidRDefault="00BC165D" w:rsidP="00AF67D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days chronic diseases also </w:t>
      </w:r>
      <w:r w:rsidR="00AF67D7">
        <w:rPr>
          <w:rFonts w:ascii="Times New Roman" w:hAnsi="Times New Roman" w:cs="Times New Roman"/>
          <w:sz w:val="24"/>
          <w:szCs w:val="24"/>
        </w:rPr>
        <w:t xml:space="preserve">increasingly </w:t>
      </w:r>
      <w:r>
        <w:rPr>
          <w:rFonts w:ascii="Times New Roman" w:hAnsi="Times New Roman" w:cs="Times New Roman"/>
          <w:sz w:val="24"/>
          <w:szCs w:val="24"/>
        </w:rPr>
        <w:t>affect the younger generation and middle-aged population. For example, a significant percentage of children suffer from chronic diseases of the respiratory system, such as asthma, and about 20% of HMO members in Israel over the age of 45 suffer from two or more chronic conditions. Multiple chronic conditions are the most frequent impairment among several age groups.</w:t>
      </w:r>
      <w:r w:rsidR="00FB6160">
        <w:rPr>
          <w:rFonts w:ascii="Times New Roman" w:hAnsi="Times New Roman" w:cs="Times New Roman"/>
          <w:sz w:val="24"/>
          <w:szCs w:val="24"/>
        </w:rPr>
        <w:t>(16)</w:t>
      </w:r>
    </w:p>
    <w:p w14:paraId="3C8FA9F8" w14:textId="69046074" w:rsidR="00BC165D" w:rsidRDefault="00BC165D" w:rsidP="00EB631E">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Chronic diseases also lead to increased consumption of healthcare services, negative health results, and high medical expenditures. It is estimated that about 75% of healthcare expenditures are dedicated to treating chronic patients. Furthermore, chronic diseases undermine an individual’s employability and income, and reduce the labor force participation rate and market productivity, while simultaneously accelerating early retirement, high turnover, and the incidence of disabilities. Accordingly, chronic patients pose a challenge to healthcare systems and a future threat to their ability to operate effectively.</w:t>
      </w:r>
    </w:p>
    <w:p w14:paraId="78A71892" w14:textId="1213F871" w:rsidR="00BC165D" w:rsidRDefault="00BC165D" w:rsidP="0054589C">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 difficulty faced by healthcare systems globally is the gap between demand, on the one hand, and supply </w:t>
      </w:r>
      <w:r w:rsidR="000933A7">
        <w:rPr>
          <w:rFonts w:ascii="Times New Roman" w:hAnsi="Times New Roman" w:cs="Times New Roman"/>
          <w:sz w:val="24"/>
          <w:szCs w:val="24"/>
        </w:rPr>
        <w:t>as well as</w:t>
      </w:r>
      <w:r>
        <w:rPr>
          <w:rFonts w:ascii="Times New Roman" w:hAnsi="Times New Roman" w:cs="Times New Roman"/>
          <w:sz w:val="24"/>
          <w:szCs w:val="24"/>
        </w:rPr>
        <w:t xml:space="preserve"> the ability to </w:t>
      </w:r>
      <w:r w:rsidR="000933A7">
        <w:rPr>
          <w:rFonts w:ascii="Times New Roman" w:hAnsi="Times New Roman" w:cs="Times New Roman"/>
          <w:sz w:val="24"/>
          <w:szCs w:val="24"/>
        </w:rPr>
        <w:t>provide</w:t>
      </w:r>
      <w:r>
        <w:rPr>
          <w:rFonts w:ascii="Times New Roman" w:hAnsi="Times New Roman" w:cs="Times New Roman"/>
          <w:sz w:val="24"/>
          <w:szCs w:val="24"/>
        </w:rPr>
        <w:t xml:space="preserve"> services, on the other. The needs of chronic patients are many and varied – </w:t>
      </w:r>
      <w:r w:rsidR="000933A7">
        <w:rPr>
          <w:rFonts w:ascii="Times New Roman" w:hAnsi="Times New Roman" w:cs="Times New Roman"/>
          <w:sz w:val="24"/>
          <w:szCs w:val="24"/>
        </w:rPr>
        <w:t>their</w:t>
      </w:r>
      <w:r>
        <w:rPr>
          <w:rFonts w:ascii="Times New Roman" w:hAnsi="Times New Roman" w:cs="Times New Roman"/>
          <w:sz w:val="24"/>
          <w:szCs w:val="24"/>
        </w:rPr>
        <w:t xml:space="preserve"> medical care is characterized by numerous medications and examinations, as well as </w:t>
      </w:r>
      <w:r w:rsidR="0054589C">
        <w:rPr>
          <w:rFonts w:ascii="Times New Roman" w:hAnsi="Times New Roman" w:cs="Times New Roman"/>
          <w:sz w:val="24"/>
          <w:szCs w:val="24"/>
        </w:rPr>
        <w:t>numerous care providers</w:t>
      </w:r>
      <w:r>
        <w:rPr>
          <w:rFonts w:ascii="Times New Roman" w:hAnsi="Times New Roman" w:cs="Times New Roman"/>
          <w:sz w:val="24"/>
          <w:szCs w:val="24"/>
        </w:rPr>
        <w:t xml:space="preserve"> and </w:t>
      </w:r>
      <w:r w:rsidR="000933A7">
        <w:rPr>
          <w:rFonts w:ascii="Times New Roman" w:hAnsi="Times New Roman" w:cs="Times New Roman"/>
          <w:sz w:val="24"/>
          <w:szCs w:val="24"/>
        </w:rPr>
        <w:t>types</w:t>
      </w:r>
      <w:r>
        <w:rPr>
          <w:rFonts w:ascii="Times New Roman" w:hAnsi="Times New Roman" w:cs="Times New Roman"/>
          <w:sz w:val="24"/>
          <w:szCs w:val="24"/>
        </w:rPr>
        <w:t xml:space="preserve"> of treatment. The patients, who are mostly elderly, </w:t>
      </w:r>
      <w:commentRangeStart w:id="17"/>
      <w:r>
        <w:rPr>
          <w:rFonts w:ascii="Times New Roman" w:hAnsi="Times New Roman" w:cs="Times New Roman"/>
          <w:sz w:val="24"/>
          <w:szCs w:val="24"/>
        </w:rPr>
        <w:t xml:space="preserve">undergo a vast </w:t>
      </w:r>
      <w:r w:rsidR="006C6B42">
        <w:rPr>
          <w:rFonts w:ascii="Times New Roman" w:hAnsi="Times New Roman" w:cs="Times New Roman"/>
          <w:sz w:val="24"/>
          <w:szCs w:val="24"/>
        </w:rPr>
        <w:t xml:space="preserve">and varied </w:t>
      </w:r>
      <w:r>
        <w:rPr>
          <w:rFonts w:ascii="Times New Roman" w:hAnsi="Times New Roman" w:cs="Times New Roman"/>
          <w:sz w:val="24"/>
          <w:szCs w:val="24"/>
        </w:rPr>
        <w:t xml:space="preserve">array of treatments </w:t>
      </w:r>
      <w:commentRangeEnd w:id="17"/>
      <w:r>
        <w:rPr>
          <w:rStyle w:val="CommentReference"/>
        </w:rPr>
        <w:commentReference w:id="17"/>
      </w:r>
      <w:r>
        <w:rPr>
          <w:rFonts w:ascii="Times New Roman" w:hAnsi="Times New Roman" w:cs="Times New Roman"/>
          <w:sz w:val="24"/>
          <w:szCs w:val="24"/>
        </w:rPr>
        <w:t>and are the main consumers of healthcare services.</w:t>
      </w:r>
    </w:p>
    <w:p w14:paraId="68C63193" w14:textId="4672A38E" w:rsidR="00BC165D" w:rsidRDefault="00BC165D" w:rsidP="005529A4">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as life expectancy has increased, so too has the number of long-term care patients </w:t>
      </w:r>
      <w:r w:rsidR="00BF3A56">
        <w:rPr>
          <w:rFonts w:ascii="Times New Roman" w:hAnsi="Times New Roman" w:cs="Times New Roman"/>
          <w:sz w:val="24"/>
          <w:szCs w:val="24"/>
        </w:rPr>
        <w:t>and</w:t>
      </w:r>
      <w:r>
        <w:rPr>
          <w:rFonts w:ascii="Times New Roman" w:hAnsi="Times New Roman" w:cs="Times New Roman"/>
          <w:sz w:val="24"/>
          <w:szCs w:val="24"/>
        </w:rPr>
        <w:t xml:space="preserve"> the burden of their care. </w:t>
      </w:r>
      <w:r w:rsidR="005529A4">
        <w:rPr>
          <w:rFonts w:ascii="Times New Roman" w:hAnsi="Times New Roman" w:cs="Times New Roman"/>
          <w:sz w:val="24"/>
          <w:szCs w:val="24"/>
        </w:rPr>
        <w:t>The growing numbers of l</w:t>
      </w:r>
      <w:r>
        <w:rPr>
          <w:rFonts w:ascii="Times New Roman" w:hAnsi="Times New Roman" w:cs="Times New Roman"/>
          <w:sz w:val="24"/>
          <w:szCs w:val="24"/>
        </w:rPr>
        <w:t>ife-extending medical discoveries</w:t>
      </w:r>
      <w:r w:rsidR="005529A4">
        <w:rPr>
          <w:rFonts w:ascii="Times New Roman" w:hAnsi="Times New Roman" w:cs="Times New Roman"/>
          <w:sz w:val="24"/>
          <w:szCs w:val="24"/>
        </w:rPr>
        <w:t xml:space="preserve"> contribute to growing</w:t>
      </w:r>
      <w:r>
        <w:rPr>
          <w:rFonts w:ascii="Times New Roman" w:hAnsi="Times New Roman" w:cs="Times New Roman"/>
          <w:sz w:val="24"/>
          <w:szCs w:val="24"/>
        </w:rPr>
        <w:t xml:space="preserve"> costs </w:t>
      </w:r>
      <w:r w:rsidR="00BF3A56">
        <w:rPr>
          <w:rFonts w:ascii="Times New Roman" w:hAnsi="Times New Roman" w:cs="Times New Roman"/>
          <w:sz w:val="24"/>
          <w:szCs w:val="24"/>
        </w:rPr>
        <w:t>of</w:t>
      </w:r>
      <w:r>
        <w:rPr>
          <w:rFonts w:ascii="Times New Roman" w:hAnsi="Times New Roman" w:cs="Times New Roman"/>
          <w:sz w:val="24"/>
          <w:szCs w:val="24"/>
        </w:rPr>
        <w:t xml:space="preserve"> long-term care. According to Ministry of Health projections, the number of long-term care patients is expected to double in the next 15 years. The number of people who need long-term care is growing rapidly, and the duration of such care in Israel will continue to increase: their number is expected to reach 233,000 by 2020 and 342,000 by 2030.</w:t>
      </w:r>
      <w:r w:rsidR="009C2CCB">
        <w:rPr>
          <w:rFonts w:ascii="Times New Roman" w:hAnsi="Times New Roman" w:cs="Times New Roman"/>
          <w:sz w:val="24"/>
          <w:szCs w:val="24"/>
        </w:rPr>
        <w:t>(17)</w:t>
      </w:r>
    </w:p>
    <w:p w14:paraId="688B7D98" w14:textId="43018F3A" w:rsidR="00BC165D" w:rsidRDefault="00BC165D" w:rsidP="00BD181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findings underscore the importance of </w:t>
      </w:r>
      <w:r w:rsidR="00BD1819">
        <w:rPr>
          <w:rFonts w:ascii="Times New Roman" w:hAnsi="Times New Roman" w:cs="Times New Roman"/>
          <w:sz w:val="24"/>
          <w:szCs w:val="24"/>
        </w:rPr>
        <w:t xml:space="preserve">preventing and managing </w:t>
      </w:r>
      <w:r>
        <w:rPr>
          <w:rFonts w:ascii="Times New Roman" w:hAnsi="Times New Roman" w:cs="Times New Roman"/>
          <w:sz w:val="24"/>
          <w:szCs w:val="24"/>
        </w:rPr>
        <w:t xml:space="preserve">chronic diseases, as well as the importance of adequate numbers of medical staff and primary </w:t>
      </w:r>
      <w:r w:rsidR="00BD1819">
        <w:rPr>
          <w:rFonts w:ascii="Times New Roman" w:hAnsi="Times New Roman" w:cs="Times New Roman"/>
          <w:sz w:val="24"/>
          <w:szCs w:val="24"/>
        </w:rPr>
        <w:t xml:space="preserve">care </w:t>
      </w:r>
      <w:r>
        <w:rPr>
          <w:rFonts w:ascii="Times New Roman" w:hAnsi="Times New Roman" w:cs="Times New Roman"/>
          <w:sz w:val="24"/>
          <w:szCs w:val="24"/>
        </w:rPr>
        <w:t xml:space="preserve">providers. Although the balance between primary and specialist physicians in Israel has changed over the past decades, resulting in a proportional increase of specialists, the overall ratio of </w:t>
      </w:r>
      <w:r w:rsidR="00BD1819">
        <w:rPr>
          <w:rFonts w:ascii="Times New Roman" w:hAnsi="Times New Roman" w:cs="Times New Roman"/>
          <w:sz w:val="24"/>
          <w:szCs w:val="24"/>
        </w:rPr>
        <w:t>practicing</w:t>
      </w:r>
      <w:r>
        <w:rPr>
          <w:rFonts w:ascii="Times New Roman" w:hAnsi="Times New Roman" w:cs="Times New Roman"/>
          <w:sz w:val="24"/>
          <w:szCs w:val="24"/>
        </w:rPr>
        <w:t xml:space="preserve"> physicians to the population in Israel has decreased in recent years, whereas in most OECD countries it is increasing. Similarly, the physician-to-population ratio – </w:t>
      </w:r>
      <w:r w:rsidR="00BD1819">
        <w:rPr>
          <w:rFonts w:ascii="Times New Roman" w:hAnsi="Times New Roman" w:cs="Times New Roman"/>
          <w:sz w:val="24"/>
          <w:szCs w:val="24"/>
        </w:rPr>
        <w:t xml:space="preserve">the </w:t>
      </w:r>
      <w:r>
        <w:rPr>
          <w:rFonts w:ascii="Times New Roman" w:hAnsi="Times New Roman" w:cs="Times New Roman"/>
          <w:sz w:val="24"/>
          <w:szCs w:val="24"/>
        </w:rPr>
        <w:t xml:space="preserve">number of </w:t>
      </w:r>
      <w:r w:rsidR="00BD1819">
        <w:rPr>
          <w:rFonts w:ascii="Times New Roman" w:hAnsi="Times New Roman" w:cs="Times New Roman"/>
          <w:sz w:val="24"/>
          <w:szCs w:val="24"/>
        </w:rPr>
        <w:t>practicing</w:t>
      </w:r>
      <w:r>
        <w:rPr>
          <w:rFonts w:ascii="Times New Roman" w:hAnsi="Times New Roman" w:cs="Times New Roman"/>
          <w:sz w:val="24"/>
          <w:szCs w:val="24"/>
        </w:rPr>
        <w:t xml:space="preserve"> physicians per 1,000 persons – in Israel is lower than the OECD average (3.1, compared with 3.3).</w:t>
      </w:r>
      <w:r w:rsidR="009C2CCB">
        <w:rPr>
          <w:rFonts w:ascii="Times New Roman" w:hAnsi="Times New Roman" w:cs="Times New Roman"/>
          <w:sz w:val="24"/>
          <w:szCs w:val="24"/>
        </w:rPr>
        <w:t>(17)</w:t>
      </w:r>
    </w:p>
    <w:p w14:paraId="4393D889" w14:textId="5D0B0682" w:rsidR="00BC165D" w:rsidRDefault="00BC165D" w:rsidP="00B81AA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the proportion of physicians over the age of 55 is the largest among OECD states, accounting for approximately half of all physicians, compared with an average of 34% for all OECD member states. The ratio of </w:t>
      </w:r>
      <w:r w:rsidR="00BD1819">
        <w:rPr>
          <w:rFonts w:ascii="Times New Roman" w:hAnsi="Times New Roman" w:cs="Times New Roman"/>
          <w:sz w:val="24"/>
          <w:szCs w:val="24"/>
        </w:rPr>
        <w:t>practicing</w:t>
      </w:r>
      <w:r>
        <w:rPr>
          <w:rFonts w:ascii="Times New Roman" w:hAnsi="Times New Roman" w:cs="Times New Roman"/>
          <w:sz w:val="24"/>
          <w:szCs w:val="24"/>
        </w:rPr>
        <w:t xml:space="preserve"> nurses to the population in </w:t>
      </w:r>
      <w:r>
        <w:rPr>
          <w:rFonts w:ascii="Times New Roman" w:hAnsi="Times New Roman" w:cs="Times New Roman"/>
          <w:sz w:val="24"/>
          <w:szCs w:val="24"/>
        </w:rPr>
        <w:lastRenderedPageBreak/>
        <w:t xml:space="preserve">Israel is particularly low relative to OECD states – five nurses per 1,000 persons, compared with the OECD average of 9.3. The ratio between </w:t>
      </w:r>
      <w:r w:rsidR="00BD1819">
        <w:rPr>
          <w:rFonts w:ascii="Times New Roman" w:hAnsi="Times New Roman" w:cs="Times New Roman"/>
          <w:sz w:val="24"/>
          <w:szCs w:val="24"/>
        </w:rPr>
        <w:t>practicing</w:t>
      </w:r>
      <w:r>
        <w:rPr>
          <w:rFonts w:ascii="Times New Roman" w:hAnsi="Times New Roman" w:cs="Times New Roman"/>
          <w:sz w:val="24"/>
          <w:szCs w:val="24"/>
        </w:rPr>
        <w:t xml:space="preserve"> nurses and </w:t>
      </w:r>
      <w:r w:rsidR="00BD1819">
        <w:rPr>
          <w:rFonts w:ascii="Times New Roman" w:hAnsi="Times New Roman" w:cs="Times New Roman"/>
          <w:sz w:val="24"/>
          <w:szCs w:val="24"/>
        </w:rPr>
        <w:t>practicing</w:t>
      </w:r>
      <w:r>
        <w:rPr>
          <w:rFonts w:ascii="Times New Roman" w:hAnsi="Times New Roman" w:cs="Times New Roman"/>
          <w:sz w:val="24"/>
          <w:szCs w:val="24"/>
        </w:rPr>
        <w:t xml:space="preserve"> physicians in Israel is also lower than that of most OECD states – 1.3 in Israel compared with an average of 2.8 among member states.</w:t>
      </w:r>
      <w:r w:rsidR="009C2CCB">
        <w:rPr>
          <w:rFonts w:ascii="Times New Roman" w:hAnsi="Times New Roman" w:cs="Times New Roman"/>
          <w:sz w:val="24"/>
          <w:szCs w:val="24"/>
        </w:rPr>
        <w:t>(17)</w:t>
      </w:r>
    </w:p>
    <w:p w14:paraId="740A5517" w14:textId="2FE066A0" w:rsidR="00BC165D" w:rsidRDefault="00BC165D" w:rsidP="00B81AA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next section will further explore the medical and long-term care personnel needs of the healthcare system. Following that we will examine possible changes in the structure and organization of healthcare services as a way of addressing the changing healthcare needs and morbidity trends.</w:t>
      </w:r>
    </w:p>
    <w:p w14:paraId="4ECDDA65" w14:textId="77777777" w:rsidR="00BC165D" w:rsidRDefault="00BC165D" w:rsidP="00B81AA7">
      <w:pPr>
        <w:bidi w:val="0"/>
        <w:spacing w:line="360" w:lineRule="auto"/>
        <w:jc w:val="both"/>
        <w:rPr>
          <w:rFonts w:ascii="Times New Roman" w:hAnsi="Times New Roman" w:cs="Times New Roman"/>
          <w:sz w:val="24"/>
          <w:szCs w:val="24"/>
        </w:rPr>
      </w:pPr>
    </w:p>
    <w:p w14:paraId="4A403F77" w14:textId="4FC06263" w:rsidR="00BC165D" w:rsidRPr="00101ED3" w:rsidRDefault="00BC165D" w:rsidP="00B81AA7">
      <w:pPr>
        <w:bidi w:val="0"/>
        <w:spacing w:line="360" w:lineRule="auto"/>
        <w:jc w:val="both"/>
        <w:rPr>
          <w:rFonts w:ascii="Times New Roman" w:hAnsi="Times New Roman" w:cs="Times New Roman"/>
          <w:b/>
          <w:bCs/>
          <w:sz w:val="28"/>
          <w:szCs w:val="28"/>
          <w:u w:val="single"/>
        </w:rPr>
      </w:pPr>
      <w:commentRangeStart w:id="18"/>
      <w:r w:rsidRPr="00F7724D">
        <w:rPr>
          <w:rFonts w:ascii="Times New Roman" w:hAnsi="Times New Roman" w:cs="Times New Roman"/>
          <w:b/>
          <w:bCs/>
          <w:sz w:val="28"/>
          <w:szCs w:val="28"/>
          <w:u w:val="single"/>
        </w:rPr>
        <w:t>D</w:t>
      </w:r>
      <w:commentRangeEnd w:id="18"/>
      <w:r w:rsidRPr="00F7724D">
        <w:rPr>
          <w:rStyle w:val="CommentReference"/>
          <w:rFonts w:ascii="Times New Roman" w:hAnsi="Times New Roman" w:cs="Times New Roman"/>
          <w:b/>
          <w:bCs/>
          <w:sz w:val="28"/>
          <w:szCs w:val="28"/>
          <w:u w:val="single"/>
        </w:rPr>
        <w:commentReference w:id="18"/>
      </w:r>
      <w:r w:rsidRPr="00F7724D">
        <w:rPr>
          <w:rFonts w:ascii="Times New Roman" w:hAnsi="Times New Roman" w:cs="Times New Roman"/>
          <w:b/>
          <w:bCs/>
          <w:sz w:val="28"/>
          <w:szCs w:val="28"/>
          <w:u w:val="single"/>
        </w:rPr>
        <w:t xml:space="preserve">. The expected compatibility of medical staff and personnel with </w:t>
      </w:r>
      <w:r w:rsidR="00F7724D">
        <w:rPr>
          <w:rFonts w:ascii="Times New Roman" w:hAnsi="Times New Roman" w:cs="Times New Roman"/>
          <w:b/>
          <w:bCs/>
          <w:sz w:val="28"/>
          <w:szCs w:val="28"/>
          <w:u w:val="single"/>
        </w:rPr>
        <w:t xml:space="preserve">the needs of the </w:t>
      </w:r>
      <w:r w:rsidRPr="00F7724D">
        <w:rPr>
          <w:rFonts w:ascii="Times New Roman" w:hAnsi="Times New Roman" w:cs="Times New Roman"/>
          <w:b/>
          <w:bCs/>
          <w:sz w:val="28"/>
          <w:szCs w:val="28"/>
          <w:u w:val="single"/>
        </w:rPr>
        <w:t xml:space="preserve">healthcare </w:t>
      </w:r>
      <w:r w:rsidR="00F7724D">
        <w:rPr>
          <w:rFonts w:ascii="Times New Roman" w:hAnsi="Times New Roman" w:cs="Times New Roman"/>
          <w:b/>
          <w:bCs/>
          <w:sz w:val="28"/>
          <w:szCs w:val="28"/>
          <w:u w:val="single"/>
        </w:rPr>
        <w:t xml:space="preserve">system </w:t>
      </w:r>
      <w:r w:rsidRPr="00F7724D">
        <w:rPr>
          <w:rFonts w:ascii="Times New Roman" w:hAnsi="Times New Roman" w:cs="Times New Roman"/>
          <w:b/>
          <w:bCs/>
          <w:sz w:val="28"/>
          <w:szCs w:val="28"/>
          <w:u w:val="single"/>
        </w:rPr>
        <w:t>and physical infrastructures</w:t>
      </w:r>
      <w:r w:rsidRPr="00101ED3">
        <w:rPr>
          <w:rFonts w:ascii="Times New Roman" w:hAnsi="Times New Roman" w:cs="Times New Roman"/>
          <w:b/>
          <w:bCs/>
          <w:sz w:val="28"/>
          <w:szCs w:val="28"/>
          <w:u w:val="single"/>
        </w:rPr>
        <w:t xml:space="preserve"> </w:t>
      </w:r>
    </w:p>
    <w:p w14:paraId="1892EDAD" w14:textId="3FCC5603" w:rsidR="00BC165D" w:rsidRDefault="00BC165D" w:rsidP="00B81AA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demand for healthcare services is increasing as a result of </w:t>
      </w:r>
      <w:r w:rsidR="00026581">
        <w:rPr>
          <w:rFonts w:ascii="Times New Roman" w:hAnsi="Times New Roman" w:cs="Times New Roman"/>
          <w:sz w:val="24"/>
          <w:szCs w:val="24"/>
        </w:rPr>
        <w:t>population</w:t>
      </w:r>
      <w:r>
        <w:rPr>
          <w:rFonts w:ascii="Times New Roman" w:hAnsi="Times New Roman" w:cs="Times New Roman"/>
          <w:sz w:val="24"/>
          <w:szCs w:val="24"/>
        </w:rPr>
        <w:t xml:space="preserve"> aging, increased awareness on the part of health services consumers, and </w:t>
      </w:r>
      <w:r w:rsidR="00026581">
        <w:rPr>
          <w:rFonts w:ascii="Times New Roman" w:hAnsi="Times New Roman" w:cs="Times New Roman"/>
          <w:sz w:val="24"/>
          <w:szCs w:val="24"/>
        </w:rPr>
        <w:t>a rising</w:t>
      </w:r>
      <w:r>
        <w:rPr>
          <w:rFonts w:ascii="Times New Roman" w:hAnsi="Times New Roman" w:cs="Times New Roman"/>
          <w:sz w:val="24"/>
          <w:szCs w:val="24"/>
        </w:rPr>
        <w:t xml:space="preserve"> quality of life. Accordingly, it is necessary to adapt the personnel of the healthcare system to its changing needs. </w:t>
      </w:r>
    </w:p>
    <w:p w14:paraId="15E3625B" w14:textId="7CEB564F" w:rsidR="00BC165D" w:rsidRDefault="00BC165D" w:rsidP="00B56DE1">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w:t>
      </w:r>
      <w:r w:rsidR="00026581">
        <w:rPr>
          <w:rFonts w:ascii="Times New Roman" w:hAnsi="Times New Roman" w:cs="Times New Roman"/>
          <w:sz w:val="24"/>
          <w:szCs w:val="24"/>
        </w:rPr>
        <w:t>example along these lines</w:t>
      </w:r>
      <w:r>
        <w:rPr>
          <w:rFonts w:ascii="Times New Roman" w:hAnsi="Times New Roman" w:cs="Times New Roman"/>
          <w:sz w:val="24"/>
          <w:szCs w:val="24"/>
        </w:rPr>
        <w:t xml:space="preserve"> is the establishment </w:t>
      </w:r>
      <w:r w:rsidR="00026581">
        <w:rPr>
          <w:rFonts w:ascii="Times New Roman" w:hAnsi="Times New Roman" w:cs="Times New Roman"/>
          <w:sz w:val="24"/>
          <w:szCs w:val="24"/>
        </w:rPr>
        <w:t xml:space="preserve">in the Galilee </w:t>
      </w:r>
      <w:r>
        <w:rPr>
          <w:rFonts w:ascii="Times New Roman" w:hAnsi="Times New Roman" w:cs="Times New Roman"/>
          <w:sz w:val="24"/>
          <w:szCs w:val="24"/>
        </w:rPr>
        <w:t xml:space="preserve">of a medical school affiliated with Bar-Ilan University, </w:t>
      </w:r>
      <w:r w:rsidR="00026581">
        <w:rPr>
          <w:rFonts w:ascii="Times New Roman" w:hAnsi="Times New Roman" w:cs="Times New Roman"/>
          <w:sz w:val="24"/>
          <w:szCs w:val="24"/>
        </w:rPr>
        <w:t>which aims to train</w:t>
      </w:r>
      <w:r>
        <w:rPr>
          <w:rFonts w:ascii="Times New Roman" w:hAnsi="Times New Roman" w:cs="Times New Roman"/>
          <w:sz w:val="24"/>
          <w:szCs w:val="24"/>
        </w:rPr>
        <w:t xml:space="preserve"> additional physicians in Israel. Currently there are five medical schools operating in Israel: at the Hebrew University, Tel Aviv University, Ben-Gurion University, the Technion in Haifa, and the Bar-Ilan Faculty of Medicine in the Galilee. In addition, as discussed below, many Israeli students attend medical schools abroad.</w:t>
      </w:r>
    </w:p>
    <w:p w14:paraId="46B147F8" w14:textId="77777777" w:rsidR="00BC165D" w:rsidRDefault="00BC165D" w:rsidP="00B56DE1">
      <w:pPr>
        <w:bidi w:val="0"/>
        <w:spacing w:line="360" w:lineRule="auto"/>
        <w:jc w:val="both"/>
        <w:rPr>
          <w:rFonts w:ascii="Times New Roman" w:hAnsi="Times New Roman" w:cs="Times New Roman"/>
          <w:sz w:val="24"/>
          <w:szCs w:val="24"/>
        </w:rPr>
      </w:pPr>
    </w:p>
    <w:p w14:paraId="1A22D11C" w14:textId="44BCD4BF" w:rsidR="00BC165D" w:rsidRDefault="00BC165D" w:rsidP="00B56DE1">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Physicians</w:t>
      </w:r>
    </w:p>
    <w:p w14:paraId="1B3A785C" w14:textId="4EC15FDA" w:rsidR="00BC165D" w:rsidRDefault="00BC165D" w:rsidP="00AB54B9">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factors have contributed to the imbalance in most OECD countries between the number of physicians and the need for them: the fact that training does not keep pace with the growing demand for healthcare services, a reduction in the number of working hours </w:t>
      </w:r>
      <w:r w:rsidR="00AB54B9">
        <w:rPr>
          <w:rFonts w:ascii="Times New Roman" w:hAnsi="Times New Roman" w:cs="Times New Roman"/>
          <w:sz w:val="24"/>
          <w:szCs w:val="24"/>
        </w:rPr>
        <w:t>in</w:t>
      </w:r>
      <w:r>
        <w:rPr>
          <w:rFonts w:ascii="Times New Roman" w:hAnsi="Times New Roman" w:cs="Times New Roman"/>
          <w:sz w:val="24"/>
          <w:szCs w:val="24"/>
        </w:rPr>
        <w:t xml:space="preserve"> the profession, a growing number of specializations, the average age of </w:t>
      </w:r>
      <w:r w:rsidR="00B56DE1">
        <w:rPr>
          <w:rFonts w:ascii="Times New Roman" w:hAnsi="Times New Roman" w:cs="Times New Roman"/>
          <w:sz w:val="24"/>
          <w:szCs w:val="24"/>
        </w:rPr>
        <w:t>practicing</w:t>
      </w:r>
      <w:r>
        <w:rPr>
          <w:rFonts w:ascii="Times New Roman" w:hAnsi="Times New Roman" w:cs="Times New Roman"/>
          <w:sz w:val="24"/>
          <w:szCs w:val="24"/>
        </w:rPr>
        <w:t xml:space="preserve"> physicians, and retirement rates.</w:t>
      </w:r>
    </w:p>
    <w:p w14:paraId="2679FD4E" w14:textId="77777777" w:rsidR="00BC165D" w:rsidRDefault="00BC165D" w:rsidP="00CA0054">
      <w:pPr>
        <w:bidi w:val="0"/>
        <w:spacing w:line="360" w:lineRule="auto"/>
        <w:rPr>
          <w:rFonts w:ascii="Times New Roman" w:hAnsi="Times New Roman" w:cs="Times New Roman"/>
          <w:sz w:val="24"/>
          <w:szCs w:val="24"/>
        </w:rPr>
      </w:pPr>
    </w:p>
    <w:p w14:paraId="00108C4F" w14:textId="4F4B5CD9" w:rsidR="00BC165D" w:rsidRPr="00922DE3" w:rsidRDefault="00BC165D" w:rsidP="0003079D">
      <w:pPr>
        <w:bidi w:val="0"/>
        <w:spacing w:line="360" w:lineRule="auto"/>
        <w:rPr>
          <w:rFonts w:ascii="Times New Roman" w:hAnsi="Times New Roman" w:cs="Times New Roman"/>
          <w:sz w:val="24"/>
          <w:szCs w:val="24"/>
          <w:rtl/>
        </w:rPr>
      </w:pPr>
      <w:r>
        <w:rPr>
          <w:rFonts w:ascii="Times New Roman" w:hAnsi="Times New Roman" w:cs="Times New Roman"/>
          <w:b/>
          <w:bCs/>
          <w:sz w:val="24"/>
          <w:szCs w:val="24"/>
        </w:rPr>
        <w:lastRenderedPageBreak/>
        <w:t xml:space="preserve">Ratio of </w:t>
      </w:r>
      <w:r w:rsidR="0003079D">
        <w:rPr>
          <w:rFonts w:ascii="Times New Roman" w:hAnsi="Times New Roman" w:cs="Times New Roman"/>
          <w:b/>
          <w:bCs/>
          <w:sz w:val="24"/>
          <w:szCs w:val="24"/>
        </w:rPr>
        <w:t>practicing</w:t>
      </w:r>
      <w:r>
        <w:rPr>
          <w:rFonts w:ascii="Times New Roman" w:hAnsi="Times New Roman" w:cs="Times New Roman"/>
          <w:b/>
          <w:bCs/>
          <w:sz w:val="24"/>
          <w:szCs w:val="24"/>
        </w:rPr>
        <w:t xml:space="preserve"> physicians to 1,000 persons – 2016</w:t>
      </w:r>
      <w:r w:rsidR="00BC69EF">
        <w:rPr>
          <w:rFonts w:ascii="Times New Roman" w:hAnsi="Times New Roman" w:cs="Times New Roman"/>
          <w:b/>
          <w:bCs/>
          <w:sz w:val="24"/>
          <w:szCs w:val="24"/>
        </w:rPr>
        <w:t xml:space="preserve"> </w:t>
      </w:r>
      <w:r w:rsidR="00BC69EF" w:rsidRPr="00F95DC4">
        <w:rPr>
          <w:rFonts w:ascii="Times New Roman" w:hAnsi="Times New Roman" w:cs="Times New Roman"/>
          <w:sz w:val="24"/>
          <w:szCs w:val="24"/>
        </w:rPr>
        <w:t>(12)</w:t>
      </w:r>
    </w:p>
    <w:p w14:paraId="273D751C" w14:textId="77777777" w:rsidR="00BC165D" w:rsidRDefault="00BC165D" w:rsidP="000414BB">
      <w:pPr>
        <w:autoSpaceDE w:val="0"/>
        <w:autoSpaceDN w:val="0"/>
        <w:adjustRightInd w:val="0"/>
        <w:spacing w:after="0" w:line="240" w:lineRule="auto"/>
        <w:jc w:val="both"/>
        <w:rPr>
          <w:rFonts w:ascii="David" w:cs="David"/>
          <w:sz w:val="24"/>
          <w:szCs w:val="24"/>
          <w:rtl/>
        </w:rPr>
      </w:pPr>
      <w:r>
        <w:rPr>
          <w:rFonts w:ascii="David" w:cs="David" w:hint="cs"/>
          <w:noProof/>
          <w:sz w:val="24"/>
          <w:szCs w:val="24"/>
        </w:rPr>
        <w:drawing>
          <wp:anchor distT="0" distB="0" distL="114300" distR="114300" simplePos="0" relativeHeight="251663360" behindDoc="1" locked="0" layoutInCell="1" allowOverlap="1" wp14:anchorId="747747C8" wp14:editId="1F09CA74">
            <wp:simplePos x="0" y="0"/>
            <wp:positionH relativeFrom="column">
              <wp:posOffset>0</wp:posOffset>
            </wp:positionH>
            <wp:positionV relativeFrom="paragraph">
              <wp:posOffset>125095</wp:posOffset>
            </wp:positionV>
            <wp:extent cx="5270500" cy="2463800"/>
            <wp:effectExtent l="0" t="0" r="6350" b="0"/>
            <wp:wrapThrough wrapText="bothSides">
              <wp:wrapPolygon edited="0">
                <wp:start x="0" y="0"/>
                <wp:lineTo x="0" y="21377"/>
                <wp:lineTo x="21548" y="21377"/>
                <wp:lineTo x="21548" y="0"/>
                <wp:lineTo x="0" y="0"/>
              </wp:wrapPolygon>
            </wp:wrapThrough>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27182" w14:textId="77777777" w:rsidR="00BC165D" w:rsidRDefault="00BC165D" w:rsidP="000414BB">
      <w:pPr>
        <w:autoSpaceDE w:val="0"/>
        <w:autoSpaceDN w:val="0"/>
        <w:adjustRightInd w:val="0"/>
        <w:spacing w:after="0" w:line="240" w:lineRule="auto"/>
        <w:jc w:val="both"/>
        <w:rPr>
          <w:rFonts w:ascii="David" w:cs="David"/>
          <w:sz w:val="24"/>
          <w:szCs w:val="24"/>
          <w:rtl/>
        </w:rPr>
      </w:pPr>
    </w:p>
    <w:p w14:paraId="1E6FA9F2" w14:textId="3F1A60C1" w:rsidR="00BC165D" w:rsidRDefault="00BC165D" w:rsidP="0003079D">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the </w:t>
      </w:r>
      <w:r w:rsidR="0003079D">
        <w:rPr>
          <w:rFonts w:ascii="Times New Roman" w:hAnsi="Times New Roman" w:cs="Times New Roman"/>
          <w:sz w:val="24"/>
          <w:szCs w:val="24"/>
        </w:rPr>
        <w:t>above graph</w:t>
      </w:r>
      <w:r>
        <w:rPr>
          <w:rFonts w:ascii="Times New Roman" w:hAnsi="Times New Roman" w:cs="Times New Roman"/>
          <w:sz w:val="24"/>
          <w:szCs w:val="24"/>
        </w:rPr>
        <w:t xml:space="preserve"> indicates, the ratio of physicians to 1,000 persons in Israel is lower than the OECD average. In Israel the ratio is 3.1 </w:t>
      </w:r>
      <w:r w:rsidR="003641FB">
        <w:rPr>
          <w:rFonts w:ascii="Times New Roman" w:hAnsi="Times New Roman" w:cs="Times New Roman"/>
          <w:sz w:val="24"/>
          <w:szCs w:val="24"/>
        </w:rPr>
        <w:t>practicing</w:t>
      </w:r>
      <w:r>
        <w:rPr>
          <w:rFonts w:ascii="Times New Roman" w:hAnsi="Times New Roman" w:cs="Times New Roman"/>
          <w:sz w:val="24"/>
          <w:szCs w:val="24"/>
        </w:rPr>
        <w:t xml:space="preserve"> physicians per 1,000 persons, whereas the OECD average is 3.3 per 1,000 persons.</w:t>
      </w:r>
    </w:p>
    <w:p w14:paraId="66FC1804" w14:textId="77777777" w:rsidR="00BC165D" w:rsidRDefault="00BC165D" w:rsidP="008E4D24">
      <w:pPr>
        <w:autoSpaceDE w:val="0"/>
        <w:autoSpaceDN w:val="0"/>
        <w:bidi w:val="0"/>
        <w:adjustRightInd w:val="0"/>
        <w:spacing w:line="360" w:lineRule="auto"/>
        <w:jc w:val="both"/>
        <w:rPr>
          <w:rFonts w:ascii="Times New Roman" w:hAnsi="Times New Roman" w:cs="Times New Roman"/>
          <w:sz w:val="24"/>
          <w:szCs w:val="24"/>
        </w:rPr>
      </w:pPr>
    </w:p>
    <w:p w14:paraId="32224EF5" w14:textId="6402FBC8" w:rsidR="00BC165D" w:rsidRPr="008E4D24" w:rsidRDefault="00BC165D" w:rsidP="00F95DC4">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Number of new medical licenses issued by place of study, 2000-2014</w:t>
      </w:r>
      <w:r w:rsidR="00BC69EF">
        <w:rPr>
          <w:rFonts w:ascii="Times New Roman" w:hAnsi="Times New Roman" w:cs="Times New Roman"/>
          <w:b/>
          <w:bCs/>
          <w:sz w:val="24"/>
          <w:szCs w:val="24"/>
        </w:rPr>
        <w:t xml:space="preserve"> </w:t>
      </w:r>
      <w:r w:rsidR="00BC69EF" w:rsidRPr="00F95DC4">
        <w:rPr>
          <w:rFonts w:ascii="Times New Roman" w:hAnsi="Times New Roman" w:cs="Times New Roman"/>
          <w:sz w:val="24"/>
          <w:szCs w:val="24"/>
        </w:rPr>
        <w:t>(18)</w:t>
      </w:r>
    </w:p>
    <w:p w14:paraId="3A77DF26" w14:textId="77777777" w:rsidR="00BC165D" w:rsidRDefault="00BC165D" w:rsidP="000414BB">
      <w:pPr>
        <w:autoSpaceDE w:val="0"/>
        <w:autoSpaceDN w:val="0"/>
        <w:adjustRightInd w:val="0"/>
        <w:spacing w:after="0" w:line="360" w:lineRule="auto"/>
        <w:jc w:val="both"/>
        <w:rPr>
          <w:rFonts w:cs="David"/>
          <w:sz w:val="24"/>
          <w:szCs w:val="24"/>
          <w:rtl/>
        </w:rPr>
      </w:pPr>
      <w:r>
        <w:rPr>
          <w:rFonts w:cs="David" w:hint="cs"/>
          <w:noProof/>
          <w:sz w:val="24"/>
          <w:szCs w:val="24"/>
        </w:rPr>
        <w:drawing>
          <wp:inline distT="0" distB="0" distL="0" distR="0" wp14:anchorId="55A89549" wp14:editId="3F7406DC">
            <wp:extent cx="4883150" cy="200025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3150" cy="2000250"/>
                    </a:xfrm>
                    <a:prstGeom prst="rect">
                      <a:avLst/>
                    </a:prstGeom>
                    <a:noFill/>
                    <a:ln>
                      <a:noFill/>
                    </a:ln>
                  </pic:spPr>
                </pic:pic>
              </a:graphicData>
            </a:graphic>
          </wp:inline>
        </w:drawing>
      </w:r>
    </w:p>
    <w:p w14:paraId="23B88E92" w14:textId="77777777" w:rsidR="00BC165D" w:rsidRDefault="00BC165D" w:rsidP="000414BB">
      <w:pPr>
        <w:autoSpaceDE w:val="0"/>
        <w:autoSpaceDN w:val="0"/>
        <w:adjustRightInd w:val="0"/>
        <w:spacing w:after="0" w:line="360" w:lineRule="auto"/>
        <w:jc w:val="both"/>
        <w:rPr>
          <w:rFonts w:cs="David"/>
          <w:sz w:val="24"/>
          <w:szCs w:val="24"/>
          <w:rtl/>
        </w:rPr>
      </w:pPr>
    </w:p>
    <w:p w14:paraId="6DCE367D" w14:textId="0B50A7AD" w:rsidR="00BC165D" w:rsidRDefault="00BC165D" w:rsidP="00656793">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number of new medical licenses rose to 1,184 in 2014, from 721 in 2010 and 547 in 2007. About half (45%) of the licenses were issued to graduates of medical schools in Israel and about one third (34%) to physicians trained in Eastern Europe. The number of graduates trained in Israel rose to 536, from 417 the previous year and 344 in 2010. In parallel, the number of Israelis who had trained abroad rose </w:t>
      </w:r>
      <w:r w:rsidR="001E3517">
        <w:rPr>
          <w:rFonts w:ascii="Times New Roman" w:hAnsi="Times New Roman" w:cs="Times New Roman"/>
          <w:sz w:val="24"/>
          <w:szCs w:val="24"/>
        </w:rPr>
        <w:t xml:space="preserve">to </w:t>
      </w:r>
      <w:r>
        <w:rPr>
          <w:rFonts w:ascii="Times New Roman" w:hAnsi="Times New Roman" w:cs="Times New Roman"/>
          <w:sz w:val="24"/>
          <w:szCs w:val="24"/>
        </w:rPr>
        <w:t xml:space="preserve">437 in 2014, from 188 in 2010 and 111 in 2005. These account for 37%, 26%, and 18% of all new licenses, </w:t>
      </w:r>
      <w:r>
        <w:rPr>
          <w:rFonts w:ascii="Times New Roman" w:hAnsi="Times New Roman" w:cs="Times New Roman"/>
          <w:sz w:val="24"/>
          <w:szCs w:val="24"/>
        </w:rPr>
        <w:lastRenderedPageBreak/>
        <w:t xml:space="preserve">respectively. In 2014 about half the licenses granted to graduates who had trained abroad were </w:t>
      </w:r>
      <w:r w:rsidR="001E3517">
        <w:rPr>
          <w:rFonts w:ascii="Times New Roman" w:hAnsi="Times New Roman" w:cs="Times New Roman"/>
          <w:sz w:val="24"/>
          <w:szCs w:val="24"/>
        </w:rPr>
        <w:t>issued</w:t>
      </w:r>
      <w:r>
        <w:rPr>
          <w:rFonts w:ascii="Times New Roman" w:hAnsi="Times New Roman" w:cs="Times New Roman"/>
          <w:sz w:val="24"/>
          <w:szCs w:val="24"/>
        </w:rPr>
        <w:t xml:space="preserve"> in Hungary (90), Jordan (70), Romania (69), and Italy (44). The percentage of licenses granted to women has been steady in the last three </w:t>
      </w:r>
      <w:r w:rsidR="00656793">
        <w:rPr>
          <w:rFonts w:ascii="Times New Roman" w:hAnsi="Times New Roman" w:cs="Times New Roman"/>
          <w:sz w:val="24"/>
          <w:szCs w:val="24"/>
        </w:rPr>
        <w:t xml:space="preserve">reported </w:t>
      </w:r>
      <w:r>
        <w:rPr>
          <w:rFonts w:ascii="Times New Roman" w:hAnsi="Times New Roman" w:cs="Times New Roman"/>
          <w:sz w:val="24"/>
          <w:szCs w:val="24"/>
        </w:rPr>
        <w:t>years, at 42% (51% of graduates trained in Israel and 23% of Israelis who graduated abroad).</w:t>
      </w:r>
    </w:p>
    <w:p w14:paraId="0FE4A6C2" w14:textId="77777777" w:rsidR="00BC165D" w:rsidRDefault="00BC165D" w:rsidP="00993C57">
      <w:pPr>
        <w:autoSpaceDE w:val="0"/>
        <w:autoSpaceDN w:val="0"/>
        <w:bidi w:val="0"/>
        <w:adjustRightInd w:val="0"/>
        <w:spacing w:line="360" w:lineRule="auto"/>
        <w:jc w:val="both"/>
        <w:rPr>
          <w:rFonts w:ascii="Times New Roman" w:hAnsi="Times New Roman" w:cs="Times New Roman"/>
          <w:sz w:val="24"/>
          <w:szCs w:val="24"/>
        </w:rPr>
      </w:pPr>
    </w:p>
    <w:p w14:paraId="23E44F0A" w14:textId="4D24E39A" w:rsidR="00BC165D" w:rsidRPr="00993C57" w:rsidRDefault="00BC165D" w:rsidP="00F95DC4">
      <w:pPr>
        <w:autoSpaceDE w:val="0"/>
        <w:autoSpaceDN w:val="0"/>
        <w:bidi w:val="0"/>
        <w:adjustRightInd w:val="0"/>
        <w:spacing w:line="360" w:lineRule="auto"/>
        <w:jc w:val="both"/>
        <w:rPr>
          <w:rFonts w:ascii="Times New Roman" w:hAnsi="Times New Roman" w:cs="Times New Roman"/>
          <w:sz w:val="24"/>
          <w:szCs w:val="24"/>
          <w:rtl/>
        </w:rPr>
      </w:pPr>
      <w:r w:rsidRPr="00993C57">
        <w:rPr>
          <w:rFonts w:ascii="Times New Roman" w:hAnsi="Times New Roman" w:cs="Times New Roman"/>
          <w:b/>
          <w:bCs/>
          <w:sz w:val="24"/>
          <w:szCs w:val="24"/>
        </w:rPr>
        <w:t>Ratio of physicians below the age of 65 to 1,000</w:t>
      </w:r>
      <w:r w:rsidR="00AB54B9">
        <w:rPr>
          <w:rFonts w:ascii="Times New Roman" w:hAnsi="Times New Roman" w:cs="Times New Roman"/>
          <w:b/>
          <w:bCs/>
          <w:sz w:val="24"/>
          <w:szCs w:val="24"/>
        </w:rPr>
        <w:t xml:space="preserve"> </w:t>
      </w:r>
      <w:r w:rsidRPr="00993C57">
        <w:rPr>
          <w:rFonts w:ascii="Times New Roman" w:hAnsi="Times New Roman" w:cs="Times New Roman"/>
          <w:b/>
          <w:bCs/>
          <w:sz w:val="24"/>
          <w:szCs w:val="24"/>
        </w:rPr>
        <w:t>persons, 1990-2014</w:t>
      </w:r>
      <w:r w:rsidR="00BC69EF">
        <w:rPr>
          <w:rFonts w:ascii="Times New Roman" w:hAnsi="Times New Roman" w:cs="Times New Roman"/>
          <w:b/>
          <w:bCs/>
          <w:sz w:val="24"/>
          <w:szCs w:val="24"/>
        </w:rPr>
        <w:t xml:space="preserve"> </w:t>
      </w:r>
      <w:r w:rsidR="00BC69EF" w:rsidRPr="00F95DC4">
        <w:rPr>
          <w:rFonts w:ascii="Times New Roman" w:hAnsi="Times New Roman" w:cs="Times New Roman"/>
          <w:sz w:val="24"/>
          <w:szCs w:val="24"/>
        </w:rPr>
        <w:t>(1</w:t>
      </w:r>
      <w:r w:rsidR="00F104C6" w:rsidRPr="00F95DC4">
        <w:rPr>
          <w:rFonts w:ascii="Times New Roman" w:hAnsi="Times New Roman" w:cs="Times New Roman"/>
          <w:sz w:val="24"/>
          <w:szCs w:val="24"/>
        </w:rPr>
        <w:t>8</w:t>
      </w:r>
      <w:r w:rsidR="00BC69EF" w:rsidRPr="00F95DC4">
        <w:rPr>
          <w:rFonts w:ascii="Times New Roman" w:hAnsi="Times New Roman" w:cs="Times New Roman"/>
          <w:sz w:val="24"/>
          <w:szCs w:val="24"/>
        </w:rPr>
        <w:t>)</w:t>
      </w:r>
    </w:p>
    <w:p w14:paraId="08B8ECDC" w14:textId="77777777" w:rsidR="00BC165D" w:rsidRDefault="00BC165D" w:rsidP="000414BB">
      <w:pPr>
        <w:autoSpaceDE w:val="0"/>
        <w:autoSpaceDN w:val="0"/>
        <w:adjustRightInd w:val="0"/>
        <w:spacing w:after="0" w:line="240" w:lineRule="auto"/>
        <w:jc w:val="both"/>
        <w:rPr>
          <w:rFonts w:ascii="David" w:cs="David"/>
          <w:sz w:val="24"/>
          <w:szCs w:val="24"/>
          <w:rtl/>
        </w:rPr>
      </w:pPr>
      <w:r>
        <w:rPr>
          <w:rFonts w:ascii="David" w:cs="David" w:hint="cs"/>
          <w:noProof/>
          <w:sz w:val="24"/>
          <w:szCs w:val="24"/>
        </w:rPr>
        <w:drawing>
          <wp:inline distT="0" distB="0" distL="0" distR="0" wp14:anchorId="6137EAA1" wp14:editId="393111FB">
            <wp:extent cx="4508500" cy="1936750"/>
            <wp:effectExtent l="0" t="0" r="6350" b="635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1936750"/>
                    </a:xfrm>
                    <a:prstGeom prst="rect">
                      <a:avLst/>
                    </a:prstGeom>
                    <a:noFill/>
                    <a:ln>
                      <a:noFill/>
                    </a:ln>
                  </pic:spPr>
                </pic:pic>
              </a:graphicData>
            </a:graphic>
          </wp:inline>
        </w:drawing>
      </w:r>
    </w:p>
    <w:p w14:paraId="303D519E" w14:textId="77777777" w:rsidR="00656793" w:rsidRDefault="00656793" w:rsidP="007E55DE">
      <w:pPr>
        <w:autoSpaceDE w:val="0"/>
        <w:autoSpaceDN w:val="0"/>
        <w:bidi w:val="0"/>
        <w:adjustRightInd w:val="0"/>
        <w:spacing w:line="360" w:lineRule="auto"/>
        <w:jc w:val="both"/>
        <w:rPr>
          <w:rFonts w:ascii="Times New Roman" w:hAnsi="Times New Roman" w:cs="Times New Roman"/>
          <w:sz w:val="24"/>
          <w:szCs w:val="24"/>
        </w:rPr>
      </w:pPr>
    </w:p>
    <w:p w14:paraId="198CEA4C" w14:textId="758C480D" w:rsidR="00BC165D" w:rsidRDefault="00BC165D" w:rsidP="00656793">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of the end of 2014, Israel had 34,231 registered physicians, of whom 25,637 were below the age of 65 and 30,683 were below the age of 75. The ratio </w:t>
      </w:r>
      <w:r w:rsidR="00FC5303">
        <w:rPr>
          <w:rFonts w:ascii="Times New Roman" w:hAnsi="Times New Roman" w:cs="Times New Roman"/>
          <w:sz w:val="24"/>
          <w:szCs w:val="24"/>
        </w:rPr>
        <w:t xml:space="preserve">of </w:t>
      </w:r>
      <w:r>
        <w:rPr>
          <w:rFonts w:ascii="Times New Roman" w:hAnsi="Times New Roman" w:cs="Times New Roman"/>
          <w:sz w:val="24"/>
          <w:szCs w:val="24"/>
        </w:rPr>
        <w:t>physicians below the age of 65 dropped to 3.09 per 1,000 persons, from 3.11 the previous year and 3.39 at the end of 2005 (a 5% decrease). In 2014 a quarter (25%) of registered physicians were age</w:t>
      </w:r>
      <w:r w:rsidR="00FC5303">
        <w:rPr>
          <w:rFonts w:ascii="Times New Roman" w:hAnsi="Times New Roman" w:cs="Times New Roman"/>
          <w:sz w:val="24"/>
          <w:szCs w:val="24"/>
        </w:rPr>
        <w:t>d</w:t>
      </w:r>
      <w:r>
        <w:rPr>
          <w:rFonts w:ascii="Times New Roman" w:hAnsi="Times New Roman" w:cs="Times New Roman"/>
          <w:sz w:val="24"/>
          <w:szCs w:val="24"/>
        </w:rPr>
        <w:t xml:space="preserve"> 65 and above, a 17% increase from 2005, and about one third (30%) were below the age of 45, a 34% decrease from 2005. The percentage of female physicians relative to all licensed physicians below the age of 65 rose to 43% (from 39% in 2000). As of the end of 2014, the percentage of graduates who had trained in Israel rose to 42% of all physicians below the age of 65, compared with 36% in 2000, and to 52% of all physicians below the age of 45, compared with 41% in 2000. A third (30%) had trained in the former Soviet Union, 5% had trained in Romania, 5% in Italy, and the rest (18%) had completed medical school in other countries.</w:t>
      </w:r>
    </w:p>
    <w:p w14:paraId="3C384063" w14:textId="77777777" w:rsidR="00BC165D" w:rsidRDefault="00BC165D" w:rsidP="007E55DE">
      <w:pPr>
        <w:autoSpaceDE w:val="0"/>
        <w:autoSpaceDN w:val="0"/>
        <w:bidi w:val="0"/>
        <w:adjustRightInd w:val="0"/>
        <w:spacing w:line="360" w:lineRule="auto"/>
        <w:jc w:val="both"/>
        <w:rPr>
          <w:rFonts w:ascii="Times New Roman" w:hAnsi="Times New Roman" w:cs="Times New Roman"/>
          <w:sz w:val="24"/>
          <w:szCs w:val="24"/>
        </w:rPr>
      </w:pPr>
    </w:p>
    <w:p w14:paraId="35520B29" w14:textId="5371D774" w:rsidR="00BC165D" w:rsidRPr="002549F5" w:rsidRDefault="00BC165D" w:rsidP="00F95DC4">
      <w:pPr>
        <w:autoSpaceDE w:val="0"/>
        <w:autoSpaceDN w:val="0"/>
        <w:bidi w:val="0"/>
        <w:adjustRightInd w:val="0"/>
        <w:spacing w:line="360" w:lineRule="auto"/>
        <w:jc w:val="both"/>
        <w:rPr>
          <w:rFonts w:ascii="Times New Roman" w:hAnsi="Times New Roman" w:cs="Times New Roman"/>
          <w:sz w:val="24"/>
          <w:szCs w:val="24"/>
          <w:rtl/>
        </w:rPr>
      </w:pPr>
      <w:r w:rsidRPr="002549F5">
        <w:rPr>
          <w:rFonts w:ascii="Times New Roman" w:hAnsi="Times New Roman" w:cs="Times New Roman"/>
          <w:b/>
          <w:bCs/>
          <w:sz w:val="24"/>
          <w:szCs w:val="24"/>
        </w:rPr>
        <w:t>Ratio of practicing physicians to 1,000 persons by district, 2013-2015 (three-year average)</w:t>
      </w:r>
      <w:r w:rsidR="00F104C6">
        <w:rPr>
          <w:rFonts w:ascii="Times New Roman" w:hAnsi="Times New Roman" w:cs="Times New Roman"/>
          <w:b/>
          <w:bCs/>
          <w:sz w:val="24"/>
          <w:szCs w:val="24"/>
        </w:rPr>
        <w:t xml:space="preserve"> </w:t>
      </w:r>
      <w:r w:rsidR="00F104C6" w:rsidRPr="00F95DC4">
        <w:rPr>
          <w:rFonts w:ascii="Times New Roman" w:hAnsi="Times New Roman" w:cs="Times New Roman"/>
          <w:sz w:val="24"/>
          <w:szCs w:val="24"/>
        </w:rPr>
        <w:t>(18)</w:t>
      </w:r>
    </w:p>
    <w:p w14:paraId="2782EC34" w14:textId="77777777" w:rsidR="00BC165D" w:rsidRDefault="00BC165D" w:rsidP="000414BB">
      <w:pPr>
        <w:autoSpaceDE w:val="0"/>
        <w:autoSpaceDN w:val="0"/>
        <w:adjustRightInd w:val="0"/>
        <w:spacing w:after="0" w:line="240" w:lineRule="auto"/>
        <w:jc w:val="both"/>
        <w:rPr>
          <w:rFonts w:ascii="David" w:cs="David"/>
          <w:sz w:val="24"/>
          <w:szCs w:val="24"/>
          <w:rtl/>
        </w:rPr>
      </w:pPr>
      <w:r>
        <w:rPr>
          <w:noProof/>
        </w:rPr>
        <w:lastRenderedPageBreak/>
        <w:drawing>
          <wp:inline distT="0" distB="0" distL="0" distR="0" wp14:anchorId="2A8BAED0" wp14:editId="4BBE393A">
            <wp:extent cx="2822960" cy="1587500"/>
            <wp:effectExtent l="19050" t="19050" r="15875" b="1270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8779" cy="1590772"/>
                    </a:xfrm>
                    <a:prstGeom prst="rect">
                      <a:avLst/>
                    </a:prstGeom>
                    <a:ln>
                      <a:solidFill>
                        <a:schemeClr val="accent5">
                          <a:lumMod val="60000"/>
                          <a:lumOff val="40000"/>
                        </a:schemeClr>
                      </a:solidFill>
                    </a:ln>
                  </pic:spPr>
                </pic:pic>
              </a:graphicData>
            </a:graphic>
          </wp:inline>
        </w:drawing>
      </w:r>
    </w:p>
    <w:p w14:paraId="64AC453B" w14:textId="77777777" w:rsidR="00BC165D" w:rsidRDefault="00BC165D" w:rsidP="000414BB">
      <w:pPr>
        <w:autoSpaceDE w:val="0"/>
        <w:autoSpaceDN w:val="0"/>
        <w:adjustRightInd w:val="0"/>
        <w:spacing w:after="0" w:line="240" w:lineRule="auto"/>
        <w:jc w:val="both"/>
        <w:rPr>
          <w:rFonts w:ascii="David" w:cs="David"/>
          <w:sz w:val="24"/>
          <w:szCs w:val="24"/>
          <w:rtl/>
        </w:rPr>
      </w:pPr>
    </w:p>
    <w:p w14:paraId="3FE8C711" w14:textId="77777777" w:rsidR="00BC165D" w:rsidRDefault="00BC165D" w:rsidP="000414BB">
      <w:pPr>
        <w:autoSpaceDE w:val="0"/>
        <w:autoSpaceDN w:val="0"/>
        <w:adjustRightInd w:val="0"/>
        <w:spacing w:after="0" w:line="360" w:lineRule="auto"/>
        <w:jc w:val="both"/>
        <w:rPr>
          <w:rFonts w:ascii="David" w:cs="David"/>
          <w:sz w:val="24"/>
          <w:szCs w:val="24"/>
          <w:rtl/>
        </w:rPr>
      </w:pPr>
    </w:p>
    <w:p w14:paraId="6147D455" w14:textId="52C4A9AD" w:rsidR="00BC165D" w:rsidRDefault="00BC165D" w:rsidP="002549F5">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data indicate that the highest ratio of physicians to 1,000 persons is in the Tel Aviv District, while the lowest ratios are in the Southern and Northern Districts. This fact points to the differences between the center and the peripheries in terms of accessibility to healthcare services.</w:t>
      </w:r>
    </w:p>
    <w:p w14:paraId="3C694F2F" w14:textId="77777777" w:rsidR="00BC165D" w:rsidRDefault="00BC165D" w:rsidP="00764FFF">
      <w:pPr>
        <w:autoSpaceDE w:val="0"/>
        <w:autoSpaceDN w:val="0"/>
        <w:bidi w:val="0"/>
        <w:adjustRightInd w:val="0"/>
        <w:spacing w:line="360" w:lineRule="auto"/>
        <w:jc w:val="both"/>
        <w:rPr>
          <w:rFonts w:ascii="Times New Roman" w:hAnsi="Times New Roman" w:cs="Times New Roman"/>
          <w:sz w:val="24"/>
          <w:szCs w:val="24"/>
        </w:rPr>
      </w:pPr>
    </w:p>
    <w:p w14:paraId="37E3F359" w14:textId="4C6663D1" w:rsidR="00BC165D" w:rsidRDefault="00BC165D" w:rsidP="00E8728D">
      <w:pPr>
        <w:autoSpaceDE w:val="0"/>
        <w:autoSpaceDN w:val="0"/>
        <w:bidi w:val="0"/>
        <w:adjustRightInd w:val="0"/>
        <w:spacing w:line="360" w:lineRule="auto"/>
        <w:jc w:val="both"/>
        <w:rPr>
          <w:rFonts w:ascii="Times New Roman" w:hAnsi="Times New Roman" w:cs="Times New Roman"/>
          <w:sz w:val="24"/>
          <w:szCs w:val="24"/>
        </w:rPr>
      </w:pPr>
      <w:commentRangeStart w:id="19"/>
      <w:r>
        <w:rPr>
          <w:rFonts w:ascii="Times New Roman" w:hAnsi="Times New Roman" w:cs="Times New Roman"/>
          <w:b/>
          <w:bCs/>
          <w:sz w:val="24"/>
          <w:szCs w:val="24"/>
        </w:rPr>
        <w:t>Medical specialties in crisis</w:t>
      </w:r>
      <w:commentRangeEnd w:id="19"/>
      <w:r>
        <w:rPr>
          <w:rStyle w:val="CommentReference"/>
        </w:rPr>
        <w:commentReference w:id="19"/>
      </w:r>
    </w:p>
    <w:p w14:paraId="67145384" w14:textId="2D2FDAE4" w:rsidR="00BC165D" w:rsidRDefault="00BC165D" w:rsidP="00684893">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For various reasons, many medical specialties suffer from a shortage of personnel, an infrastructure that cannot meet the needs, an increasing workload, and remuneration that is incommensurate with the crisis. As a consequence good physicians are deterred from applying for these positions</w:t>
      </w:r>
      <w:r w:rsidR="00684893">
        <w:rPr>
          <w:rFonts w:ascii="Times New Roman" w:hAnsi="Times New Roman" w:cs="Times New Roman"/>
          <w:sz w:val="24"/>
          <w:szCs w:val="24"/>
        </w:rPr>
        <w:t>,</w:t>
      </w:r>
      <w:r>
        <w:rPr>
          <w:rFonts w:ascii="Times New Roman" w:hAnsi="Times New Roman" w:cs="Times New Roman"/>
          <w:sz w:val="24"/>
          <w:szCs w:val="24"/>
        </w:rPr>
        <w:t xml:space="preserve"> and physicians at all levels – department heads, specialists, and residents – “flee” elsewhere, which raises serious concerns about the future of these specialties. Ultimately the crisis is most evident in personnel shortage</w:t>
      </w:r>
      <w:r w:rsidR="00684893">
        <w:rPr>
          <w:rFonts w:ascii="Times New Roman" w:hAnsi="Times New Roman" w:cs="Times New Roman"/>
          <w:sz w:val="24"/>
          <w:szCs w:val="24"/>
        </w:rPr>
        <w:t>s</w:t>
      </w:r>
      <w:r>
        <w:rPr>
          <w:rFonts w:ascii="Times New Roman" w:hAnsi="Times New Roman" w:cs="Times New Roman"/>
          <w:sz w:val="24"/>
          <w:szCs w:val="24"/>
        </w:rPr>
        <w:t xml:space="preserve"> and heavy workload</w:t>
      </w:r>
      <w:r w:rsidR="00684893">
        <w:rPr>
          <w:rFonts w:ascii="Times New Roman" w:hAnsi="Times New Roman" w:cs="Times New Roman"/>
          <w:sz w:val="24"/>
          <w:szCs w:val="24"/>
        </w:rPr>
        <w:t>s</w:t>
      </w:r>
      <w:r>
        <w:rPr>
          <w:rFonts w:ascii="Times New Roman" w:hAnsi="Times New Roman" w:cs="Times New Roman"/>
          <w:sz w:val="24"/>
          <w:szCs w:val="24"/>
        </w:rPr>
        <w:t>, the direct effects of which are first and foremost an impaired ability on the part of medical staff to provide proper medical care, inferior patient services, frustration, stress and burnout among physicians, and an inefficient system.</w:t>
      </w:r>
    </w:p>
    <w:p w14:paraId="5A6DB084" w14:textId="1FED3133" w:rsidR="00BC165D" w:rsidRDefault="00BC165D" w:rsidP="00212540">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characteristics of this crisis vary by specialty. An examination of the medical profession as a single case reveals a number of key characteristics: </w:t>
      </w:r>
      <w:r w:rsidR="00684893">
        <w:rPr>
          <w:rFonts w:ascii="Times New Roman" w:hAnsi="Times New Roman" w:cs="Times New Roman"/>
          <w:sz w:val="24"/>
          <w:szCs w:val="24"/>
        </w:rPr>
        <w:t xml:space="preserve">a </w:t>
      </w:r>
      <w:r>
        <w:rPr>
          <w:rFonts w:ascii="Times New Roman" w:hAnsi="Times New Roman" w:cs="Times New Roman"/>
          <w:sz w:val="24"/>
          <w:szCs w:val="24"/>
        </w:rPr>
        <w:t>shortage of physicians, a workload that impairs the medical staff’s ability to provide proper medical care, the percentage of active on-call shifts, a high number of on-duty shifts, an impaired quality of life, and a shortage of residents.</w:t>
      </w:r>
    </w:p>
    <w:p w14:paraId="35E42BAE" w14:textId="6AB30623" w:rsidR="00BC165D" w:rsidRDefault="00BC165D" w:rsidP="00684893">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Israel Medical Association (IMA) lists the following as </w:t>
      </w:r>
      <w:r w:rsidR="00684893">
        <w:rPr>
          <w:rFonts w:ascii="Times New Roman" w:hAnsi="Times New Roman" w:cs="Times New Roman"/>
          <w:sz w:val="24"/>
          <w:szCs w:val="24"/>
        </w:rPr>
        <w:t>specialties in crisis</w:t>
      </w:r>
      <w:r>
        <w:rPr>
          <w:rFonts w:ascii="Times New Roman" w:hAnsi="Times New Roman" w:cs="Times New Roman"/>
          <w:sz w:val="24"/>
          <w:szCs w:val="24"/>
        </w:rPr>
        <w:t xml:space="preserve">: neonatology, pediatric oncological hematology, family medicine, surgery, internal medicine, physical and rehabilitative medicine, pediatric intensive care, general intensive care, pathology, child and adolescent psychology, emergency medicine, </w:t>
      </w:r>
      <w:r>
        <w:rPr>
          <w:rFonts w:ascii="Times New Roman" w:hAnsi="Times New Roman" w:cs="Times New Roman"/>
          <w:sz w:val="24"/>
          <w:szCs w:val="24"/>
        </w:rPr>
        <w:lastRenderedPageBreak/>
        <w:t xml:space="preserve">geriatrics, and anesthesia. In addition, the IMA identified a number of fields where the crisis stems from lack of positions: </w:t>
      </w:r>
      <w:r w:rsidRPr="00E9229F">
        <w:rPr>
          <w:rFonts w:ascii="Times New Roman" w:hAnsi="Times New Roman" w:cs="Times New Roman"/>
          <w:sz w:val="24"/>
          <w:szCs w:val="24"/>
        </w:rPr>
        <w:t xml:space="preserve">nephrology, oncology, imaging (Roentgen), medical administration, </w:t>
      </w:r>
      <w:r>
        <w:rPr>
          <w:rFonts w:ascii="Times New Roman" w:hAnsi="Times New Roman" w:cs="Times New Roman"/>
          <w:sz w:val="24"/>
          <w:szCs w:val="24"/>
        </w:rPr>
        <w:t xml:space="preserve">and </w:t>
      </w:r>
      <w:r w:rsidRPr="00E9229F">
        <w:rPr>
          <w:rFonts w:ascii="Times New Roman" w:hAnsi="Times New Roman" w:cs="Times New Roman"/>
          <w:sz w:val="24"/>
          <w:szCs w:val="24"/>
        </w:rPr>
        <w:t>hematological oncology</w:t>
      </w:r>
      <w:r>
        <w:rPr>
          <w:rFonts w:ascii="Times New Roman" w:hAnsi="Times New Roman" w:cs="Times New Roman"/>
          <w:sz w:val="24"/>
          <w:szCs w:val="24"/>
        </w:rPr>
        <w:t>.</w:t>
      </w:r>
    </w:p>
    <w:p w14:paraId="2B9E5D87" w14:textId="68F1FDE3" w:rsidR="00BC165D" w:rsidRDefault="00BC165D" w:rsidP="00E9229F">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IMA, the following solutions could improve the current situation:</w:t>
      </w:r>
    </w:p>
    <w:p w14:paraId="1362334F" w14:textId="28F8E95B" w:rsidR="00BC165D" w:rsidRDefault="00BC165D" w:rsidP="0061140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Increasing the current bonuses (specializations that do not currently provide a special bonus would be granted one based on the existing rate) – as a response to the physician shortage.</w:t>
      </w:r>
    </w:p>
    <w:p w14:paraId="71D66484" w14:textId="4F1CD6B4" w:rsidR="00BC165D" w:rsidRDefault="00BC165D" w:rsidP="0047434E">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Full-time work – based on specific consideration of each specialty: Currently physicians divide their work across several positions. Full commitment by physicians to the public healthcare system will make senior physicians available at hospitals throughout their working hours and strengthen physician-patient relations, among other things.</w:t>
      </w:r>
    </w:p>
    <w:p w14:paraId="20658B03" w14:textId="75C2BAA7" w:rsidR="00BC165D" w:rsidRDefault="00BC165D" w:rsidP="0047434E">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By agreement between the physician and the employer, the aim would be to have physicians carry out all their work at their principal workplace, rather than work for several employers. In addition, various wage levels should be established on the basis of the current wages.</w:t>
      </w:r>
    </w:p>
    <w:p w14:paraId="4A7F80D1" w14:textId="555A0939" w:rsidR="00BC165D" w:rsidRDefault="00BC165D" w:rsidP="00E41DD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Grants to attract physicians to a specialty (incentives to choose the specialty).</w:t>
      </w:r>
    </w:p>
    <w:p w14:paraId="7A20BA54" w14:textId="39FF546F" w:rsidR="00BC165D" w:rsidRDefault="00BC165D" w:rsidP="00E41DD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Department heads – increasing the number of department heads.</w:t>
      </w:r>
    </w:p>
    <w:p w14:paraId="6E75D87E" w14:textId="5E97CE91" w:rsidR="00BC165D" w:rsidRDefault="00BC165D" w:rsidP="00E41DD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Increasing on-call shifts so that each specialty has a physician on-call every day of the month.</w:t>
      </w:r>
    </w:p>
    <w:p w14:paraId="17F2F46E" w14:textId="351332F6" w:rsidR="00BC165D" w:rsidRDefault="00BC165D" w:rsidP="00E41DD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Increasing on-call shifts to ensure a minimal number of specialists per department.</w:t>
      </w:r>
    </w:p>
    <w:p w14:paraId="3C96D24C" w14:textId="484E5AC5" w:rsidR="00BC165D" w:rsidRDefault="00BC165D" w:rsidP="00E41DD4">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Preventing burnout – reducing the number of weekly work hours.</w:t>
      </w:r>
    </w:p>
    <w:p w14:paraId="7D228662" w14:textId="6BCC6DAF" w:rsidR="00BC165D" w:rsidRDefault="00BC165D" w:rsidP="00C96373">
      <w:pPr>
        <w:numPr>
          <w:ilvl w:val="0"/>
          <w:numId w:val="20"/>
        </w:num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Position-specific bonuses.</w:t>
      </w:r>
    </w:p>
    <w:p w14:paraId="61EA1249" w14:textId="51636B22" w:rsidR="00BC165D" w:rsidRDefault="00BC165D" w:rsidP="00F95DC4">
      <w:pPr>
        <w:numPr>
          <w:ilvl w:val="0"/>
          <w:numId w:val="20"/>
        </w:numPr>
        <w:autoSpaceDE w:val="0"/>
        <w:autoSpaceDN w:val="0"/>
        <w:bidi w:val="0"/>
        <w:adjustRightInd w:val="0"/>
        <w:spacing w:line="360" w:lineRule="auto"/>
        <w:jc w:val="both"/>
        <w:rPr>
          <w:rFonts w:ascii="Times New Roman" w:hAnsi="Times New Roman" w:cs="Times New Roman"/>
          <w:sz w:val="24"/>
          <w:szCs w:val="24"/>
        </w:rPr>
      </w:pPr>
      <w:commentRangeStart w:id="20"/>
      <w:r>
        <w:rPr>
          <w:rFonts w:ascii="Times New Roman" w:hAnsi="Times New Roman" w:cs="Times New Roman"/>
          <w:sz w:val="24"/>
          <w:szCs w:val="24"/>
        </w:rPr>
        <w:t>Specialist on-duty shifts – at different rates (multiple working days)</w:t>
      </w:r>
      <w:commentRangeEnd w:id="20"/>
      <w:r>
        <w:rPr>
          <w:rStyle w:val="CommentReference"/>
        </w:rPr>
        <w:commentReference w:id="20"/>
      </w:r>
      <w:r>
        <w:rPr>
          <w:rFonts w:ascii="Times New Roman" w:hAnsi="Times New Roman" w:cs="Times New Roman"/>
          <w:sz w:val="24"/>
          <w:szCs w:val="24"/>
        </w:rPr>
        <w:t>. (This recommendation applies not only to specialties in crisis).</w:t>
      </w:r>
      <w:r w:rsidR="00F104C6">
        <w:rPr>
          <w:rFonts w:ascii="Times New Roman" w:hAnsi="Times New Roman" w:cs="Times New Roman"/>
          <w:sz w:val="24"/>
          <w:szCs w:val="24"/>
        </w:rPr>
        <w:t>(19)</w:t>
      </w:r>
    </w:p>
    <w:p w14:paraId="7D67D9DB" w14:textId="77777777" w:rsidR="00BC165D" w:rsidRDefault="00BC165D" w:rsidP="00C96373">
      <w:pPr>
        <w:autoSpaceDE w:val="0"/>
        <w:autoSpaceDN w:val="0"/>
        <w:bidi w:val="0"/>
        <w:adjustRightInd w:val="0"/>
        <w:spacing w:line="360" w:lineRule="auto"/>
        <w:jc w:val="both"/>
        <w:rPr>
          <w:rFonts w:ascii="Times New Roman" w:hAnsi="Times New Roman" w:cs="Times New Roman"/>
          <w:sz w:val="24"/>
          <w:szCs w:val="24"/>
        </w:rPr>
      </w:pPr>
    </w:p>
    <w:p w14:paraId="141D9D3F" w14:textId="22D78D1D" w:rsidR="00BC165D" w:rsidRDefault="00BC165D" w:rsidP="00DC1D1E">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Forecast of physician supply for 2025</w:t>
      </w:r>
    </w:p>
    <w:p w14:paraId="424D483C" w14:textId="1AF35581" w:rsidR="00BC165D" w:rsidRDefault="00BC165D" w:rsidP="00A0401C">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Over the years various commissions </w:t>
      </w:r>
      <w:r w:rsidR="00A0401C">
        <w:rPr>
          <w:rFonts w:ascii="Times New Roman" w:hAnsi="Times New Roman" w:cs="Times New Roman"/>
          <w:sz w:val="24"/>
          <w:szCs w:val="24"/>
        </w:rPr>
        <w:t>have</w:t>
      </w:r>
      <w:r>
        <w:rPr>
          <w:rFonts w:ascii="Times New Roman" w:hAnsi="Times New Roman" w:cs="Times New Roman"/>
          <w:sz w:val="24"/>
          <w:szCs w:val="24"/>
        </w:rPr>
        <w:t xml:space="preserve"> been appointed in Israel to address personnel planning in the health professions. A 2010 report by the </w:t>
      </w:r>
      <w:r w:rsidRPr="00DC1D1E">
        <w:rPr>
          <w:rFonts w:ascii="Times New Roman" w:hAnsi="Times New Roman" w:cs="Times New Roman"/>
          <w:sz w:val="24"/>
          <w:szCs w:val="24"/>
        </w:rPr>
        <w:t>Committee for Planning Medical and Nursing Human Resources</w:t>
      </w:r>
      <w:r>
        <w:rPr>
          <w:rFonts w:ascii="Times New Roman" w:hAnsi="Times New Roman" w:cs="Times New Roman"/>
          <w:sz w:val="24"/>
          <w:szCs w:val="24"/>
        </w:rPr>
        <w:t xml:space="preserve"> included a long-term projection based on existing data, </w:t>
      </w:r>
      <w:r w:rsidR="00A0401C">
        <w:rPr>
          <w:rFonts w:ascii="Times New Roman" w:hAnsi="Times New Roman" w:cs="Times New Roman"/>
          <w:sz w:val="24"/>
          <w:szCs w:val="24"/>
        </w:rPr>
        <w:t>aimed at forecasting</w:t>
      </w:r>
      <w:r>
        <w:rPr>
          <w:rFonts w:ascii="Times New Roman" w:hAnsi="Times New Roman" w:cs="Times New Roman"/>
          <w:sz w:val="24"/>
          <w:szCs w:val="24"/>
        </w:rPr>
        <w:t xml:space="preserve"> the </w:t>
      </w:r>
      <w:r w:rsidR="00A0401C">
        <w:rPr>
          <w:rFonts w:ascii="Times New Roman" w:hAnsi="Times New Roman" w:cs="Times New Roman"/>
          <w:sz w:val="24"/>
          <w:szCs w:val="24"/>
        </w:rPr>
        <w:t xml:space="preserve">workforce </w:t>
      </w:r>
      <w:r>
        <w:rPr>
          <w:rFonts w:ascii="Times New Roman" w:hAnsi="Times New Roman" w:cs="Times New Roman"/>
          <w:sz w:val="24"/>
          <w:szCs w:val="24"/>
        </w:rPr>
        <w:t>supply of physicians and nurses in the healthcare system.</w:t>
      </w:r>
    </w:p>
    <w:p w14:paraId="19A09F20" w14:textId="6E11EA10" w:rsidR="00BC165D" w:rsidRDefault="00BC165D" w:rsidP="00F95DC4">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measuring the rate at which personnel are trained in Israel and abroad against physician retirement rates as well as physician-to-patient ratios in various other countries, the Committee decided to recommend a </w:t>
      </w:r>
      <w:commentRangeStart w:id="21"/>
      <w:r w:rsidRPr="00D43449">
        <w:rPr>
          <w:rFonts w:ascii="Times New Roman" w:hAnsi="Times New Roman" w:cs="Times New Roman"/>
          <w:b/>
          <w:bCs/>
          <w:sz w:val="24"/>
          <w:szCs w:val="24"/>
        </w:rPr>
        <w:t>ratio of 2.9 physicians to 1,000 persons as a minimum point of reference</w:t>
      </w:r>
      <w:commentRangeEnd w:id="21"/>
      <w:r w:rsidR="00D43449">
        <w:rPr>
          <w:rStyle w:val="CommentReference"/>
        </w:rPr>
        <w:commentReference w:id="21"/>
      </w:r>
      <w:r>
        <w:rPr>
          <w:rFonts w:ascii="Times New Roman" w:hAnsi="Times New Roman" w:cs="Times New Roman"/>
          <w:sz w:val="24"/>
          <w:szCs w:val="24"/>
        </w:rPr>
        <w:t>.</w:t>
      </w:r>
      <w:r w:rsidR="00F104C6">
        <w:rPr>
          <w:rFonts w:ascii="Times New Roman" w:hAnsi="Times New Roman" w:cs="Times New Roman"/>
          <w:sz w:val="24"/>
          <w:szCs w:val="24"/>
        </w:rPr>
        <w:t>(20)</w:t>
      </w:r>
    </w:p>
    <w:p w14:paraId="1FDE1191" w14:textId="48711FEC" w:rsidR="00BC165D" w:rsidRDefault="00BC165D" w:rsidP="00A0401C">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its calculations, and </w:t>
      </w:r>
      <w:r w:rsidR="00A0401C">
        <w:rPr>
          <w:rFonts w:ascii="Times New Roman" w:hAnsi="Times New Roman" w:cs="Times New Roman"/>
          <w:sz w:val="24"/>
          <w:szCs w:val="24"/>
        </w:rPr>
        <w:t>assuming</w:t>
      </w:r>
      <w:r>
        <w:rPr>
          <w:rFonts w:ascii="Times New Roman" w:hAnsi="Times New Roman" w:cs="Times New Roman"/>
          <w:sz w:val="24"/>
          <w:szCs w:val="24"/>
        </w:rPr>
        <w:t xml:space="preserve"> that the physician-to-patient ratio in Israel would continue to decline in the coming years, the Committee concluded that absent any intervention aimed at </w:t>
      </w:r>
      <w:r w:rsidR="00A0401C">
        <w:rPr>
          <w:rFonts w:ascii="Times New Roman" w:hAnsi="Times New Roman" w:cs="Times New Roman"/>
          <w:sz w:val="24"/>
          <w:szCs w:val="24"/>
        </w:rPr>
        <w:t>increasing the number</w:t>
      </w:r>
      <w:r>
        <w:rPr>
          <w:rFonts w:ascii="Times New Roman" w:hAnsi="Times New Roman" w:cs="Times New Roman"/>
          <w:sz w:val="24"/>
          <w:szCs w:val="24"/>
        </w:rPr>
        <w:t xml:space="preserve"> of physicians </w:t>
      </w:r>
      <w:r w:rsidR="00A0401C">
        <w:rPr>
          <w:rFonts w:ascii="Times New Roman" w:hAnsi="Times New Roman" w:cs="Times New Roman"/>
          <w:sz w:val="24"/>
          <w:szCs w:val="24"/>
        </w:rPr>
        <w:t>who enter</w:t>
      </w:r>
      <w:r>
        <w:rPr>
          <w:rFonts w:ascii="Times New Roman" w:hAnsi="Times New Roman" w:cs="Times New Roman"/>
          <w:sz w:val="24"/>
          <w:szCs w:val="24"/>
        </w:rPr>
        <w:t xml:space="preserve"> the healthcare system, the physician-to-patient ratio is expected to reach 2.83 physicians per 1,000 residents by 2020 and 2.6 by 2025. To reach the desired ratio, the Committee recommended expanding the capacity of existing training centers as well as establishing a fifth medical school, encouraging physicians trained abroad to return to Israel, and reducing the numbers of foreign students who study in Israel, as needed, in order to train more Israelis. </w:t>
      </w:r>
    </w:p>
    <w:p w14:paraId="330DBA53" w14:textId="77777777" w:rsidR="00BC165D" w:rsidRDefault="00BC165D" w:rsidP="00BB6BFF">
      <w:pPr>
        <w:autoSpaceDE w:val="0"/>
        <w:autoSpaceDN w:val="0"/>
        <w:bidi w:val="0"/>
        <w:adjustRightInd w:val="0"/>
        <w:spacing w:line="360" w:lineRule="auto"/>
        <w:jc w:val="both"/>
        <w:rPr>
          <w:rFonts w:ascii="Times New Roman" w:hAnsi="Times New Roman" w:cs="Times New Roman"/>
          <w:sz w:val="24"/>
          <w:szCs w:val="24"/>
        </w:rPr>
      </w:pPr>
    </w:p>
    <w:p w14:paraId="30B1CF1B" w14:textId="30630731" w:rsidR="00BC165D" w:rsidRDefault="00BC165D" w:rsidP="00BB6BFF">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Nurses</w:t>
      </w:r>
    </w:p>
    <w:p w14:paraId="6217A81C" w14:textId="3944F803" w:rsidR="00BC165D" w:rsidRDefault="00BC165D" w:rsidP="00D13A74">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 the years the nursing profession and Israel has undergone significant changes, foremost among which was that it became an academic profession. Simultaneously, the </w:t>
      </w:r>
      <w:commentRangeStart w:id="22"/>
      <w:r>
        <w:rPr>
          <w:rFonts w:ascii="Times New Roman" w:hAnsi="Times New Roman" w:cs="Times New Roman"/>
          <w:sz w:val="24"/>
          <w:szCs w:val="24"/>
        </w:rPr>
        <w:t xml:space="preserve">training track for nurses who are not registered practical nurses </w:t>
      </w:r>
      <w:commentRangeEnd w:id="22"/>
      <w:r>
        <w:rPr>
          <w:rStyle w:val="CommentReference"/>
        </w:rPr>
        <w:commentReference w:id="22"/>
      </w:r>
      <w:r>
        <w:rPr>
          <w:rFonts w:ascii="Times New Roman" w:hAnsi="Times New Roman" w:cs="Times New Roman"/>
          <w:sz w:val="24"/>
          <w:szCs w:val="24"/>
        </w:rPr>
        <w:t xml:space="preserve">was </w:t>
      </w:r>
      <w:r w:rsidR="00A0401C">
        <w:rPr>
          <w:rFonts w:ascii="Times New Roman" w:hAnsi="Times New Roman" w:cs="Times New Roman"/>
          <w:sz w:val="24"/>
          <w:szCs w:val="24"/>
        </w:rPr>
        <w:t>scaled back</w:t>
      </w:r>
      <w:r>
        <w:rPr>
          <w:rFonts w:ascii="Times New Roman" w:hAnsi="Times New Roman" w:cs="Times New Roman"/>
          <w:sz w:val="24"/>
          <w:szCs w:val="24"/>
        </w:rPr>
        <w:t>. The decrease</w:t>
      </w:r>
      <w:r w:rsidR="00D13A74">
        <w:rPr>
          <w:rFonts w:ascii="Times New Roman" w:hAnsi="Times New Roman" w:cs="Times New Roman"/>
          <w:sz w:val="24"/>
          <w:szCs w:val="24"/>
        </w:rPr>
        <w:t xml:space="preserve"> in</w:t>
      </w:r>
      <w:r>
        <w:rPr>
          <w:rFonts w:ascii="Times New Roman" w:hAnsi="Times New Roman" w:cs="Times New Roman"/>
          <w:sz w:val="24"/>
          <w:szCs w:val="24"/>
        </w:rPr>
        <w:t xml:space="preserve"> number of practical nurses without a commensurate increase in the number of new registered nurses, alongside reduced immigration to Israel, have contributed to a decline in the number of new nurses who join the healthcare system each year. This trend, along with the fact that in most states the ratio of nurses is on an upward trend, led to a considerable drop in the ratio of nurses in Israel compared with most OECD states, to the extent that Israel is currently experiencing a significant nursing storage.</w:t>
      </w:r>
      <w:r w:rsidR="00F104C6">
        <w:rPr>
          <w:rFonts w:ascii="Times New Roman" w:hAnsi="Times New Roman" w:cs="Times New Roman"/>
          <w:sz w:val="24"/>
          <w:szCs w:val="24"/>
        </w:rPr>
        <w:t>(20)</w:t>
      </w:r>
    </w:p>
    <w:p w14:paraId="394F3FD3" w14:textId="77777777" w:rsidR="00BC165D" w:rsidRDefault="00BC165D" w:rsidP="002808A2">
      <w:pPr>
        <w:autoSpaceDE w:val="0"/>
        <w:autoSpaceDN w:val="0"/>
        <w:bidi w:val="0"/>
        <w:adjustRightInd w:val="0"/>
        <w:spacing w:line="360" w:lineRule="auto"/>
        <w:jc w:val="both"/>
        <w:rPr>
          <w:rFonts w:ascii="Times New Roman" w:hAnsi="Times New Roman" w:cs="Times New Roman"/>
          <w:sz w:val="24"/>
          <w:szCs w:val="24"/>
        </w:rPr>
      </w:pPr>
    </w:p>
    <w:p w14:paraId="4BD27726" w14:textId="404D6B89" w:rsidR="00BC165D" w:rsidRDefault="00BC165D" w:rsidP="00F95DC4">
      <w:pPr>
        <w:autoSpaceDE w:val="0"/>
        <w:autoSpaceDN w:val="0"/>
        <w:bidi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Ratio of nurses to 1,000 persons – 2016</w:t>
      </w:r>
      <w:r w:rsidR="00F104C6">
        <w:rPr>
          <w:rFonts w:ascii="Times New Roman" w:hAnsi="Times New Roman" w:cs="Times New Roman"/>
          <w:b/>
          <w:bCs/>
          <w:sz w:val="24"/>
          <w:szCs w:val="24"/>
        </w:rPr>
        <w:t xml:space="preserve"> </w:t>
      </w:r>
      <w:r w:rsidR="00F104C6" w:rsidRPr="00F104C6">
        <w:rPr>
          <w:rFonts w:ascii="Times New Roman" w:hAnsi="Times New Roman" w:cs="Times New Roman"/>
          <w:sz w:val="24"/>
          <w:szCs w:val="24"/>
        </w:rPr>
        <w:t>(12)</w:t>
      </w:r>
    </w:p>
    <w:p w14:paraId="65D91EF7" w14:textId="77777777" w:rsidR="00BC165D" w:rsidRDefault="00BC165D" w:rsidP="000414BB">
      <w:pPr>
        <w:spacing w:line="360" w:lineRule="auto"/>
        <w:jc w:val="both"/>
        <w:rPr>
          <w:rFonts w:cs="David"/>
          <w:b/>
          <w:bCs/>
          <w:sz w:val="24"/>
          <w:szCs w:val="24"/>
          <w:u w:val="single"/>
          <w:rtl/>
        </w:rPr>
      </w:pPr>
      <w:r>
        <w:rPr>
          <w:rFonts w:cs="David"/>
          <w:b/>
          <w:bCs/>
          <w:noProof/>
          <w:sz w:val="24"/>
          <w:szCs w:val="24"/>
          <w:u w:val="single"/>
        </w:rPr>
        <w:drawing>
          <wp:inline distT="0" distB="0" distL="0" distR="0" wp14:anchorId="5BA653D7" wp14:editId="16EB3CEB">
            <wp:extent cx="5276850" cy="248285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482850"/>
                    </a:xfrm>
                    <a:prstGeom prst="rect">
                      <a:avLst/>
                    </a:prstGeom>
                    <a:noFill/>
                    <a:ln>
                      <a:noFill/>
                    </a:ln>
                  </pic:spPr>
                </pic:pic>
              </a:graphicData>
            </a:graphic>
          </wp:inline>
        </w:drawing>
      </w:r>
    </w:p>
    <w:p w14:paraId="30506263" w14:textId="5AC282E9" w:rsidR="00BC165D" w:rsidRDefault="00BC165D" w:rsidP="00D13A74">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only is the ratio of nurses to 1,000 persons in Israel one of the lowest among OECD states, it is also </w:t>
      </w:r>
      <w:r w:rsidR="00D13A74">
        <w:rPr>
          <w:rFonts w:ascii="Times New Roman" w:hAnsi="Times New Roman" w:cs="Times New Roman"/>
          <w:sz w:val="24"/>
          <w:szCs w:val="24"/>
        </w:rPr>
        <w:t>continuing to fall</w:t>
      </w:r>
      <w:r>
        <w:rPr>
          <w:rFonts w:ascii="Times New Roman" w:hAnsi="Times New Roman" w:cs="Times New Roman"/>
          <w:sz w:val="24"/>
          <w:szCs w:val="24"/>
        </w:rPr>
        <w:t>. In Israel the ratio of nurses to 1,000 persons is 5.0, whereas the OECD average is 9.3 nurses per 1,000 persons.</w:t>
      </w:r>
    </w:p>
    <w:p w14:paraId="67397872" w14:textId="77777777" w:rsidR="00BC165D" w:rsidRDefault="00BC165D" w:rsidP="002808A2">
      <w:pPr>
        <w:autoSpaceDE w:val="0"/>
        <w:autoSpaceDN w:val="0"/>
        <w:bidi w:val="0"/>
        <w:adjustRightInd w:val="0"/>
        <w:spacing w:line="360" w:lineRule="auto"/>
        <w:jc w:val="both"/>
        <w:rPr>
          <w:rFonts w:ascii="Times New Roman" w:hAnsi="Times New Roman" w:cs="Times New Roman"/>
          <w:sz w:val="24"/>
          <w:szCs w:val="24"/>
        </w:rPr>
      </w:pPr>
    </w:p>
    <w:p w14:paraId="22CEA97F" w14:textId="75234D32" w:rsidR="00BC165D" w:rsidRDefault="00BC165D" w:rsidP="00F95DC4">
      <w:pPr>
        <w:autoSpaceDE w:val="0"/>
        <w:autoSpaceDN w:val="0"/>
        <w:bidi w:val="0"/>
        <w:adjustRightInd w:val="0"/>
        <w:spacing w:after="0" w:line="360" w:lineRule="auto"/>
        <w:jc w:val="both"/>
        <w:rPr>
          <w:rFonts w:ascii="Times New Roman" w:hAnsi="Times New Roman" w:cs="Times New Roman"/>
          <w:b/>
          <w:bCs/>
          <w:sz w:val="24"/>
          <w:szCs w:val="24"/>
          <w:rtl/>
        </w:rPr>
      </w:pPr>
      <w:r>
        <w:rPr>
          <w:rFonts w:ascii="Times New Roman" w:hAnsi="Times New Roman" w:cs="Times New Roman"/>
          <w:b/>
          <w:bCs/>
          <w:sz w:val="24"/>
          <w:szCs w:val="24"/>
        </w:rPr>
        <w:t>Issuance of new licenses by year of receipt</w:t>
      </w:r>
      <w:r w:rsidR="00F104C6">
        <w:rPr>
          <w:rFonts w:ascii="Times New Roman" w:hAnsi="Times New Roman" w:cs="Times New Roman"/>
          <w:b/>
          <w:bCs/>
          <w:sz w:val="24"/>
          <w:szCs w:val="24"/>
        </w:rPr>
        <w:t xml:space="preserve"> </w:t>
      </w:r>
      <w:r w:rsidR="00F104C6">
        <w:rPr>
          <w:rFonts w:ascii="Times New Roman" w:hAnsi="Times New Roman" w:cs="Times New Roman"/>
          <w:sz w:val="24"/>
          <w:szCs w:val="24"/>
        </w:rPr>
        <w:t>(18)</w:t>
      </w:r>
    </w:p>
    <w:p w14:paraId="19221924" w14:textId="7D3D9CB7" w:rsidR="00BC165D" w:rsidRPr="002808A2" w:rsidRDefault="00BC165D" w:rsidP="002808A2">
      <w:pPr>
        <w:autoSpaceDE w:val="0"/>
        <w:autoSpaceDN w:val="0"/>
        <w:bidi w:val="0"/>
        <w:adjustRightInd w:val="0"/>
        <w:spacing w:line="360" w:lineRule="auto"/>
        <w:jc w:val="both"/>
        <w:rPr>
          <w:rFonts w:ascii="Times New Roman" w:hAnsi="Times New Roman" w:cs="Times New Roman"/>
          <w:b/>
          <w:bCs/>
          <w:sz w:val="20"/>
          <w:szCs w:val="20"/>
        </w:rPr>
      </w:pPr>
      <w:r w:rsidRPr="002808A2">
        <w:rPr>
          <w:rFonts w:ascii="Times New Roman" w:hAnsi="Times New Roman" w:cs="Times New Roman"/>
          <w:b/>
          <w:bCs/>
          <w:sz w:val="20"/>
          <w:szCs w:val="20"/>
        </w:rPr>
        <w:t xml:space="preserve">New licenses, not including </w:t>
      </w:r>
      <w:r>
        <w:rPr>
          <w:rFonts w:ascii="Times New Roman" w:hAnsi="Times New Roman" w:cs="Times New Roman"/>
          <w:b/>
          <w:bCs/>
          <w:sz w:val="20"/>
          <w:szCs w:val="20"/>
        </w:rPr>
        <w:t>re</w:t>
      </w:r>
      <w:r w:rsidRPr="002808A2">
        <w:rPr>
          <w:rFonts w:ascii="Times New Roman" w:hAnsi="Times New Roman" w:cs="Times New Roman"/>
          <w:b/>
          <w:bCs/>
          <w:sz w:val="20"/>
          <w:szCs w:val="20"/>
        </w:rPr>
        <w:t>certification of practical nurses as registered nurses</w:t>
      </w:r>
    </w:p>
    <w:p w14:paraId="4D30F12B" w14:textId="77777777" w:rsidR="00BC165D" w:rsidRPr="009C1AA9" w:rsidRDefault="00BC165D" w:rsidP="000414BB">
      <w:pPr>
        <w:autoSpaceDE w:val="0"/>
        <w:autoSpaceDN w:val="0"/>
        <w:adjustRightInd w:val="0"/>
        <w:spacing w:after="0" w:line="240" w:lineRule="auto"/>
        <w:jc w:val="both"/>
        <w:rPr>
          <w:rStyle w:val="Strong"/>
          <w:rFonts w:cs="David"/>
          <w:sz w:val="16"/>
          <w:szCs w:val="16"/>
          <w:u w:val="single"/>
          <w:rtl/>
        </w:rPr>
      </w:pPr>
      <w:r>
        <w:rPr>
          <w:rFonts w:cs="David" w:hint="cs"/>
          <w:b/>
          <w:bCs/>
          <w:noProof/>
          <w:sz w:val="24"/>
          <w:szCs w:val="24"/>
          <w:u w:val="single"/>
        </w:rPr>
        <w:drawing>
          <wp:anchor distT="0" distB="0" distL="114300" distR="114300" simplePos="0" relativeHeight="251664384" behindDoc="0" locked="0" layoutInCell="1" allowOverlap="1" wp14:anchorId="598CC6BB" wp14:editId="362FFCE0">
            <wp:simplePos x="0" y="0"/>
            <wp:positionH relativeFrom="column">
              <wp:posOffset>516255</wp:posOffset>
            </wp:positionH>
            <wp:positionV relativeFrom="paragraph">
              <wp:posOffset>99695</wp:posOffset>
            </wp:positionV>
            <wp:extent cx="4745990" cy="2006600"/>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599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67797" w14:textId="384F9A4C" w:rsidR="00BC165D" w:rsidRDefault="00BC165D" w:rsidP="002808A2">
      <w:pPr>
        <w:autoSpaceDE w:val="0"/>
        <w:autoSpaceDN w:val="0"/>
        <w:bidi w:val="0"/>
        <w:adjustRightInd w:val="0"/>
        <w:spacing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In 2002 a total of 1,789 new licenses were issued. After 2002 there was a downward trend until 2012. In 2014 a total of 1,973 new licenses were issued, after which there was another downward trend.</w:t>
      </w:r>
    </w:p>
    <w:p w14:paraId="197BAAAE" w14:textId="77777777" w:rsidR="00BC165D" w:rsidRDefault="00BC165D" w:rsidP="00B33A7A">
      <w:pPr>
        <w:autoSpaceDE w:val="0"/>
        <w:autoSpaceDN w:val="0"/>
        <w:bidi w:val="0"/>
        <w:adjustRightInd w:val="0"/>
        <w:spacing w:line="360" w:lineRule="auto"/>
        <w:jc w:val="both"/>
        <w:rPr>
          <w:rStyle w:val="Strong"/>
          <w:rFonts w:ascii="Times New Roman" w:hAnsi="Times New Roman" w:cs="Times New Roman"/>
          <w:b w:val="0"/>
          <w:bCs w:val="0"/>
          <w:sz w:val="24"/>
          <w:szCs w:val="24"/>
        </w:rPr>
      </w:pPr>
    </w:p>
    <w:p w14:paraId="60DF1B37" w14:textId="66555C9D" w:rsidR="00BC165D" w:rsidRPr="002808A2" w:rsidRDefault="00BC165D" w:rsidP="00F95DC4">
      <w:pPr>
        <w:autoSpaceDE w:val="0"/>
        <w:autoSpaceDN w:val="0"/>
        <w:bidi w:val="0"/>
        <w:adjustRightInd w:val="0"/>
        <w:spacing w:line="360" w:lineRule="auto"/>
        <w:jc w:val="both"/>
        <w:rPr>
          <w:rStyle w:val="Strong"/>
          <w:rFonts w:ascii="Times New Roman" w:hAnsi="Times New Roman" w:cs="Times New Roman"/>
          <w:b w:val="0"/>
          <w:bCs w:val="0"/>
          <w:sz w:val="24"/>
          <w:szCs w:val="24"/>
        </w:rPr>
      </w:pPr>
      <w:r w:rsidRPr="00B33A7A">
        <w:rPr>
          <w:rStyle w:val="Strong"/>
          <w:rFonts w:ascii="Times New Roman" w:hAnsi="Times New Roman" w:cs="Times New Roman"/>
          <w:sz w:val="24"/>
          <w:szCs w:val="24"/>
        </w:rPr>
        <w:t>Ratio of nurses below age 65 to 1,000 persons, 2000-2015</w:t>
      </w:r>
      <w:r w:rsidR="00F104C6">
        <w:rPr>
          <w:rStyle w:val="Strong"/>
          <w:rFonts w:ascii="Times New Roman" w:hAnsi="Times New Roman" w:cs="Times New Roman"/>
          <w:sz w:val="24"/>
          <w:szCs w:val="24"/>
        </w:rPr>
        <w:t xml:space="preserve"> </w:t>
      </w:r>
      <w:r w:rsidR="00F104C6">
        <w:rPr>
          <w:rStyle w:val="Strong"/>
          <w:rFonts w:ascii="Times New Roman" w:hAnsi="Times New Roman" w:cs="Times New Roman"/>
          <w:b w:val="0"/>
          <w:bCs w:val="0"/>
          <w:sz w:val="24"/>
          <w:szCs w:val="24"/>
        </w:rPr>
        <w:t>(18)</w:t>
      </w:r>
    </w:p>
    <w:p w14:paraId="0D4E53AD" w14:textId="790B7A9A" w:rsidR="00BC165D" w:rsidRDefault="00BC165D" w:rsidP="000414BB">
      <w:pPr>
        <w:autoSpaceDE w:val="0"/>
        <w:autoSpaceDN w:val="0"/>
        <w:adjustRightInd w:val="0"/>
        <w:spacing w:after="0" w:line="360" w:lineRule="auto"/>
        <w:jc w:val="both"/>
        <w:rPr>
          <w:rFonts w:ascii="David" w:cs="David"/>
          <w:b/>
          <w:bCs/>
          <w:sz w:val="24"/>
          <w:szCs w:val="24"/>
          <w:u w:val="single"/>
          <w:rtl/>
        </w:rPr>
      </w:pPr>
      <w:r>
        <w:rPr>
          <w:rFonts w:ascii="David" w:cs="David" w:hint="cs"/>
          <w:b/>
          <w:bCs/>
          <w:noProof/>
          <w:sz w:val="24"/>
          <w:szCs w:val="24"/>
          <w:u w:val="single"/>
        </w:rPr>
        <w:lastRenderedPageBreak/>
        <w:drawing>
          <wp:anchor distT="0" distB="0" distL="114300" distR="114300" simplePos="0" relativeHeight="251665408" behindDoc="1" locked="0" layoutInCell="1" allowOverlap="1" wp14:anchorId="03850314" wp14:editId="20D3C0D4">
            <wp:simplePos x="0" y="0"/>
            <wp:positionH relativeFrom="column">
              <wp:posOffset>527685</wp:posOffset>
            </wp:positionH>
            <wp:positionV relativeFrom="paragraph">
              <wp:posOffset>109220</wp:posOffset>
            </wp:positionV>
            <wp:extent cx="4742180" cy="2012950"/>
            <wp:effectExtent l="0" t="0" r="1270" b="6350"/>
            <wp:wrapThrough wrapText="bothSides">
              <wp:wrapPolygon edited="0">
                <wp:start x="0" y="0"/>
                <wp:lineTo x="0" y="21464"/>
                <wp:lineTo x="21519" y="21464"/>
                <wp:lineTo x="21519" y="0"/>
                <wp:lineTo x="0" y="0"/>
              </wp:wrapPolygon>
            </wp:wrapThrough>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218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D710" w14:textId="77777777" w:rsidR="00BC165D" w:rsidRPr="00965851" w:rsidRDefault="00BC165D" w:rsidP="000414BB">
      <w:pPr>
        <w:autoSpaceDE w:val="0"/>
        <w:autoSpaceDN w:val="0"/>
        <w:adjustRightInd w:val="0"/>
        <w:spacing w:after="0" w:line="360" w:lineRule="auto"/>
        <w:jc w:val="both"/>
        <w:rPr>
          <w:rFonts w:ascii="David" w:cs="David"/>
          <w:b/>
          <w:bCs/>
          <w:sz w:val="24"/>
          <w:szCs w:val="24"/>
          <w:u w:val="single"/>
          <w:rtl/>
        </w:rPr>
      </w:pPr>
    </w:p>
    <w:p w14:paraId="690331AA"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3A953115"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0888C2CE"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01A619F4"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5C3E5332"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5E0A8FC9"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563B0987" w14:textId="77777777" w:rsidR="00BC165D" w:rsidRDefault="00BC165D" w:rsidP="000414BB">
      <w:pPr>
        <w:autoSpaceDE w:val="0"/>
        <w:autoSpaceDN w:val="0"/>
        <w:adjustRightInd w:val="0"/>
        <w:spacing w:after="0" w:line="360" w:lineRule="auto"/>
        <w:jc w:val="both"/>
        <w:rPr>
          <w:rFonts w:ascii="David" w:cs="David"/>
          <w:b/>
          <w:bCs/>
          <w:sz w:val="24"/>
          <w:szCs w:val="24"/>
          <w:highlight w:val="yellow"/>
          <w:u w:val="single"/>
          <w:rtl/>
        </w:rPr>
      </w:pPr>
    </w:p>
    <w:p w14:paraId="7B4602D6" w14:textId="77777777" w:rsidR="00BC165D" w:rsidRDefault="00BC165D" w:rsidP="000414BB">
      <w:pPr>
        <w:autoSpaceDE w:val="0"/>
        <w:autoSpaceDN w:val="0"/>
        <w:adjustRightInd w:val="0"/>
        <w:spacing w:after="0" w:line="360" w:lineRule="auto"/>
        <w:jc w:val="both"/>
        <w:rPr>
          <w:rFonts w:ascii="David" w:cs="David"/>
          <w:sz w:val="24"/>
          <w:szCs w:val="24"/>
        </w:rPr>
      </w:pPr>
    </w:p>
    <w:p w14:paraId="47E7C7D3" w14:textId="6208EAE0" w:rsidR="00BC165D" w:rsidRDefault="00BC165D" w:rsidP="00B33A7A">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the above graph indicates, the total number of nurses below age 65 is on a downward trend.</w:t>
      </w:r>
    </w:p>
    <w:p w14:paraId="0B278592" w14:textId="77777777" w:rsidR="00BC165D" w:rsidRDefault="00BC165D" w:rsidP="00B33A7A">
      <w:pPr>
        <w:autoSpaceDE w:val="0"/>
        <w:autoSpaceDN w:val="0"/>
        <w:bidi w:val="0"/>
        <w:adjustRightInd w:val="0"/>
        <w:spacing w:line="360" w:lineRule="auto"/>
        <w:jc w:val="both"/>
        <w:rPr>
          <w:rFonts w:ascii="Times New Roman" w:hAnsi="Times New Roman" w:cs="Times New Roman"/>
          <w:sz w:val="24"/>
          <w:szCs w:val="24"/>
        </w:rPr>
      </w:pPr>
    </w:p>
    <w:p w14:paraId="41456584" w14:textId="73CEF123" w:rsidR="00BC165D" w:rsidRPr="00B33A7A" w:rsidRDefault="00BC165D" w:rsidP="00F95DC4">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of practicing nurses to 1,000 persons, by district, 2013-2015 (three-year average)</w:t>
      </w:r>
      <w:r w:rsidR="00F104C6">
        <w:rPr>
          <w:rFonts w:ascii="Times New Roman" w:hAnsi="Times New Roman" w:cs="Times New Roman"/>
          <w:b/>
          <w:bCs/>
          <w:sz w:val="24"/>
          <w:szCs w:val="24"/>
        </w:rPr>
        <w:t xml:space="preserve"> </w:t>
      </w:r>
      <w:r w:rsidR="00F104C6">
        <w:rPr>
          <w:rFonts w:ascii="Times New Roman" w:hAnsi="Times New Roman" w:cs="Times New Roman"/>
          <w:sz w:val="24"/>
          <w:szCs w:val="24"/>
        </w:rPr>
        <w:t>(18)</w:t>
      </w:r>
    </w:p>
    <w:p w14:paraId="05A1876F" w14:textId="77777777" w:rsidR="00BC165D" w:rsidRDefault="00BC165D" w:rsidP="000414BB">
      <w:pPr>
        <w:autoSpaceDE w:val="0"/>
        <w:autoSpaceDN w:val="0"/>
        <w:adjustRightInd w:val="0"/>
        <w:spacing w:after="0" w:line="360" w:lineRule="auto"/>
        <w:jc w:val="both"/>
        <w:rPr>
          <w:rFonts w:ascii="David" w:cs="David"/>
          <w:b/>
          <w:bCs/>
          <w:sz w:val="24"/>
          <w:szCs w:val="24"/>
          <w:highlight w:val="yellow"/>
          <w:rtl/>
        </w:rPr>
      </w:pPr>
      <w:r>
        <w:rPr>
          <w:noProof/>
        </w:rPr>
        <w:drawing>
          <wp:inline distT="0" distB="0" distL="0" distR="0" wp14:anchorId="76993F15" wp14:editId="70160010">
            <wp:extent cx="3398934" cy="1593850"/>
            <wp:effectExtent l="19050" t="19050" r="11430" b="2540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1041" cy="1599528"/>
                    </a:xfrm>
                    <a:prstGeom prst="rect">
                      <a:avLst/>
                    </a:prstGeom>
                    <a:ln>
                      <a:solidFill>
                        <a:schemeClr val="accent5">
                          <a:lumMod val="60000"/>
                          <a:lumOff val="40000"/>
                        </a:schemeClr>
                      </a:solidFill>
                    </a:ln>
                  </pic:spPr>
                </pic:pic>
              </a:graphicData>
            </a:graphic>
          </wp:inline>
        </w:drawing>
      </w:r>
    </w:p>
    <w:p w14:paraId="5A75E2F6" w14:textId="77777777" w:rsidR="00BC165D" w:rsidRDefault="00BC165D" w:rsidP="000414BB">
      <w:pPr>
        <w:spacing w:after="120" w:line="360" w:lineRule="auto"/>
        <w:jc w:val="both"/>
        <w:rPr>
          <w:rFonts w:ascii="David" w:hAnsi="David" w:cs="David"/>
          <w:sz w:val="24"/>
          <w:szCs w:val="24"/>
        </w:rPr>
      </w:pPr>
    </w:p>
    <w:p w14:paraId="7790E6DB" w14:textId="2A959935" w:rsidR="00BC165D" w:rsidRDefault="00BC165D" w:rsidP="00D13A74">
      <w:pPr>
        <w:bidi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evident that there are significant discrepancies among the districts in the ratio of nurses to 1,000 persons. </w:t>
      </w:r>
      <w:r w:rsidR="00D13A74">
        <w:rPr>
          <w:rFonts w:ascii="Times New Roman" w:hAnsi="Times New Roman" w:cs="Times New Roman"/>
          <w:sz w:val="24"/>
          <w:szCs w:val="24"/>
        </w:rPr>
        <w:t>T</w:t>
      </w:r>
      <w:r>
        <w:rPr>
          <w:rFonts w:ascii="Times New Roman" w:hAnsi="Times New Roman" w:cs="Times New Roman"/>
          <w:sz w:val="24"/>
          <w:szCs w:val="24"/>
        </w:rPr>
        <w:t>he ratio is higher in Haifa and Tel Aviv, and lowest in the Southern District.</w:t>
      </w:r>
    </w:p>
    <w:p w14:paraId="136F3050" w14:textId="77777777" w:rsidR="00BC165D" w:rsidRDefault="00BC165D" w:rsidP="00B33A7A">
      <w:pPr>
        <w:bidi w:val="0"/>
        <w:spacing w:after="120" w:line="360" w:lineRule="auto"/>
        <w:jc w:val="both"/>
        <w:rPr>
          <w:rFonts w:ascii="Times New Roman" w:hAnsi="Times New Roman" w:cs="Times New Roman"/>
          <w:sz w:val="24"/>
          <w:szCs w:val="24"/>
        </w:rPr>
      </w:pPr>
    </w:p>
    <w:p w14:paraId="2B9D1CA5" w14:textId="28B4FBFB" w:rsidR="00B33A7A" w:rsidRDefault="00BC165D" w:rsidP="00F95DC4">
      <w:pPr>
        <w:bidi w:val="0"/>
        <w:spacing w:after="120" w:line="360" w:lineRule="auto"/>
        <w:jc w:val="both"/>
        <w:rPr>
          <w:rFonts w:ascii="Times New Roman" w:hAnsi="Times New Roman" w:cs="Times New Roman"/>
          <w:sz w:val="24"/>
          <w:szCs w:val="24"/>
        </w:rPr>
      </w:pPr>
      <w:r w:rsidRPr="00BB0BA6">
        <w:rPr>
          <w:rFonts w:ascii="Times New Roman" w:hAnsi="Times New Roman" w:cs="Times New Roman"/>
          <w:b/>
          <w:bCs/>
          <w:sz w:val="24"/>
          <w:szCs w:val="24"/>
        </w:rPr>
        <w:t xml:space="preserve">Projected </w:t>
      </w:r>
      <w:r w:rsidR="00F95DC4">
        <w:rPr>
          <w:rFonts w:ascii="Times New Roman" w:hAnsi="Times New Roman" w:cs="Times New Roman"/>
          <w:b/>
          <w:bCs/>
          <w:sz w:val="24"/>
          <w:szCs w:val="24"/>
        </w:rPr>
        <w:t xml:space="preserve">workforce </w:t>
      </w:r>
      <w:r w:rsidRPr="00BB0BA6">
        <w:rPr>
          <w:rFonts w:ascii="Times New Roman" w:hAnsi="Times New Roman" w:cs="Times New Roman"/>
          <w:b/>
          <w:bCs/>
          <w:sz w:val="24"/>
          <w:szCs w:val="24"/>
        </w:rPr>
        <w:t>supply of nurses in 2025</w:t>
      </w:r>
      <w:r w:rsidR="00F104C6">
        <w:rPr>
          <w:rFonts w:ascii="Times New Roman" w:hAnsi="Times New Roman" w:cs="Times New Roman"/>
          <w:b/>
          <w:bCs/>
          <w:sz w:val="24"/>
          <w:szCs w:val="24"/>
        </w:rPr>
        <w:t>,</w:t>
      </w:r>
      <w:r w:rsidRPr="00BB0BA6">
        <w:rPr>
          <w:rFonts w:ascii="Times New Roman" w:hAnsi="Times New Roman" w:cs="Times New Roman"/>
          <w:b/>
          <w:bCs/>
          <w:sz w:val="24"/>
          <w:szCs w:val="24"/>
        </w:rPr>
        <w:t xml:space="preserve"> based on an expansion of training programs</w:t>
      </w:r>
      <w:r w:rsidR="00F104C6">
        <w:rPr>
          <w:rFonts w:ascii="Times New Roman" w:hAnsi="Times New Roman" w:cs="Times New Roman"/>
          <w:b/>
          <w:bCs/>
          <w:sz w:val="24"/>
          <w:szCs w:val="24"/>
        </w:rPr>
        <w:t xml:space="preserve"> </w:t>
      </w:r>
      <w:r w:rsidR="00F104C6" w:rsidRPr="00F104C6">
        <w:rPr>
          <w:rFonts w:ascii="Times New Roman" w:hAnsi="Times New Roman" w:cs="Times New Roman"/>
          <w:sz w:val="24"/>
          <w:szCs w:val="24"/>
        </w:rPr>
        <w:t>(20)</w:t>
      </w:r>
      <w:r>
        <w:rPr>
          <w:rFonts w:ascii="Times New Roman" w:hAnsi="Times New Roman" w:cs="Times New Roman"/>
          <w:sz w:val="24"/>
          <w:szCs w:val="24"/>
        </w:rPr>
        <w:t xml:space="preserve"> </w:t>
      </w:r>
    </w:p>
    <w:p w14:paraId="4327C4D1" w14:textId="7F551042" w:rsidR="00BB0BA6" w:rsidRDefault="00BB0BA6" w:rsidP="00D13A74">
      <w:pPr>
        <w:bidi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 basis </w:t>
      </w:r>
      <w:r w:rsidR="00F104C6">
        <w:rPr>
          <w:rFonts w:ascii="Times New Roman" w:hAnsi="Times New Roman" w:cs="Times New Roman"/>
          <w:sz w:val="24"/>
          <w:szCs w:val="24"/>
        </w:rPr>
        <w:t>on which nurses enter</w:t>
      </w:r>
      <w:r>
        <w:rPr>
          <w:rFonts w:ascii="Times New Roman" w:hAnsi="Times New Roman" w:cs="Times New Roman"/>
          <w:sz w:val="24"/>
          <w:szCs w:val="24"/>
        </w:rPr>
        <w:t xml:space="preserve"> the healthcare system is Israel’s </w:t>
      </w:r>
      <w:r w:rsidR="00F104C6">
        <w:rPr>
          <w:rFonts w:ascii="Times New Roman" w:hAnsi="Times New Roman" w:cs="Times New Roman"/>
          <w:sz w:val="24"/>
          <w:szCs w:val="24"/>
        </w:rPr>
        <w:t xml:space="preserve">nursing training </w:t>
      </w:r>
      <w:r>
        <w:rPr>
          <w:rFonts w:ascii="Times New Roman" w:hAnsi="Times New Roman" w:cs="Times New Roman"/>
          <w:sz w:val="24"/>
          <w:szCs w:val="24"/>
        </w:rPr>
        <w:t xml:space="preserve">programs. This is supplemented by the entry of new immigrants, </w:t>
      </w:r>
      <w:r w:rsidR="00D13A74">
        <w:rPr>
          <w:rFonts w:ascii="Times New Roman" w:hAnsi="Times New Roman" w:cs="Times New Roman"/>
          <w:sz w:val="24"/>
          <w:szCs w:val="24"/>
        </w:rPr>
        <w:t>who are relatively few in number</w:t>
      </w:r>
      <w:r>
        <w:rPr>
          <w:rFonts w:ascii="Times New Roman" w:hAnsi="Times New Roman" w:cs="Times New Roman"/>
          <w:sz w:val="24"/>
          <w:szCs w:val="24"/>
        </w:rPr>
        <w:t xml:space="preserve"> and whose impact on the total number of nurses in Israel is insignificant.</w:t>
      </w:r>
    </w:p>
    <w:p w14:paraId="4E274B74" w14:textId="6528F465" w:rsidR="00BB0BA6" w:rsidRDefault="00D3432D" w:rsidP="00D3432D">
      <w:pPr>
        <w:bidi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Using data on the entry of nurses into the healthcare system versus their retirement, the </w:t>
      </w:r>
      <w:r w:rsidRPr="00DC1D1E">
        <w:rPr>
          <w:rFonts w:ascii="Times New Roman" w:hAnsi="Times New Roman" w:cs="Times New Roman"/>
          <w:sz w:val="24"/>
          <w:szCs w:val="24"/>
        </w:rPr>
        <w:t>Committee for Planning Medical and Nursing Human Resources</w:t>
      </w:r>
      <w:r>
        <w:rPr>
          <w:rFonts w:ascii="Times New Roman" w:hAnsi="Times New Roman" w:cs="Times New Roman"/>
          <w:sz w:val="24"/>
          <w:szCs w:val="24"/>
        </w:rPr>
        <w:t xml:space="preserve"> estimated that a ratio of 5.8 nurses to 1,000 persons in 2025 was a preliminary and attainable target, the aim of which would be to stop the downward trend</w:t>
      </w:r>
      <w:r w:rsidR="00624CD2">
        <w:rPr>
          <w:rFonts w:ascii="Times New Roman" w:hAnsi="Times New Roman" w:cs="Times New Roman"/>
          <w:sz w:val="24"/>
          <w:szCs w:val="24"/>
        </w:rPr>
        <w:t>,</w:t>
      </w:r>
      <w:r>
        <w:rPr>
          <w:rFonts w:ascii="Times New Roman" w:hAnsi="Times New Roman" w:cs="Times New Roman"/>
          <w:sz w:val="24"/>
          <w:szCs w:val="24"/>
        </w:rPr>
        <w:t xml:space="preserve"> so that the healthcare system could function properly. However, the Committee also recommended examining the possibility of</w:t>
      </w:r>
      <w:r w:rsidR="00B15DB4">
        <w:rPr>
          <w:rFonts w:ascii="Times New Roman" w:hAnsi="Times New Roman" w:cs="Times New Roman"/>
          <w:sz w:val="24"/>
          <w:szCs w:val="24"/>
        </w:rPr>
        <w:t xml:space="preserve"> raising financial and other resources</w:t>
      </w:r>
      <w:r w:rsidR="00982C3A">
        <w:rPr>
          <w:rFonts w:ascii="Times New Roman" w:hAnsi="Times New Roman" w:cs="Times New Roman"/>
          <w:sz w:val="24"/>
          <w:szCs w:val="24"/>
        </w:rPr>
        <w:t xml:space="preserve"> that would enable more significant growth, in an effort to reach a ratio of 5.6 nurses to 1,000 persons before 2025.</w:t>
      </w:r>
    </w:p>
    <w:p w14:paraId="433F41E9" w14:textId="14DA0A9C" w:rsidR="00982C3A" w:rsidRDefault="00982C3A" w:rsidP="00624CD2">
      <w:pPr>
        <w:bidi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In addition to this ratio, the Committee recommended a 20% increase in the nursing workforce, including the addition of nursing assistants and skilled support staff. The assistan</w:t>
      </w:r>
      <w:r w:rsidR="00624CD2">
        <w:rPr>
          <w:rFonts w:ascii="Times New Roman" w:hAnsi="Times New Roman" w:cs="Times New Roman"/>
          <w:sz w:val="24"/>
          <w:szCs w:val="24"/>
        </w:rPr>
        <w:t>ts</w:t>
      </w:r>
      <w:r>
        <w:rPr>
          <w:rFonts w:ascii="Times New Roman" w:hAnsi="Times New Roman" w:cs="Times New Roman"/>
          <w:sz w:val="24"/>
          <w:szCs w:val="24"/>
        </w:rPr>
        <w:t xml:space="preserve"> would contribute to elderly care, among other areas, thereby freeing registered nurses from basic care and enabling them to focus </w:t>
      </w:r>
      <w:r w:rsidR="00750AA0">
        <w:rPr>
          <w:rFonts w:ascii="Times New Roman" w:hAnsi="Times New Roman" w:cs="Times New Roman"/>
          <w:sz w:val="24"/>
          <w:szCs w:val="24"/>
        </w:rPr>
        <w:t xml:space="preserve">more </w:t>
      </w:r>
      <w:r>
        <w:rPr>
          <w:rFonts w:ascii="Times New Roman" w:hAnsi="Times New Roman" w:cs="Times New Roman"/>
          <w:sz w:val="24"/>
          <w:szCs w:val="24"/>
        </w:rPr>
        <w:t xml:space="preserve">on </w:t>
      </w:r>
      <w:r w:rsidR="00750AA0">
        <w:rPr>
          <w:rFonts w:ascii="Times New Roman" w:hAnsi="Times New Roman" w:cs="Times New Roman"/>
          <w:sz w:val="24"/>
          <w:szCs w:val="24"/>
        </w:rPr>
        <w:t xml:space="preserve">providing </w:t>
      </w:r>
      <w:r>
        <w:rPr>
          <w:rFonts w:ascii="Times New Roman" w:hAnsi="Times New Roman" w:cs="Times New Roman"/>
          <w:sz w:val="24"/>
          <w:szCs w:val="24"/>
        </w:rPr>
        <w:t xml:space="preserve">advanced nursing care to </w:t>
      </w:r>
      <w:r w:rsidR="00624CD2">
        <w:rPr>
          <w:rFonts w:ascii="Times New Roman" w:hAnsi="Times New Roman" w:cs="Times New Roman"/>
          <w:sz w:val="24"/>
          <w:szCs w:val="24"/>
        </w:rPr>
        <w:t xml:space="preserve">severely ill </w:t>
      </w:r>
      <w:r>
        <w:rPr>
          <w:rFonts w:ascii="Times New Roman" w:hAnsi="Times New Roman" w:cs="Times New Roman"/>
          <w:sz w:val="24"/>
          <w:szCs w:val="24"/>
        </w:rPr>
        <w:t>patients.</w:t>
      </w:r>
    </w:p>
    <w:p w14:paraId="4BD56DE8" w14:textId="77777777" w:rsidR="00750AA0" w:rsidRDefault="00750AA0" w:rsidP="00750AA0">
      <w:pPr>
        <w:bidi w:val="0"/>
        <w:spacing w:after="120" w:line="360" w:lineRule="auto"/>
        <w:jc w:val="both"/>
        <w:rPr>
          <w:rFonts w:ascii="Times New Roman" w:hAnsi="Times New Roman" w:cs="Times New Roman"/>
          <w:sz w:val="24"/>
          <w:szCs w:val="24"/>
        </w:rPr>
      </w:pPr>
    </w:p>
    <w:p w14:paraId="55E63BD7" w14:textId="23F4D161" w:rsidR="00750AA0" w:rsidRPr="00101ED3" w:rsidRDefault="00750AA0" w:rsidP="001D51A3">
      <w:pPr>
        <w:bidi w:val="0"/>
        <w:spacing w:after="120" w:line="360" w:lineRule="auto"/>
        <w:jc w:val="both"/>
        <w:rPr>
          <w:rFonts w:ascii="Times New Roman" w:hAnsi="Times New Roman" w:cs="Times New Roman"/>
          <w:b/>
          <w:bCs/>
          <w:sz w:val="28"/>
          <w:szCs w:val="28"/>
          <w:u w:val="single"/>
        </w:rPr>
      </w:pPr>
      <w:r w:rsidRPr="00101ED3">
        <w:rPr>
          <w:rFonts w:ascii="Times New Roman" w:hAnsi="Times New Roman" w:cs="Times New Roman"/>
          <w:b/>
          <w:bCs/>
          <w:sz w:val="28"/>
          <w:szCs w:val="28"/>
          <w:u w:val="single"/>
        </w:rPr>
        <w:t>E. Possible changes in the structure of medical services and its adaptation to evolving needs</w:t>
      </w:r>
    </w:p>
    <w:p w14:paraId="7030D21A" w14:textId="66BC1E11" w:rsidR="00750AA0" w:rsidRDefault="00D1505B" w:rsidP="00750AA0">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healthcare system faces new challenges, as noted above (an aging population, underfunding, and personnel shortage).</w:t>
      </w:r>
    </w:p>
    <w:p w14:paraId="59DA5EAC" w14:textId="48BC4563" w:rsidR="00D1505B" w:rsidRDefault="00D1505B" w:rsidP="003A23B3">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The first and most important change</w:t>
      </w:r>
      <w:r>
        <w:rPr>
          <w:rFonts w:ascii="Times New Roman" w:hAnsi="Times New Roman" w:cs="Times New Roman"/>
          <w:sz w:val="24"/>
          <w:szCs w:val="24"/>
        </w:rPr>
        <w:t xml:space="preserve"> is to bolster primary medicine throughout the community – by increasing </w:t>
      </w:r>
      <w:r w:rsidR="00D43449">
        <w:rPr>
          <w:rFonts w:ascii="Times New Roman" w:hAnsi="Times New Roman" w:cs="Times New Roman"/>
          <w:sz w:val="24"/>
          <w:szCs w:val="24"/>
        </w:rPr>
        <w:t xml:space="preserve">the </w:t>
      </w:r>
      <w:r>
        <w:rPr>
          <w:rFonts w:ascii="Times New Roman" w:hAnsi="Times New Roman" w:cs="Times New Roman"/>
          <w:sz w:val="24"/>
          <w:szCs w:val="24"/>
        </w:rPr>
        <w:t xml:space="preserve">integration and equality </w:t>
      </w:r>
      <w:r w:rsidR="00D43449">
        <w:rPr>
          <w:rFonts w:ascii="Times New Roman" w:hAnsi="Times New Roman" w:cs="Times New Roman"/>
          <w:sz w:val="24"/>
          <w:szCs w:val="24"/>
        </w:rPr>
        <w:t xml:space="preserve">of </w:t>
      </w:r>
      <w:r>
        <w:rPr>
          <w:rFonts w:ascii="Times New Roman" w:hAnsi="Times New Roman" w:cs="Times New Roman"/>
          <w:sz w:val="24"/>
          <w:szCs w:val="24"/>
        </w:rPr>
        <w:t xml:space="preserve">population groups with varied, complex, and changing needs, and concentrating chronic treatment in the hands of the community’s primary care physician and </w:t>
      </w:r>
      <w:r w:rsidR="00D43449">
        <w:rPr>
          <w:rFonts w:ascii="Times New Roman" w:hAnsi="Times New Roman" w:cs="Times New Roman"/>
          <w:sz w:val="24"/>
          <w:szCs w:val="24"/>
        </w:rPr>
        <w:t>support</w:t>
      </w:r>
      <w:r>
        <w:rPr>
          <w:rFonts w:ascii="Times New Roman" w:hAnsi="Times New Roman" w:cs="Times New Roman"/>
          <w:sz w:val="24"/>
          <w:szCs w:val="24"/>
        </w:rPr>
        <w:t xml:space="preserve"> staff. </w:t>
      </w:r>
      <w:commentRangeStart w:id="23"/>
      <w:r>
        <w:rPr>
          <w:rFonts w:ascii="Times New Roman" w:hAnsi="Times New Roman" w:cs="Times New Roman"/>
          <w:sz w:val="24"/>
          <w:szCs w:val="24"/>
        </w:rPr>
        <w:t>Boult and Wieland</w:t>
      </w:r>
      <w:r w:rsidR="00797476">
        <w:rPr>
          <w:rFonts w:ascii="Times New Roman" w:hAnsi="Times New Roman" w:cs="Times New Roman"/>
          <w:sz w:val="24"/>
          <w:szCs w:val="24"/>
        </w:rPr>
        <w:t xml:space="preserve"> (2009)</w:t>
      </w:r>
      <w:r>
        <w:rPr>
          <w:rFonts w:ascii="Times New Roman" w:hAnsi="Times New Roman" w:cs="Times New Roman"/>
          <w:sz w:val="24"/>
          <w:szCs w:val="24"/>
        </w:rPr>
        <w:t xml:space="preserve"> </w:t>
      </w:r>
      <w:commentRangeEnd w:id="23"/>
      <w:r>
        <w:rPr>
          <w:rStyle w:val="CommentReference"/>
        </w:rPr>
        <w:commentReference w:id="23"/>
      </w:r>
      <w:r>
        <w:rPr>
          <w:rFonts w:ascii="Times New Roman" w:hAnsi="Times New Roman" w:cs="Times New Roman"/>
          <w:sz w:val="24"/>
          <w:szCs w:val="24"/>
        </w:rPr>
        <w:t xml:space="preserve">presented a </w:t>
      </w:r>
      <w:r w:rsidR="00D43449">
        <w:rPr>
          <w:rFonts w:ascii="Times New Roman" w:hAnsi="Times New Roman" w:cs="Times New Roman"/>
          <w:sz w:val="24"/>
          <w:szCs w:val="24"/>
        </w:rPr>
        <w:t xml:space="preserve">(basic) </w:t>
      </w:r>
      <w:r>
        <w:rPr>
          <w:rFonts w:ascii="Times New Roman" w:hAnsi="Times New Roman" w:cs="Times New Roman"/>
          <w:sz w:val="24"/>
          <w:szCs w:val="24"/>
        </w:rPr>
        <w:t>comprehensive</w:t>
      </w:r>
      <w:r w:rsidR="00D43449">
        <w:rPr>
          <w:rFonts w:ascii="Times New Roman" w:hAnsi="Times New Roman" w:cs="Times New Roman"/>
          <w:sz w:val="24"/>
          <w:szCs w:val="24"/>
        </w:rPr>
        <w:t xml:space="preserve"> </w:t>
      </w:r>
      <w:r>
        <w:rPr>
          <w:rFonts w:ascii="Times New Roman" w:hAnsi="Times New Roman" w:cs="Times New Roman"/>
          <w:sz w:val="24"/>
          <w:szCs w:val="24"/>
        </w:rPr>
        <w:t xml:space="preserve">primary care model that could provide continuous, effective managed care for </w:t>
      </w:r>
      <w:r w:rsidR="00D43449">
        <w:rPr>
          <w:rFonts w:ascii="Times New Roman" w:hAnsi="Times New Roman" w:cs="Times New Roman"/>
          <w:sz w:val="24"/>
          <w:szCs w:val="24"/>
        </w:rPr>
        <w:t>older</w:t>
      </w:r>
      <w:r>
        <w:rPr>
          <w:rFonts w:ascii="Times New Roman" w:hAnsi="Times New Roman" w:cs="Times New Roman"/>
          <w:sz w:val="24"/>
          <w:szCs w:val="24"/>
        </w:rPr>
        <w:t xml:space="preserve"> patients with a complexity of multiple chronic conditions. This model has the most potential to improve the quality of care and quality of life </w:t>
      </w:r>
      <w:r w:rsidR="004D49E2">
        <w:rPr>
          <w:rFonts w:ascii="Times New Roman" w:hAnsi="Times New Roman" w:cs="Times New Roman"/>
          <w:sz w:val="24"/>
          <w:szCs w:val="24"/>
        </w:rPr>
        <w:t>for</w:t>
      </w:r>
      <w:r>
        <w:rPr>
          <w:rFonts w:ascii="Times New Roman" w:hAnsi="Times New Roman" w:cs="Times New Roman"/>
          <w:sz w:val="24"/>
          <w:szCs w:val="24"/>
        </w:rPr>
        <w:t xml:space="preserve"> patients, while also reducing</w:t>
      </w:r>
      <w:r w:rsidR="004D49E2">
        <w:rPr>
          <w:rFonts w:ascii="Times New Roman" w:hAnsi="Times New Roman" w:cs="Times New Roman"/>
          <w:sz w:val="24"/>
          <w:szCs w:val="24"/>
        </w:rPr>
        <w:t xml:space="preserve"> the cost of their care. It is based on</w:t>
      </w:r>
      <w:r w:rsidR="00D43449">
        <w:rPr>
          <w:rFonts w:ascii="Times New Roman" w:hAnsi="Times New Roman" w:cs="Times New Roman"/>
          <w:sz w:val="24"/>
          <w:szCs w:val="24"/>
        </w:rPr>
        <w:t xml:space="preserve"> </w:t>
      </w:r>
      <w:r w:rsidR="003A23B3">
        <w:rPr>
          <w:rFonts w:ascii="Times New Roman" w:hAnsi="Times New Roman" w:cs="Times New Roman"/>
          <w:sz w:val="24"/>
          <w:szCs w:val="24"/>
        </w:rPr>
        <w:t>team care</w:t>
      </w:r>
      <w:r w:rsidR="004D49E2">
        <w:rPr>
          <w:rFonts w:ascii="Times New Roman" w:hAnsi="Times New Roman" w:cs="Times New Roman"/>
          <w:sz w:val="24"/>
          <w:szCs w:val="24"/>
        </w:rPr>
        <w:t xml:space="preserve"> that includes a primary care physician and at least </w:t>
      </w:r>
      <w:r w:rsidR="003A23B3">
        <w:rPr>
          <w:rFonts w:ascii="Times New Roman" w:hAnsi="Times New Roman" w:cs="Times New Roman"/>
          <w:sz w:val="24"/>
          <w:szCs w:val="24"/>
        </w:rPr>
        <w:t>a nurse and another</w:t>
      </w:r>
      <w:r w:rsidR="004D49E2">
        <w:rPr>
          <w:rFonts w:ascii="Times New Roman" w:hAnsi="Times New Roman" w:cs="Times New Roman"/>
          <w:sz w:val="24"/>
          <w:szCs w:val="24"/>
        </w:rPr>
        <w:t xml:space="preserve"> health specialist who work together with the community.</w:t>
      </w:r>
    </w:p>
    <w:p w14:paraId="48D9CD4B" w14:textId="1ECF98EB" w:rsidR="004D49E2" w:rsidRDefault="004D49E2" w:rsidP="004D49E2">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elements of such care include:</w:t>
      </w:r>
    </w:p>
    <w:p w14:paraId="73BC6DDC" w14:textId="58674160" w:rsidR="004D49E2" w:rsidRDefault="00123CB4" w:rsidP="004D49E2">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D49E2">
        <w:rPr>
          <w:rFonts w:ascii="Times New Roman" w:hAnsi="Times New Roman" w:cs="Times New Roman"/>
          <w:sz w:val="24"/>
          <w:szCs w:val="24"/>
        </w:rPr>
        <w:t>omprehensive diagnosis and assessment</w:t>
      </w:r>
      <w:r>
        <w:rPr>
          <w:rFonts w:ascii="Times New Roman" w:hAnsi="Times New Roman" w:cs="Times New Roman"/>
          <w:sz w:val="24"/>
          <w:szCs w:val="24"/>
        </w:rPr>
        <w:t>;</w:t>
      </w:r>
    </w:p>
    <w:p w14:paraId="70BFD119" w14:textId="22D5E9B7" w:rsidR="004D49E2" w:rsidRDefault="00123CB4" w:rsidP="004D49E2">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4D49E2">
        <w:rPr>
          <w:rFonts w:ascii="Times New Roman" w:hAnsi="Times New Roman" w:cs="Times New Roman"/>
          <w:sz w:val="24"/>
          <w:szCs w:val="24"/>
        </w:rPr>
        <w:t>eveloping a comprehensive treatment plan for the specific patient</w:t>
      </w:r>
      <w:r>
        <w:rPr>
          <w:rFonts w:ascii="Times New Roman" w:hAnsi="Times New Roman" w:cs="Times New Roman"/>
          <w:sz w:val="24"/>
          <w:szCs w:val="24"/>
        </w:rPr>
        <w:t>;</w:t>
      </w:r>
    </w:p>
    <w:p w14:paraId="5400932D" w14:textId="0C2F52FB" w:rsidR="004D49E2" w:rsidRDefault="00123CB4" w:rsidP="004D49E2">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4D49E2">
        <w:rPr>
          <w:rFonts w:ascii="Times New Roman" w:hAnsi="Times New Roman" w:cs="Times New Roman"/>
          <w:sz w:val="24"/>
          <w:szCs w:val="24"/>
        </w:rPr>
        <w:t>mplementing the treatment plan (and follow-up to ensure its actual implementation)</w:t>
      </w:r>
      <w:r>
        <w:rPr>
          <w:rFonts w:ascii="Times New Roman" w:hAnsi="Times New Roman" w:cs="Times New Roman"/>
          <w:sz w:val="24"/>
          <w:szCs w:val="24"/>
        </w:rPr>
        <w:t>;</w:t>
      </w:r>
    </w:p>
    <w:p w14:paraId="43DFB83C" w14:textId="0E8F180A" w:rsidR="004D49E2" w:rsidRDefault="00123CB4" w:rsidP="004D49E2">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D49E2">
        <w:rPr>
          <w:rFonts w:ascii="Times New Roman" w:hAnsi="Times New Roman" w:cs="Times New Roman"/>
          <w:sz w:val="24"/>
          <w:szCs w:val="24"/>
        </w:rPr>
        <w:t>roactive monitoring of the patient’s health and adherence to the treatment plan</w:t>
      </w:r>
      <w:r>
        <w:rPr>
          <w:rFonts w:ascii="Times New Roman" w:hAnsi="Times New Roman" w:cs="Times New Roman"/>
          <w:sz w:val="24"/>
          <w:szCs w:val="24"/>
        </w:rPr>
        <w:t>;</w:t>
      </w:r>
    </w:p>
    <w:p w14:paraId="426CBD00" w14:textId="2299FB98" w:rsidR="004D49E2" w:rsidRDefault="00123CB4" w:rsidP="004D49E2">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D49E2">
        <w:rPr>
          <w:rFonts w:ascii="Times New Roman" w:hAnsi="Times New Roman" w:cs="Times New Roman"/>
          <w:sz w:val="24"/>
          <w:szCs w:val="24"/>
        </w:rPr>
        <w:t>ase management and coordination of care provided in the community, advisors, hospitalization, emergency room visits or other urgent care, and other care providers (e.g., dietitian, psychologist, social worker, etc.)</w:t>
      </w:r>
      <w:r>
        <w:rPr>
          <w:rFonts w:ascii="Times New Roman" w:hAnsi="Times New Roman" w:cs="Times New Roman"/>
          <w:sz w:val="24"/>
          <w:szCs w:val="24"/>
        </w:rPr>
        <w:t>;</w:t>
      </w:r>
    </w:p>
    <w:p w14:paraId="7BC1483E" w14:textId="0855C665" w:rsidR="004D49E2" w:rsidRDefault="00123CB4" w:rsidP="00973A80">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973A80">
        <w:rPr>
          <w:rFonts w:ascii="Times New Roman" w:hAnsi="Times New Roman" w:cs="Times New Roman"/>
          <w:sz w:val="24"/>
          <w:szCs w:val="24"/>
        </w:rPr>
        <w:t>n cases of patients released from hospital, assistance in reintegrating into the community (and preventing re-hospitalization)</w:t>
      </w:r>
      <w:r>
        <w:rPr>
          <w:rFonts w:ascii="Times New Roman" w:hAnsi="Times New Roman" w:cs="Times New Roman"/>
          <w:sz w:val="24"/>
          <w:szCs w:val="24"/>
        </w:rPr>
        <w:t>;</w:t>
      </w:r>
    </w:p>
    <w:p w14:paraId="010F5970" w14:textId="5550D471" w:rsidR="00973A80" w:rsidRDefault="00123CB4" w:rsidP="00973A80">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73A80">
        <w:rPr>
          <w:rFonts w:ascii="Times New Roman" w:hAnsi="Times New Roman" w:cs="Times New Roman"/>
          <w:sz w:val="24"/>
          <w:szCs w:val="24"/>
        </w:rPr>
        <w:t xml:space="preserve">ssistance for patients in accessing social and other community services, particularly those that will help them remain active and promote their health. </w:t>
      </w:r>
    </w:p>
    <w:p w14:paraId="02037229" w14:textId="79BEB377" w:rsidR="00973A80" w:rsidRDefault="00973A80" w:rsidP="003A23B3">
      <w:pPr>
        <w:bidi w:val="0"/>
        <w:spacing w:line="360" w:lineRule="auto"/>
        <w:jc w:val="both"/>
        <w:rPr>
          <w:rFonts w:ascii="Times New Roman" w:hAnsi="Times New Roman" w:cs="Times New Roman"/>
          <w:sz w:val="24"/>
          <w:szCs w:val="24"/>
        </w:rPr>
      </w:pPr>
      <w:r w:rsidRPr="00973A80">
        <w:rPr>
          <w:rFonts w:ascii="Times New Roman" w:hAnsi="Times New Roman" w:cs="Times New Roman"/>
          <w:b/>
          <w:bCs/>
          <w:sz w:val="24"/>
          <w:szCs w:val="24"/>
          <w:u w:val="single"/>
        </w:rPr>
        <w:t>The second change</w:t>
      </w:r>
      <w:r>
        <w:rPr>
          <w:rFonts w:ascii="Times New Roman" w:hAnsi="Times New Roman" w:cs="Times New Roman"/>
          <w:sz w:val="24"/>
          <w:szCs w:val="24"/>
        </w:rPr>
        <w:t xml:space="preserve"> involves prevention and checkups. The main health problems in the developed world usually include chronic non-communicable diseases such as diabetes, heart diseases, and cancer. These result, among other factors, from the modern lifestyle. In fact, currently available knowledge indicates that</w:t>
      </w:r>
      <w:r w:rsidR="00885A15">
        <w:rPr>
          <w:rFonts w:ascii="Times New Roman" w:hAnsi="Times New Roman" w:cs="Times New Roman"/>
          <w:sz w:val="24"/>
          <w:szCs w:val="24"/>
        </w:rPr>
        <w:t xml:space="preserve"> individual </w:t>
      </w:r>
      <w:r>
        <w:rPr>
          <w:rFonts w:ascii="Times New Roman" w:hAnsi="Times New Roman" w:cs="Times New Roman"/>
          <w:sz w:val="24"/>
          <w:szCs w:val="24"/>
        </w:rPr>
        <w:t xml:space="preserve">lifestyle is a major factor in determining the risk of developing a chronic disease </w:t>
      </w:r>
      <w:r w:rsidR="00885A15">
        <w:rPr>
          <w:rFonts w:ascii="Times New Roman" w:hAnsi="Times New Roman" w:cs="Times New Roman"/>
          <w:sz w:val="24"/>
          <w:szCs w:val="24"/>
        </w:rPr>
        <w:t>during one’s lifetime.</w:t>
      </w:r>
    </w:p>
    <w:p w14:paraId="4C3936FE" w14:textId="5E685595" w:rsidR="00885A15" w:rsidRDefault="00885A15" w:rsidP="00281001">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Primary prevention is concerned with maintaining a healthy lifestyle before the onset of disease. The aim of primary prevention measures is to reduce exposure to factors that increase the risk of a disease or diseases. These measures include behavioral change, reducing exposure to harmful factors, a change in </w:t>
      </w:r>
      <w:commentRangeStart w:id="24"/>
      <w:r>
        <w:rPr>
          <w:rFonts w:ascii="Times New Roman" w:hAnsi="Times New Roman" w:cs="Times New Roman"/>
          <w:sz w:val="24"/>
          <w:szCs w:val="24"/>
        </w:rPr>
        <w:t>policy</w:t>
      </w:r>
      <w:commentRangeEnd w:id="24"/>
      <w:r>
        <w:rPr>
          <w:rStyle w:val="CommentReference"/>
        </w:rPr>
        <w:commentReference w:id="24"/>
      </w:r>
      <w:r>
        <w:rPr>
          <w:rFonts w:ascii="Times New Roman" w:hAnsi="Times New Roman" w:cs="Times New Roman"/>
          <w:sz w:val="24"/>
          <w:szCs w:val="24"/>
        </w:rPr>
        <w:t xml:space="preserve">, and a change in the physical and social environment. Although prevention is not usually seen as a core issue for the healthcare system, </w:t>
      </w:r>
      <w:r w:rsidR="00281001">
        <w:rPr>
          <w:rFonts w:ascii="Times New Roman" w:hAnsi="Times New Roman" w:cs="Times New Roman"/>
          <w:sz w:val="24"/>
          <w:szCs w:val="24"/>
        </w:rPr>
        <w:t>relative</w:t>
      </w:r>
      <w:r>
        <w:rPr>
          <w:rFonts w:ascii="Times New Roman" w:hAnsi="Times New Roman" w:cs="Times New Roman"/>
          <w:sz w:val="24"/>
          <w:szCs w:val="24"/>
        </w:rPr>
        <w:t xml:space="preserve"> to issues involving patient care at both the provider and system levels, it is of great importance for human health.</w:t>
      </w:r>
    </w:p>
    <w:p w14:paraId="5D72504C" w14:textId="540E28DD" w:rsidR="00885A15" w:rsidRDefault="00885A15" w:rsidP="00002D7A">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Moreover, medical checkups are an important strategy for detecting an abnormal health condition among asymptomatic members of a specific population group, in order to intervene as soon as possible and prevent the onset of illness, suffering, or death. Early detection has potential advantages and disadvantages. The advantages of early detection</w:t>
      </w:r>
      <w:r w:rsidR="00A35861">
        <w:rPr>
          <w:rFonts w:ascii="Times New Roman" w:hAnsi="Times New Roman" w:cs="Times New Roman"/>
          <w:sz w:val="24"/>
          <w:szCs w:val="24"/>
        </w:rPr>
        <w:t xml:space="preserve"> are self-evident</w:t>
      </w:r>
      <w:r w:rsidR="00060B0C">
        <w:rPr>
          <w:rFonts w:ascii="Times New Roman" w:hAnsi="Times New Roman" w:cs="Times New Roman"/>
          <w:sz w:val="24"/>
          <w:szCs w:val="24"/>
        </w:rPr>
        <w:t xml:space="preserve">: the possibility of providing more targeted treatment at an earlier stage of the disease, thus reducing symptoms and costs, improving the chances of a full recovery, and sometimes even reducing mortality. Conversely, checkups can cause significant harm, such as </w:t>
      </w:r>
      <w:r w:rsidR="00AF1F76">
        <w:rPr>
          <w:rFonts w:ascii="Times New Roman" w:hAnsi="Times New Roman" w:cs="Times New Roman"/>
          <w:sz w:val="24"/>
          <w:szCs w:val="24"/>
        </w:rPr>
        <w:t xml:space="preserve">side effects of </w:t>
      </w:r>
      <w:r w:rsidR="00060B0C">
        <w:rPr>
          <w:rFonts w:ascii="Times New Roman" w:hAnsi="Times New Roman" w:cs="Times New Roman"/>
          <w:sz w:val="24"/>
          <w:szCs w:val="24"/>
        </w:rPr>
        <w:t xml:space="preserve">the exam itself, anxiety while waiting for </w:t>
      </w:r>
      <w:r w:rsidR="00060B0C">
        <w:rPr>
          <w:rFonts w:ascii="Times New Roman" w:hAnsi="Times New Roman" w:cs="Times New Roman"/>
          <w:sz w:val="24"/>
          <w:szCs w:val="24"/>
        </w:rPr>
        <w:lastRenderedPageBreak/>
        <w:t xml:space="preserve">results, false-positive results, over-diagnosis, and misleading negative results that </w:t>
      </w:r>
      <w:r w:rsidR="00002D7A">
        <w:rPr>
          <w:rFonts w:ascii="Times New Roman" w:hAnsi="Times New Roman" w:cs="Times New Roman"/>
          <w:sz w:val="24"/>
          <w:szCs w:val="24"/>
        </w:rPr>
        <w:t>in turn lead</w:t>
      </w:r>
      <w:r w:rsidR="00060B0C">
        <w:rPr>
          <w:rFonts w:ascii="Times New Roman" w:hAnsi="Times New Roman" w:cs="Times New Roman"/>
          <w:sz w:val="24"/>
          <w:szCs w:val="24"/>
        </w:rPr>
        <w:t xml:space="preserve"> to an </w:t>
      </w:r>
      <w:r w:rsidR="00002D7A">
        <w:rPr>
          <w:rFonts w:ascii="Times New Roman" w:hAnsi="Times New Roman" w:cs="Times New Roman"/>
          <w:sz w:val="24"/>
          <w:szCs w:val="24"/>
        </w:rPr>
        <w:t xml:space="preserve">unfounded </w:t>
      </w:r>
      <w:r w:rsidR="00060B0C">
        <w:rPr>
          <w:rFonts w:ascii="Times New Roman" w:hAnsi="Times New Roman" w:cs="Times New Roman"/>
          <w:sz w:val="24"/>
          <w:szCs w:val="24"/>
        </w:rPr>
        <w:t>sense of security</w:t>
      </w:r>
      <w:r w:rsidR="00AF1F76">
        <w:rPr>
          <w:rFonts w:ascii="Times New Roman" w:hAnsi="Times New Roman" w:cs="Times New Roman"/>
          <w:sz w:val="24"/>
          <w:szCs w:val="24"/>
        </w:rPr>
        <w:t xml:space="preserve"> and potential disregard of future symptoms.</w:t>
      </w:r>
    </w:p>
    <w:p w14:paraId="3F9943A9" w14:textId="51DC56DA" w:rsidR="00AF1F76" w:rsidRDefault="00AF1F76" w:rsidP="009A0A95">
      <w:pPr>
        <w:bidi w:val="0"/>
        <w:spacing w:line="360" w:lineRule="auto"/>
        <w:jc w:val="both"/>
        <w:rPr>
          <w:rFonts w:ascii="Times New Roman" w:hAnsi="Times New Roman" w:cs="Times New Roman"/>
          <w:sz w:val="24"/>
          <w:szCs w:val="24"/>
        </w:rPr>
      </w:pPr>
      <w:r w:rsidRPr="00AF1F76">
        <w:rPr>
          <w:rFonts w:ascii="Times New Roman" w:hAnsi="Times New Roman" w:cs="Times New Roman"/>
          <w:b/>
          <w:bCs/>
          <w:sz w:val="24"/>
          <w:szCs w:val="24"/>
          <w:u w:val="single"/>
        </w:rPr>
        <w:t>The third change</w:t>
      </w:r>
      <w:r>
        <w:rPr>
          <w:rFonts w:ascii="Times New Roman" w:hAnsi="Times New Roman" w:cs="Times New Roman"/>
          <w:sz w:val="24"/>
          <w:szCs w:val="24"/>
        </w:rPr>
        <w:t xml:space="preserve"> relates to hospital-level care for patients at home. Home care provides an alternative to hospitalization at general hospitals (and to internal medicine wards in particular) or follow-up care facilities. Readmission</w:t>
      </w:r>
      <w:r w:rsidR="009A0A95">
        <w:rPr>
          <w:rFonts w:ascii="Times New Roman" w:hAnsi="Times New Roman" w:cs="Times New Roman"/>
          <w:sz w:val="24"/>
          <w:szCs w:val="24"/>
        </w:rPr>
        <w:t xml:space="preserve">, </w:t>
      </w:r>
      <w:r>
        <w:rPr>
          <w:rFonts w:ascii="Times New Roman" w:hAnsi="Times New Roman" w:cs="Times New Roman"/>
          <w:sz w:val="24"/>
          <w:szCs w:val="24"/>
        </w:rPr>
        <w:t xml:space="preserve">a widespread </w:t>
      </w:r>
      <w:r w:rsidR="009A0A95">
        <w:rPr>
          <w:rFonts w:ascii="Times New Roman" w:hAnsi="Times New Roman" w:cs="Times New Roman"/>
          <w:sz w:val="24"/>
          <w:szCs w:val="24"/>
        </w:rPr>
        <w:t xml:space="preserve">and frequent </w:t>
      </w:r>
      <w:r>
        <w:rPr>
          <w:rFonts w:ascii="Times New Roman" w:hAnsi="Times New Roman" w:cs="Times New Roman"/>
          <w:sz w:val="24"/>
          <w:szCs w:val="24"/>
        </w:rPr>
        <w:t>phenomenon throughout the world’s healthcare systems,</w:t>
      </w:r>
      <w:r w:rsidR="009A0A95">
        <w:rPr>
          <w:rFonts w:ascii="Times New Roman" w:hAnsi="Times New Roman" w:cs="Times New Roman"/>
          <w:sz w:val="24"/>
          <w:szCs w:val="24"/>
        </w:rPr>
        <w:t xml:space="preserve"> can be minimized by 30%. It is possible to reduce readmission by making treatments available in the community, educating patients at the time of their release from hospital, and improving communication between hospitals and the community so as to maintain continuity of care.</w:t>
      </w:r>
    </w:p>
    <w:p w14:paraId="71BBEF68" w14:textId="525EDE44" w:rsidR="009A0A95" w:rsidRDefault="009A0A95" w:rsidP="007126BA">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 xml:space="preserve">The </w:t>
      </w:r>
      <w:bookmarkStart w:id="25" w:name="KVWin_undostart"/>
      <w:bookmarkEnd w:id="25"/>
      <w:r>
        <w:rPr>
          <w:rFonts w:ascii="Times New Roman" w:hAnsi="Times New Roman" w:cs="Times New Roman"/>
          <w:b/>
          <w:bCs/>
          <w:sz w:val="24"/>
          <w:szCs w:val="24"/>
          <w:u w:val="single"/>
        </w:rPr>
        <w:t>fourth change</w:t>
      </w:r>
      <w:r>
        <w:rPr>
          <w:rFonts w:ascii="Times New Roman" w:hAnsi="Times New Roman" w:cs="Times New Roman"/>
          <w:sz w:val="24"/>
          <w:szCs w:val="24"/>
        </w:rPr>
        <w:t xml:space="preserve"> involves</w:t>
      </w:r>
      <w:r w:rsidR="00CF7821">
        <w:rPr>
          <w:rFonts w:ascii="Times New Roman" w:hAnsi="Times New Roman" w:cs="Times New Roman"/>
          <w:sz w:val="24"/>
          <w:szCs w:val="24"/>
        </w:rPr>
        <w:t xml:space="preserve"> the integration of </w:t>
      </w:r>
      <w:r w:rsidR="00DD454D">
        <w:rPr>
          <w:rFonts w:ascii="Times New Roman" w:hAnsi="Times New Roman" w:cs="Times New Roman"/>
          <w:sz w:val="24"/>
          <w:szCs w:val="24"/>
        </w:rPr>
        <w:t xml:space="preserve">digital tools </w:t>
      </w:r>
      <w:r w:rsidR="00CF7821">
        <w:rPr>
          <w:rFonts w:ascii="Times New Roman" w:hAnsi="Times New Roman" w:cs="Times New Roman"/>
          <w:sz w:val="24"/>
          <w:szCs w:val="24"/>
        </w:rPr>
        <w:t xml:space="preserve">and use of </w:t>
      </w:r>
      <w:r>
        <w:rPr>
          <w:rFonts w:ascii="Times New Roman" w:hAnsi="Times New Roman" w:cs="Times New Roman"/>
          <w:sz w:val="24"/>
          <w:szCs w:val="24"/>
        </w:rPr>
        <w:t>information technologies.</w:t>
      </w:r>
      <w:r w:rsidR="00DD454D">
        <w:rPr>
          <w:rFonts w:ascii="Times New Roman" w:hAnsi="Times New Roman" w:cs="Times New Roman"/>
          <w:sz w:val="24"/>
          <w:szCs w:val="24"/>
        </w:rPr>
        <w:t xml:space="preserve"> In the late 1990s the World Health Organization</w:t>
      </w:r>
      <w:r w:rsidR="007126BA">
        <w:rPr>
          <w:rFonts w:ascii="Times New Roman" w:hAnsi="Times New Roman" w:cs="Times New Roman"/>
          <w:sz w:val="24"/>
          <w:szCs w:val="24"/>
        </w:rPr>
        <w:t xml:space="preserve"> adopted </w:t>
      </w:r>
      <w:r w:rsidR="00DD454D">
        <w:rPr>
          <w:rFonts w:ascii="Times New Roman" w:hAnsi="Times New Roman" w:cs="Times New Roman"/>
          <w:sz w:val="24"/>
          <w:szCs w:val="24"/>
        </w:rPr>
        <w:t>the concept of telemedicine</w:t>
      </w:r>
      <w:r w:rsidR="007126BA">
        <w:rPr>
          <w:rFonts w:ascii="Times New Roman" w:hAnsi="Times New Roman" w:cs="Times New Roman"/>
          <w:sz w:val="24"/>
          <w:szCs w:val="24"/>
        </w:rPr>
        <w:t xml:space="preserve"> as the delivery of healthcare services, where distance is a critical factor, by health care professionals using information and communication technologies. These services use current information for purposes of diagnosis, treatment, prevention of disease and injury, research, assessment, and providing health education to patients, as well as promoting the health of individuals and communities. Telemedicine can be seen as a way to bridge the physical distance between a patient and physician or among a patient’s various physicians. </w:t>
      </w:r>
    </w:p>
    <w:p w14:paraId="1C81BF4F" w14:textId="5EF5E0E1" w:rsidR="007126BA" w:rsidRDefault="007126BA" w:rsidP="007126BA">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applications of telemedicine comprise five areas</w:t>
      </w:r>
      <w:r w:rsidR="00786578">
        <w:rPr>
          <w:rFonts w:ascii="Times New Roman" w:hAnsi="Times New Roman" w:cs="Times New Roman"/>
          <w:sz w:val="24"/>
          <w:szCs w:val="24"/>
        </w:rPr>
        <w:t xml:space="preserve"> in which it is possible to provide consultation and assessment without direct contact with the patient:</w:t>
      </w:r>
    </w:p>
    <w:p w14:paraId="19C0FB19" w14:textId="48E8C51D" w:rsidR="00786578" w:rsidRDefault="00123CB4" w:rsidP="00002D7A">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786578">
        <w:rPr>
          <w:rFonts w:ascii="Times New Roman" w:hAnsi="Times New Roman" w:cs="Times New Roman"/>
          <w:sz w:val="24"/>
          <w:szCs w:val="24"/>
        </w:rPr>
        <w:t xml:space="preserve">ome/mobile monitoring </w:t>
      </w:r>
      <w:r w:rsidR="00BB768D">
        <w:rPr>
          <w:rFonts w:ascii="Times New Roman" w:hAnsi="Times New Roman" w:cs="Times New Roman"/>
          <w:sz w:val="24"/>
          <w:szCs w:val="24"/>
        </w:rPr>
        <w:t>–</w:t>
      </w:r>
      <w:r w:rsidR="00786578">
        <w:rPr>
          <w:rFonts w:ascii="Times New Roman" w:hAnsi="Times New Roman" w:cs="Times New Roman"/>
          <w:sz w:val="24"/>
          <w:szCs w:val="24"/>
        </w:rPr>
        <w:t xml:space="preserve"> the use of telemedicine for long-distance monitoring of health. Data (such as weight, blood pressure, glucose levels) is measured at the patient’s home and transmitted to the healthcare provider </w:t>
      </w:r>
      <w:r w:rsidR="00002D7A">
        <w:rPr>
          <w:rFonts w:ascii="Times New Roman" w:hAnsi="Times New Roman" w:cs="Times New Roman"/>
          <w:sz w:val="24"/>
          <w:szCs w:val="24"/>
        </w:rPr>
        <w:t>via</w:t>
      </w:r>
      <w:r w:rsidR="00786578">
        <w:rPr>
          <w:rFonts w:ascii="Times New Roman" w:hAnsi="Times New Roman" w:cs="Times New Roman"/>
          <w:sz w:val="24"/>
          <w:szCs w:val="24"/>
        </w:rPr>
        <w:t xml:space="preserve"> the Internet.</w:t>
      </w:r>
    </w:p>
    <w:p w14:paraId="2040ED43" w14:textId="710CB951" w:rsidR="00786578" w:rsidRDefault="00123CB4" w:rsidP="00BB768D">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786578">
        <w:rPr>
          <w:rFonts w:ascii="Times New Roman" w:hAnsi="Times New Roman" w:cs="Times New Roman"/>
          <w:sz w:val="24"/>
          <w:szCs w:val="24"/>
        </w:rPr>
        <w:t>iagnosis (</w:t>
      </w:r>
      <w:r w:rsidR="00BB768D">
        <w:rPr>
          <w:rFonts w:ascii="Times New Roman" w:hAnsi="Times New Roman" w:cs="Times New Roman"/>
          <w:sz w:val="24"/>
          <w:szCs w:val="24"/>
        </w:rPr>
        <w:t>teleradiology, teledermatology, telepathology) – the transmission of medical information such as x-rays, lab results, or prescriptions from one health professional to another for consultative or diagnostic purposes</w:t>
      </w:r>
      <w:r w:rsidR="00725006">
        <w:rPr>
          <w:rFonts w:ascii="Times New Roman" w:hAnsi="Times New Roman" w:cs="Times New Roman"/>
          <w:sz w:val="24"/>
          <w:szCs w:val="24"/>
        </w:rPr>
        <w:t>.</w:t>
      </w:r>
    </w:p>
    <w:p w14:paraId="7BEB7211" w14:textId="596D53E0" w:rsidR="00725006" w:rsidRDefault="00123CB4" w:rsidP="00725006">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553D90">
        <w:rPr>
          <w:rFonts w:ascii="Times New Roman" w:hAnsi="Times New Roman" w:cs="Times New Roman"/>
          <w:sz w:val="24"/>
          <w:szCs w:val="24"/>
        </w:rPr>
        <w:t>riage medical call center – urgent preliminary assessment using</w:t>
      </w:r>
      <w:r>
        <w:rPr>
          <w:rFonts w:ascii="Times New Roman" w:hAnsi="Times New Roman" w:cs="Times New Roman"/>
          <w:sz w:val="24"/>
          <w:szCs w:val="24"/>
        </w:rPr>
        <w:t xml:space="preserve"> frontal or audio imaging transmitted by the patient. The information can be transmitted </w:t>
      </w:r>
      <w:r>
        <w:rPr>
          <w:rFonts w:ascii="Times New Roman" w:hAnsi="Times New Roman" w:cs="Times New Roman"/>
          <w:sz w:val="24"/>
          <w:szCs w:val="24"/>
        </w:rPr>
        <w:lastRenderedPageBreak/>
        <w:t>between the patient and healthcare provider or between a provider and a specialist.</w:t>
      </w:r>
    </w:p>
    <w:p w14:paraId="5237AF5C" w14:textId="1FC8BC8F" w:rsidR="00123CB4" w:rsidRDefault="00123CB4" w:rsidP="00123CB4">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Consultation (e-consultation, e-visit, video visit) – interaction between the patient and healthcare provider or among providers using videoconferencing or other technologies.</w:t>
      </w:r>
    </w:p>
    <w:p w14:paraId="3B96B5C9" w14:textId="147D5390" w:rsidR="00123CB4" w:rsidRDefault="00123CB4" w:rsidP="00123CB4">
      <w:pPr>
        <w:numPr>
          <w:ilvl w:val="0"/>
          <w:numId w:val="21"/>
        </w:num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Procedures (telesurgery, healthcare assisting robot) – surgical procedures performed remotely, which require swift and precise transmission of information.</w:t>
      </w:r>
    </w:p>
    <w:p w14:paraId="26FB6CC4" w14:textId="77777777" w:rsidR="00123CB4" w:rsidRDefault="00123CB4" w:rsidP="00123CB4">
      <w:pPr>
        <w:bidi w:val="0"/>
        <w:spacing w:line="360" w:lineRule="auto"/>
        <w:jc w:val="both"/>
        <w:rPr>
          <w:rFonts w:ascii="Times New Roman" w:hAnsi="Times New Roman" w:cs="Times New Roman"/>
          <w:sz w:val="24"/>
          <w:szCs w:val="24"/>
        </w:rPr>
      </w:pPr>
    </w:p>
    <w:p w14:paraId="1688708D" w14:textId="3F8BC9C6" w:rsidR="00123CB4" w:rsidRDefault="00684B6B" w:rsidP="00123CB4">
      <w:pPr>
        <w:bidi w:val="0"/>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 xml:space="preserve">Conclusion </w:t>
      </w:r>
    </w:p>
    <w:p w14:paraId="1D6FC123" w14:textId="4EE2AA53" w:rsidR="002B36D9" w:rsidRDefault="00123CB4" w:rsidP="00B24028">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The changing patterns and scope of morbidity pose new challenge</w:t>
      </w:r>
      <w:r w:rsidR="00684B6B">
        <w:rPr>
          <w:rFonts w:ascii="Times New Roman" w:hAnsi="Times New Roman" w:cs="Times New Roman"/>
          <w:sz w:val="24"/>
          <w:szCs w:val="24"/>
        </w:rPr>
        <w:t>s</w:t>
      </w:r>
      <w:r>
        <w:rPr>
          <w:rFonts w:ascii="Times New Roman" w:hAnsi="Times New Roman" w:cs="Times New Roman"/>
          <w:sz w:val="24"/>
          <w:szCs w:val="24"/>
        </w:rPr>
        <w:t xml:space="preserve"> to the healthcare system, which </w:t>
      </w:r>
      <w:r w:rsidR="00B24028">
        <w:rPr>
          <w:rFonts w:ascii="Times New Roman" w:hAnsi="Times New Roman" w:cs="Times New Roman"/>
          <w:sz w:val="24"/>
          <w:szCs w:val="24"/>
        </w:rPr>
        <w:t>must</w:t>
      </w:r>
      <w:r w:rsidR="00684B6B">
        <w:rPr>
          <w:rFonts w:ascii="Times New Roman" w:hAnsi="Times New Roman" w:cs="Times New Roman"/>
          <w:sz w:val="24"/>
          <w:szCs w:val="24"/>
        </w:rPr>
        <w:t xml:space="preserve"> change accordingly. The next section examines some of the changes noted here in greater depth and describes how they can be implemented and employed to cope with the challenges to the healthcare system. </w:t>
      </w:r>
    </w:p>
    <w:p w14:paraId="73E36C25" w14:textId="76B8C5EB" w:rsidR="00F842AE" w:rsidRDefault="00F842AE">
      <w:pPr>
        <w:bidi w:val="0"/>
        <w:rPr>
          <w:rFonts w:ascii="Times New Roman" w:hAnsi="Times New Roman" w:cs="Times New Roman"/>
          <w:sz w:val="24"/>
          <w:szCs w:val="24"/>
        </w:rPr>
      </w:pPr>
      <w:r>
        <w:rPr>
          <w:rFonts w:ascii="Times New Roman" w:hAnsi="Times New Roman" w:cs="Times New Roman"/>
          <w:sz w:val="24"/>
          <w:szCs w:val="24"/>
        </w:rPr>
        <w:br w:type="page"/>
      </w:r>
    </w:p>
    <w:p w14:paraId="298DB997" w14:textId="3D159B04" w:rsidR="00F842AE" w:rsidRDefault="00F842AE" w:rsidP="00B84A4E">
      <w:pPr>
        <w:bidi w:val="0"/>
        <w:spacing w:line="360" w:lineRule="auto"/>
        <w:jc w:val="both"/>
        <w:rPr>
          <w:rFonts w:ascii="Times New Roman" w:hAnsi="Times New Roman" w:cs="Times New Roman"/>
          <w:sz w:val="24"/>
          <w:szCs w:val="24"/>
        </w:rPr>
      </w:pPr>
      <w:commentRangeStart w:id="26"/>
      <w:r>
        <w:rPr>
          <w:rFonts w:ascii="Times New Roman" w:hAnsi="Times New Roman" w:cs="Times New Roman"/>
          <w:b/>
          <w:bCs/>
          <w:sz w:val="28"/>
          <w:szCs w:val="28"/>
        </w:rPr>
        <w:lastRenderedPageBreak/>
        <w:t>References</w:t>
      </w:r>
      <w:commentRangeEnd w:id="26"/>
      <w:r w:rsidR="00DD02D9">
        <w:rPr>
          <w:rStyle w:val="CommentReference"/>
        </w:rPr>
        <w:commentReference w:id="26"/>
      </w:r>
    </w:p>
    <w:p w14:paraId="26951B8A" w14:textId="2109B7C7"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 xml:space="preserve">Ben Nun G, Berlovitz Y, Shani M. </w:t>
      </w:r>
      <w:commentRangeStart w:id="27"/>
      <w:r w:rsidRPr="00F842AE">
        <w:rPr>
          <w:rFonts w:ascii="Times New Roman" w:eastAsia="Calibri" w:hAnsi="Times New Roman" w:cs="Times New Roman"/>
          <w:sz w:val="24"/>
          <w:szCs w:val="24"/>
        </w:rPr>
        <w:t xml:space="preserve">Ma‘arkhot habri’ut be-Israel </w:t>
      </w:r>
      <w:commentRangeEnd w:id="27"/>
      <w:r w:rsidRPr="00F842AE">
        <w:rPr>
          <w:rFonts w:ascii="Times New Roman" w:eastAsia="Calibri" w:hAnsi="Times New Roman" w:cs="Times New Roman"/>
          <w:sz w:val="24"/>
          <w:szCs w:val="24"/>
        </w:rPr>
        <w:commentReference w:id="27"/>
      </w:r>
      <w:r w:rsidRPr="00F842AE">
        <w:rPr>
          <w:rFonts w:ascii="Times New Roman" w:eastAsia="Calibri" w:hAnsi="Times New Roman" w:cs="Times New Roman"/>
          <w:sz w:val="24"/>
          <w:szCs w:val="24"/>
        </w:rPr>
        <w:t>[Healthcare systems in Israel]. Tel Aviv (IL): Am Oved; 2005. Hebrew.</w:t>
      </w:r>
    </w:p>
    <w:p w14:paraId="414E4703" w14:textId="781F3B6D"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Goldberger N, Aburbeh M, Haklai Z. Sibot ha-mavet ha-movilot be-Israel 2000-2015 [Leading causes of death in Israel, 2000-2015]. Jerusalem (IL): Ministry of Health; 2018. Hebrew.</w:t>
      </w:r>
    </w:p>
    <w:p w14:paraId="73071BAC" w14:textId="3EB7FDEB"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Silverman B, Stein Y, Keinan-Boker L. ‘Idkun he’ar‘ut sartan lefi nafot be-Israel 2001-2015 [Update on cancer incidence by sub-districts in Israel, 2001-2015]. Jerusalem (IL): Ministry of Health; 2018. Hebrew.</w:t>
      </w:r>
    </w:p>
    <w:p w14:paraId="72BD90AA" w14:textId="7F1D4A55"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Ministry of Health (</w:t>
      </w:r>
      <w:commentRangeStart w:id="28"/>
      <w:r w:rsidRPr="00F842AE">
        <w:rPr>
          <w:rFonts w:ascii="Times New Roman" w:eastAsia="Calibri" w:hAnsi="Times New Roman" w:cs="Times New Roman"/>
          <w:sz w:val="24"/>
          <w:szCs w:val="24"/>
        </w:rPr>
        <w:t>IL</w:t>
      </w:r>
      <w:commentRangeEnd w:id="28"/>
      <w:r w:rsidRPr="00F842AE">
        <w:rPr>
          <w:rFonts w:ascii="Times New Roman" w:eastAsia="Calibri" w:hAnsi="Times New Roman" w:cs="Times New Roman"/>
          <w:sz w:val="24"/>
          <w:szCs w:val="24"/>
        </w:rPr>
        <w:commentReference w:id="28"/>
      </w:r>
      <w:r w:rsidRPr="00F842AE">
        <w:rPr>
          <w:rFonts w:ascii="Times New Roman" w:eastAsia="Calibri" w:hAnsi="Times New Roman" w:cs="Times New Roman"/>
          <w:sz w:val="24"/>
          <w:szCs w:val="24"/>
        </w:rPr>
        <w:t>). Bri’ut 2013 [Health 2013]. Jerusalem: Ministry of Health; 2014. Hebrew.</w:t>
      </w:r>
    </w:p>
    <w:p w14:paraId="6D63BB46" w14:textId="7548D64A"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Knesset Research and Information Center. Rikuz netunim ‘al mahalat ha-sukeret be-Israel [Collected data on diabetes in Israel]. Jerusalem (IL): Knesset Research and Information Center; 2010. Hebrew.</w:t>
      </w:r>
    </w:p>
    <w:p w14:paraId="26144D77" w14:textId="2C7C9032"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Tamir O. Tmunat matsav be-Israel ha</w:t>
      </w:r>
      <w:r w:rsidR="008D11DC">
        <w:rPr>
          <w:rFonts w:ascii="Times New Roman" w:eastAsia="Calibri" w:hAnsi="Times New Roman" w:cs="Times New Roman"/>
          <w:sz w:val="24"/>
          <w:szCs w:val="24"/>
        </w:rPr>
        <w:t>-shmena, sukeret ve-hergelei bru’</w:t>
      </w:r>
      <w:r w:rsidRPr="00F842AE">
        <w:rPr>
          <w:rFonts w:ascii="Times New Roman" w:eastAsia="Calibri" w:hAnsi="Times New Roman" w:cs="Times New Roman"/>
          <w:sz w:val="24"/>
          <w:szCs w:val="24"/>
        </w:rPr>
        <w:t>it [State of affairs in the fat Israel, diabetes and health habits]. Ramat Gan (IL): Gertner Institute; 2010. Hebrew.</w:t>
      </w:r>
    </w:p>
    <w:p w14:paraId="73EC8A65" w14:textId="1FFC5CCD"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 xml:space="preserve">Ministry of Health (IL). Taktsiv misrad ha-bri’ut li-shnat 2019 </w:t>
      </w:r>
      <w:r w:rsidR="005F3A8D">
        <w:rPr>
          <w:rFonts w:ascii="Times New Roman" w:eastAsia="Calibri" w:hAnsi="Times New Roman" w:cs="Times New Roman"/>
          <w:sz w:val="24"/>
          <w:szCs w:val="24"/>
        </w:rPr>
        <w:t>u</w:t>
      </w:r>
      <w:r w:rsidRPr="00F842AE">
        <w:rPr>
          <w:rFonts w:ascii="Times New Roman" w:eastAsia="Calibri" w:hAnsi="Times New Roman" w:cs="Times New Roman"/>
          <w:sz w:val="24"/>
          <w:szCs w:val="24"/>
        </w:rPr>
        <w:t>-dgashei pe‘ilut merkazi’im [Ministry of Health budget for 2019 and main focuses of activity]. Slideshow presentation to the Knesset Finance Committee; February 2018. Hebrew.</w:t>
      </w:r>
    </w:p>
    <w:p w14:paraId="54863F6C" w14:textId="6BAE4CFE"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Ministry of Health (IL). Hatokhnit ha-le’umit le-madadei ikhut lerefu’at ha-kehila be-Israel dokh lashanim 2015-2017 [National plan for indicators of community healthcare quality in Israel, 2015-2017 report]. Jerusalem: Ministry of Health; 2018. Hebrew.</w:t>
      </w:r>
    </w:p>
    <w:p w14:paraId="3D3C0074" w14:textId="078765FD"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Ministry of Health (IL). Dokh sar ha-bri’ut ‘al ha-‘ishun be-Israel 2018 [2018 report by the minister of health on smoking in Israel]. Jerusalem: Ministry of Health; 2019. Hebrew.</w:t>
      </w:r>
    </w:p>
    <w:p w14:paraId="41EA4366" w14:textId="1FB0A413"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commentRangeStart w:id="29"/>
      <w:r w:rsidRPr="00F842AE">
        <w:rPr>
          <w:rFonts w:ascii="Times New Roman" w:eastAsia="Calibri" w:hAnsi="Times New Roman" w:cs="Times New Roman"/>
          <w:sz w:val="24"/>
          <w:szCs w:val="24"/>
        </w:rPr>
        <w:t>Gross R, Ashkenazi Y, Hemo B, Ben-Shoham O, Doron D, Nahshon I</w:t>
      </w:r>
      <w:commentRangeEnd w:id="29"/>
      <w:r w:rsidRPr="00F842AE">
        <w:rPr>
          <w:rFonts w:ascii="Times New Roman" w:eastAsia="Calibri" w:hAnsi="Times New Roman" w:cs="Times New Roman"/>
          <w:sz w:val="24"/>
          <w:szCs w:val="24"/>
        </w:rPr>
        <w:commentReference w:id="29"/>
      </w:r>
      <w:r w:rsidRPr="00F842AE">
        <w:rPr>
          <w:rFonts w:ascii="Times New Roman" w:eastAsia="Calibri" w:hAnsi="Times New Roman" w:cs="Times New Roman"/>
          <w:sz w:val="24"/>
          <w:szCs w:val="24"/>
        </w:rPr>
        <w:t xml:space="preserve">. Hashmanat yeladim: gormei sikun, tahlua nilveit ve-shimush be-sherutim </w:t>
      </w:r>
      <w:r w:rsidRPr="00F842AE">
        <w:rPr>
          <w:rFonts w:ascii="Times New Roman" w:eastAsia="Calibri" w:hAnsi="Times New Roman" w:cs="Times New Roman"/>
          <w:sz w:val="24"/>
          <w:szCs w:val="24"/>
        </w:rPr>
        <w:lastRenderedPageBreak/>
        <w:t>[Childhood obesity: risk factors, associated morbidity and service utilization]. Jerusalem (IL): Brookdale Institute; 2011. Hebrew.</w:t>
      </w:r>
    </w:p>
    <w:p w14:paraId="5328710D" w14:textId="17C8AA9B"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Central Bureau of Statistics (IL). Ha-seker ha-hevrati 2017: mishkal, dieta, tzuna ve-hergelei akhila [2017 social survey: weight, diet, nutrition, and eating habits]. Jerusalem: Central Bureau of Statistics; 2018. Leket netunim be-nos’ei bri’ut ve-orah ha’im [Collected dat</w:t>
      </w:r>
      <w:r w:rsidR="00DD02D9">
        <w:rPr>
          <w:rFonts w:ascii="Times New Roman" w:eastAsia="Calibri" w:hAnsi="Times New Roman" w:cs="Times New Roman"/>
          <w:sz w:val="24"/>
          <w:szCs w:val="24"/>
        </w:rPr>
        <w:t>a on health and lifestyle]</w:t>
      </w:r>
      <w:commentRangeStart w:id="30"/>
      <w:r w:rsidRPr="00F842AE">
        <w:rPr>
          <w:rFonts w:ascii="Times New Roman" w:eastAsia="Calibri" w:hAnsi="Times New Roman" w:cs="Times New Roman"/>
          <w:sz w:val="24"/>
          <w:szCs w:val="24"/>
        </w:rPr>
        <w:t>.</w:t>
      </w:r>
      <w:commentRangeEnd w:id="30"/>
      <w:r w:rsidRPr="00F842AE">
        <w:rPr>
          <w:rFonts w:ascii="Times New Roman" w:eastAsia="Calibri" w:hAnsi="Times New Roman" w:cs="Times New Roman"/>
          <w:sz w:val="24"/>
          <w:szCs w:val="24"/>
        </w:rPr>
        <w:commentReference w:id="30"/>
      </w:r>
      <w:r w:rsidRPr="00F842AE">
        <w:rPr>
          <w:rFonts w:ascii="Times New Roman" w:eastAsia="Calibri" w:hAnsi="Times New Roman" w:cs="Times New Roman"/>
          <w:sz w:val="24"/>
          <w:szCs w:val="24"/>
        </w:rPr>
        <w:t xml:space="preserve"> Hebrew.</w:t>
      </w:r>
    </w:p>
    <w:p w14:paraId="5185E71F" w14:textId="77777777"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 xml:space="preserve">Bruchim M, Kinney D. Ma’arekhet ha-bri’ut be-Israel be-re’i ha-OECD 2018 [The healthcare system in Israel in relation to the OECD, 2018]. Jerusalem (IL): Ministry of Health; July 2018. </w:t>
      </w:r>
      <w:commentRangeStart w:id="31"/>
      <w:r w:rsidRPr="00F842AE">
        <w:rPr>
          <w:rFonts w:ascii="Times New Roman" w:eastAsia="Calibri" w:hAnsi="Times New Roman" w:cs="Times New Roman"/>
          <w:sz w:val="24"/>
          <w:szCs w:val="24"/>
        </w:rPr>
        <w:t xml:space="preserve">47 p. </w:t>
      </w:r>
      <w:commentRangeEnd w:id="31"/>
      <w:r w:rsidR="00DD02D9">
        <w:rPr>
          <w:rStyle w:val="CommentReference"/>
        </w:rPr>
        <w:commentReference w:id="31"/>
      </w:r>
      <w:r w:rsidRPr="00F842AE">
        <w:rPr>
          <w:rFonts w:ascii="Times New Roman" w:eastAsia="Calibri" w:hAnsi="Times New Roman" w:cs="Times New Roman"/>
          <w:sz w:val="24"/>
          <w:szCs w:val="24"/>
        </w:rPr>
        <w:t>Hebrew.</w:t>
      </w:r>
    </w:p>
    <w:p w14:paraId="19008394" w14:textId="584A6973"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 xml:space="preserve">Cohen Kovacs G, Ramot-Nyska T, Haran Rosen M. Ha-bituakh ha-si‘udi be-Israel [Long-term care insurance in Israel]. Jerusalem (IL): </w:t>
      </w:r>
      <w:r w:rsidR="008F6242">
        <w:rPr>
          <w:rFonts w:ascii="Times New Roman" w:eastAsia="Calibri" w:hAnsi="Times New Roman" w:cs="Times New Roman"/>
          <w:sz w:val="24"/>
          <w:szCs w:val="24"/>
        </w:rPr>
        <w:t xml:space="preserve">Research Department, </w:t>
      </w:r>
      <w:r w:rsidRPr="00F842AE">
        <w:rPr>
          <w:rFonts w:ascii="Times New Roman" w:eastAsia="Calibri" w:hAnsi="Times New Roman" w:cs="Times New Roman"/>
          <w:sz w:val="24"/>
          <w:szCs w:val="24"/>
        </w:rPr>
        <w:t>Bank of Israel; 2017. Hebrew.</w:t>
      </w:r>
    </w:p>
    <w:p w14:paraId="43C48D25" w14:textId="62FE9E5A"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Brookdale Institute. Hazkenim be-Israel 2017 [The elderly in Israel, 2017]. Jerusalem (IL): Brookdale Institute</w:t>
      </w:r>
      <w:r w:rsidR="00DD02D9">
        <w:rPr>
          <w:rFonts w:ascii="Times New Roman" w:eastAsia="Calibri" w:hAnsi="Times New Roman" w:cs="Times New Roman"/>
          <w:sz w:val="24"/>
          <w:szCs w:val="24"/>
        </w:rPr>
        <w:t>;</w:t>
      </w:r>
      <w:r w:rsidRPr="00F842AE">
        <w:rPr>
          <w:rFonts w:ascii="Times New Roman" w:eastAsia="Calibri" w:hAnsi="Times New Roman" w:cs="Times New Roman"/>
          <w:sz w:val="24"/>
          <w:szCs w:val="24"/>
        </w:rPr>
        <w:t xml:space="preserve"> 2018. Hebrew.</w:t>
      </w:r>
    </w:p>
    <w:p w14:paraId="6667B01D" w14:textId="0907079D"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 xml:space="preserve">Trajtenberg, </w:t>
      </w:r>
      <w:commentRangeStart w:id="32"/>
      <w:r w:rsidRPr="00F842AE">
        <w:rPr>
          <w:rFonts w:ascii="Times New Roman" w:eastAsia="Calibri" w:hAnsi="Times New Roman" w:cs="Times New Roman"/>
          <w:sz w:val="24"/>
          <w:szCs w:val="24"/>
        </w:rPr>
        <w:t>M Alterman R, Ben-David D, Perry D, Bechor S, Lev Ami S, Han I, Katz D, Elkan D</w:t>
      </w:r>
      <w:commentRangeEnd w:id="32"/>
      <w:r w:rsidRPr="00F842AE">
        <w:rPr>
          <w:rFonts w:ascii="Times New Roman" w:eastAsia="Calibri" w:hAnsi="Times New Roman" w:cs="Times New Roman"/>
          <w:sz w:val="24"/>
          <w:szCs w:val="24"/>
        </w:rPr>
        <w:commentReference w:id="32"/>
      </w:r>
      <w:r w:rsidR="008D11DC">
        <w:rPr>
          <w:rFonts w:ascii="Times New Roman" w:eastAsia="Calibri" w:hAnsi="Times New Roman" w:cs="Times New Roman"/>
          <w:sz w:val="24"/>
          <w:szCs w:val="24"/>
        </w:rPr>
        <w:t>. Atid t</w:t>
      </w:r>
      <w:r w:rsidRPr="00F842AE">
        <w:rPr>
          <w:rFonts w:ascii="Times New Roman" w:eastAsia="Calibri" w:hAnsi="Times New Roman" w:cs="Times New Roman"/>
          <w:sz w:val="24"/>
          <w:szCs w:val="24"/>
        </w:rPr>
        <w:t xml:space="preserve">safuf – Israel 2050 [A crowded future – Israel 2050]. Israeli Population, Environment &amp; Society Forum; 2018. </w:t>
      </w:r>
      <w:commentRangeStart w:id="33"/>
      <w:r w:rsidRPr="00F842AE">
        <w:rPr>
          <w:rFonts w:ascii="Times New Roman" w:eastAsia="Calibri" w:hAnsi="Times New Roman" w:cs="Times New Roman"/>
          <w:sz w:val="24"/>
          <w:szCs w:val="24"/>
        </w:rPr>
        <w:t xml:space="preserve">38 p. </w:t>
      </w:r>
      <w:commentRangeEnd w:id="33"/>
      <w:r w:rsidR="00DD02D9">
        <w:rPr>
          <w:rStyle w:val="CommentReference"/>
        </w:rPr>
        <w:commentReference w:id="33"/>
      </w:r>
      <w:r w:rsidRPr="00F842AE">
        <w:rPr>
          <w:rFonts w:ascii="Times New Roman" w:eastAsia="Calibri" w:hAnsi="Times New Roman" w:cs="Times New Roman"/>
          <w:sz w:val="24"/>
          <w:szCs w:val="24"/>
        </w:rPr>
        <w:t>Hebrew.</w:t>
      </w:r>
    </w:p>
    <w:p w14:paraId="32DC230D" w14:textId="784CFC2B"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‘Itsuv mehadash shel ma’arkhot ha-bri’ut [Restructuring the healthcare systems]. Proceedings of the 15th Dead Sea Conference. Tel Hashomer (IL): Israel National Institute for Health Policy Research; 2015. Hebrew.</w:t>
      </w:r>
    </w:p>
    <w:p w14:paraId="42396D62" w14:textId="77777777"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Public Commission for Assessing the Future of the Insurance Sector (IL). Dokh ha-va‘ada ha-tsiburit li-vhinat ‘atid ‘anaf ha-bituakh [Report of the Public Commission for Assessing the Future of the Insurance Sector]. Tel Aviv: Bureau of Insurance Agents in Israel; 2017. Hebrew.</w:t>
      </w:r>
    </w:p>
    <w:p w14:paraId="30262344" w14:textId="104BCD28"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Ministry of Health (IL). Koakh adam be-miktso‘ot ha-bri’ut 2015 [Manpower in the health professions, 2015]. Jerusalem: Ministry of Health; December 2016. Hebrew.</w:t>
      </w:r>
    </w:p>
    <w:p w14:paraId="4223B94D" w14:textId="77777777" w:rsidR="00F842AE" w:rsidRP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t>Israel Medical Association. Miktso‘ot be-metsuka [Medical specialties in crisis] [Internet]. Ramat Gan (IL): Israel Medical Association [cited 2019 Aug 2]. Available from: https://www.ima.org.il. Hebrew.</w:t>
      </w:r>
    </w:p>
    <w:p w14:paraId="6F889164" w14:textId="470A3499" w:rsidR="00F842AE" w:rsidRDefault="00F842AE" w:rsidP="00B84A4E">
      <w:pPr>
        <w:numPr>
          <w:ilvl w:val="0"/>
          <w:numId w:val="25"/>
        </w:numPr>
        <w:bidi w:val="0"/>
        <w:spacing w:line="360" w:lineRule="auto"/>
        <w:jc w:val="both"/>
        <w:rPr>
          <w:rFonts w:ascii="Times New Roman" w:eastAsia="Calibri" w:hAnsi="Times New Roman" w:cs="Times New Roman"/>
          <w:sz w:val="24"/>
          <w:szCs w:val="24"/>
        </w:rPr>
      </w:pPr>
      <w:r w:rsidRPr="00F842AE">
        <w:rPr>
          <w:rFonts w:ascii="Times New Roman" w:eastAsia="Calibri" w:hAnsi="Times New Roman" w:cs="Times New Roman"/>
          <w:sz w:val="24"/>
          <w:szCs w:val="24"/>
        </w:rPr>
        <w:lastRenderedPageBreak/>
        <w:t>Ministry of Health (IL). Dokh ha-va‘ada le-tikhnun koakh adam refu’i ve-si‘udi be-ma‘arekhet ha-bri’ut [Report of the Committee for Planning Medical and Nursing Human Resources]. Jerusalem: Ministry of Health; June 2010. Hebrew.</w:t>
      </w:r>
    </w:p>
    <w:p w14:paraId="1B6D70B2" w14:textId="77777777" w:rsidR="0038687F" w:rsidRDefault="0038687F" w:rsidP="00B84A4E">
      <w:pPr>
        <w:bidi w:val="0"/>
        <w:spacing w:line="360" w:lineRule="auto"/>
        <w:jc w:val="both"/>
        <w:rPr>
          <w:rFonts w:ascii="Times New Roman" w:eastAsia="Calibri" w:hAnsi="Times New Roman" w:cs="Times New Roman"/>
          <w:sz w:val="24"/>
          <w:szCs w:val="24"/>
        </w:rPr>
      </w:pPr>
    </w:p>
    <w:p w14:paraId="50892977" w14:textId="5ED904D1" w:rsidR="0038687F" w:rsidRPr="005F3A8D" w:rsidRDefault="0038687F" w:rsidP="00B84A4E">
      <w:pPr>
        <w:bidi w:val="0"/>
        <w:spacing w:line="360" w:lineRule="auto"/>
        <w:jc w:val="both"/>
        <w:rPr>
          <w:rFonts w:ascii="Times New Roman" w:eastAsia="Calibri" w:hAnsi="Times New Roman" w:cs="Times New Roman"/>
          <w:sz w:val="24"/>
          <w:szCs w:val="24"/>
        </w:rPr>
      </w:pPr>
      <w:commentRangeStart w:id="34"/>
      <w:r w:rsidRPr="005F3A8D">
        <w:rPr>
          <w:rFonts w:ascii="Times New Roman" w:eastAsia="Calibri" w:hAnsi="Times New Roman" w:cs="Times New Roman"/>
          <w:b/>
          <w:bCs/>
          <w:sz w:val="24"/>
          <w:szCs w:val="24"/>
          <w:u w:val="single"/>
        </w:rPr>
        <w:t>Bibliograph</w:t>
      </w:r>
      <w:r w:rsidR="00291FD0" w:rsidRPr="005F3A8D">
        <w:rPr>
          <w:rFonts w:ascii="Times New Roman" w:eastAsia="Calibri" w:hAnsi="Times New Roman" w:cs="Times New Roman"/>
          <w:b/>
          <w:bCs/>
          <w:sz w:val="24"/>
          <w:szCs w:val="24"/>
          <w:u w:val="single"/>
        </w:rPr>
        <w:t>y</w:t>
      </w:r>
      <w:commentRangeEnd w:id="34"/>
      <w:r w:rsidRPr="005F3A8D">
        <w:rPr>
          <w:rStyle w:val="CommentReference"/>
          <w:rFonts w:ascii="Times New Roman" w:hAnsi="Times New Roman" w:cs="Times New Roman"/>
          <w:sz w:val="24"/>
          <w:szCs w:val="24"/>
        </w:rPr>
        <w:commentReference w:id="34"/>
      </w:r>
    </w:p>
    <w:p w14:paraId="2FC182FF" w14:textId="0D121730" w:rsidR="00291FD0" w:rsidRPr="005F3A8D" w:rsidRDefault="00291FD0"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 xml:space="preserve">Knesset </w:t>
      </w:r>
      <w:r w:rsidR="00AA36A8" w:rsidRPr="005F3A8D">
        <w:rPr>
          <w:rFonts w:ascii="Times New Roman" w:eastAsia="Calibri" w:hAnsi="Times New Roman" w:cs="Times New Roman"/>
          <w:sz w:val="24"/>
          <w:szCs w:val="24"/>
        </w:rPr>
        <w:t>Research and Information Center. Netunim be-nose ezrahim vatikim, hizdaknut ve-zikna be-Israel [Data on senior citizens, aging, and old age in Israel]. Jerusalem (IL): Knesset Research and Information Center; 2017. Hebrew.</w:t>
      </w:r>
    </w:p>
    <w:p w14:paraId="2C84E4C7" w14:textId="3A13D3EA" w:rsidR="00AA36A8" w:rsidRPr="005F3A8D" w:rsidRDefault="00821131"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Brill N, Boiko A. He‘</w:t>
      </w:r>
      <w:r w:rsidR="000A724C">
        <w:rPr>
          <w:rFonts w:ascii="Times New Roman" w:eastAsia="Calibri" w:hAnsi="Times New Roman" w:cs="Times New Roman"/>
          <w:sz w:val="24"/>
          <w:szCs w:val="24"/>
        </w:rPr>
        <w:t>a</w:t>
      </w:r>
      <w:r w:rsidRPr="005F3A8D">
        <w:rPr>
          <w:rFonts w:ascii="Times New Roman" w:eastAsia="Calibri" w:hAnsi="Times New Roman" w:cs="Times New Roman"/>
          <w:sz w:val="24"/>
          <w:szCs w:val="24"/>
        </w:rPr>
        <w:t>rkhut le-hizdaknut ha-ukhlusiya – skira batkhum [Preparing for an aging population – a field survey]</w:t>
      </w:r>
      <w:r w:rsidR="006625B3" w:rsidRPr="005F3A8D">
        <w:rPr>
          <w:rFonts w:ascii="Times New Roman" w:eastAsia="Calibri" w:hAnsi="Times New Roman" w:cs="Times New Roman"/>
          <w:sz w:val="24"/>
          <w:szCs w:val="24"/>
        </w:rPr>
        <w:t>. Jerusalem (IL): National Economic Council, Office of the Prime Minister; 2015. Hebrew.</w:t>
      </w:r>
    </w:p>
    <w:p w14:paraId="4E18C1A2" w14:textId="2A3F4DCA" w:rsidR="006625B3" w:rsidRPr="005F3A8D" w:rsidRDefault="006625B3"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 xml:space="preserve">Ministry of Health (IL). I-shivyon be-bri’ut ve-hitmodedut ‘imo [Inequality in health and </w:t>
      </w:r>
      <w:r w:rsidR="00E630EA" w:rsidRPr="005F3A8D">
        <w:rPr>
          <w:rFonts w:ascii="Times New Roman" w:eastAsia="Calibri" w:hAnsi="Times New Roman" w:cs="Times New Roman"/>
          <w:sz w:val="24"/>
          <w:szCs w:val="24"/>
        </w:rPr>
        <w:t xml:space="preserve">the means of </w:t>
      </w:r>
      <w:r w:rsidR="008F6242">
        <w:rPr>
          <w:rFonts w:ascii="Times New Roman" w:eastAsia="Calibri" w:hAnsi="Times New Roman" w:cs="Times New Roman"/>
          <w:sz w:val="24"/>
          <w:szCs w:val="24"/>
        </w:rPr>
        <w:t>coping with</w:t>
      </w:r>
      <w:r w:rsidR="00E630EA" w:rsidRPr="005F3A8D">
        <w:rPr>
          <w:rFonts w:ascii="Times New Roman" w:eastAsia="Calibri" w:hAnsi="Times New Roman" w:cs="Times New Roman"/>
          <w:sz w:val="24"/>
          <w:szCs w:val="24"/>
        </w:rPr>
        <w:t xml:space="preserve"> it]. </w:t>
      </w:r>
      <w:r w:rsidR="00F93179" w:rsidRPr="005F3A8D">
        <w:rPr>
          <w:rFonts w:ascii="Times New Roman" w:eastAsia="Calibri" w:hAnsi="Times New Roman" w:cs="Times New Roman"/>
          <w:sz w:val="24"/>
          <w:szCs w:val="24"/>
        </w:rPr>
        <w:t>Jerusalem (IL): Ministry of Health; 2019. Hebrew.</w:t>
      </w:r>
    </w:p>
    <w:p w14:paraId="0057EB64" w14:textId="2F80E942" w:rsidR="00F93179" w:rsidRPr="005F3A8D" w:rsidRDefault="00F93179"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 xml:space="preserve">Silverman B, Dichtiar R, Fishler Y, Keinan-Boker L. </w:t>
      </w:r>
      <w:r w:rsidR="005F3A8D" w:rsidRPr="005F3A8D">
        <w:rPr>
          <w:rFonts w:ascii="Times New Roman" w:eastAsia="Calibri" w:hAnsi="Times New Roman" w:cs="Times New Roman"/>
          <w:sz w:val="24"/>
          <w:szCs w:val="24"/>
        </w:rPr>
        <w:t>‘Idkun netunim legabei he’ar‘ut sartan u-tmuta li-shnat 2016 [Statistical update on cancer incidence and mortality, 2016]. Jerusalem (IL): Ministry of Health; 2019. Hebrew.</w:t>
      </w:r>
    </w:p>
    <w:p w14:paraId="20430E6A" w14:textId="55ED6923" w:rsidR="005F3A8D" w:rsidRPr="005F3A8D" w:rsidRDefault="005F3A8D"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 xml:space="preserve">Organisation for Economic Co-operation and Development. Death from cancer [Internet]. Paris (FR): OECD. Available at </w:t>
      </w:r>
      <w:hyperlink r:id="rId46" w:history="1">
        <w:r w:rsidRPr="005F3A8D">
          <w:rPr>
            <w:rStyle w:val="Hyperlink"/>
            <w:rFonts w:ascii="Times New Roman" w:eastAsia="Calibri" w:hAnsi="Times New Roman" w:cs="Times New Roman"/>
            <w:sz w:val="24"/>
            <w:szCs w:val="24"/>
          </w:rPr>
          <w:t>https://data.oecd.org</w:t>
        </w:r>
        <w:r w:rsidRPr="005F3A8D">
          <w:rPr>
            <w:rStyle w:val="Hyperlink"/>
            <w:rFonts w:ascii="Times New Roman" w:eastAsia="Calibri" w:hAnsi="Times New Roman" w:cs="Times New Roman"/>
            <w:sz w:val="24"/>
            <w:szCs w:val="24"/>
            <w:rtl/>
          </w:rPr>
          <w:t>/</w:t>
        </w:r>
      </w:hyperlink>
      <w:r w:rsidRPr="005F3A8D">
        <w:rPr>
          <w:rFonts w:ascii="Times New Roman" w:eastAsia="Calibri" w:hAnsi="Times New Roman" w:cs="Times New Roman"/>
          <w:sz w:val="24"/>
          <w:szCs w:val="24"/>
        </w:rPr>
        <w:t>.</w:t>
      </w:r>
    </w:p>
    <w:p w14:paraId="0FE754A3" w14:textId="48CBD0B9" w:rsidR="005F3A8D" w:rsidRDefault="005F3A8D" w:rsidP="00B84A4E">
      <w:pPr>
        <w:bidi w:val="0"/>
        <w:spacing w:line="360" w:lineRule="auto"/>
        <w:jc w:val="both"/>
        <w:rPr>
          <w:rFonts w:ascii="Times New Roman" w:eastAsia="Calibri" w:hAnsi="Times New Roman" w:cs="Times New Roman"/>
          <w:sz w:val="24"/>
          <w:szCs w:val="24"/>
        </w:rPr>
      </w:pPr>
      <w:r w:rsidRPr="005F3A8D">
        <w:rPr>
          <w:rFonts w:ascii="Times New Roman" w:eastAsia="Calibri" w:hAnsi="Times New Roman" w:cs="Times New Roman"/>
          <w:sz w:val="24"/>
          <w:szCs w:val="24"/>
        </w:rPr>
        <w:t>Central Bureau of Statistics</w:t>
      </w:r>
      <w:r>
        <w:rPr>
          <w:rFonts w:ascii="Times New Roman" w:eastAsia="Calibri" w:hAnsi="Times New Roman" w:cs="Times New Roman"/>
          <w:sz w:val="24"/>
          <w:szCs w:val="24"/>
        </w:rPr>
        <w:t xml:space="preserve"> (IL). </w:t>
      </w:r>
      <w:r w:rsidR="000A724C">
        <w:rPr>
          <w:rFonts w:ascii="Times New Roman" w:eastAsia="Calibri" w:hAnsi="Times New Roman" w:cs="Times New Roman"/>
          <w:sz w:val="24"/>
          <w:szCs w:val="24"/>
        </w:rPr>
        <w:t>Shnaton statisti le-Israel 2018 [</w:t>
      </w:r>
      <w:r>
        <w:rPr>
          <w:rFonts w:ascii="Times New Roman" w:eastAsia="Calibri" w:hAnsi="Times New Roman" w:cs="Times New Roman"/>
          <w:sz w:val="24"/>
          <w:szCs w:val="24"/>
        </w:rPr>
        <w:t xml:space="preserve">Statistical </w:t>
      </w:r>
      <w:commentRangeStart w:id="36"/>
      <w:r w:rsidR="000A724C">
        <w:rPr>
          <w:rFonts w:ascii="Times New Roman" w:eastAsia="Calibri" w:hAnsi="Times New Roman" w:cs="Times New Roman"/>
          <w:sz w:val="24"/>
          <w:szCs w:val="24"/>
        </w:rPr>
        <w:t>a</w:t>
      </w:r>
      <w:r w:rsidR="00C127CF">
        <w:rPr>
          <w:rFonts w:ascii="Times New Roman" w:eastAsia="Calibri" w:hAnsi="Times New Roman" w:cs="Times New Roman"/>
          <w:sz w:val="24"/>
          <w:szCs w:val="24"/>
        </w:rPr>
        <w:t xml:space="preserve">bstract </w:t>
      </w:r>
      <w:commentRangeEnd w:id="36"/>
      <w:r w:rsidR="000A724C">
        <w:rPr>
          <w:rStyle w:val="CommentReference"/>
        </w:rPr>
        <w:commentReference w:id="36"/>
      </w:r>
      <w:r w:rsidR="00C127CF">
        <w:rPr>
          <w:rFonts w:ascii="Times New Roman" w:eastAsia="Calibri" w:hAnsi="Times New Roman" w:cs="Times New Roman"/>
          <w:sz w:val="24"/>
          <w:szCs w:val="24"/>
        </w:rPr>
        <w:t>of Israel</w:t>
      </w:r>
      <w:r w:rsidR="000A724C">
        <w:rPr>
          <w:rFonts w:ascii="Times New Roman" w:eastAsia="Calibri" w:hAnsi="Times New Roman" w:cs="Times New Roman"/>
          <w:sz w:val="24"/>
          <w:szCs w:val="24"/>
        </w:rPr>
        <w:t>,</w:t>
      </w:r>
      <w:r w:rsidR="00C127CF">
        <w:rPr>
          <w:rFonts w:ascii="Times New Roman" w:eastAsia="Calibri" w:hAnsi="Times New Roman" w:cs="Times New Roman"/>
          <w:sz w:val="24"/>
          <w:szCs w:val="24"/>
        </w:rPr>
        <w:t xml:space="preserve"> 2018</w:t>
      </w:r>
      <w:r w:rsidR="000A724C">
        <w:rPr>
          <w:rFonts w:ascii="Times New Roman" w:eastAsia="Calibri" w:hAnsi="Times New Roman" w:cs="Times New Roman"/>
          <w:sz w:val="24"/>
          <w:szCs w:val="24"/>
        </w:rPr>
        <w:t>]</w:t>
      </w:r>
      <w:r w:rsidR="00C127CF">
        <w:rPr>
          <w:rFonts w:ascii="Times New Roman" w:eastAsia="Calibri" w:hAnsi="Times New Roman" w:cs="Times New Roman"/>
          <w:sz w:val="24"/>
          <w:szCs w:val="24"/>
        </w:rPr>
        <w:t>. Jerusalem: Central Bureau of Statistics; 2018.</w:t>
      </w:r>
      <w:r w:rsidR="000A724C">
        <w:rPr>
          <w:rFonts w:ascii="Times New Roman" w:eastAsia="Calibri" w:hAnsi="Times New Roman" w:cs="Times New Roman"/>
          <w:sz w:val="24"/>
          <w:szCs w:val="24"/>
        </w:rPr>
        <w:t xml:space="preserve"> Hebrew.</w:t>
      </w:r>
    </w:p>
    <w:p w14:paraId="00E8B509" w14:textId="4DD181B4" w:rsidR="00F842AE" w:rsidRDefault="00C127CF" w:rsidP="00B84A4E">
      <w:pPr>
        <w:bidi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Ministry of Health (IL). Mabat al ha-bri’ut 2011 [A look at health, 2011]. Jerusalem: Ministry of Health; 2011. Hebrew.</w:t>
      </w:r>
    </w:p>
    <w:p w14:paraId="7969B7DF" w14:textId="77777777" w:rsidR="00C127CF" w:rsidRPr="00C127CF" w:rsidRDefault="00C127CF" w:rsidP="00C127CF">
      <w:pPr>
        <w:bidi w:val="0"/>
        <w:spacing w:line="360" w:lineRule="auto"/>
        <w:rPr>
          <w:rFonts w:ascii="Times New Roman" w:eastAsia="Calibri" w:hAnsi="Times New Roman" w:cs="Times New Roman"/>
          <w:sz w:val="24"/>
          <w:szCs w:val="24"/>
        </w:rPr>
      </w:pPr>
    </w:p>
    <w:sectPr w:rsidR="00C127CF" w:rsidRPr="00C127CF" w:rsidSect="00D961E8">
      <w:footerReference w:type="default" r:id="rId47"/>
      <w:endnotePr>
        <w:numFmt w:val="decimal"/>
      </w:endnotePr>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erav Datan" w:date="2019-09-15T10:29:00Z" w:initials="MD">
    <w:p w14:paraId="0F11A925" w14:textId="4D9D4B53" w:rsidR="008D11DC" w:rsidRDefault="008D11DC" w:rsidP="00F750DC">
      <w:pPr>
        <w:pStyle w:val="CommentText"/>
        <w:bidi w:val="0"/>
      </w:pPr>
      <w:r>
        <w:rPr>
          <w:rStyle w:val="CommentReference"/>
        </w:rPr>
        <w:annotationRef/>
      </w:r>
      <w:r>
        <w:t xml:space="preserve">Or – </w:t>
      </w:r>
    </w:p>
    <w:p w14:paraId="265F997A" w14:textId="3C8FAD7E" w:rsidR="008D11DC" w:rsidRDefault="008D11DC" w:rsidP="00F750DC">
      <w:pPr>
        <w:pStyle w:val="CommentText"/>
        <w:bidi w:val="0"/>
      </w:pPr>
      <w:r>
        <w:t>resident of Israel</w:t>
      </w:r>
    </w:p>
  </w:comment>
  <w:comment w:id="1" w:author="Merav Datan" w:date="2019-09-15T10:11:00Z" w:initials="MD">
    <w:p w14:paraId="0417CB19" w14:textId="77777777" w:rsidR="008D11DC" w:rsidRDefault="008D11DC">
      <w:pPr>
        <w:pStyle w:val="CommentText"/>
        <w:rPr>
          <w:rtl/>
        </w:rPr>
      </w:pPr>
      <w:r>
        <w:rPr>
          <w:rStyle w:val="CommentReference"/>
        </w:rPr>
        <w:annotationRef/>
      </w:r>
      <w:r>
        <w:rPr>
          <w:rFonts w:hint="cs"/>
          <w:rtl/>
        </w:rPr>
        <w:t>קופות חולים</w:t>
      </w:r>
    </w:p>
    <w:p w14:paraId="1BBAC1F6" w14:textId="77777777" w:rsidR="008D11DC" w:rsidRDefault="008D11DC">
      <w:pPr>
        <w:pStyle w:val="CommentText"/>
        <w:rPr>
          <w:rtl/>
        </w:rPr>
      </w:pPr>
    </w:p>
    <w:p w14:paraId="7F06412F" w14:textId="77777777" w:rsidR="008D11DC" w:rsidRDefault="008D11DC">
      <w:pPr>
        <w:pStyle w:val="CommentText"/>
        <w:rPr>
          <w:rtl/>
        </w:rPr>
      </w:pPr>
      <w:r>
        <w:rPr>
          <w:rFonts w:hint="cs"/>
          <w:rtl/>
        </w:rPr>
        <w:t>זה התרגום הנוכחי של משרד הבריאות, לפי</w:t>
      </w:r>
    </w:p>
    <w:p w14:paraId="50897E48" w14:textId="77777777" w:rsidR="008D11DC" w:rsidRDefault="00BA501B" w:rsidP="001E021B">
      <w:pPr>
        <w:pStyle w:val="CommentText"/>
        <w:rPr>
          <w:rtl/>
        </w:rPr>
      </w:pPr>
      <w:hyperlink r:id="rId1" w:history="1">
        <w:r w:rsidR="008D11DC" w:rsidRPr="001E021B">
          <w:rPr>
            <w:rStyle w:val="Hyperlink"/>
          </w:rPr>
          <w:t>https://www.health.gov.il/English/Topics/RightsInsured/RightsUnderLaw/Pages/default.aspx</w:t>
        </w:r>
      </w:hyperlink>
    </w:p>
    <w:p w14:paraId="45BE698C" w14:textId="77777777" w:rsidR="008D11DC" w:rsidRDefault="008D11DC" w:rsidP="001E021B">
      <w:pPr>
        <w:pStyle w:val="CommentText"/>
        <w:rPr>
          <w:rtl/>
        </w:rPr>
      </w:pPr>
    </w:p>
    <w:p w14:paraId="5C67C8A4" w14:textId="77777777" w:rsidR="008D11DC" w:rsidRDefault="008D11DC" w:rsidP="001E021B">
      <w:pPr>
        <w:pStyle w:val="CommentText"/>
        <w:rPr>
          <w:rtl/>
        </w:rPr>
      </w:pPr>
      <w:r>
        <w:rPr>
          <w:rFonts w:hint="cs"/>
          <w:rtl/>
        </w:rPr>
        <w:t xml:space="preserve">לחלופין (במסמכי משרד הבריאות בעבר): </w:t>
      </w:r>
    </w:p>
    <w:p w14:paraId="696682C8" w14:textId="77777777" w:rsidR="008D11DC" w:rsidRDefault="008D11DC" w:rsidP="001E021B">
      <w:pPr>
        <w:pStyle w:val="CommentText"/>
      </w:pPr>
      <w:r>
        <w:t>healthcare funds</w:t>
      </w:r>
    </w:p>
    <w:p w14:paraId="06AA070D" w14:textId="1D215B6E" w:rsidR="008D11DC" w:rsidRDefault="00BA501B" w:rsidP="001E021B">
      <w:pPr>
        <w:pStyle w:val="CommentText"/>
        <w:bidi w:val="0"/>
      </w:pPr>
      <w:hyperlink r:id="rId2" w:history="1">
        <w:r w:rsidR="008D11DC" w:rsidRPr="009F5C05">
          <w:rPr>
            <w:rStyle w:val="Hyperlink"/>
          </w:rPr>
          <w:t>https://www.old.health.gov.il/download/docs/health_eng.doc</w:t>
        </w:r>
      </w:hyperlink>
    </w:p>
    <w:p w14:paraId="314D3951" w14:textId="6F5ABA4D" w:rsidR="008D11DC" w:rsidRDefault="008D11DC" w:rsidP="001E021B">
      <w:pPr>
        <w:pStyle w:val="CommentText"/>
        <w:bidi w:val="0"/>
      </w:pPr>
    </w:p>
  </w:comment>
  <w:comment w:id="2" w:author="Merav Datan" w:date="2019-09-15T11:53:00Z" w:initials="MD">
    <w:p w14:paraId="343B4512" w14:textId="7BAD7ECE" w:rsidR="008D11DC" w:rsidRDefault="008D11DC">
      <w:pPr>
        <w:pStyle w:val="CommentText"/>
        <w:rPr>
          <w:rtl/>
        </w:rPr>
      </w:pPr>
      <w:r>
        <w:rPr>
          <w:rStyle w:val="CommentReference"/>
        </w:rPr>
        <w:annotationRef/>
      </w:r>
      <w:r>
        <w:rPr>
          <w:rFonts w:hint="cs"/>
          <w:rtl/>
        </w:rPr>
        <w:t>יישוב</w:t>
      </w:r>
    </w:p>
    <w:p w14:paraId="1E1CCCF2" w14:textId="2E8F96BD" w:rsidR="008D11DC" w:rsidRDefault="008D11DC" w:rsidP="00C07D22">
      <w:pPr>
        <w:pStyle w:val="CommentText"/>
      </w:pPr>
      <w:r>
        <w:rPr>
          <w:rFonts w:hint="cs"/>
          <w:rtl/>
        </w:rPr>
        <w:t xml:space="preserve">לחלופין </w:t>
      </w:r>
      <w:r>
        <w:rPr>
          <w:rtl/>
        </w:rPr>
        <w:t>–</w:t>
      </w:r>
      <w:r>
        <w:rPr>
          <w:rFonts w:hint="cs"/>
          <w:rtl/>
        </w:rPr>
        <w:t xml:space="preserve"> </w:t>
      </w:r>
      <w:r>
        <w:t>pre-state Jewish community</w:t>
      </w:r>
      <w:r>
        <w:rPr>
          <w:rtl/>
        </w:rPr>
        <w:br/>
      </w:r>
      <w:r>
        <w:rPr>
          <w:rFonts w:hint="cs"/>
          <w:rtl/>
        </w:rPr>
        <w:t xml:space="preserve">אבל מכיוון שהמונח קהילתי מופיע באותו משפט, אולי עדיף כאן </w:t>
      </w:r>
      <w:r>
        <w:t>population</w:t>
      </w:r>
    </w:p>
  </w:comment>
  <w:comment w:id="3" w:author="Merav Datan" w:date="2019-09-15T11:03:00Z" w:initials="MD">
    <w:p w14:paraId="1798EC32" w14:textId="77777777" w:rsidR="008D11DC" w:rsidRDefault="008D11DC" w:rsidP="00556270">
      <w:pPr>
        <w:pStyle w:val="CommentText"/>
        <w:bidi w:val="0"/>
      </w:pPr>
      <w:r>
        <w:rPr>
          <w:rStyle w:val="CommentReference"/>
        </w:rPr>
        <w:annotationRef/>
      </w:r>
      <w:r>
        <w:t>Or – “family health centers” (the current terminology)</w:t>
      </w:r>
    </w:p>
    <w:p w14:paraId="4CCBF263" w14:textId="77777777" w:rsidR="008D11DC" w:rsidRDefault="00BA501B" w:rsidP="00556270">
      <w:pPr>
        <w:pStyle w:val="CommentText"/>
        <w:bidi w:val="0"/>
      </w:pPr>
      <w:hyperlink r:id="rId3" w:history="1">
        <w:r w:rsidR="008D11DC" w:rsidRPr="00556270">
          <w:rPr>
            <w:rStyle w:val="Hyperlink"/>
          </w:rPr>
          <w:t>https://www.health.gov.il/English/Topics/Pregnancy/health_centers/Pages/family_health_centers.aspx</w:t>
        </w:r>
      </w:hyperlink>
    </w:p>
    <w:p w14:paraId="12C869D5" w14:textId="3B7BD798" w:rsidR="008D11DC" w:rsidRDefault="008D11DC" w:rsidP="00556270">
      <w:pPr>
        <w:pStyle w:val="CommentText"/>
        <w:bidi w:val="0"/>
      </w:pPr>
    </w:p>
  </w:comment>
  <w:comment w:id="4" w:author="Merav Datan" w:date="2019-09-15T11:51:00Z" w:initials="MD">
    <w:p w14:paraId="02737799" w14:textId="1C55FC4A" w:rsidR="008D11DC" w:rsidRDefault="008D11DC">
      <w:pPr>
        <w:pStyle w:val="CommentText"/>
      </w:pPr>
      <w:r>
        <w:rPr>
          <w:rStyle w:val="CommentReference"/>
        </w:rPr>
        <w:annotationRef/>
      </w:r>
      <w:r>
        <w:rPr>
          <w:rFonts w:hint="cs"/>
          <w:rtl/>
        </w:rPr>
        <w:t xml:space="preserve">יישוב </w:t>
      </w:r>
      <w:r>
        <w:rPr>
          <w:rtl/>
        </w:rPr>
        <w:t>–</w:t>
      </w:r>
      <w:r>
        <w:rPr>
          <w:rFonts w:hint="cs"/>
          <w:rtl/>
        </w:rPr>
        <w:t xml:space="preserve"> </w:t>
      </w:r>
    </w:p>
    <w:p w14:paraId="2F45B6A6" w14:textId="104DC31B" w:rsidR="008D11DC" w:rsidRDefault="008D11DC">
      <w:pPr>
        <w:pStyle w:val="CommentText"/>
      </w:pPr>
      <w:r>
        <w:rPr>
          <w:rFonts w:hint="cs"/>
          <w:rtl/>
        </w:rPr>
        <w:t xml:space="preserve">לחלופין רק </w:t>
      </w:r>
      <w:r>
        <w:rPr>
          <w:rtl/>
        </w:rPr>
        <w:t>–</w:t>
      </w:r>
      <w:r>
        <w:rPr>
          <w:rFonts w:hint="cs"/>
          <w:rtl/>
        </w:rPr>
        <w:t xml:space="preserve"> </w:t>
      </w:r>
      <w:r>
        <w:t>pre-state Jewish community</w:t>
      </w:r>
    </w:p>
    <w:p w14:paraId="1242940A" w14:textId="77777777" w:rsidR="008D11DC" w:rsidRDefault="008D11DC" w:rsidP="00C07D22">
      <w:pPr>
        <w:pStyle w:val="CommentText"/>
        <w:rPr>
          <w:rtl/>
        </w:rPr>
      </w:pPr>
    </w:p>
    <w:p w14:paraId="4767C96C" w14:textId="76470878" w:rsidR="008D11DC" w:rsidRDefault="008D11DC" w:rsidP="00C07D22">
      <w:pPr>
        <w:pStyle w:val="CommentText"/>
        <w:rPr>
          <w:rtl/>
        </w:rPr>
      </w:pPr>
      <w:r>
        <w:rPr>
          <w:rFonts w:hint="cs"/>
          <w:rtl/>
        </w:rPr>
        <w:t>נראה שההקשר פה מתייחס יותר להחלטה שמתקבלת ברמת המנהיגות.</w:t>
      </w:r>
    </w:p>
    <w:p w14:paraId="65BA9109" w14:textId="06EF8ECB" w:rsidR="008D11DC" w:rsidRDefault="008D11DC" w:rsidP="00C07D22">
      <w:pPr>
        <w:pStyle w:val="CommentText"/>
      </w:pPr>
      <w:r>
        <w:rPr>
          <w:rFonts w:hint="cs"/>
          <w:rtl/>
        </w:rPr>
        <w:t>השימוש הקודם של המונח "יישוב" התייחס לשירותים בקרב הציבור</w:t>
      </w:r>
    </w:p>
  </w:comment>
  <w:comment w:id="5" w:author="Merav Datan" w:date="2019-09-15T12:23:00Z" w:initials="MD">
    <w:p w14:paraId="280A85DA" w14:textId="299B4208" w:rsidR="008D11DC" w:rsidRDefault="008D11DC">
      <w:pPr>
        <w:pStyle w:val="CommentText"/>
      </w:pPr>
      <w:r>
        <w:rPr>
          <w:rStyle w:val="CommentReference"/>
        </w:rPr>
        <w:annotationRef/>
      </w:r>
      <w:r w:rsidRPr="00A150A2">
        <w:rPr>
          <w:rFonts w:cs="David" w:hint="cs"/>
          <w:sz w:val="24"/>
          <w:szCs w:val="24"/>
          <w:rtl/>
        </w:rPr>
        <w:t>הסתדרות העובדים הכללית וקופת חולים כללית</w:t>
      </w:r>
    </w:p>
  </w:comment>
  <w:comment w:id="6" w:author="Merav Datan" w:date="2019-09-18T19:32:00Z" w:initials="MD">
    <w:p w14:paraId="6E2312CB" w14:textId="1CBEB610" w:rsidR="008D11DC" w:rsidRDefault="008D11DC" w:rsidP="008D11DC">
      <w:pPr>
        <w:pStyle w:val="CommentText"/>
        <w:bidi w:val="0"/>
      </w:pPr>
      <w:r>
        <w:rPr>
          <w:rStyle w:val="CommentReference"/>
        </w:rPr>
        <w:annotationRef/>
      </w:r>
      <w:r>
        <w:t>added</w:t>
      </w:r>
    </w:p>
  </w:comment>
  <w:comment w:id="7" w:author="Merav Datan" w:date="2019-09-15T13:58:00Z" w:initials="MD">
    <w:p w14:paraId="1BE98882" w14:textId="09FFD717" w:rsidR="008D11DC" w:rsidRDefault="008D11DC">
      <w:pPr>
        <w:pStyle w:val="CommentText"/>
      </w:pPr>
      <w:r>
        <w:rPr>
          <w:rStyle w:val="CommentReference"/>
        </w:rPr>
        <w:annotationRef/>
      </w:r>
      <w:r w:rsidRPr="00A617D1">
        <w:rPr>
          <w:rFonts w:ascii="David" w:hAnsi="David" w:cs="David"/>
          <w:sz w:val="24"/>
          <w:szCs w:val="24"/>
          <w:rtl/>
        </w:rPr>
        <w:t>בעשור האחרון נרשמה מגמת ירידה בשיעור הפטירות במרבית סיבות המוות המובילות בישראל, בהתאם לסיבת המוות היסודית</w:t>
      </w:r>
    </w:p>
  </w:comment>
  <w:comment w:id="8" w:author="Merav Datan" w:date="2019-09-15T15:44:00Z" w:initials="MD">
    <w:p w14:paraId="270F1F32" w14:textId="6BE46B4D" w:rsidR="008D11DC" w:rsidRDefault="008D11DC">
      <w:pPr>
        <w:pStyle w:val="CommentText"/>
      </w:pPr>
      <w:r>
        <w:rPr>
          <w:rStyle w:val="CommentReference"/>
        </w:rPr>
        <w:annotationRef/>
      </w:r>
      <w:r>
        <w:rPr>
          <w:rFonts w:hint="cs"/>
          <w:rtl/>
        </w:rPr>
        <w:t>חסר מובהק</w:t>
      </w:r>
    </w:p>
  </w:comment>
  <w:comment w:id="9" w:author="Merav Datan" w:date="2019-09-15T16:10:00Z" w:initials="MD">
    <w:p w14:paraId="43846B3C" w14:textId="77777777" w:rsidR="008D11DC" w:rsidRDefault="008D11DC">
      <w:pPr>
        <w:pStyle w:val="CommentText"/>
        <w:rPr>
          <w:rtl/>
        </w:rPr>
      </w:pPr>
      <w:r>
        <w:rPr>
          <w:rStyle w:val="CommentReference"/>
        </w:rPr>
        <w:annotationRef/>
      </w:r>
      <w:r>
        <w:rPr>
          <w:rFonts w:hint="cs"/>
          <w:rtl/>
        </w:rPr>
        <w:t xml:space="preserve">הניסוח באנגלית מהמסמך של </w:t>
      </w:r>
      <w:r>
        <w:rPr>
          <w:rFonts w:hint="cs"/>
        </w:rPr>
        <w:t>IARC</w:t>
      </w:r>
      <w:r>
        <w:rPr>
          <w:rFonts w:hint="cs"/>
          <w:rtl/>
        </w:rPr>
        <w:t>:</w:t>
      </w:r>
    </w:p>
    <w:p w14:paraId="7FF9CD40" w14:textId="3F25639A" w:rsidR="008D11DC" w:rsidRDefault="00BA501B" w:rsidP="00F76FBC">
      <w:pPr>
        <w:pStyle w:val="CommentText"/>
        <w:bidi w:val="0"/>
      </w:pPr>
      <w:hyperlink r:id="rId4" w:history="1">
        <w:r w:rsidR="008D11DC" w:rsidRPr="00F76FBC">
          <w:rPr>
            <w:rStyle w:val="Hyperlink"/>
          </w:rPr>
          <w:t>https://www.iarc.fr/wp-content/uploads/2018/07/pr221_E.pdf</w:t>
        </w:r>
      </w:hyperlink>
    </w:p>
  </w:comment>
  <w:comment w:id="11" w:author="Merav Datan" w:date="2019-09-15T18:04:00Z" w:initials="MD">
    <w:p w14:paraId="6084A318" w14:textId="31731298" w:rsidR="008D11DC" w:rsidRDefault="008D11DC" w:rsidP="00760F59">
      <w:pPr>
        <w:pStyle w:val="CommentText"/>
        <w:rPr>
          <w:rStyle w:val="CommentReference"/>
          <w:sz w:val="20"/>
          <w:szCs w:val="20"/>
          <w:rtl/>
        </w:rPr>
      </w:pPr>
      <w:r>
        <w:rPr>
          <w:rStyle w:val="CommentReference"/>
        </w:rPr>
        <w:annotationRef/>
      </w:r>
      <w:r>
        <w:rPr>
          <w:rStyle w:val="CommentReference"/>
          <w:rFonts w:hint="cs"/>
          <w:sz w:val="20"/>
          <w:szCs w:val="20"/>
          <w:rtl/>
        </w:rPr>
        <w:t>מגזר</w:t>
      </w:r>
    </w:p>
    <w:p w14:paraId="332F1CDD" w14:textId="77777777" w:rsidR="008D11DC" w:rsidRDefault="008D11DC" w:rsidP="00760F59">
      <w:pPr>
        <w:pStyle w:val="CommentText"/>
        <w:rPr>
          <w:rStyle w:val="CommentReference"/>
          <w:sz w:val="20"/>
          <w:szCs w:val="20"/>
        </w:rPr>
      </w:pPr>
    </w:p>
    <w:p w14:paraId="103EA074" w14:textId="726ABF95" w:rsidR="008D11DC" w:rsidRDefault="008D11DC" w:rsidP="00760F59">
      <w:pPr>
        <w:pStyle w:val="CommentText"/>
      </w:pPr>
      <w:r w:rsidRPr="00760F59">
        <w:rPr>
          <w:rStyle w:val="CommentReference"/>
          <w:rFonts w:hint="cs"/>
          <w:sz w:val="20"/>
          <w:szCs w:val="20"/>
          <w:rtl/>
        </w:rPr>
        <w:t>לחלופין</w:t>
      </w:r>
      <w:r>
        <w:rPr>
          <w:rStyle w:val="CommentReference"/>
          <w:rFonts w:hint="cs"/>
          <w:sz w:val="20"/>
          <w:szCs w:val="20"/>
          <w:rtl/>
        </w:rPr>
        <w:t xml:space="preserve"> -</w:t>
      </w:r>
    </w:p>
    <w:p w14:paraId="4CFC97B8" w14:textId="77777777" w:rsidR="008D11DC" w:rsidRDefault="008D11DC" w:rsidP="00604D1E">
      <w:pPr>
        <w:pStyle w:val="CommentText"/>
      </w:pPr>
      <w:r>
        <w:t>population group</w:t>
      </w:r>
    </w:p>
    <w:p w14:paraId="6A731E0F" w14:textId="7BDE882C" w:rsidR="008D11DC" w:rsidRDefault="008D11DC" w:rsidP="00760F59">
      <w:pPr>
        <w:pStyle w:val="CommentText"/>
      </w:pPr>
      <w:r>
        <w:rPr>
          <w:rFonts w:hint="cs"/>
          <w:rtl/>
        </w:rPr>
        <w:t>(לצורך עקביות)</w:t>
      </w:r>
    </w:p>
  </w:comment>
  <w:comment w:id="12" w:author="Merav Datan" w:date="2019-09-15T18:06:00Z" w:initials="MD">
    <w:p w14:paraId="259F1E00" w14:textId="4705C84A" w:rsidR="008D11DC" w:rsidRDefault="008D11DC" w:rsidP="00760F59">
      <w:pPr>
        <w:pStyle w:val="CommentText"/>
        <w:bidi w:val="0"/>
      </w:pPr>
      <w:r>
        <w:rPr>
          <w:rStyle w:val="CommentReference"/>
        </w:rPr>
        <w:annotationRef/>
      </w:r>
      <w:r>
        <w:t>Or –</w:t>
      </w:r>
    </w:p>
    <w:p w14:paraId="37141428" w14:textId="43E18F22" w:rsidR="008D11DC" w:rsidRDefault="008D11DC" w:rsidP="00760F59">
      <w:pPr>
        <w:pStyle w:val="CommentText"/>
        <w:bidi w:val="0"/>
      </w:pPr>
      <w:r>
        <w:t>population group</w:t>
      </w:r>
    </w:p>
  </w:comment>
  <w:comment w:id="13" w:author="Merav Datan" w:date="2019-09-16T11:01:00Z" w:initials="MD">
    <w:p w14:paraId="77B1EB49" w14:textId="2A4C624C" w:rsidR="008D11DC" w:rsidRDefault="008D11DC">
      <w:pPr>
        <w:pStyle w:val="CommentText"/>
        <w:rPr>
          <w:rFonts w:ascii="David" w:hAnsi="David" w:cs="David"/>
          <w:sz w:val="24"/>
          <w:szCs w:val="24"/>
        </w:rPr>
      </w:pPr>
      <w:r>
        <w:rPr>
          <w:rStyle w:val="CommentReference"/>
        </w:rPr>
        <w:annotationRef/>
      </w:r>
      <w:r>
        <w:rPr>
          <w:rFonts w:ascii="David" w:hAnsi="David" w:cs="David" w:hint="cs"/>
          <w:sz w:val="24"/>
          <w:szCs w:val="24"/>
          <w:rtl/>
        </w:rPr>
        <w:t>שכיחות החולים בסוכרת המאוזנים</w:t>
      </w:r>
    </w:p>
    <w:p w14:paraId="73E0FCA4" w14:textId="6A4E0473" w:rsidR="008D11DC" w:rsidRDefault="008D11DC" w:rsidP="00162520">
      <w:pPr>
        <w:pStyle w:val="CommentText"/>
        <w:bidi w:val="0"/>
        <w:rPr>
          <w:rFonts w:ascii="David" w:hAnsi="David" w:cs="David"/>
          <w:sz w:val="24"/>
          <w:szCs w:val="24"/>
        </w:rPr>
      </w:pPr>
      <w:r>
        <w:rPr>
          <w:rFonts w:ascii="David" w:hAnsi="David" w:cs="David"/>
          <w:sz w:val="24"/>
          <w:szCs w:val="24"/>
        </w:rPr>
        <w:t>Or –</w:t>
      </w:r>
    </w:p>
    <w:p w14:paraId="236C6364" w14:textId="75B3962E" w:rsidR="008D11DC" w:rsidRDefault="008D11DC" w:rsidP="00162520">
      <w:pPr>
        <w:pStyle w:val="CommentText"/>
        <w:bidi w:val="0"/>
      </w:pPr>
      <w:r>
        <w:rPr>
          <w:rFonts w:ascii="David" w:hAnsi="David" w:cs="David"/>
          <w:sz w:val="24"/>
          <w:szCs w:val="24"/>
        </w:rPr>
        <w:t>the control of diabetes improves with age</w:t>
      </w:r>
    </w:p>
  </w:comment>
  <w:comment w:id="14" w:author="Merav Datan" w:date="2019-09-16T11:11:00Z" w:initials="MD">
    <w:p w14:paraId="52354314" w14:textId="25F805FB" w:rsidR="008D11DC" w:rsidRDefault="008D11DC">
      <w:pPr>
        <w:pStyle w:val="CommentText"/>
      </w:pPr>
      <w:r>
        <w:rPr>
          <w:rStyle w:val="CommentReference"/>
        </w:rPr>
        <w:annotationRef/>
      </w:r>
      <w:r>
        <w:rPr>
          <w:rFonts w:ascii="David" w:hAnsi="David" w:cs="David" w:hint="cs"/>
          <w:sz w:val="24"/>
          <w:szCs w:val="24"/>
          <w:rtl/>
        </w:rPr>
        <w:t>היו פחות מאוזנים</w:t>
      </w:r>
    </w:p>
  </w:comment>
  <w:comment w:id="15" w:author="Merav Datan" w:date="2019-09-16T11:22:00Z" w:initials="MD">
    <w:p w14:paraId="794F8F95" w14:textId="50CD5C75" w:rsidR="008D11DC" w:rsidRDefault="008D11DC">
      <w:pPr>
        <w:pStyle w:val="CommentText"/>
      </w:pPr>
      <w:r>
        <w:rPr>
          <w:rStyle w:val="CommentReference"/>
        </w:rPr>
        <w:annotationRef/>
      </w:r>
      <w:r>
        <w:rPr>
          <w:rFonts w:hint="cs"/>
          <w:rtl/>
        </w:rPr>
        <w:t>החולים המאוזנים</w:t>
      </w:r>
    </w:p>
  </w:comment>
  <w:comment w:id="16" w:author="Merav Datan" w:date="2019-09-16T14:32:00Z" w:initials="MD">
    <w:p w14:paraId="496768FD" w14:textId="77777777" w:rsidR="008D11DC" w:rsidRDefault="008D11DC">
      <w:pPr>
        <w:pStyle w:val="CommentText"/>
        <w:rPr>
          <w:rtl/>
        </w:rPr>
      </w:pPr>
      <w:r>
        <w:rPr>
          <w:rStyle w:val="CommentReference"/>
        </w:rPr>
        <w:annotationRef/>
      </w:r>
    </w:p>
    <w:p w14:paraId="1A4CCF56" w14:textId="1534F111" w:rsidR="008D11DC" w:rsidRDefault="008D11DC">
      <w:pPr>
        <w:pStyle w:val="CommentText"/>
        <w:rPr>
          <w:rtl/>
        </w:rPr>
      </w:pPr>
      <w:r>
        <w:rPr>
          <w:rFonts w:hint="cs"/>
          <w:rtl/>
        </w:rPr>
        <w:t>הופיע כחלק "ג" אבל חלקים א ו-ב לא סומנו לעיל.</w:t>
      </w:r>
    </w:p>
    <w:p w14:paraId="0D719728" w14:textId="77777777" w:rsidR="008D11DC" w:rsidRDefault="008D11DC">
      <w:pPr>
        <w:pStyle w:val="CommentText"/>
        <w:rPr>
          <w:rtl/>
        </w:rPr>
      </w:pPr>
    </w:p>
    <w:p w14:paraId="5FB03B61" w14:textId="2C28A24E" w:rsidR="008D11DC" w:rsidRDefault="008D11DC" w:rsidP="00FD4CD9">
      <w:pPr>
        <w:pStyle w:val="CommentText"/>
        <w:rPr>
          <w:rtl/>
        </w:rPr>
      </w:pPr>
      <w:r>
        <w:rPr>
          <w:rFonts w:hint="cs"/>
          <w:rtl/>
        </w:rPr>
        <w:t xml:space="preserve">בסוף החלק הקודם הייתה רשימה ביבליוגרפית. בהתאם להנחיות, כל המקורות הועברו לסוף המסמך. </w:t>
      </w:r>
    </w:p>
  </w:comment>
  <w:comment w:id="17" w:author="Merav Datan" w:date="2019-09-16T15:22:00Z" w:initials="MD">
    <w:p w14:paraId="3BBD5FBA" w14:textId="1D5B4C5E" w:rsidR="008D11DC" w:rsidRDefault="008D11DC">
      <w:pPr>
        <w:pStyle w:val="CommentText"/>
      </w:pPr>
      <w:r>
        <w:rPr>
          <w:rStyle w:val="CommentReference"/>
        </w:rPr>
        <w:annotationRef/>
      </w:r>
      <w:r w:rsidRPr="000455B5">
        <w:rPr>
          <w:rFonts w:ascii="David" w:hAnsi="David" w:cs="David"/>
          <w:sz w:val="24"/>
          <w:szCs w:val="24"/>
          <w:rtl/>
        </w:rPr>
        <w:t>מבצעים מעברים תכופים לאורך הרצף הטיפולי</w:t>
      </w:r>
    </w:p>
  </w:comment>
  <w:comment w:id="18" w:author="Merav Datan" w:date="2019-09-16T16:13:00Z" w:initials="MD">
    <w:p w14:paraId="3D4EB834" w14:textId="07AD25E1" w:rsidR="008D11DC" w:rsidRDefault="008D11DC">
      <w:pPr>
        <w:pStyle w:val="CommentText"/>
      </w:pPr>
      <w:r>
        <w:rPr>
          <w:rStyle w:val="CommentReference"/>
        </w:rPr>
        <w:annotationRef/>
      </w:r>
      <w:r w:rsidRPr="000414BB">
        <w:rPr>
          <w:rFonts w:cs="David" w:hint="cs"/>
          <w:b/>
          <w:bCs/>
          <w:sz w:val="28"/>
          <w:szCs w:val="28"/>
          <w:u w:val="single"/>
          <w:rtl/>
        </w:rPr>
        <w:t>צפי התאמת כוח אדם וצוותים רפואיים אל מול צרכי מערכת הבריאות והתשתיות הפיזיות</w:t>
      </w:r>
    </w:p>
  </w:comment>
  <w:comment w:id="19" w:author="Merav Datan" w:date="2019-09-17T10:16:00Z" w:initials="MD">
    <w:p w14:paraId="1B471BBD" w14:textId="4A98D071" w:rsidR="008D11DC" w:rsidRDefault="008D11DC">
      <w:pPr>
        <w:pStyle w:val="CommentText"/>
        <w:rPr>
          <w:rtl/>
        </w:rPr>
      </w:pPr>
      <w:r>
        <w:rPr>
          <w:rStyle w:val="CommentReference"/>
        </w:rPr>
        <w:annotationRef/>
      </w:r>
      <w:r>
        <w:rPr>
          <w:rFonts w:hint="cs"/>
          <w:rtl/>
        </w:rPr>
        <w:t>מקצועות במצוקה</w:t>
      </w:r>
    </w:p>
    <w:p w14:paraId="5E324BF5" w14:textId="77777777" w:rsidR="008D11DC" w:rsidRDefault="008D11DC">
      <w:pPr>
        <w:pStyle w:val="CommentText"/>
        <w:rPr>
          <w:rtl/>
        </w:rPr>
      </w:pPr>
    </w:p>
    <w:p w14:paraId="610BB219" w14:textId="01AC6B58" w:rsidR="008D11DC" w:rsidRDefault="008D11DC" w:rsidP="00212540">
      <w:pPr>
        <w:pStyle w:val="CommentText"/>
        <w:numPr>
          <w:ilvl w:val="0"/>
          <w:numId w:val="24"/>
        </w:numPr>
        <w:rPr>
          <w:rtl/>
        </w:rPr>
      </w:pPr>
      <w:r>
        <w:rPr>
          <w:rFonts w:hint="cs"/>
          <w:rtl/>
        </w:rPr>
        <w:t>התרגום כאן לפי התרגום של הר"י</w:t>
      </w:r>
    </w:p>
    <w:p w14:paraId="0F103247" w14:textId="305963C6" w:rsidR="008D11DC" w:rsidRDefault="00BA501B" w:rsidP="00D13071">
      <w:pPr>
        <w:pStyle w:val="CommentText"/>
        <w:bidi w:val="0"/>
      </w:pPr>
      <w:hyperlink r:id="rId5" w:history="1">
        <w:r w:rsidR="008D11DC" w:rsidRPr="00D13071">
          <w:rPr>
            <w:rStyle w:val="Hyperlink"/>
          </w:rPr>
          <w:t>https://www.ima.org.il/eng/viewcontent.aspx?categoryid=6162</w:t>
        </w:r>
      </w:hyperlink>
    </w:p>
  </w:comment>
  <w:comment w:id="20" w:author="Merav Datan" w:date="2019-09-17T11:18:00Z" w:initials="MD">
    <w:p w14:paraId="76BA1DF4" w14:textId="163B71B5" w:rsidR="008D11DC" w:rsidRDefault="008D11DC">
      <w:pPr>
        <w:pStyle w:val="CommentText"/>
      </w:pPr>
      <w:r>
        <w:rPr>
          <w:rStyle w:val="CommentReference"/>
        </w:rPr>
        <w:annotationRef/>
      </w:r>
      <w:r w:rsidRPr="00446046">
        <w:rPr>
          <w:rFonts w:ascii="Arial" w:hAnsi="Arial" w:cs="David"/>
          <w:color w:val="333333"/>
          <w:rtl/>
        </w:rPr>
        <w:t>תורנויות מומחים - תעריף נפרד (הכפלת ימי עבודה).</w:t>
      </w:r>
    </w:p>
  </w:comment>
  <w:comment w:id="21" w:author="Merav Datan" w:date="2019-09-18T19:08:00Z" w:initials="MD">
    <w:p w14:paraId="12758CDE" w14:textId="1BCF71BA" w:rsidR="008D11DC" w:rsidRDefault="008D11DC" w:rsidP="00D43449">
      <w:pPr>
        <w:pStyle w:val="CommentText"/>
        <w:bidi w:val="0"/>
      </w:pPr>
      <w:r>
        <w:rPr>
          <w:rStyle w:val="CommentReference"/>
        </w:rPr>
        <w:annotationRef/>
      </w:r>
      <w:r>
        <w:t>Many academic publications in English prefer the use of italics (rather than bold lettering) for emphasis</w:t>
      </w:r>
    </w:p>
  </w:comment>
  <w:comment w:id="22" w:author="Merav Datan" w:date="2019-09-17T13:01:00Z" w:initials="MD">
    <w:p w14:paraId="4D311561" w14:textId="54133235" w:rsidR="008D11DC" w:rsidRPr="000D7ECF" w:rsidRDefault="008D11DC">
      <w:pPr>
        <w:pStyle w:val="CommentText"/>
        <w:rPr>
          <w:rFonts w:asciiTheme="minorBidi" w:hAnsiTheme="minorBidi"/>
        </w:rPr>
      </w:pPr>
      <w:r w:rsidRPr="000D7ECF">
        <w:rPr>
          <w:rFonts w:asciiTheme="minorBidi" w:hAnsiTheme="minorBidi"/>
          <w:rtl/>
        </w:rPr>
        <w:t>המסלול</w:t>
      </w:r>
      <w:r w:rsidRPr="000D7ECF">
        <w:rPr>
          <w:rFonts w:asciiTheme="minorBidi" w:hAnsiTheme="minorBidi"/>
        </w:rPr>
        <w:t xml:space="preserve"> </w:t>
      </w:r>
      <w:r w:rsidRPr="000D7ECF">
        <w:rPr>
          <w:rFonts w:asciiTheme="minorBidi" w:hAnsiTheme="minorBidi"/>
          <w:rtl/>
        </w:rPr>
        <w:t>של</w:t>
      </w:r>
      <w:r w:rsidRPr="000D7ECF">
        <w:rPr>
          <w:rFonts w:asciiTheme="minorBidi" w:hAnsiTheme="minorBidi"/>
        </w:rPr>
        <w:t xml:space="preserve"> </w:t>
      </w:r>
      <w:r w:rsidRPr="000D7ECF">
        <w:rPr>
          <w:rFonts w:asciiTheme="minorBidi" w:hAnsiTheme="minorBidi"/>
          <w:rtl/>
        </w:rPr>
        <w:t>אחיות</w:t>
      </w:r>
      <w:r w:rsidRPr="000D7ECF">
        <w:rPr>
          <w:rFonts w:asciiTheme="minorBidi" w:hAnsiTheme="minorBidi"/>
        </w:rPr>
        <w:t xml:space="preserve"> </w:t>
      </w:r>
      <w:r w:rsidRPr="000D7ECF">
        <w:rPr>
          <w:rFonts w:asciiTheme="minorBidi" w:hAnsiTheme="minorBidi"/>
          <w:rtl/>
        </w:rPr>
        <w:t>שאינן</w:t>
      </w:r>
      <w:r w:rsidRPr="000D7ECF">
        <w:rPr>
          <w:rFonts w:asciiTheme="minorBidi" w:hAnsiTheme="minorBidi"/>
        </w:rPr>
        <w:t xml:space="preserve"> </w:t>
      </w:r>
      <w:r w:rsidRPr="000D7ECF">
        <w:rPr>
          <w:rFonts w:asciiTheme="minorBidi" w:hAnsiTheme="minorBidi"/>
          <w:rtl/>
        </w:rPr>
        <w:t>מוסמכות</w:t>
      </w:r>
      <w:r w:rsidRPr="000D7ECF">
        <w:rPr>
          <w:rFonts w:asciiTheme="minorBidi" w:hAnsiTheme="minorBidi"/>
        </w:rPr>
        <w:t>-</w:t>
      </w:r>
      <w:r w:rsidRPr="000D7ECF">
        <w:rPr>
          <w:rFonts w:asciiTheme="minorBidi" w:hAnsiTheme="minorBidi"/>
          <w:rtl/>
        </w:rPr>
        <w:t>מעשיות</w:t>
      </w:r>
    </w:p>
    <w:p w14:paraId="6F0E19CE" w14:textId="77777777" w:rsidR="008D11DC" w:rsidRPr="000D7ECF" w:rsidRDefault="008D11DC">
      <w:pPr>
        <w:pStyle w:val="CommentText"/>
        <w:rPr>
          <w:rFonts w:asciiTheme="minorBidi" w:hAnsiTheme="minorBidi"/>
          <w:sz w:val="24"/>
          <w:szCs w:val="24"/>
        </w:rPr>
      </w:pPr>
    </w:p>
    <w:p w14:paraId="3B8878DF" w14:textId="7F7A0F64" w:rsidR="008D11DC" w:rsidRPr="000D7ECF" w:rsidRDefault="008D11DC" w:rsidP="00EF3865">
      <w:pPr>
        <w:pStyle w:val="CommentText"/>
        <w:bidi w:val="0"/>
        <w:rPr>
          <w:rFonts w:asciiTheme="minorBidi" w:hAnsiTheme="minorBidi"/>
          <w:sz w:val="24"/>
          <w:szCs w:val="24"/>
        </w:rPr>
      </w:pPr>
      <w:r w:rsidRPr="000D7ECF">
        <w:rPr>
          <w:rFonts w:asciiTheme="minorBidi" w:hAnsiTheme="minorBidi"/>
          <w:sz w:val="24"/>
          <w:szCs w:val="24"/>
        </w:rPr>
        <w:t>Or –</w:t>
      </w:r>
      <w:r>
        <w:rPr>
          <w:rFonts w:asciiTheme="minorBidi" w:hAnsiTheme="minorBidi"/>
          <w:sz w:val="24"/>
          <w:szCs w:val="24"/>
        </w:rPr>
        <w:t xml:space="preserve"> ?</w:t>
      </w:r>
    </w:p>
    <w:p w14:paraId="5ABDA858" w14:textId="6156A560" w:rsidR="008D11DC" w:rsidRDefault="008D11DC" w:rsidP="00A0401C">
      <w:pPr>
        <w:pStyle w:val="CommentText"/>
        <w:bidi w:val="0"/>
        <w:rPr>
          <w:rFonts w:asciiTheme="minorBidi" w:hAnsiTheme="minorBidi"/>
        </w:rPr>
      </w:pPr>
      <w:r w:rsidRPr="000D7ECF">
        <w:rPr>
          <w:rFonts w:asciiTheme="minorBidi" w:hAnsiTheme="minorBidi"/>
          <w:sz w:val="24"/>
          <w:szCs w:val="24"/>
        </w:rPr>
        <w:t xml:space="preserve">the training track for </w:t>
      </w:r>
      <w:r w:rsidRPr="000D7ECF">
        <w:rPr>
          <w:rFonts w:asciiTheme="minorBidi" w:hAnsiTheme="minorBidi"/>
        </w:rPr>
        <w:t>licensed practical nurses who are not registered nurses</w:t>
      </w:r>
      <w:r>
        <w:rPr>
          <w:rFonts w:asciiTheme="minorBidi" w:hAnsiTheme="minorBidi"/>
        </w:rPr>
        <w:t xml:space="preserve"> </w:t>
      </w:r>
    </w:p>
    <w:p w14:paraId="6D8EBC5E" w14:textId="77777777" w:rsidR="008D11DC" w:rsidRDefault="008D11DC" w:rsidP="000D7ECF">
      <w:pPr>
        <w:pStyle w:val="CommentText"/>
        <w:bidi w:val="0"/>
        <w:rPr>
          <w:rFonts w:asciiTheme="minorBidi" w:hAnsiTheme="minorBidi"/>
        </w:rPr>
      </w:pPr>
    </w:p>
    <w:p w14:paraId="259D882F" w14:textId="36E26A77" w:rsidR="008D11DC" w:rsidRPr="000D7ECF" w:rsidRDefault="008D11DC" w:rsidP="000D7ECF">
      <w:pPr>
        <w:pStyle w:val="CommentText"/>
        <w:bidi w:val="0"/>
        <w:rPr>
          <w:rFonts w:asciiTheme="minorBidi" w:hAnsiTheme="minorBidi"/>
        </w:rPr>
      </w:pPr>
    </w:p>
  </w:comment>
  <w:comment w:id="23" w:author="Merav Datan" w:date="2019-09-17T14:18:00Z" w:initials="MD">
    <w:p w14:paraId="4FE5B492" w14:textId="3B5BB2C6" w:rsidR="008D11DC" w:rsidRDefault="008D11DC">
      <w:pPr>
        <w:pStyle w:val="CommentText"/>
      </w:pPr>
      <w:r>
        <w:rPr>
          <w:rStyle w:val="CommentReference"/>
        </w:rPr>
        <w:annotationRef/>
      </w:r>
      <w:r>
        <w:rPr>
          <w:rFonts w:hint="cs"/>
          <w:rtl/>
        </w:rPr>
        <w:t>לא ציון במקורות</w:t>
      </w:r>
    </w:p>
  </w:comment>
  <w:comment w:id="24" w:author="Merav Datan" w:date="2019-09-17T15:05:00Z" w:initials="MD">
    <w:p w14:paraId="26BDF6C1" w14:textId="34C24AEA" w:rsidR="008D11DC" w:rsidRDefault="008D11DC">
      <w:pPr>
        <w:pStyle w:val="CommentText"/>
        <w:rPr>
          <w:rtl/>
        </w:rPr>
      </w:pPr>
      <w:r>
        <w:rPr>
          <w:rStyle w:val="CommentReference"/>
        </w:rPr>
        <w:annotationRef/>
      </w:r>
      <w:r>
        <w:rPr>
          <w:rFonts w:hint="cs"/>
          <w:rtl/>
        </w:rPr>
        <w:t>מדיניות</w:t>
      </w:r>
    </w:p>
    <w:p w14:paraId="1CC0CB47" w14:textId="0095301D" w:rsidR="008D11DC" w:rsidRDefault="008D11DC" w:rsidP="00885A15">
      <w:pPr>
        <w:pStyle w:val="CommentText"/>
        <w:bidi w:val="0"/>
      </w:pPr>
      <w:r>
        <w:t xml:space="preserve">or – attitude </w:t>
      </w:r>
    </w:p>
    <w:p w14:paraId="766378DC" w14:textId="584A1FCF" w:rsidR="008D11DC" w:rsidRDefault="008D11DC" w:rsidP="00885A15">
      <w:pPr>
        <w:pStyle w:val="CommentText"/>
        <w:bidi w:val="0"/>
        <w:rPr>
          <w:rtl/>
        </w:rPr>
      </w:pPr>
      <w:r>
        <w:rPr>
          <w:rFonts w:hint="cs"/>
          <w:rtl/>
        </w:rPr>
        <w:t>(אם מדובר ברמה האישית)</w:t>
      </w:r>
    </w:p>
    <w:p w14:paraId="60B0169D" w14:textId="77777777" w:rsidR="008D11DC" w:rsidRDefault="008D11DC">
      <w:pPr>
        <w:pStyle w:val="CommentText"/>
        <w:rPr>
          <w:rtl/>
        </w:rPr>
      </w:pPr>
    </w:p>
    <w:p w14:paraId="2613244A" w14:textId="63D2BD88" w:rsidR="008D11DC" w:rsidRDefault="008D11DC" w:rsidP="00885A15">
      <w:pPr>
        <w:pStyle w:val="CommentText"/>
        <w:bidi w:val="0"/>
      </w:pPr>
    </w:p>
  </w:comment>
  <w:comment w:id="26" w:author="Merav Datan" w:date="2019-09-18T11:28:00Z" w:initials="MD">
    <w:p w14:paraId="74B69A55" w14:textId="3AE3FE7C" w:rsidR="008D11DC" w:rsidRDefault="008D11DC" w:rsidP="008D11DC">
      <w:pPr>
        <w:pStyle w:val="CommentText"/>
        <w:bidi w:val="0"/>
      </w:pPr>
      <w:r>
        <w:rPr>
          <w:rStyle w:val="CommentReference"/>
        </w:rPr>
        <w:annotationRef/>
      </w:r>
      <w:r>
        <w:t>According to the guidelines, the total number of pages has to be included for all books and reports, including electronic sources</w:t>
      </w:r>
    </w:p>
  </w:comment>
  <w:comment w:id="27" w:author="Merav Datan" w:date="2019-09-17T18:58:00Z" w:initials="MD">
    <w:p w14:paraId="4EBC8149" w14:textId="0F51D33A" w:rsidR="008D11DC" w:rsidRDefault="008D11DC" w:rsidP="00DD02D9">
      <w:pPr>
        <w:pStyle w:val="CommentText"/>
        <w:bidi w:val="0"/>
      </w:pPr>
      <w:r>
        <w:rPr>
          <w:rStyle w:val="CommentReference"/>
        </w:rPr>
        <w:annotationRef/>
      </w:r>
      <w:r>
        <w:t>Following the Vancouver referral to the NLM guide, Hebrew titles were Romanized and translated</w:t>
      </w:r>
    </w:p>
    <w:p w14:paraId="30B8B1ED" w14:textId="77777777" w:rsidR="008D11DC" w:rsidRDefault="00BA501B" w:rsidP="00F842AE">
      <w:pPr>
        <w:pStyle w:val="CommentText"/>
        <w:bidi w:val="0"/>
      </w:pPr>
      <w:hyperlink r:id="rId6" w:history="1">
        <w:r w:rsidR="008D11DC" w:rsidRPr="00964885">
          <w:rPr>
            <w:rStyle w:val="Hyperlink"/>
          </w:rPr>
          <w:t>https://www.ncbi.nlm.nih.gov/books/NBK7250/box/A40350/</w:t>
        </w:r>
      </w:hyperlink>
    </w:p>
    <w:p w14:paraId="5B5B3809" w14:textId="77777777" w:rsidR="008D11DC" w:rsidRDefault="008D11DC" w:rsidP="008D11DC">
      <w:pPr>
        <w:pStyle w:val="CommentText"/>
        <w:bidi w:val="0"/>
      </w:pPr>
    </w:p>
    <w:p w14:paraId="5581A243" w14:textId="1FB31994" w:rsidR="008D11DC" w:rsidRDefault="008D11DC" w:rsidP="008D11DC">
      <w:pPr>
        <w:pStyle w:val="CommentText"/>
        <w:bidi w:val="0"/>
      </w:pPr>
      <w:r>
        <w:t>The transliteration system used here is the one recommended in the link above</w:t>
      </w:r>
    </w:p>
  </w:comment>
  <w:comment w:id="28" w:author="Merav Datan" w:date="2019-09-17T18:57:00Z" w:initials="MD">
    <w:p w14:paraId="388E93DC" w14:textId="77777777" w:rsidR="008D11DC" w:rsidRDefault="008D11DC" w:rsidP="00F842AE">
      <w:pPr>
        <w:pStyle w:val="CommentText"/>
        <w:bidi w:val="0"/>
      </w:pPr>
      <w:r>
        <w:rPr>
          <w:rStyle w:val="CommentReference"/>
        </w:rPr>
        <w:annotationRef/>
      </w:r>
      <w:r>
        <w:t>For government reports the country in indicated after the organization. Otherwise, after the city.</w:t>
      </w:r>
    </w:p>
  </w:comment>
  <w:comment w:id="29" w:author="Merav Datan" w:date="2019-09-17T20:06:00Z" w:initials="MD">
    <w:p w14:paraId="50CB32B1" w14:textId="77777777" w:rsidR="008D11DC" w:rsidRDefault="008D11DC" w:rsidP="00F842AE">
      <w:pPr>
        <w:pStyle w:val="CommentText"/>
        <w:bidi w:val="0"/>
      </w:pPr>
      <w:r>
        <w:rPr>
          <w:rStyle w:val="CommentReference"/>
        </w:rPr>
        <w:annotationRef/>
      </w:r>
      <w:r>
        <w:t xml:space="preserve">According to guidelines, for books and reports, all authors should be listed </w:t>
      </w:r>
    </w:p>
    <w:p w14:paraId="1E648CFD" w14:textId="77777777" w:rsidR="008D11DC" w:rsidRDefault="008D11DC" w:rsidP="00F842AE">
      <w:pPr>
        <w:pStyle w:val="CommentText"/>
        <w:bidi w:val="0"/>
      </w:pPr>
      <w:r>
        <w:t>(found the other names online)</w:t>
      </w:r>
    </w:p>
    <w:p w14:paraId="128193D7" w14:textId="77777777" w:rsidR="008D11DC" w:rsidRDefault="008D11DC" w:rsidP="00F842AE">
      <w:pPr>
        <w:pStyle w:val="CommentText"/>
      </w:pPr>
    </w:p>
  </w:comment>
  <w:comment w:id="30" w:author="Merav Datan" w:date="2019-09-17T19:34:00Z" w:initials="MD">
    <w:p w14:paraId="1850837E" w14:textId="77777777" w:rsidR="008D11DC" w:rsidRDefault="008D11DC" w:rsidP="00DD02D9">
      <w:pPr>
        <w:pStyle w:val="CommentText"/>
        <w:bidi w:val="0"/>
      </w:pPr>
      <w:r>
        <w:rPr>
          <w:rStyle w:val="CommentReference"/>
        </w:rPr>
        <w:annotationRef/>
      </w:r>
      <w:r>
        <w:t>Following the format for a chapter (or table) in a book/report/electronic book, the chapter/table title appears at the end</w:t>
      </w:r>
    </w:p>
    <w:p w14:paraId="697BF1DA" w14:textId="77777777" w:rsidR="008D11DC" w:rsidRDefault="008D11DC" w:rsidP="00DD02D9">
      <w:pPr>
        <w:pStyle w:val="CommentText"/>
        <w:bidi w:val="0"/>
      </w:pPr>
    </w:p>
    <w:p w14:paraId="10114EFD" w14:textId="6E0EC99C" w:rsidR="008D11DC" w:rsidRDefault="008D11DC" w:rsidP="00DD02D9">
      <w:pPr>
        <w:pStyle w:val="CommentText"/>
        <w:bidi w:val="0"/>
      </w:pPr>
      <w:r>
        <w:t>The page number/s and/or website and date of access should be added here.</w:t>
      </w:r>
    </w:p>
  </w:comment>
  <w:comment w:id="31" w:author="Merav Datan" w:date="2019-09-18T11:35:00Z" w:initials="MD">
    <w:p w14:paraId="761586BA" w14:textId="31E1E686" w:rsidR="008D11DC" w:rsidRDefault="008D11DC" w:rsidP="00DD02D9">
      <w:pPr>
        <w:pStyle w:val="CommentText"/>
        <w:bidi w:val="0"/>
      </w:pPr>
      <w:r>
        <w:rPr>
          <w:rStyle w:val="CommentReference"/>
        </w:rPr>
        <w:annotationRef/>
      </w:r>
      <w:r>
        <w:t>Inserted the total number of pages (from online PDF version)</w:t>
      </w:r>
    </w:p>
  </w:comment>
  <w:comment w:id="32" w:author="Merav Datan" w:date="2019-09-17T20:04:00Z" w:initials="MD">
    <w:p w14:paraId="030FF603" w14:textId="77777777" w:rsidR="008D11DC" w:rsidRDefault="008D11DC" w:rsidP="00F842AE">
      <w:pPr>
        <w:pStyle w:val="CommentText"/>
        <w:bidi w:val="0"/>
      </w:pPr>
      <w:r>
        <w:rPr>
          <w:rStyle w:val="CommentReference"/>
        </w:rPr>
        <w:annotationRef/>
      </w:r>
      <w:r>
        <w:t xml:space="preserve">According to guidelines, for books and reports, all authors should be listed </w:t>
      </w:r>
    </w:p>
    <w:p w14:paraId="165D8A1D" w14:textId="77777777" w:rsidR="008D11DC" w:rsidRDefault="008D11DC" w:rsidP="00F842AE">
      <w:pPr>
        <w:pStyle w:val="CommentText"/>
        <w:bidi w:val="0"/>
      </w:pPr>
      <w:r>
        <w:t>(found the other names online, but could not find a city for the publication)</w:t>
      </w:r>
    </w:p>
    <w:p w14:paraId="1D8836C8" w14:textId="77777777" w:rsidR="008D11DC" w:rsidRDefault="008D11DC" w:rsidP="00F842AE">
      <w:pPr>
        <w:pStyle w:val="CommentText"/>
        <w:bidi w:val="0"/>
      </w:pPr>
    </w:p>
  </w:comment>
  <w:comment w:id="33" w:author="Merav Datan" w:date="2019-09-18T11:35:00Z" w:initials="MD">
    <w:p w14:paraId="5D0DC5D3" w14:textId="5A13278D" w:rsidR="008D11DC" w:rsidRDefault="008D11DC" w:rsidP="00DD02D9">
      <w:pPr>
        <w:pStyle w:val="CommentText"/>
        <w:bidi w:val="0"/>
      </w:pPr>
      <w:r>
        <w:rPr>
          <w:rStyle w:val="CommentReference"/>
        </w:rPr>
        <w:annotationRef/>
      </w:r>
      <w:r>
        <w:t>added.</w:t>
      </w:r>
    </w:p>
    <w:p w14:paraId="6DBBD624" w14:textId="2BE12B75" w:rsidR="008D11DC" w:rsidRDefault="008D11DC" w:rsidP="008D11DC">
      <w:pPr>
        <w:pStyle w:val="CommentText"/>
        <w:bidi w:val="0"/>
      </w:pPr>
      <w:r>
        <w:t>Could not find a place of publication</w:t>
      </w:r>
    </w:p>
  </w:comment>
  <w:comment w:id="34" w:author="Merav Datan" w:date="2019-09-18T11:41:00Z" w:initials="MD">
    <w:p w14:paraId="4580E083" w14:textId="77777777" w:rsidR="008D11DC" w:rsidRDefault="008D11DC" w:rsidP="00291FD0">
      <w:pPr>
        <w:pStyle w:val="CommentText"/>
        <w:bidi w:val="0"/>
        <w:rPr>
          <w:rFonts w:ascii="Times New Roman" w:eastAsia="Calibri" w:hAnsi="Times New Roman" w:cs="Times New Roman"/>
          <w:sz w:val="24"/>
          <w:szCs w:val="24"/>
        </w:rPr>
      </w:pPr>
    </w:p>
    <w:p w14:paraId="15EBFAC9" w14:textId="7A847B26" w:rsidR="00B32FC3" w:rsidRDefault="00B32FC3" w:rsidP="00B32FC3">
      <w:pPr>
        <w:pStyle w:val="CommentText"/>
        <w:bidi w:val="0"/>
      </w:pPr>
      <w:r>
        <w:t>sources not cited in the text</w:t>
      </w:r>
    </w:p>
    <w:p w14:paraId="1900B6A1" w14:textId="77777777" w:rsidR="00B32FC3" w:rsidRDefault="00B32FC3" w:rsidP="00523364">
      <w:pPr>
        <w:pStyle w:val="CommentText"/>
        <w:rPr>
          <w:rtl/>
        </w:rPr>
      </w:pPr>
    </w:p>
    <w:p w14:paraId="3258840D" w14:textId="77777777" w:rsidR="00523364" w:rsidRDefault="00523364" w:rsidP="00523364">
      <w:pPr>
        <w:pStyle w:val="CommentText"/>
        <w:rPr>
          <w:rtl/>
        </w:rPr>
      </w:pPr>
      <w:r>
        <w:rPr>
          <w:rFonts w:hint="cs"/>
          <w:rtl/>
        </w:rPr>
        <w:t>לפי ההנחיות:</w:t>
      </w:r>
    </w:p>
    <w:p w14:paraId="08CEC656" w14:textId="77777777" w:rsidR="00523364" w:rsidRDefault="00523364" w:rsidP="00523364">
      <w:pPr>
        <w:pStyle w:val="CommentText"/>
        <w:bidi w:val="0"/>
      </w:pPr>
      <w:r>
        <w:rPr>
          <w:rFonts w:hint="cs"/>
          <w:rtl/>
        </w:rPr>
        <w:t>"</w:t>
      </w:r>
      <w:r w:rsidRPr="0038687F">
        <w:t xml:space="preserve">The reference list should </w:t>
      </w:r>
      <w:r w:rsidRPr="00523364">
        <w:t>include all and only</w:t>
      </w:r>
      <w:r w:rsidRPr="0038687F">
        <w:t xml:space="preserve"> those references you have cited in the text.</w:t>
      </w:r>
      <w:r>
        <w:rPr>
          <w:rFonts w:hint="cs"/>
          <w:rtl/>
        </w:rPr>
        <w:t>"</w:t>
      </w:r>
    </w:p>
    <w:p w14:paraId="7F9B7C06" w14:textId="77777777" w:rsidR="00523364" w:rsidRDefault="00523364" w:rsidP="00523364">
      <w:pPr>
        <w:pStyle w:val="CommentText"/>
        <w:bidi w:val="0"/>
      </w:pPr>
    </w:p>
    <w:p w14:paraId="72A51231" w14:textId="79BEC202" w:rsidR="008D11DC" w:rsidRDefault="008D11DC" w:rsidP="00B32FC3">
      <w:pPr>
        <w:pStyle w:val="CommentText"/>
        <w:rPr>
          <w:rFonts w:hint="cs"/>
          <w:rtl/>
        </w:rPr>
      </w:pPr>
      <w:r>
        <w:rPr>
          <w:rFonts w:hint="cs"/>
          <w:rtl/>
        </w:rPr>
        <w:t xml:space="preserve">המקורות ברשימה </w:t>
      </w:r>
      <w:r w:rsidR="00B32FC3">
        <w:rPr>
          <w:rFonts w:hint="cs"/>
          <w:rtl/>
        </w:rPr>
        <w:t>כאן</w:t>
      </w:r>
      <w:r>
        <w:rPr>
          <w:rFonts w:hint="cs"/>
          <w:rtl/>
        </w:rPr>
        <w:t xml:space="preserve"> הופיעו בשתי רשימות ביבליוגרפיות בתוך המסמך המקורי, אבל לא </w:t>
      </w:r>
      <w:r w:rsidR="00B32FC3">
        <w:rPr>
          <w:rFonts w:hint="cs"/>
          <w:rtl/>
        </w:rPr>
        <w:t>הופיעו</w:t>
      </w:r>
      <w:r>
        <w:rPr>
          <w:rFonts w:hint="cs"/>
          <w:rtl/>
        </w:rPr>
        <w:t xml:space="preserve"> בהערות השוליים</w:t>
      </w:r>
      <w:r>
        <w:rPr>
          <w:rStyle w:val="CommentReference"/>
        </w:rPr>
        <w:annotationRef/>
      </w:r>
      <w:r w:rsidR="00523364">
        <w:rPr>
          <w:rFonts w:hint="cs"/>
          <w:rtl/>
        </w:rPr>
        <w:t xml:space="preserve"> </w:t>
      </w:r>
      <w:bookmarkStart w:id="35" w:name="_GoBack"/>
      <w:bookmarkEnd w:id="35"/>
    </w:p>
    <w:p w14:paraId="55E490D6" w14:textId="16291750" w:rsidR="008D11DC" w:rsidRDefault="008D11DC" w:rsidP="00291FD0">
      <w:pPr>
        <w:pStyle w:val="CommentText"/>
      </w:pPr>
    </w:p>
  </w:comment>
  <w:comment w:id="36" w:author="Merav Datan" w:date="2019-09-18T19:45:00Z" w:initials="MD">
    <w:p w14:paraId="17C31F51" w14:textId="5DEF15B4" w:rsidR="000A724C" w:rsidRDefault="000A724C" w:rsidP="00523364">
      <w:pPr>
        <w:pStyle w:val="CommentText"/>
        <w:rPr>
          <w:rtl/>
        </w:rPr>
      </w:pPr>
      <w:r>
        <w:rPr>
          <w:rStyle w:val="CommentReference"/>
        </w:rPr>
        <w:annotationRef/>
      </w:r>
      <w:r>
        <w:rPr>
          <w:rFonts w:hint="cs"/>
          <w:rtl/>
        </w:rPr>
        <w:t>התרגום של הל</w:t>
      </w:r>
      <w:r w:rsidR="00523364">
        <w:rPr>
          <w:rFonts w:hint="cs"/>
          <w:rtl/>
        </w:rPr>
        <w:t>מ"ס</w:t>
      </w:r>
      <w:r>
        <w:rPr>
          <w:rFonts w:hint="cs"/>
          <w:rtl/>
        </w:rPr>
        <w:t>.</w:t>
      </w:r>
    </w:p>
    <w:p w14:paraId="24265E95" w14:textId="77777777" w:rsidR="000A724C" w:rsidRDefault="000A724C" w:rsidP="000A724C">
      <w:pPr>
        <w:pStyle w:val="CommentText"/>
        <w:rPr>
          <w:rtl/>
        </w:rPr>
      </w:pPr>
      <w:r>
        <w:rPr>
          <w:rFonts w:hint="cs"/>
          <w:rtl/>
        </w:rPr>
        <w:t>השנתון יוצא גם באנגלית.</w:t>
      </w:r>
    </w:p>
    <w:p w14:paraId="4E132884" w14:textId="38208C82" w:rsidR="000A724C" w:rsidRDefault="000A724C" w:rsidP="000A724C">
      <w:pPr>
        <w:pStyle w:val="CommentText"/>
        <w:rPr>
          <w:rtl/>
        </w:rPr>
      </w:pPr>
      <w:r>
        <w:rPr>
          <w:rFonts w:hint="cs"/>
          <w:rtl/>
        </w:rPr>
        <w:t xml:space="preserve">צוין כאן בגרסה העברית במקרה שהגרסאות או תאריכי </w:t>
      </w:r>
      <w:r w:rsidR="00523364">
        <w:rPr>
          <w:rFonts w:hint="cs"/>
          <w:rtl/>
        </w:rPr>
        <w:t>ה</w:t>
      </w:r>
      <w:r>
        <w:rPr>
          <w:rFonts w:hint="cs"/>
          <w:rtl/>
        </w:rPr>
        <w:t>פרסום שונים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5F997A" w15:done="0"/>
  <w15:commentEx w15:paraId="314D3951" w15:done="0"/>
  <w15:commentEx w15:paraId="1E1CCCF2" w15:done="0"/>
  <w15:commentEx w15:paraId="12C869D5" w15:done="0"/>
  <w15:commentEx w15:paraId="65BA9109" w15:done="0"/>
  <w15:commentEx w15:paraId="280A85DA" w15:done="0"/>
  <w15:commentEx w15:paraId="6E2312CB" w15:done="0"/>
  <w15:commentEx w15:paraId="1BE98882" w15:done="0"/>
  <w15:commentEx w15:paraId="270F1F32" w15:done="0"/>
  <w15:commentEx w15:paraId="7FF9CD40" w15:done="0"/>
  <w15:commentEx w15:paraId="6A731E0F" w15:done="0"/>
  <w15:commentEx w15:paraId="37141428" w15:done="0"/>
  <w15:commentEx w15:paraId="236C6364" w15:done="0"/>
  <w15:commentEx w15:paraId="52354314" w15:done="0"/>
  <w15:commentEx w15:paraId="794F8F95" w15:done="0"/>
  <w15:commentEx w15:paraId="5FB03B61" w15:done="0"/>
  <w15:commentEx w15:paraId="3BBD5FBA" w15:done="0"/>
  <w15:commentEx w15:paraId="3D4EB834" w15:done="0"/>
  <w15:commentEx w15:paraId="0F103247" w15:done="0"/>
  <w15:commentEx w15:paraId="76BA1DF4" w15:done="0"/>
  <w15:commentEx w15:paraId="12758CDE" w15:done="0"/>
  <w15:commentEx w15:paraId="259D882F" w15:done="0"/>
  <w15:commentEx w15:paraId="4FE5B492" w15:done="0"/>
  <w15:commentEx w15:paraId="2613244A" w15:done="0"/>
  <w15:commentEx w15:paraId="74B69A55" w15:done="0"/>
  <w15:commentEx w15:paraId="5581A243" w15:done="0"/>
  <w15:commentEx w15:paraId="388E93DC" w15:done="0"/>
  <w15:commentEx w15:paraId="128193D7" w15:done="0"/>
  <w15:commentEx w15:paraId="10114EFD" w15:done="0"/>
  <w15:commentEx w15:paraId="761586BA" w15:done="0"/>
  <w15:commentEx w15:paraId="1D8836C8" w15:done="0"/>
  <w15:commentEx w15:paraId="6DBBD624" w15:done="0"/>
  <w15:commentEx w15:paraId="55E490D6" w15:done="0"/>
  <w15:commentEx w15:paraId="4E1328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7F3A3" w14:textId="77777777" w:rsidR="00BA501B" w:rsidRDefault="00BA501B" w:rsidP="006445AE">
      <w:pPr>
        <w:spacing w:after="0" w:line="240" w:lineRule="auto"/>
      </w:pPr>
      <w:r>
        <w:separator/>
      </w:r>
    </w:p>
  </w:endnote>
  <w:endnote w:type="continuationSeparator" w:id="0">
    <w:p w14:paraId="36321921" w14:textId="77777777" w:rsidR="00BA501B" w:rsidRDefault="00BA501B" w:rsidP="00644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60256009"/>
      <w:docPartObj>
        <w:docPartGallery w:val="Page Numbers (Bottom of Page)"/>
        <w:docPartUnique/>
      </w:docPartObj>
    </w:sdtPr>
    <w:sdtEndPr/>
    <w:sdtContent>
      <w:p w14:paraId="6F179F37" w14:textId="1AD35D7B" w:rsidR="008D11DC" w:rsidRDefault="008D11DC">
        <w:pPr>
          <w:pStyle w:val="Footer"/>
          <w:jc w:val="center"/>
          <w:rPr>
            <w:rtl/>
            <w:cs/>
          </w:rPr>
        </w:pPr>
        <w:r>
          <w:fldChar w:fldCharType="begin"/>
        </w:r>
        <w:r>
          <w:rPr>
            <w:rtl/>
            <w:cs/>
          </w:rPr>
          <w:instrText>PAGE   \* MERGEFORMAT</w:instrText>
        </w:r>
        <w:r>
          <w:fldChar w:fldCharType="separate"/>
        </w:r>
        <w:r w:rsidR="004E0D0C" w:rsidRPr="004E0D0C">
          <w:rPr>
            <w:noProof/>
            <w:rtl/>
            <w:lang w:val="he-IL"/>
          </w:rPr>
          <w:t>43</w:t>
        </w:r>
        <w:r>
          <w:fldChar w:fldCharType="end"/>
        </w:r>
      </w:p>
    </w:sdtContent>
  </w:sdt>
  <w:p w14:paraId="78440321" w14:textId="77777777" w:rsidR="008D11DC" w:rsidRDefault="008D1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7E3ED" w14:textId="77777777" w:rsidR="00BA501B" w:rsidRDefault="00BA501B" w:rsidP="006445AE">
      <w:pPr>
        <w:spacing w:after="0" w:line="240" w:lineRule="auto"/>
      </w:pPr>
      <w:r>
        <w:separator/>
      </w:r>
    </w:p>
  </w:footnote>
  <w:footnote w:type="continuationSeparator" w:id="0">
    <w:p w14:paraId="6E79B523" w14:textId="77777777" w:rsidR="00BA501B" w:rsidRDefault="00BA501B" w:rsidP="00644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B328D"/>
    <w:multiLevelType w:val="hybridMultilevel"/>
    <w:tmpl w:val="8BAE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924CF"/>
    <w:multiLevelType w:val="hybridMultilevel"/>
    <w:tmpl w:val="906AC7B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343EA"/>
    <w:multiLevelType w:val="hybridMultilevel"/>
    <w:tmpl w:val="B1C0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36694"/>
    <w:multiLevelType w:val="hybridMultilevel"/>
    <w:tmpl w:val="DF600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11B08"/>
    <w:multiLevelType w:val="hybridMultilevel"/>
    <w:tmpl w:val="8650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D63F8"/>
    <w:multiLevelType w:val="hybridMultilevel"/>
    <w:tmpl w:val="1332B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630344"/>
    <w:multiLevelType w:val="hybridMultilevel"/>
    <w:tmpl w:val="279C05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F47C5"/>
    <w:multiLevelType w:val="hybridMultilevel"/>
    <w:tmpl w:val="07F82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F326E"/>
    <w:multiLevelType w:val="hybridMultilevel"/>
    <w:tmpl w:val="3320D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45EBB"/>
    <w:multiLevelType w:val="hybridMultilevel"/>
    <w:tmpl w:val="BA9218F0"/>
    <w:lvl w:ilvl="0" w:tplc="FA32E90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72C01"/>
    <w:multiLevelType w:val="hybridMultilevel"/>
    <w:tmpl w:val="AAD05FAE"/>
    <w:lvl w:ilvl="0" w:tplc="30D24E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D7CBB"/>
    <w:multiLevelType w:val="hybridMultilevel"/>
    <w:tmpl w:val="545E201E"/>
    <w:lvl w:ilvl="0" w:tplc="9B22E52E">
      <w:start w:val="1"/>
      <w:numFmt w:val="hebrew1"/>
      <w:lvlText w:val="%1."/>
      <w:lvlJc w:val="left"/>
      <w:pPr>
        <w:ind w:left="720" w:hanging="360"/>
      </w:pPr>
      <w:rPr>
        <w:rFonts w:cs="Arial" w:hint="default"/>
        <w:b/>
        <w:bCs/>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4F1DD0"/>
    <w:multiLevelType w:val="hybridMultilevel"/>
    <w:tmpl w:val="985ED3C0"/>
    <w:lvl w:ilvl="0" w:tplc="247E7A6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E3DD4"/>
    <w:multiLevelType w:val="hybridMultilevel"/>
    <w:tmpl w:val="9F4479B0"/>
    <w:lvl w:ilvl="0" w:tplc="A70ABA0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E7F7F"/>
    <w:multiLevelType w:val="hybridMultilevel"/>
    <w:tmpl w:val="E36A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693E14"/>
    <w:multiLevelType w:val="hybridMultilevel"/>
    <w:tmpl w:val="51E06138"/>
    <w:lvl w:ilvl="0" w:tplc="C98C8246">
      <w:start w:val="3"/>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630514"/>
    <w:multiLevelType w:val="hybridMultilevel"/>
    <w:tmpl w:val="E8188E14"/>
    <w:lvl w:ilvl="0" w:tplc="005064BC">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E6B0A22"/>
    <w:multiLevelType w:val="hybridMultilevel"/>
    <w:tmpl w:val="640EF704"/>
    <w:lvl w:ilvl="0" w:tplc="E448324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967F1"/>
    <w:multiLevelType w:val="hybridMultilevel"/>
    <w:tmpl w:val="A6BCE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E4BBB"/>
    <w:multiLevelType w:val="hybridMultilevel"/>
    <w:tmpl w:val="8C52CD2E"/>
    <w:lvl w:ilvl="0" w:tplc="C34CAF0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5C27CD"/>
    <w:multiLevelType w:val="hybridMultilevel"/>
    <w:tmpl w:val="CA0E2A6E"/>
    <w:lvl w:ilvl="0" w:tplc="D7964AE6">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EE7508"/>
    <w:multiLevelType w:val="hybridMultilevel"/>
    <w:tmpl w:val="63682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8E3C1F"/>
    <w:multiLevelType w:val="hybridMultilevel"/>
    <w:tmpl w:val="6F7ECBA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FB5423"/>
    <w:multiLevelType w:val="hybridMultilevel"/>
    <w:tmpl w:val="164A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4855C7"/>
    <w:multiLevelType w:val="hybridMultilevel"/>
    <w:tmpl w:val="59F6B8C8"/>
    <w:lvl w:ilvl="0" w:tplc="448E741C">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17"/>
  </w:num>
  <w:num w:numId="4">
    <w:abstractNumId w:val="12"/>
  </w:num>
  <w:num w:numId="5">
    <w:abstractNumId w:val="23"/>
  </w:num>
  <w:num w:numId="6">
    <w:abstractNumId w:val="0"/>
  </w:num>
  <w:num w:numId="7">
    <w:abstractNumId w:val="7"/>
  </w:num>
  <w:num w:numId="8">
    <w:abstractNumId w:val="6"/>
  </w:num>
  <w:num w:numId="9">
    <w:abstractNumId w:val="10"/>
  </w:num>
  <w:num w:numId="10">
    <w:abstractNumId w:val="3"/>
  </w:num>
  <w:num w:numId="11">
    <w:abstractNumId w:val="11"/>
  </w:num>
  <w:num w:numId="12">
    <w:abstractNumId w:val="19"/>
  </w:num>
  <w:num w:numId="13">
    <w:abstractNumId w:val="2"/>
  </w:num>
  <w:num w:numId="14">
    <w:abstractNumId w:val="5"/>
  </w:num>
  <w:num w:numId="15">
    <w:abstractNumId w:val="16"/>
  </w:num>
  <w:num w:numId="16">
    <w:abstractNumId w:val="20"/>
  </w:num>
  <w:num w:numId="17">
    <w:abstractNumId w:val="1"/>
  </w:num>
  <w:num w:numId="18">
    <w:abstractNumId w:val="22"/>
  </w:num>
  <w:num w:numId="19">
    <w:abstractNumId w:val="15"/>
  </w:num>
  <w:num w:numId="20">
    <w:abstractNumId w:val="18"/>
  </w:num>
  <w:num w:numId="21">
    <w:abstractNumId w:val="14"/>
  </w:num>
  <w:num w:numId="22">
    <w:abstractNumId w:val="21"/>
  </w:num>
  <w:num w:numId="23">
    <w:abstractNumId w:val="9"/>
  </w:num>
  <w:num w:numId="24">
    <w:abstractNumId w:val="13"/>
  </w:num>
  <w:num w:numId="2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av Datan">
    <w15:presenceInfo w15:providerId="None" w15:userId="Merav Dat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oNotDisplayPageBoundarie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D60"/>
    <w:rsid w:val="00002D7A"/>
    <w:rsid w:val="000058CE"/>
    <w:rsid w:val="000106BB"/>
    <w:rsid w:val="00011875"/>
    <w:rsid w:val="00015C02"/>
    <w:rsid w:val="000171A5"/>
    <w:rsid w:val="00021854"/>
    <w:rsid w:val="00025C99"/>
    <w:rsid w:val="00026581"/>
    <w:rsid w:val="000279BD"/>
    <w:rsid w:val="0003079D"/>
    <w:rsid w:val="00035DC3"/>
    <w:rsid w:val="0004104D"/>
    <w:rsid w:val="000414BB"/>
    <w:rsid w:val="00043268"/>
    <w:rsid w:val="000438E6"/>
    <w:rsid w:val="000452EC"/>
    <w:rsid w:val="00052435"/>
    <w:rsid w:val="00053ADA"/>
    <w:rsid w:val="00055391"/>
    <w:rsid w:val="00060B0C"/>
    <w:rsid w:val="00060BD9"/>
    <w:rsid w:val="00060C86"/>
    <w:rsid w:val="00073290"/>
    <w:rsid w:val="00080478"/>
    <w:rsid w:val="000815B7"/>
    <w:rsid w:val="00081AC7"/>
    <w:rsid w:val="00083546"/>
    <w:rsid w:val="000933A7"/>
    <w:rsid w:val="00094D60"/>
    <w:rsid w:val="000A1540"/>
    <w:rsid w:val="000A724C"/>
    <w:rsid w:val="000C2CE5"/>
    <w:rsid w:val="000C3FE4"/>
    <w:rsid w:val="000D4C1D"/>
    <w:rsid w:val="000D7ECF"/>
    <w:rsid w:val="000F53B6"/>
    <w:rsid w:val="0010109C"/>
    <w:rsid w:val="00101ED3"/>
    <w:rsid w:val="00101F35"/>
    <w:rsid w:val="00123CB4"/>
    <w:rsid w:val="001253A9"/>
    <w:rsid w:val="0013178E"/>
    <w:rsid w:val="0013308A"/>
    <w:rsid w:val="0015135B"/>
    <w:rsid w:val="00162520"/>
    <w:rsid w:val="00166615"/>
    <w:rsid w:val="001675D8"/>
    <w:rsid w:val="00171216"/>
    <w:rsid w:val="00173CE2"/>
    <w:rsid w:val="00181A5F"/>
    <w:rsid w:val="001A6CB0"/>
    <w:rsid w:val="001B01AC"/>
    <w:rsid w:val="001B0ECE"/>
    <w:rsid w:val="001B4A4E"/>
    <w:rsid w:val="001C63A4"/>
    <w:rsid w:val="001D2387"/>
    <w:rsid w:val="001D36AF"/>
    <w:rsid w:val="001D51A3"/>
    <w:rsid w:val="001D54D5"/>
    <w:rsid w:val="001E021B"/>
    <w:rsid w:val="001E3517"/>
    <w:rsid w:val="001E4C55"/>
    <w:rsid w:val="001F2461"/>
    <w:rsid w:val="00206A17"/>
    <w:rsid w:val="00206DAE"/>
    <w:rsid w:val="00211A3F"/>
    <w:rsid w:val="002120E4"/>
    <w:rsid w:val="00212540"/>
    <w:rsid w:val="00216E8C"/>
    <w:rsid w:val="00217402"/>
    <w:rsid w:val="00224627"/>
    <w:rsid w:val="002339F5"/>
    <w:rsid w:val="00235FA7"/>
    <w:rsid w:val="00245907"/>
    <w:rsid w:val="00247D6B"/>
    <w:rsid w:val="002549F5"/>
    <w:rsid w:val="0027350A"/>
    <w:rsid w:val="00274FB1"/>
    <w:rsid w:val="002808A2"/>
    <w:rsid w:val="00281001"/>
    <w:rsid w:val="00291FD0"/>
    <w:rsid w:val="002A5250"/>
    <w:rsid w:val="002A5941"/>
    <w:rsid w:val="002A7AAF"/>
    <w:rsid w:val="002B36D9"/>
    <w:rsid w:val="002B4AF3"/>
    <w:rsid w:val="002C168F"/>
    <w:rsid w:val="002C2AD2"/>
    <w:rsid w:val="002C5A3A"/>
    <w:rsid w:val="002C7406"/>
    <w:rsid w:val="002D73A7"/>
    <w:rsid w:val="002E34E2"/>
    <w:rsid w:val="002E465A"/>
    <w:rsid w:val="002E4CBC"/>
    <w:rsid w:val="002E63B3"/>
    <w:rsid w:val="002F0202"/>
    <w:rsid w:val="002F09E4"/>
    <w:rsid w:val="002F67DA"/>
    <w:rsid w:val="00301CAF"/>
    <w:rsid w:val="00303D33"/>
    <w:rsid w:val="003067AC"/>
    <w:rsid w:val="003070AB"/>
    <w:rsid w:val="00310716"/>
    <w:rsid w:val="00313D31"/>
    <w:rsid w:val="0032689D"/>
    <w:rsid w:val="0033028D"/>
    <w:rsid w:val="0033209E"/>
    <w:rsid w:val="003467E7"/>
    <w:rsid w:val="00346DA0"/>
    <w:rsid w:val="0034767E"/>
    <w:rsid w:val="00350C6F"/>
    <w:rsid w:val="00355534"/>
    <w:rsid w:val="00357F95"/>
    <w:rsid w:val="003616F5"/>
    <w:rsid w:val="0036235F"/>
    <w:rsid w:val="003641FB"/>
    <w:rsid w:val="00371FCB"/>
    <w:rsid w:val="00373251"/>
    <w:rsid w:val="0037386C"/>
    <w:rsid w:val="00381E38"/>
    <w:rsid w:val="0038687F"/>
    <w:rsid w:val="00391334"/>
    <w:rsid w:val="00393082"/>
    <w:rsid w:val="00394432"/>
    <w:rsid w:val="00395974"/>
    <w:rsid w:val="003966CC"/>
    <w:rsid w:val="003A078E"/>
    <w:rsid w:val="003A1E5B"/>
    <w:rsid w:val="003A23B3"/>
    <w:rsid w:val="003A726C"/>
    <w:rsid w:val="003B28A9"/>
    <w:rsid w:val="003B6E40"/>
    <w:rsid w:val="003D4BC3"/>
    <w:rsid w:val="003E396A"/>
    <w:rsid w:val="003F368D"/>
    <w:rsid w:val="004013AE"/>
    <w:rsid w:val="004125C1"/>
    <w:rsid w:val="004142A5"/>
    <w:rsid w:val="00416BEC"/>
    <w:rsid w:val="004307C3"/>
    <w:rsid w:val="00437D58"/>
    <w:rsid w:val="00442E76"/>
    <w:rsid w:val="00445C07"/>
    <w:rsid w:val="004519A1"/>
    <w:rsid w:val="00455F49"/>
    <w:rsid w:val="004604EB"/>
    <w:rsid w:val="0047434E"/>
    <w:rsid w:val="00482D16"/>
    <w:rsid w:val="00487AFA"/>
    <w:rsid w:val="004B1927"/>
    <w:rsid w:val="004B26E5"/>
    <w:rsid w:val="004C0154"/>
    <w:rsid w:val="004C0298"/>
    <w:rsid w:val="004C5958"/>
    <w:rsid w:val="004D49E2"/>
    <w:rsid w:val="004E0D0C"/>
    <w:rsid w:val="004E1A81"/>
    <w:rsid w:val="004E743B"/>
    <w:rsid w:val="004F430C"/>
    <w:rsid w:val="00500D5A"/>
    <w:rsid w:val="00504EDA"/>
    <w:rsid w:val="005109DB"/>
    <w:rsid w:val="00511881"/>
    <w:rsid w:val="00516D60"/>
    <w:rsid w:val="005207BC"/>
    <w:rsid w:val="00523364"/>
    <w:rsid w:val="005300BF"/>
    <w:rsid w:val="005311E3"/>
    <w:rsid w:val="00534C88"/>
    <w:rsid w:val="0054589C"/>
    <w:rsid w:val="0055032C"/>
    <w:rsid w:val="005529A4"/>
    <w:rsid w:val="00553D90"/>
    <w:rsid w:val="00555BD0"/>
    <w:rsid w:val="00556270"/>
    <w:rsid w:val="005605BF"/>
    <w:rsid w:val="00574029"/>
    <w:rsid w:val="00576A24"/>
    <w:rsid w:val="0058326D"/>
    <w:rsid w:val="0059086F"/>
    <w:rsid w:val="005A1D2F"/>
    <w:rsid w:val="005A1FC2"/>
    <w:rsid w:val="005A4AAB"/>
    <w:rsid w:val="005B0268"/>
    <w:rsid w:val="005B21E9"/>
    <w:rsid w:val="005B3881"/>
    <w:rsid w:val="005B6AC0"/>
    <w:rsid w:val="005D6263"/>
    <w:rsid w:val="005F2AAA"/>
    <w:rsid w:val="005F3A8D"/>
    <w:rsid w:val="00600FDB"/>
    <w:rsid w:val="00604D1E"/>
    <w:rsid w:val="00606BB0"/>
    <w:rsid w:val="00611404"/>
    <w:rsid w:val="00611BA0"/>
    <w:rsid w:val="00612DEC"/>
    <w:rsid w:val="00624CD2"/>
    <w:rsid w:val="00627C9B"/>
    <w:rsid w:val="00630E0D"/>
    <w:rsid w:val="006322E1"/>
    <w:rsid w:val="00633768"/>
    <w:rsid w:val="006377C8"/>
    <w:rsid w:val="00640A12"/>
    <w:rsid w:val="006445AE"/>
    <w:rsid w:val="00646F6F"/>
    <w:rsid w:val="006563F5"/>
    <w:rsid w:val="00656793"/>
    <w:rsid w:val="006625B3"/>
    <w:rsid w:val="0066513D"/>
    <w:rsid w:val="006703A2"/>
    <w:rsid w:val="006709EA"/>
    <w:rsid w:val="00671B1D"/>
    <w:rsid w:val="0067214F"/>
    <w:rsid w:val="00682A88"/>
    <w:rsid w:val="006838EC"/>
    <w:rsid w:val="00684893"/>
    <w:rsid w:val="00684B6B"/>
    <w:rsid w:val="00687867"/>
    <w:rsid w:val="006A1704"/>
    <w:rsid w:val="006A6595"/>
    <w:rsid w:val="006B5496"/>
    <w:rsid w:val="006C0F0E"/>
    <w:rsid w:val="006C29BC"/>
    <w:rsid w:val="006C53A1"/>
    <w:rsid w:val="006C6B42"/>
    <w:rsid w:val="006D11D7"/>
    <w:rsid w:val="006D4FF3"/>
    <w:rsid w:val="006E0752"/>
    <w:rsid w:val="006E3142"/>
    <w:rsid w:val="006E6BED"/>
    <w:rsid w:val="006F6CF8"/>
    <w:rsid w:val="006F7483"/>
    <w:rsid w:val="006F78D3"/>
    <w:rsid w:val="00700E74"/>
    <w:rsid w:val="00704DF2"/>
    <w:rsid w:val="007126BA"/>
    <w:rsid w:val="0071318D"/>
    <w:rsid w:val="00713DA0"/>
    <w:rsid w:val="007157CC"/>
    <w:rsid w:val="00721A7B"/>
    <w:rsid w:val="00723F43"/>
    <w:rsid w:val="00725006"/>
    <w:rsid w:val="00727BBF"/>
    <w:rsid w:val="00740E4B"/>
    <w:rsid w:val="00745ECE"/>
    <w:rsid w:val="007474D1"/>
    <w:rsid w:val="00750AA0"/>
    <w:rsid w:val="0075166D"/>
    <w:rsid w:val="00752FEA"/>
    <w:rsid w:val="00760F59"/>
    <w:rsid w:val="0076174A"/>
    <w:rsid w:val="00764FFF"/>
    <w:rsid w:val="00766942"/>
    <w:rsid w:val="00775D88"/>
    <w:rsid w:val="007769A6"/>
    <w:rsid w:val="007821D5"/>
    <w:rsid w:val="00783152"/>
    <w:rsid w:val="00783A58"/>
    <w:rsid w:val="00786578"/>
    <w:rsid w:val="00793577"/>
    <w:rsid w:val="00797476"/>
    <w:rsid w:val="007A0D41"/>
    <w:rsid w:val="007A6E01"/>
    <w:rsid w:val="007A7877"/>
    <w:rsid w:val="007B3A58"/>
    <w:rsid w:val="007C7757"/>
    <w:rsid w:val="007D1A26"/>
    <w:rsid w:val="007E55DE"/>
    <w:rsid w:val="007F791E"/>
    <w:rsid w:val="00801367"/>
    <w:rsid w:val="00801D64"/>
    <w:rsid w:val="00804AC0"/>
    <w:rsid w:val="0080648E"/>
    <w:rsid w:val="0081164F"/>
    <w:rsid w:val="00815147"/>
    <w:rsid w:val="00821131"/>
    <w:rsid w:val="00823D9E"/>
    <w:rsid w:val="00824BFE"/>
    <w:rsid w:val="00833301"/>
    <w:rsid w:val="00842EC0"/>
    <w:rsid w:val="00845139"/>
    <w:rsid w:val="008535AC"/>
    <w:rsid w:val="00862137"/>
    <w:rsid w:val="00880AD3"/>
    <w:rsid w:val="00885A15"/>
    <w:rsid w:val="008939A2"/>
    <w:rsid w:val="0089456D"/>
    <w:rsid w:val="008C7214"/>
    <w:rsid w:val="008D08DC"/>
    <w:rsid w:val="008D0934"/>
    <w:rsid w:val="008D11DC"/>
    <w:rsid w:val="008D3E43"/>
    <w:rsid w:val="008E066C"/>
    <w:rsid w:val="008E4D24"/>
    <w:rsid w:val="008F2155"/>
    <w:rsid w:val="008F25FB"/>
    <w:rsid w:val="008F5124"/>
    <w:rsid w:val="008F6242"/>
    <w:rsid w:val="008F70CF"/>
    <w:rsid w:val="00902DB2"/>
    <w:rsid w:val="00905FF6"/>
    <w:rsid w:val="00911E9B"/>
    <w:rsid w:val="00922DE3"/>
    <w:rsid w:val="009313FD"/>
    <w:rsid w:val="009350D9"/>
    <w:rsid w:val="00940E19"/>
    <w:rsid w:val="00944F4A"/>
    <w:rsid w:val="00946691"/>
    <w:rsid w:val="00952627"/>
    <w:rsid w:val="009528C4"/>
    <w:rsid w:val="0095654C"/>
    <w:rsid w:val="009618AC"/>
    <w:rsid w:val="009648BF"/>
    <w:rsid w:val="009673B4"/>
    <w:rsid w:val="0097359F"/>
    <w:rsid w:val="00973A80"/>
    <w:rsid w:val="00982C3A"/>
    <w:rsid w:val="0098441A"/>
    <w:rsid w:val="00984DB7"/>
    <w:rsid w:val="00985C9D"/>
    <w:rsid w:val="00987ED1"/>
    <w:rsid w:val="00993C57"/>
    <w:rsid w:val="009A0A95"/>
    <w:rsid w:val="009A4434"/>
    <w:rsid w:val="009B0676"/>
    <w:rsid w:val="009B5E54"/>
    <w:rsid w:val="009C2CCB"/>
    <w:rsid w:val="009C32A0"/>
    <w:rsid w:val="009C341A"/>
    <w:rsid w:val="009C78D5"/>
    <w:rsid w:val="009C7F6E"/>
    <w:rsid w:val="009E0A91"/>
    <w:rsid w:val="009E3D46"/>
    <w:rsid w:val="00A0401C"/>
    <w:rsid w:val="00A12714"/>
    <w:rsid w:val="00A150A2"/>
    <w:rsid w:val="00A15CF2"/>
    <w:rsid w:val="00A1798A"/>
    <w:rsid w:val="00A2424D"/>
    <w:rsid w:val="00A24D11"/>
    <w:rsid w:val="00A31254"/>
    <w:rsid w:val="00A32268"/>
    <w:rsid w:val="00A35861"/>
    <w:rsid w:val="00A40991"/>
    <w:rsid w:val="00A5032D"/>
    <w:rsid w:val="00A51AE6"/>
    <w:rsid w:val="00A57C1A"/>
    <w:rsid w:val="00A57DC9"/>
    <w:rsid w:val="00A617D1"/>
    <w:rsid w:val="00A650BE"/>
    <w:rsid w:val="00A65336"/>
    <w:rsid w:val="00A6662E"/>
    <w:rsid w:val="00A76D33"/>
    <w:rsid w:val="00A823F7"/>
    <w:rsid w:val="00AA36A8"/>
    <w:rsid w:val="00AA79E9"/>
    <w:rsid w:val="00AB5023"/>
    <w:rsid w:val="00AB54B9"/>
    <w:rsid w:val="00AB5D1E"/>
    <w:rsid w:val="00AC5B82"/>
    <w:rsid w:val="00AC7DAA"/>
    <w:rsid w:val="00AE0D1D"/>
    <w:rsid w:val="00AE6869"/>
    <w:rsid w:val="00AF1F76"/>
    <w:rsid w:val="00AF403A"/>
    <w:rsid w:val="00AF67D7"/>
    <w:rsid w:val="00B119CF"/>
    <w:rsid w:val="00B15DB4"/>
    <w:rsid w:val="00B17320"/>
    <w:rsid w:val="00B20592"/>
    <w:rsid w:val="00B23E5F"/>
    <w:rsid w:val="00B24028"/>
    <w:rsid w:val="00B32FC3"/>
    <w:rsid w:val="00B33A7A"/>
    <w:rsid w:val="00B34037"/>
    <w:rsid w:val="00B3773D"/>
    <w:rsid w:val="00B4491D"/>
    <w:rsid w:val="00B472B5"/>
    <w:rsid w:val="00B508D9"/>
    <w:rsid w:val="00B55D80"/>
    <w:rsid w:val="00B56DE1"/>
    <w:rsid w:val="00B57107"/>
    <w:rsid w:val="00B67BA8"/>
    <w:rsid w:val="00B67E92"/>
    <w:rsid w:val="00B81707"/>
    <w:rsid w:val="00B81AA7"/>
    <w:rsid w:val="00B84A4E"/>
    <w:rsid w:val="00B84B0F"/>
    <w:rsid w:val="00B9253A"/>
    <w:rsid w:val="00B92A63"/>
    <w:rsid w:val="00BA501B"/>
    <w:rsid w:val="00BA74F3"/>
    <w:rsid w:val="00BA7DED"/>
    <w:rsid w:val="00BB0BA6"/>
    <w:rsid w:val="00BB6BFF"/>
    <w:rsid w:val="00BB74EB"/>
    <w:rsid w:val="00BB768D"/>
    <w:rsid w:val="00BC1566"/>
    <w:rsid w:val="00BC165D"/>
    <w:rsid w:val="00BC69EF"/>
    <w:rsid w:val="00BC7674"/>
    <w:rsid w:val="00BD1380"/>
    <w:rsid w:val="00BD1819"/>
    <w:rsid w:val="00BE1700"/>
    <w:rsid w:val="00BE47A2"/>
    <w:rsid w:val="00BF1412"/>
    <w:rsid w:val="00BF3A56"/>
    <w:rsid w:val="00C01918"/>
    <w:rsid w:val="00C01C6C"/>
    <w:rsid w:val="00C06C31"/>
    <w:rsid w:val="00C07D22"/>
    <w:rsid w:val="00C127CF"/>
    <w:rsid w:val="00C20541"/>
    <w:rsid w:val="00C23A04"/>
    <w:rsid w:val="00C31153"/>
    <w:rsid w:val="00C41503"/>
    <w:rsid w:val="00C428CB"/>
    <w:rsid w:val="00C44B79"/>
    <w:rsid w:val="00C45F4F"/>
    <w:rsid w:val="00C54F36"/>
    <w:rsid w:val="00C5550A"/>
    <w:rsid w:val="00C56957"/>
    <w:rsid w:val="00C67F6E"/>
    <w:rsid w:val="00C9272D"/>
    <w:rsid w:val="00C92FD1"/>
    <w:rsid w:val="00C96373"/>
    <w:rsid w:val="00CA0054"/>
    <w:rsid w:val="00CA3343"/>
    <w:rsid w:val="00CB6AD6"/>
    <w:rsid w:val="00CC391C"/>
    <w:rsid w:val="00CC55D1"/>
    <w:rsid w:val="00CD54A0"/>
    <w:rsid w:val="00CE0826"/>
    <w:rsid w:val="00CE49B1"/>
    <w:rsid w:val="00CF1A57"/>
    <w:rsid w:val="00CF1D34"/>
    <w:rsid w:val="00CF7821"/>
    <w:rsid w:val="00D0103E"/>
    <w:rsid w:val="00D13071"/>
    <w:rsid w:val="00D13A03"/>
    <w:rsid w:val="00D13A74"/>
    <w:rsid w:val="00D14A4B"/>
    <w:rsid w:val="00D1505B"/>
    <w:rsid w:val="00D24796"/>
    <w:rsid w:val="00D31A3D"/>
    <w:rsid w:val="00D3432D"/>
    <w:rsid w:val="00D43449"/>
    <w:rsid w:val="00D6096F"/>
    <w:rsid w:val="00D70686"/>
    <w:rsid w:val="00D741C3"/>
    <w:rsid w:val="00D7745A"/>
    <w:rsid w:val="00D87CCB"/>
    <w:rsid w:val="00D90CC0"/>
    <w:rsid w:val="00D918D7"/>
    <w:rsid w:val="00D95E53"/>
    <w:rsid w:val="00D961E8"/>
    <w:rsid w:val="00DA17F5"/>
    <w:rsid w:val="00DB0E72"/>
    <w:rsid w:val="00DC1D1E"/>
    <w:rsid w:val="00DC6FBA"/>
    <w:rsid w:val="00DD02D9"/>
    <w:rsid w:val="00DD0349"/>
    <w:rsid w:val="00DD42E3"/>
    <w:rsid w:val="00DD454D"/>
    <w:rsid w:val="00DD7A7C"/>
    <w:rsid w:val="00DE0E27"/>
    <w:rsid w:val="00DE1732"/>
    <w:rsid w:val="00DE4A56"/>
    <w:rsid w:val="00DE5944"/>
    <w:rsid w:val="00DF15D9"/>
    <w:rsid w:val="00DF2310"/>
    <w:rsid w:val="00DF7951"/>
    <w:rsid w:val="00E04B6E"/>
    <w:rsid w:val="00E11D3A"/>
    <w:rsid w:val="00E132BF"/>
    <w:rsid w:val="00E16927"/>
    <w:rsid w:val="00E20E7C"/>
    <w:rsid w:val="00E26F8D"/>
    <w:rsid w:val="00E32EC1"/>
    <w:rsid w:val="00E37A6C"/>
    <w:rsid w:val="00E41DD4"/>
    <w:rsid w:val="00E42921"/>
    <w:rsid w:val="00E43965"/>
    <w:rsid w:val="00E51842"/>
    <w:rsid w:val="00E51B8F"/>
    <w:rsid w:val="00E60428"/>
    <w:rsid w:val="00E630EA"/>
    <w:rsid w:val="00E659FE"/>
    <w:rsid w:val="00E70650"/>
    <w:rsid w:val="00E73939"/>
    <w:rsid w:val="00E86A84"/>
    <w:rsid w:val="00E8728D"/>
    <w:rsid w:val="00E9229F"/>
    <w:rsid w:val="00E94498"/>
    <w:rsid w:val="00EA4B72"/>
    <w:rsid w:val="00EB631E"/>
    <w:rsid w:val="00EB7DA6"/>
    <w:rsid w:val="00ED3315"/>
    <w:rsid w:val="00EF3865"/>
    <w:rsid w:val="00EF3F27"/>
    <w:rsid w:val="00F023E5"/>
    <w:rsid w:val="00F104C6"/>
    <w:rsid w:val="00F11107"/>
    <w:rsid w:val="00F148C4"/>
    <w:rsid w:val="00F27C82"/>
    <w:rsid w:val="00F46D1E"/>
    <w:rsid w:val="00F53B0B"/>
    <w:rsid w:val="00F656B4"/>
    <w:rsid w:val="00F662B4"/>
    <w:rsid w:val="00F72B39"/>
    <w:rsid w:val="00F750DC"/>
    <w:rsid w:val="00F76FBC"/>
    <w:rsid w:val="00F7724D"/>
    <w:rsid w:val="00F778F4"/>
    <w:rsid w:val="00F842AE"/>
    <w:rsid w:val="00F901B1"/>
    <w:rsid w:val="00F93179"/>
    <w:rsid w:val="00F95DC4"/>
    <w:rsid w:val="00FA2A3C"/>
    <w:rsid w:val="00FA4CB2"/>
    <w:rsid w:val="00FA4D92"/>
    <w:rsid w:val="00FA5444"/>
    <w:rsid w:val="00FB5816"/>
    <w:rsid w:val="00FB6160"/>
    <w:rsid w:val="00FB74A9"/>
    <w:rsid w:val="00FC5303"/>
    <w:rsid w:val="00FC6E22"/>
    <w:rsid w:val="00FD2A18"/>
    <w:rsid w:val="00FD4CD9"/>
    <w:rsid w:val="00FE0C08"/>
    <w:rsid w:val="00FE1A50"/>
    <w:rsid w:val="00FE1C1A"/>
    <w:rsid w:val="00FE5261"/>
    <w:rsid w:val="00FE5CF7"/>
    <w:rsid w:val="00FF019A"/>
    <w:rsid w:val="00FF6C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8433E"/>
  <w15:chartTrackingRefBased/>
  <w15:docId w15:val="{F13F89C1-DF32-41C5-B527-F40EAEE2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C9D"/>
    <w:pPr>
      <w:ind w:left="720"/>
      <w:contextualSpacing/>
    </w:pPr>
  </w:style>
  <w:style w:type="character" w:styleId="Hyperlink">
    <w:name w:val="Hyperlink"/>
    <w:basedOn w:val="DefaultParagraphFont"/>
    <w:uiPriority w:val="99"/>
    <w:unhideWhenUsed/>
    <w:rsid w:val="001A6CB0"/>
    <w:rPr>
      <w:color w:val="0563C1" w:themeColor="hyperlink"/>
      <w:u w:val="single"/>
    </w:rPr>
  </w:style>
  <w:style w:type="character" w:customStyle="1" w:styleId="1">
    <w:name w:val="אזכור לא מזוהה1"/>
    <w:basedOn w:val="DefaultParagraphFont"/>
    <w:uiPriority w:val="99"/>
    <w:semiHidden/>
    <w:unhideWhenUsed/>
    <w:rsid w:val="001A6CB0"/>
    <w:rPr>
      <w:color w:val="808080"/>
      <w:shd w:val="clear" w:color="auto" w:fill="E6E6E6"/>
    </w:rPr>
  </w:style>
  <w:style w:type="paragraph" w:styleId="FootnoteText">
    <w:name w:val="footnote text"/>
    <w:aliases w:val="תו תו תו,תו תו"/>
    <w:basedOn w:val="Normal"/>
    <w:link w:val="FootnoteTextChar"/>
    <w:uiPriority w:val="99"/>
    <w:semiHidden/>
    <w:unhideWhenUsed/>
    <w:rsid w:val="006445AE"/>
    <w:pPr>
      <w:spacing w:after="0" w:line="240" w:lineRule="auto"/>
    </w:pPr>
    <w:rPr>
      <w:sz w:val="20"/>
      <w:szCs w:val="20"/>
    </w:rPr>
  </w:style>
  <w:style w:type="character" w:customStyle="1" w:styleId="FootnoteTextChar">
    <w:name w:val="Footnote Text Char"/>
    <w:aliases w:val="תו תו תו Char,תו תו Char"/>
    <w:basedOn w:val="DefaultParagraphFont"/>
    <w:link w:val="FootnoteText"/>
    <w:uiPriority w:val="99"/>
    <w:semiHidden/>
    <w:rsid w:val="006445AE"/>
    <w:rPr>
      <w:sz w:val="20"/>
      <w:szCs w:val="20"/>
    </w:rPr>
  </w:style>
  <w:style w:type="character" w:styleId="FootnoteReference">
    <w:name w:val="footnote reference"/>
    <w:basedOn w:val="DefaultParagraphFont"/>
    <w:uiPriority w:val="99"/>
    <w:unhideWhenUsed/>
    <w:rsid w:val="006445AE"/>
    <w:rPr>
      <w:vertAlign w:val="superscript"/>
    </w:rPr>
  </w:style>
  <w:style w:type="paragraph" w:styleId="BalloonText">
    <w:name w:val="Balloon Text"/>
    <w:basedOn w:val="Normal"/>
    <w:link w:val="BalloonTextChar"/>
    <w:uiPriority w:val="99"/>
    <w:semiHidden/>
    <w:unhideWhenUsed/>
    <w:rsid w:val="0015135B"/>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15135B"/>
    <w:rPr>
      <w:rFonts w:ascii="Tahoma" w:hAnsi="Tahoma" w:cs="Tahoma"/>
      <w:sz w:val="18"/>
      <w:szCs w:val="18"/>
    </w:rPr>
  </w:style>
  <w:style w:type="paragraph" w:styleId="Header">
    <w:name w:val="header"/>
    <w:basedOn w:val="Normal"/>
    <w:link w:val="HeaderChar"/>
    <w:uiPriority w:val="99"/>
    <w:unhideWhenUsed/>
    <w:rsid w:val="00C311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31153"/>
  </w:style>
  <w:style w:type="paragraph" w:styleId="Footer">
    <w:name w:val="footer"/>
    <w:basedOn w:val="Normal"/>
    <w:link w:val="FooterChar"/>
    <w:uiPriority w:val="99"/>
    <w:unhideWhenUsed/>
    <w:rsid w:val="00C311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1153"/>
  </w:style>
  <w:style w:type="character" w:styleId="CommentReference">
    <w:name w:val="annotation reference"/>
    <w:basedOn w:val="DefaultParagraphFont"/>
    <w:uiPriority w:val="99"/>
    <w:semiHidden/>
    <w:unhideWhenUsed/>
    <w:rsid w:val="00043268"/>
    <w:rPr>
      <w:sz w:val="16"/>
      <w:szCs w:val="16"/>
    </w:rPr>
  </w:style>
  <w:style w:type="paragraph" w:styleId="CommentText">
    <w:name w:val="annotation text"/>
    <w:basedOn w:val="Normal"/>
    <w:link w:val="CommentTextChar"/>
    <w:uiPriority w:val="99"/>
    <w:semiHidden/>
    <w:unhideWhenUsed/>
    <w:rsid w:val="00043268"/>
    <w:pPr>
      <w:spacing w:line="240" w:lineRule="auto"/>
    </w:pPr>
    <w:rPr>
      <w:sz w:val="20"/>
      <w:szCs w:val="20"/>
    </w:rPr>
  </w:style>
  <w:style w:type="character" w:customStyle="1" w:styleId="CommentTextChar">
    <w:name w:val="Comment Text Char"/>
    <w:basedOn w:val="DefaultParagraphFont"/>
    <w:link w:val="CommentText"/>
    <w:uiPriority w:val="99"/>
    <w:semiHidden/>
    <w:rsid w:val="00043268"/>
    <w:rPr>
      <w:sz w:val="20"/>
      <w:szCs w:val="20"/>
    </w:rPr>
  </w:style>
  <w:style w:type="paragraph" w:styleId="CommentSubject">
    <w:name w:val="annotation subject"/>
    <w:basedOn w:val="CommentText"/>
    <w:next w:val="CommentText"/>
    <w:link w:val="CommentSubjectChar"/>
    <w:uiPriority w:val="99"/>
    <w:semiHidden/>
    <w:unhideWhenUsed/>
    <w:rsid w:val="00043268"/>
    <w:rPr>
      <w:b/>
      <w:bCs/>
    </w:rPr>
  </w:style>
  <w:style w:type="character" w:customStyle="1" w:styleId="CommentSubjectChar">
    <w:name w:val="Comment Subject Char"/>
    <w:basedOn w:val="CommentTextChar"/>
    <w:link w:val="CommentSubject"/>
    <w:uiPriority w:val="99"/>
    <w:semiHidden/>
    <w:rsid w:val="00043268"/>
    <w:rPr>
      <w:b/>
      <w:bCs/>
      <w:sz w:val="20"/>
      <w:szCs w:val="20"/>
    </w:rPr>
  </w:style>
  <w:style w:type="paragraph" w:styleId="Revision">
    <w:name w:val="Revision"/>
    <w:hidden/>
    <w:uiPriority w:val="99"/>
    <w:semiHidden/>
    <w:rsid w:val="00043268"/>
    <w:pPr>
      <w:spacing w:after="0" w:line="240" w:lineRule="auto"/>
    </w:pPr>
  </w:style>
  <w:style w:type="paragraph" w:styleId="EndnoteText">
    <w:name w:val="endnote text"/>
    <w:basedOn w:val="Normal"/>
    <w:link w:val="EndnoteTextChar"/>
    <w:uiPriority w:val="99"/>
    <w:semiHidden/>
    <w:unhideWhenUsed/>
    <w:rsid w:val="00534C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4C88"/>
    <w:rPr>
      <w:sz w:val="20"/>
      <w:szCs w:val="20"/>
    </w:rPr>
  </w:style>
  <w:style w:type="character" w:styleId="EndnoteReference">
    <w:name w:val="endnote reference"/>
    <w:basedOn w:val="DefaultParagraphFont"/>
    <w:uiPriority w:val="99"/>
    <w:semiHidden/>
    <w:unhideWhenUsed/>
    <w:rsid w:val="00534C88"/>
    <w:rPr>
      <w:vertAlign w:val="superscript"/>
    </w:rPr>
  </w:style>
  <w:style w:type="character" w:customStyle="1" w:styleId="apple-converted-space">
    <w:name w:val="apple-converted-space"/>
    <w:basedOn w:val="DefaultParagraphFont"/>
    <w:rsid w:val="00F11107"/>
  </w:style>
  <w:style w:type="character" w:styleId="Strong">
    <w:name w:val="Strong"/>
    <w:basedOn w:val="DefaultParagraphFont"/>
    <w:uiPriority w:val="22"/>
    <w:qFormat/>
    <w:rsid w:val="000414BB"/>
    <w:rPr>
      <w:b/>
      <w:bCs/>
    </w:rPr>
  </w:style>
  <w:style w:type="character" w:styleId="FollowedHyperlink">
    <w:name w:val="FollowedHyperlink"/>
    <w:basedOn w:val="DefaultParagraphFont"/>
    <w:uiPriority w:val="99"/>
    <w:semiHidden/>
    <w:unhideWhenUsed/>
    <w:rsid w:val="006377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health.gov.il/English/Topics/Pregnancy/health_centers/Pages/family_health_centers.aspx" TargetMode="External"/><Relationship Id="rId2" Type="http://schemas.openxmlformats.org/officeDocument/2006/relationships/hyperlink" Target="https://www.old.health.gov.il/download/docs/health_eng.doc" TargetMode="External"/><Relationship Id="rId1" Type="http://schemas.openxmlformats.org/officeDocument/2006/relationships/hyperlink" Target="https://www.health.gov.il/English/Topics/RightsInsured/RightsUnderLaw/Pages/default.aspx" TargetMode="External"/><Relationship Id="rId6" Type="http://schemas.openxmlformats.org/officeDocument/2006/relationships/hyperlink" Target="https://www.ncbi.nlm.nih.gov/books/NBK7250/box/A40350/" TargetMode="External"/><Relationship Id="rId5" Type="http://schemas.openxmlformats.org/officeDocument/2006/relationships/hyperlink" Target="https://www.ima.org.il/eng/viewcontent.aspx?categoryid=6162" TargetMode="External"/><Relationship Id="rId4" Type="http://schemas.openxmlformats.org/officeDocument/2006/relationships/hyperlink" Target="https://www.iarc.fr/wp-content/uploads/2018/07/pr221_E.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ata.oecd.org/" TargetMode="Externa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'סוכרת לפי פטור'!$B$3</c:f>
              <c:strCache>
                <c:ptCount val="1"/>
                <c:pt idx="0">
                  <c:v>בינוני/גבוה</c:v>
                </c:pt>
              </c:strCache>
            </c:strRef>
          </c:tx>
          <c:spPr>
            <a:solidFill>
              <a:srgbClr val="92D050"/>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'סוכרת לפי פטור'!$A$4:$A$16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'סוכרת לפי פטור'!$B$4:$B$16</c:f>
              <c:numCache>
                <c:formatCode>0.0%</c:formatCode>
                <c:ptCount val="13"/>
                <c:pt idx="0">
                  <c:v>2.3708740841187573E-2</c:v>
                </c:pt>
                <c:pt idx="1">
                  <c:v>2.5044459104128145E-2</c:v>
                </c:pt>
                <c:pt idx="2">
                  <c:v>2.5793587695838716E-2</c:v>
                </c:pt>
                <c:pt idx="3">
                  <c:v>2.7470488720622362E-2</c:v>
                </c:pt>
                <c:pt idx="4">
                  <c:v>2.9342653532264579E-2</c:v>
                </c:pt>
                <c:pt idx="5">
                  <c:v>3.0949873034160972E-2</c:v>
                </c:pt>
                <c:pt idx="6">
                  <c:v>3.2448699567175172E-2</c:v>
                </c:pt>
                <c:pt idx="7">
                  <c:v>3.4520091714713312E-2</c:v>
                </c:pt>
                <c:pt idx="8">
                  <c:v>3.5700016599961748E-2</c:v>
                </c:pt>
                <c:pt idx="9">
                  <c:v>6.7737643748470758E-2</c:v>
                </c:pt>
                <c:pt idx="10">
                  <c:v>7.0999999999999994E-2</c:v>
                </c:pt>
                <c:pt idx="11">
                  <c:v>7.1479069866472594E-2</c:v>
                </c:pt>
                <c:pt idx="12">
                  <c:v>7.0999999999999994E-2</c:v>
                </c:pt>
              </c:numCache>
            </c:numRef>
          </c:val>
          <c:extLst xmlns:c16r2="http://schemas.microsoft.com/office/drawing/2015/06/chart">
            <c:ext xmlns:c16="http://schemas.microsoft.com/office/drawing/2014/chart" uri="{C3380CC4-5D6E-409C-BE32-E72D297353CC}">
              <c16:uniqueId val="{00000000-03D9-4C6E-8543-8325F40E0C42}"/>
            </c:ext>
          </c:extLst>
        </c:ser>
        <c:ser>
          <c:idx val="1"/>
          <c:order val="1"/>
          <c:tx>
            <c:strRef>
              <c:f>'סוכרת לפי פטור'!$C$3</c:f>
              <c:strCache>
                <c:ptCount val="1"/>
                <c:pt idx="0">
                  <c:v>נמוך</c:v>
                </c:pt>
              </c:strCache>
            </c:strRef>
          </c:tx>
          <c:spPr>
            <a:solidFill>
              <a:srgbClr val="4472C4">
                <a:lumMod val="75000"/>
              </a:srgb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'סוכרת לפי פטור'!$A$4:$A$16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'סוכרת לפי פטור'!$C$4:$C$16</c:f>
              <c:numCache>
                <c:formatCode>0.0%</c:formatCode>
                <c:ptCount val="13"/>
                <c:pt idx="0">
                  <c:v>7.8006872513202902E-2</c:v>
                </c:pt>
                <c:pt idx="1">
                  <c:v>8.0511148311328704E-2</c:v>
                </c:pt>
                <c:pt idx="2">
                  <c:v>0.12750659992787938</c:v>
                </c:pt>
                <c:pt idx="3">
                  <c:v>0.13401700681767875</c:v>
                </c:pt>
                <c:pt idx="4">
                  <c:v>0.14074792821154164</c:v>
                </c:pt>
                <c:pt idx="5">
                  <c:v>0.14805227411444377</c:v>
                </c:pt>
                <c:pt idx="6">
                  <c:v>0.15334279452242933</c:v>
                </c:pt>
                <c:pt idx="7">
                  <c:v>0.16043641667134123</c:v>
                </c:pt>
                <c:pt idx="8">
                  <c:v>0.16281538924898825</c:v>
                </c:pt>
                <c:pt idx="9">
                  <c:v>0.23246300047215443</c:v>
                </c:pt>
                <c:pt idx="10">
                  <c:v>0.24299999999999999</c:v>
                </c:pt>
                <c:pt idx="11">
                  <c:v>0.249</c:v>
                </c:pt>
                <c:pt idx="12">
                  <c:v>0.255</c:v>
                </c:pt>
              </c:numCache>
            </c:numRef>
          </c:val>
          <c:extLst xmlns:c16r2="http://schemas.microsoft.com/office/drawing/2015/06/chart">
            <c:ext xmlns:c16="http://schemas.microsoft.com/office/drawing/2014/chart" uri="{C3380CC4-5D6E-409C-BE32-E72D297353CC}">
              <c16:uniqueId val="{00000001-03D9-4C6E-8543-8325F40E0C42}"/>
            </c:ext>
          </c:extLst>
        </c:ser>
        <c:dLbls>
          <c:showLegendKey val="0"/>
          <c:showVal val="0"/>
          <c:showCatName val="0"/>
          <c:showSerName val="0"/>
          <c:showPercent val="0"/>
          <c:showBubbleSize val="0"/>
        </c:dLbls>
        <c:gapWidth val="219"/>
        <c:overlap val="-27"/>
        <c:axId val="387690160"/>
        <c:axId val="156571984"/>
      </c:barChart>
      <c:catAx>
        <c:axId val="3876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6571984"/>
        <c:crosses val="autoZero"/>
        <c:auto val="1"/>
        <c:lblAlgn val="ctr"/>
        <c:lblOffset val="100"/>
        <c:noMultiLvlLbl val="0"/>
      </c:catAx>
      <c:valAx>
        <c:axId val="156571984"/>
        <c:scaling>
          <c:orientation val="minMax"/>
        </c:scaling>
        <c:delete val="0"/>
        <c:axPos val="l"/>
        <c:numFmt formatCode="0.0%" sourceLinked="1"/>
        <c:majorTickMark val="none"/>
        <c:minorTickMark val="none"/>
        <c:tickLblPos val="nextTo"/>
        <c:spPr>
          <a:noFill/>
          <a:ln>
            <a:noFill/>
          </a:ln>
          <a:effectLst/>
        </c:spPr>
        <c:txPr>
          <a:bodyPr rot="-60000000" vert="horz"/>
          <a:lstStyle/>
          <a:p>
            <a:pPr>
              <a:defRPr/>
            </a:pPr>
            <a:endParaRPr lang="en-US"/>
          </a:p>
        </c:txPr>
        <c:crossAx val="387690160"/>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vert="horz"/>
        <a:lstStyle/>
        <a:p>
          <a:pPr>
            <a:defRPr/>
          </a:pPr>
          <a:endParaRPr lang="en-US"/>
        </a:p>
      </c:txPr>
    </c:legend>
    <c:plotVisOnly val="1"/>
    <c:dispBlanksAs val="gap"/>
    <c:showDLblsOverMax val="0"/>
  </c:chart>
  <c:spPr>
    <a:noFill/>
    <a:ln>
      <a:solidFill>
        <a:sysClr val="windowText" lastClr="000000"/>
      </a:solidFill>
    </a:ln>
    <a:effectLst/>
  </c:spPr>
  <c:txPr>
    <a:bodyPr/>
    <a:lstStyle/>
    <a:p>
      <a:pPr>
        <a:defRPr>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A7FC0-5CB9-4650-BD63-8D9B9DAB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43</Pages>
  <Words>8752</Words>
  <Characters>49891</Characters>
  <Application>Microsoft Office Word</Application>
  <DocSecurity>0</DocSecurity>
  <Lines>415</Lines>
  <Paragraphs>117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Merav Datan</cp:lastModifiedBy>
  <cp:revision>88</cp:revision>
  <dcterms:created xsi:type="dcterms:W3CDTF">2019-09-18T09:40:00Z</dcterms:created>
  <dcterms:modified xsi:type="dcterms:W3CDTF">2019-09-18T18:34:00Z</dcterms:modified>
</cp:coreProperties>
</file>