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E46C5" w14:textId="77777777" w:rsidR="00D71B72" w:rsidRDefault="00D71B72" w:rsidP="00BC2A1E">
      <w:pPr>
        <w:bidi w:val="0"/>
        <w:spacing w:after="0" w:line="360" w:lineRule="auto"/>
        <w:jc w:val="both"/>
        <w:rPr>
          <w:rFonts w:asciiTheme="majorBidi" w:eastAsia="Times New Roman" w:hAnsiTheme="majorBidi" w:cs="Times New Roman"/>
          <w:sz w:val="24"/>
          <w:szCs w:val="24"/>
          <w:highlight w:val="yellow"/>
          <w:u w:val="single"/>
        </w:rPr>
      </w:pPr>
      <w:r>
        <w:rPr>
          <w:rFonts w:asciiTheme="majorBidi" w:eastAsia="Times New Roman" w:hAnsiTheme="majorBidi" w:cs="Times New Roman"/>
          <w:sz w:val="24"/>
          <w:szCs w:val="24"/>
          <w:highlight w:val="yellow"/>
          <w:u w:val="single"/>
        </w:rPr>
        <w:t>Proposed Research Project for the Sabbatical at King</w:t>
      </w:r>
      <w:r w:rsidR="006E67AE">
        <w:rPr>
          <w:rFonts w:asciiTheme="majorBidi" w:eastAsia="Times New Roman" w:hAnsiTheme="majorBidi" w:cs="Times New Roman"/>
          <w:sz w:val="24"/>
          <w:szCs w:val="24"/>
          <w:highlight w:val="yellow"/>
          <w:u w:val="single"/>
        </w:rPr>
        <w:t>'</w:t>
      </w:r>
      <w:r>
        <w:rPr>
          <w:rFonts w:asciiTheme="majorBidi" w:eastAsia="Times New Roman" w:hAnsiTheme="majorBidi" w:cs="Times New Roman"/>
          <w:sz w:val="24"/>
          <w:szCs w:val="24"/>
          <w:highlight w:val="yellow"/>
          <w:u w:val="single"/>
        </w:rPr>
        <w:t>s College, London (23.2.2020-7.4.202</w:t>
      </w:r>
      <w:r w:rsidR="00BC2A1E">
        <w:rPr>
          <w:rFonts w:asciiTheme="majorBidi" w:eastAsia="Times New Roman" w:hAnsiTheme="majorBidi" w:cs="Times New Roman"/>
          <w:sz w:val="24"/>
          <w:szCs w:val="24"/>
          <w:highlight w:val="yellow"/>
          <w:u w:val="single"/>
        </w:rPr>
        <w:t>0</w:t>
      </w:r>
      <w:r>
        <w:rPr>
          <w:rFonts w:asciiTheme="majorBidi" w:eastAsia="Times New Roman" w:hAnsiTheme="majorBidi" w:cs="Times New Roman"/>
          <w:sz w:val="24"/>
          <w:szCs w:val="24"/>
          <w:highlight w:val="yellow"/>
          <w:u w:val="single"/>
        </w:rPr>
        <w:t>)</w:t>
      </w:r>
    </w:p>
    <w:p w14:paraId="2D1DB1D5" w14:textId="77777777" w:rsidR="00D71B72" w:rsidRDefault="00D71B72" w:rsidP="00D71B72">
      <w:pPr>
        <w:bidi w:val="0"/>
        <w:spacing w:after="0" w:line="360" w:lineRule="auto"/>
        <w:jc w:val="both"/>
        <w:rPr>
          <w:rFonts w:asciiTheme="majorBidi" w:eastAsia="Times New Roman" w:hAnsiTheme="majorBidi" w:cs="Times New Roman"/>
          <w:sz w:val="24"/>
          <w:szCs w:val="24"/>
          <w:highlight w:val="yellow"/>
          <w:u w:val="single"/>
        </w:rPr>
      </w:pPr>
      <w:r>
        <w:rPr>
          <w:rFonts w:asciiTheme="majorBidi" w:eastAsia="Times New Roman" w:hAnsiTheme="majorBidi" w:cs="Times New Roman"/>
          <w:sz w:val="24"/>
          <w:szCs w:val="24"/>
          <w:highlight w:val="yellow"/>
          <w:u w:val="single"/>
        </w:rPr>
        <w:t xml:space="preserve">Dr. </w:t>
      </w:r>
      <w:proofErr w:type="spellStart"/>
      <w:r>
        <w:rPr>
          <w:rFonts w:asciiTheme="majorBidi" w:eastAsia="Times New Roman" w:hAnsiTheme="majorBidi" w:cs="Times New Roman"/>
          <w:sz w:val="24"/>
          <w:szCs w:val="24"/>
          <w:highlight w:val="yellow"/>
          <w:u w:val="single"/>
        </w:rPr>
        <w:t>Noga</w:t>
      </w:r>
      <w:proofErr w:type="spellEnd"/>
      <w:r w:rsidR="00900C4C">
        <w:rPr>
          <w:rFonts w:asciiTheme="majorBidi" w:eastAsia="Times New Roman" w:hAnsiTheme="majorBidi" w:cs="Times New Roman"/>
          <w:sz w:val="24"/>
          <w:szCs w:val="24"/>
          <w:highlight w:val="yellow"/>
          <w:u w:val="single"/>
        </w:rPr>
        <w:t xml:space="preserve"> </w:t>
      </w:r>
      <w:proofErr w:type="spellStart"/>
      <w:r w:rsidR="00900C4C">
        <w:rPr>
          <w:rFonts w:asciiTheme="majorBidi" w:eastAsia="Times New Roman" w:hAnsiTheme="majorBidi" w:cs="Times New Roman"/>
          <w:sz w:val="24"/>
          <w:szCs w:val="24"/>
          <w:highlight w:val="yellow"/>
          <w:u w:val="single"/>
        </w:rPr>
        <w:t>Shmueli</w:t>
      </w:r>
      <w:proofErr w:type="spellEnd"/>
      <w:r w:rsidR="00900C4C">
        <w:rPr>
          <w:rFonts w:asciiTheme="majorBidi" w:eastAsia="Times New Roman" w:hAnsiTheme="majorBidi" w:cs="Times New Roman"/>
          <w:sz w:val="24"/>
          <w:szCs w:val="24"/>
          <w:highlight w:val="yellow"/>
          <w:u w:val="single"/>
        </w:rPr>
        <w:t>-Meyer</w:t>
      </w:r>
    </w:p>
    <w:p w14:paraId="673C100C" w14:textId="77777777" w:rsidR="00900C4C" w:rsidRDefault="00900C4C" w:rsidP="00900C4C">
      <w:pPr>
        <w:bidi w:val="0"/>
        <w:spacing w:after="0" w:line="360" w:lineRule="auto"/>
        <w:jc w:val="both"/>
        <w:rPr>
          <w:rFonts w:asciiTheme="majorBidi" w:eastAsia="Times New Roman" w:hAnsiTheme="majorBidi" w:cs="Times New Roman"/>
          <w:highlight w:val="yellow"/>
          <w:u w:val="single"/>
        </w:rPr>
      </w:pPr>
    </w:p>
    <w:p w14:paraId="06407AC6" w14:textId="77777777" w:rsidR="00900C4C" w:rsidRDefault="00900C4C" w:rsidP="00900C4C">
      <w:pPr>
        <w:bidi w:val="0"/>
        <w:spacing w:after="0" w:line="360" w:lineRule="auto"/>
        <w:jc w:val="both"/>
        <w:rPr>
          <w:rFonts w:asciiTheme="majorBidi" w:eastAsia="Times New Roman" w:hAnsiTheme="majorBidi" w:cs="Times New Roman"/>
          <w:highlight w:val="yellow"/>
          <w:u w:val="single"/>
        </w:rPr>
      </w:pPr>
      <w:r>
        <w:rPr>
          <w:rFonts w:asciiTheme="majorBidi" w:eastAsia="Times New Roman" w:hAnsiTheme="majorBidi" w:cs="Times New Roman"/>
          <w:highlight w:val="yellow"/>
          <w:u w:val="single"/>
        </w:rPr>
        <w:t>Background</w:t>
      </w:r>
    </w:p>
    <w:p w14:paraId="72B2AC4F" w14:textId="77777777" w:rsidR="00972806" w:rsidRPr="00972806" w:rsidRDefault="00972806" w:rsidP="00972806">
      <w:pPr>
        <w:bidi w:val="0"/>
        <w:spacing w:before="100" w:beforeAutospacing="1" w:after="100" w:afterAutospacing="1" w:line="276" w:lineRule="auto"/>
        <w:jc w:val="both"/>
        <w:outlineLvl w:val="0"/>
        <w:rPr>
          <w:rFonts w:asciiTheme="majorBidi" w:eastAsia="Times New Roman" w:hAnsiTheme="majorBidi" w:cs="Times New Roman"/>
        </w:rPr>
      </w:pPr>
      <w:r w:rsidRPr="00972806">
        <w:rPr>
          <w:rFonts w:asciiTheme="majorBidi" w:eastAsia="Times New Roman" w:hAnsiTheme="majorBidi" w:cs="Times New Roman"/>
        </w:rPr>
        <w:t>In the professional research literature, particularly American and Canadian, it is almost unanimously agreed that mistaken identification is the most common cause of miscarriage of justice and is the primary cause of wrongful convictions.</w:t>
      </w:r>
    </w:p>
    <w:p w14:paraId="4B893D3F" w14:textId="77777777" w:rsidR="00972806" w:rsidRPr="00972806" w:rsidRDefault="00972806" w:rsidP="00414082">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sz w:val="24"/>
          <w:szCs w:val="24"/>
          <w:lang w:bidi="ar-SA"/>
        </w:rPr>
        <w:t>In my doctoral dissertation</w:t>
      </w:r>
      <w:r w:rsidR="00D60BE8">
        <w:rPr>
          <w:rStyle w:val="FootnoteReference"/>
          <w:rFonts w:asciiTheme="majorBidi" w:eastAsia="Times New Roman" w:hAnsiTheme="majorBidi" w:cs="Times New Roman"/>
          <w:sz w:val="24"/>
          <w:szCs w:val="24"/>
          <w:lang w:bidi="ar-SA"/>
        </w:rPr>
        <w:footnoteReference w:id="1"/>
      </w:r>
      <w:r w:rsidRPr="00972806">
        <w:rPr>
          <w:rFonts w:asciiTheme="majorBidi" w:eastAsia="Times New Roman" w:hAnsiTheme="majorBidi" w:cs="Times New Roman"/>
        </w:rPr>
        <w:t xml:space="preserve">, I asserted that it is not possible to come to terms with a situation in which a criminal conviction can rely upon a single piece of evidence that is so unsound.  There are defects both with respect to the inadequacies of human perception and memory, and in the functioning of the various investigatory units with regard to obtaining identification evidence. At times these units work without adequate supervision and oversight and there are no binding rules set forth in legislation to guide them.  It is not surprising, therefore, that this situation leads to an unacceptable number of cases in which an individual is convicted of a criminal offense and only through forensic examinations at a later stage is he proven innocent. In my dissertation, I provided a basis for the assertion that the time is ripe to engage in a comprehensive reform of </w:t>
      </w:r>
      <w:r w:rsidRPr="00972806">
        <w:rPr>
          <w:rFonts w:asciiTheme="majorBidi" w:eastAsia="Times New Roman" w:hAnsiTheme="majorBidi" w:cs="Times New Roman"/>
          <w:b/>
          <w:bCs/>
        </w:rPr>
        <w:t>Israeli law</w:t>
      </w:r>
      <w:r w:rsidRPr="00972806">
        <w:rPr>
          <w:rFonts w:asciiTheme="majorBidi" w:eastAsia="Times New Roman" w:hAnsiTheme="majorBidi" w:cs="Times New Roman"/>
        </w:rPr>
        <w:t xml:space="preserve"> relating to conviction of a defendant based on a single piece of identification evidence. I proposed a model for structuring a new approach to identification evidence, including an amendment to the law and implementation of a requirement for an evidentiary supplement that is contained in a proposed bill for “</w:t>
      </w:r>
      <w:r w:rsidRPr="00972806">
        <w:rPr>
          <w:rFonts w:asciiTheme="majorBidi" w:eastAsia="Times New Roman" w:hAnsiTheme="majorBidi" w:cs="Times New Roman"/>
          <w:b/>
          <w:bCs/>
        </w:rPr>
        <w:t>Conducting Lineups, 2016</w:t>
      </w:r>
      <w:r w:rsidRPr="00972806">
        <w:rPr>
          <w:rFonts w:asciiTheme="majorBidi" w:eastAsia="Times New Roman" w:hAnsiTheme="majorBidi" w:cs="Times New Roman"/>
        </w:rPr>
        <w:t xml:space="preserve">,” which I have formulated for this purpose and which was presented at the end of  the thesis. This model is in effect a code, a comprehensive legislative enactment, that regulates all of the various aspects of the lineup in criminal law and which is based on four principal layers: (1) a comparison and confrontation between the underlying legal presumptions and the underlying psychological scientific presumptions regarding identification evidence (2) the requirement for additional evidence in Israeli law, (analogous to the requirement for “additional scintilla of evidence,” to convict on the basis of a defendant’s confession given outside of court) (3) the court’s invalidating rule as set forth in the </w:t>
      </w:r>
      <w:proofErr w:type="spellStart"/>
      <w:r w:rsidRPr="00972806">
        <w:rPr>
          <w:rFonts w:asciiTheme="majorBidi" w:eastAsia="Times New Roman" w:hAnsiTheme="majorBidi" w:cs="Times New Roman"/>
          <w:b/>
          <w:bCs/>
        </w:rPr>
        <w:t>Yissacharov</w:t>
      </w:r>
      <w:proofErr w:type="spellEnd"/>
      <w:r w:rsidRPr="00972806">
        <w:rPr>
          <w:rFonts w:asciiTheme="majorBidi" w:eastAsia="Times New Roman" w:hAnsiTheme="majorBidi" w:cs="Times New Roman"/>
          <w:b/>
          <w:bCs/>
        </w:rPr>
        <w:t xml:space="preserve"> </w:t>
      </w:r>
      <w:r w:rsidRPr="00972806">
        <w:rPr>
          <w:rFonts w:asciiTheme="majorBidi" w:eastAsia="Times New Roman" w:hAnsiTheme="majorBidi" w:cs="Times New Roman"/>
        </w:rPr>
        <w:t>case</w:t>
      </w:r>
      <w:r w:rsidR="00016F19">
        <w:rPr>
          <w:rStyle w:val="FootnoteReference"/>
          <w:rFonts w:asciiTheme="majorBidi" w:eastAsia="Times New Roman" w:hAnsiTheme="majorBidi" w:cs="Times New Roman"/>
        </w:rPr>
        <w:footnoteReference w:id="2"/>
      </w:r>
      <w:r w:rsidRPr="00972806">
        <w:rPr>
          <w:rFonts w:asciiTheme="majorBidi" w:eastAsia="Times New Roman" w:hAnsiTheme="majorBidi" w:cs="Times New Roman"/>
        </w:rPr>
        <w:t>; (4) English law.</w:t>
      </w:r>
    </w:p>
    <w:p w14:paraId="6AFF7F1D"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Prior to setting forth the proposed model, I dealt In my dissertation  with the difficulty inherent in the interface between Israeli law and identification evidence</w:t>
      </w:r>
      <w:r w:rsidR="00C226CA">
        <w:rPr>
          <w:rFonts w:asciiTheme="majorBidi" w:eastAsia="Times New Roman" w:hAnsiTheme="majorBidi" w:cs="Times New Roman"/>
        </w:rPr>
        <w:t xml:space="preserve"> </w:t>
      </w:r>
      <w:r w:rsidRPr="00972806">
        <w:rPr>
          <w:rFonts w:asciiTheme="majorBidi" w:eastAsia="Times New Roman" w:hAnsiTheme="majorBidi" w:cs="Times New Roman"/>
        </w:rPr>
        <w:t>.As shown, This difficulty is multi-faceted. It stems, first and foremost, from the fact that although identification evidence is evidence of an inherently problematic nature, (difficulty evaluating its trustworthiness; susceptibility to many biases liable to influence the identifying witness and to lead him to make a mistaken identification; and great risk of wrongful convictions arising from this evidence) the Israeli case law has failed to establish a requirement for supplementary evidence as a condition for conviction based upon this single evidence.</w:t>
      </w:r>
    </w:p>
    <w:p w14:paraId="66BC6495"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lastRenderedPageBreak/>
        <w:t xml:space="preserve">Conclusive proof of the great risk involved in convicting a defendant on the basis of a single piece of identification evidence is provided by findings from </w:t>
      </w:r>
      <w:r w:rsidRPr="00972806">
        <w:rPr>
          <w:rFonts w:asciiTheme="majorBidi" w:eastAsia="Times New Roman" w:hAnsiTheme="majorBidi" w:cs="Times New Roman"/>
          <w:b/>
          <w:bCs/>
        </w:rPr>
        <w:t xml:space="preserve">the </w:t>
      </w:r>
      <w:r w:rsidRPr="00972806">
        <w:rPr>
          <w:rFonts w:asciiTheme="majorBidi" w:eastAsia="Times New Roman" w:hAnsiTheme="majorBidi" w:cs="Times New Roman"/>
          <w:b/>
          <w:bCs/>
          <w:i/>
          <w:iCs/>
        </w:rPr>
        <w:t>Innocence Project</w:t>
      </w:r>
      <w:r w:rsidRPr="00972806">
        <w:rPr>
          <w:rFonts w:asciiTheme="majorBidi" w:eastAsia="Times New Roman" w:hAnsiTheme="majorBidi" w:cs="Times New Roman"/>
        </w:rPr>
        <w:t>,</w:t>
      </w:r>
      <w:r w:rsidR="007A3EA3">
        <w:rPr>
          <w:rStyle w:val="FootnoteReference"/>
          <w:rFonts w:asciiTheme="majorBidi" w:eastAsia="Times New Roman" w:hAnsiTheme="majorBidi" w:cs="Times New Roman"/>
        </w:rPr>
        <w:footnoteReference w:id="3"/>
      </w:r>
      <w:r w:rsidRPr="00972806">
        <w:rPr>
          <w:rFonts w:asciiTheme="majorBidi" w:eastAsia="Times New Roman" w:hAnsiTheme="majorBidi" w:cs="Times New Roman"/>
        </w:rPr>
        <w:t xml:space="preserve"> the initiative of two scholars, Barry Scheck and Peter Neufeld, of Cardozo School of Law, Yeshiva University. These findings demonstrate that 84% of wrongful convictions—where the defendants were later exonerated through the work of the Innocence Project in the wake of DNA examinations—have been based (at least in part) on mistaken frontal identification by eyewitnesses or victims of the crime. Such mistaken identifications occurred sometimes as a result of inherent biases and weaknesses of human memory and sometimes as a result of defects in the conduct of the identification process by the investigatory unit. In other words, 84% of all convictions proven wrongful relied, at least to some extent, upon identification evidence</w:t>
      </w:r>
    </w:p>
    <w:p w14:paraId="646B9B71"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In Israel, the only thing that exists with respect to identification evidence is case law. A well thought out and comprehensive doctrine of identification evidence has yet to be created. Moreover, an examination of the rules demonstrates that they are often unable to provide the defendant with appropriate protection against wrongful conviction and many of the rules are inconsistent with scientific research in the field of human memory and cognitive psychology.</w:t>
      </w:r>
    </w:p>
    <w:p w14:paraId="0F372CCC"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Indeed, alongside the case law, the Israel Police has made an effort to formulate the rules for holding a lineup, and they are included in the internal guidelines of the Investigations and Intelligence Branch. , However, these guidelines do not have normative binding force, and when violated entail no sanction of a punitive or evidentiary nature whatsoever. Furthermore, many of the guidelines are drafted solely as recommendations. Moreover, as with the case law, a careful analysis of the internal guidelines shows that some of them are not consistent with scientific research and at times even clearly contradict it.</w:t>
      </w:r>
    </w:p>
    <w:p w14:paraId="52BE536B"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This lack of a well-regulated body of law with respect to identification evidence, including the absence of rules set forth in legislation, has a clear impact at all levels of this issue.</w:t>
      </w:r>
    </w:p>
    <w:p w14:paraId="6A930A62" w14:textId="77777777" w:rsidR="00972806" w:rsidRP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 xml:space="preserve">An additional aspect of the problems existing in the interface between the Israeli law and the identification evidence is expressed in the fact ,that  the case law has yet to set forth a clear and well-regulated evidentiary ranking of various kinds of lineups. This is particularly incomprehensible, in my opinion, in view of the findings from many scientific studies in the field which demonstrate different evidentiary weights for different types of lineups. </w:t>
      </w:r>
    </w:p>
    <w:p w14:paraId="26023BA1" w14:textId="77777777" w:rsidR="00972806" w:rsidRDefault="00972806" w:rsidP="00972806">
      <w:pPr>
        <w:bidi w:val="0"/>
        <w:spacing w:before="100" w:beforeAutospacing="1" w:after="100" w:afterAutospacing="1" w:line="276" w:lineRule="auto"/>
        <w:jc w:val="both"/>
        <w:rPr>
          <w:rFonts w:asciiTheme="majorBidi" w:eastAsia="Times New Roman" w:hAnsiTheme="majorBidi" w:cs="Times New Roman"/>
        </w:rPr>
      </w:pPr>
      <w:r w:rsidRPr="00972806">
        <w:rPr>
          <w:rFonts w:asciiTheme="majorBidi" w:eastAsia="Times New Roman" w:hAnsiTheme="majorBidi" w:cs="Times New Roman"/>
        </w:rPr>
        <w:t xml:space="preserve">Moreover, Israeli law, generally speaking, does not sufficiently recognize the problematic and complex characteristics of the issue of identification and is therefore insufficiently equipped to grant defendants the protection necessary from wrongful convictions. For example, it would seem that up to now both the judiciary and the legislature have failed to understand the anomalies of identification evidence, anomalies that are expressed, </w:t>
      </w:r>
      <w:r w:rsidRPr="00972806">
        <w:rPr>
          <w:rFonts w:asciiTheme="majorBidi" w:eastAsia="Times New Roman" w:hAnsiTheme="majorBidi" w:cs="Times New Roman"/>
          <w:i/>
          <w:iCs/>
        </w:rPr>
        <w:t>inter alia</w:t>
      </w:r>
      <w:r w:rsidRPr="00972806">
        <w:rPr>
          <w:rFonts w:asciiTheme="majorBidi" w:eastAsia="Times New Roman" w:hAnsiTheme="majorBidi" w:cs="Times New Roman"/>
        </w:rPr>
        <w:t xml:space="preserve">, in the one-time nature of this evidence. As discussed extensively in my doctoral dissertation , normally the investigatory unit has only one opportunity to obtain such evidence, with no possibility of “improving” or “amending” it later. For the defendant it is difficult, and indeed almost impossible, to refute such evidence after it has been obtained. Granting this, there is great importance in being scrupulous with respect to the rules that are intended to ensure the propriety of the lineup. However, because the courts and the legislature have not internalized that what is involved is an </w:t>
      </w:r>
      <w:r w:rsidRPr="00972806">
        <w:rPr>
          <w:rFonts w:asciiTheme="majorBidi" w:eastAsia="Times New Roman" w:hAnsiTheme="majorBidi" w:cs="Times New Roman"/>
        </w:rPr>
        <w:lastRenderedPageBreak/>
        <w:t xml:space="preserve">unusual and “one-time” piece of evidence, one will search in vain in the legislation or regulations for any binding rules regarding the manner of obtaining identification evidence or a well-regulated doctrine in the case law. </w:t>
      </w:r>
    </w:p>
    <w:p w14:paraId="3EB643CA" w14:textId="77777777" w:rsidR="00BC2A1E" w:rsidRPr="00BC2A1E" w:rsidRDefault="00BC2A1E" w:rsidP="00BC2A1E">
      <w:pPr>
        <w:bidi w:val="0"/>
        <w:spacing w:before="100" w:beforeAutospacing="1" w:after="100" w:afterAutospacing="1" w:line="276" w:lineRule="auto"/>
        <w:jc w:val="both"/>
        <w:rPr>
          <w:rFonts w:asciiTheme="majorBidi" w:eastAsia="Times New Roman" w:hAnsiTheme="majorBidi" w:cs="Times New Roman"/>
          <w:u w:val="single"/>
        </w:rPr>
      </w:pPr>
      <w:r w:rsidRPr="00BC2A1E">
        <w:rPr>
          <w:rFonts w:asciiTheme="majorBidi" w:eastAsia="Times New Roman" w:hAnsiTheme="majorBidi" w:cs="Times New Roman"/>
          <w:highlight w:val="yellow"/>
          <w:u w:val="single"/>
        </w:rPr>
        <w:t>Changes in Israeli law since completion of the dissertation</w:t>
      </w:r>
    </w:p>
    <w:p w14:paraId="71536DFA" w14:textId="01D6C879" w:rsidR="00972806" w:rsidRPr="00972806" w:rsidRDefault="00972806" w:rsidP="00067EED">
      <w:pPr>
        <w:bidi w:val="0"/>
        <w:spacing w:after="0" w:line="360" w:lineRule="auto"/>
        <w:jc w:val="both"/>
        <w:rPr>
          <w:rFonts w:asciiTheme="majorBidi" w:eastAsia="Times New Roman" w:hAnsiTheme="majorBidi" w:cs="Times New Roman"/>
        </w:rPr>
      </w:pPr>
      <w:r w:rsidRPr="00972806">
        <w:rPr>
          <w:rFonts w:asciiTheme="majorBidi" w:eastAsia="Times New Roman" w:hAnsiTheme="majorBidi" w:cs="Times New Roman"/>
        </w:rPr>
        <w:t>Since completing the dissertation,</w:t>
      </w:r>
      <w:r w:rsidR="00BC2A1E">
        <w:rPr>
          <w:rFonts w:asciiTheme="majorBidi" w:eastAsia="Times New Roman" w:hAnsiTheme="majorBidi" w:cs="Times New Roman"/>
        </w:rPr>
        <w:t xml:space="preserve"> (</w:t>
      </w:r>
      <w:r w:rsidR="00BC2A1E" w:rsidRPr="00BC2A1E">
        <w:rPr>
          <w:rFonts w:asciiTheme="majorBidi" w:eastAsia="Times New Roman" w:hAnsiTheme="majorBidi" w:cs="Times New Roman"/>
          <w:highlight w:val="yellow"/>
        </w:rPr>
        <w:t xml:space="preserve">moderate yet </w:t>
      </w:r>
      <w:r w:rsidR="00BC2A1E" w:rsidRPr="00067EED">
        <w:rPr>
          <w:rFonts w:asciiTheme="majorBidi" w:eastAsia="Times New Roman" w:hAnsiTheme="majorBidi" w:cs="Times New Roman"/>
          <w:highlight w:val="yellow"/>
        </w:rPr>
        <w:t>significant</w:t>
      </w:r>
      <w:r w:rsidR="00067EED" w:rsidRPr="00067EED">
        <w:rPr>
          <w:rFonts w:asciiTheme="majorBidi" w:eastAsia="Times New Roman" w:hAnsiTheme="majorBidi" w:cs="Times New Roman"/>
          <w:highlight w:val="yellow"/>
        </w:rPr>
        <w:t xml:space="preserve"> changes have taken place</w:t>
      </w:r>
      <w:r w:rsidR="00BC2A1E">
        <w:rPr>
          <w:rFonts w:asciiTheme="majorBidi" w:eastAsia="Times New Roman" w:hAnsiTheme="majorBidi" w:cs="Times New Roman"/>
        </w:rPr>
        <w:t>)</w:t>
      </w:r>
      <w:r w:rsidRPr="00972806">
        <w:rPr>
          <w:rFonts w:asciiTheme="majorBidi" w:eastAsia="Times New Roman" w:hAnsiTheme="majorBidi" w:cs="Times New Roman"/>
        </w:rPr>
        <w:t xml:space="preserve"> </w:t>
      </w:r>
      <w:commentRangeStart w:id="0"/>
      <w:r w:rsidRPr="00972806">
        <w:rPr>
          <w:rFonts w:asciiTheme="majorBidi" w:eastAsia="Times New Roman" w:hAnsiTheme="majorBidi" w:cs="Times New Roman"/>
        </w:rPr>
        <w:t xml:space="preserve">changes in Israeli law as to evidence </w:t>
      </w:r>
      <w:r w:rsidR="00067EED">
        <w:rPr>
          <w:rFonts w:asciiTheme="majorBidi" w:eastAsia="Times New Roman" w:hAnsiTheme="majorBidi" w:cs="Times New Roman"/>
        </w:rPr>
        <w:t xml:space="preserve">has </w:t>
      </w:r>
      <w:r w:rsidRPr="00972806">
        <w:rPr>
          <w:rFonts w:asciiTheme="majorBidi" w:eastAsia="Times New Roman" w:hAnsiTheme="majorBidi" w:cs="Times New Roman"/>
        </w:rPr>
        <w:t>been enacted</w:t>
      </w:r>
      <w:commentRangeEnd w:id="0"/>
      <w:r w:rsidR="00067EED">
        <w:rPr>
          <w:rStyle w:val="CommentReference"/>
        </w:rPr>
        <w:commentReference w:id="0"/>
      </w:r>
      <w:r w:rsidRPr="00972806">
        <w:rPr>
          <w:rFonts w:asciiTheme="majorBidi" w:eastAsia="Times New Roman" w:hAnsiTheme="majorBidi" w:cs="Times New Roman"/>
        </w:rPr>
        <w:t xml:space="preserve">.  This past year,  the Justice Minister has appointed a public committee chaired by (retired) Supreme Court Justice </w:t>
      </w:r>
      <w:proofErr w:type="spellStart"/>
      <w:r w:rsidRPr="00972806">
        <w:rPr>
          <w:rFonts w:asciiTheme="majorBidi" w:eastAsia="Times New Roman" w:hAnsiTheme="majorBidi" w:cs="Times New Roman"/>
        </w:rPr>
        <w:t>Yoram</w:t>
      </w:r>
      <w:proofErr w:type="spellEnd"/>
      <w:r w:rsidRPr="00972806">
        <w:rPr>
          <w:rFonts w:asciiTheme="majorBidi" w:eastAsia="Times New Roman" w:hAnsiTheme="majorBidi" w:cs="Times New Roman"/>
        </w:rPr>
        <w:t xml:space="preserve"> </w:t>
      </w:r>
      <w:proofErr w:type="spellStart"/>
      <w:r w:rsidRPr="00972806">
        <w:rPr>
          <w:rFonts w:asciiTheme="majorBidi" w:eastAsia="Times New Roman" w:hAnsiTheme="majorBidi" w:cs="Times New Roman"/>
        </w:rPr>
        <w:t>Danziger</w:t>
      </w:r>
      <w:proofErr w:type="spellEnd"/>
      <w:r w:rsidRPr="00972806">
        <w:rPr>
          <w:rFonts w:asciiTheme="majorBidi" w:eastAsia="Times New Roman" w:hAnsiTheme="majorBidi" w:cs="Times New Roman"/>
        </w:rPr>
        <w:t xml:space="preserve"> to examine and correct false convictions.</w:t>
      </w:r>
      <w:bookmarkStart w:id="1" w:name="_GoBack"/>
      <w:bookmarkEnd w:id="1"/>
    </w:p>
    <w:p w14:paraId="28AF089B" w14:textId="77777777" w:rsidR="00972806" w:rsidRDefault="00972806" w:rsidP="001C1A82">
      <w:pPr>
        <w:bidi w:val="0"/>
        <w:spacing w:before="240" w:after="0" w:line="360" w:lineRule="auto"/>
        <w:jc w:val="both"/>
        <w:rPr>
          <w:rFonts w:asciiTheme="majorBidi" w:eastAsia="Times New Roman" w:hAnsiTheme="majorBidi" w:cs="Times New Roman"/>
        </w:rPr>
      </w:pPr>
      <w:r w:rsidRPr="00972806">
        <w:rPr>
          <w:rFonts w:asciiTheme="majorBidi" w:eastAsia="Times New Roman" w:hAnsiTheme="majorBidi" w:cs="Times New Roman"/>
        </w:rPr>
        <w:t xml:space="preserve">The first topic chosen by the committee is the failure to identify and I had the honor of appearing before the committee and presenting them with my findings. </w:t>
      </w:r>
      <w:r w:rsidR="00BC2A1E" w:rsidRPr="00BC2A1E">
        <w:rPr>
          <w:rFonts w:asciiTheme="majorBidi" w:eastAsia="Times New Roman" w:hAnsiTheme="majorBidi" w:cs="Times New Roman"/>
          <w:highlight w:val="yellow"/>
        </w:rPr>
        <w:t>Recently (on September 2, 2019)</w:t>
      </w:r>
      <w:r w:rsidR="00BC2A1E">
        <w:rPr>
          <w:rFonts w:asciiTheme="majorBidi" w:eastAsia="Times New Roman" w:hAnsiTheme="majorBidi" w:cs="Times New Roman"/>
        </w:rPr>
        <w:t xml:space="preserve"> the</w:t>
      </w:r>
      <w:r w:rsidRPr="00972806">
        <w:rPr>
          <w:rFonts w:asciiTheme="majorBidi" w:eastAsia="Times New Roman" w:hAnsiTheme="majorBidi" w:cs="Times New Roman"/>
        </w:rPr>
        <w:t xml:space="preserve"> Commission published its interim report</w:t>
      </w:r>
      <w:r w:rsidRPr="00972806">
        <w:rPr>
          <w:rFonts w:asciiTheme="majorBidi" w:eastAsia="Times New Roman" w:hAnsiTheme="majorBidi" w:cs="Times New Roman"/>
          <w:vertAlign w:val="superscript"/>
        </w:rPr>
        <w:footnoteReference w:id="4"/>
      </w:r>
      <w:r w:rsidRPr="00972806">
        <w:rPr>
          <w:rFonts w:asciiTheme="majorBidi" w:eastAsia="Times New Roman" w:hAnsiTheme="majorBidi" w:cs="Times New Roman"/>
        </w:rPr>
        <w:t>, in which most of my suggestions were integrated regarding necessary changes in police work and the need to change police internal procedures. While the Commission has not yet accepted my final proposal to regulate the issue of identification in primary legislation, it is also clear that its recommendations in the interim report are an important step toward changing and correcting potential false convictions as a result of the courts' practice of single-identification evidence</w:t>
      </w:r>
      <w:r w:rsidR="001C1A82">
        <w:rPr>
          <w:rFonts w:asciiTheme="majorBidi" w:eastAsia="Times New Roman" w:hAnsiTheme="majorBidi" w:cs="Times New Roman"/>
        </w:rPr>
        <w:t>.</w:t>
      </w:r>
    </w:p>
    <w:p w14:paraId="5DE9F4A7" w14:textId="5B689543" w:rsidR="001C1A82" w:rsidRDefault="001C1A82" w:rsidP="00F22C8A">
      <w:pPr>
        <w:bidi w:val="0"/>
        <w:spacing w:before="240" w:after="0" w:line="360" w:lineRule="auto"/>
        <w:jc w:val="both"/>
        <w:rPr>
          <w:rFonts w:asciiTheme="majorBidi" w:eastAsia="Times New Roman" w:hAnsiTheme="majorBidi" w:cs="Times New Roman"/>
          <w:highlight w:val="yellow"/>
        </w:rPr>
      </w:pPr>
      <w:r w:rsidRPr="001C1A82">
        <w:rPr>
          <w:rFonts w:asciiTheme="majorBidi" w:eastAsia="Times New Roman" w:hAnsiTheme="majorBidi" w:cs="Times New Roman"/>
          <w:highlight w:val="yellow"/>
        </w:rPr>
        <w:t xml:space="preserve">A preliminary review of the </w:t>
      </w:r>
      <w:proofErr w:type="spellStart"/>
      <w:r>
        <w:rPr>
          <w:rFonts w:asciiTheme="majorBidi" w:eastAsia="Times New Roman" w:hAnsiTheme="majorBidi" w:cs="Times New Roman"/>
          <w:highlight w:val="yellow"/>
        </w:rPr>
        <w:t>Danziger</w:t>
      </w:r>
      <w:proofErr w:type="spellEnd"/>
      <w:r>
        <w:rPr>
          <w:rFonts w:asciiTheme="majorBidi" w:eastAsia="Times New Roman" w:hAnsiTheme="majorBidi" w:cs="Times New Roman"/>
          <w:highlight w:val="yellow"/>
        </w:rPr>
        <w:t xml:space="preserve"> Commission's interim report indicates that</w:t>
      </w:r>
      <w:r w:rsidR="00F22C8A">
        <w:rPr>
          <w:rFonts w:asciiTheme="majorBidi" w:eastAsia="Times New Roman" w:hAnsiTheme="majorBidi" w:cs="Times New Roman"/>
          <w:highlight w:val="yellow"/>
        </w:rPr>
        <w:t xml:space="preserve">—after conducting </w:t>
      </w:r>
      <w:r>
        <w:rPr>
          <w:rFonts w:asciiTheme="majorBidi" w:eastAsia="Times New Roman" w:hAnsiTheme="majorBidi" w:cs="Times New Roman"/>
          <w:highlight w:val="yellow"/>
        </w:rPr>
        <w:t xml:space="preserve">many sessions in which it heard from renowned experts </w:t>
      </w:r>
      <w:r w:rsidR="00E71564">
        <w:rPr>
          <w:rFonts w:asciiTheme="majorBidi" w:eastAsia="Times New Roman" w:hAnsiTheme="majorBidi" w:cs="Times New Roman"/>
          <w:highlight w:val="yellow"/>
        </w:rPr>
        <w:t>on</w:t>
      </w:r>
      <w:r>
        <w:rPr>
          <w:rFonts w:asciiTheme="majorBidi" w:eastAsia="Times New Roman" w:hAnsiTheme="majorBidi" w:cs="Times New Roman"/>
          <w:highlight w:val="yellow"/>
        </w:rPr>
        <w:t xml:space="preserve"> eyewitness testimony and identification evidence</w:t>
      </w:r>
      <w:r w:rsidR="00F22C8A">
        <w:rPr>
          <w:rFonts w:asciiTheme="majorBidi" w:eastAsia="Times New Roman" w:hAnsiTheme="majorBidi" w:cs="Times New Roman"/>
          <w:highlight w:val="yellow"/>
        </w:rPr>
        <w:t xml:space="preserve"> and from</w:t>
      </w:r>
      <w:r>
        <w:rPr>
          <w:rFonts w:asciiTheme="majorBidi" w:eastAsia="Times New Roman" w:hAnsiTheme="majorBidi" w:cs="Times New Roman"/>
          <w:highlight w:val="yellow"/>
        </w:rPr>
        <w:t xml:space="preserve"> representatives of the Israel Police who routinely handle such testimon</w:t>
      </w:r>
      <w:r w:rsidR="00F22C8A">
        <w:rPr>
          <w:rFonts w:asciiTheme="majorBidi" w:eastAsia="Times New Roman" w:hAnsiTheme="majorBidi" w:cs="Times New Roman"/>
          <w:highlight w:val="yellow"/>
        </w:rPr>
        <w:t>ies and evidence—</w:t>
      </w:r>
      <w:r w:rsidR="00F22C8A">
        <w:rPr>
          <w:rFonts w:asciiTheme="majorBidi" w:eastAsia="Times New Roman" w:hAnsiTheme="majorBidi" w:cs="Times New Roman"/>
          <w:highlight w:val="yellow"/>
        </w:rPr>
        <w:t>the Commission</w:t>
      </w:r>
      <w:r w:rsidR="00F22C8A">
        <w:rPr>
          <w:rFonts w:asciiTheme="majorBidi" w:eastAsia="Times New Roman" w:hAnsiTheme="majorBidi" w:cs="Times New Roman"/>
          <w:highlight w:val="yellow"/>
        </w:rPr>
        <w:t xml:space="preserve"> </w:t>
      </w:r>
      <w:r>
        <w:rPr>
          <w:rFonts w:asciiTheme="majorBidi" w:eastAsia="Times New Roman" w:hAnsiTheme="majorBidi" w:cs="Times New Roman"/>
          <w:highlight w:val="yellow"/>
        </w:rPr>
        <w:t>found that identification evidence should be regarded with</w:t>
      </w:r>
      <w:r w:rsidR="007A7CD3">
        <w:rPr>
          <w:rFonts w:asciiTheme="majorBidi" w:eastAsia="Times New Roman" w:hAnsiTheme="majorBidi" w:cs="Times New Roman"/>
          <w:highlight w:val="yellow"/>
        </w:rPr>
        <w:t xml:space="preserve"> extreme </w:t>
      </w:r>
      <w:r>
        <w:rPr>
          <w:rFonts w:asciiTheme="majorBidi" w:eastAsia="Times New Roman" w:hAnsiTheme="majorBidi" w:cs="Times New Roman"/>
          <w:highlight w:val="yellow"/>
        </w:rPr>
        <w:t>caution and granted little weight. The Commission further found that a defendant should not be convicted</w:t>
      </w:r>
      <w:r w:rsidR="00E71564">
        <w:rPr>
          <w:rFonts w:asciiTheme="majorBidi" w:eastAsia="Times New Roman" w:hAnsiTheme="majorBidi" w:cs="Times New Roman"/>
          <w:highlight w:val="yellow"/>
        </w:rPr>
        <w:t xml:space="preserve"> solely on the basis of a single identification, and that identification should only be granted the weight of supplementary evidence.</w:t>
      </w:r>
    </w:p>
    <w:p w14:paraId="735B9C68" w14:textId="49BF21A3" w:rsidR="00972806" w:rsidRDefault="007F6809" w:rsidP="009109EC">
      <w:pPr>
        <w:bidi w:val="0"/>
        <w:spacing w:before="240" w:after="0" w:line="360" w:lineRule="auto"/>
        <w:jc w:val="both"/>
        <w:rPr>
          <w:rFonts w:asciiTheme="majorBidi" w:eastAsia="Times New Roman" w:hAnsiTheme="majorBidi" w:cs="Times New Roman"/>
          <w:b/>
          <w:bCs/>
        </w:rPr>
      </w:pPr>
      <w:r>
        <w:rPr>
          <w:rFonts w:asciiTheme="majorBidi" w:eastAsia="Times New Roman" w:hAnsiTheme="majorBidi" w:cs="Times New Roman"/>
          <w:highlight w:val="yellow"/>
        </w:rPr>
        <w:t xml:space="preserve">In addition, the </w:t>
      </w:r>
      <w:r w:rsidR="00E71564">
        <w:rPr>
          <w:rFonts w:asciiTheme="majorBidi" w:eastAsia="Times New Roman" w:hAnsiTheme="majorBidi" w:cs="Times New Roman"/>
          <w:highlight w:val="yellow"/>
        </w:rPr>
        <w:t xml:space="preserve">preliminary review </w:t>
      </w:r>
      <w:r>
        <w:rPr>
          <w:rFonts w:asciiTheme="majorBidi" w:eastAsia="Times New Roman" w:hAnsiTheme="majorBidi" w:cs="Times New Roman"/>
          <w:highlight w:val="yellow"/>
        </w:rPr>
        <w:t xml:space="preserve">of the Commission's report indicates that the Commission concluded that the time is ripe for change in all aspects of the approach to identification evidence. Its conclusion was based in part on the insights I </w:t>
      </w:r>
      <w:r w:rsidR="009109EC">
        <w:rPr>
          <w:rFonts w:asciiTheme="majorBidi" w:eastAsia="Times New Roman" w:hAnsiTheme="majorBidi" w:cs="Times New Roman"/>
          <w:highlight w:val="yellow"/>
        </w:rPr>
        <w:t>presented</w:t>
      </w:r>
      <w:r>
        <w:rPr>
          <w:rFonts w:asciiTheme="majorBidi" w:eastAsia="Times New Roman" w:hAnsiTheme="majorBidi" w:cs="Times New Roman"/>
          <w:highlight w:val="yellow"/>
        </w:rPr>
        <w:t xml:space="preserve"> in </w:t>
      </w:r>
      <w:r w:rsidRPr="007F6809">
        <w:rPr>
          <w:rFonts w:asciiTheme="majorBidi" w:eastAsia="Times New Roman" w:hAnsiTheme="majorBidi" w:cs="Times New Roman"/>
        </w:rPr>
        <w:t>my doctoral dissertation</w:t>
      </w:r>
      <w:r>
        <w:rPr>
          <w:rFonts w:asciiTheme="majorBidi" w:eastAsia="Times New Roman" w:hAnsiTheme="majorBidi" w:cs="Times New Roman"/>
        </w:rPr>
        <w:t xml:space="preserve"> </w:t>
      </w:r>
      <w:r w:rsidR="00D76D8A">
        <w:rPr>
          <w:rFonts w:asciiTheme="majorBidi" w:eastAsia="Times New Roman" w:hAnsiTheme="majorBidi" w:cs="Times New Roman"/>
        </w:rPr>
        <w:t>f</w:t>
      </w:r>
      <w:r w:rsidR="00C226CA">
        <w:rPr>
          <w:rFonts w:asciiTheme="majorBidi" w:eastAsia="Times New Roman" w:hAnsiTheme="majorBidi" w:cs="Times New Roman"/>
        </w:rPr>
        <w:t>rom t</w:t>
      </w:r>
      <w:r w:rsidR="00972806" w:rsidRPr="00972806">
        <w:rPr>
          <w:rFonts w:asciiTheme="majorBidi" w:eastAsia="Times New Roman" w:hAnsiTheme="majorBidi" w:cs="Times New Roman"/>
        </w:rPr>
        <w:t xml:space="preserve">he dramatic data that was presented as part of </w:t>
      </w:r>
      <w:r w:rsidR="00972806" w:rsidRPr="00972806">
        <w:rPr>
          <w:rFonts w:asciiTheme="majorBidi" w:eastAsia="Times New Roman" w:hAnsiTheme="majorBidi" w:cs="Times New Roman"/>
          <w:b/>
          <w:bCs/>
        </w:rPr>
        <w:t>the Innocence Project</w:t>
      </w:r>
      <w:r w:rsidR="00972806" w:rsidRPr="00972806">
        <w:rPr>
          <w:rFonts w:asciiTheme="majorBidi" w:eastAsia="Times New Roman" w:hAnsiTheme="majorBidi" w:cs="Times New Roman"/>
        </w:rPr>
        <w:t xml:space="preserve"> in the United States, and the insights in </w:t>
      </w:r>
      <w:r w:rsidR="00972806" w:rsidRPr="008A7219">
        <w:rPr>
          <w:rFonts w:asciiTheme="majorBidi" w:eastAsia="Times New Roman" w:hAnsiTheme="majorBidi" w:cs="Times New Roman"/>
          <w:b/>
          <w:bCs/>
        </w:rPr>
        <w:t>Simon’s</w:t>
      </w:r>
      <w:r w:rsidR="00972806" w:rsidRPr="00972806">
        <w:rPr>
          <w:rFonts w:asciiTheme="majorBidi" w:eastAsia="Times New Roman" w:hAnsiTheme="majorBidi" w:cs="Times New Roman"/>
        </w:rPr>
        <w:t xml:space="preserve"> inspirational book </w:t>
      </w:r>
      <w:r w:rsidR="00972806" w:rsidRPr="00972806">
        <w:rPr>
          <w:rFonts w:asciiTheme="majorBidi" w:eastAsia="Times New Roman" w:hAnsiTheme="majorBidi" w:cs="Times New Roman"/>
          <w:b/>
          <w:bCs/>
          <w:i/>
          <w:iCs/>
        </w:rPr>
        <w:t>In Doubt: The Psychology of the Criminal Justice Process</w:t>
      </w:r>
      <w:r w:rsidR="00972806" w:rsidRPr="00972806">
        <w:rPr>
          <w:rFonts w:asciiTheme="majorBidi" w:eastAsia="Times New Roman" w:hAnsiTheme="majorBidi" w:cs="Times New Roman"/>
        </w:rPr>
        <w:t xml:space="preserve"> </w:t>
      </w:r>
      <w:r w:rsidR="00827379">
        <w:rPr>
          <w:rStyle w:val="FootnoteReference"/>
          <w:rFonts w:asciiTheme="majorBidi" w:eastAsia="Times New Roman" w:hAnsiTheme="majorBidi" w:cs="Times New Roman"/>
        </w:rPr>
        <w:footnoteReference w:id="5"/>
      </w:r>
      <w:r w:rsidR="00972806" w:rsidRPr="00972806">
        <w:rPr>
          <w:rFonts w:asciiTheme="majorBidi" w:eastAsia="Times New Roman" w:hAnsiTheme="majorBidi" w:cs="Times New Roman"/>
        </w:rPr>
        <w:t xml:space="preserve">regarding the inherent difficulties in the manner in which investigators are often influenced by biases and trapped by mistaken conceptions with regard the identification evidence  primarily on matters relating to the decision regarding the type </w:t>
      </w:r>
      <w:r w:rsidR="00972806" w:rsidRPr="00972806">
        <w:rPr>
          <w:rFonts w:asciiTheme="majorBidi" w:eastAsia="Times New Roman" w:hAnsiTheme="majorBidi" w:cs="Times New Roman"/>
        </w:rPr>
        <w:lastRenderedPageBreak/>
        <w:t>of lineup used, the manner in which it is conducted, and the behavior of those conducting the lineup at the time</w:t>
      </w:r>
      <w:r w:rsidR="00972806" w:rsidRPr="00972806">
        <w:rPr>
          <w:rFonts w:asciiTheme="majorBidi" w:eastAsia="Times New Roman" w:hAnsiTheme="majorBidi" w:cs="Times New Roman"/>
          <w:b/>
          <w:bCs/>
        </w:rPr>
        <w:t>.</w:t>
      </w:r>
    </w:p>
    <w:p w14:paraId="1C8C37A5" w14:textId="30129B59" w:rsidR="00337B5E" w:rsidRPr="00972806" w:rsidRDefault="007F6809" w:rsidP="00756621">
      <w:pPr>
        <w:bidi w:val="0"/>
        <w:spacing w:before="240" w:after="0" w:line="360" w:lineRule="auto"/>
        <w:jc w:val="both"/>
        <w:rPr>
          <w:rFonts w:asciiTheme="majorBidi" w:eastAsia="Times New Roman" w:hAnsiTheme="majorBidi" w:cs="Times New Roman"/>
          <w:color w:val="FF0000"/>
        </w:rPr>
      </w:pPr>
      <w:r w:rsidRPr="007F6809">
        <w:rPr>
          <w:rFonts w:asciiTheme="majorBidi" w:eastAsia="Times New Roman" w:hAnsiTheme="majorBidi" w:cs="Times New Roman"/>
          <w:highlight w:val="yellow"/>
        </w:rPr>
        <w:t>In the spirit of</w:t>
      </w:r>
      <w:r w:rsidR="007A7CD3">
        <w:rPr>
          <w:rFonts w:asciiTheme="majorBidi" w:eastAsia="Times New Roman" w:hAnsiTheme="majorBidi" w:cs="Times New Roman"/>
          <w:highlight w:val="yellow"/>
        </w:rPr>
        <w:t xml:space="preserve"> the aforementioned</w:t>
      </w:r>
      <w:r w:rsidRPr="007F6809">
        <w:rPr>
          <w:rFonts w:asciiTheme="majorBidi" w:eastAsia="Times New Roman" w:hAnsiTheme="majorBidi" w:cs="Times New Roman"/>
          <w:highlight w:val="yellow"/>
        </w:rPr>
        <w:t>, the Commission</w:t>
      </w:r>
      <w:r w:rsidR="007A7CD3">
        <w:rPr>
          <w:rFonts w:asciiTheme="majorBidi" w:eastAsia="Times New Roman" w:hAnsiTheme="majorBidi" w:cs="Times New Roman"/>
          <w:highlight w:val="yellow"/>
        </w:rPr>
        <w:t xml:space="preserve"> found </w:t>
      </w:r>
      <w:r w:rsidR="00337B5E">
        <w:rPr>
          <w:rFonts w:asciiTheme="majorBidi" w:eastAsia="Times New Roman" w:hAnsiTheme="majorBidi" w:cs="Times New Roman"/>
          <w:highlight w:val="yellow"/>
        </w:rPr>
        <w:t xml:space="preserve">that </w:t>
      </w:r>
      <w:r w:rsidR="007A7CD3">
        <w:rPr>
          <w:rFonts w:asciiTheme="majorBidi" w:eastAsia="Times New Roman" w:hAnsiTheme="majorBidi" w:cs="Times New Roman"/>
          <w:highlight w:val="yellow"/>
        </w:rPr>
        <w:t xml:space="preserve">the investigatory unit </w:t>
      </w:r>
      <w:r w:rsidR="00337B5E">
        <w:rPr>
          <w:rFonts w:asciiTheme="majorBidi" w:eastAsia="Times New Roman" w:hAnsiTheme="majorBidi" w:cs="Times New Roman"/>
          <w:highlight w:val="yellow"/>
        </w:rPr>
        <w:t xml:space="preserve">should be instructed </w:t>
      </w:r>
      <w:r w:rsidR="007A7CD3">
        <w:rPr>
          <w:rFonts w:asciiTheme="majorBidi" w:eastAsia="Times New Roman" w:hAnsiTheme="majorBidi" w:cs="Times New Roman"/>
          <w:highlight w:val="yellow"/>
        </w:rPr>
        <w:t xml:space="preserve">to </w:t>
      </w:r>
      <w:r w:rsidR="00756621">
        <w:rPr>
          <w:rFonts w:asciiTheme="majorBidi" w:eastAsia="Times New Roman" w:hAnsiTheme="majorBidi" w:cs="Times New Roman"/>
          <w:highlight w:val="yellow"/>
        </w:rPr>
        <w:t>give utmost</w:t>
      </w:r>
      <w:r w:rsidR="007A7CD3">
        <w:rPr>
          <w:rFonts w:asciiTheme="majorBidi" w:eastAsia="Times New Roman" w:hAnsiTheme="majorBidi" w:cs="Times New Roman"/>
          <w:highlight w:val="yellow"/>
        </w:rPr>
        <w:t xml:space="preserve"> consideration</w:t>
      </w:r>
      <w:r w:rsidR="00337B5E">
        <w:rPr>
          <w:rFonts w:asciiTheme="majorBidi" w:eastAsia="Times New Roman" w:hAnsiTheme="majorBidi" w:cs="Times New Roman"/>
          <w:highlight w:val="yellow"/>
        </w:rPr>
        <w:t xml:space="preserve"> </w:t>
      </w:r>
      <w:r w:rsidR="00756621">
        <w:rPr>
          <w:rFonts w:asciiTheme="majorBidi" w:eastAsia="Times New Roman" w:hAnsiTheme="majorBidi" w:cs="Times New Roman"/>
          <w:highlight w:val="yellow"/>
        </w:rPr>
        <w:t xml:space="preserve">to the </w:t>
      </w:r>
      <w:r w:rsidR="007A7CD3" w:rsidRPr="00EB7173">
        <w:rPr>
          <w:rFonts w:asciiTheme="majorBidi" w:eastAsia="Times New Roman" w:hAnsiTheme="majorBidi" w:cs="Times New Roman"/>
          <w:b/>
          <w:bCs/>
          <w:highlight w:val="yellow"/>
        </w:rPr>
        <w:t>systemic variables</w:t>
      </w:r>
      <w:r w:rsidR="007A7CD3">
        <w:rPr>
          <w:rFonts w:asciiTheme="majorBidi" w:eastAsia="Times New Roman" w:hAnsiTheme="majorBidi" w:cs="Times New Roman"/>
          <w:highlight w:val="yellow"/>
        </w:rPr>
        <w:t xml:space="preserve"> within its own control</w:t>
      </w:r>
      <w:r w:rsidR="00756621">
        <w:rPr>
          <w:rFonts w:asciiTheme="majorBidi" w:eastAsia="Times New Roman" w:hAnsiTheme="majorBidi" w:cs="Times New Roman"/>
          <w:highlight w:val="yellow"/>
        </w:rPr>
        <w:t>, to which I referred in my research, and which</w:t>
      </w:r>
      <w:r w:rsidR="00337B5E">
        <w:rPr>
          <w:rFonts w:asciiTheme="majorBidi" w:eastAsia="Times New Roman" w:hAnsiTheme="majorBidi" w:cs="Times New Roman"/>
          <w:highlight w:val="yellow"/>
        </w:rPr>
        <w:t xml:space="preserve"> could </w:t>
      </w:r>
      <w:r w:rsidR="00756621">
        <w:rPr>
          <w:rFonts w:asciiTheme="majorBidi" w:eastAsia="Times New Roman" w:hAnsiTheme="majorBidi" w:cs="Times New Roman"/>
          <w:highlight w:val="yellow"/>
        </w:rPr>
        <w:t xml:space="preserve">potentially </w:t>
      </w:r>
      <w:r w:rsidR="00337B5E">
        <w:rPr>
          <w:rFonts w:asciiTheme="majorBidi" w:eastAsia="Times New Roman" w:hAnsiTheme="majorBidi" w:cs="Times New Roman"/>
          <w:highlight w:val="yellow"/>
        </w:rPr>
        <w:t>reduce the evidentiary value of identification evidence</w:t>
      </w:r>
      <w:r w:rsidR="007A7CD3">
        <w:rPr>
          <w:rFonts w:asciiTheme="majorBidi" w:eastAsia="Times New Roman" w:hAnsiTheme="majorBidi" w:cs="Times New Roman"/>
          <w:highlight w:val="yellow"/>
        </w:rPr>
        <w:t>,</w:t>
      </w:r>
      <w:r w:rsidR="00337B5E">
        <w:rPr>
          <w:rFonts w:asciiTheme="majorBidi" w:eastAsia="Times New Roman" w:hAnsiTheme="majorBidi" w:cs="Times New Roman"/>
          <w:highlight w:val="yellow"/>
        </w:rPr>
        <w:t xml:space="preserve"> including:</w:t>
      </w:r>
      <w:r w:rsidR="00972806" w:rsidRPr="008700E2">
        <w:rPr>
          <w:rFonts w:asciiTheme="majorBidi" w:eastAsia="Times New Roman" w:hAnsiTheme="majorBidi" w:cs="Times New Roman"/>
        </w:rPr>
        <w:t xml:space="preserve"> the type of lineup that the investigatory unit uses; the awareness of the policeman in charge of conducting the lineup as to the identity of the suspect and his/her placement in the lineup; whether the policeman in charge has given instructions or warnings to the identifying witness (prior to the lineup and during the course of it) the significance of feedback given to the identifying witness (prior, during or after); the number of people, suspects, and identifying witnesses taking part in the lineup; documentation of the lineup by the investigatory unit; the level of confidence the identifying witness expresses and how it is documented by the investigatory unit.  One of the many resulting recommendations is to require the investigatory unit to include these variables in its report of the lineup.</w:t>
      </w:r>
    </w:p>
    <w:p w14:paraId="4A3F8424" w14:textId="43CC514D" w:rsidR="00B81C42" w:rsidRPr="000C1EE4" w:rsidRDefault="00B81C42" w:rsidP="000C1EE4">
      <w:pPr>
        <w:bidi w:val="0"/>
        <w:spacing w:before="100" w:beforeAutospacing="1" w:after="100" w:afterAutospacing="1" w:line="360" w:lineRule="auto"/>
        <w:jc w:val="both"/>
        <w:rPr>
          <w:rFonts w:ascii="Times New Roman" w:eastAsia="Times New Roman" w:hAnsi="Times New Roman" w:cs="Times New Roman"/>
          <w:color w:val="FF0000"/>
          <w:highlight w:val="yellow"/>
        </w:rPr>
      </w:pPr>
      <w:r w:rsidRPr="000C1EE4">
        <w:rPr>
          <w:rFonts w:ascii="Times New Roman" w:eastAsia="Times New Roman" w:hAnsi="Times New Roman" w:cs="Times New Roman"/>
          <w:color w:val="FF0000"/>
          <w:highlight w:val="yellow"/>
        </w:rPr>
        <w:t xml:space="preserve">One of the Commission's significant recommendations in this context is not to rely </w:t>
      </w:r>
      <w:r w:rsidR="008C1FCE">
        <w:rPr>
          <w:rFonts w:ascii="Times New Roman" w:eastAsia="Times New Roman" w:hAnsi="Times New Roman" w:cs="Times New Roman"/>
          <w:color w:val="FF0000"/>
          <w:highlight w:val="yellow"/>
        </w:rPr>
        <w:t xml:space="preserve">solely </w:t>
      </w:r>
      <w:r w:rsidR="000C1EE4">
        <w:rPr>
          <w:rFonts w:ascii="Times New Roman" w:eastAsia="Times New Roman" w:hAnsi="Times New Roman" w:cs="Times New Roman"/>
          <w:color w:val="FF0000"/>
          <w:highlight w:val="yellow"/>
        </w:rPr>
        <w:t xml:space="preserve">on </w:t>
      </w:r>
      <w:r w:rsidR="008C1FCE">
        <w:rPr>
          <w:rFonts w:ascii="Times New Roman" w:eastAsia="Times New Roman" w:hAnsi="Times New Roman" w:cs="Times New Roman"/>
          <w:color w:val="FF0000"/>
          <w:highlight w:val="yellow"/>
        </w:rPr>
        <w:t xml:space="preserve">a </w:t>
      </w:r>
      <w:r w:rsidR="000C1EE4">
        <w:rPr>
          <w:rFonts w:ascii="Times New Roman" w:eastAsia="Times New Roman" w:hAnsi="Times New Roman" w:cs="Times New Roman"/>
          <w:color w:val="FF0000"/>
          <w:highlight w:val="yellow"/>
        </w:rPr>
        <w:t>single</w:t>
      </w:r>
      <w:r w:rsidRPr="000C1EE4">
        <w:rPr>
          <w:rFonts w:ascii="Times New Roman" w:eastAsia="Times New Roman" w:hAnsi="Times New Roman" w:cs="Times New Roman"/>
          <w:color w:val="FF0000"/>
          <w:highlight w:val="yellow"/>
        </w:rPr>
        <w:t xml:space="preserve"> </w:t>
      </w:r>
      <w:r w:rsidR="008C1FCE">
        <w:rPr>
          <w:rFonts w:ascii="Times New Roman" w:eastAsia="Times New Roman" w:hAnsi="Times New Roman" w:cs="Times New Roman"/>
          <w:color w:val="FF0000"/>
          <w:highlight w:val="yellow"/>
        </w:rPr>
        <w:t xml:space="preserve">piece of </w:t>
      </w:r>
      <w:r w:rsidRPr="000C1EE4">
        <w:rPr>
          <w:rFonts w:ascii="Times New Roman" w:eastAsia="Times New Roman" w:hAnsi="Times New Roman" w:cs="Times New Roman"/>
          <w:color w:val="FF0000"/>
          <w:highlight w:val="yellow"/>
        </w:rPr>
        <w:t xml:space="preserve">identification </w:t>
      </w:r>
      <w:r w:rsidR="000C1EE4">
        <w:rPr>
          <w:rFonts w:ascii="Times New Roman" w:eastAsia="Times New Roman" w:hAnsi="Times New Roman" w:cs="Times New Roman"/>
          <w:color w:val="FF0000"/>
          <w:highlight w:val="yellow"/>
        </w:rPr>
        <w:t xml:space="preserve">evidence </w:t>
      </w:r>
      <w:r w:rsidRPr="000C1EE4">
        <w:rPr>
          <w:rFonts w:ascii="Times New Roman" w:eastAsia="Times New Roman" w:hAnsi="Times New Roman" w:cs="Times New Roman"/>
          <w:color w:val="FF0000"/>
          <w:highlight w:val="yellow"/>
        </w:rPr>
        <w:t>obtained</w:t>
      </w:r>
      <w:r w:rsidR="00EB7173" w:rsidRPr="000C1EE4">
        <w:rPr>
          <w:rFonts w:ascii="Times New Roman" w:eastAsia="Times New Roman" w:hAnsi="Times New Roman" w:cs="Times New Roman"/>
          <w:color w:val="FF0000"/>
          <w:highlight w:val="yellow"/>
        </w:rPr>
        <w:t xml:space="preserve"> by reviewing a mugshot album.</w:t>
      </w:r>
    </w:p>
    <w:p w14:paraId="2072F896" w14:textId="1FF10521" w:rsidR="00972806" w:rsidRPr="000C1EE4" w:rsidRDefault="00EB7173" w:rsidP="00756621">
      <w:pPr>
        <w:bidi w:val="0"/>
        <w:spacing w:before="100" w:beforeAutospacing="1" w:after="100" w:afterAutospacing="1" w:line="360" w:lineRule="auto"/>
        <w:jc w:val="both"/>
        <w:rPr>
          <w:rFonts w:ascii="Times New Roman" w:eastAsia="Times New Roman" w:hAnsi="Times New Roman" w:cs="Times New Roman"/>
          <w:color w:val="002060"/>
          <w:rtl/>
        </w:rPr>
      </w:pPr>
      <w:r w:rsidRPr="000C1EE4">
        <w:rPr>
          <w:rFonts w:ascii="Times New Roman" w:eastAsia="Times New Roman" w:hAnsi="Times New Roman" w:cs="Times New Roman"/>
          <w:highlight w:val="yellow"/>
        </w:rPr>
        <w:t xml:space="preserve">In addition, </w:t>
      </w:r>
      <w:r w:rsidRPr="000C1EE4">
        <w:rPr>
          <w:rFonts w:ascii="Times New Roman" w:eastAsia="Times New Roman" w:hAnsi="Times New Roman" w:cs="Times New Roman"/>
          <w:highlight w:val="yellow"/>
        </w:rPr>
        <w:t xml:space="preserve">the Commission found that the investigatory unit should be instructed to </w:t>
      </w:r>
      <w:r w:rsidR="00756621">
        <w:rPr>
          <w:rFonts w:ascii="Times New Roman" w:eastAsia="Times New Roman" w:hAnsi="Times New Roman" w:cs="Times New Roman"/>
          <w:highlight w:val="yellow"/>
        </w:rPr>
        <w:t xml:space="preserve">give utmost </w:t>
      </w:r>
      <w:r w:rsidRPr="000C1EE4">
        <w:rPr>
          <w:rFonts w:ascii="Times New Roman" w:eastAsia="Times New Roman" w:hAnsi="Times New Roman" w:cs="Times New Roman"/>
          <w:highlight w:val="yellow"/>
        </w:rPr>
        <w:t xml:space="preserve"> consideration</w:t>
      </w:r>
      <w:r w:rsidR="00756621">
        <w:rPr>
          <w:rFonts w:ascii="Times New Roman" w:eastAsia="Times New Roman" w:hAnsi="Times New Roman" w:cs="Times New Roman"/>
          <w:highlight w:val="yellow"/>
        </w:rPr>
        <w:t xml:space="preserve"> to</w:t>
      </w:r>
      <w:r w:rsidRPr="000C1EE4">
        <w:rPr>
          <w:rFonts w:ascii="Times New Roman" w:eastAsia="Times New Roman" w:hAnsi="Times New Roman" w:cs="Times New Roman"/>
          <w:highlight w:val="yellow"/>
        </w:rPr>
        <w:t xml:space="preserve"> </w:t>
      </w:r>
      <w:r w:rsidRPr="000C1EE4">
        <w:rPr>
          <w:rFonts w:ascii="Times New Roman" w:eastAsia="Times New Roman" w:hAnsi="Times New Roman" w:cs="Times New Roman"/>
          <w:b/>
          <w:bCs/>
          <w:highlight w:val="yellow"/>
        </w:rPr>
        <w:t>extra-</w:t>
      </w:r>
      <w:r w:rsidRPr="000C1EE4">
        <w:rPr>
          <w:rFonts w:ascii="Times New Roman" w:eastAsia="Times New Roman" w:hAnsi="Times New Roman" w:cs="Times New Roman"/>
          <w:b/>
          <w:bCs/>
          <w:highlight w:val="yellow"/>
        </w:rPr>
        <w:t>systemic variables</w:t>
      </w:r>
      <w:r w:rsidRPr="000C1EE4">
        <w:rPr>
          <w:rFonts w:ascii="Times New Roman" w:eastAsia="Times New Roman" w:hAnsi="Times New Roman" w:cs="Times New Roman"/>
          <w:highlight w:val="yellow"/>
        </w:rPr>
        <w:t xml:space="preserve"> </w:t>
      </w:r>
      <w:r w:rsidR="000C1EE4" w:rsidRPr="000C1EE4">
        <w:rPr>
          <w:rFonts w:ascii="Times New Roman" w:eastAsia="Times New Roman" w:hAnsi="Times New Roman" w:cs="Times New Roman"/>
          <w:highlight w:val="yellow"/>
        </w:rPr>
        <w:t>beyond</w:t>
      </w:r>
      <w:r w:rsidRPr="000C1EE4">
        <w:rPr>
          <w:rFonts w:ascii="Times New Roman" w:eastAsia="Times New Roman" w:hAnsi="Times New Roman" w:cs="Times New Roman"/>
          <w:highlight w:val="yellow"/>
        </w:rPr>
        <w:t xml:space="preserve"> its control</w:t>
      </w:r>
      <w:r w:rsidR="00756621">
        <w:rPr>
          <w:rFonts w:ascii="Times New Roman" w:eastAsia="Times New Roman" w:hAnsi="Times New Roman" w:cs="Times New Roman"/>
          <w:highlight w:val="yellow"/>
        </w:rPr>
        <w:t>, to which I referred in my research, and which could potentially</w:t>
      </w:r>
      <w:r w:rsidRPr="000C1EE4">
        <w:rPr>
          <w:rFonts w:ascii="Times New Roman" w:eastAsia="Times New Roman" w:hAnsi="Times New Roman" w:cs="Times New Roman"/>
          <w:highlight w:val="yellow"/>
        </w:rPr>
        <w:t xml:space="preserve"> reduce the evidentiary value of identification evidence, including</w:t>
      </w:r>
      <w:r w:rsidR="000C1EE4" w:rsidRPr="000C1EE4">
        <w:rPr>
          <w:rFonts w:ascii="Times New Roman" w:eastAsia="Times New Roman" w:hAnsi="Times New Roman" w:cs="Times New Roman"/>
          <w:highlight w:val="yellow"/>
        </w:rPr>
        <w:t>:</w:t>
      </w:r>
      <w:r w:rsidR="000C1EE4" w:rsidRPr="000C1EE4">
        <w:rPr>
          <w:rFonts w:ascii="Times New Roman" w:eastAsia="Times New Roman" w:hAnsi="Times New Roman" w:cs="Times New Roman"/>
        </w:rPr>
        <w:t xml:space="preserve"> </w:t>
      </w:r>
      <w:r w:rsidR="00972806" w:rsidRPr="000C1EE4">
        <w:rPr>
          <w:rFonts w:ascii="Times New Roman" w:eastAsia="Times New Roman" w:hAnsi="Times New Roman" w:cs="Times New Roman"/>
        </w:rPr>
        <w:t>the criminal incident itself; the characteristics of the identifying witness; the length of exposure to the event; the distance between the identifying witness and the suspect; the level of lighting during the event;</w:t>
      </w:r>
      <w:r w:rsidR="00972806" w:rsidRPr="000C1EE4">
        <w:rPr>
          <w:rFonts w:ascii="Times New Roman" w:eastAsia="Times New Roman" w:hAnsi="Times New Roman" w:cs="Times New Roman"/>
          <w:color w:val="002060"/>
        </w:rPr>
        <w:t xml:space="preserve"> </w:t>
      </w:r>
      <w:r w:rsidR="00972806" w:rsidRPr="000C1EE4">
        <w:rPr>
          <w:rFonts w:ascii="Times New Roman" w:eastAsia="Times New Roman" w:hAnsi="Times New Roman" w:cs="Times New Roman"/>
        </w:rPr>
        <w:t>cultural-social characteristics</w:t>
      </w:r>
      <w:r w:rsidR="00972806" w:rsidRPr="000C1EE4">
        <w:rPr>
          <w:rFonts w:ascii="Times New Roman" w:eastAsia="Times New Roman" w:hAnsi="Times New Roman" w:cs="Times New Roman"/>
          <w:color w:val="002060"/>
        </w:rPr>
        <w:t>;</w:t>
      </w:r>
      <w:r w:rsidR="000C1EE4" w:rsidRPr="000C1EE4">
        <w:rPr>
          <w:rFonts w:ascii="Times New Roman" w:eastAsia="Times New Roman" w:hAnsi="Times New Roman" w:cs="Times New Roman"/>
          <w:color w:val="002060"/>
        </w:rPr>
        <w:t xml:space="preserve"> </w:t>
      </w:r>
      <w:r w:rsidR="000C1EE4" w:rsidRPr="008C1FCE">
        <w:rPr>
          <w:rFonts w:ascii="Times New Roman" w:eastAsia="Times New Roman" w:hAnsi="Times New Roman" w:cs="Times New Roman"/>
        </w:rPr>
        <w:t>the age of the identifying witness and the like</w:t>
      </w:r>
      <w:r w:rsidR="000C1EE4" w:rsidRPr="000C1EE4">
        <w:rPr>
          <w:rFonts w:ascii="Times New Roman" w:eastAsia="Times New Roman" w:hAnsi="Times New Roman" w:cs="Times New Roman"/>
          <w:color w:val="002060"/>
        </w:rPr>
        <w:t xml:space="preserve">. </w:t>
      </w:r>
    </w:p>
    <w:p w14:paraId="3F267919" w14:textId="2AFDE0A6" w:rsidR="000C1EE4" w:rsidRPr="000C1EE4" w:rsidRDefault="000C1EE4" w:rsidP="000C1EE4">
      <w:pPr>
        <w:bidi w:val="0"/>
        <w:spacing w:after="0" w:line="360" w:lineRule="auto"/>
        <w:jc w:val="both"/>
        <w:rPr>
          <w:rFonts w:ascii="Times New Roman" w:eastAsia="Times New Roman" w:hAnsi="Times New Roman" w:cs="Times New Roman"/>
          <w:highlight w:val="yellow"/>
          <w:u w:val="single"/>
        </w:rPr>
      </w:pPr>
      <w:r w:rsidRPr="000C1EE4">
        <w:rPr>
          <w:rFonts w:ascii="Times New Roman" w:eastAsia="Times New Roman" w:hAnsi="Times New Roman" w:cs="Times New Roman"/>
          <w:highlight w:val="yellow"/>
          <w:u w:val="single"/>
        </w:rPr>
        <w:t>Research proposal</w:t>
      </w:r>
    </w:p>
    <w:p w14:paraId="16E0E048" w14:textId="77777777" w:rsidR="00972806" w:rsidRPr="00081531" w:rsidRDefault="00972806" w:rsidP="00081531">
      <w:pPr>
        <w:bidi w:val="0"/>
        <w:spacing w:after="0" w:line="360" w:lineRule="auto"/>
        <w:jc w:val="both"/>
        <w:rPr>
          <w:rFonts w:asciiTheme="majorBidi" w:eastAsia="Times New Roman" w:hAnsiTheme="majorBidi" w:cstheme="majorBidi"/>
        </w:rPr>
      </w:pPr>
      <w:r w:rsidRPr="00081531">
        <w:rPr>
          <w:rFonts w:asciiTheme="majorBidi" w:eastAsia="Times New Roman" w:hAnsiTheme="majorBidi" w:cstheme="majorBidi"/>
        </w:rPr>
        <w:t>My research project during the sabbatical in London would be  to examine the police's implementation of the committee's interim recommendations and the impact of the report's recommendations on the various courts' approaches to cases based on</w:t>
      </w:r>
      <w:r w:rsidR="00081531" w:rsidRPr="00081531">
        <w:rPr>
          <w:rFonts w:asciiTheme="majorBidi" w:eastAsia="Times New Roman" w:hAnsiTheme="majorBidi" w:cstheme="majorBidi"/>
        </w:rPr>
        <w:t xml:space="preserve"> single identification evidence,</w:t>
      </w:r>
      <w:r w:rsidRPr="00081531">
        <w:rPr>
          <w:rFonts w:asciiTheme="majorBidi" w:eastAsia="Times New Roman" w:hAnsiTheme="majorBidi" w:cstheme="majorBidi"/>
        </w:rPr>
        <w:t xml:space="preserve"> and </w:t>
      </w:r>
      <w:r w:rsidRPr="00081531">
        <w:rPr>
          <w:rFonts w:asciiTheme="majorBidi" w:eastAsia="Times New Roman" w:hAnsiTheme="majorBidi" w:cstheme="majorBidi"/>
          <w:lang w:bidi="ar-SA"/>
        </w:rPr>
        <w:t xml:space="preserve"> draw up a comparison to the way English police units conduct lineups</w:t>
      </w:r>
      <w:r w:rsidRPr="00081531">
        <w:rPr>
          <w:rFonts w:asciiTheme="majorBidi" w:eastAsia="Times New Roman" w:hAnsiTheme="majorBidi" w:cstheme="majorBidi"/>
        </w:rPr>
        <w:t>.</w:t>
      </w:r>
    </w:p>
    <w:p w14:paraId="4C08DF21" w14:textId="77777777" w:rsidR="00972806" w:rsidRPr="00972806" w:rsidRDefault="00972806" w:rsidP="00972806">
      <w:pPr>
        <w:bidi w:val="0"/>
        <w:spacing w:after="0" w:line="360" w:lineRule="auto"/>
        <w:jc w:val="both"/>
        <w:rPr>
          <w:rFonts w:ascii="Calibri" w:eastAsia="Times New Roman" w:hAnsi="Calibri" w:cs="Times New Roman"/>
          <w:sz w:val="24"/>
          <w:szCs w:val="24"/>
        </w:rPr>
      </w:pPr>
    </w:p>
    <w:p w14:paraId="0B64DEF1" w14:textId="77777777" w:rsidR="00081531" w:rsidRDefault="00972806" w:rsidP="00081531">
      <w:pPr>
        <w:bidi w:val="0"/>
        <w:spacing w:after="0" w:line="360" w:lineRule="auto"/>
        <w:jc w:val="both"/>
        <w:rPr>
          <w:rFonts w:asciiTheme="majorBidi" w:eastAsia="Times New Roman" w:hAnsiTheme="majorBidi" w:cs="Times New Roman"/>
        </w:rPr>
      </w:pPr>
      <w:r w:rsidRPr="00972806">
        <w:rPr>
          <w:rFonts w:asciiTheme="majorBidi" w:eastAsia="Times New Roman" w:hAnsiTheme="majorBidi" w:cs="Times New Roman"/>
        </w:rPr>
        <w:t>As distinguished from Israeli law, the English legislature and the regulatory authorities have treated the issue of identification seriously. The Code D regulations</w:t>
      </w:r>
      <w:r w:rsidR="00414082">
        <w:rPr>
          <w:rStyle w:val="FootnoteReference"/>
          <w:rFonts w:asciiTheme="majorBidi" w:eastAsia="Times New Roman" w:hAnsiTheme="majorBidi" w:cs="Times New Roman"/>
        </w:rPr>
        <w:footnoteReference w:id="6"/>
      </w:r>
      <w:r w:rsidRPr="00972806">
        <w:rPr>
          <w:rFonts w:asciiTheme="majorBidi" w:eastAsia="Times New Roman" w:hAnsiTheme="majorBidi" w:cs="Times New Roman"/>
        </w:rPr>
        <w:t xml:space="preserve"> deal with the issue of identification in a broad </w:t>
      </w:r>
      <w:r w:rsidRPr="00972806">
        <w:rPr>
          <w:rFonts w:asciiTheme="majorBidi" w:eastAsia="Times New Roman" w:hAnsiTheme="majorBidi" w:cs="Times New Roman"/>
        </w:rPr>
        <w:lastRenderedPageBreak/>
        <w:t>and detailed manner, relating to most of the secondary issues arising in the various cases, rules there even being consistent with the up-to date findings of psychological scientific studies</w:t>
      </w:r>
      <w:r w:rsidR="00081531">
        <w:rPr>
          <w:rFonts w:asciiTheme="majorBidi" w:eastAsia="Times New Roman" w:hAnsiTheme="majorBidi" w:cs="Times New Roman"/>
        </w:rPr>
        <w:t>.</w:t>
      </w:r>
      <w:r w:rsidRPr="00972806">
        <w:rPr>
          <w:rFonts w:asciiTheme="majorBidi" w:eastAsia="Times New Roman" w:hAnsiTheme="majorBidi" w:cs="Times New Roman"/>
        </w:rPr>
        <w:t xml:space="preserve"> </w:t>
      </w:r>
      <w:r w:rsidR="00081531">
        <w:rPr>
          <w:rFonts w:asciiTheme="majorBidi" w:eastAsia="Times New Roman" w:hAnsiTheme="majorBidi" w:cs="Times New Roman"/>
        </w:rPr>
        <w:t>T</w:t>
      </w:r>
      <w:r w:rsidRPr="00972806">
        <w:rPr>
          <w:rFonts w:asciiTheme="majorBidi" w:eastAsia="Times New Roman" w:hAnsiTheme="majorBidi" w:cs="Times New Roman"/>
        </w:rPr>
        <w:t>he rationales and advantages inherent in making a comparison to foreign law for the purpose of carrying out legal reform are discussed, particularly when the comparison involves drawing inspiration from a legal system similar to our own, such as the English legal system</w:t>
      </w:r>
      <w:r w:rsidR="00081531">
        <w:rPr>
          <w:rFonts w:asciiTheme="majorBidi" w:eastAsia="Times New Roman" w:hAnsiTheme="majorBidi" w:cs="Times New Roman"/>
        </w:rPr>
        <w:t>.</w:t>
      </w:r>
    </w:p>
    <w:p w14:paraId="142C0AA7" w14:textId="77777777" w:rsidR="008C1FCE" w:rsidRDefault="008C1FCE" w:rsidP="008C1FCE">
      <w:pPr>
        <w:bidi w:val="0"/>
        <w:spacing w:after="0" w:line="360" w:lineRule="auto"/>
        <w:jc w:val="both"/>
        <w:rPr>
          <w:rFonts w:asciiTheme="majorBidi" w:eastAsia="Times New Roman" w:hAnsiTheme="majorBidi" w:cs="Times New Roman"/>
        </w:rPr>
      </w:pPr>
    </w:p>
    <w:p w14:paraId="539A4BE4" w14:textId="60F928A5" w:rsidR="008C1FCE" w:rsidRDefault="008C1FCE" w:rsidP="00085ADC">
      <w:pPr>
        <w:bidi w:val="0"/>
        <w:spacing w:after="0" w:line="360" w:lineRule="auto"/>
        <w:jc w:val="both"/>
        <w:rPr>
          <w:rFonts w:asciiTheme="majorBidi" w:eastAsia="Times New Roman" w:hAnsiTheme="majorBidi" w:cs="Times New Roman"/>
        </w:rPr>
      </w:pPr>
      <w:r w:rsidRPr="00F43FFA">
        <w:rPr>
          <w:rFonts w:asciiTheme="majorBidi" w:eastAsia="Times New Roman" w:hAnsiTheme="majorBidi" w:cs="Times New Roman"/>
          <w:highlight w:val="yellow"/>
        </w:rPr>
        <w:t>It is clear that an examination of the research questions</w:t>
      </w:r>
      <w:r w:rsidR="006D4000" w:rsidRPr="00F43FFA">
        <w:rPr>
          <w:rFonts w:asciiTheme="majorBidi" w:eastAsia="Times New Roman" w:hAnsiTheme="majorBidi" w:cs="Times New Roman"/>
          <w:highlight w:val="yellow"/>
        </w:rPr>
        <w:t xml:space="preserve"> </w:t>
      </w:r>
      <w:r w:rsidR="002C0508">
        <w:rPr>
          <w:rFonts w:asciiTheme="majorBidi" w:eastAsia="Times New Roman" w:hAnsiTheme="majorBidi" w:cs="Times New Roman"/>
          <w:highlight w:val="yellow"/>
        </w:rPr>
        <w:t>at issue</w:t>
      </w:r>
      <w:r w:rsidR="006D4000" w:rsidRPr="00F43FFA">
        <w:rPr>
          <w:rFonts w:asciiTheme="majorBidi" w:eastAsia="Times New Roman" w:hAnsiTheme="majorBidi" w:cs="Times New Roman"/>
          <w:highlight w:val="yellow"/>
        </w:rPr>
        <w:t xml:space="preserve"> will take time, particularly given that the Commission's interim report was published quite recently. </w:t>
      </w:r>
      <w:r w:rsidR="00085ADC">
        <w:rPr>
          <w:rFonts w:asciiTheme="majorBidi" w:eastAsia="Times New Roman" w:hAnsiTheme="majorBidi" w:cs="Times New Roman"/>
          <w:highlight w:val="yellow"/>
        </w:rPr>
        <w:t>Likewise, it is</w:t>
      </w:r>
      <w:r w:rsidR="006D4000" w:rsidRPr="00F43FFA">
        <w:rPr>
          <w:rFonts w:asciiTheme="majorBidi" w:eastAsia="Times New Roman" w:hAnsiTheme="majorBidi" w:cs="Times New Roman"/>
          <w:highlight w:val="yellow"/>
        </w:rPr>
        <w:t xml:space="preserve"> clear that the process of legal change can take considerable time. I therefore believe that, in conjunction with my ongoing examination of</w:t>
      </w:r>
      <w:r w:rsidR="00F43FFA" w:rsidRPr="00F43FFA">
        <w:rPr>
          <w:rFonts w:asciiTheme="majorBidi" w:eastAsia="Times New Roman" w:hAnsiTheme="majorBidi" w:cs="Times New Roman"/>
          <w:highlight w:val="yellow"/>
        </w:rPr>
        <w:t xml:space="preserve"> the extent to which </w:t>
      </w:r>
      <w:r w:rsidR="006D4000" w:rsidRPr="00F43FFA">
        <w:rPr>
          <w:rFonts w:asciiTheme="majorBidi" w:eastAsia="Times New Roman" w:hAnsiTheme="majorBidi" w:cs="Times New Roman"/>
          <w:highlight w:val="yellow"/>
        </w:rPr>
        <w:t>Israel's law enforcement</w:t>
      </w:r>
      <w:r w:rsidR="003667B7">
        <w:rPr>
          <w:rFonts w:asciiTheme="majorBidi" w:eastAsia="Times New Roman" w:hAnsiTheme="majorBidi" w:cs="Times New Roman"/>
          <w:highlight w:val="yellow"/>
        </w:rPr>
        <w:t xml:space="preserve"> agencies </w:t>
      </w:r>
      <w:r w:rsidR="006D4000" w:rsidRPr="00F43FFA">
        <w:rPr>
          <w:rFonts w:asciiTheme="majorBidi" w:eastAsia="Times New Roman" w:hAnsiTheme="majorBidi" w:cs="Times New Roman"/>
          <w:highlight w:val="yellow"/>
        </w:rPr>
        <w:t>and courts are</w:t>
      </w:r>
      <w:r w:rsidR="00F43FFA" w:rsidRPr="00F43FFA">
        <w:rPr>
          <w:rFonts w:asciiTheme="majorBidi" w:eastAsia="Times New Roman" w:hAnsiTheme="majorBidi" w:cs="Times New Roman"/>
          <w:highlight w:val="yellow"/>
        </w:rPr>
        <w:t xml:space="preserve"> internalizing </w:t>
      </w:r>
      <w:r w:rsidR="006D4000" w:rsidRPr="00F43FFA">
        <w:rPr>
          <w:rFonts w:asciiTheme="majorBidi" w:eastAsia="Times New Roman" w:hAnsiTheme="majorBidi" w:cs="Times New Roman"/>
          <w:highlight w:val="yellow"/>
        </w:rPr>
        <w:t xml:space="preserve">the </w:t>
      </w:r>
      <w:proofErr w:type="spellStart"/>
      <w:r w:rsidR="006D4000" w:rsidRPr="00F43FFA">
        <w:rPr>
          <w:rFonts w:asciiTheme="majorBidi" w:eastAsia="Times New Roman" w:hAnsiTheme="majorBidi" w:cs="Times New Roman"/>
          <w:highlight w:val="yellow"/>
        </w:rPr>
        <w:t>Danziger</w:t>
      </w:r>
      <w:proofErr w:type="spellEnd"/>
      <w:r w:rsidR="006D4000" w:rsidRPr="00F43FFA">
        <w:rPr>
          <w:rFonts w:asciiTheme="majorBidi" w:eastAsia="Times New Roman" w:hAnsiTheme="majorBidi" w:cs="Times New Roman"/>
          <w:highlight w:val="yellow"/>
        </w:rPr>
        <w:t xml:space="preserve"> Commission's recommendations</w:t>
      </w:r>
      <w:r w:rsidR="00F43FFA" w:rsidRPr="00F43FFA">
        <w:rPr>
          <w:rFonts w:asciiTheme="majorBidi" w:eastAsia="Times New Roman" w:hAnsiTheme="majorBidi" w:cs="Times New Roman"/>
          <w:highlight w:val="yellow"/>
        </w:rPr>
        <w:t xml:space="preserve">, it would be appropriate to draw on English law as </w:t>
      </w:r>
      <w:r w:rsidR="00085ADC">
        <w:rPr>
          <w:rFonts w:asciiTheme="majorBidi" w:eastAsia="Times New Roman" w:hAnsiTheme="majorBidi" w:cs="Times New Roman"/>
          <w:highlight w:val="yellow"/>
        </w:rPr>
        <w:t xml:space="preserve">a </w:t>
      </w:r>
      <w:r w:rsidR="00F43FFA" w:rsidRPr="00F43FFA">
        <w:rPr>
          <w:rFonts w:asciiTheme="majorBidi" w:eastAsia="Times New Roman" w:hAnsiTheme="majorBidi" w:cs="Times New Roman"/>
          <w:highlight w:val="yellow"/>
        </w:rPr>
        <w:t xml:space="preserve">comparative </w:t>
      </w:r>
      <w:r w:rsidR="00085ADC">
        <w:rPr>
          <w:rFonts w:asciiTheme="majorBidi" w:eastAsia="Times New Roman" w:hAnsiTheme="majorBidi" w:cs="Times New Roman"/>
          <w:highlight w:val="yellow"/>
        </w:rPr>
        <w:t xml:space="preserve">body of </w:t>
      </w:r>
      <w:r w:rsidR="00F43FFA" w:rsidRPr="00F43FFA">
        <w:rPr>
          <w:rFonts w:asciiTheme="majorBidi" w:eastAsia="Times New Roman" w:hAnsiTheme="majorBidi" w:cs="Times New Roman"/>
          <w:highlight w:val="yellow"/>
        </w:rPr>
        <w:t>law and assess the parallel process that took place there, as well as the manner in which law enforcement</w:t>
      </w:r>
      <w:r w:rsidR="00ED6B85">
        <w:rPr>
          <w:rFonts w:asciiTheme="majorBidi" w:eastAsia="Times New Roman" w:hAnsiTheme="majorBidi" w:cs="Times New Roman"/>
          <w:highlight w:val="yellow"/>
        </w:rPr>
        <w:t xml:space="preserve"> agencies </w:t>
      </w:r>
      <w:r w:rsidR="00F43FFA" w:rsidRPr="00F43FFA">
        <w:rPr>
          <w:rFonts w:asciiTheme="majorBidi" w:eastAsia="Times New Roman" w:hAnsiTheme="majorBidi" w:cs="Times New Roman"/>
          <w:highlight w:val="yellow"/>
        </w:rPr>
        <w:t>addressed the practical aspect of the changes in English law relating to identification evidence.</w:t>
      </w:r>
    </w:p>
    <w:p w14:paraId="6C42B208" w14:textId="77777777" w:rsidR="00F43FFA" w:rsidRDefault="00F43FFA" w:rsidP="00F43FFA">
      <w:pPr>
        <w:bidi w:val="0"/>
        <w:spacing w:after="0" w:line="360" w:lineRule="auto"/>
        <w:jc w:val="both"/>
        <w:rPr>
          <w:rFonts w:asciiTheme="majorBidi" w:eastAsia="Times New Roman" w:hAnsiTheme="majorBidi" w:cs="Times New Roman"/>
        </w:rPr>
      </w:pPr>
    </w:p>
    <w:p w14:paraId="45FC63D2" w14:textId="6378467B" w:rsidR="00081531" w:rsidRPr="00972806" w:rsidRDefault="003667B7" w:rsidP="00D14A3E">
      <w:pPr>
        <w:bidi w:val="0"/>
        <w:spacing w:after="0" w:line="360" w:lineRule="auto"/>
        <w:jc w:val="both"/>
        <w:rPr>
          <w:rFonts w:ascii="David" w:eastAsia="Times New Roman" w:hAnsi="David" w:cs="David"/>
          <w:sz w:val="24"/>
          <w:szCs w:val="24"/>
          <w:rtl/>
        </w:rPr>
      </w:pPr>
      <w:r w:rsidRPr="00353A53">
        <w:rPr>
          <w:rFonts w:asciiTheme="majorBidi" w:eastAsia="Times New Roman" w:hAnsiTheme="majorBidi" w:cs="Times New Roman"/>
          <w:highlight w:val="yellow"/>
        </w:rPr>
        <w:t xml:space="preserve">As part of my research project, therefore, I intend </w:t>
      </w:r>
      <w:r w:rsidR="00F43FFA" w:rsidRPr="00353A53">
        <w:rPr>
          <w:rFonts w:asciiTheme="majorBidi" w:eastAsia="Times New Roman" w:hAnsiTheme="majorBidi" w:cs="Times New Roman"/>
          <w:highlight w:val="yellow"/>
        </w:rPr>
        <w:t xml:space="preserve">to examine the current approach </w:t>
      </w:r>
      <w:r w:rsidRPr="00353A53">
        <w:rPr>
          <w:rFonts w:asciiTheme="majorBidi" w:eastAsia="Times New Roman" w:hAnsiTheme="majorBidi" w:cs="Times New Roman"/>
          <w:highlight w:val="yellow"/>
        </w:rPr>
        <w:t xml:space="preserve">to identification evidence on the part </w:t>
      </w:r>
      <w:r w:rsidR="00F43FFA" w:rsidRPr="00353A53">
        <w:rPr>
          <w:rFonts w:asciiTheme="majorBidi" w:eastAsia="Times New Roman" w:hAnsiTheme="majorBidi" w:cs="Times New Roman"/>
          <w:highlight w:val="yellow"/>
        </w:rPr>
        <w:t>of law enforcement</w:t>
      </w:r>
      <w:r w:rsidRPr="00353A53">
        <w:rPr>
          <w:rFonts w:asciiTheme="majorBidi" w:eastAsia="Times New Roman" w:hAnsiTheme="majorBidi" w:cs="Times New Roman"/>
          <w:highlight w:val="yellow"/>
        </w:rPr>
        <w:t xml:space="preserve"> agencies </w:t>
      </w:r>
      <w:r w:rsidR="00F43FFA" w:rsidRPr="00353A53">
        <w:rPr>
          <w:rFonts w:asciiTheme="majorBidi" w:eastAsia="Times New Roman" w:hAnsiTheme="majorBidi" w:cs="Times New Roman"/>
          <w:highlight w:val="yellow"/>
        </w:rPr>
        <w:t>in England</w:t>
      </w:r>
      <w:r w:rsidRPr="00353A53">
        <w:rPr>
          <w:rFonts w:asciiTheme="majorBidi" w:eastAsia="Times New Roman" w:hAnsiTheme="majorBidi" w:cs="Times New Roman"/>
          <w:highlight w:val="yellow"/>
        </w:rPr>
        <w:t xml:space="preserve">, and to compare it with the </w:t>
      </w:r>
      <w:proofErr w:type="spellStart"/>
      <w:r w:rsidR="00B0081D">
        <w:rPr>
          <w:rFonts w:asciiTheme="majorBidi" w:eastAsia="Times New Roman" w:hAnsiTheme="majorBidi" w:cs="Times New Roman"/>
          <w:highlight w:val="yellow"/>
        </w:rPr>
        <w:t>Danziger</w:t>
      </w:r>
      <w:proofErr w:type="spellEnd"/>
      <w:r w:rsidR="00B0081D">
        <w:rPr>
          <w:rFonts w:asciiTheme="majorBidi" w:eastAsia="Times New Roman" w:hAnsiTheme="majorBidi" w:cs="Times New Roman"/>
          <w:highlight w:val="yellow"/>
        </w:rPr>
        <w:t xml:space="preserve"> Commission's recommendations for internal </w:t>
      </w:r>
      <w:r w:rsidRPr="00353A53">
        <w:rPr>
          <w:rFonts w:asciiTheme="majorBidi" w:eastAsia="Times New Roman" w:hAnsiTheme="majorBidi" w:cs="Times New Roman"/>
          <w:highlight w:val="yellow"/>
        </w:rPr>
        <w:t>guidelines to be adopted by the Israel Police. It is important to note in this context that the comparative study I intend to conduct regarding the practices of law enforcement agencies</w:t>
      </w:r>
      <w:r w:rsidR="00ED6B85" w:rsidRPr="00353A53">
        <w:rPr>
          <w:rFonts w:asciiTheme="majorBidi" w:eastAsia="Times New Roman" w:hAnsiTheme="majorBidi" w:cs="Times New Roman"/>
          <w:highlight w:val="yellow"/>
        </w:rPr>
        <w:t xml:space="preserve"> in England is not aimed solely at reviewing the law as practiced in England, but rather at extracting operational guidelines for </w:t>
      </w:r>
      <w:r w:rsidR="00B0081D">
        <w:rPr>
          <w:rFonts w:asciiTheme="majorBidi" w:eastAsia="Times New Roman" w:hAnsiTheme="majorBidi" w:cs="Times New Roman"/>
          <w:highlight w:val="yellow"/>
        </w:rPr>
        <w:t xml:space="preserve">use by </w:t>
      </w:r>
      <w:r w:rsidR="00ED6B85" w:rsidRPr="00353A53">
        <w:rPr>
          <w:rFonts w:asciiTheme="majorBidi" w:eastAsia="Times New Roman" w:hAnsiTheme="majorBidi" w:cs="Times New Roman"/>
          <w:highlight w:val="yellow"/>
        </w:rPr>
        <w:t xml:space="preserve">law enforcement agencies in Israel </w:t>
      </w:r>
      <w:r w:rsidR="00B0081D">
        <w:rPr>
          <w:rFonts w:asciiTheme="majorBidi" w:eastAsia="Times New Roman" w:hAnsiTheme="majorBidi" w:cs="Times New Roman"/>
          <w:highlight w:val="yellow"/>
        </w:rPr>
        <w:t>so as</w:t>
      </w:r>
      <w:r w:rsidR="00ED6B85" w:rsidRPr="00353A53">
        <w:rPr>
          <w:rFonts w:asciiTheme="majorBidi" w:eastAsia="Times New Roman" w:hAnsiTheme="majorBidi" w:cs="Times New Roman"/>
          <w:highlight w:val="yellow"/>
        </w:rPr>
        <w:t xml:space="preserve"> to facilitate the process of incorporating the Commission's recommended guidelines. Naturally I do not overlook the different legal cultures of the two legal systems or the cultural-social-institutional difference between Israeli law and </w:t>
      </w:r>
      <w:r w:rsidR="00353A53">
        <w:rPr>
          <w:rFonts w:asciiTheme="majorBidi" w:eastAsia="Times New Roman" w:hAnsiTheme="majorBidi" w:cs="Times New Roman"/>
          <w:highlight w:val="yellow"/>
        </w:rPr>
        <w:t>the law</w:t>
      </w:r>
      <w:r w:rsidR="00ED6B85" w:rsidRPr="00353A53">
        <w:rPr>
          <w:rFonts w:asciiTheme="majorBidi" w:eastAsia="Times New Roman" w:hAnsiTheme="majorBidi" w:cs="Times New Roman"/>
          <w:highlight w:val="yellow"/>
        </w:rPr>
        <w:t xml:space="preserve"> practiced in England. Nonetheless, I believe that an examination of the processes that took place in England can</w:t>
      </w:r>
      <w:r w:rsidR="00D14A3E">
        <w:rPr>
          <w:rFonts w:asciiTheme="majorBidi" w:eastAsia="Times New Roman" w:hAnsiTheme="majorBidi" w:cs="Times New Roman"/>
          <w:highlight w:val="yellow"/>
        </w:rPr>
        <w:t xml:space="preserve"> illuminate the course of my research and,</w:t>
      </w:r>
      <w:r w:rsidR="00C33D63" w:rsidRPr="00353A53">
        <w:rPr>
          <w:rFonts w:asciiTheme="majorBidi" w:eastAsia="Times New Roman" w:hAnsiTheme="majorBidi" w:cs="Times New Roman"/>
          <w:highlight w:val="yellow"/>
        </w:rPr>
        <w:t xml:space="preserve"> at the very least</w:t>
      </w:r>
      <w:r w:rsidR="00D14A3E">
        <w:rPr>
          <w:rFonts w:asciiTheme="majorBidi" w:eastAsia="Times New Roman" w:hAnsiTheme="majorBidi" w:cs="Times New Roman"/>
          <w:highlight w:val="yellow"/>
        </w:rPr>
        <w:t>, provide a basis for inspiration</w:t>
      </w:r>
      <w:r w:rsidR="00C33D63" w:rsidRPr="00353A53">
        <w:rPr>
          <w:rFonts w:asciiTheme="majorBidi" w:eastAsia="Times New Roman" w:hAnsiTheme="majorBidi" w:cs="Times New Roman"/>
          <w:highlight w:val="yellow"/>
        </w:rPr>
        <w:t>.</w:t>
      </w:r>
      <w:r w:rsidR="00C33D63">
        <w:rPr>
          <w:rFonts w:asciiTheme="majorBidi" w:eastAsia="Times New Roman" w:hAnsiTheme="majorBidi" w:cs="Times New Roman"/>
        </w:rPr>
        <w:t xml:space="preserve"> </w:t>
      </w:r>
    </w:p>
    <w:p w14:paraId="7E8E4155" w14:textId="77777777" w:rsidR="000067D8" w:rsidRDefault="000067D8"/>
    <w:sectPr w:rsidR="000067D8" w:rsidSect="00645585">
      <w:footerReference w:type="default" r:id="rId9"/>
      <w:footnotePr>
        <w:numRestart w:val="eachSect"/>
      </w:footnotePr>
      <w:pgSz w:w="11906" w:h="16838"/>
      <w:pgMar w:top="1134" w:right="1701" w:bottom="1134" w:left="1134" w:header="709" w:footer="709" w:gutter="0"/>
      <w:pgNumType w:start="1"/>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rav Datan" w:date="2019-10-22T14:53:00Z" w:initials="MD">
    <w:p w14:paraId="24B1EE49" w14:textId="5ECDF2CB" w:rsidR="00067EED" w:rsidRDefault="00067EED" w:rsidP="00067EED">
      <w:pPr>
        <w:pStyle w:val="CommentText"/>
        <w:rPr>
          <w:rtl/>
        </w:rPr>
      </w:pPr>
      <w:r>
        <w:rPr>
          <w:rStyle w:val="CommentReference"/>
        </w:rPr>
        <w:annotationRef/>
      </w:r>
      <w:r>
        <w:rPr>
          <w:rFonts w:hint="cs"/>
          <w:rtl/>
        </w:rPr>
        <w:t>כדי לשלב את הטקסט המתורגם (</w:t>
      </w:r>
      <w:r w:rsidRPr="00B7015D">
        <w:rPr>
          <w:rFonts w:hint="cs"/>
          <w:highlight w:val="yellow"/>
          <w:rtl/>
        </w:rPr>
        <w:t>בסוגריים</w:t>
      </w:r>
      <w:r>
        <w:rPr>
          <w:rFonts w:hint="cs"/>
          <w:rtl/>
        </w:rPr>
        <w:t>) בתוך המשפט המקורי, אפשר לנסח מחדש את המשפט כולו כך:</w:t>
      </w:r>
    </w:p>
    <w:p w14:paraId="27D58261" w14:textId="23ACB902" w:rsidR="00067EED" w:rsidRDefault="00067EED" w:rsidP="00067EED">
      <w:pPr>
        <w:pStyle w:val="CommentText"/>
        <w:bidi w:val="0"/>
        <w:rPr>
          <w:rFonts w:hint="cs"/>
        </w:rPr>
      </w:pPr>
      <w:r>
        <w:t>Since I completed my dissertation, moderate yet significant changes have taken place in the Israeli law relating to evidence.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D582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DCBD6" w14:textId="77777777" w:rsidR="00CF1485" w:rsidRDefault="00CF1485" w:rsidP="00972806">
      <w:pPr>
        <w:spacing w:after="0" w:line="240" w:lineRule="auto"/>
      </w:pPr>
      <w:r>
        <w:separator/>
      </w:r>
    </w:p>
    <w:p w14:paraId="7CE1D00B" w14:textId="77777777" w:rsidR="00CF1485" w:rsidRDefault="00CF1485"/>
  </w:endnote>
  <w:endnote w:type="continuationSeparator" w:id="0">
    <w:p w14:paraId="0DA54E59" w14:textId="77777777" w:rsidR="00CF1485" w:rsidRDefault="00CF1485" w:rsidP="00972806">
      <w:pPr>
        <w:spacing w:after="0" w:line="240" w:lineRule="auto"/>
      </w:pPr>
      <w:r>
        <w:continuationSeparator/>
      </w:r>
    </w:p>
    <w:p w14:paraId="19BB5DB6" w14:textId="77777777" w:rsidR="00CF1485" w:rsidRDefault="00CF1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F9F4" w14:textId="77777777" w:rsidR="006B4D81" w:rsidRDefault="0082460C">
    <w:pPr>
      <w:pStyle w:val="Footer"/>
      <w:jc w:val="center"/>
    </w:pPr>
    <w:r w:rsidRPr="00DC5199">
      <w:rPr>
        <w:rFonts w:ascii="David" w:hAnsi="David" w:cs="David"/>
        <w:sz w:val="24"/>
        <w:szCs w:val="24"/>
      </w:rPr>
      <w:fldChar w:fldCharType="begin"/>
    </w:r>
    <w:r w:rsidRPr="00DC5199">
      <w:rPr>
        <w:rFonts w:ascii="David" w:hAnsi="David" w:cs="David"/>
        <w:sz w:val="24"/>
        <w:szCs w:val="24"/>
      </w:rPr>
      <w:instrText>PAGE   \* MERGEFORMAT</w:instrText>
    </w:r>
    <w:r w:rsidRPr="00DC5199">
      <w:rPr>
        <w:rFonts w:ascii="David" w:hAnsi="David" w:cs="David"/>
        <w:sz w:val="24"/>
        <w:szCs w:val="24"/>
      </w:rPr>
      <w:fldChar w:fldCharType="separate"/>
    </w:r>
    <w:r w:rsidR="00B7015D" w:rsidRPr="00B7015D">
      <w:rPr>
        <w:rFonts w:ascii="David" w:hAnsi="David" w:cs="David"/>
        <w:noProof/>
        <w:sz w:val="24"/>
        <w:szCs w:val="24"/>
        <w:rtl/>
        <w:lang w:val="he-IL"/>
      </w:rPr>
      <w:t>5</w:t>
    </w:r>
    <w:r w:rsidRPr="00DC5199">
      <w:rPr>
        <w:rFonts w:ascii="David" w:hAnsi="David" w:cs="David"/>
        <w:sz w:val="24"/>
        <w:szCs w:val="24"/>
      </w:rPr>
      <w:fldChar w:fldCharType="end"/>
    </w:r>
  </w:p>
  <w:p w14:paraId="2D78A8DC" w14:textId="77777777" w:rsidR="006B4D81" w:rsidRPr="00645585" w:rsidRDefault="00CF1485">
    <w:pPr>
      <w:pStyle w:val="Footer"/>
      <w:rPr>
        <w:rFonts w:asciiTheme="majorBidi" w:hAnsiTheme="majorBidi" w:cs="Times New Roman"/>
        <w:rtl/>
      </w:rPr>
    </w:pPr>
  </w:p>
  <w:p w14:paraId="1FF2B143" w14:textId="77777777" w:rsidR="00000000" w:rsidRDefault="00CF14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E07D6" w14:textId="77777777" w:rsidR="00CF1485" w:rsidRDefault="00CF1485" w:rsidP="00D13EBC">
      <w:pPr>
        <w:bidi w:val="0"/>
        <w:spacing w:after="0" w:line="240" w:lineRule="auto"/>
      </w:pPr>
      <w:r>
        <w:separator/>
      </w:r>
    </w:p>
    <w:p w14:paraId="160F735D" w14:textId="77777777" w:rsidR="00CF1485" w:rsidRDefault="00CF1485"/>
  </w:footnote>
  <w:footnote w:type="continuationSeparator" w:id="0">
    <w:p w14:paraId="6EDBDF90" w14:textId="77777777" w:rsidR="00CF1485" w:rsidRDefault="00CF1485" w:rsidP="00972806">
      <w:pPr>
        <w:spacing w:after="0" w:line="240" w:lineRule="auto"/>
      </w:pPr>
      <w:r>
        <w:continuationSeparator/>
      </w:r>
    </w:p>
    <w:p w14:paraId="041C7BCC" w14:textId="77777777" w:rsidR="00CF1485" w:rsidRDefault="00CF1485"/>
  </w:footnote>
  <w:footnote w:id="1">
    <w:p w14:paraId="3A324D30" w14:textId="77777777" w:rsidR="00D60BE8" w:rsidRDefault="00D60BE8" w:rsidP="00414082">
      <w:pPr>
        <w:pStyle w:val="FootnoteText"/>
        <w:bidi w:val="0"/>
      </w:pPr>
      <w:r>
        <w:rPr>
          <w:rStyle w:val="FootnoteReference"/>
        </w:rPr>
        <w:footnoteRef/>
      </w:r>
      <w:r>
        <w:t>NOGA SHMUELI-MEYER, A New Approach to Identification Evidence: Proposed model amendment to Israeli law and implementation of the demand for supporting evidence ,University of Haifa, Faculty of Law, November 2016.</w:t>
      </w:r>
    </w:p>
  </w:footnote>
  <w:footnote w:id="2">
    <w:p w14:paraId="36C7F31E" w14:textId="1AA0C3DF" w:rsidR="00016F19" w:rsidRDefault="00016F19" w:rsidP="002932D1">
      <w:pPr>
        <w:bidi w:val="0"/>
        <w:spacing w:after="0" w:line="360" w:lineRule="auto"/>
        <w:contextualSpacing/>
      </w:pPr>
      <w:r w:rsidRPr="002932D1">
        <w:rPr>
          <w:rStyle w:val="FootnoteReference"/>
          <w:rFonts w:ascii="Times New Roman" w:hAnsi="Times New Roman" w:cs="Times New Roman"/>
          <w:sz w:val="20"/>
          <w:szCs w:val="20"/>
          <w:highlight w:val="yellow"/>
        </w:rPr>
        <w:footnoteRef/>
      </w:r>
      <w:r w:rsidRPr="002932D1">
        <w:rPr>
          <w:rFonts w:ascii="Times New Roman" w:hAnsi="Times New Roman" w:cs="Times New Roman"/>
          <w:sz w:val="20"/>
          <w:szCs w:val="20"/>
          <w:highlight w:val="yellow"/>
          <w:rtl/>
        </w:rPr>
        <w:t xml:space="preserve"> </w:t>
      </w:r>
      <w:proofErr w:type="spellStart"/>
      <w:r w:rsidR="002932D1" w:rsidRPr="002932D1">
        <w:rPr>
          <w:rFonts w:ascii="Times New Roman" w:hAnsi="Times New Roman" w:cs="Times New Roman"/>
          <w:sz w:val="20"/>
          <w:szCs w:val="20"/>
          <w:highlight w:val="yellow"/>
        </w:rPr>
        <w:t>CrimA</w:t>
      </w:r>
      <w:proofErr w:type="spellEnd"/>
      <w:r w:rsidR="002932D1" w:rsidRPr="002932D1">
        <w:rPr>
          <w:rFonts w:ascii="Times New Roman" w:hAnsi="Times New Roman" w:cs="Times New Roman"/>
          <w:sz w:val="20"/>
          <w:szCs w:val="20"/>
          <w:highlight w:val="yellow"/>
        </w:rPr>
        <w:t xml:space="preserve"> 5121/98 </w:t>
      </w:r>
      <w:proofErr w:type="spellStart"/>
      <w:r w:rsidR="002932D1" w:rsidRPr="002932D1">
        <w:rPr>
          <w:rFonts w:ascii="Times New Roman" w:hAnsi="Times New Roman" w:cs="Times New Roman"/>
          <w:i/>
          <w:iCs/>
          <w:sz w:val="20"/>
          <w:szCs w:val="20"/>
          <w:highlight w:val="yellow"/>
        </w:rPr>
        <w:t>Yissacharov</w:t>
      </w:r>
      <w:proofErr w:type="spellEnd"/>
      <w:r w:rsidR="002932D1" w:rsidRPr="002932D1">
        <w:rPr>
          <w:rFonts w:ascii="Times New Roman" w:hAnsi="Times New Roman" w:cs="Times New Roman"/>
          <w:i/>
          <w:iCs/>
          <w:sz w:val="20"/>
          <w:szCs w:val="20"/>
          <w:highlight w:val="yellow"/>
        </w:rPr>
        <w:t xml:space="preserve"> v. </w:t>
      </w:r>
      <w:r w:rsidR="00D13EBC">
        <w:rPr>
          <w:rFonts w:ascii="Times New Roman" w:hAnsi="Times New Roman" w:cs="Times New Roman"/>
          <w:i/>
          <w:iCs/>
          <w:sz w:val="20"/>
          <w:szCs w:val="20"/>
          <w:highlight w:val="yellow"/>
        </w:rPr>
        <w:t xml:space="preserve">Chief </w:t>
      </w:r>
      <w:r w:rsidR="002932D1" w:rsidRPr="002932D1">
        <w:rPr>
          <w:rFonts w:ascii="Times New Roman" w:hAnsi="Times New Roman" w:cs="Times New Roman"/>
          <w:i/>
          <w:iCs/>
          <w:sz w:val="20"/>
          <w:szCs w:val="20"/>
          <w:highlight w:val="yellow"/>
        </w:rPr>
        <w:t>Military Prosecutor</w:t>
      </w:r>
      <w:r w:rsidR="002932D1" w:rsidRPr="002932D1">
        <w:rPr>
          <w:rFonts w:ascii="Times New Roman" w:hAnsi="Times New Roman" w:cs="Times New Roman"/>
          <w:sz w:val="20"/>
          <w:szCs w:val="20"/>
          <w:highlight w:val="yellow"/>
        </w:rPr>
        <w:t xml:space="preserve">, </w:t>
      </w:r>
      <w:proofErr w:type="spellStart"/>
      <w:r w:rsidR="002932D1" w:rsidRPr="002932D1">
        <w:rPr>
          <w:rFonts w:ascii="Times New Roman" w:hAnsi="Times New Roman" w:cs="Times New Roman"/>
          <w:sz w:val="20"/>
          <w:szCs w:val="20"/>
          <w:highlight w:val="yellow"/>
        </w:rPr>
        <w:t>IsrSC</w:t>
      </w:r>
      <w:proofErr w:type="spellEnd"/>
      <w:r w:rsidR="002932D1" w:rsidRPr="002932D1">
        <w:rPr>
          <w:rFonts w:ascii="Times New Roman" w:hAnsi="Times New Roman" w:cs="Times New Roman"/>
          <w:sz w:val="20"/>
          <w:szCs w:val="20"/>
          <w:highlight w:val="yellow"/>
        </w:rPr>
        <w:t xml:space="preserve"> 61(1) 461 (2006).</w:t>
      </w:r>
    </w:p>
  </w:footnote>
  <w:footnote w:id="3">
    <w:p w14:paraId="2FC6A715" w14:textId="77777777" w:rsidR="007A3EA3" w:rsidRPr="007A3EA3" w:rsidRDefault="007A3EA3" w:rsidP="00B81C42">
      <w:pPr>
        <w:pStyle w:val="EndnoteText"/>
        <w:bidi w:val="0"/>
        <w:spacing w:line="360" w:lineRule="auto"/>
        <w:contextualSpacing/>
        <w:jc w:val="both"/>
      </w:pPr>
      <w:r w:rsidRPr="007A3EA3">
        <w:rPr>
          <w:rStyle w:val="FootnoteReference"/>
        </w:rPr>
        <w:footnoteRef/>
      </w:r>
      <w:r w:rsidRPr="007A3EA3">
        <w:rPr>
          <w:rtl/>
        </w:rPr>
        <w:t xml:space="preserve"> </w:t>
      </w:r>
      <w:r w:rsidRPr="007A3EA3">
        <w:rPr>
          <w:rFonts w:ascii="David" w:hAnsi="David" w:cs="David"/>
        </w:rPr>
        <w:t>BARRY SCHECK, PETER NEUFELD &amp; JIM DWYER, ACTUAL INNOCENCE: FIVE DAYS TO EXECUTION AND OTHER DISPATCHES FROM THE WRONGLY CONVICTED 246 (2000).</w:t>
      </w:r>
    </w:p>
  </w:footnote>
  <w:footnote w:id="4">
    <w:p w14:paraId="73049AA8" w14:textId="77777777" w:rsidR="00972806" w:rsidRPr="00B81C42" w:rsidRDefault="00972806" w:rsidP="00B81C42">
      <w:pPr>
        <w:pStyle w:val="FootnoteText"/>
        <w:bidi w:val="0"/>
        <w:rPr>
          <w:rFonts w:ascii="Times New Roman" w:hAnsi="Times New Roman" w:cs="Times New Roman"/>
        </w:rPr>
      </w:pPr>
      <w:r w:rsidRPr="00B81C42">
        <w:rPr>
          <w:rStyle w:val="FootnoteReference"/>
          <w:rFonts w:ascii="Times New Roman" w:hAnsi="Times New Roman" w:cs="Times New Roman"/>
        </w:rPr>
        <w:footnoteRef/>
      </w:r>
      <w:r w:rsidR="00030727" w:rsidRPr="00B81C42">
        <w:rPr>
          <w:rFonts w:ascii="Times New Roman" w:hAnsi="Times New Roman" w:cs="Times New Roman"/>
        </w:rPr>
        <w:t xml:space="preserve"> </w:t>
      </w:r>
      <w:r w:rsidR="00030727" w:rsidRPr="00B81C42">
        <w:rPr>
          <w:rFonts w:ascii="Times New Roman" w:hAnsi="Times New Roman" w:cs="Times New Roman"/>
          <w:highlight w:val="yellow"/>
        </w:rPr>
        <w:t xml:space="preserve">Interim Report </w:t>
      </w:r>
      <w:r w:rsidR="00405E35" w:rsidRPr="00B81C42">
        <w:rPr>
          <w:rFonts w:ascii="Times New Roman" w:hAnsi="Times New Roman" w:cs="Times New Roman"/>
          <w:highlight w:val="yellow"/>
        </w:rPr>
        <w:t xml:space="preserve">of the Public Commission </w:t>
      </w:r>
      <w:r w:rsidR="00B81C42" w:rsidRPr="00B81C42">
        <w:rPr>
          <w:rFonts w:ascii="Times New Roman" w:hAnsi="Times New Roman" w:cs="Times New Roman"/>
          <w:highlight w:val="yellow"/>
        </w:rPr>
        <w:t>for the Examination and Correction</w:t>
      </w:r>
      <w:r w:rsidR="00405E35" w:rsidRPr="00B81C42">
        <w:rPr>
          <w:rFonts w:ascii="Times New Roman" w:hAnsi="Times New Roman" w:cs="Times New Roman"/>
          <w:highlight w:val="yellow"/>
        </w:rPr>
        <w:t xml:space="preserve"> False Convictions</w:t>
      </w:r>
      <w:r w:rsidR="00B81C42" w:rsidRPr="00B81C42">
        <w:rPr>
          <w:rFonts w:ascii="Times New Roman" w:hAnsi="Times New Roman" w:cs="Times New Roman"/>
          <w:highlight w:val="yellow"/>
        </w:rPr>
        <w:t xml:space="preserve">, chaired by Justice </w:t>
      </w:r>
      <w:proofErr w:type="spellStart"/>
      <w:r w:rsidR="00B81C42" w:rsidRPr="00B81C42">
        <w:rPr>
          <w:rFonts w:ascii="Times New Roman" w:hAnsi="Times New Roman" w:cs="Times New Roman"/>
          <w:highlight w:val="yellow"/>
        </w:rPr>
        <w:t>Yoram</w:t>
      </w:r>
      <w:proofErr w:type="spellEnd"/>
      <w:r w:rsidR="00B81C42" w:rsidRPr="00B81C42">
        <w:rPr>
          <w:rFonts w:ascii="Times New Roman" w:hAnsi="Times New Roman" w:cs="Times New Roman"/>
          <w:highlight w:val="yellow"/>
        </w:rPr>
        <w:t xml:space="preserve"> </w:t>
      </w:r>
      <w:proofErr w:type="spellStart"/>
      <w:r w:rsidR="00B81C42" w:rsidRPr="00B81C42">
        <w:rPr>
          <w:rFonts w:ascii="Times New Roman" w:hAnsi="Times New Roman" w:cs="Times New Roman"/>
          <w:highlight w:val="yellow"/>
        </w:rPr>
        <w:t>Danziger</w:t>
      </w:r>
      <w:proofErr w:type="spellEnd"/>
      <w:r w:rsidR="00B81C42" w:rsidRPr="00B81C42">
        <w:rPr>
          <w:rFonts w:ascii="Times New Roman" w:hAnsi="Times New Roman" w:cs="Times New Roman"/>
        </w:rPr>
        <w:t>.</w:t>
      </w:r>
    </w:p>
  </w:footnote>
  <w:footnote w:id="5">
    <w:p w14:paraId="12AE0A8E" w14:textId="77777777" w:rsidR="00827379" w:rsidRPr="00827379" w:rsidRDefault="00827379" w:rsidP="00827379">
      <w:pPr>
        <w:pStyle w:val="EndnoteText"/>
        <w:bidi w:val="0"/>
        <w:spacing w:line="360" w:lineRule="auto"/>
        <w:contextualSpacing/>
        <w:jc w:val="both"/>
        <w:rPr>
          <w:rFonts w:ascii="David" w:hAnsi="David" w:cs="David"/>
          <w:sz w:val="22"/>
          <w:szCs w:val="22"/>
        </w:rPr>
      </w:pPr>
      <w:r w:rsidRPr="00827379">
        <w:rPr>
          <w:rStyle w:val="FootnoteReference"/>
          <w:sz w:val="22"/>
          <w:szCs w:val="22"/>
        </w:rPr>
        <w:footnoteRef/>
      </w:r>
      <w:r w:rsidRPr="00827379">
        <w:rPr>
          <w:sz w:val="22"/>
          <w:szCs w:val="22"/>
          <w:rtl/>
        </w:rPr>
        <w:t xml:space="preserve"> </w:t>
      </w:r>
      <w:r w:rsidRPr="00827379">
        <w:rPr>
          <w:rFonts w:ascii="David" w:hAnsi="David" w:cs="David"/>
          <w:sz w:val="22"/>
          <w:szCs w:val="22"/>
        </w:rPr>
        <w:t>Simon, Dan. In doubt: The psychology of the criminal justice process. Harvard University Press, 2012.</w:t>
      </w:r>
    </w:p>
    <w:p w14:paraId="39D7B63D" w14:textId="77777777" w:rsidR="00827379" w:rsidRPr="00827379" w:rsidRDefault="00827379">
      <w:pPr>
        <w:pStyle w:val="FootnoteText"/>
        <w:rPr>
          <w:sz w:val="22"/>
          <w:szCs w:val="22"/>
        </w:rPr>
      </w:pPr>
    </w:p>
  </w:footnote>
  <w:footnote w:id="6">
    <w:p w14:paraId="23771508" w14:textId="77777777" w:rsidR="00414082" w:rsidRPr="00414082" w:rsidRDefault="00414082" w:rsidP="00414082">
      <w:pPr>
        <w:pStyle w:val="EndnoteText"/>
        <w:bidi w:val="0"/>
        <w:spacing w:line="360" w:lineRule="auto"/>
        <w:contextualSpacing/>
        <w:jc w:val="both"/>
        <w:rPr>
          <w:rFonts w:ascii="David" w:hAnsi="David" w:cs="David"/>
        </w:rPr>
      </w:pPr>
      <w:r>
        <w:rPr>
          <w:rStyle w:val="FootnoteReference"/>
        </w:rPr>
        <w:footnoteRef/>
      </w:r>
      <w:r>
        <w:rPr>
          <w:rtl/>
        </w:rPr>
        <w:t xml:space="preserve"> </w:t>
      </w:r>
      <w:r w:rsidRPr="00414082">
        <w:rPr>
          <w:rFonts w:ascii="David" w:hAnsi="David" w:cs="David"/>
        </w:rPr>
        <w:t>Code Of Practice For The Identification Of Persons By Police Officers, Code D to the Police and</w:t>
      </w:r>
      <w:r w:rsidRPr="00C601A0">
        <w:rPr>
          <w:rFonts w:ascii="David" w:hAnsi="David" w:cs="David"/>
          <w:sz w:val="24"/>
          <w:szCs w:val="24"/>
        </w:rPr>
        <w:t xml:space="preserve"> </w:t>
      </w:r>
      <w:r w:rsidRPr="00414082">
        <w:rPr>
          <w:rFonts w:ascii="David" w:hAnsi="David" w:cs="David"/>
          <w:sz w:val="22"/>
          <w:szCs w:val="22"/>
        </w:rPr>
        <w:t xml:space="preserve">Criminal </w:t>
      </w:r>
      <w:r w:rsidRPr="00414082">
        <w:rPr>
          <w:rFonts w:ascii="David" w:hAnsi="David" w:cs="David"/>
        </w:rPr>
        <w:t>Evidence Act 1984</w:t>
      </w:r>
    </w:p>
    <w:p w14:paraId="2A6EA9B3" w14:textId="77777777" w:rsidR="00414082" w:rsidRDefault="00414082" w:rsidP="00414082">
      <w:pPr>
        <w:pStyle w:val="FootnoteText"/>
        <w:bidi w:val="0"/>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av Datan">
    <w15:presenceInfo w15:providerId="None" w15:userId="Merav Da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9CA0823-BDEE-49CC-9508-EFA6877542C1}"/>
    <w:docVar w:name="dgnword-eventsink" w:val="483287632"/>
  </w:docVars>
  <w:rsids>
    <w:rsidRoot w:val="00972806"/>
    <w:rsid w:val="000067D8"/>
    <w:rsid w:val="00016F19"/>
    <w:rsid w:val="00030727"/>
    <w:rsid w:val="00044830"/>
    <w:rsid w:val="00047F15"/>
    <w:rsid w:val="00067EED"/>
    <w:rsid w:val="00081531"/>
    <w:rsid w:val="00085ADC"/>
    <w:rsid w:val="000C1EE4"/>
    <w:rsid w:val="00103F15"/>
    <w:rsid w:val="001C1A82"/>
    <w:rsid w:val="002932D1"/>
    <w:rsid w:val="002C0508"/>
    <w:rsid w:val="00337B5E"/>
    <w:rsid w:val="00353A53"/>
    <w:rsid w:val="003667B7"/>
    <w:rsid w:val="00405E35"/>
    <w:rsid w:val="00414082"/>
    <w:rsid w:val="00544862"/>
    <w:rsid w:val="005B1CAE"/>
    <w:rsid w:val="006D4000"/>
    <w:rsid w:val="006E67AE"/>
    <w:rsid w:val="00756621"/>
    <w:rsid w:val="00756878"/>
    <w:rsid w:val="007768DA"/>
    <w:rsid w:val="007A3EA3"/>
    <w:rsid w:val="007A7CD3"/>
    <w:rsid w:val="007F6809"/>
    <w:rsid w:val="00811EFD"/>
    <w:rsid w:val="0082460C"/>
    <w:rsid w:val="00827379"/>
    <w:rsid w:val="008700E2"/>
    <w:rsid w:val="008A7219"/>
    <w:rsid w:val="008C1FCE"/>
    <w:rsid w:val="00900C4C"/>
    <w:rsid w:val="009109EC"/>
    <w:rsid w:val="00972806"/>
    <w:rsid w:val="00A7200A"/>
    <w:rsid w:val="00AA213A"/>
    <w:rsid w:val="00B0081D"/>
    <w:rsid w:val="00B7015D"/>
    <w:rsid w:val="00B81C42"/>
    <w:rsid w:val="00BA4BA4"/>
    <w:rsid w:val="00BB4732"/>
    <w:rsid w:val="00BC2A1E"/>
    <w:rsid w:val="00C226CA"/>
    <w:rsid w:val="00C33D63"/>
    <w:rsid w:val="00CF1485"/>
    <w:rsid w:val="00D13EBC"/>
    <w:rsid w:val="00D14A3E"/>
    <w:rsid w:val="00D60BE8"/>
    <w:rsid w:val="00D71B72"/>
    <w:rsid w:val="00D76D8A"/>
    <w:rsid w:val="00E4374F"/>
    <w:rsid w:val="00E71564"/>
    <w:rsid w:val="00EB7173"/>
    <w:rsid w:val="00ED6B85"/>
    <w:rsid w:val="00F22C8A"/>
    <w:rsid w:val="00F43FFA"/>
    <w:rsid w:val="00F84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D5F8"/>
  <w15:chartTrackingRefBased/>
  <w15:docId w15:val="{D42A8F95-403C-4BEF-B028-EA685C7C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72806"/>
    <w:pPr>
      <w:spacing w:after="0" w:line="240" w:lineRule="auto"/>
    </w:pPr>
    <w:rPr>
      <w:rFonts w:ascii="Calibri" w:eastAsia="Times New Roman" w:hAnsi="Calibri" w:cs="Arial"/>
      <w:sz w:val="20"/>
      <w:szCs w:val="20"/>
    </w:rPr>
  </w:style>
  <w:style w:type="character" w:customStyle="1" w:styleId="FootnoteTextChar">
    <w:name w:val="Footnote Text Char"/>
    <w:basedOn w:val="DefaultParagraphFont"/>
    <w:link w:val="FootnoteText"/>
    <w:uiPriority w:val="99"/>
    <w:rsid w:val="00972806"/>
    <w:rPr>
      <w:rFonts w:ascii="Calibri" w:eastAsia="Times New Roman" w:hAnsi="Calibri" w:cs="Arial"/>
      <w:sz w:val="20"/>
      <w:szCs w:val="20"/>
    </w:rPr>
  </w:style>
  <w:style w:type="character" w:styleId="FootnoteReference">
    <w:name w:val="footnote reference"/>
    <w:basedOn w:val="DefaultParagraphFont"/>
    <w:uiPriority w:val="99"/>
    <w:unhideWhenUsed/>
    <w:rsid w:val="00972806"/>
    <w:rPr>
      <w:vertAlign w:val="superscript"/>
    </w:rPr>
  </w:style>
  <w:style w:type="paragraph" w:styleId="Footer">
    <w:name w:val="footer"/>
    <w:basedOn w:val="Normal"/>
    <w:link w:val="FooterChar"/>
    <w:uiPriority w:val="99"/>
    <w:unhideWhenUsed/>
    <w:rsid w:val="00972806"/>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972806"/>
    <w:rPr>
      <w:rFonts w:ascii="Calibri" w:eastAsia="Times New Roman" w:hAnsi="Calibri" w:cs="Arial"/>
    </w:rPr>
  </w:style>
  <w:style w:type="paragraph" w:styleId="EndnoteText">
    <w:name w:val="endnote text"/>
    <w:basedOn w:val="Normal"/>
    <w:link w:val="EndnoteTextChar"/>
    <w:uiPriority w:val="99"/>
    <w:unhideWhenUsed/>
    <w:rsid w:val="007A3EA3"/>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7A3EA3"/>
    <w:rPr>
      <w:rFonts w:ascii="Calibri" w:eastAsia="Calibri" w:hAnsi="Calibri" w:cs="Arial"/>
      <w:sz w:val="20"/>
      <w:szCs w:val="20"/>
    </w:rPr>
  </w:style>
  <w:style w:type="character" w:styleId="CommentReference">
    <w:name w:val="annotation reference"/>
    <w:basedOn w:val="DefaultParagraphFont"/>
    <w:uiPriority w:val="99"/>
    <w:semiHidden/>
    <w:unhideWhenUsed/>
    <w:rsid w:val="00EB7173"/>
    <w:rPr>
      <w:sz w:val="16"/>
      <w:szCs w:val="16"/>
    </w:rPr>
  </w:style>
  <w:style w:type="paragraph" w:styleId="CommentText">
    <w:name w:val="annotation text"/>
    <w:basedOn w:val="Normal"/>
    <w:link w:val="CommentTextChar"/>
    <w:uiPriority w:val="99"/>
    <w:semiHidden/>
    <w:unhideWhenUsed/>
    <w:rsid w:val="00EB7173"/>
    <w:pPr>
      <w:spacing w:line="240" w:lineRule="auto"/>
    </w:pPr>
    <w:rPr>
      <w:sz w:val="20"/>
      <w:szCs w:val="20"/>
    </w:rPr>
  </w:style>
  <w:style w:type="character" w:customStyle="1" w:styleId="CommentTextChar">
    <w:name w:val="Comment Text Char"/>
    <w:basedOn w:val="DefaultParagraphFont"/>
    <w:link w:val="CommentText"/>
    <w:uiPriority w:val="99"/>
    <w:semiHidden/>
    <w:rsid w:val="00EB7173"/>
    <w:rPr>
      <w:sz w:val="20"/>
      <w:szCs w:val="20"/>
    </w:rPr>
  </w:style>
  <w:style w:type="paragraph" w:styleId="CommentSubject">
    <w:name w:val="annotation subject"/>
    <w:basedOn w:val="CommentText"/>
    <w:next w:val="CommentText"/>
    <w:link w:val="CommentSubjectChar"/>
    <w:uiPriority w:val="99"/>
    <w:semiHidden/>
    <w:unhideWhenUsed/>
    <w:rsid w:val="00EB7173"/>
    <w:rPr>
      <w:b/>
      <w:bCs/>
    </w:rPr>
  </w:style>
  <w:style w:type="character" w:customStyle="1" w:styleId="CommentSubjectChar">
    <w:name w:val="Comment Subject Char"/>
    <w:basedOn w:val="CommentTextChar"/>
    <w:link w:val="CommentSubject"/>
    <w:uiPriority w:val="99"/>
    <w:semiHidden/>
    <w:rsid w:val="00EB7173"/>
    <w:rPr>
      <w:b/>
      <w:bCs/>
      <w:sz w:val="20"/>
      <w:szCs w:val="20"/>
    </w:rPr>
  </w:style>
  <w:style w:type="paragraph" w:styleId="BalloonText">
    <w:name w:val="Balloon Text"/>
    <w:basedOn w:val="Normal"/>
    <w:link w:val="BalloonTextChar"/>
    <w:uiPriority w:val="99"/>
    <w:semiHidden/>
    <w:unhideWhenUsed/>
    <w:rsid w:val="00EB7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55998-5C37-47E7-9437-940A7349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2202</Words>
  <Characters>12090</Characters>
  <Application>Microsoft Office Word</Application>
  <DocSecurity>0</DocSecurity>
  <Lines>191</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Court</Company>
  <LinksUpToDate>false</LinksUpToDate>
  <CharactersWithSpaces>14273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נגה שמואלי-מאייר</dc:creator>
  <cp:keywords/>
  <dc:description/>
  <cp:lastModifiedBy>Merav Datan</cp:lastModifiedBy>
  <cp:revision>23</cp:revision>
  <dcterms:created xsi:type="dcterms:W3CDTF">2019-10-22T07:08:00Z</dcterms:created>
  <dcterms:modified xsi:type="dcterms:W3CDTF">2019-10-22T12:31:00Z</dcterms:modified>
</cp:coreProperties>
</file>