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6AF90" w14:textId="45D611FC" w:rsidR="00395220" w:rsidRPr="0004523D" w:rsidRDefault="006D46C0" w:rsidP="00E72C9F">
      <w:pPr>
        <w:spacing w:line="276" w:lineRule="auto"/>
        <w:ind w:firstLine="0"/>
        <w:contextualSpacing/>
        <w:rPr>
          <w:b/>
          <w:bCs/>
        </w:rPr>
      </w:pPr>
      <w:r w:rsidRPr="0004523D">
        <w:rPr>
          <w:b/>
          <w:bCs/>
        </w:rPr>
        <w:t>Judas Iscariot: Between Traitor and Betrayed</w:t>
      </w:r>
      <w:r w:rsidR="00E72C9F">
        <w:rPr>
          <w:b/>
          <w:bCs/>
        </w:rPr>
        <w:t xml:space="preserve">. </w:t>
      </w:r>
      <w:r w:rsidR="00395220" w:rsidRPr="0004523D">
        <w:rPr>
          <w:b/>
          <w:bCs/>
        </w:rPr>
        <w:t xml:space="preserve">On </w:t>
      </w:r>
      <w:r w:rsidR="001E091E">
        <w:rPr>
          <w:b/>
          <w:bCs/>
        </w:rPr>
        <w:t>I</w:t>
      </w:r>
      <w:r w:rsidR="00395220" w:rsidRPr="0004523D">
        <w:rPr>
          <w:b/>
          <w:bCs/>
        </w:rPr>
        <w:t>gal Mossinso</w:t>
      </w:r>
      <w:r w:rsidR="001E091E">
        <w:rPr>
          <w:b/>
          <w:bCs/>
        </w:rPr>
        <w:t>h</w:t>
      </w:r>
      <w:r w:rsidR="00395220" w:rsidRPr="0004523D">
        <w:rPr>
          <w:b/>
          <w:bCs/>
        </w:rPr>
        <w:t xml:space="preserve">n’s Novel, </w:t>
      </w:r>
      <w:r w:rsidR="00395220" w:rsidRPr="0004523D">
        <w:rPr>
          <w:b/>
          <w:bCs/>
          <w:i/>
          <w:iCs/>
        </w:rPr>
        <w:t>Judas</w:t>
      </w:r>
    </w:p>
    <w:p w14:paraId="7C52D61C" w14:textId="77777777" w:rsidR="00E72C9F" w:rsidRDefault="00E72C9F" w:rsidP="008E65F6">
      <w:pPr>
        <w:ind w:firstLine="0"/>
        <w:contextualSpacing/>
        <w:rPr>
          <w:i/>
          <w:iCs/>
        </w:rPr>
      </w:pPr>
    </w:p>
    <w:p w14:paraId="276562B1" w14:textId="339F2B74" w:rsidR="00395220" w:rsidRDefault="0004523D" w:rsidP="008E65F6">
      <w:pPr>
        <w:ind w:firstLine="0"/>
        <w:contextualSpacing/>
        <w:rPr>
          <w:i/>
          <w:iCs/>
        </w:rPr>
      </w:pPr>
      <w:r w:rsidRPr="0004523D">
        <w:rPr>
          <w:i/>
          <w:iCs/>
        </w:rPr>
        <w:t xml:space="preserve">We need the messiah so that he may not come. Because the days of the messiah are more important than the messiah himself, and the Jewish people lives in the days of the messiah, expects the days of the messiah, believes in the days of the messiah, and that is one of the main reasons for the existence of the Jewish people. </w:t>
      </w:r>
    </w:p>
    <w:p w14:paraId="08482AEC" w14:textId="43650969" w:rsidR="00F372F7" w:rsidRDefault="0004523D" w:rsidP="008E65F6">
      <w:pPr>
        <w:ind w:firstLine="0"/>
        <w:contextualSpacing/>
      </w:pPr>
      <w:r>
        <w:t>—David Ben Gurion</w:t>
      </w:r>
      <w:r w:rsidR="00956F94">
        <w:t>. Meeting with Israeli w</w:t>
      </w:r>
      <w:r w:rsidR="00F372F7">
        <w:t xml:space="preserve">riters, October 11, 1949, 23, BGA, Protocols. </w:t>
      </w:r>
    </w:p>
    <w:p w14:paraId="6A64605A" w14:textId="77777777" w:rsidR="00E72C9F" w:rsidRDefault="00E72C9F" w:rsidP="00E72C9F">
      <w:pPr>
        <w:ind w:firstLine="0"/>
        <w:contextualSpacing/>
      </w:pPr>
    </w:p>
    <w:p w14:paraId="2E97767F" w14:textId="6AA9E57E" w:rsidR="00856ED8" w:rsidRDefault="009C3C5B" w:rsidP="007668C0">
      <w:pPr>
        <w:ind w:firstLine="0"/>
        <w:contextualSpacing/>
      </w:pPr>
      <w:r>
        <w:t xml:space="preserve">In his short story, </w:t>
      </w:r>
      <w:r w:rsidRPr="002D6258">
        <w:rPr>
          <w:i/>
          <w:iCs/>
        </w:rPr>
        <w:t>Three Versions of Judas</w:t>
      </w:r>
      <w:r>
        <w:t xml:space="preserve"> (1944)</w:t>
      </w:r>
      <w:r w:rsidR="009969E2">
        <w:t xml:space="preserve">, Argentinian novelist Jorge Luis Borges describes the </w:t>
      </w:r>
      <w:r w:rsidR="000F5293">
        <w:t>research conducted by</w:t>
      </w:r>
      <w:r w:rsidR="009969E2">
        <w:t xml:space="preserve"> </w:t>
      </w:r>
      <w:r w:rsidR="000F5293">
        <w:t xml:space="preserve">Nils </w:t>
      </w:r>
      <w:proofErr w:type="spellStart"/>
      <w:r w:rsidR="000F5293">
        <w:t>Ruenberg</w:t>
      </w:r>
      <w:proofErr w:type="spellEnd"/>
      <w:r w:rsidR="000F5293">
        <w:t xml:space="preserve">, </w:t>
      </w:r>
      <w:r w:rsidR="009969E2">
        <w:t xml:space="preserve">a fictional Swedish theologian </w:t>
      </w:r>
      <w:r w:rsidR="000F5293">
        <w:t>and</w:t>
      </w:r>
      <w:r w:rsidR="009969E2">
        <w:t xml:space="preserve"> member of the National Evangelical Union</w:t>
      </w:r>
      <w:r w:rsidR="00417668">
        <w:t>, who solved the riddle of Judas Iscariot.</w:t>
      </w:r>
      <w:r w:rsidR="00CD4F17">
        <w:rPr>
          <w:rStyle w:val="FootnoteReference"/>
        </w:rPr>
        <w:footnoteReference w:id="1"/>
      </w:r>
      <w:r w:rsidR="00417668">
        <w:t xml:space="preserve"> Borges’s story presents a variation o</w:t>
      </w:r>
      <w:r w:rsidR="004A4A62">
        <w:t>n</w:t>
      </w:r>
      <w:r w:rsidR="00417668">
        <w:t xml:space="preserve"> the New Testament’s </w:t>
      </w:r>
      <w:r w:rsidR="00564C9F">
        <w:t>notorious</w:t>
      </w:r>
      <w:r w:rsidR="00417668">
        <w:t xml:space="preserve"> </w:t>
      </w:r>
      <w:r w:rsidR="00772A95">
        <w:t>betrayal</w:t>
      </w:r>
      <w:r w:rsidR="00417668">
        <w:t xml:space="preserve"> narrative</w:t>
      </w:r>
      <w:r w:rsidR="00564C9F">
        <w:t xml:space="preserve"> and crowns Judas Iscariot the true </w:t>
      </w:r>
      <w:r w:rsidR="00387542">
        <w:t>E</w:t>
      </w:r>
      <w:r w:rsidR="00564C9F">
        <w:t>vangelical tragic hero. Judas Iscariot, who</w:t>
      </w:r>
      <w:r w:rsidR="00872172">
        <w:t xml:space="preserve"> is</w:t>
      </w:r>
      <w:r w:rsidR="00564C9F">
        <w:t xml:space="preserve"> perceived in Christian tradition as </w:t>
      </w:r>
      <w:r w:rsidR="004A4A62">
        <w:t>epitomizing</w:t>
      </w:r>
      <w:r w:rsidR="00564C9F">
        <w:t xml:space="preserve"> evil, envy, selfishness, and greed, is presented in </w:t>
      </w:r>
      <w:r w:rsidR="00872172">
        <w:t xml:space="preserve">Ruenberg’s writings as someone whose total faith in Jesus differentiated him from the other apostles and made </w:t>
      </w:r>
      <w:r w:rsidR="00BF6A88">
        <w:t xml:space="preserve">him humanity’s </w:t>
      </w:r>
      <w:r w:rsidR="00872172">
        <w:t>true savior.</w:t>
      </w:r>
      <w:commentRangeStart w:id="0"/>
      <w:r w:rsidR="00CD4F17">
        <w:rPr>
          <w:rStyle w:val="FootnoteReference"/>
        </w:rPr>
        <w:footnoteReference w:id="2"/>
      </w:r>
      <w:r w:rsidR="00872172">
        <w:t xml:space="preserve"> </w:t>
      </w:r>
      <w:commentRangeEnd w:id="0"/>
      <w:r w:rsidR="00956F94">
        <w:rPr>
          <w:rStyle w:val="CommentReference"/>
        </w:rPr>
        <w:commentReference w:id="0"/>
      </w:r>
      <w:r w:rsidR="00F821FB">
        <w:t xml:space="preserve">Through a </w:t>
      </w:r>
      <w:r w:rsidR="00F821FB" w:rsidRPr="00BF6A88">
        <w:t>narrative gesture that leads to</w:t>
      </w:r>
      <w:r w:rsidR="00F821FB">
        <w:t xml:space="preserve"> a fundamental blurring of the dichotic relationship between </w:t>
      </w:r>
      <w:r w:rsidR="00772A95">
        <w:t>betrayal</w:t>
      </w:r>
      <w:r w:rsidR="00F821FB">
        <w:t xml:space="preserve"> and loyalty, Borges’s story demonstrates the </w:t>
      </w:r>
      <w:r w:rsidR="00CD4F17">
        <w:t>often-betraying</w:t>
      </w:r>
      <w:r w:rsidR="00F821FB">
        <w:t xml:space="preserve"> role </w:t>
      </w:r>
      <w:r w:rsidR="00F821FB">
        <w:lastRenderedPageBreak/>
        <w:t>of literary fiction itself</w:t>
      </w:r>
      <w:r w:rsidR="00956F94">
        <w:t>,</w:t>
      </w:r>
      <w:r w:rsidR="00BF6A88">
        <w:t xml:space="preserve"> as it</w:t>
      </w:r>
      <w:r w:rsidR="00F821FB">
        <w:t xml:space="preserve"> challenges </w:t>
      </w:r>
      <w:r w:rsidR="001341F7">
        <w:t>readers’ extant</w:t>
      </w:r>
      <w:r w:rsidR="00F821FB">
        <w:t xml:space="preserve"> </w:t>
      </w:r>
      <w:r w:rsidR="001341F7">
        <w:t xml:space="preserve">systems of knowledge and meaning and undermines </w:t>
      </w:r>
      <w:r w:rsidR="00BF6A88">
        <w:t xml:space="preserve">what </w:t>
      </w:r>
      <w:r w:rsidR="001341F7">
        <w:t>has already been</w:t>
      </w:r>
      <w:r w:rsidR="005D729C">
        <w:t xml:space="preserve"> </w:t>
      </w:r>
      <w:r w:rsidR="001341F7" w:rsidRPr="005D729C">
        <w:t>fixed</w:t>
      </w:r>
      <w:r w:rsidR="001341F7">
        <w:t xml:space="preserve"> </w:t>
      </w:r>
      <w:r w:rsidR="00856ED8">
        <w:t>as an indisputabl</w:t>
      </w:r>
      <w:r w:rsidR="005D729C">
        <w:t>y</w:t>
      </w:r>
      <w:r w:rsidR="00C55BD7">
        <w:t xml:space="preserve"> </w:t>
      </w:r>
      <w:r w:rsidR="00B4150E">
        <w:t>canonical narrative.</w:t>
      </w:r>
      <w:r w:rsidR="00CD4F17">
        <w:rPr>
          <w:rStyle w:val="FootnoteReference"/>
        </w:rPr>
        <w:footnoteReference w:id="3"/>
      </w:r>
    </w:p>
    <w:p w14:paraId="7E86C43D" w14:textId="381EC3F4" w:rsidR="00856ED8" w:rsidRDefault="00856ED8" w:rsidP="006D3FCF">
      <w:pPr>
        <w:contextualSpacing/>
      </w:pPr>
      <w:r>
        <w:t xml:space="preserve">In this paper I </w:t>
      </w:r>
      <w:r w:rsidR="001E091E">
        <w:t>aim to explore the role</w:t>
      </w:r>
      <w:r w:rsidR="00B06E85">
        <w:t xml:space="preserve"> of </w:t>
      </w:r>
      <w:r w:rsidR="005D729C">
        <w:t>betrayer</w:t>
      </w:r>
      <w:r w:rsidR="001E091E">
        <w:t xml:space="preserve"> </w:t>
      </w:r>
      <w:r w:rsidR="006154E6">
        <w:t>(</w:t>
      </w:r>
      <w:r w:rsidR="001E091E">
        <w:t xml:space="preserve">and </w:t>
      </w:r>
      <w:r w:rsidR="005D729C">
        <w:t>betrayal</w:t>
      </w:r>
      <w:r w:rsidR="006154E6">
        <w:t>)</w:t>
      </w:r>
      <w:r w:rsidR="001E091E">
        <w:t xml:space="preserve"> as a literary, political, and critical position in Israeli author Igal Mossinsohn’s novel </w:t>
      </w:r>
      <w:r w:rsidR="001E091E" w:rsidRPr="006D3FCF">
        <w:rPr>
          <w:i/>
          <w:iCs/>
        </w:rPr>
        <w:t>Judas</w:t>
      </w:r>
      <w:r w:rsidR="00CD4F17">
        <w:rPr>
          <w:i/>
          <w:iCs/>
        </w:rPr>
        <w:t xml:space="preserve"> </w:t>
      </w:r>
      <w:r w:rsidR="00CD4F17">
        <w:t>(1962).</w:t>
      </w:r>
      <w:r w:rsidR="00CD4F17">
        <w:rPr>
          <w:rStyle w:val="FootnoteReference"/>
        </w:rPr>
        <w:footnoteReference w:id="4"/>
      </w:r>
      <w:r w:rsidR="001E091E">
        <w:t xml:space="preserve"> </w:t>
      </w:r>
      <w:r w:rsidR="00CD4F17">
        <w:t xml:space="preserve">Mossinsohn situates Judas Iscariot </w:t>
      </w:r>
      <w:r w:rsidR="00D11940" w:rsidRPr="006154E6">
        <w:t>at the heart of</w:t>
      </w:r>
      <w:r w:rsidR="00D11940">
        <w:t xml:space="preserve"> the Jewish national project, and presents him not as a </w:t>
      </w:r>
      <w:r w:rsidR="006154E6">
        <w:t>betrayer</w:t>
      </w:r>
      <w:r w:rsidR="00D11940">
        <w:t>, but rather as a</w:t>
      </w:r>
      <w:r w:rsidR="00C26919">
        <w:t>n obedient</w:t>
      </w:r>
      <w:r w:rsidR="00D11940">
        <w:t xml:space="preserve"> man </w:t>
      </w:r>
      <w:r w:rsidR="00C26919">
        <w:t>ordered</w:t>
      </w:r>
      <w:r w:rsidR="00BD7A54">
        <w:t xml:space="preserve"> by his commander</w:t>
      </w:r>
      <w:r w:rsidR="00C26919">
        <w:t xml:space="preserve"> to turn Jesus in </w:t>
      </w:r>
      <w:r w:rsidR="008E486E">
        <w:t xml:space="preserve">as a </w:t>
      </w:r>
      <w:r w:rsidR="006154E6">
        <w:t>means</w:t>
      </w:r>
      <w:r w:rsidR="008E486E">
        <w:t xml:space="preserve"> to change the balance of political power in occupied Canaan. The presentation of the Christian </w:t>
      </w:r>
      <w:r w:rsidR="007E52F0">
        <w:t>betrayal</w:t>
      </w:r>
      <w:r w:rsidR="008E486E">
        <w:t xml:space="preserve"> narrative in the framework of a plot revolving around </w:t>
      </w:r>
      <w:r w:rsidR="005025AC">
        <w:t xml:space="preserve">political intrigue associated with the aspiration </w:t>
      </w:r>
      <w:r w:rsidR="0023104F">
        <w:t>for</w:t>
      </w:r>
      <w:r w:rsidR="005025AC">
        <w:t xml:space="preserve"> autonomous Jewi</w:t>
      </w:r>
      <w:r w:rsidR="007668C0">
        <w:t>sh sovereignty</w:t>
      </w:r>
      <w:r w:rsidR="005025AC">
        <w:t xml:space="preserve"> enables me to read Mossinsohn’s novel </w:t>
      </w:r>
      <w:commentRangeStart w:id="1"/>
      <w:r w:rsidR="005025AC">
        <w:t xml:space="preserve">as an intellectual and </w:t>
      </w:r>
      <w:r w:rsidR="005025AC" w:rsidRPr="00943F04">
        <w:t>critical arena</w:t>
      </w:r>
      <w:commentRangeEnd w:id="1"/>
      <w:r w:rsidR="007668C0">
        <w:rPr>
          <w:rStyle w:val="CommentReference"/>
        </w:rPr>
        <w:commentReference w:id="1"/>
      </w:r>
      <w:r w:rsidR="00943F04">
        <w:t>. This reading focuses on</w:t>
      </w:r>
      <w:r w:rsidR="005025AC" w:rsidRPr="00943F04">
        <w:t xml:space="preserve"> </w:t>
      </w:r>
      <w:r w:rsidR="00943F04">
        <w:t>an exploration</w:t>
      </w:r>
      <w:r w:rsidR="005025AC">
        <w:t xml:space="preserve"> </w:t>
      </w:r>
      <w:r w:rsidR="0023104F">
        <w:t xml:space="preserve">of </w:t>
      </w:r>
      <w:r w:rsidR="005025AC">
        <w:t xml:space="preserve">the </w:t>
      </w:r>
      <w:r w:rsidR="0023104F">
        <w:t xml:space="preserve">meaning and </w:t>
      </w:r>
      <w:r w:rsidR="005025AC">
        <w:t xml:space="preserve">ramifications of </w:t>
      </w:r>
      <w:r w:rsidR="00772A95">
        <w:t>betrayal</w:t>
      </w:r>
      <w:r w:rsidR="005025AC">
        <w:t xml:space="preserve"> </w:t>
      </w:r>
      <w:r w:rsidR="00CE6181">
        <w:t>against the context of</w:t>
      </w:r>
      <w:r w:rsidR="00943F04">
        <w:t xml:space="preserve"> </w:t>
      </w:r>
      <w:r w:rsidR="00CE6181">
        <w:t xml:space="preserve">the relevant political and ideological trends </w:t>
      </w:r>
      <w:r w:rsidR="00943F04">
        <w:t>in</w:t>
      </w:r>
      <w:r w:rsidR="00CE6181">
        <w:t xml:space="preserve"> the Israeli reality in which it was written. </w:t>
      </w:r>
    </w:p>
    <w:p w14:paraId="55FD117E" w14:textId="6D0876C8" w:rsidR="00925DE6" w:rsidRDefault="00CE6181" w:rsidP="00D02E9C">
      <w:pPr>
        <w:contextualSpacing/>
      </w:pPr>
      <w:proofErr w:type="spellStart"/>
      <w:r>
        <w:t>Mossinsohn’s</w:t>
      </w:r>
      <w:proofErr w:type="spellEnd"/>
      <w:r>
        <w:t xml:space="preserve"> </w:t>
      </w:r>
      <w:r w:rsidR="00F963A5">
        <w:t xml:space="preserve">novel </w:t>
      </w:r>
      <w:r w:rsidR="0023104F">
        <w:t>fosters</w:t>
      </w:r>
      <w:r w:rsidR="00F963A5">
        <w:t xml:space="preserve"> an unresolvable tension between the desire to present </w:t>
      </w:r>
      <w:r w:rsidR="0005107A">
        <w:t xml:space="preserve">an active and effective model of political </w:t>
      </w:r>
      <w:r w:rsidR="0023104F">
        <w:t>betrayal</w:t>
      </w:r>
      <w:r w:rsidR="0005107A">
        <w:t xml:space="preserve"> and </w:t>
      </w:r>
      <w:r w:rsidR="000E3B8A">
        <w:t>its failure</w:t>
      </w:r>
      <w:r w:rsidR="0005107A">
        <w:t xml:space="preserve">—the failure to </w:t>
      </w:r>
      <w:r w:rsidR="006C1911">
        <w:t xml:space="preserve">burrow an escape route </w:t>
      </w:r>
      <w:r w:rsidR="007668C0">
        <w:t>out of</w:t>
      </w:r>
      <w:r w:rsidR="006C1911">
        <w:t xml:space="preserve"> </w:t>
      </w:r>
      <w:r w:rsidR="000E3B8A">
        <w:t>what I will refer to</w:t>
      </w:r>
      <w:r w:rsidR="0055557B">
        <w:t xml:space="preserve"> as “the Israeli </w:t>
      </w:r>
      <w:r w:rsidR="000E3B8A">
        <w:t>industry of saints</w:t>
      </w:r>
      <w:r w:rsidR="0055557B">
        <w:t xml:space="preserve">.” This “industry” renders </w:t>
      </w:r>
      <w:r w:rsidR="000E3B8A">
        <w:t>betrayal</w:t>
      </w:r>
      <w:r w:rsidR="0055557B">
        <w:t xml:space="preserve"> an inherent part of </w:t>
      </w:r>
      <w:commentRangeStart w:id="2"/>
      <w:r w:rsidR="0055557B" w:rsidRPr="000E3B8A">
        <w:t xml:space="preserve">a prescribed </w:t>
      </w:r>
      <w:r w:rsidR="00E63926" w:rsidRPr="000E3B8A">
        <w:t>drama</w:t>
      </w:r>
      <w:r w:rsidR="00E63926">
        <w:t xml:space="preserve"> of </w:t>
      </w:r>
      <w:r w:rsidR="000E3B8A">
        <w:t>a</w:t>
      </w:r>
      <w:r w:rsidR="00E63926">
        <w:t xml:space="preserve"> Zionist redemption narrative</w:t>
      </w:r>
      <w:commentRangeEnd w:id="2"/>
      <w:r w:rsidR="007668C0">
        <w:rPr>
          <w:rStyle w:val="CommentReference"/>
        </w:rPr>
        <w:commentReference w:id="2"/>
      </w:r>
      <w:r w:rsidR="00E63926">
        <w:t xml:space="preserve">. </w:t>
      </w:r>
      <w:r w:rsidR="00B93693">
        <w:t>In the novel, t</w:t>
      </w:r>
      <w:r w:rsidR="00E63926">
        <w:t xml:space="preserve">he failure of </w:t>
      </w:r>
      <w:r w:rsidR="000E3B8A">
        <w:t>betrayal</w:t>
      </w:r>
      <w:r w:rsidR="00E63926">
        <w:t xml:space="preserve"> </w:t>
      </w:r>
      <w:r w:rsidR="00B93693">
        <w:t xml:space="preserve">is rooted in the fact that it </w:t>
      </w:r>
      <w:r w:rsidR="008D1B7C">
        <w:t>does not have a world-changing effect</w:t>
      </w:r>
      <w:r w:rsidR="009F1FF8">
        <w:t xml:space="preserve"> and does not constitute a point of departure for the imagining of alternative forms of political and social </w:t>
      </w:r>
      <w:r w:rsidR="009F1FF8">
        <w:lastRenderedPageBreak/>
        <w:t xml:space="preserve">relations. Therefore, what may </w:t>
      </w:r>
      <w:r w:rsidR="00CF38EF">
        <w:t xml:space="preserve">seem in Mossinsohn’s novel to be a necessary position of </w:t>
      </w:r>
      <w:r w:rsidR="008D1B7C">
        <w:t>betrayal</w:t>
      </w:r>
      <w:r w:rsidR="00CF38EF">
        <w:t xml:space="preserve">, which </w:t>
      </w:r>
      <w:r w:rsidR="00690C8D">
        <w:t xml:space="preserve">harshly criticizes the </w:t>
      </w:r>
      <w:r w:rsidR="00623074">
        <w:t xml:space="preserve">political underpinnings of Israeli sovereignty, is eventually </w:t>
      </w:r>
      <w:r w:rsidR="0055580D">
        <w:t>replaced by</w:t>
      </w:r>
      <w:r w:rsidR="00623074">
        <w:t xml:space="preserve"> </w:t>
      </w:r>
      <w:r w:rsidR="00395EC7">
        <w:t>a—</w:t>
      </w:r>
      <w:r w:rsidR="0055580D">
        <w:t>less treacherous</w:t>
      </w:r>
      <w:r w:rsidR="00623074">
        <w:t>—</w:t>
      </w:r>
      <w:r w:rsidR="00395EC7">
        <w:t xml:space="preserve">impasse </w:t>
      </w:r>
      <w:r w:rsidR="00623074">
        <w:t xml:space="preserve">into which the </w:t>
      </w:r>
      <w:r w:rsidR="00395EC7">
        <w:t>betrayer</w:t>
      </w:r>
      <w:r w:rsidR="00623074">
        <w:t xml:space="preserve"> is </w:t>
      </w:r>
      <w:r w:rsidR="00395EC7" w:rsidRPr="007A6C90">
        <w:t>sucked</w:t>
      </w:r>
      <w:r w:rsidR="00925DE6">
        <w:t xml:space="preserve"> against </w:t>
      </w:r>
      <w:r w:rsidR="00D02E9C">
        <w:t>his</w:t>
      </w:r>
      <w:r w:rsidR="00925DE6">
        <w:t xml:space="preserve"> will. </w:t>
      </w:r>
    </w:p>
    <w:p w14:paraId="1CFB35A7" w14:textId="77777777" w:rsidR="00891D90" w:rsidRDefault="00891D90" w:rsidP="006D3FCF">
      <w:pPr>
        <w:contextualSpacing/>
        <w:rPr>
          <w:b/>
          <w:bCs/>
        </w:rPr>
      </w:pPr>
    </w:p>
    <w:p w14:paraId="1775380E" w14:textId="0ECBF0D6" w:rsidR="00CE6181" w:rsidRPr="00925DE6" w:rsidRDefault="00925DE6" w:rsidP="009C06ED">
      <w:pPr>
        <w:ind w:firstLine="0"/>
        <w:contextualSpacing/>
        <w:rPr>
          <w:b/>
          <w:bCs/>
        </w:rPr>
      </w:pPr>
      <w:r w:rsidRPr="00925DE6">
        <w:rPr>
          <w:b/>
          <w:bCs/>
        </w:rPr>
        <w:t xml:space="preserve">The Author as </w:t>
      </w:r>
      <w:r w:rsidR="009C06ED">
        <w:rPr>
          <w:b/>
          <w:bCs/>
        </w:rPr>
        <w:t>Betrayer</w:t>
      </w:r>
      <w:r w:rsidRPr="00925DE6">
        <w:rPr>
          <w:b/>
          <w:bCs/>
        </w:rPr>
        <w:t xml:space="preserve"> and Literature as </w:t>
      </w:r>
      <w:r w:rsidR="009C06ED">
        <w:rPr>
          <w:b/>
          <w:bCs/>
        </w:rPr>
        <w:t>Betrayal</w:t>
      </w:r>
      <w:r w:rsidR="00623074" w:rsidRPr="00925DE6">
        <w:rPr>
          <w:b/>
          <w:bCs/>
        </w:rPr>
        <w:t xml:space="preserve"> </w:t>
      </w:r>
    </w:p>
    <w:p w14:paraId="33C7D47E" w14:textId="514BE86C" w:rsidR="003F0763" w:rsidRDefault="008D2454" w:rsidP="00D02E9C">
      <w:pPr>
        <w:contextualSpacing/>
      </w:pPr>
      <w:r>
        <w:t xml:space="preserve">The figure of </w:t>
      </w:r>
      <w:r w:rsidR="00925DE6">
        <w:t xml:space="preserve">Judas Iscariot, who </w:t>
      </w:r>
      <w:r w:rsidR="00772A95">
        <w:t>leaves</w:t>
      </w:r>
      <w:r w:rsidR="00925DE6">
        <w:t xml:space="preserve"> </w:t>
      </w:r>
      <w:commentRangeStart w:id="3"/>
      <w:r w:rsidR="00772A95">
        <w:t>public</w:t>
      </w:r>
      <w:r w:rsidR="00925DE6">
        <w:t xml:space="preserve"> </w:t>
      </w:r>
      <w:commentRangeEnd w:id="3"/>
      <w:r w:rsidR="00772A95">
        <w:rPr>
          <w:rStyle w:val="CommentReference"/>
        </w:rPr>
        <w:commentReference w:id="3"/>
      </w:r>
      <w:r w:rsidR="00925DE6">
        <w:t xml:space="preserve">life and </w:t>
      </w:r>
      <w:r w:rsidR="00891D90">
        <w:t xml:space="preserve">is exiled from his homeland after being accused of </w:t>
      </w:r>
      <w:r w:rsidR="00772A95">
        <w:t>betrayal</w:t>
      </w:r>
      <w:r w:rsidR="00891D90">
        <w:t xml:space="preserve">, </w:t>
      </w:r>
      <w:r w:rsidR="00772A95">
        <w:t xml:space="preserve">could be considered </w:t>
      </w:r>
      <w:r w:rsidR="009A26D6">
        <w:t xml:space="preserve">Igal Mossinsohn’s (1917-1994) literary double. </w:t>
      </w:r>
      <w:r w:rsidR="00D90276">
        <w:t xml:space="preserve">From his very first steps as an author, Mossinsohn saw himself as holding an oppositional </w:t>
      </w:r>
      <w:r w:rsidR="001912A3">
        <w:t>position</w:t>
      </w:r>
      <w:r w:rsidR="00D90276">
        <w:t xml:space="preserve"> </w:t>
      </w:r>
      <w:r w:rsidR="00E45D0B">
        <w:t>against the Zionist establishment and dominant Israeli culture</w:t>
      </w:r>
      <w:r w:rsidR="003F0763">
        <w:t>, and i</w:t>
      </w:r>
      <w:r w:rsidR="00E45D0B">
        <w:t>n many of his novels</w:t>
      </w:r>
      <w:r w:rsidR="003F0763">
        <w:t xml:space="preserve">, the protagonists—rebels, traitors, sinners, and heretics—give voice to </w:t>
      </w:r>
      <w:r w:rsidR="001912A3">
        <w:t>subversive,</w:t>
      </w:r>
      <w:r w:rsidR="003F0763">
        <w:t xml:space="preserve"> anti-establishment </w:t>
      </w:r>
      <w:r w:rsidR="00D02E9C">
        <w:t>ideologies</w:t>
      </w:r>
      <w:r w:rsidR="003F0763">
        <w:t>.</w:t>
      </w:r>
    </w:p>
    <w:p w14:paraId="02DB43B2" w14:textId="562CB203" w:rsidR="00F372F7" w:rsidRDefault="001D2792" w:rsidP="002C3EB6">
      <w:pPr>
        <w:contextualSpacing/>
      </w:pPr>
      <w:r>
        <w:t xml:space="preserve">Mossinsohn’s departure from the kibbutz in 1948, and later from Israel </w:t>
      </w:r>
      <w:r w:rsidR="00336850">
        <w:t xml:space="preserve">to </w:t>
      </w:r>
      <w:r w:rsidR="001912A3">
        <w:t>t</w:t>
      </w:r>
      <w:r w:rsidR="00336850">
        <w:t xml:space="preserve">he US </w:t>
      </w:r>
      <w:r>
        <w:t xml:space="preserve">for a </w:t>
      </w:r>
      <w:r w:rsidR="00336850">
        <w:t xml:space="preserve">significant period of time, marked his transition from </w:t>
      </w:r>
      <w:r w:rsidR="000116F6">
        <w:t xml:space="preserve">identifying with </w:t>
      </w:r>
      <w:r w:rsidR="00336850">
        <w:t>the ideals and values of the Zionist left to a preference for positions identified with the political right</w:t>
      </w:r>
      <w:r w:rsidR="004B5CA2">
        <w:t>.</w:t>
      </w:r>
      <w:r w:rsidR="004B5CA2">
        <w:rPr>
          <w:rStyle w:val="FootnoteReference"/>
        </w:rPr>
        <w:footnoteReference w:id="5"/>
      </w:r>
      <w:r>
        <w:t xml:space="preserve"> </w:t>
      </w:r>
      <w:r w:rsidR="004B5CA2">
        <w:t xml:space="preserve">This shift in Mossinsohn’s political viewpoint was expressed </w:t>
      </w:r>
      <w:r w:rsidR="000116F6">
        <w:t>in his work by a</w:t>
      </w:r>
      <w:r w:rsidR="004B5CA2">
        <w:t xml:space="preserve"> bitter criticism </w:t>
      </w:r>
      <w:r w:rsidR="000116F6">
        <w:t>of</w:t>
      </w:r>
      <w:r w:rsidR="004B5CA2">
        <w:t xml:space="preserve"> moral corruption in the kibbutz, which revealed the contradiction between </w:t>
      </w:r>
      <w:r w:rsidR="00D602DB">
        <w:t>lofty egalitarian humanist ideals and the experience of a life full of cruelty and injustice, rag</w:t>
      </w:r>
      <w:r w:rsidR="00AF0CD7">
        <w:t>e</w:t>
      </w:r>
      <w:r w:rsidR="00D602DB">
        <w:t xml:space="preserve"> and </w:t>
      </w:r>
      <w:r w:rsidR="00AF0CD7">
        <w:t>irrationality.</w:t>
      </w:r>
      <w:r w:rsidR="00AF0CD7">
        <w:rPr>
          <w:rStyle w:val="FootnoteReference"/>
        </w:rPr>
        <w:footnoteReference w:id="6"/>
      </w:r>
      <w:r w:rsidR="00AF0CD7">
        <w:t xml:space="preserve"> </w:t>
      </w:r>
      <w:r w:rsidR="002C3EB6">
        <w:t>As a way of creating a</w:t>
      </w:r>
      <w:r w:rsidR="00AF0CD7">
        <w:t xml:space="preserve"> polemic</w:t>
      </w:r>
      <w:r w:rsidR="002C3EB6">
        <w:t>al</w:t>
      </w:r>
      <w:r w:rsidR="00AF0CD7">
        <w:t xml:space="preserve"> literature that challenges the Zionist meta-narrative, Mossinsohn </w:t>
      </w:r>
      <w:r w:rsidR="00322846">
        <w:t>positioned himself as, in Antonio Gramsci’s words, an “organic intellectual</w:t>
      </w:r>
      <w:r w:rsidR="000D0322">
        <w:t>.</w:t>
      </w:r>
      <w:r w:rsidR="00322846">
        <w:t>”</w:t>
      </w:r>
      <w:r w:rsidR="00322846">
        <w:rPr>
          <w:rStyle w:val="FootnoteReference"/>
        </w:rPr>
        <w:footnoteReference w:id="7"/>
      </w:r>
      <w:r w:rsidR="00322846">
        <w:t xml:space="preserve"> </w:t>
      </w:r>
      <w:r w:rsidR="000D0322">
        <w:t xml:space="preserve">As such, </w:t>
      </w:r>
      <w:r w:rsidR="000D0322">
        <w:lastRenderedPageBreak/>
        <w:t>Mossinsohn</w:t>
      </w:r>
      <w:r w:rsidR="00322846">
        <w:t xml:space="preserve"> </w:t>
      </w:r>
      <w:r w:rsidR="000D0322">
        <w:t>realized</w:t>
      </w:r>
      <w:r w:rsidR="00322846">
        <w:t xml:space="preserve"> </w:t>
      </w:r>
      <w:r w:rsidR="00747ADC">
        <w:t>his</w:t>
      </w:r>
      <w:r w:rsidR="00322846">
        <w:t xml:space="preserve"> organic affiliation with Israeli hegemony, but at the same time</w:t>
      </w:r>
      <w:r w:rsidR="00747ADC">
        <w:t>, maintain</w:t>
      </w:r>
      <w:r w:rsidR="000D0322">
        <w:t>ed</w:t>
      </w:r>
      <w:r w:rsidR="00747ADC">
        <w:t xml:space="preserve"> a perspective from which he </w:t>
      </w:r>
      <w:r w:rsidR="000D0322">
        <w:t>was</w:t>
      </w:r>
      <w:r w:rsidR="00747ADC">
        <w:t xml:space="preserve"> capable of separating himself from the political entity that produce</w:t>
      </w:r>
      <w:r w:rsidR="000D0322">
        <w:t xml:space="preserve">d </w:t>
      </w:r>
      <w:r w:rsidR="00747ADC">
        <w:t>and nurture</w:t>
      </w:r>
      <w:r w:rsidR="000D0322">
        <w:t>d</w:t>
      </w:r>
      <w:r w:rsidR="00747ADC">
        <w:t xml:space="preserve"> this hegemony in order to </w:t>
      </w:r>
      <w:r w:rsidR="00643082">
        <w:t>deconstruct</w:t>
      </w:r>
      <w:r w:rsidR="00747ADC">
        <w:t xml:space="preserve"> the hegemonic discourse.</w:t>
      </w:r>
    </w:p>
    <w:p w14:paraId="6C42EE44" w14:textId="28F291E5" w:rsidR="00747ADC" w:rsidRDefault="00747ADC" w:rsidP="00D96235">
      <w:pPr>
        <w:contextualSpacing/>
      </w:pPr>
      <w:r>
        <w:t xml:space="preserve">While the texts Mossinsohn wrote for adults often </w:t>
      </w:r>
      <w:r w:rsidR="00F223B2">
        <w:t>caused</w:t>
      </w:r>
      <w:r>
        <w:t xml:space="preserve"> public uproar and </w:t>
      </w:r>
      <w:r w:rsidR="00E10B29">
        <w:t xml:space="preserve">challenged the </w:t>
      </w:r>
      <w:commentRangeStart w:id="4"/>
      <w:r w:rsidR="00C56E6B">
        <w:t>inevitability</w:t>
      </w:r>
      <w:r w:rsidR="00E10B29">
        <w:t xml:space="preserve"> of the national </w:t>
      </w:r>
      <w:r w:rsidR="00E10B29" w:rsidRPr="00C56E6B">
        <w:t>existence</w:t>
      </w:r>
      <w:commentRangeEnd w:id="4"/>
      <w:r w:rsidR="00F223B2">
        <w:rPr>
          <w:rStyle w:val="CommentReference"/>
        </w:rPr>
        <w:commentReference w:id="4"/>
      </w:r>
      <w:r w:rsidR="00E10B29">
        <w:t xml:space="preserve">, his children’s books marked a completely </w:t>
      </w:r>
      <w:r w:rsidR="00F223B2">
        <w:t>different attitude substituting</w:t>
      </w:r>
      <w:r w:rsidR="00E10B29">
        <w:t xml:space="preserve"> </w:t>
      </w:r>
      <w:r w:rsidR="00F223B2">
        <w:t>optimistic and uncritical validation of the</w:t>
      </w:r>
      <w:r w:rsidR="00F223B2" w:rsidRPr="00F223B2">
        <w:t xml:space="preserve"> </w:t>
      </w:r>
      <w:r w:rsidR="00F223B2">
        <w:t xml:space="preserve">core national values for his </w:t>
      </w:r>
      <w:r w:rsidR="00070522">
        <w:t>critic</w:t>
      </w:r>
      <w:r w:rsidR="00F223B2">
        <w:t>al and defiant positions</w:t>
      </w:r>
      <w:r w:rsidR="00070522">
        <w:t>.</w:t>
      </w:r>
      <w:r w:rsidR="00070522">
        <w:rPr>
          <w:rStyle w:val="FootnoteReference"/>
        </w:rPr>
        <w:footnoteReference w:id="8"/>
      </w:r>
      <w:r w:rsidR="00E10B29">
        <w:t xml:space="preserve"> </w:t>
      </w:r>
      <w:proofErr w:type="spellStart"/>
      <w:r w:rsidR="00070522">
        <w:t>Mossinsohn’s</w:t>
      </w:r>
      <w:proofErr w:type="spellEnd"/>
      <w:r w:rsidR="00070522">
        <w:t xml:space="preserve"> celebrity was </w:t>
      </w:r>
      <w:r w:rsidR="007029FA">
        <w:t>based primarily on his</w:t>
      </w:r>
      <w:r w:rsidR="00070522">
        <w:t xml:space="preserve"> </w:t>
      </w:r>
      <w:proofErr w:type="spellStart"/>
      <w:r w:rsidR="00070522" w:rsidRPr="00085B77">
        <w:rPr>
          <w:i/>
          <w:iCs/>
        </w:rPr>
        <w:t>Hasamba</w:t>
      </w:r>
      <w:proofErr w:type="spellEnd"/>
      <w:r w:rsidR="00070522">
        <w:t xml:space="preserve"> series </w:t>
      </w:r>
      <w:r w:rsidR="00085B77">
        <w:t>for children, which was published from the late nineteen-forties and which was molded for mass consumption and the dissemination of the hegemonic culture. These books—</w:t>
      </w:r>
      <w:r w:rsidR="00F223B2">
        <w:t>which</w:t>
      </w:r>
      <w:r w:rsidR="00BD0D37">
        <w:t xml:space="preserve"> depict</w:t>
      </w:r>
      <w:r w:rsidR="00085B77">
        <w:t xml:space="preserve"> a group </w:t>
      </w:r>
      <w:r w:rsidR="00DD79BE">
        <w:t>of</w:t>
      </w:r>
      <w:r w:rsidR="00085B77">
        <w:t xml:space="preserve"> children </w:t>
      </w:r>
      <w:r w:rsidR="00F223B2">
        <w:t>who engage in secret, military-</w:t>
      </w:r>
      <w:r w:rsidR="00D96235">
        <w:t xml:space="preserve">style </w:t>
      </w:r>
      <w:r w:rsidR="00085B77">
        <w:t xml:space="preserve">missions—are based on </w:t>
      </w:r>
      <w:r w:rsidR="00E9191C">
        <w:t>dichotomous</w:t>
      </w:r>
      <w:r w:rsidR="00DD79BE">
        <w:t xml:space="preserve">, simplistic, and </w:t>
      </w:r>
      <w:r w:rsidR="00E9191C">
        <w:t>classifiable</w:t>
      </w:r>
      <w:r w:rsidR="00DD79BE">
        <w:t xml:space="preserve"> structures </w:t>
      </w:r>
      <w:r w:rsidR="00BD0D37">
        <w:t>that</w:t>
      </w:r>
      <w:r w:rsidR="00DD79BE">
        <w:t xml:space="preserve"> map the values and identities of Israeli culture </w:t>
      </w:r>
      <w:r w:rsidR="00E9191C">
        <w:t>by means of binary opposites</w:t>
      </w:r>
      <w:r w:rsidR="00BD0D37">
        <w:t xml:space="preserve">, which in turn </w:t>
      </w:r>
      <w:r w:rsidR="00E9191C">
        <w:t xml:space="preserve">hermetically mark the </w:t>
      </w:r>
      <w:r w:rsidR="00BD0D37">
        <w:t xml:space="preserve">national collective’s </w:t>
      </w:r>
      <w:r w:rsidR="00E9191C">
        <w:t xml:space="preserve">ethnic </w:t>
      </w:r>
      <w:r w:rsidR="00CF6EC0">
        <w:t>b</w:t>
      </w:r>
      <w:r w:rsidR="00E9191C">
        <w:t xml:space="preserve">oundaries. </w:t>
      </w:r>
      <w:r w:rsidR="00CF6EC0">
        <w:t xml:space="preserve">This manipulative and ideological mechanism, which presents the national reality beyond indisputable </w:t>
      </w:r>
      <w:r w:rsidR="00AA76BA">
        <w:t>binary</w:t>
      </w:r>
      <w:r w:rsidR="00CF6EC0">
        <w:t xml:space="preserve"> structures—such as ‘”loya</w:t>
      </w:r>
      <w:r w:rsidR="00702E4D">
        <w:t>lty” and “</w:t>
      </w:r>
      <w:r w:rsidR="00AA76BA">
        <w:t>betrayal</w:t>
      </w:r>
      <w:r w:rsidR="00702E4D">
        <w:t xml:space="preserve">”—is what </w:t>
      </w:r>
      <w:r w:rsidR="00BD0D37">
        <w:t>Mossinsohn criti</w:t>
      </w:r>
      <w:r w:rsidR="00AA76BA">
        <w:t>cizes</w:t>
      </w:r>
      <w:r w:rsidR="00702E4D">
        <w:t xml:space="preserve"> in </w:t>
      </w:r>
      <w:r w:rsidR="00AA76BA">
        <w:t xml:space="preserve">his </w:t>
      </w:r>
      <w:r w:rsidR="00702E4D">
        <w:t>novel about Judas Iscariot.</w:t>
      </w:r>
    </w:p>
    <w:p w14:paraId="0577B29A" w14:textId="71A68505" w:rsidR="00976650" w:rsidRDefault="00702E4D" w:rsidP="00214FAC">
      <w:pPr>
        <w:contextualSpacing/>
      </w:pPr>
      <w:r w:rsidRPr="00702E4D">
        <w:rPr>
          <w:i/>
          <w:iCs/>
        </w:rPr>
        <w:t>Judas</w:t>
      </w:r>
      <w:r>
        <w:t xml:space="preserve">, which </w:t>
      </w:r>
      <w:r w:rsidR="00B42A1B">
        <w:t>Mossinsohn</w:t>
      </w:r>
      <w:r>
        <w:t xml:space="preserve"> published after many years </w:t>
      </w:r>
      <w:r w:rsidR="00B42A1B">
        <w:t>of literary silence</w:t>
      </w:r>
      <w:r w:rsidR="00805526">
        <w:t xml:space="preserve"> </w:t>
      </w:r>
      <w:r>
        <w:t>and a prolonged absence from Israel</w:t>
      </w:r>
      <w:r w:rsidR="00E5162C">
        <w:t xml:space="preserve">, was critically acclaimed </w:t>
      </w:r>
      <w:r w:rsidR="00D96235">
        <w:t>as</w:t>
      </w:r>
      <w:r w:rsidR="00E5162C">
        <w:t xml:space="preserve"> it </w:t>
      </w:r>
      <w:r w:rsidR="00697B70">
        <w:t>corresponded, to a large extent, with</w:t>
      </w:r>
      <w:r w:rsidR="00E5162C">
        <w:t xml:space="preserve"> </w:t>
      </w:r>
      <w:r w:rsidR="00697B70">
        <w:t xml:space="preserve">both </w:t>
      </w:r>
      <w:r w:rsidR="00E5162C">
        <w:t xml:space="preserve">the atmosphere in </w:t>
      </w:r>
      <w:r w:rsidR="00697B70" w:rsidRPr="00EC1B3F">
        <w:t>nineteen-sixties</w:t>
      </w:r>
      <w:r w:rsidR="00697B70">
        <w:t xml:space="preserve"> </w:t>
      </w:r>
      <w:r w:rsidR="00E5162C">
        <w:t xml:space="preserve">Israeli society </w:t>
      </w:r>
      <w:r w:rsidR="00D435F8">
        <w:t xml:space="preserve">and the anti-establishment </w:t>
      </w:r>
      <w:r w:rsidR="00D96235">
        <w:t>movement</w:t>
      </w:r>
      <w:r w:rsidR="00D435F8">
        <w:t xml:space="preserve"> </w:t>
      </w:r>
      <w:r w:rsidR="00697B70">
        <w:t xml:space="preserve">in </w:t>
      </w:r>
      <w:r w:rsidR="00D435F8">
        <w:t>which many intellectuals</w:t>
      </w:r>
      <w:r w:rsidR="00697B70">
        <w:t xml:space="preserve"> took part</w:t>
      </w:r>
      <w:r w:rsidR="00D435F8">
        <w:t xml:space="preserve">. </w:t>
      </w:r>
      <w:r w:rsidR="0004453F">
        <w:t xml:space="preserve">Events in the political arena in the nineteen-fifties and sixties—such </w:t>
      </w:r>
      <w:r w:rsidR="0004453F">
        <w:lastRenderedPageBreak/>
        <w:t xml:space="preserve">as, the </w:t>
      </w:r>
      <w:proofErr w:type="spellStart"/>
      <w:r w:rsidR="0004453F">
        <w:t>Kafr</w:t>
      </w:r>
      <w:proofErr w:type="spellEnd"/>
      <w:r w:rsidR="0004453F">
        <w:t xml:space="preserve"> </w:t>
      </w:r>
      <w:proofErr w:type="spellStart"/>
      <w:r w:rsidR="0004453F">
        <w:t>Qasim</w:t>
      </w:r>
      <w:proofErr w:type="spellEnd"/>
      <w:r w:rsidR="0004453F">
        <w:t xml:space="preserve"> massacre, the Sinai Campaign, the </w:t>
      </w:r>
      <w:r w:rsidR="002D2F6F">
        <w:t>reprisal</w:t>
      </w:r>
      <w:r w:rsidR="0004453F">
        <w:t xml:space="preserve"> operations, and </w:t>
      </w:r>
      <w:r w:rsidR="002D2F6F">
        <w:t>multiple internal struggles around the Lavon Affair—marked the destabiliz</w:t>
      </w:r>
      <w:r w:rsidR="00F10A40">
        <w:t>ation</w:t>
      </w:r>
      <w:r w:rsidR="002D2F6F">
        <w:t xml:space="preserve"> of the intelligentsia’s sweeping support of Ben Gurion’s </w:t>
      </w:r>
      <w:r w:rsidR="00345168">
        <w:t xml:space="preserve">government. Ben Gurion saw in the founding of </w:t>
      </w:r>
      <w:r w:rsidR="00214FAC">
        <w:t>the S</w:t>
      </w:r>
      <w:r w:rsidR="00345168" w:rsidRPr="00F10A40">
        <w:t>tate of Israel the first stage of a messianic movement and consciously</w:t>
      </w:r>
      <w:r w:rsidR="00345168">
        <w:t xml:space="preserve"> employed the messianic ethos in the framework of his political policy.</w:t>
      </w:r>
      <w:r w:rsidR="00345168">
        <w:rPr>
          <w:rStyle w:val="FootnoteReference"/>
        </w:rPr>
        <w:footnoteReference w:id="9"/>
      </w:r>
      <w:r w:rsidR="00345168">
        <w:t xml:space="preserve"> </w:t>
      </w:r>
      <w:r w:rsidR="009165CE">
        <w:t>Many Israeli intellectuals identified the danger in the linkage between messianism and political strength and feared that the combination between a messianic vision and unifying, homogenic politic</w:t>
      </w:r>
      <w:r w:rsidR="00976650">
        <w:t xml:space="preserve">s </w:t>
      </w:r>
      <w:r w:rsidR="00F10A40">
        <w:t>was</w:t>
      </w:r>
      <w:r w:rsidR="00976650">
        <w:t xml:space="preserve"> a first step </w:t>
      </w:r>
      <w:r w:rsidR="00387542">
        <w:t>toward</w:t>
      </w:r>
      <w:r w:rsidR="00976650">
        <w:t xml:space="preserve"> </w:t>
      </w:r>
      <w:r w:rsidR="00214FAC">
        <w:t>transforming</w:t>
      </w:r>
      <w:r w:rsidR="00976650">
        <w:t xml:space="preserve"> Israeli society</w:t>
      </w:r>
      <w:r w:rsidR="00214FAC">
        <w:t xml:space="preserve"> into</w:t>
      </w:r>
      <w:r w:rsidR="00976650">
        <w:t xml:space="preserve"> a </w:t>
      </w:r>
      <w:commentRangeStart w:id="5"/>
      <w:r w:rsidR="00976650">
        <w:t>sovereign</w:t>
      </w:r>
      <w:commentRangeEnd w:id="5"/>
      <w:r w:rsidR="00214FAC">
        <w:rPr>
          <w:rStyle w:val="CommentReference"/>
        </w:rPr>
        <w:commentReference w:id="5"/>
      </w:r>
      <w:r w:rsidR="00976650">
        <w:t xml:space="preserve">, monolithic, </w:t>
      </w:r>
      <w:r w:rsidR="00976650" w:rsidRPr="00F10A40">
        <w:t>chauvinistic, and anti-pluralistic entity.</w:t>
      </w:r>
      <w:r w:rsidR="00976650">
        <w:t xml:space="preserve"> </w:t>
      </w:r>
    </w:p>
    <w:p w14:paraId="66502632" w14:textId="169104E4" w:rsidR="003B1C34" w:rsidRDefault="00976650" w:rsidP="00214FAC">
      <w:pPr>
        <w:contextualSpacing/>
      </w:pPr>
      <w:r>
        <w:t xml:space="preserve">This political linkage </w:t>
      </w:r>
      <w:r w:rsidR="00EA18BA">
        <w:t>illuminates</w:t>
      </w:r>
      <w:r>
        <w:t xml:space="preserve"> what I believe </w:t>
      </w:r>
      <w:r w:rsidR="00EA18BA">
        <w:t>is</w:t>
      </w:r>
      <w:r w:rsidR="00786C05">
        <w:t xml:space="preserve"> the </w:t>
      </w:r>
      <w:r w:rsidR="00214FAC">
        <w:t>heart</w:t>
      </w:r>
      <w:r w:rsidR="00786C05">
        <w:t xml:space="preserve"> of </w:t>
      </w:r>
      <w:r w:rsidR="00786C05" w:rsidRPr="00786C05">
        <w:rPr>
          <w:i/>
          <w:iCs/>
        </w:rPr>
        <w:t>Judas</w:t>
      </w:r>
      <w:r w:rsidR="00EA18BA">
        <w:t xml:space="preserve">, </w:t>
      </w:r>
      <w:r w:rsidR="00214FAC">
        <w:t>a discussion of</w:t>
      </w:r>
      <w:r w:rsidR="00786C05">
        <w:t xml:space="preserve"> the danger inherent in </w:t>
      </w:r>
      <w:r w:rsidR="00EA18BA">
        <w:t xml:space="preserve">the exploitation of </w:t>
      </w:r>
      <w:r w:rsidR="00786C05">
        <w:t xml:space="preserve">the messianic vision in the framework </w:t>
      </w:r>
      <w:r w:rsidR="00EA18BA">
        <w:t>of</w:t>
      </w:r>
      <w:r w:rsidR="00786C05">
        <w:t xml:space="preserve"> sovereignty. </w:t>
      </w:r>
      <w:r w:rsidR="00214FAC">
        <w:t>Through</w:t>
      </w:r>
      <w:r w:rsidR="00786C05">
        <w:t xml:space="preserve"> the story of Jesus and Judas Isc</w:t>
      </w:r>
      <w:r w:rsidR="002C0B79">
        <w:t xml:space="preserve">ariot, Mossinsohn demonstrates how the national culture </w:t>
      </w:r>
      <w:r w:rsidR="00B33255">
        <w:t xml:space="preserve">expropriates actual historical truth to invent </w:t>
      </w:r>
      <w:r w:rsidR="00214FAC">
        <w:t>a</w:t>
      </w:r>
      <w:r w:rsidR="00B33255">
        <w:t xml:space="preserve"> mythic</w:t>
      </w:r>
      <w:r w:rsidR="00214FAC">
        <w:t>,</w:t>
      </w:r>
      <w:r w:rsidR="00B33255">
        <w:t xml:space="preserve"> sovereign vision, and nurtures an ideological discourse that glorifies death </w:t>
      </w:r>
      <w:r w:rsidR="003B1C34">
        <w:t>in the name of the collective</w:t>
      </w:r>
      <w:r w:rsidR="00214FAC">
        <w:t xml:space="preserve"> and the state</w:t>
      </w:r>
      <w:r w:rsidR="003B1C34">
        <w:t xml:space="preserve"> </w:t>
      </w:r>
      <w:r w:rsidR="000E7195">
        <w:t>while</w:t>
      </w:r>
      <w:r w:rsidR="003B1C34">
        <w:t xml:space="preserve"> shroud</w:t>
      </w:r>
      <w:r w:rsidR="000E7195">
        <w:t>ing</w:t>
      </w:r>
      <w:r w:rsidR="003B1C34">
        <w:t xml:space="preserve"> it in a halo of sanctity. </w:t>
      </w:r>
    </w:p>
    <w:p w14:paraId="57002689" w14:textId="005377CA" w:rsidR="003B1C34" w:rsidRDefault="003B1C34" w:rsidP="00786C05">
      <w:pPr>
        <w:contextualSpacing/>
      </w:pPr>
    </w:p>
    <w:p w14:paraId="04DFE903" w14:textId="77777777" w:rsidR="003B1C34" w:rsidRDefault="003B1C34" w:rsidP="008E65F6">
      <w:pPr>
        <w:ind w:firstLine="0"/>
        <w:contextualSpacing/>
        <w:rPr>
          <w:b/>
          <w:bCs/>
        </w:rPr>
      </w:pPr>
      <w:r w:rsidRPr="003B1C34">
        <w:rPr>
          <w:b/>
          <w:bCs/>
        </w:rPr>
        <w:t>The Evolution of Judas Iscariot in Jewish Thought</w:t>
      </w:r>
    </w:p>
    <w:p w14:paraId="6C509418" w14:textId="5DC25784" w:rsidR="00D61EC5" w:rsidRDefault="003B1C34" w:rsidP="00BB64AF">
      <w:pPr>
        <w:contextualSpacing/>
      </w:pPr>
      <w:r>
        <w:t xml:space="preserve">Danish philosopher </w:t>
      </w:r>
      <w:proofErr w:type="spellStart"/>
      <w:r>
        <w:t>Søren</w:t>
      </w:r>
      <w:proofErr w:type="spellEnd"/>
      <w:r>
        <w:t xml:space="preserve"> Kierkegaard</w:t>
      </w:r>
      <w:r w:rsidRPr="003B1C34">
        <w:rPr>
          <w:b/>
          <w:bCs/>
        </w:rPr>
        <w:t xml:space="preserve"> </w:t>
      </w:r>
      <w:r w:rsidRPr="000F7060">
        <w:t>wrote that</w:t>
      </w:r>
      <w:r>
        <w:rPr>
          <w:b/>
          <w:bCs/>
        </w:rPr>
        <w:t xml:space="preserve"> </w:t>
      </w:r>
      <w:r w:rsidR="000F7060" w:rsidRPr="000F7060">
        <w:t>“</w:t>
      </w:r>
      <w:r w:rsidR="00497307">
        <w:t>o</w:t>
      </w:r>
      <w:r w:rsidR="000F7060">
        <w:t>ne will get a deep insight into the state of Christianity in every age by seeing how it interprets Judas.”</w:t>
      </w:r>
      <w:r w:rsidR="000F7060">
        <w:rPr>
          <w:rStyle w:val="FootnoteReference"/>
        </w:rPr>
        <w:footnoteReference w:id="10"/>
      </w:r>
      <w:r w:rsidR="002C0B79" w:rsidRPr="003B1C34">
        <w:rPr>
          <w:b/>
          <w:bCs/>
        </w:rPr>
        <w:t xml:space="preserve"> </w:t>
      </w:r>
      <w:r w:rsidR="004E36B1" w:rsidRPr="004E36B1">
        <w:t>To</w:t>
      </w:r>
      <w:r w:rsidR="004E36B1">
        <w:rPr>
          <w:b/>
          <w:bCs/>
        </w:rPr>
        <w:t xml:space="preserve"> </w:t>
      </w:r>
      <w:r w:rsidR="00EA2C12" w:rsidRPr="00EA2C12">
        <w:t>contextualize</w:t>
      </w:r>
      <w:r w:rsidR="00EA2C12">
        <w:rPr>
          <w:b/>
          <w:bCs/>
        </w:rPr>
        <w:t xml:space="preserve"> </w:t>
      </w:r>
      <w:r w:rsidR="000F7060">
        <w:t xml:space="preserve">Kierkegaard’s </w:t>
      </w:r>
      <w:r w:rsidR="00EA2C12">
        <w:t>statement in terms of Jewish thought</w:t>
      </w:r>
      <w:r w:rsidR="000F7060">
        <w:t xml:space="preserve">, it appears that </w:t>
      </w:r>
      <w:r w:rsidR="00BB64AF">
        <w:t>the Jewish</w:t>
      </w:r>
      <w:r w:rsidR="00EA2C12">
        <w:t xml:space="preserve"> interpretation of Judas Iscariot at different moments </w:t>
      </w:r>
      <w:r w:rsidR="000E7195">
        <w:t>in</w:t>
      </w:r>
      <w:r w:rsidR="00EA2C12">
        <w:t xml:space="preserve"> history is evidence of </w:t>
      </w:r>
      <w:r w:rsidR="000E7195">
        <w:t>how it</w:t>
      </w:r>
      <w:r w:rsidR="00EA2C12">
        <w:t xml:space="preserve"> perce</w:t>
      </w:r>
      <w:r w:rsidR="000E7195">
        <w:t xml:space="preserve">ives both </w:t>
      </w:r>
      <w:r w:rsidR="00EA2C12">
        <w:t xml:space="preserve">its relationship </w:t>
      </w:r>
      <w:r w:rsidR="00EA2C12">
        <w:lastRenderedPageBreak/>
        <w:t xml:space="preserve">with Christianity and </w:t>
      </w:r>
      <w:r w:rsidR="00CE5C9A">
        <w:t>to shifts</w:t>
      </w:r>
      <w:r w:rsidR="00D61EC5">
        <w:t xml:space="preserve"> in its </w:t>
      </w:r>
      <w:r w:rsidR="00CE5C9A">
        <w:t xml:space="preserve">own </w:t>
      </w:r>
      <w:r w:rsidR="00D61EC5">
        <w:t xml:space="preserve">self-perception—as a religion and </w:t>
      </w:r>
      <w:r w:rsidR="00CE5C9A">
        <w:t xml:space="preserve">as an </w:t>
      </w:r>
      <w:r w:rsidR="00D61EC5">
        <w:t>ethnic, national, and political collective.</w:t>
      </w:r>
    </w:p>
    <w:p w14:paraId="20015DE2" w14:textId="26D8E5C1" w:rsidR="00FF06F1" w:rsidRDefault="00D61EC5" w:rsidP="00C56AC6">
      <w:pPr>
        <w:contextualSpacing/>
      </w:pPr>
      <w:r>
        <w:t xml:space="preserve">The attitude—explicit or implicit—toward Judas Iscariot in </w:t>
      </w:r>
      <w:commentRangeStart w:id="6"/>
      <w:r>
        <w:t xml:space="preserve">the tradition of Jewish thought </w:t>
      </w:r>
      <w:commentRangeEnd w:id="6"/>
      <w:r w:rsidR="00E74CEF">
        <w:rPr>
          <w:rStyle w:val="CommentReference"/>
        </w:rPr>
        <w:commentReference w:id="6"/>
      </w:r>
      <w:r>
        <w:t>is inseparable from its attitude toward Jesus</w:t>
      </w:r>
      <w:r w:rsidR="00CE5C9A">
        <w:t>. I</w:t>
      </w:r>
      <w:r>
        <w:t xml:space="preserve">n most cases, the </w:t>
      </w:r>
      <w:r w:rsidR="00707393">
        <w:t xml:space="preserve">attitude toward these figures </w:t>
      </w:r>
      <w:r w:rsidR="005C4914">
        <w:t>has</w:t>
      </w:r>
      <w:r w:rsidR="00707393">
        <w:t xml:space="preserve"> a substantive and direct </w:t>
      </w:r>
      <w:r w:rsidR="005C4914">
        <w:t>link</w:t>
      </w:r>
      <w:r w:rsidR="00707393">
        <w:t xml:space="preserve"> with issues of </w:t>
      </w:r>
      <w:r w:rsidR="00C3551C">
        <w:t>Jewish identity, sovereignty, and power—vis-à-vis the non-Jewish other and in the framework of internal Jewish discourse. The Babylonian Talmud, for example, which does not mention Judas Iscariot</w:t>
      </w:r>
      <w:r w:rsidR="00CE5C9A" w:rsidRPr="00CE5C9A">
        <w:t xml:space="preserve"> </w:t>
      </w:r>
      <w:r w:rsidR="00CE5C9A">
        <w:t>explicitly</w:t>
      </w:r>
      <w:r w:rsidR="00C3551C">
        <w:t>,</w:t>
      </w:r>
      <w:r w:rsidR="00C3551C">
        <w:rPr>
          <w:rStyle w:val="FootnoteReference"/>
        </w:rPr>
        <w:footnoteReference w:id="11"/>
      </w:r>
      <w:r w:rsidR="00C3551C">
        <w:t xml:space="preserve"> constitutes </w:t>
      </w:r>
      <w:r w:rsidR="00F14A38">
        <w:t>significant evidence of the way in which rabbinic Judaism understood and perceived the evolving Christian religion.</w:t>
      </w:r>
      <w:r w:rsidR="00F14A38">
        <w:rPr>
          <w:rStyle w:val="FootnoteReference"/>
        </w:rPr>
        <w:footnoteReference w:id="12"/>
      </w:r>
      <w:r w:rsidR="00F14A38">
        <w:t xml:space="preserve"> In Tractate Sanhedrin (43a), for instance, Jesus is described as judged by the Sanhedrin because </w:t>
      </w:r>
      <w:r w:rsidR="008C4488">
        <w:t xml:space="preserve">he “has practiced sorcery and enticed Israel to apostasy.” Like other Talmudic tractates, this </w:t>
      </w:r>
      <w:r w:rsidR="008C4488" w:rsidRPr="00EC1B3F">
        <w:t>tractate clarifies</w:t>
      </w:r>
      <w:r w:rsidR="008C4488">
        <w:t xml:space="preserve"> that Jesus belonged to a Jewish collective </w:t>
      </w:r>
      <w:r w:rsidR="00915682">
        <w:t>before he strayed from its religious principles, and for this reason was judged and executed in accordance with Je</w:t>
      </w:r>
      <w:r w:rsidR="00BA632B">
        <w:t>wish law. Despite the fact that, at the time when</w:t>
      </w:r>
      <w:r w:rsidR="00915682">
        <w:t xml:space="preserve"> the Babylonian Talmud was written and </w:t>
      </w:r>
      <w:r w:rsidR="00BA632B">
        <w:t>redacted, Jews</w:t>
      </w:r>
      <w:r w:rsidR="00FF06F1">
        <w:t xml:space="preserve"> lived under </w:t>
      </w:r>
      <w:r w:rsidR="00BA632B">
        <w:t>the rule of a foreign sovereign and</w:t>
      </w:r>
      <w:r w:rsidR="00FF06F1">
        <w:t xml:space="preserve"> </w:t>
      </w:r>
      <w:r w:rsidR="00C56AC6">
        <w:t>did not have</w:t>
      </w:r>
      <w:r w:rsidR="00FF06F1">
        <w:t xml:space="preserve"> such autonomous legal authority, the importance of this tractate is in the implicit statement that the </w:t>
      </w:r>
      <w:r w:rsidR="00FF06F1">
        <w:lastRenderedPageBreak/>
        <w:t>Jews were responsible for Jesus’s fate and sentenced him to death in the framework of Jewish law.</w:t>
      </w:r>
    </w:p>
    <w:p w14:paraId="643B1853" w14:textId="5CEE46FC" w:rsidR="00F372F7" w:rsidRDefault="00FF06F1" w:rsidP="003A3719">
      <w:pPr>
        <w:contextualSpacing/>
      </w:pPr>
      <w:r>
        <w:t>The</w:t>
      </w:r>
      <w:r w:rsidR="00620C11">
        <w:t xml:space="preserve"> deterioration </w:t>
      </w:r>
      <w:r w:rsidR="00A41472">
        <w:t xml:space="preserve">of Jewish-Christian relations </w:t>
      </w:r>
      <w:r w:rsidR="00620C11">
        <w:t>in the Middle Ages—manifested in cases of Christian blood libel</w:t>
      </w:r>
      <w:r w:rsidR="008C4488">
        <w:t xml:space="preserve"> </w:t>
      </w:r>
      <w:r w:rsidR="00620C11">
        <w:t xml:space="preserve">that echoed the </w:t>
      </w:r>
      <w:r w:rsidR="00612B7E">
        <w:t xml:space="preserve">crucifixion myth—led to the appearance of a Jewish text featuring a first of its kind, detailed and sympathetic </w:t>
      </w:r>
      <w:r w:rsidR="00A41472">
        <w:t>treatment of</w:t>
      </w:r>
      <w:r w:rsidR="00612B7E">
        <w:t xml:space="preserve"> Judas Iscariot: </w:t>
      </w:r>
      <w:proofErr w:type="spellStart"/>
      <w:r w:rsidR="00434ED9">
        <w:rPr>
          <w:i/>
          <w:iCs/>
        </w:rPr>
        <w:t>Toldot</w:t>
      </w:r>
      <w:proofErr w:type="spellEnd"/>
      <w:r w:rsidR="00434ED9">
        <w:rPr>
          <w:i/>
          <w:iCs/>
        </w:rPr>
        <w:t xml:space="preserve"> </w:t>
      </w:r>
      <w:proofErr w:type="spellStart"/>
      <w:r w:rsidR="00434ED9">
        <w:rPr>
          <w:i/>
          <w:iCs/>
        </w:rPr>
        <w:t>Yeshu</w:t>
      </w:r>
      <w:proofErr w:type="spellEnd"/>
      <w:r w:rsidR="00612B7E">
        <w:rPr>
          <w:rStyle w:val="FootnoteReference"/>
        </w:rPr>
        <w:footnoteReference w:id="13"/>
      </w:r>
      <w:r w:rsidR="00612B7E">
        <w:t xml:space="preserve"> </w:t>
      </w:r>
      <w:r w:rsidR="00B431D9">
        <w:t xml:space="preserve">While Jesus is depicted </w:t>
      </w:r>
      <w:r w:rsidR="00A41472">
        <w:t xml:space="preserve">in this book </w:t>
      </w:r>
      <w:r w:rsidR="00B431D9">
        <w:t xml:space="preserve">as a negative, grotesque character, </w:t>
      </w:r>
      <w:r w:rsidR="00434ED9">
        <w:t xml:space="preserve">and is </w:t>
      </w:r>
      <w:r w:rsidR="00B431D9">
        <w:t>accused of deception and corrupt morals</w:t>
      </w:r>
      <w:r w:rsidR="000B03C8">
        <w:t>, Judas Iscariot is d</w:t>
      </w:r>
      <w:r w:rsidR="00434ED9">
        <w:t>escribed as a heroic figure—</w:t>
      </w:r>
      <w:r w:rsidR="000B03C8">
        <w:t>the alter-ego of the militant</w:t>
      </w:r>
      <w:r w:rsidR="00434ED9">
        <w:t xml:space="preserve">, </w:t>
      </w:r>
      <w:commentRangeStart w:id="7"/>
      <w:r w:rsidR="006A4F03">
        <w:t>ambitious</w:t>
      </w:r>
      <w:commentRangeEnd w:id="7"/>
      <w:r w:rsidR="006A4F03">
        <w:rPr>
          <w:rStyle w:val="CommentReference"/>
        </w:rPr>
        <w:commentReference w:id="7"/>
      </w:r>
      <w:r w:rsidR="000B03C8">
        <w:t xml:space="preserve"> Jew</w:t>
      </w:r>
      <w:r w:rsidR="00A41472">
        <w:t xml:space="preserve"> </w:t>
      </w:r>
      <w:r w:rsidR="00BF4F8D">
        <w:t>who is willing to sacrifice his life to</w:t>
      </w:r>
      <w:r w:rsidR="000B03C8">
        <w:t xml:space="preserve"> preserv</w:t>
      </w:r>
      <w:r w:rsidR="00BF4F8D">
        <w:t>e</w:t>
      </w:r>
      <w:r w:rsidR="000B03C8">
        <w:t xml:space="preserve"> the Jewish faith and its practices. Judas Iscariot embarks on a </w:t>
      </w:r>
      <w:r w:rsidR="003A3719">
        <w:t>determined</w:t>
      </w:r>
      <w:r w:rsidR="00A76BC0">
        <w:t xml:space="preserve"> journey in pursuit of Jesus</w:t>
      </w:r>
      <w:r w:rsidR="001C06AA">
        <w:t xml:space="preserve"> in order to prove him a false messiah. Thus, he fulfills an important role in the framework of</w:t>
      </w:r>
      <w:r w:rsidR="00ED7767">
        <w:t xml:space="preserve"> the collective Jewish imagination</w:t>
      </w:r>
      <w:r w:rsidR="001C06AA">
        <w:t xml:space="preserve"> of a vengeful and violent redemption and functions as a key character in the construction of an active Jewish myth of heroism and power.</w:t>
      </w:r>
      <w:r w:rsidR="00263B27">
        <w:rPr>
          <w:rStyle w:val="FootnoteReference"/>
        </w:rPr>
        <w:footnoteReference w:id="14"/>
      </w:r>
      <w:r w:rsidR="001C06AA">
        <w:t xml:space="preserve"> </w:t>
      </w:r>
    </w:p>
    <w:p w14:paraId="3F656BF7" w14:textId="2612490B" w:rsidR="00F93067" w:rsidRDefault="00263B27" w:rsidP="00A65DC7">
      <w:pPr>
        <w:contextualSpacing/>
      </w:pPr>
      <w:r>
        <w:t xml:space="preserve">In the </w:t>
      </w:r>
      <w:r w:rsidRPr="00BF4F8D">
        <w:t>modern</w:t>
      </w:r>
      <w:r>
        <w:t xml:space="preserve"> era, </w:t>
      </w:r>
      <w:r w:rsidR="00BF4F8D">
        <w:t>primarily</w:t>
      </w:r>
      <w:r>
        <w:t xml:space="preserve"> in the eighteenth century, many Jewish thinkers strived to </w:t>
      </w:r>
      <w:r w:rsidRPr="00BF4F8D">
        <w:t>integrate the figure of</w:t>
      </w:r>
      <w:r>
        <w:t xml:space="preserve"> Jesus </w:t>
      </w:r>
      <w:r w:rsidR="00ED7767">
        <w:t>within the</w:t>
      </w:r>
      <w:r>
        <w:t xml:space="preserve"> Jewish heritage and to ease the historical tension between </w:t>
      </w:r>
      <w:r w:rsidR="00250777">
        <w:t xml:space="preserve">Jews and Christians for the benefit of a vision of tolerance and a </w:t>
      </w:r>
      <w:r w:rsidR="00ED7767">
        <w:t>shared</w:t>
      </w:r>
      <w:r w:rsidR="00250777">
        <w:t xml:space="preserve"> civil space.</w:t>
      </w:r>
      <w:r w:rsidR="00250777">
        <w:rPr>
          <w:rStyle w:val="FootnoteReference"/>
        </w:rPr>
        <w:footnoteReference w:id="15"/>
      </w:r>
      <w:r w:rsidR="00250777">
        <w:t xml:space="preserve"> This </w:t>
      </w:r>
      <w:r w:rsidR="00443CA8">
        <w:t>shift</w:t>
      </w:r>
      <w:r w:rsidR="00250777">
        <w:t xml:space="preserve"> in the perception of Jesus was the result of internal changes in Judaism affected by the European </w:t>
      </w:r>
      <w:r w:rsidR="00250777">
        <w:lastRenderedPageBreak/>
        <w:t xml:space="preserve">Enlightenment, which </w:t>
      </w:r>
      <w:r w:rsidR="001602B9">
        <w:t>forced the Jews to face “t</w:t>
      </w:r>
      <w:r w:rsidR="00052B9F">
        <w:t>he Jewish</w:t>
      </w:r>
      <w:r w:rsidR="001602B9">
        <w:t xml:space="preserve"> Question</w:t>
      </w:r>
      <w:r w:rsidR="00052B9F">
        <w:t>” (</w:t>
      </w:r>
      <w:r w:rsidR="00052B9F" w:rsidRPr="00052B9F">
        <w:rPr>
          <w:i/>
          <w:iCs/>
        </w:rPr>
        <w:t xml:space="preserve">Die </w:t>
      </w:r>
      <w:proofErr w:type="spellStart"/>
      <w:r w:rsidR="00052B9F" w:rsidRPr="00052B9F">
        <w:rPr>
          <w:i/>
          <w:iCs/>
        </w:rPr>
        <w:t>Juden</w:t>
      </w:r>
      <w:proofErr w:type="spellEnd"/>
      <w:r w:rsidR="00052B9F" w:rsidRPr="00052B9F">
        <w:rPr>
          <w:i/>
          <w:iCs/>
        </w:rPr>
        <w:t xml:space="preserve"> </w:t>
      </w:r>
      <w:proofErr w:type="spellStart"/>
      <w:r w:rsidR="00052B9F" w:rsidRPr="00052B9F">
        <w:rPr>
          <w:i/>
          <w:iCs/>
        </w:rPr>
        <w:t>Frage</w:t>
      </w:r>
      <w:proofErr w:type="spellEnd"/>
      <w:r w:rsidR="00052B9F">
        <w:t xml:space="preserve">): the possibility of resolving the contradiction between the universalism of liberal </w:t>
      </w:r>
      <w:r w:rsidR="00443CA8">
        <w:t>citizenship</w:t>
      </w:r>
      <w:r w:rsidR="00052B9F">
        <w:t xml:space="preserve"> and </w:t>
      </w:r>
      <w:r w:rsidR="00FC457F">
        <w:t>the Jewish religion’s</w:t>
      </w:r>
      <w:r w:rsidR="00052B9F">
        <w:t xml:space="preserve"> particular </w:t>
      </w:r>
      <w:r w:rsidR="00AD6E51">
        <w:t xml:space="preserve">directives—religious and communal—as a key to Jews’ integration in modern European culture. The Jewish </w:t>
      </w:r>
      <w:r w:rsidR="00DF66AB">
        <w:t>Enlightenment (</w:t>
      </w:r>
      <w:proofErr w:type="spellStart"/>
      <w:r w:rsidR="009A1FB2">
        <w:t>Haskalah</w:t>
      </w:r>
      <w:proofErr w:type="spellEnd"/>
      <w:r w:rsidR="00DF66AB">
        <w:t>)</w:t>
      </w:r>
      <w:r w:rsidR="00AD6E51">
        <w:t xml:space="preserve"> movement, </w:t>
      </w:r>
      <w:r w:rsidR="00FC457F">
        <w:t>which</w:t>
      </w:r>
      <w:r w:rsidR="00AD6E51">
        <w:t xml:space="preserve"> drew its inspiration from the values of th</w:t>
      </w:r>
      <w:r w:rsidR="00AC0787">
        <w:t>e Enlightenment and the French R</w:t>
      </w:r>
      <w:r w:rsidR="00AD6E51">
        <w:t xml:space="preserve">evolution, strived to </w:t>
      </w:r>
      <w:r w:rsidR="00AC0787">
        <w:t>make</w:t>
      </w:r>
      <w:r w:rsidR="00AD6E51" w:rsidRPr="00FC457F">
        <w:t xml:space="preserve"> </w:t>
      </w:r>
      <w:r w:rsidR="009A1FB2">
        <w:t>Jews equa</w:t>
      </w:r>
      <w:r w:rsidR="00AC0787">
        <w:t>l partners in European society,</w:t>
      </w:r>
      <w:r w:rsidR="00FC457F">
        <w:t xml:space="preserve"> </w:t>
      </w:r>
      <w:r w:rsidR="002C3ADB">
        <w:t>who would fulfill</w:t>
      </w:r>
      <w:r w:rsidR="009A1FB2">
        <w:t xml:space="preserve"> an active role in the public</w:t>
      </w:r>
      <w:r w:rsidR="00AC0787">
        <w:t>,</w:t>
      </w:r>
      <w:r w:rsidR="009A1FB2">
        <w:t xml:space="preserve"> civil space while preserving a Jewish way of life in the private sphere. This illusory distinction between spaces—the public and the private—encouraged members of the </w:t>
      </w:r>
      <w:proofErr w:type="spellStart"/>
      <w:r w:rsidR="009A1FB2">
        <w:t>Haskalah</w:t>
      </w:r>
      <w:proofErr w:type="spellEnd"/>
      <w:r w:rsidR="009A1FB2">
        <w:t xml:space="preserve"> movement to view the moral</w:t>
      </w:r>
      <w:r w:rsidR="002C3ADB">
        <w:t>s</w:t>
      </w:r>
      <w:r w:rsidR="009A1FB2">
        <w:t xml:space="preserve"> and humanism associated with </w:t>
      </w:r>
      <w:r w:rsidR="001B74F7">
        <w:t xml:space="preserve">Jesus as neutral and universal values </w:t>
      </w:r>
      <w:r w:rsidR="00A65DC7">
        <w:t>that</w:t>
      </w:r>
      <w:r w:rsidR="009C33E0">
        <w:t xml:space="preserve"> necessitated</w:t>
      </w:r>
      <w:r w:rsidR="001B74F7">
        <w:t xml:space="preserve"> principles of pluralism and tolerance. Given that many Haskalah </w:t>
      </w:r>
      <w:r w:rsidR="00B73FF8">
        <w:t xml:space="preserve">thinkers aspired to legitimize Jewish integration in non-Jewish society while preserving the Jewish religion and tradition, they </w:t>
      </w:r>
      <w:r w:rsidR="00A65DC7">
        <w:t>maintained</w:t>
      </w:r>
      <w:r w:rsidR="00B73FF8">
        <w:t xml:space="preserve"> a</w:t>
      </w:r>
      <w:r w:rsidR="0033778E">
        <w:t>n unwavering</w:t>
      </w:r>
      <w:r w:rsidR="00B73FF8">
        <w:t xml:space="preserve"> sympathetic tone </w:t>
      </w:r>
      <w:r w:rsidR="00E52053">
        <w:t xml:space="preserve">towards </w:t>
      </w:r>
      <w:r w:rsidR="00A65DC7">
        <w:t>Jesus</w:t>
      </w:r>
      <w:r w:rsidR="00E52053">
        <w:t>. In so doing, they wished to demonstrate that the final separation of Christianity from Judaism begins with Paul, and is not reflected in the teachings of Jesus himself.</w:t>
      </w:r>
      <w:r w:rsidR="00D126C9">
        <w:rPr>
          <w:rStyle w:val="FootnoteReference"/>
        </w:rPr>
        <w:footnoteReference w:id="16"/>
      </w:r>
      <w:r w:rsidR="00B73FF8">
        <w:t xml:space="preserve"> </w:t>
      </w:r>
      <w:r w:rsidR="00E52053">
        <w:t xml:space="preserve">Unsurprisingly, this positive and </w:t>
      </w:r>
      <w:r w:rsidR="00850F1F">
        <w:t xml:space="preserve">supportive </w:t>
      </w:r>
      <w:r w:rsidR="00A65DC7">
        <w:t>tendency</w:t>
      </w:r>
      <w:r w:rsidR="00850F1F">
        <w:t xml:space="preserve"> toward Jesus left </w:t>
      </w:r>
      <w:r w:rsidR="00A65DC7">
        <w:t xml:space="preserve">obscure </w:t>
      </w:r>
      <w:r w:rsidR="00850F1F">
        <w:t xml:space="preserve">the issue of Jewish responsibility for his </w:t>
      </w:r>
      <w:r w:rsidR="00F93067">
        <w:t xml:space="preserve">arrest and death </w:t>
      </w:r>
      <w:r w:rsidR="00A614D7">
        <w:t xml:space="preserve">and focused </w:t>
      </w:r>
      <w:r w:rsidR="00F93067">
        <w:t xml:space="preserve">mainly on the principles common to both </w:t>
      </w:r>
      <w:r w:rsidR="00A614D7">
        <w:t xml:space="preserve">religions. </w:t>
      </w:r>
    </w:p>
    <w:p w14:paraId="60C1C38E" w14:textId="6BCC414E" w:rsidR="00263B27" w:rsidRDefault="00F93067" w:rsidP="00D00EBD">
      <w:pPr>
        <w:ind w:firstLine="0"/>
        <w:contextualSpacing/>
      </w:pPr>
      <w:r>
        <w:tab/>
        <w:t xml:space="preserve">While </w:t>
      </w:r>
      <w:r w:rsidR="00DE2C62">
        <w:t xml:space="preserve">in the framework of </w:t>
      </w:r>
      <w:r w:rsidR="00A65DC7">
        <w:t xml:space="preserve">European </w:t>
      </w:r>
      <w:proofErr w:type="spellStart"/>
      <w:r w:rsidR="00A65DC7">
        <w:t>Haskalah</w:t>
      </w:r>
      <w:proofErr w:type="spellEnd"/>
      <w:r w:rsidR="00A65DC7">
        <w:t>,</w:t>
      </w:r>
      <w:r w:rsidR="00DE2C62">
        <w:t xml:space="preserve"> </w:t>
      </w:r>
      <w:r>
        <w:t xml:space="preserve">the </w:t>
      </w:r>
      <w:r w:rsidR="00DE2C62">
        <w:t>Jewish re-appropriation</w:t>
      </w:r>
      <w:r>
        <w:t xml:space="preserve"> of Jesus</w:t>
      </w:r>
      <w:r w:rsidR="00DE2C62">
        <w:t xml:space="preserve"> </w:t>
      </w:r>
      <w:r w:rsidR="001B70F2">
        <w:t xml:space="preserve">was </w:t>
      </w:r>
      <w:r w:rsidR="00A614D7">
        <w:t>largely driven</w:t>
      </w:r>
      <w:r w:rsidR="001B70F2">
        <w:t xml:space="preserve"> </w:t>
      </w:r>
      <w:r w:rsidR="00A614D7">
        <w:t xml:space="preserve">by </w:t>
      </w:r>
      <w:r w:rsidR="001B70F2">
        <w:t>universal</w:t>
      </w:r>
      <w:r w:rsidR="00A65DC7">
        <w:t>ist</w:t>
      </w:r>
      <w:r w:rsidR="001B70F2">
        <w:t xml:space="preserve"> motives, in the context of Zionist discourse, Jesus’s messianism—and later the story of Judas Iscariot’s betrayal</w:t>
      </w:r>
      <w:r w:rsidR="00A65DC7">
        <w:t xml:space="preserve"> as well—was </w:t>
      </w:r>
      <w:proofErr w:type="spellStart"/>
      <w:r w:rsidR="00A65DC7">
        <w:t>re</w:t>
      </w:r>
      <w:r w:rsidR="001B70F2">
        <w:t>appropriated</w:t>
      </w:r>
      <w:proofErr w:type="spellEnd"/>
      <w:r w:rsidR="001B70F2">
        <w:t xml:space="preserve"> to serve a particular national project: the </w:t>
      </w:r>
      <w:proofErr w:type="spellStart"/>
      <w:r w:rsidR="00A65DC7">
        <w:t>estbalishment</w:t>
      </w:r>
      <w:proofErr w:type="spellEnd"/>
      <w:r w:rsidR="001B70F2">
        <w:t xml:space="preserve"> of Jewish sovereignty in </w:t>
      </w:r>
      <w:r w:rsidR="001B70F2" w:rsidRPr="007A6C90">
        <w:t xml:space="preserve">the </w:t>
      </w:r>
      <w:r w:rsidR="007A6C90">
        <w:t>Land of Israel</w:t>
      </w:r>
      <w:r w:rsidR="001B70F2" w:rsidRPr="007A6C90">
        <w:t xml:space="preserve">. </w:t>
      </w:r>
      <w:r w:rsidR="002451B0" w:rsidRPr="007A6C90">
        <w:t>As a</w:t>
      </w:r>
      <w:r w:rsidR="002451B0">
        <w:t xml:space="preserve"> national </w:t>
      </w:r>
      <w:r w:rsidR="002451B0">
        <w:lastRenderedPageBreak/>
        <w:t xml:space="preserve">movement, Zionism </w:t>
      </w:r>
      <w:r w:rsidR="00677852">
        <w:t>constructed</w:t>
      </w:r>
      <w:r w:rsidR="002451B0">
        <w:t xml:space="preserve"> an “invented tradition”</w:t>
      </w:r>
      <w:r w:rsidR="002451B0">
        <w:rPr>
          <w:rStyle w:val="FootnoteReference"/>
        </w:rPr>
        <w:footnoteReference w:id="17"/>
      </w:r>
      <w:r w:rsidR="002451B0">
        <w:t xml:space="preserve"> by providing a renewed and appropriating interpretation </w:t>
      </w:r>
      <w:r w:rsidR="00677852">
        <w:t>of</w:t>
      </w:r>
      <w:r w:rsidR="002451B0">
        <w:t xml:space="preserve"> </w:t>
      </w:r>
      <w:r w:rsidR="00E06512">
        <w:t>different historical and mythic figures</w:t>
      </w:r>
      <w:r w:rsidR="00144E18">
        <w:t xml:space="preserve">, </w:t>
      </w:r>
      <w:r w:rsidR="00D00EBD">
        <w:t>who</w:t>
      </w:r>
      <w:r w:rsidR="00E06512">
        <w:t xml:space="preserve"> </w:t>
      </w:r>
      <w:r w:rsidR="00677852">
        <w:t xml:space="preserve">now </w:t>
      </w:r>
      <w:r w:rsidR="00E06512">
        <w:t xml:space="preserve">functioned, in the context of the Zionist narrative, as </w:t>
      </w:r>
      <w:r w:rsidR="00673E40">
        <w:t>parts of</w:t>
      </w:r>
      <w:r w:rsidR="00E06512">
        <w:t xml:space="preserve"> </w:t>
      </w:r>
      <w:r w:rsidR="00144E18">
        <w:t>a</w:t>
      </w:r>
      <w:r w:rsidR="00E06512">
        <w:t xml:space="preserve"> historical, national Jewish </w:t>
      </w:r>
      <w:r w:rsidR="00673E40">
        <w:t>succession</w:t>
      </w:r>
      <w:r w:rsidR="00E06512">
        <w:t xml:space="preserve">. </w:t>
      </w:r>
      <w:r w:rsidR="00673E40">
        <w:t>Thus</w:t>
      </w:r>
      <w:r w:rsidR="00E06512">
        <w:t xml:space="preserve">, Jesus was identified in the Zionist discourse with </w:t>
      </w:r>
      <w:r w:rsidR="00AC1868">
        <w:t xml:space="preserve">ancient, indigenous, and potent Hebraism, and as the brave leader of a revolt against </w:t>
      </w:r>
      <w:r w:rsidR="00D00EBD">
        <w:t>a</w:t>
      </w:r>
      <w:r w:rsidR="00AC1868">
        <w:t xml:space="preserve"> foreign ruler </w:t>
      </w:r>
      <w:r w:rsidR="00673E40">
        <w:t>aimed at</w:t>
      </w:r>
      <w:r w:rsidR="00AC1868">
        <w:t xml:space="preserve"> attaining </w:t>
      </w:r>
      <w:r w:rsidR="00267B5A">
        <w:t>political</w:t>
      </w:r>
      <w:r w:rsidR="00AC1868">
        <w:t xml:space="preserve"> independence. </w:t>
      </w:r>
      <w:r w:rsidR="00267B5A">
        <w:t>Put differently, h</w:t>
      </w:r>
      <w:r w:rsidR="00AC1868">
        <w:t xml:space="preserve">e </w:t>
      </w:r>
      <w:r w:rsidR="00267B5A">
        <w:t xml:space="preserve">was </w:t>
      </w:r>
      <w:r w:rsidR="00D00EBD">
        <w:t>recast</w:t>
      </w:r>
      <w:r w:rsidR="00267B5A">
        <w:t xml:space="preserve"> in the </w:t>
      </w:r>
      <w:r w:rsidR="002245E4">
        <w:t>form</w:t>
      </w:r>
      <w:r w:rsidR="00AC1868">
        <w:t xml:space="preserve"> of the mythic Hebrew pioneer, who sacrifices </w:t>
      </w:r>
      <w:r w:rsidR="00D00EBD">
        <w:t>his</w:t>
      </w:r>
      <w:r w:rsidR="00AC1868">
        <w:t xml:space="preserve"> body to build a national home</w:t>
      </w:r>
      <w:r w:rsidR="00D126C9">
        <w:t xml:space="preserve">land and renews </w:t>
      </w:r>
      <w:r w:rsidR="00D00EBD">
        <w:t>his</w:t>
      </w:r>
      <w:r w:rsidR="00D126C9">
        <w:t xml:space="preserve"> affinity with the </w:t>
      </w:r>
      <w:r w:rsidR="007A6C90">
        <w:t>Land of Israel</w:t>
      </w:r>
      <w:r w:rsidR="00D126C9">
        <w:t xml:space="preserve"> through the </w:t>
      </w:r>
      <w:r w:rsidR="00D126C9" w:rsidRPr="002245E4">
        <w:t>redeeming act of toiling the earth.</w:t>
      </w:r>
      <w:r w:rsidR="00D126C9" w:rsidRPr="002245E4">
        <w:rPr>
          <w:rStyle w:val="FootnoteReference"/>
        </w:rPr>
        <w:footnoteReference w:id="18"/>
      </w:r>
      <w:r w:rsidR="00D126C9">
        <w:t xml:space="preserve"> </w:t>
      </w:r>
    </w:p>
    <w:p w14:paraId="7424EF56" w14:textId="4E8D096C" w:rsidR="00F372F7" w:rsidRDefault="008E65F6" w:rsidP="00231A3B">
      <w:pPr>
        <w:contextualSpacing/>
      </w:pPr>
      <w:r>
        <w:t>H</w:t>
      </w:r>
      <w:r w:rsidR="005146A5">
        <w:t xml:space="preserve">istorian and literary scholar Joseph Klausner (1874-1958) was recognized as having a crucial impact on </w:t>
      </w:r>
      <w:r w:rsidR="00D00EBD">
        <w:t>making</w:t>
      </w:r>
      <w:r w:rsidR="00D0081C">
        <w:t xml:space="preserve"> Jesus a focus of fascination for Hebrew intellectuals and </w:t>
      </w:r>
      <w:r w:rsidR="00D0081C" w:rsidRPr="002245E4">
        <w:t>artists</w:t>
      </w:r>
      <w:r w:rsidR="002245E4">
        <w:t xml:space="preserve">. </w:t>
      </w:r>
      <w:r w:rsidR="00B36EA7">
        <w:t xml:space="preserve">In his monographic historical study, </w:t>
      </w:r>
      <w:r w:rsidR="00B36EA7" w:rsidRPr="009B2EA1">
        <w:rPr>
          <w:i/>
          <w:iCs/>
        </w:rPr>
        <w:t>Jesus of Nazareth: His Life,</w:t>
      </w:r>
      <w:r w:rsidR="00B36EA7">
        <w:t xml:space="preserve"> </w:t>
      </w:r>
      <w:r w:rsidR="00B36EA7" w:rsidRPr="009B2EA1">
        <w:rPr>
          <w:i/>
          <w:iCs/>
        </w:rPr>
        <w:t>Ti</w:t>
      </w:r>
      <w:r w:rsidR="00D00EBD">
        <w:rPr>
          <w:i/>
          <w:iCs/>
        </w:rPr>
        <w:t>mes, and</w:t>
      </w:r>
      <w:r w:rsidR="00B36EA7">
        <w:rPr>
          <w:i/>
          <w:iCs/>
        </w:rPr>
        <w:t xml:space="preserve"> </w:t>
      </w:r>
      <w:r w:rsidR="00B36EA7" w:rsidRPr="009B2EA1">
        <w:rPr>
          <w:i/>
          <w:iCs/>
        </w:rPr>
        <w:t>Teachings</w:t>
      </w:r>
      <w:r w:rsidR="00B36EA7">
        <w:t>,</w:t>
      </w:r>
      <w:r w:rsidR="00B36EA7">
        <w:rPr>
          <w:rStyle w:val="FootnoteReference"/>
        </w:rPr>
        <w:footnoteReference w:id="19"/>
      </w:r>
      <w:r w:rsidR="00B36EA7">
        <w:t xml:space="preserve"> </w:t>
      </w:r>
      <w:proofErr w:type="spellStart"/>
      <w:r w:rsidR="00B36EA7">
        <w:t>Klausner</w:t>
      </w:r>
      <w:proofErr w:type="spellEnd"/>
      <w:r w:rsidR="00B36EA7">
        <w:t xml:space="preserve"> </w:t>
      </w:r>
      <w:r w:rsidR="00A95529">
        <w:t>not only</w:t>
      </w:r>
      <w:r w:rsidR="00110FCE">
        <w:t xml:space="preserve"> </w:t>
      </w:r>
      <w:r w:rsidR="00594E28">
        <w:t>imagin</w:t>
      </w:r>
      <w:r w:rsidR="00A95529">
        <w:t>ed</w:t>
      </w:r>
      <w:r w:rsidR="00594E28">
        <w:t xml:space="preserve"> Jesus as a</w:t>
      </w:r>
      <w:r w:rsidR="00EE0C91">
        <w:t xml:space="preserve"> </w:t>
      </w:r>
      <w:r w:rsidR="00EE0C91" w:rsidRPr="00110FCE">
        <w:t>deep-rooted</w:t>
      </w:r>
      <w:r w:rsidR="00EE0C91">
        <w:t xml:space="preserve"> Jew with an unmediated affinity with the </w:t>
      </w:r>
      <w:r w:rsidR="007A6C90">
        <w:t>Land of Israel</w:t>
      </w:r>
      <w:r w:rsidR="00110FCE">
        <w:t xml:space="preserve">, but </w:t>
      </w:r>
      <w:r w:rsidR="00A95529">
        <w:t>also provided</w:t>
      </w:r>
      <w:r w:rsidR="002E4243">
        <w:t xml:space="preserve"> a contemporary political and national interpretation </w:t>
      </w:r>
      <w:r w:rsidR="00A95529">
        <w:t>of</w:t>
      </w:r>
      <w:r w:rsidR="002E4243">
        <w:t xml:space="preserve"> </w:t>
      </w:r>
      <w:r w:rsidR="00231A3B">
        <w:t>Jesus’s</w:t>
      </w:r>
      <w:r w:rsidR="002E4243">
        <w:t xml:space="preserve"> life and teachings that echoe</w:t>
      </w:r>
      <w:r w:rsidR="00A95529">
        <w:t>d</w:t>
      </w:r>
      <w:r w:rsidR="002E4243">
        <w:t xml:space="preserve"> the political changes </w:t>
      </w:r>
      <w:r w:rsidR="00231A3B">
        <w:t>when the</w:t>
      </w:r>
      <w:r w:rsidR="002E4243">
        <w:t xml:space="preserve"> book was written</w:t>
      </w:r>
      <w:r w:rsidR="00A95529">
        <w:t>:</w:t>
      </w:r>
      <w:r w:rsidR="002E4243">
        <w:t xml:space="preserve"> </w:t>
      </w:r>
      <w:r w:rsidR="007A6C90">
        <w:t>t</w:t>
      </w:r>
      <w:r w:rsidR="002E4243">
        <w:t xml:space="preserve">he </w:t>
      </w:r>
      <w:r w:rsidR="00F46023">
        <w:t>transformation of</w:t>
      </w:r>
      <w:r w:rsidR="002E4243">
        <w:t xml:space="preserve"> Jewish </w:t>
      </w:r>
      <w:r w:rsidR="00A11A11">
        <w:t xml:space="preserve">culture </w:t>
      </w:r>
      <w:r w:rsidR="00F46023">
        <w:t>in</w:t>
      </w:r>
      <w:r w:rsidR="00A11A11">
        <w:t xml:space="preserve">to a national and sovereign culture in the </w:t>
      </w:r>
      <w:r w:rsidR="007A6C90">
        <w:t>Land of Israel</w:t>
      </w:r>
      <w:r w:rsidR="00A11A11">
        <w:t xml:space="preserve">. The fundamental </w:t>
      </w:r>
      <w:r w:rsidR="00F46023">
        <w:lastRenderedPageBreak/>
        <w:t>premise</w:t>
      </w:r>
      <w:r w:rsidR="00A11A11">
        <w:t xml:space="preserve"> of </w:t>
      </w:r>
      <w:r w:rsidR="00B81898">
        <w:t>Klausner’s</w:t>
      </w:r>
      <w:r w:rsidR="00A11A11">
        <w:t xml:space="preserve"> main argument is that Judaism, which constitutes “a national worldview</w:t>
      </w:r>
      <w:r w:rsidR="00A30BDE">
        <w:t xml:space="preserve">, </w:t>
      </w:r>
      <w:r w:rsidR="00B81898">
        <w:t>with</w:t>
      </w:r>
      <w:r w:rsidR="00A30BDE">
        <w:t xml:space="preserve"> a religious-moral </w:t>
      </w:r>
      <w:r w:rsidR="00B81898">
        <w:t>platform</w:t>
      </w:r>
      <w:r w:rsidR="00A30BDE">
        <w:t>,”</w:t>
      </w:r>
      <w:r w:rsidR="00A30BDE">
        <w:rPr>
          <w:rStyle w:val="FootnoteReference"/>
        </w:rPr>
        <w:footnoteReference w:id="20"/>
      </w:r>
      <w:r w:rsidR="00A11A11">
        <w:t xml:space="preserve"> </w:t>
      </w:r>
      <w:r w:rsidR="00A30BDE">
        <w:t xml:space="preserve">is an </w:t>
      </w:r>
      <w:r w:rsidR="00590F7B">
        <w:t>indestructible complex of religio</w:t>
      </w:r>
      <w:r w:rsidR="00B81898">
        <w:t>us</w:t>
      </w:r>
      <w:r w:rsidR="00590F7B">
        <w:t xml:space="preserve"> and national principles. </w:t>
      </w:r>
      <w:r w:rsidR="00A93924">
        <w:t xml:space="preserve">Thus, Klausner laid the </w:t>
      </w:r>
      <w:r w:rsidR="00420615">
        <w:t>groundwork</w:t>
      </w:r>
      <w:r w:rsidR="00A93924">
        <w:t xml:space="preserve"> for the perception of Zionism as a project </w:t>
      </w:r>
      <w:r w:rsidR="00B81898">
        <w:t>aimed at</w:t>
      </w:r>
      <w:r w:rsidR="00A93924">
        <w:t xml:space="preserve"> facilitat</w:t>
      </w:r>
      <w:r w:rsidR="00B81898">
        <w:t>ing</w:t>
      </w:r>
      <w:r w:rsidR="00A93924">
        <w:t xml:space="preserve"> </w:t>
      </w:r>
      <w:r w:rsidR="00B81898">
        <w:t xml:space="preserve">the creation of </w:t>
      </w:r>
      <w:r w:rsidR="00A93924">
        <w:t xml:space="preserve">a sovereign paradigm that </w:t>
      </w:r>
      <w:r w:rsidR="00956DF5">
        <w:t>functions</w:t>
      </w:r>
      <w:r w:rsidR="00A93924">
        <w:t xml:space="preserve"> as a political theology </w:t>
      </w:r>
      <w:r w:rsidR="004F2459">
        <w:t xml:space="preserve">founded on edicts determined by </w:t>
      </w:r>
      <w:r w:rsidR="00956DF5">
        <w:t xml:space="preserve">means of </w:t>
      </w:r>
      <w:r w:rsidR="004F2459">
        <w:t xml:space="preserve">particular </w:t>
      </w:r>
      <w:r w:rsidR="00956DF5">
        <w:t xml:space="preserve">religious and national </w:t>
      </w:r>
      <w:r w:rsidR="004F2459">
        <w:t xml:space="preserve">characteristics </w:t>
      </w:r>
      <w:r w:rsidR="008A3897">
        <w:t>(and not on the national-liberal model in the form of a “civic nation</w:t>
      </w:r>
      <w:r w:rsidR="008A3897" w:rsidRPr="00712D41">
        <w:t>”).</w:t>
      </w:r>
    </w:p>
    <w:p w14:paraId="053CB590" w14:textId="52E79784" w:rsidR="00471B81" w:rsidRDefault="00471B81" w:rsidP="002F65CB">
      <w:pPr>
        <w:contextualSpacing/>
      </w:pPr>
      <w:r>
        <w:t>In w</w:t>
      </w:r>
      <w:r w:rsidR="00424D8D">
        <w:t xml:space="preserve">hat </w:t>
      </w:r>
      <w:r>
        <w:t xml:space="preserve">appears like a dialectic negation of the universalism that the members of the Haskalah sought to emphasize in their attitude towards Jesus and the Gospel narrative, Klausner returns to the particular and exclusive, </w:t>
      </w:r>
      <w:r w:rsidR="002F65CB">
        <w:t>arguing</w:t>
      </w:r>
      <w:r>
        <w:t xml:space="preserve"> that there is no place in </w:t>
      </w:r>
      <w:r w:rsidR="00E911E7">
        <w:t xml:space="preserve">Jewish sovereignty in the </w:t>
      </w:r>
      <w:r w:rsidR="007A6C90">
        <w:t>Land of Israel</w:t>
      </w:r>
      <w:r w:rsidR="00E911E7">
        <w:t xml:space="preserve"> for universal edicts and moral doctrines </w:t>
      </w:r>
      <w:r w:rsidR="007635DD">
        <w:t>fashioned after Jesus</w:t>
      </w:r>
      <w:r w:rsidR="00AF0B4C">
        <w:t>.</w:t>
      </w:r>
      <w:r w:rsidR="00AF0B4C">
        <w:rPr>
          <w:rStyle w:val="FootnoteReference"/>
        </w:rPr>
        <w:footnoteReference w:id="21"/>
      </w:r>
      <w:r w:rsidR="00AF0B4C">
        <w:t xml:space="preserve"> Klausner rejects the placated appeal to Christianity via universalism, </w:t>
      </w:r>
      <w:r w:rsidR="007635DD">
        <w:t>claiming</w:t>
      </w:r>
      <w:r w:rsidR="00AF0B4C">
        <w:t xml:space="preserve"> that this universalism is </w:t>
      </w:r>
      <w:r w:rsidR="002F65CB">
        <w:t>just what</w:t>
      </w:r>
      <w:r w:rsidR="00AF0B4C">
        <w:t xml:space="preserve"> deprived </w:t>
      </w:r>
      <w:r w:rsidR="00517E23">
        <w:t>the Jewish people in the Roman E</w:t>
      </w:r>
      <w:r w:rsidR="00AF0B4C">
        <w:t xml:space="preserve">mpire </w:t>
      </w:r>
      <w:r w:rsidR="00A96446">
        <w:t xml:space="preserve">of </w:t>
      </w:r>
      <w:r w:rsidR="00AF0B4C">
        <w:t xml:space="preserve">the </w:t>
      </w:r>
      <w:r w:rsidR="007635DD">
        <w:t>possibility to</w:t>
      </w:r>
      <w:r w:rsidR="00E54E37">
        <w:t xml:space="preserve"> express and realiz</w:t>
      </w:r>
      <w:r w:rsidR="00A96446">
        <w:t>e</w:t>
      </w:r>
      <w:r w:rsidR="00E54E37">
        <w:t xml:space="preserve"> its national needs. </w:t>
      </w:r>
    </w:p>
    <w:p w14:paraId="2316661C" w14:textId="1FE998AB" w:rsidR="001D7F50" w:rsidRDefault="00E54E37" w:rsidP="009B2651">
      <w:pPr>
        <w:contextualSpacing/>
      </w:pPr>
      <w:r>
        <w:t xml:space="preserve">There is no mention of Judas Iscariot in Klausner’s proposed historical account. However, by way of </w:t>
      </w:r>
      <w:r w:rsidR="00F73E3D">
        <w:t>his depiction of Jesus as an observant Jew motivated by political</w:t>
      </w:r>
      <w:r w:rsidR="00A96446">
        <w:t>, rather than</w:t>
      </w:r>
      <w:r w:rsidR="00F73E3D">
        <w:t xml:space="preserve"> theological</w:t>
      </w:r>
      <w:r w:rsidR="002A11DD">
        <w:t>, considerations</w:t>
      </w:r>
      <w:r w:rsidR="00F73E3D">
        <w:t xml:space="preserve"> to choose a different path than the “chosen people,” </w:t>
      </w:r>
      <w:r w:rsidR="002A11DD">
        <w:t xml:space="preserve">he </w:t>
      </w:r>
      <w:r w:rsidR="00F73E3D">
        <w:t xml:space="preserve">laid the </w:t>
      </w:r>
      <w:r w:rsidR="00420615">
        <w:t>groundwork</w:t>
      </w:r>
      <w:r w:rsidR="00F73E3D">
        <w:t xml:space="preserve"> for Hebrew writers who </w:t>
      </w:r>
      <w:r w:rsidR="00820D8E">
        <w:t xml:space="preserve">sought to </w:t>
      </w:r>
      <w:r w:rsidR="00A96446">
        <w:t>grant</w:t>
      </w:r>
      <w:r w:rsidR="00820D8E">
        <w:t xml:space="preserve"> Judas Iscariot a place in their work. </w:t>
      </w:r>
      <w:r w:rsidR="000E7BC6">
        <w:t xml:space="preserve">Interestingly, the sympathetic reception of Jesus into </w:t>
      </w:r>
      <w:r w:rsidR="000E7BC6" w:rsidRPr="002A11DD">
        <w:t>the domain of</w:t>
      </w:r>
      <w:r w:rsidR="000E7BC6">
        <w:t xml:space="preserve"> Judaism and Hebrew literature did not entail </w:t>
      </w:r>
      <w:r w:rsidR="0078303D">
        <w:t>hostility towards Judas Iscariot</w:t>
      </w:r>
      <w:r w:rsidR="009B2651">
        <w:t>. Rather,</w:t>
      </w:r>
      <w:r w:rsidR="0078303D">
        <w:t xml:space="preserve"> as arises from </w:t>
      </w:r>
      <w:proofErr w:type="spellStart"/>
      <w:r w:rsidR="0078303D">
        <w:t>Mossinsohn’s</w:t>
      </w:r>
      <w:proofErr w:type="spellEnd"/>
      <w:r w:rsidR="0078303D">
        <w:t xml:space="preserve"> novel</w:t>
      </w:r>
      <w:r w:rsidR="002A11DD">
        <w:t xml:space="preserve">, </w:t>
      </w:r>
      <w:r w:rsidR="009B2651">
        <w:t xml:space="preserve">this reception </w:t>
      </w:r>
      <w:proofErr w:type="spellStart"/>
      <w:r w:rsidR="009B2651">
        <w:t>cast</w:t>
      </w:r>
      <w:r w:rsidR="0078303D">
        <w:t>both</w:t>
      </w:r>
      <w:proofErr w:type="spellEnd"/>
      <w:r w:rsidR="0078303D">
        <w:t xml:space="preserve"> Jesus and Judas</w:t>
      </w:r>
      <w:r w:rsidR="002A11DD">
        <w:t xml:space="preserve"> </w:t>
      </w:r>
      <w:r w:rsidR="0078303D">
        <w:t xml:space="preserve">as characters </w:t>
      </w:r>
      <w:r w:rsidR="009B2651">
        <w:t xml:space="preserve">who </w:t>
      </w:r>
      <w:r w:rsidR="0078303D">
        <w:t xml:space="preserve">are identified with the same national faction and as </w:t>
      </w:r>
      <w:proofErr w:type="spellStart"/>
      <w:r w:rsidR="009B2651">
        <w:t>commrades</w:t>
      </w:r>
      <w:proofErr w:type="spellEnd"/>
      <w:r w:rsidR="0078303D">
        <w:t xml:space="preserve"> in the sovereign </w:t>
      </w:r>
      <w:r w:rsidR="008F6866">
        <w:t xml:space="preserve">undertaking, even if they represented </w:t>
      </w:r>
      <w:r w:rsidR="009B2651">
        <w:t xml:space="preserve">as </w:t>
      </w:r>
      <w:r w:rsidR="009B2651">
        <w:lastRenderedPageBreak/>
        <w:t xml:space="preserve">having </w:t>
      </w:r>
      <w:r w:rsidR="008F6866">
        <w:t xml:space="preserve">different views and </w:t>
      </w:r>
      <w:proofErr w:type="spellStart"/>
      <w:r w:rsidR="008F6866" w:rsidRPr="008F6866">
        <w:rPr>
          <w:i/>
          <w:iCs/>
        </w:rPr>
        <w:t>modi</w:t>
      </w:r>
      <w:proofErr w:type="spellEnd"/>
      <w:r w:rsidR="008F6866" w:rsidRPr="008F6866">
        <w:rPr>
          <w:i/>
          <w:iCs/>
        </w:rPr>
        <w:t xml:space="preserve"> operandi</w:t>
      </w:r>
      <w:r w:rsidR="008F6866">
        <w:t xml:space="preserve">. </w:t>
      </w:r>
      <w:r w:rsidR="008F2D11">
        <w:t xml:space="preserve">For Mossinsohn, </w:t>
      </w:r>
      <w:r w:rsidR="003C01D8">
        <w:t>Judas Iscariot</w:t>
      </w:r>
      <w:r w:rsidR="00D04922">
        <w:t xml:space="preserve"> became even more </w:t>
      </w:r>
      <w:r w:rsidR="00112F18">
        <w:t>relevant</w:t>
      </w:r>
      <w:r w:rsidR="00D04922">
        <w:t xml:space="preserve"> than </w:t>
      </w:r>
      <w:r w:rsidR="00450E3D">
        <w:t xml:space="preserve">Jesus </w:t>
      </w:r>
      <w:r w:rsidR="004A4776">
        <w:t xml:space="preserve">in </w:t>
      </w:r>
      <w:r w:rsidR="00112F18">
        <w:t xml:space="preserve">terms of </w:t>
      </w:r>
      <w:r w:rsidR="004A4776">
        <w:t xml:space="preserve">his attempt to </w:t>
      </w:r>
      <w:r w:rsidR="00D65B2F">
        <w:t xml:space="preserve">present an internal criticism </w:t>
      </w:r>
      <w:r w:rsidR="00112F18">
        <w:t>of</w:t>
      </w:r>
      <w:r w:rsidR="00D15412">
        <w:t xml:space="preserve"> the Zionist project</w:t>
      </w:r>
      <w:r w:rsidR="00112F18">
        <w:t>, which</w:t>
      </w:r>
      <w:r w:rsidR="00BB51D4">
        <w:t xml:space="preserve"> deals with complex questions </w:t>
      </w:r>
      <w:r w:rsidR="00553EE8">
        <w:t xml:space="preserve">of </w:t>
      </w:r>
      <w:r w:rsidR="00467368">
        <w:t>sovereign power and violence.</w:t>
      </w:r>
      <w:r w:rsidR="00467368">
        <w:rPr>
          <w:rStyle w:val="FootnoteReference"/>
        </w:rPr>
        <w:footnoteReference w:id="22"/>
      </w:r>
      <w:r w:rsidR="008F6866">
        <w:t xml:space="preserve"> </w:t>
      </w:r>
      <w:r w:rsidR="00C976FC">
        <w:t xml:space="preserve">Mossinsohn </w:t>
      </w:r>
      <w:r w:rsidR="00112F18">
        <w:t>portrays</w:t>
      </w:r>
      <w:r w:rsidR="00C976FC">
        <w:t xml:space="preserve"> </w:t>
      </w:r>
      <w:r w:rsidR="002203B1">
        <w:t>Judas not as a traitor</w:t>
      </w:r>
      <w:r w:rsidR="002711AA">
        <w:t>, but rather as a militant and patriotic Jew</w:t>
      </w:r>
      <w:r w:rsidR="00250C81">
        <w:t xml:space="preserve"> who finds himself </w:t>
      </w:r>
      <w:r w:rsidR="00D56CF4">
        <w:t xml:space="preserve">betrayed by the very same sovereign </w:t>
      </w:r>
      <w:r w:rsidR="00B0649A">
        <w:t xml:space="preserve">mechanism he served as a loyal </w:t>
      </w:r>
      <w:r w:rsidR="001D7F50">
        <w:t>emissary</w:t>
      </w:r>
      <w:r w:rsidR="00B0649A">
        <w:t>.</w:t>
      </w:r>
    </w:p>
    <w:p w14:paraId="7CEE75D4" w14:textId="77777777" w:rsidR="008E65F6" w:rsidRDefault="008E65F6" w:rsidP="008E65F6">
      <w:pPr>
        <w:ind w:firstLine="0"/>
        <w:contextualSpacing/>
      </w:pPr>
    </w:p>
    <w:p w14:paraId="33F60634" w14:textId="189FA91B" w:rsidR="00E54E37" w:rsidRDefault="001D7F50" w:rsidP="008E65F6">
      <w:pPr>
        <w:ind w:firstLine="0"/>
        <w:contextualSpacing/>
        <w:rPr>
          <w:b/>
          <w:bCs/>
        </w:rPr>
      </w:pPr>
      <w:r w:rsidRPr="001D7F50">
        <w:rPr>
          <w:b/>
          <w:bCs/>
        </w:rPr>
        <w:t xml:space="preserve">Judas Iscariot and </w:t>
      </w:r>
      <w:r w:rsidR="009B2651">
        <w:rPr>
          <w:b/>
          <w:bCs/>
        </w:rPr>
        <w:t xml:space="preserve">the </w:t>
      </w:r>
      <w:r w:rsidRPr="001D7F50">
        <w:rPr>
          <w:b/>
          <w:bCs/>
        </w:rPr>
        <w:t xml:space="preserve">Criticism of the Israeli Sovereignty </w:t>
      </w:r>
    </w:p>
    <w:p w14:paraId="5D1C4BF7" w14:textId="1D02600C" w:rsidR="00D873C3" w:rsidRDefault="001D7F50" w:rsidP="00171B92">
      <w:pPr>
        <w:contextualSpacing/>
      </w:pPr>
      <w:r>
        <w:t xml:space="preserve">The plot of </w:t>
      </w:r>
      <w:r w:rsidRPr="001D7F50">
        <w:rPr>
          <w:i/>
          <w:iCs/>
        </w:rPr>
        <w:t>Judas</w:t>
      </w:r>
      <w:r>
        <w:t xml:space="preserve">, which was published in 1962, takes place ten years after Jesus was crucified and is communicated as a retrospective account from </w:t>
      </w:r>
      <w:r w:rsidR="00751287">
        <w:t xml:space="preserve">Judas Iscariot’s </w:t>
      </w:r>
      <w:r>
        <w:t>point of view</w:t>
      </w:r>
      <w:r w:rsidR="009B79AE">
        <w:t xml:space="preserve">. It begins </w:t>
      </w:r>
      <w:r>
        <w:t>with the following words: “I am about to be</w:t>
      </w:r>
      <w:r w:rsidR="007F62C6">
        <w:t xml:space="preserve"> crucified. I am lying in the prison of the port city of Garamus, during the reign of the emperor Caius Caligula, ten years after the crucifixion of Jesus of Nazareth and my flight from my own country, my homeland” (3). Judas Iscariot is described </w:t>
      </w:r>
      <w:r w:rsidR="009B79AE">
        <w:t>as having been an</w:t>
      </w:r>
      <w:r w:rsidR="00DE14C5">
        <w:t xml:space="preserve"> anti-Roman underground fighter who inadvertently became caught up in a political intrigue </w:t>
      </w:r>
      <w:r w:rsidR="00893A8E">
        <w:t xml:space="preserve">when </w:t>
      </w:r>
      <w:r w:rsidR="00DE14C5">
        <w:t>his commander</w:t>
      </w:r>
      <w:r w:rsidR="00893A8E">
        <w:t>,</w:t>
      </w:r>
      <w:r w:rsidR="00DE14C5">
        <w:t xml:space="preserve"> Bara</w:t>
      </w:r>
      <w:r w:rsidR="00830FDD">
        <w:t>b</w:t>
      </w:r>
      <w:r w:rsidR="00DE14C5">
        <w:t>bas</w:t>
      </w:r>
      <w:r w:rsidR="00893A8E">
        <w:t xml:space="preserve">, ordered </w:t>
      </w:r>
      <w:r w:rsidR="00DE14C5">
        <w:t xml:space="preserve">him to turn in </w:t>
      </w:r>
      <w:r w:rsidR="00893A8E">
        <w:t xml:space="preserve">Jesus </w:t>
      </w:r>
      <w:r w:rsidR="00DE14C5">
        <w:t xml:space="preserve">to the Roman authorities. </w:t>
      </w:r>
      <w:r w:rsidR="00171B92">
        <w:t>Judas was unaware, however, of the</w:t>
      </w:r>
      <w:r w:rsidR="00830FDD">
        <w:t xml:space="preserve"> secret plan </w:t>
      </w:r>
      <w:r w:rsidR="00171B92">
        <w:t>concocted</w:t>
      </w:r>
      <w:r w:rsidR="00830FDD">
        <w:t xml:space="preserve"> by Barabbas and Jesus</w:t>
      </w:r>
      <w:r w:rsidR="00171B92">
        <w:t>,</w:t>
      </w:r>
      <w:r w:rsidR="00830FDD">
        <w:t xml:space="preserve"> who thought that </w:t>
      </w:r>
      <w:r w:rsidR="00893A8E">
        <w:t>the latter’s</w:t>
      </w:r>
      <w:r w:rsidR="00830FDD">
        <w:t xml:space="preserve"> death would ignite the Jewish street and lead to the </w:t>
      </w:r>
      <w:r w:rsidR="0030514A">
        <w:t xml:space="preserve">outbreak of a sweeping revolt against the Romans. </w:t>
      </w:r>
      <w:r w:rsidR="00171B92">
        <w:t>But</w:t>
      </w:r>
      <w:r w:rsidR="0030514A">
        <w:t xml:space="preserve"> </w:t>
      </w:r>
      <w:r w:rsidR="00EB31C5">
        <w:t>when Jesus’s death failed to</w:t>
      </w:r>
      <w:r w:rsidR="0030514A">
        <w:t xml:space="preserve"> </w:t>
      </w:r>
      <w:r w:rsidR="00171B92">
        <w:t>rouse</w:t>
      </w:r>
      <w:r w:rsidR="0030514A">
        <w:t xml:space="preserve"> the Jews from their political apathy, Judas</w:t>
      </w:r>
      <w:r w:rsidR="00DB1511">
        <w:t xml:space="preserve"> was accused of </w:t>
      </w:r>
      <w:r w:rsidR="00772A95">
        <w:t>betrayal</w:t>
      </w:r>
      <w:r w:rsidR="00EB31C5">
        <w:t xml:space="preserve"> and</w:t>
      </w:r>
      <w:r w:rsidR="0030514A">
        <w:t xml:space="preserve"> was forced </w:t>
      </w:r>
      <w:r w:rsidR="00DB1511">
        <w:t>to flee from Canaan</w:t>
      </w:r>
      <w:r w:rsidR="00EB31C5">
        <w:t>,</w:t>
      </w:r>
      <w:r w:rsidR="00DB1511">
        <w:t xml:space="preserve"> leav</w:t>
      </w:r>
      <w:r w:rsidR="00EB31C5">
        <w:t>ing</w:t>
      </w:r>
      <w:r w:rsidR="00DB1511">
        <w:t xml:space="preserve"> his life in the Jewish underground behind. He arrives at the beach of the Greek isl</w:t>
      </w:r>
      <w:r w:rsidR="00EB31C5">
        <w:t>and</w:t>
      </w:r>
      <w:r w:rsidR="00DB1511">
        <w:t xml:space="preserve"> </w:t>
      </w:r>
      <w:r w:rsidR="00291A87">
        <w:t>Garamus</w:t>
      </w:r>
      <w:r w:rsidR="00DB1511">
        <w:t xml:space="preserve"> where he is</w:t>
      </w:r>
      <w:r w:rsidR="00EB31C5">
        <w:t xml:space="preserve"> found</w:t>
      </w:r>
      <w:r w:rsidR="00DB1511">
        <w:t xml:space="preserve"> by a man named </w:t>
      </w:r>
      <w:r w:rsidR="00063A7B">
        <w:t>Andigones</w:t>
      </w:r>
      <w:r w:rsidR="003376A9">
        <w:t>. Andigones</w:t>
      </w:r>
      <w:r w:rsidR="00DB1511">
        <w:t xml:space="preserve"> takes </w:t>
      </w:r>
      <w:r w:rsidR="003376A9">
        <w:t>Judas</w:t>
      </w:r>
      <w:r w:rsidR="00DB1511">
        <w:t xml:space="preserve"> to </w:t>
      </w:r>
      <w:r w:rsidR="00F50E98">
        <w:t xml:space="preserve">an </w:t>
      </w:r>
      <w:r w:rsidR="00194CFF">
        <w:t>inn</w:t>
      </w:r>
      <w:r w:rsidR="00F50E98">
        <w:t xml:space="preserve"> owned by a </w:t>
      </w:r>
      <w:r w:rsidR="00F50E98">
        <w:lastRenderedPageBreak/>
        <w:t xml:space="preserve">woman named Martha who later becomes his wife. </w:t>
      </w:r>
      <w:r w:rsidR="00194CFF">
        <w:t xml:space="preserve">From </w:t>
      </w:r>
      <w:r w:rsidR="003376A9">
        <w:t>the moment of his arrival</w:t>
      </w:r>
      <w:r w:rsidR="00194CFF">
        <w:t xml:space="preserve">, Judas </w:t>
      </w:r>
      <w:r w:rsidR="00171B92">
        <w:t>conceals his true identity and calls</w:t>
      </w:r>
      <w:r w:rsidR="00194CFF">
        <w:t xml:space="preserve"> himself </w:t>
      </w:r>
      <w:proofErr w:type="spellStart"/>
      <w:r w:rsidR="00194CFF">
        <w:t>Antiper</w:t>
      </w:r>
      <w:proofErr w:type="spellEnd"/>
      <w:r w:rsidR="00F50E98">
        <w:t>,</w:t>
      </w:r>
      <w:r w:rsidR="00194CFF">
        <w:t xml:space="preserve"> until one day his old friend </w:t>
      </w:r>
      <w:r w:rsidR="00063A7B">
        <w:t>Andigones</w:t>
      </w:r>
      <w:r w:rsidR="00194CFF">
        <w:t xml:space="preserve"> brings him “a bundle of scrolls containing strange and fascinating tales [...] about a strange, amazing man</w:t>
      </w:r>
      <w:r w:rsidR="007A6390">
        <w:t xml:space="preserve"> from a village called Nazareth” (8). As </w:t>
      </w:r>
      <w:r w:rsidR="000A39C1">
        <w:t>revealed</w:t>
      </w:r>
      <w:r w:rsidR="007A6390">
        <w:t xml:space="preserve"> later, </w:t>
      </w:r>
      <w:r w:rsidR="00063A7B">
        <w:t>Andigones</w:t>
      </w:r>
      <w:r w:rsidR="007A6390">
        <w:t xml:space="preserve"> </w:t>
      </w:r>
      <w:r w:rsidR="000A39C1">
        <w:t xml:space="preserve">had </w:t>
      </w:r>
      <w:r w:rsidR="007A6390">
        <w:t xml:space="preserve">received the scrolls from Simon Peter, one of </w:t>
      </w:r>
      <w:r w:rsidR="00F50E98">
        <w:t xml:space="preserve">Jesus’s </w:t>
      </w:r>
      <w:r w:rsidR="007A6390">
        <w:t>apostles who</w:t>
      </w:r>
      <w:r w:rsidR="000A39C1">
        <w:t xml:space="preserve"> </w:t>
      </w:r>
      <w:r w:rsidR="007A6390">
        <w:t xml:space="preserve">had </w:t>
      </w:r>
      <w:r w:rsidR="003376A9">
        <w:t>come to</w:t>
      </w:r>
      <w:r w:rsidR="007A6390">
        <w:t xml:space="preserve"> </w:t>
      </w:r>
      <w:proofErr w:type="spellStart"/>
      <w:r w:rsidR="00F50E98">
        <w:t>G</w:t>
      </w:r>
      <w:r w:rsidR="003376A9">
        <w:t>aramus</w:t>
      </w:r>
      <w:proofErr w:type="spellEnd"/>
      <w:r w:rsidR="007A6390">
        <w:t xml:space="preserve"> </w:t>
      </w:r>
      <w:r w:rsidR="005C27AE">
        <w:t xml:space="preserve">to </w:t>
      </w:r>
      <w:r w:rsidR="00171B92">
        <w:t>preach</w:t>
      </w:r>
      <w:r w:rsidR="007A6390">
        <w:t xml:space="preserve"> Christianity and </w:t>
      </w:r>
      <w:r w:rsidR="005C27AE">
        <w:t xml:space="preserve">to </w:t>
      </w:r>
      <w:r w:rsidR="007A6390">
        <w:t xml:space="preserve">search for Judas Iscariot </w:t>
      </w:r>
      <w:r w:rsidR="005C27AE">
        <w:t>and</w:t>
      </w:r>
      <w:r w:rsidR="007A6390">
        <w:t xml:space="preserve"> punish him for his </w:t>
      </w:r>
      <w:r w:rsidR="007D0B92">
        <w:t xml:space="preserve">“betrayal.” </w:t>
      </w:r>
      <w:r w:rsidR="000A39C1">
        <w:t>T</w:t>
      </w:r>
      <w:r w:rsidR="007D0B92">
        <w:t xml:space="preserve">his </w:t>
      </w:r>
      <w:r w:rsidR="00171B92">
        <w:t xml:space="preserve">is </w:t>
      </w:r>
      <w:r w:rsidR="007D0B92">
        <w:t xml:space="preserve">despite the fact that </w:t>
      </w:r>
      <w:r w:rsidR="000A39C1">
        <w:t xml:space="preserve">in </w:t>
      </w:r>
      <w:r w:rsidR="00171B92">
        <w:t xml:space="preserve">his </w:t>
      </w:r>
      <w:r w:rsidR="000A39C1">
        <w:t xml:space="preserve">conversation with a man he assumes is a gentile named Antiper, </w:t>
      </w:r>
      <w:r w:rsidR="007D0B92">
        <w:t>Peter himself explicitly says:</w:t>
      </w:r>
    </w:p>
    <w:p w14:paraId="59D15A1C" w14:textId="77777777" w:rsidR="00D873C3" w:rsidRDefault="00D873C3" w:rsidP="00D873C3">
      <w:pPr>
        <w:contextualSpacing/>
      </w:pPr>
    </w:p>
    <w:p w14:paraId="49654587" w14:textId="7F2B7257" w:rsidR="00D873C3" w:rsidRDefault="00D873C3" w:rsidP="00171B92">
      <w:pPr>
        <w:ind w:left="720" w:firstLine="0"/>
        <w:contextualSpacing/>
      </w:pPr>
      <w:r w:rsidRPr="00D873C3">
        <w:t>We know that Judas did not betray Jesus for thirty pieces of silver. We know that Barabbas ordered Judas to deliver up Jesus. But more than that, we know that Jesus believed he had to be crucified. Jesus believed that his crucifixion would signal the beginning of the revolt. He sacrificed himself knowingly and willingly, and Judas served as the agent of both Barabbas and Jesus. We know all this. But in spite of the fact that we do know the truth, not one letter concerning Judas Iscariot</w:t>
      </w:r>
      <w:r w:rsidR="000A39C1">
        <w:t>’</w:t>
      </w:r>
      <w:r w:rsidRPr="00D873C3">
        <w:t>s betrayal and death must be changed in the scrolls. (55-56)</w:t>
      </w:r>
    </w:p>
    <w:p w14:paraId="693896B0" w14:textId="7C26F507" w:rsidR="00D873C3" w:rsidRDefault="00D873C3" w:rsidP="00D873C3">
      <w:pPr>
        <w:ind w:firstLine="0"/>
        <w:contextualSpacing/>
      </w:pPr>
    </w:p>
    <w:p w14:paraId="15849C5C" w14:textId="6EE11CAF" w:rsidR="006242B9" w:rsidRDefault="00D873C3" w:rsidP="009414D5">
      <w:pPr>
        <w:ind w:firstLine="0"/>
        <w:contextualSpacing/>
      </w:pPr>
      <w:r>
        <w:t xml:space="preserve">When Simon Peter discovers that Antiper </w:t>
      </w:r>
      <w:r w:rsidR="000C4CCD">
        <w:t>the Edomite</w:t>
      </w:r>
      <w:r>
        <w:t xml:space="preserve"> </w:t>
      </w:r>
      <w:r w:rsidR="00F13604">
        <w:t xml:space="preserve">is really Judas Iscariot, he </w:t>
      </w:r>
      <w:r w:rsidR="00171B92">
        <w:t>warns</w:t>
      </w:r>
      <w:r w:rsidR="00F13604">
        <w:t xml:space="preserve"> </w:t>
      </w:r>
      <w:r w:rsidR="000C4CCD">
        <w:t xml:space="preserve">him </w:t>
      </w:r>
      <w:r w:rsidR="00F13604">
        <w:t>not to reveal the truth about the circumstances of Jesus’s arrest and death</w:t>
      </w:r>
      <w:r w:rsidR="000C4CCD">
        <w:t xml:space="preserve"> and </w:t>
      </w:r>
      <w:r w:rsidR="0018286E">
        <w:t xml:space="preserve">thereby </w:t>
      </w:r>
      <w:r w:rsidR="00171B92">
        <w:t xml:space="preserve">to </w:t>
      </w:r>
      <w:r w:rsidR="000C4CCD">
        <w:t>enable</w:t>
      </w:r>
      <w:r w:rsidR="00F13604">
        <w:t xml:space="preserve"> the continuation of the </w:t>
      </w:r>
      <w:r w:rsidR="007E1B3F">
        <w:t xml:space="preserve">missionary dissemination of the mythic narrative, which had become popular even </w:t>
      </w:r>
      <w:r w:rsidR="00387542">
        <w:t>among</w:t>
      </w:r>
      <w:r w:rsidR="007E1B3F">
        <w:t xml:space="preserve"> pagan cultures, like the one </w:t>
      </w:r>
      <w:r w:rsidR="00171B92">
        <w:t>on</w:t>
      </w:r>
      <w:r w:rsidR="007E1B3F">
        <w:t xml:space="preserve"> </w:t>
      </w:r>
      <w:proofErr w:type="spellStart"/>
      <w:r w:rsidR="00291A87">
        <w:t>Garamus</w:t>
      </w:r>
      <w:proofErr w:type="spellEnd"/>
      <w:r w:rsidR="007E1B3F">
        <w:t xml:space="preserve">. The preservation of the myth </w:t>
      </w:r>
      <w:r w:rsidR="0018286E">
        <w:t>of</w:t>
      </w:r>
      <w:r w:rsidR="007E1B3F">
        <w:t xml:space="preserve"> Jesus’s life and death is presented as necessary for the recruitment of new believers, and therefore even characters who are aware of the inve</w:t>
      </w:r>
      <w:r w:rsidR="00FD72DA">
        <w:t>n</w:t>
      </w:r>
      <w:r w:rsidR="007E1B3F">
        <w:t xml:space="preserve">ted aspects of </w:t>
      </w:r>
      <w:r w:rsidR="00FD72DA">
        <w:t xml:space="preserve">this myth do everything they can to </w:t>
      </w:r>
      <w:r w:rsidR="0018286E">
        <w:t>maintain</w:t>
      </w:r>
      <w:r w:rsidR="00FD72DA">
        <w:t xml:space="preserve"> it. At the same time, </w:t>
      </w:r>
      <w:proofErr w:type="spellStart"/>
      <w:r w:rsidR="00063A7B">
        <w:t>Andigones</w:t>
      </w:r>
      <w:proofErr w:type="spellEnd"/>
      <w:r w:rsidR="00171B92">
        <w:t>—</w:t>
      </w:r>
      <w:r w:rsidR="008D5153">
        <w:t xml:space="preserve">Judas’s good friend and confidant who is revealed to be a </w:t>
      </w:r>
      <w:r w:rsidR="008D5153">
        <w:lastRenderedPageBreak/>
        <w:t>double-crossing government agent—</w:t>
      </w:r>
      <w:r w:rsidR="0028214E">
        <w:t>under what appears to be the i</w:t>
      </w:r>
      <w:r w:rsidR="002263B9">
        <w:t>nfluence</w:t>
      </w:r>
      <w:r w:rsidR="006C1848">
        <w:t xml:space="preserve"> of</w:t>
      </w:r>
      <w:r w:rsidR="002263B9">
        <w:t xml:space="preserve"> Evangelical writings, </w:t>
      </w:r>
      <w:r w:rsidR="00171B92">
        <w:t>to carry out</w:t>
      </w:r>
      <w:r w:rsidR="002263B9">
        <w:t xml:space="preserve"> his </w:t>
      </w:r>
      <w:r w:rsidR="006C1848">
        <w:t xml:space="preserve">plan to </w:t>
      </w:r>
      <w:r w:rsidR="00171B92">
        <w:t>make</w:t>
      </w:r>
      <w:r w:rsidR="002263B9">
        <w:t xml:space="preserve"> Judas Iscariot </w:t>
      </w:r>
      <w:proofErr w:type="spellStart"/>
      <w:r w:rsidR="0009504C">
        <w:t>Garamus’s</w:t>
      </w:r>
      <w:proofErr w:type="spellEnd"/>
      <w:r w:rsidR="006C1848">
        <w:t xml:space="preserve"> </w:t>
      </w:r>
      <w:r w:rsidR="002263B9">
        <w:t xml:space="preserve">new </w:t>
      </w:r>
      <w:r w:rsidR="00A8095A">
        <w:t>saint. Pursued by Peter Simon and his men</w:t>
      </w:r>
      <w:r w:rsidR="0009504C">
        <w:t>,</w:t>
      </w:r>
      <w:r w:rsidR="00A8095A">
        <w:t xml:space="preserve"> on the one hand, and by</w:t>
      </w:r>
      <w:r w:rsidR="009E2410">
        <w:t xml:space="preserve"> the scheming</w:t>
      </w:r>
      <w:r w:rsidR="00A8095A">
        <w:t xml:space="preserve"> </w:t>
      </w:r>
      <w:r w:rsidR="00063A7B">
        <w:t>Andigones</w:t>
      </w:r>
      <w:r w:rsidR="009E2410">
        <w:t xml:space="preserve">, </w:t>
      </w:r>
      <w:r w:rsidR="00A8095A">
        <w:t>on the other, Judas is compelled to confess to crimes he did not commit and</w:t>
      </w:r>
      <w:r w:rsidR="009E2410">
        <w:t>, like Jesus,</w:t>
      </w:r>
      <w:r w:rsidR="00A8095A">
        <w:t xml:space="preserve"> is sentenced to death by crucifixion</w:t>
      </w:r>
      <w:r w:rsidR="009E2410">
        <w:t xml:space="preserve">. </w:t>
      </w:r>
    </w:p>
    <w:p w14:paraId="15A994ED" w14:textId="31E7D2CF" w:rsidR="00E3501D" w:rsidRDefault="006242B9" w:rsidP="00C66D9F">
      <w:pPr>
        <w:ind w:firstLine="0"/>
        <w:contextualSpacing/>
      </w:pPr>
      <w:r>
        <w:tab/>
      </w:r>
      <w:r w:rsidR="00EC3DDD">
        <w:t>In Mossinsohn’s novel, t</w:t>
      </w:r>
      <w:r>
        <w:t xml:space="preserve">he betrayal </w:t>
      </w:r>
      <w:r w:rsidR="00EC3DDD">
        <w:t xml:space="preserve">is represented </w:t>
      </w:r>
      <w:r>
        <w:t xml:space="preserve">as </w:t>
      </w:r>
      <w:r w:rsidR="00C66D9F">
        <w:t>absurd</w:t>
      </w:r>
      <w:r w:rsidR="00EC3DDD">
        <w:t xml:space="preserve"> and entirely unfounded, and the myth depicted in the New Testament is </w:t>
      </w:r>
      <w:r w:rsidR="004B4FD4">
        <w:t xml:space="preserve">frequently </w:t>
      </w:r>
      <w:r w:rsidR="004B4FD4" w:rsidRPr="00A40BAA">
        <w:t xml:space="preserve">confronted </w:t>
      </w:r>
      <w:r w:rsidR="004B4FD4">
        <w:t>with the historical reality upon w</w:t>
      </w:r>
      <w:r w:rsidR="00A40BAA">
        <w:t>hich</w:t>
      </w:r>
      <w:r w:rsidR="004B4FD4">
        <w:t xml:space="preserve"> </w:t>
      </w:r>
      <w:r w:rsidR="00A40BAA">
        <w:t>it</w:t>
      </w:r>
      <w:r w:rsidR="004B4FD4">
        <w:t xml:space="preserve"> is based. The creation </w:t>
      </w:r>
      <w:r w:rsidR="00D178AB">
        <w:t xml:space="preserve">of the myth </w:t>
      </w:r>
      <w:r w:rsidR="004B4FD4">
        <w:t xml:space="preserve">and </w:t>
      </w:r>
      <w:r w:rsidR="00C66D9F">
        <w:t>its</w:t>
      </w:r>
      <w:r w:rsidR="004B4FD4">
        <w:t xml:space="preserve"> relentless preservation </w:t>
      </w:r>
      <w:r w:rsidR="00CF3B5F">
        <w:t xml:space="preserve">are </w:t>
      </w:r>
      <w:r w:rsidR="004B4FD4">
        <w:t xml:space="preserve">presented as </w:t>
      </w:r>
      <w:r w:rsidR="00CF3B5F">
        <w:t xml:space="preserve">deliberate </w:t>
      </w:r>
      <w:r w:rsidR="00A40BAA">
        <w:t>measures</w:t>
      </w:r>
      <w:r w:rsidR="00CF3B5F">
        <w:t xml:space="preserve"> </w:t>
      </w:r>
      <w:r w:rsidR="0053243C">
        <w:t>taken by the apostles to serve</w:t>
      </w:r>
      <w:r w:rsidR="00CF3B5F">
        <w:t xml:space="preserve"> </w:t>
      </w:r>
      <w:r w:rsidR="0053243C">
        <w:t>their</w:t>
      </w:r>
      <w:r w:rsidR="00CF3B5F">
        <w:t xml:space="preserve"> missionary </w:t>
      </w:r>
      <w:r w:rsidR="0053243C">
        <w:t xml:space="preserve">goals, </w:t>
      </w:r>
      <w:r w:rsidR="00D178AB">
        <w:t xml:space="preserve">not unlike their distortion of Jesus’s doctrine as a means to establish a mass religious movement. </w:t>
      </w:r>
      <w:r w:rsidR="00CF3B5F">
        <w:t xml:space="preserve">Not only does Judas Iscariot not </w:t>
      </w:r>
      <w:r w:rsidR="00D178AB">
        <w:t>constitute</w:t>
      </w:r>
      <w:r w:rsidR="00CF3B5F">
        <w:t xml:space="preserve"> Jesus’s opposite in the novel, but both </w:t>
      </w:r>
      <w:r w:rsidR="00C66D9F">
        <w:t xml:space="preserve">are </w:t>
      </w:r>
      <w:r w:rsidR="00CF3B5F">
        <w:t xml:space="preserve">presented as </w:t>
      </w:r>
      <w:r w:rsidR="0060019F">
        <w:t>comrades in the same Jewish underground whose political activities eventually determined their fate. In the novel</w:t>
      </w:r>
      <w:r w:rsidR="00134119">
        <w:t>,</w:t>
      </w:r>
      <w:r w:rsidR="0060019F">
        <w:t xml:space="preserve"> they are both depicted as tragic puppets </w:t>
      </w:r>
      <w:r w:rsidR="00E3501D">
        <w:t xml:space="preserve">subjected to a system of political and religious considerations driven by indefatigable motivation to create the image of a </w:t>
      </w:r>
      <w:r w:rsidR="00134119">
        <w:t>saint</w:t>
      </w:r>
      <w:r w:rsidR="00E3501D">
        <w:t xml:space="preserve"> for the masses.</w:t>
      </w:r>
    </w:p>
    <w:p w14:paraId="7D930281" w14:textId="37E122C9" w:rsidR="00D873C3" w:rsidRDefault="00E3501D" w:rsidP="00CB64DC">
      <w:pPr>
        <w:ind w:firstLine="0"/>
        <w:contextualSpacing/>
      </w:pPr>
      <w:r>
        <w:tab/>
        <w:t xml:space="preserve">Similar to the Jewish tradition that </w:t>
      </w:r>
      <w:r w:rsidR="00134119">
        <w:t>underscores</w:t>
      </w:r>
      <w:r>
        <w:t xml:space="preserve"> the human and</w:t>
      </w:r>
      <w:r w:rsidR="0024197A">
        <w:t xml:space="preserve"> </w:t>
      </w:r>
      <w:r w:rsidR="00134119">
        <w:t>corporeal</w:t>
      </w:r>
      <w:r w:rsidR="0024197A">
        <w:t xml:space="preserve"> </w:t>
      </w:r>
      <w:r w:rsidR="000C186B">
        <w:t>in Jesus, Mossinsohn</w:t>
      </w:r>
      <w:r w:rsidR="004939BF">
        <w:t xml:space="preserve">’s </w:t>
      </w:r>
      <w:r w:rsidR="000C186B">
        <w:t>Judas</w:t>
      </w:r>
      <w:r w:rsidR="004939BF">
        <w:t xml:space="preserve"> </w:t>
      </w:r>
      <w:r w:rsidR="000C186B">
        <w:t>negate</w:t>
      </w:r>
      <w:r w:rsidR="004939BF">
        <w:t>s</w:t>
      </w:r>
      <w:r w:rsidR="000C186B">
        <w:t xml:space="preserve"> the divine and sublime dimensions of </w:t>
      </w:r>
      <w:r w:rsidR="004939BF">
        <w:t>Jesus’s</w:t>
      </w:r>
      <w:r w:rsidR="000C186B">
        <w:t xml:space="preserve"> character: “</w:t>
      </w:r>
      <w:r w:rsidR="00795A61">
        <w:t>J</w:t>
      </w:r>
      <w:r w:rsidR="000C186B">
        <w:t>esus was a remarkable human being. Why did they need to make him the son of God? I don’t understa</w:t>
      </w:r>
      <w:r w:rsidR="00795A61">
        <w:t>nd” (118</w:t>
      </w:r>
      <w:r w:rsidR="0007516E">
        <w:t xml:space="preserve">). </w:t>
      </w:r>
      <w:r w:rsidR="00795A61">
        <w:t xml:space="preserve">By depicting Jesus as a Jewish character </w:t>
      </w:r>
      <w:r w:rsidR="003B320E">
        <w:t>operating in the</w:t>
      </w:r>
      <w:r w:rsidR="00795A61">
        <w:t xml:space="preserve"> national context, it seems that </w:t>
      </w:r>
      <w:proofErr w:type="spellStart"/>
      <w:r w:rsidR="00795A61">
        <w:t>Mossinsohn</w:t>
      </w:r>
      <w:proofErr w:type="spellEnd"/>
      <w:r w:rsidR="00795A61">
        <w:t xml:space="preserve"> is challenging </w:t>
      </w:r>
      <w:proofErr w:type="spellStart"/>
      <w:r w:rsidR="00795A61">
        <w:t>Klausner</w:t>
      </w:r>
      <w:proofErr w:type="spellEnd"/>
      <w:r w:rsidR="003B320E">
        <w:t>,</w:t>
      </w:r>
      <w:r w:rsidR="00795A61">
        <w:t xml:space="preserve"> </w:t>
      </w:r>
      <w:r w:rsidR="00991345">
        <w:t xml:space="preserve">who </w:t>
      </w:r>
      <w:r w:rsidR="00795A61">
        <w:t>saw Jesus as present</w:t>
      </w:r>
      <w:r w:rsidR="00991345">
        <w:t>ing</w:t>
      </w:r>
      <w:r w:rsidR="00795A61">
        <w:t xml:space="preserve"> a moral doctrine that distorted and repressed the national needs </w:t>
      </w:r>
      <w:r w:rsidR="00991345">
        <w:t>o</w:t>
      </w:r>
      <w:r w:rsidR="00795A61">
        <w:t>f the Jewish people. Mossinsohn describes Jesus</w:t>
      </w:r>
      <w:r w:rsidR="00A50CD7">
        <w:t xml:space="preserve"> as imbued with a sense of national</w:t>
      </w:r>
      <w:r w:rsidR="00991345">
        <w:t xml:space="preserve"> duty</w:t>
      </w:r>
      <w:r w:rsidR="00A50CD7">
        <w:t xml:space="preserve">, </w:t>
      </w:r>
      <w:r w:rsidR="00991345">
        <w:t>but</w:t>
      </w:r>
      <w:r w:rsidR="00A50CD7">
        <w:t xml:space="preserve"> </w:t>
      </w:r>
      <w:r w:rsidR="004D47D2">
        <w:t xml:space="preserve">also as someone who took this sense of duty to an extreme </w:t>
      </w:r>
      <w:r w:rsidR="002F51A5">
        <w:t xml:space="preserve">that </w:t>
      </w:r>
      <w:r w:rsidR="00DE1AC6">
        <w:t>is</w:t>
      </w:r>
      <w:r w:rsidR="002F51A5">
        <w:t xml:space="preserve"> </w:t>
      </w:r>
      <w:r w:rsidR="00F95B2D">
        <w:t xml:space="preserve">the opposite of </w:t>
      </w:r>
      <w:r w:rsidR="002F51A5">
        <w:t>the</w:t>
      </w:r>
      <w:r w:rsidR="00F95B2D">
        <w:t xml:space="preserve"> pacifist and universal</w:t>
      </w:r>
      <w:r w:rsidR="00DE1AC6">
        <w:t>ist</w:t>
      </w:r>
      <w:r w:rsidR="002F51A5">
        <w:t xml:space="preserve"> extreme described by Klausner</w:t>
      </w:r>
      <w:r w:rsidR="00F95B2D">
        <w:t xml:space="preserve">. In Mossinsohn’s case, Jesus’s fervor to be crucified as a way to incite Jewish uprising, and his willingness to give </w:t>
      </w:r>
      <w:r w:rsidR="00F95B2D">
        <w:lastRenderedPageBreak/>
        <w:t xml:space="preserve">his life to </w:t>
      </w:r>
      <w:r w:rsidR="00CB64DC">
        <w:t>spark</w:t>
      </w:r>
      <w:r w:rsidR="00F95B2D">
        <w:t xml:space="preserve"> a national struggle, are portrayed in the novel as </w:t>
      </w:r>
      <w:r w:rsidR="00B04E5C">
        <w:t>an oscillation between unfounded national zealotry and political messianism based on a defective perception of reality.</w:t>
      </w:r>
    </w:p>
    <w:p w14:paraId="3B1B2284" w14:textId="632B30C9" w:rsidR="00B04E5C" w:rsidRDefault="00B04E5C" w:rsidP="00D873C3">
      <w:pPr>
        <w:ind w:firstLine="0"/>
        <w:contextualSpacing/>
      </w:pPr>
    </w:p>
    <w:p w14:paraId="18C7154A" w14:textId="3C901D37" w:rsidR="00B04E5C" w:rsidRDefault="003575ED" w:rsidP="00D873C3">
      <w:pPr>
        <w:ind w:firstLine="0"/>
        <w:contextualSpacing/>
        <w:rPr>
          <w:b/>
          <w:bCs/>
        </w:rPr>
      </w:pPr>
      <w:r w:rsidRPr="00F77B9C">
        <w:rPr>
          <w:b/>
          <w:bCs/>
        </w:rPr>
        <w:t xml:space="preserve">Sovereign </w:t>
      </w:r>
      <w:r>
        <w:rPr>
          <w:b/>
          <w:bCs/>
        </w:rPr>
        <w:t>Renunciation</w:t>
      </w:r>
      <w:r w:rsidR="00B04E5C" w:rsidRPr="00F77B9C">
        <w:rPr>
          <w:b/>
          <w:bCs/>
        </w:rPr>
        <w:t xml:space="preserve"> and Criticism of the Sublime Death</w:t>
      </w:r>
    </w:p>
    <w:p w14:paraId="58A36386" w14:textId="014B8ABA" w:rsidR="00F77B9C" w:rsidRDefault="00B7134C" w:rsidP="007937EB">
      <w:pPr>
        <w:contextualSpacing/>
      </w:pPr>
      <w:r>
        <w:t xml:space="preserve">The references in the novel to </w:t>
      </w:r>
      <w:r w:rsidR="0045235D">
        <w:t>the formation of</w:t>
      </w:r>
      <w:r>
        <w:t xml:space="preserve"> Jesus’s sacred and messianic myth (and eventually Judas Iscariot’s as well) can be read as criticism </w:t>
      </w:r>
      <w:r w:rsidR="00CB64DC">
        <w:t>of</w:t>
      </w:r>
      <w:r>
        <w:t xml:space="preserve"> </w:t>
      </w:r>
      <w:r w:rsidR="00CB64DC">
        <w:t>how</w:t>
      </w:r>
      <w:r>
        <w:t xml:space="preserve"> Israeli society nationalizes its </w:t>
      </w:r>
      <w:r w:rsidR="00D54913">
        <w:t xml:space="preserve">dead and </w:t>
      </w:r>
      <w:r w:rsidR="00D54913" w:rsidRPr="00712D41">
        <w:t xml:space="preserve">transforms them into </w:t>
      </w:r>
      <w:r w:rsidR="002F51A5" w:rsidRPr="00712D41">
        <w:t xml:space="preserve">national </w:t>
      </w:r>
      <w:r w:rsidR="00D54913" w:rsidRPr="00712D41">
        <w:t>heroe</w:t>
      </w:r>
      <w:r w:rsidR="00CB3E3B" w:rsidRPr="00712D41">
        <w:t xml:space="preserve">s </w:t>
      </w:r>
      <w:r w:rsidR="007937EB">
        <w:t>who justify its course</w:t>
      </w:r>
      <w:r w:rsidR="00E012F7" w:rsidRPr="00712D41">
        <w:t xml:space="preserve">. </w:t>
      </w:r>
      <w:r w:rsidR="00DA63F5" w:rsidRPr="00712D41">
        <w:t>The fact that</w:t>
      </w:r>
      <w:r w:rsidR="00DA63F5">
        <w:t xml:space="preserve"> Jesus died in v</w:t>
      </w:r>
      <w:r w:rsidR="00E012F7">
        <w:t>a</w:t>
      </w:r>
      <w:r w:rsidR="00DA63F5">
        <w:t xml:space="preserve">in does not stand in the way of </w:t>
      </w:r>
      <w:r w:rsidR="00304E84">
        <w:t xml:space="preserve">his positioning as </w:t>
      </w:r>
      <w:r w:rsidR="00DA63F5">
        <w:t xml:space="preserve">a sacred and admired figure. The myth around Jesus’s death, and </w:t>
      </w:r>
      <w:r w:rsidR="00304E84">
        <w:t>his imagined</w:t>
      </w:r>
      <w:r w:rsidR="00DA63F5">
        <w:t xml:space="preserve"> messianic halo</w:t>
      </w:r>
      <w:r w:rsidR="00304E84">
        <w:t>,</w:t>
      </w:r>
      <w:r w:rsidR="00211852">
        <w:t xml:space="preserve"> are depicted in the novel as part of a </w:t>
      </w:r>
      <w:r w:rsidR="00346932">
        <w:t>wonted</w:t>
      </w:r>
      <w:r w:rsidR="00211852">
        <w:t xml:space="preserve"> national mechanism</w:t>
      </w:r>
      <w:r w:rsidR="00304E84">
        <w:t xml:space="preserve"> that</w:t>
      </w:r>
      <w:r w:rsidR="00346932">
        <w:t xml:space="preserve"> imbues individuals—</w:t>
      </w:r>
      <w:r w:rsidR="007937EB">
        <w:t>real</w:t>
      </w:r>
      <w:r w:rsidR="00346932">
        <w:t xml:space="preserve"> and historical—with </w:t>
      </w:r>
      <w:r w:rsidR="00E512AD">
        <w:t xml:space="preserve">sacred and ahistorical myths </w:t>
      </w:r>
      <w:r w:rsidR="00304E84">
        <w:t>for the purpose of</w:t>
      </w:r>
      <w:r w:rsidR="00E512AD">
        <w:t xml:space="preserve"> sustain</w:t>
      </w:r>
      <w:r w:rsidR="00304E84">
        <w:t>ing</w:t>
      </w:r>
      <w:r w:rsidR="00E512AD">
        <w:t xml:space="preserve"> the life of the national collective.</w:t>
      </w:r>
    </w:p>
    <w:p w14:paraId="2902B056" w14:textId="46A9301F" w:rsidR="00E512AD" w:rsidRDefault="00E512AD" w:rsidP="00574CD4">
      <w:pPr>
        <w:ind w:firstLine="0"/>
        <w:contextualSpacing/>
      </w:pPr>
      <w:r>
        <w:tab/>
        <w:t xml:space="preserve">The awe surrounding death and its </w:t>
      </w:r>
      <w:r w:rsidR="003152DB">
        <w:t>appropriation as</w:t>
      </w:r>
      <w:r>
        <w:t xml:space="preserve"> a significant aspect of national </w:t>
      </w:r>
      <w:r w:rsidR="003152DB">
        <w:t>existence</w:t>
      </w:r>
      <w:r w:rsidR="00A93EBA">
        <w:t xml:space="preserve"> are at the root of the Israeli</w:t>
      </w:r>
      <w:r w:rsidR="00387542">
        <w:t xml:space="preserve"> </w:t>
      </w:r>
      <w:r w:rsidR="00A93EBA">
        <w:t xml:space="preserve">national discourse, </w:t>
      </w:r>
      <w:r w:rsidR="00E922AE">
        <w:t>as in the case of</w:t>
      </w:r>
      <w:r w:rsidR="00A93EBA">
        <w:t xml:space="preserve"> other national movements. In </w:t>
      </w:r>
      <w:r w:rsidR="00A93EBA" w:rsidRPr="00A93EBA">
        <w:rPr>
          <w:i/>
          <w:iCs/>
        </w:rPr>
        <w:t>Imagined Communitie</w:t>
      </w:r>
      <w:r w:rsidR="004036F4">
        <w:rPr>
          <w:i/>
          <w:iCs/>
        </w:rPr>
        <w:t>s</w:t>
      </w:r>
      <w:r w:rsidR="00A93EBA">
        <w:t xml:space="preserve">, Benedict Anderson </w:t>
      </w:r>
      <w:r w:rsidR="00B17825">
        <w:t>clarifies his argument—</w:t>
      </w:r>
      <w:r w:rsidR="00AD1CDC">
        <w:t>that a</w:t>
      </w:r>
      <w:r w:rsidR="00B17825">
        <w:t xml:space="preserve"> nation constitutes an imagined community given that the affinity between its members </w:t>
      </w:r>
      <w:r w:rsidR="00AD1CDC">
        <w:t>is</w:t>
      </w:r>
      <w:r w:rsidR="00B17825">
        <w:t xml:space="preserve"> based on </w:t>
      </w:r>
      <w:r w:rsidR="00574CD4">
        <w:t>the</w:t>
      </w:r>
      <w:r w:rsidR="00B17825">
        <w:t xml:space="preserve"> imaginary mental activity </w:t>
      </w:r>
      <w:r w:rsidR="00AD1CDC">
        <w:t>of</w:t>
      </w:r>
      <w:r w:rsidR="00B17825">
        <w:t xml:space="preserve"> a single collective entity—by way of describing the role of the </w:t>
      </w:r>
      <w:r w:rsidR="00712815">
        <w:t xml:space="preserve">monument to Unknown Soldiers: “No more arresting emblems </w:t>
      </w:r>
      <w:r w:rsidR="004036F4" w:rsidRPr="004036F4">
        <w:rPr>
          <w:color w:val="000000" w:themeColor="text1"/>
        </w:rPr>
        <w:t>of</w:t>
      </w:r>
      <w:r w:rsidR="00712815" w:rsidRPr="004036F4">
        <w:rPr>
          <w:color w:val="000000" w:themeColor="text1"/>
        </w:rPr>
        <w:t xml:space="preserve"> </w:t>
      </w:r>
      <w:r w:rsidR="00712815">
        <w:t xml:space="preserve">the modern culture of nationalism exist </w:t>
      </w:r>
      <w:commentRangeStart w:id="8"/>
      <w:r w:rsidR="00712815" w:rsidRPr="004036F4">
        <w:rPr>
          <w:color w:val="000000" w:themeColor="text1"/>
        </w:rPr>
        <w:t>tha</w:t>
      </w:r>
      <w:r w:rsidR="00AD1CDC">
        <w:rPr>
          <w:color w:val="000000" w:themeColor="text1"/>
        </w:rPr>
        <w:t>n</w:t>
      </w:r>
      <w:r w:rsidR="00B17825" w:rsidRPr="004036F4">
        <w:rPr>
          <w:color w:val="000000" w:themeColor="text1"/>
        </w:rPr>
        <w:t xml:space="preserve"> </w:t>
      </w:r>
      <w:commentRangeEnd w:id="8"/>
      <w:r w:rsidR="00AD1CDC">
        <w:rPr>
          <w:rStyle w:val="CommentReference"/>
        </w:rPr>
        <w:commentReference w:id="8"/>
      </w:r>
      <w:r w:rsidR="00712815">
        <w:t>cenotaphs and tombs of Unknown Soldiers.”</w:t>
      </w:r>
      <w:r w:rsidR="00712815">
        <w:rPr>
          <w:rStyle w:val="FootnoteReference"/>
        </w:rPr>
        <w:footnoteReference w:id="23"/>
      </w:r>
      <w:r w:rsidR="00712815">
        <w:t xml:space="preserve"> These tombs, which are </w:t>
      </w:r>
      <w:r w:rsidR="00935DE7">
        <w:t>“</w:t>
      </w:r>
      <w:r w:rsidR="00712815">
        <w:t>saturated with ghostly national imaginings,</w:t>
      </w:r>
      <w:r w:rsidR="00327952">
        <w:t>”</w:t>
      </w:r>
      <w:r w:rsidR="00327952">
        <w:rPr>
          <w:rStyle w:val="FootnoteReference"/>
        </w:rPr>
        <w:footnoteReference w:id="24"/>
      </w:r>
      <w:r w:rsidR="00327952">
        <w:t xml:space="preserve"> constitute liminal sites that connect </w:t>
      </w:r>
      <w:r w:rsidR="00574CD4">
        <w:t>the living</w:t>
      </w:r>
      <w:r w:rsidR="00327952">
        <w:t xml:space="preserve"> collective and its dead, and </w:t>
      </w:r>
      <w:r w:rsidR="00574CD4">
        <w:t xml:space="preserve">are </w:t>
      </w:r>
      <w:r w:rsidR="00327952">
        <w:t>therefore necessary for the national community</w:t>
      </w:r>
      <w:r w:rsidR="00935DE7">
        <w:t>’s imagining</w:t>
      </w:r>
      <w:r w:rsidR="00327952">
        <w:t xml:space="preserve">. The </w:t>
      </w:r>
      <w:r w:rsidR="00327952">
        <w:lastRenderedPageBreak/>
        <w:t xml:space="preserve">individual’s private death thus serves the collective’s </w:t>
      </w:r>
      <w:r w:rsidR="00AD7F50">
        <w:t>existential needs and is appropriated to buttress its self-perception as an organic and unified unit.</w:t>
      </w:r>
    </w:p>
    <w:p w14:paraId="1EE8A257" w14:textId="2AF1F9F8" w:rsidR="007E4FA6" w:rsidRDefault="00AD7F50" w:rsidP="00664DEA">
      <w:pPr>
        <w:ind w:firstLine="0"/>
        <w:contextualSpacing/>
      </w:pPr>
      <w:r>
        <w:tab/>
        <w:t xml:space="preserve">The process </w:t>
      </w:r>
      <w:r w:rsidR="00830A99">
        <w:t>by</w:t>
      </w:r>
      <w:r>
        <w:t xml:space="preserve"> which citizens </w:t>
      </w:r>
      <w:r w:rsidR="00830A99">
        <w:t>are granted</w:t>
      </w:r>
      <w:r>
        <w:t xml:space="preserve"> </w:t>
      </w:r>
      <w:r w:rsidR="00664DEA">
        <w:t>a sacred, national status</w:t>
      </w:r>
      <w:r>
        <w:t xml:space="preserve"> i</w:t>
      </w:r>
      <w:r w:rsidR="00E3497F">
        <w:t>s</w:t>
      </w:r>
      <w:r>
        <w:t xml:space="preserve"> presented in </w:t>
      </w:r>
      <w:r w:rsidR="00E3497F">
        <w:t>Mossinsohn’s</w:t>
      </w:r>
      <w:r>
        <w:t xml:space="preserve"> novel as a </w:t>
      </w:r>
      <w:r w:rsidR="003575ED">
        <w:t>consequence of sovereign renunciation</w:t>
      </w:r>
      <w:r w:rsidR="00E3497F">
        <w:t>, which</w:t>
      </w:r>
      <w:r w:rsidR="003575ED">
        <w:t xml:space="preserve"> </w:t>
      </w:r>
      <w:r w:rsidR="003575ED" w:rsidRPr="00E3497F">
        <w:t>encourages</w:t>
      </w:r>
      <w:r w:rsidR="003575ED">
        <w:t xml:space="preserve"> </w:t>
      </w:r>
      <w:r w:rsidR="00F00DA2">
        <w:t xml:space="preserve">heroic death over </w:t>
      </w:r>
      <w:r w:rsidR="00E3497F">
        <w:t>the choice of</w:t>
      </w:r>
      <w:r w:rsidR="00F00DA2">
        <w:t xml:space="preserve"> life. Judas Iscariot </w:t>
      </w:r>
      <w:r w:rsidR="00E3497F">
        <w:t>strives</w:t>
      </w:r>
      <w:r w:rsidR="00F00DA2">
        <w:t xml:space="preserve"> to fulfill his civic duty and cooperate with the sovereign by exposing </w:t>
      </w:r>
      <w:r w:rsidR="00063A7B">
        <w:t>Andigones</w:t>
      </w:r>
      <w:r w:rsidR="00F00DA2">
        <w:t xml:space="preserve"> and Simon Peter as double agents</w:t>
      </w:r>
      <w:r w:rsidR="00F573D1">
        <w:t xml:space="preserve"> and handing them over to the authorities. This act, which marked Judas as a betrayer in the New </w:t>
      </w:r>
      <w:r w:rsidR="00387542">
        <w:t>T</w:t>
      </w:r>
      <w:r w:rsidR="00F573D1">
        <w:t xml:space="preserve">estament, is depicted in the novel as part of standard civic duty whose purpose is </w:t>
      </w:r>
      <w:r w:rsidR="00E3497F">
        <w:t>to</w:t>
      </w:r>
      <w:r w:rsidR="00F573D1">
        <w:t xml:space="preserve"> </w:t>
      </w:r>
      <w:r w:rsidR="007E4FA6">
        <w:t>preserve the social and political order:</w:t>
      </w:r>
    </w:p>
    <w:p w14:paraId="2AD22E9C" w14:textId="77777777" w:rsidR="007E4FA6" w:rsidRDefault="007E4FA6" w:rsidP="00B95701">
      <w:pPr>
        <w:ind w:firstLine="0"/>
        <w:contextualSpacing/>
      </w:pPr>
    </w:p>
    <w:p w14:paraId="5C52D72F" w14:textId="533E899A" w:rsidR="007E4FA6" w:rsidRDefault="007E4FA6" w:rsidP="00DA1E17">
      <w:pPr>
        <w:ind w:left="720" w:firstLine="0"/>
        <w:contextualSpacing/>
      </w:pPr>
      <w:r w:rsidRPr="007E4FA6">
        <w:t>I had come to seek justice, to speak personally with the director of the bureau about Simon Peter</w:t>
      </w:r>
      <w:r w:rsidR="00DA1E17">
        <w:t>’</w:t>
      </w:r>
      <w:r w:rsidRPr="007E4FA6">
        <w:t xml:space="preserve">s subversion against the authority of the state gods and </w:t>
      </w:r>
      <w:r w:rsidRPr="000023AA">
        <w:t>about Andigones</w:t>
      </w:r>
      <w:r w:rsidR="00DA1E17" w:rsidRPr="000023AA">
        <w:t>’</w:t>
      </w:r>
      <w:r w:rsidRPr="007E4FA6">
        <w:t xml:space="preserve"> rebellious statements. As I walked, in my mind</w:t>
      </w:r>
      <w:r w:rsidR="00DA1E17">
        <w:t>’</w:t>
      </w:r>
      <w:r w:rsidRPr="007E4FA6">
        <w:t>s eye I could see the bureau director</w:t>
      </w:r>
      <w:r w:rsidR="00DA1E17">
        <w:t>’</w:t>
      </w:r>
      <w:r w:rsidRPr="007E4FA6">
        <w:t>s silvery hair and a round, friendly face filled with the light of understanding. He would invite me to sit down and I would apologize for taking his valuable time. He would reply that I should not feel that way. On the contrary, he was pleased that I had come. Citizens such as myself are the glory of the city, the salt of the earth, the pride of their mothers, who bore them. […]. The director of the bureau then will offer me a reward for my faithfulness and loyalty […]. (147)</w:t>
      </w:r>
    </w:p>
    <w:p w14:paraId="7F9D95ED" w14:textId="77777777" w:rsidR="00B95701" w:rsidRPr="007E4FA6" w:rsidRDefault="00B95701" w:rsidP="00B95701">
      <w:pPr>
        <w:ind w:left="720" w:firstLine="0"/>
        <w:contextualSpacing/>
        <w:jc w:val="both"/>
      </w:pPr>
    </w:p>
    <w:p w14:paraId="1CEA4E66" w14:textId="40019180" w:rsidR="00AA0E94" w:rsidRDefault="00B95701" w:rsidP="00B95701">
      <w:pPr>
        <w:ind w:firstLine="0"/>
        <w:contextualSpacing/>
      </w:pPr>
      <w:r>
        <w:t xml:space="preserve">Alongside the fantasy of the positive recompense Judas would receive for fulfilling his </w:t>
      </w:r>
      <w:r w:rsidRPr="00D7177E">
        <w:t>civic</w:t>
      </w:r>
      <w:r>
        <w:t xml:space="preserve"> duty, the </w:t>
      </w:r>
      <w:r w:rsidR="006A67B8">
        <w:t xml:space="preserve">governor’s </w:t>
      </w:r>
      <w:r w:rsidR="00DA1E17">
        <w:t>precinct</w:t>
      </w:r>
      <w:r w:rsidR="006A67B8">
        <w:t xml:space="preserve"> </w:t>
      </w:r>
      <w:r w:rsidR="00D7177E">
        <w:t>is</w:t>
      </w:r>
      <w:r w:rsidR="006A67B8">
        <w:t xml:space="preserve"> described as “a dead, abandoned city, with not one either coming or going</w:t>
      </w:r>
      <w:r w:rsidR="00D7177E">
        <w:t>”</w:t>
      </w:r>
      <w:r w:rsidR="006A67B8">
        <w:t xml:space="preserve"> (146) and </w:t>
      </w:r>
      <w:r w:rsidR="00D7177E">
        <w:t>functions as</w:t>
      </w:r>
      <w:r w:rsidR="006A67B8">
        <w:t xml:space="preserve"> a </w:t>
      </w:r>
      <w:r w:rsidR="00C3097C">
        <w:t xml:space="preserve">spectacular </w:t>
      </w:r>
      <w:r w:rsidR="006A67B8">
        <w:t xml:space="preserve">display of the sovereign’s </w:t>
      </w:r>
      <w:r w:rsidR="0075649B">
        <w:t xml:space="preserve">desertion of </w:t>
      </w:r>
      <w:r w:rsidR="006A67B8">
        <w:t xml:space="preserve">the citizen </w:t>
      </w:r>
      <w:r w:rsidR="0075649B">
        <w:lastRenderedPageBreak/>
        <w:t>who</w:t>
      </w:r>
      <w:r w:rsidR="006A67B8">
        <w:t xml:space="preserve"> wishes to </w:t>
      </w:r>
      <w:r w:rsidR="003228E3">
        <w:t xml:space="preserve">cooperate with and devote themselves to its </w:t>
      </w:r>
      <w:r w:rsidR="003228E3" w:rsidRPr="00C3097C">
        <w:t>regulating</w:t>
      </w:r>
      <w:r w:rsidR="003228E3">
        <w:t xml:space="preserve"> power. Against th</w:t>
      </w:r>
      <w:r w:rsidR="00C3097C">
        <w:t>is</w:t>
      </w:r>
      <w:r w:rsidR="003228E3">
        <w:t xml:space="preserve"> </w:t>
      </w:r>
      <w:r w:rsidR="009135F2">
        <w:t xml:space="preserve">background of </w:t>
      </w:r>
      <w:r w:rsidR="00DA1E17">
        <w:t>abandonment</w:t>
      </w:r>
      <w:r w:rsidR="009135F2">
        <w:t xml:space="preserve"> and silence, </w:t>
      </w:r>
      <w:r w:rsidR="00C3097C">
        <w:t xml:space="preserve">in one of the deserted offices, </w:t>
      </w:r>
      <w:r w:rsidR="009135F2">
        <w:t xml:space="preserve">Judas discovers </w:t>
      </w:r>
      <w:r w:rsidR="00DA1E17">
        <w:t>dazed</w:t>
      </w:r>
      <w:r w:rsidR="009135F2">
        <w:t xml:space="preserve"> </w:t>
      </w:r>
      <w:r w:rsidR="00DA1E17">
        <w:t xml:space="preserve">clerks </w:t>
      </w:r>
      <w:r w:rsidR="00AA0E94">
        <w:t>hard at work carving wooden statues in his image:</w:t>
      </w:r>
    </w:p>
    <w:p w14:paraId="01DE67EE" w14:textId="77777777" w:rsidR="00AA0E94" w:rsidRDefault="00AA0E94" w:rsidP="00B95701">
      <w:pPr>
        <w:ind w:firstLine="0"/>
        <w:contextualSpacing/>
      </w:pPr>
    </w:p>
    <w:p w14:paraId="7A58E638" w14:textId="331D5E07" w:rsidR="00AD7F50" w:rsidRPr="00712815" w:rsidRDefault="00AA0E94" w:rsidP="00AA0E94">
      <w:pPr>
        <w:ind w:left="720" w:firstLine="0"/>
        <w:contextualSpacing/>
      </w:pPr>
      <w:r w:rsidRPr="00AA0E94">
        <w:t xml:space="preserve">Had the window been barred, I would have suspected that I had come upon a madhouse. […]. </w:t>
      </w:r>
      <w:r>
        <w:t>‘</w:t>
      </w:r>
      <w:r w:rsidRPr="00AA0E94">
        <w:t>We are carving here for the Bureau of Faith and Religions,</w:t>
      </w:r>
      <w:r>
        <w:t>’</w:t>
      </w:r>
      <w:r w:rsidRPr="00AA0E94">
        <w:t xml:space="preserve"> the young one said. </w:t>
      </w:r>
      <w:r>
        <w:t>‘</w:t>
      </w:r>
      <w:r w:rsidRPr="00AA0E94">
        <w:t>Come in.</w:t>
      </w:r>
      <w:r>
        <w:t>’</w:t>
      </w:r>
      <w:r w:rsidRPr="00AA0E94">
        <w:t xml:space="preserve"> I had never heard that the Bureau of Religions was involved in any sort of carving. […]. At the top of the stairs, I walked the length of a porch with wooden pillars […]. I went into the room. […]. But now, as I scanned the room, startled by what I saw, I realized why. In the room there stood thirty wooden statues, all of them alike. They were exact copies of the statue which the scoundrel Andigones had sculptured of me. </w:t>
      </w:r>
      <w:r>
        <w:t>‘</w:t>
      </w:r>
      <w:r w:rsidRPr="00AA0E94">
        <w:t>The precinct is empty,</w:t>
      </w:r>
      <w:r>
        <w:t>’</w:t>
      </w:r>
      <w:r w:rsidRPr="00AA0E94">
        <w:t xml:space="preserve"> I said, confused. (148) </w:t>
      </w:r>
    </w:p>
    <w:p w14:paraId="7E549B4B" w14:textId="2C5701EF" w:rsidR="007D0B92" w:rsidRDefault="007D0B92" w:rsidP="00D873C3">
      <w:pPr>
        <w:ind w:firstLine="0"/>
        <w:contextualSpacing/>
      </w:pPr>
    </w:p>
    <w:p w14:paraId="20F20172" w14:textId="28285D2A" w:rsidR="00AA0E94" w:rsidRDefault="00AA0E94" w:rsidP="00D5745D">
      <w:pPr>
        <w:ind w:firstLine="0"/>
        <w:contextualSpacing/>
      </w:pPr>
      <w:r>
        <w:t>The juxtaposition of the</w:t>
      </w:r>
      <w:r w:rsidR="00795163">
        <w:t xml:space="preserve"> sense</w:t>
      </w:r>
      <w:r>
        <w:t xml:space="preserve"> of </w:t>
      </w:r>
      <w:r w:rsidR="008B398F">
        <w:t>repudiation</w:t>
      </w:r>
      <w:r w:rsidR="00E160D5">
        <w:t xml:space="preserve"> </w:t>
      </w:r>
      <w:r w:rsidR="008B398F">
        <w:t>with</w:t>
      </w:r>
      <w:r w:rsidR="00E160D5">
        <w:t xml:space="preserve"> the main form of labor performed within the confines of the precinct, in a room “which was full of icons and death masks” (149)</w:t>
      </w:r>
      <w:r w:rsidR="008B398F">
        <w:t>,</w:t>
      </w:r>
      <w:r w:rsidR="00E160D5">
        <w:t xml:space="preserve"> reveals the </w:t>
      </w:r>
      <w:r w:rsidR="00495139">
        <w:t>Janus-face of</w:t>
      </w:r>
      <w:r w:rsidR="00DF51B0">
        <w:t xml:space="preserve"> sovereignty: the fine line between </w:t>
      </w:r>
      <w:r w:rsidR="000023AA">
        <w:t xml:space="preserve">overseeing </w:t>
      </w:r>
      <w:r w:rsidR="00943240">
        <w:t>sovereign</w:t>
      </w:r>
      <w:r w:rsidR="00795163">
        <w:t>ty</w:t>
      </w:r>
      <w:r w:rsidR="00943240">
        <w:t xml:space="preserve">, responsible for the glorification of the dead and the </w:t>
      </w:r>
      <w:commentRangeStart w:id="9"/>
      <w:r w:rsidR="00C0013B">
        <w:t xml:space="preserve">adoration </w:t>
      </w:r>
      <w:commentRangeEnd w:id="9"/>
      <w:r w:rsidR="00C0013B">
        <w:rPr>
          <w:rStyle w:val="CommentReference"/>
        </w:rPr>
        <w:commentReference w:id="9"/>
      </w:r>
      <w:r w:rsidR="00A74E7D" w:rsidRPr="00A74E7D">
        <w:t>idol</w:t>
      </w:r>
      <w:r w:rsidR="00A74E7D">
        <w:t xml:space="preserve"> </w:t>
      </w:r>
      <w:r w:rsidR="00943240">
        <w:t xml:space="preserve">production line, and </w:t>
      </w:r>
      <w:r w:rsidR="000023AA">
        <w:t>forsaking</w:t>
      </w:r>
      <w:r w:rsidR="00943240">
        <w:t xml:space="preserve"> sovereign</w:t>
      </w:r>
      <w:r w:rsidR="00795163">
        <w:t>ty</w:t>
      </w:r>
      <w:r w:rsidR="000023AA">
        <w:t xml:space="preserve"> </w:t>
      </w:r>
      <w:r w:rsidR="00943240">
        <w:t xml:space="preserve">that </w:t>
      </w:r>
      <w:r w:rsidR="00842222">
        <w:t xml:space="preserve">refuses to </w:t>
      </w:r>
      <w:r w:rsidR="00495139">
        <w:t>act</w:t>
      </w:r>
      <w:r w:rsidR="00842222">
        <w:t xml:space="preserve"> as </w:t>
      </w:r>
      <w:r w:rsidR="00795163">
        <w:t>a responsible agent that</w:t>
      </w:r>
      <w:r w:rsidR="00C0013B">
        <w:t xml:space="preserve"> </w:t>
      </w:r>
      <w:r w:rsidR="00842222">
        <w:t xml:space="preserve">fulfills its duties toward its citizens and exposes them </w:t>
      </w:r>
      <w:r w:rsidR="000023AA">
        <w:t xml:space="preserve">to </w:t>
      </w:r>
      <w:r w:rsidR="00842222">
        <w:t>arbitrary violence</w:t>
      </w:r>
      <w:bookmarkStart w:id="10" w:name="_GoBack"/>
      <w:bookmarkEnd w:id="10"/>
      <w:r w:rsidR="00842222">
        <w:t>.</w:t>
      </w:r>
      <w:r w:rsidR="00842222">
        <w:rPr>
          <w:rStyle w:val="FootnoteReference"/>
        </w:rPr>
        <w:footnoteReference w:id="25"/>
      </w:r>
      <w:r w:rsidR="00842222">
        <w:t xml:space="preserve"> The sovereign authority, whether </w:t>
      </w:r>
      <w:r w:rsidR="00795163">
        <w:t>concealed</w:t>
      </w:r>
      <w:r w:rsidR="00842222">
        <w:t xml:space="preserve"> or</w:t>
      </w:r>
      <w:r w:rsidR="001F1C1D">
        <w:t xml:space="preserve"> </w:t>
      </w:r>
      <w:r w:rsidR="00987C72">
        <w:t>manifest</w:t>
      </w:r>
      <w:r w:rsidR="001F1C1D">
        <w:t xml:space="preserve"> </w:t>
      </w:r>
      <w:r w:rsidR="00836CDF">
        <w:t>in</w:t>
      </w:r>
      <w:r w:rsidR="001F1C1D">
        <w:t xml:space="preserve"> the ritual of crowning messiahs and saints, is not revealed in the </w:t>
      </w:r>
      <w:r w:rsidR="00987C72">
        <w:t>novel to its fullest extent</w:t>
      </w:r>
      <w:r w:rsidR="006B33BF">
        <w:t>,</w:t>
      </w:r>
      <w:r w:rsidR="00842222">
        <w:t xml:space="preserve"> </w:t>
      </w:r>
      <w:r w:rsidR="001F1C1D">
        <w:t xml:space="preserve">but rather </w:t>
      </w:r>
      <w:r w:rsidR="006B33BF">
        <w:lastRenderedPageBreak/>
        <w:t>primarily by way of</w:t>
      </w:r>
      <w:r w:rsidR="00836CDF">
        <w:t xml:space="preserve"> </w:t>
      </w:r>
      <w:r w:rsidR="001F1C1D">
        <w:t xml:space="preserve">its </w:t>
      </w:r>
      <w:r w:rsidR="00836CDF">
        <w:t xml:space="preserve">performances of neglect, desertion, and renunciation. </w:t>
      </w:r>
      <w:r w:rsidR="00F25F0D">
        <w:t xml:space="preserve">Contrary to what appears in the Talmud and medieval Jewish sources, Mossinsohn’s novel does not describe </w:t>
      </w:r>
      <w:r w:rsidR="00836CDF">
        <w:t>an extant</w:t>
      </w:r>
      <w:r w:rsidR="00560B25">
        <w:t xml:space="preserve"> sovereign</w:t>
      </w:r>
      <w:r w:rsidR="00F25F0D">
        <w:t xml:space="preserve"> and legal </w:t>
      </w:r>
      <w:r w:rsidR="00560B25">
        <w:t>Jewish authority, which takes full responsibility</w:t>
      </w:r>
      <w:r w:rsidR="00F25F0D">
        <w:t xml:space="preserve"> </w:t>
      </w:r>
      <w:r w:rsidR="00560B25">
        <w:t xml:space="preserve">for its actions, and </w:t>
      </w:r>
      <w:r w:rsidR="009E4FC5">
        <w:t xml:space="preserve">the </w:t>
      </w:r>
      <w:r w:rsidR="00D5745D">
        <w:t>human sacrifices are always offered</w:t>
      </w:r>
      <w:r w:rsidR="00560B25">
        <w:t xml:space="preserve"> by a sovereign who refuses to </w:t>
      </w:r>
      <w:r w:rsidR="00952262">
        <w:t>be revealed.</w:t>
      </w:r>
    </w:p>
    <w:p w14:paraId="389AB6C9" w14:textId="4765B77F" w:rsidR="00560B25" w:rsidRDefault="00560B25" w:rsidP="008313B8">
      <w:pPr>
        <w:ind w:firstLine="0"/>
        <w:contextualSpacing/>
      </w:pPr>
      <w:r>
        <w:tab/>
        <w:t xml:space="preserve">The discovery that the </w:t>
      </w:r>
      <w:r w:rsidR="00952262">
        <w:t>wise</w:t>
      </w:r>
      <w:r>
        <w:t xml:space="preserve"> </w:t>
      </w:r>
      <w:r w:rsidR="00063A7B">
        <w:t>sage</w:t>
      </w:r>
      <w:r w:rsidR="00952262">
        <w:t xml:space="preserve"> </w:t>
      </w:r>
      <w:r w:rsidR="00063A7B">
        <w:t xml:space="preserve">Andigones, who “was sitting at the table covered with an embroidered cloth, its border trimmed with tassels of gold” (150), is </w:t>
      </w:r>
      <w:r w:rsidR="006679E6">
        <w:t>a collaborator who</w:t>
      </w:r>
      <w:r w:rsidR="00063A7B">
        <w:t xml:space="preserve"> participates in the carving of the statues, </w:t>
      </w:r>
      <w:r w:rsidR="006679E6">
        <w:t xml:space="preserve">on the one hand, and </w:t>
      </w:r>
      <w:r w:rsidR="00D5745D">
        <w:t xml:space="preserve">the </w:t>
      </w:r>
      <w:r w:rsidR="00952262">
        <w:t xml:space="preserve">implied allusion in </w:t>
      </w:r>
      <w:r w:rsidR="00063A7B">
        <w:t xml:space="preserve">the thirty carved statues </w:t>
      </w:r>
      <w:r w:rsidR="00952262">
        <w:t>to the thirty</w:t>
      </w:r>
      <w:r w:rsidR="00D13262">
        <w:t xml:space="preserve"> </w:t>
      </w:r>
      <w:r w:rsidR="00952262">
        <w:t xml:space="preserve">coins </w:t>
      </w:r>
      <w:r w:rsidR="00D13262">
        <w:t>Judas Iscariot received</w:t>
      </w:r>
      <w:r w:rsidR="006679E6">
        <w:t xml:space="preserve"> </w:t>
      </w:r>
      <w:r w:rsidR="00D13262">
        <w:t xml:space="preserve">for betraying Jesus (ibid), </w:t>
      </w:r>
      <w:r w:rsidR="006679E6">
        <w:t xml:space="preserve">on the other hand, </w:t>
      </w:r>
      <w:r w:rsidR="00D13262">
        <w:t xml:space="preserve">call for a new reading of the balance of power </w:t>
      </w:r>
      <w:r w:rsidR="000C545C">
        <w:t xml:space="preserve">between loyalty and betrayal </w:t>
      </w:r>
      <w:r w:rsidR="00511141">
        <w:t>with</w:t>
      </w:r>
      <w:r w:rsidR="000C545C">
        <w:t xml:space="preserve">in the sovereign framework. </w:t>
      </w:r>
      <w:r w:rsidR="00D735BE">
        <w:t>In the sovereign space from which</w:t>
      </w:r>
      <w:r w:rsidR="000C545C">
        <w:t xml:space="preserve"> the sovereign is absent, </w:t>
      </w:r>
      <w:r w:rsidR="00D735BE">
        <w:t>it is not</w:t>
      </w:r>
      <w:r w:rsidR="00D5745D">
        <w:t xml:space="preserve"> Judas, “t</w:t>
      </w:r>
      <w:r w:rsidR="000C545C">
        <w:t xml:space="preserve">he upright, loyal citizen” (152), </w:t>
      </w:r>
      <w:r w:rsidR="0089491A">
        <w:t>who</w:t>
      </w:r>
      <w:r w:rsidR="00D735BE">
        <w:t xml:space="preserve"> </w:t>
      </w:r>
      <w:r w:rsidR="000C545C">
        <w:t xml:space="preserve">is cast in the role of the betrayer, but rather the sovereign authority that </w:t>
      </w:r>
      <w:r w:rsidR="001826BE">
        <w:t xml:space="preserve">operates a utilitarian mechanism of messianic worship and sacrifices its citizens. Similar to the </w:t>
      </w:r>
      <w:r w:rsidR="006C1BC9">
        <w:t xml:space="preserve">way in which </w:t>
      </w:r>
      <w:r w:rsidR="00DF3059">
        <w:t xml:space="preserve">supervision </w:t>
      </w:r>
      <w:r w:rsidR="00787FB5">
        <w:t xml:space="preserve">and </w:t>
      </w:r>
      <w:r w:rsidR="00DF3059">
        <w:t xml:space="preserve">abandonment </w:t>
      </w:r>
      <w:r w:rsidR="00787FB5">
        <w:t xml:space="preserve">constitute </w:t>
      </w:r>
      <w:r w:rsidR="003D116C">
        <w:t xml:space="preserve">the sovereignty’s complementary performances, so </w:t>
      </w:r>
      <w:r w:rsidR="00D5745D">
        <w:t xml:space="preserve">too </w:t>
      </w:r>
      <w:r w:rsidR="003D116C">
        <w:t>the statue carving, which heralds Judas Iscariot’s imminent death, is portrayed as an</w:t>
      </w:r>
      <w:r w:rsidR="0089491A">
        <w:t xml:space="preserve"> act of</w:t>
      </w:r>
      <w:r w:rsidR="003D116C">
        <w:t xml:space="preserve"> </w:t>
      </w:r>
      <w:r w:rsidR="0089491A">
        <w:t>systemized</w:t>
      </w:r>
      <w:r w:rsidR="003D116C">
        <w:t xml:space="preserve"> preparation </w:t>
      </w:r>
      <w:r w:rsidR="0089491A">
        <w:t>that is part</w:t>
      </w:r>
      <w:r w:rsidR="003D116C">
        <w:t xml:space="preserve"> </w:t>
      </w:r>
      <w:r w:rsidR="0089491A">
        <w:t>of</w:t>
      </w:r>
      <w:r w:rsidR="003D116C">
        <w:t xml:space="preserve"> the daily routine. </w:t>
      </w:r>
      <w:r w:rsidR="00921F54">
        <w:t xml:space="preserve">This conduct is in line with what Giorgio Agamben describes as the trademark of sovereign power: the </w:t>
      </w:r>
      <w:r w:rsidR="0089491A">
        <w:t>implementation</w:t>
      </w:r>
      <w:r w:rsidR="00921F54">
        <w:t xml:space="preserve"> of a </w:t>
      </w:r>
      <w:r w:rsidR="00A00B0F">
        <w:t xml:space="preserve">methodical policy, which is </w:t>
      </w:r>
      <w:r w:rsidR="0089491A">
        <w:t>neither</w:t>
      </w:r>
      <w:r w:rsidR="00A00B0F">
        <w:t xml:space="preserve"> exceptional </w:t>
      </w:r>
      <w:r w:rsidR="0089491A">
        <w:t>n</w:t>
      </w:r>
      <w:r w:rsidR="00A00B0F">
        <w:t>or deviant, that contains</w:t>
      </w:r>
      <w:r w:rsidR="00E850DC">
        <w:t xml:space="preserve"> a preexisting</w:t>
      </w:r>
      <w:r w:rsidR="008313B8">
        <w:t xml:space="preserve"> </w:t>
      </w:r>
      <w:r w:rsidR="00E850DC">
        <w:t>option</w:t>
      </w:r>
      <w:r w:rsidR="008313B8">
        <w:t xml:space="preserve"> to renounce the citizen</w:t>
      </w:r>
      <w:r w:rsidR="00E850DC">
        <w:t>s</w:t>
      </w:r>
      <w:r w:rsidR="008313B8">
        <w:t xml:space="preserve"> and leave them exposed to the arbitrariness of the sovereign’s ruling.</w:t>
      </w:r>
      <w:r w:rsidR="008313B8">
        <w:rPr>
          <w:rStyle w:val="FootnoteReference"/>
        </w:rPr>
        <w:footnoteReference w:id="26"/>
      </w:r>
    </w:p>
    <w:p w14:paraId="73966423" w14:textId="6B8C7924" w:rsidR="008313B8" w:rsidRDefault="008313B8" w:rsidP="008313B8">
      <w:pPr>
        <w:ind w:firstLine="0"/>
        <w:contextualSpacing/>
      </w:pPr>
    </w:p>
    <w:p w14:paraId="07103F9C" w14:textId="6ADE47E7" w:rsidR="008313B8" w:rsidRDefault="008313B8" w:rsidP="008313B8">
      <w:pPr>
        <w:ind w:firstLine="0"/>
        <w:contextualSpacing/>
        <w:rPr>
          <w:b/>
          <w:bCs/>
        </w:rPr>
      </w:pPr>
      <w:r w:rsidRPr="000A154D">
        <w:rPr>
          <w:b/>
          <w:bCs/>
        </w:rPr>
        <w:t>The Living</w:t>
      </w:r>
      <w:r w:rsidR="00234CAA">
        <w:rPr>
          <w:b/>
          <w:bCs/>
        </w:rPr>
        <w:t>-</w:t>
      </w:r>
      <w:r w:rsidRPr="000A154D">
        <w:rPr>
          <w:b/>
          <w:bCs/>
        </w:rPr>
        <w:t xml:space="preserve">Dead and the Israeli </w:t>
      </w:r>
      <w:r w:rsidR="00E850DC">
        <w:rPr>
          <w:b/>
          <w:bCs/>
        </w:rPr>
        <w:t>Saint</w:t>
      </w:r>
      <w:r w:rsidR="000A154D" w:rsidRPr="000A154D">
        <w:rPr>
          <w:b/>
          <w:bCs/>
        </w:rPr>
        <w:t xml:space="preserve"> Industry</w:t>
      </w:r>
    </w:p>
    <w:p w14:paraId="1B0AA6B0" w14:textId="49757692" w:rsidR="00B414C4" w:rsidRDefault="000A154D" w:rsidP="0033370D">
      <w:pPr>
        <w:contextualSpacing/>
      </w:pPr>
      <w:r>
        <w:lastRenderedPageBreak/>
        <w:t xml:space="preserve">The messianic drama in the New Testament, which deals with Jesus’s death and resurrection, constitutes in Mossinsohn’s novel the </w:t>
      </w:r>
      <w:r w:rsidR="00420615">
        <w:t>groundwork</w:t>
      </w:r>
      <w:r>
        <w:t xml:space="preserve"> for a hidden </w:t>
      </w:r>
      <w:commentRangeStart w:id="11"/>
      <w:r>
        <w:t xml:space="preserve">dialogue </w:t>
      </w:r>
      <w:commentRangeEnd w:id="11"/>
      <w:r w:rsidR="009A5C49">
        <w:rPr>
          <w:rStyle w:val="CommentReference"/>
        </w:rPr>
        <w:commentReference w:id="11"/>
      </w:r>
      <w:r>
        <w:t xml:space="preserve">with a </w:t>
      </w:r>
      <w:r w:rsidR="009A5C49">
        <w:t>key</w:t>
      </w:r>
      <w:r>
        <w:t xml:space="preserve"> figure in the Zionist culture and in modern Hebrew literature: the living</w:t>
      </w:r>
      <w:r w:rsidR="00234CAA">
        <w:t>-</w:t>
      </w:r>
      <w:r w:rsidR="00D5745D">
        <w:t xml:space="preserve">dead. The poet Nathan </w:t>
      </w:r>
      <w:proofErr w:type="spellStart"/>
      <w:r w:rsidR="00D5745D">
        <w:t>Alterman</w:t>
      </w:r>
      <w:proofErr w:type="spellEnd"/>
      <w:r w:rsidR="00D5745D">
        <w:t xml:space="preserve"> was r</w:t>
      </w:r>
      <w:r>
        <w:t xml:space="preserve">esponsible for </w:t>
      </w:r>
      <w:r w:rsidR="00D5745D">
        <w:t>making</w:t>
      </w:r>
      <w:r>
        <w:t xml:space="preserve"> the figure</w:t>
      </w:r>
      <w:r w:rsidR="00234CAA">
        <w:t xml:space="preserve"> </w:t>
      </w:r>
      <w:r w:rsidR="00D5745D">
        <w:t xml:space="preserve">of the living-dead </w:t>
      </w:r>
      <w:r w:rsidR="00234CAA">
        <w:t xml:space="preserve">an inseparable </w:t>
      </w:r>
      <w:r w:rsidR="009A5C49">
        <w:t>feature</w:t>
      </w:r>
      <w:r w:rsidR="00234CAA">
        <w:t xml:space="preserve"> of modern Hebrew litera</w:t>
      </w:r>
      <w:r w:rsidR="00D5745D">
        <w:t>ture of the nineteen-forties</w:t>
      </w:r>
      <w:r w:rsidR="00234CAA">
        <w:t xml:space="preserve">. His poem </w:t>
      </w:r>
      <w:r w:rsidR="00234CAA" w:rsidRPr="00234CAA">
        <w:rPr>
          <w:i/>
          <w:iCs/>
        </w:rPr>
        <w:t>The Silver Platter</w:t>
      </w:r>
      <w:r w:rsidR="00234CAA">
        <w:t xml:space="preserve"> describes a teenaged boy and teenaged girl</w:t>
      </w:r>
      <w:r w:rsidR="00B9235A">
        <w:t xml:space="preserve"> </w:t>
      </w:r>
      <w:r w:rsidR="00234CAA">
        <w:t>“giving no sign of life or death”</w:t>
      </w:r>
      <w:r w:rsidR="00B9235A">
        <w:t xml:space="preserve"> as they face a “heart-torn yet alive” nation.</w:t>
      </w:r>
      <w:r w:rsidR="00B9235A">
        <w:rPr>
          <w:rStyle w:val="FootnoteReference"/>
        </w:rPr>
        <w:footnoteReference w:id="27"/>
      </w:r>
      <w:r w:rsidR="00B9235A">
        <w:t xml:space="preserve"> Their depiction as a liminal entity</w:t>
      </w:r>
      <w:r w:rsidR="009A5C49">
        <w:t xml:space="preserve"> straddling life and death</w:t>
      </w:r>
      <w:r w:rsidR="00B9235A">
        <w:t xml:space="preserve"> provides the basis </w:t>
      </w:r>
      <w:r w:rsidR="00310AD7">
        <w:t xml:space="preserve">for understanding </w:t>
      </w:r>
      <w:r w:rsidR="00310AD7" w:rsidRPr="009C7F3B">
        <w:t>the reward that</w:t>
      </w:r>
      <w:r w:rsidR="00310AD7">
        <w:t xml:space="preserve"> the national culture offers those who sacrifice their </w:t>
      </w:r>
      <w:r w:rsidR="009C7F3B">
        <w:t>lives</w:t>
      </w:r>
      <w:r w:rsidR="00310AD7">
        <w:t xml:space="preserve"> on the national alter: they will become the living-dead—heroes who gave their lives for </w:t>
      </w:r>
      <w:r w:rsidR="006E32AD">
        <w:t>a</w:t>
      </w:r>
      <w:r w:rsidR="00310AD7">
        <w:t xml:space="preserve"> </w:t>
      </w:r>
      <w:r w:rsidR="006E32AD">
        <w:t>noble</w:t>
      </w:r>
      <w:r w:rsidR="00310AD7">
        <w:t xml:space="preserve"> </w:t>
      </w:r>
      <w:r w:rsidR="006E32AD">
        <w:t>cause</w:t>
      </w:r>
      <w:r w:rsidR="00CF5AFB">
        <w:t xml:space="preserve"> and will live for eternity in the consciousness of the national collective. The poem’s publication </w:t>
      </w:r>
      <w:r w:rsidR="006E32AD">
        <w:t xml:space="preserve">on December 19, 1947 in the “Tor </w:t>
      </w:r>
      <w:proofErr w:type="spellStart"/>
      <w:r w:rsidR="006E32AD" w:rsidRPr="00712D41">
        <w:t>Hashvi’i</w:t>
      </w:r>
      <w:proofErr w:type="spellEnd"/>
      <w:r w:rsidR="006E32AD" w:rsidRPr="00712D41">
        <w:t>” in</w:t>
      </w:r>
      <w:r w:rsidR="008D144D">
        <w:t xml:space="preserve"> the newspaper</w:t>
      </w:r>
      <w:r w:rsidR="006E32AD">
        <w:t xml:space="preserve"> </w:t>
      </w:r>
      <w:proofErr w:type="spellStart"/>
      <w:r w:rsidR="006E32AD" w:rsidRPr="00524D4B">
        <w:rPr>
          <w:i/>
          <w:iCs/>
        </w:rPr>
        <w:t>Davar</w:t>
      </w:r>
      <w:proofErr w:type="spellEnd"/>
      <w:r w:rsidR="006E32AD">
        <w:t xml:space="preserve"> </w:t>
      </w:r>
      <w:r w:rsidR="00CF5AFB">
        <w:t>prior to the formal dec</w:t>
      </w:r>
      <w:r w:rsidR="00524D4B">
        <w:t xml:space="preserve">laration of the founding of </w:t>
      </w:r>
      <w:r w:rsidR="00524D4B" w:rsidRPr="00387542">
        <w:t>the state</w:t>
      </w:r>
      <w:r w:rsidR="00524D4B">
        <w:t xml:space="preserve"> and </w:t>
      </w:r>
      <w:r w:rsidR="006E32AD">
        <w:t>after</w:t>
      </w:r>
      <w:r w:rsidR="00524D4B">
        <w:t xml:space="preserve"> only twenty days of fighting</w:t>
      </w:r>
      <w:r w:rsidR="006E32AD">
        <w:t xml:space="preserve">, </w:t>
      </w:r>
      <w:r w:rsidR="00AD1480">
        <w:t>is indicative of</w:t>
      </w:r>
      <w:r w:rsidR="00524D4B">
        <w:t xml:space="preserve"> how Alterman</w:t>
      </w:r>
      <w:r w:rsidR="00AD1480">
        <w:t xml:space="preserve"> sought to prime</w:t>
      </w:r>
      <w:r w:rsidR="00732934">
        <w:t xml:space="preserve"> the Israeli collective </w:t>
      </w:r>
      <w:r w:rsidR="00AD1480">
        <w:t>for</w:t>
      </w:r>
      <w:r w:rsidR="00732934">
        <w:t xml:space="preserve"> legitimiz</w:t>
      </w:r>
      <w:r w:rsidR="00AD1480">
        <w:t>ing</w:t>
      </w:r>
      <w:r w:rsidR="00732934">
        <w:t xml:space="preserve"> heroic death on behalf of the sovereign and </w:t>
      </w:r>
      <w:r w:rsidR="00516137">
        <w:t>for believing that such death invariably bear</w:t>
      </w:r>
      <w:r w:rsidR="0033370D">
        <w:t>s</w:t>
      </w:r>
      <w:r w:rsidR="00516137">
        <w:t xml:space="preserve"> </w:t>
      </w:r>
      <w:r w:rsidR="00CF2298">
        <w:t>a promise of rede</w:t>
      </w:r>
      <w:r w:rsidR="004B6B4E">
        <w:t xml:space="preserve">eming resurrection. </w:t>
      </w:r>
      <w:r w:rsidR="00516137">
        <w:t>L</w:t>
      </w:r>
      <w:r w:rsidR="004B6B4E">
        <w:t xml:space="preserve">ike Jesus, the living-dead of </w:t>
      </w:r>
      <w:r w:rsidR="003A632D">
        <w:t xml:space="preserve">nineteen-forties </w:t>
      </w:r>
      <w:r w:rsidR="004B6B4E">
        <w:t xml:space="preserve">Hebrew poetry served as part of the religious </w:t>
      </w:r>
      <w:r w:rsidR="00516137">
        <w:t xml:space="preserve">redemption </w:t>
      </w:r>
      <w:r w:rsidR="004B6B4E">
        <w:t>narrative</w:t>
      </w:r>
      <w:r w:rsidR="00516137">
        <w:t>;</w:t>
      </w:r>
      <w:r w:rsidR="004B6B4E">
        <w:t xml:space="preserve"> like Jesus</w:t>
      </w:r>
      <w:r w:rsidR="00516137">
        <w:t>, who</w:t>
      </w:r>
      <w:r w:rsidR="004B6B4E">
        <w:t xml:space="preserve"> </w:t>
      </w:r>
      <w:r w:rsidR="00516137">
        <w:t>through</w:t>
      </w:r>
      <w:r w:rsidR="00431077">
        <w:t xml:space="preserve"> his crucifixion </w:t>
      </w:r>
      <w:r w:rsidR="00516137">
        <w:t xml:space="preserve">atoned </w:t>
      </w:r>
      <w:r w:rsidR="00431077">
        <w:t xml:space="preserve">for </w:t>
      </w:r>
      <w:r w:rsidR="00516137">
        <w:t xml:space="preserve">his people’s </w:t>
      </w:r>
      <w:r w:rsidR="00431077">
        <w:t xml:space="preserve">sins, so too the living-dead </w:t>
      </w:r>
      <w:r w:rsidR="0002261B">
        <w:t>is elevated to</w:t>
      </w:r>
      <w:r w:rsidR="00431077">
        <w:t xml:space="preserve"> </w:t>
      </w:r>
      <w:r w:rsidR="0002261B">
        <w:t>the</w:t>
      </w:r>
      <w:r w:rsidR="00431077">
        <w:t xml:space="preserve"> </w:t>
      </w:r>
      <w:r w:rsidR="0033370D">
        <w:t>sacred</w:t>
      </w:r>
      <w:r w:rsidR="00431077">
        <w:t xml:space="preserve"> and </w:t>
      </w:r>
      <w:r w:rsidR="0002261B">
        <w:t>shifts</w:t>
      </w:r>
      <w:r w:rsidR="00431077">
        <w:t xml:space="preserve"> from the </w:t>
      </w:r>
      <w:r w:rsidR="0002261B">
        <w:t>private</w:t>
      </w:r>
      <w:r w:rsidR="00431077">
        <w:t xml:space="preserve"> to the public domain. </w:t>
      </w:r>
      <w:r w:rsidR="0002261B">
        <w:t xml:space="preserve">Similar to </w:t>
      </w:r>
      <w:r w:rsidR="00431077">
        <w:t>the</w:t>
      </w:r>
      <w:r w:rsidR="00DC1C04">
        <w:t xml:space="preserve"> living-dead, the mythic image of Jesus constitutes </w:t>
      </w:r>
      <w:r w:rsidR="001B3BD7">
        <w:t>a synthesis</w:t>
      </w:r>
      <w:r w:rsidR="00DC1C04">
        <w:t xml:space="preserve"> </w:t>
      </w:r>
      <w:r w:rsidR="001B3BD7">
        <w:t>between</w:t>
      </w:r>
      <w:r w:rsidR="00DC1C04">
        <w:t xml:space="preserve"> a </w:t>
      </w:r>
      <w:r w:rsidR="0002261B">
        <w:t xml:space="preserve">corporeal </w:t>
      </w:r>
      <w:r w:rsidR="00DC1C04">
        <w:t xml:space="preserve">human and </w:t>
      </w:r>
      <w:r w:rsidR="001B3BD7">
        <w:t>an</w:t>
      </w:r>
      <w:r w:rsidR="00DC1C04">
        <w:t xml:space="preserve"> immortal element </w:t>
      </w:r>
      <w:r w:rsidR="00122594" w:rsidRPr="00712D41">
        <w:t>destined</w:t>
      </w:r>
      <w:r w:rsidR="00B414C4" w:rsidRPr="00712D41">
        <w:t xml:space="preserve"> </w:t>
      </w:r>
      <w:r w:rsidR="0033370D">
        <w:t>for redemption</w:t>
      </w:r>
      <w:r w:rsidR="00122594" w:rsidRPr="00712D41">
        <w:t>.</w:t>
      </w:r>
      <w:r w:rsidR="00122594">
        <w:t xml:space="preserve"> </w:t>
      </w:r>
    </w:p>
    <w:p w14:paraId="66953D1C" w14:textId="0305520F" w:rsidR="007F6CEE" w:rsidRDefault="00B414C4" w:rsidP="006725C6">
      <w:pPr>
        <w:ind w:firstLine="0"/>
        <w:contextualSpacing/>
      </w:pPr>
      <w:r>
        <w:tab/>
        <w:t xml:space="preserve">Mossinsohn’s novel </w:t>
      </w:r>
      <w:r w:rsidR="009A17FE">
        <w:t xml:space="preserve">takes a hard line </w:t>
      </w:r>
      <w:r>
        <w:t>against the inflationa</w:t>
      </w:r>
      <w:r w:rsidR="008E4EC5">
        <w:t xml:space="preserve">ry use of the living-dead figure </w:t>
      </w:r>
      <w:r w:rsidR="00BD6107">
        <w:t>for</w:t>
      </w:r>
      <w:r w:rsidR="008E4EC5">
        <w:t xml:space="preserve"> </w:t>
      </w:r>
      <w:r w:rsidR="009A17FE">
        <w:t xml:space="preserve">consolatory </w:t>
      </w:r>
      <w:r w:rsidR="008E4EC5">
        <w:t>and propagand</w:t>
      </w:r>
      <w:r w:rsidR="00280516">
        <w:t>a</w:t>
      </w:r>
      <w:r w:rsidR="009A17FE">
        <w:t xml:space="preserve"> purposes</w:t>
      </w:r>
      <w:r w:rsidR="008E4EC5">
        <w:t xml:space="preserve">. This inflation, as </w:t>
      </w:r>
      <w:r w:rsidR="008E4EC5" w:rsidRPr="00BD6107">
        <w:t>it arises from</w:t>
      </w:r>
      <w:r w:rsidR="008E4EC5">
        <w:t xml:space="preserve"> the novel, </w:t>
      </w:r>
      <w:r w:rsidR="008E4EC5" w:rsidRPr="00BD6107">
        <w:t>summons</w:t>
      </w:r>
      <w:r w:rsidR="008E4EC5">
        <w:t xml:space="preserve"> an </w:t>
      </w:r>
      <w:r w:rsidR="008E4EC5">
        <w:lastRenderedPageBreak/>
        <w:t xml:space="preserve">inherent contradiction that obscures the distinction between the categories of “loyalty” and “betrayal.” </w:t>
      </w:r>
      <w:r w:rsidR="001E7F3F">
        <w:t xml:space="preserve">The </w:t>
      </w:r>
      <w:r w:rsidR="008A09FE">
        <w:t xml:space="preserve">transformation of a human </w:t>
      </w:r>
      <w:r w:rsidR="00C31B51">
        <w:t xml:space="preserve">being </w:t>
      </w:r>
      <w:r w:rsidR="00280516">
        <w:t xml:space="preserve">into the </w:t>
      </w:r>
      <w:r w:rsidR="001E7F3F">
        <w:t>living</w:t>
      </w:r>
      <w:r w:rsidR="00387542">
        <w:t>-</w:t>
      </w:r>
      <w:r w:rsidR="001E7F3F">
        <w:t xml:space="preserve">dead is the </w:t>
      </w:r>
      <w:r w:rsidR="008A09FE">
        <w:t xml:space="preserve">consequence </w:t>
      </w:r>
      <w:r w:rsidR="001E7F3F">
        <w:t xml:space="preserve">of the </w:t>
      </w:r>
      <w:r w:rsidR="008A09FE">
        <w:t xml:space="preserve">sovereign’s </w:t>
      </w:r>
      <w:r w:rsidR="001E7F3F">
        <w:t xml:space="preserve">betrayal, </w:t>
      </w:r>
      <w:r w:rsidR="008A09FE">
        <w:t xml:space="preserve">of </w:t>
      </w:r>
      <w:r w:rsidR="001E7F3F">
        <w:t xml:space="preserve">the authority’s renunciation of </w:t>
      </w:r>
      <w:r w:rsidR="008A09FE">
        <w:t>human life</w:t>
      </w:r>
      <w:r w:rsidR="00C31B51">
        <w:t xml:space="preserve">, </w:t>
      </w:r>
      <w:r w:rsidR="001E7F3F">
        <w:t xml:space="preserve">and </w:t>
      </w:r>
      <w:r w:rsidR="00C31B51">
        <w:t xml:space="preserve">the </w:t>
      </w:r>
      <w:r w:rsidR="001E7F3F">
        <w:t xml:space="preserve">exploitation of death for its own </w:t>
      </w:r>
      <w:r w:rsidR="00A36F78">
        <w:t>ends</w:t>
      </w:r>
      <w:r w:rsidR="001E7F3F">
        <w:t>. This critical approach position</w:t>
      </w:r>
      <w:r w:rsidR="00C31B51">
        <w:t>s</w:t>
      </w:r>
      <w:r w:rsidR="001E7F3F">
        <w:t xml:space="preserve"> Jesus and Judas Iscariot in a similar betrayed position, </w:t>
      </w:r>
      <w:r w:rsidR="00107613">
        <w:t>as they are both crucified and become living-dead figures for the purpose of satisfying the nation</w:t>
      </w:r>
      <w:r w:rsidR="00A36F78">
        <w:t xml:space="preserve">’s desires </w:t>
      </w:r>
      <w:r w:rsidR="00107613">
        <w:t>and its collective needs. Whil</w:t>
      </w:r>
      <w:r w:rsidR="00A36F78">
        <w:t>e Jesus’s death is depicted as</w:t>
      </w:r>
      <w:r w:rsidR="00107613">
        <w:t xml:space="preserve"> meaningless </w:t>
      </w:r>
      <w:r w:rsidR="00A36F78">
        <w:t>and</w:t>
      </w:r>
      <w:r w:rsidR="00107613">
        <w:t xml:space="preserve"> lacking political ramifications</w:t>
      </w:r>
      <w:r w:rsidR="0001543E">
        <w:t xml:space="preserve">, his collective representation is exaltation and immortalization that do not reflect the material reality. Jesus, whose death did not shock the nation and lead it to </w:t>
      </w:r>
      <w:r w:rsidR="0001543E" w:rsidRPr="00873713">
        <w:t>rebellion</w:t>
      </w:r>
      <w:r w:rsidR="0001543E">
        <w:t>, is engrained in the national memory in a distorted fashion that represses the</w:t>
      </w:r>
      <w:r w:rsidR="000E3631">
        <w:t xml:space="preserve"> actual</w:t>
      </w:r>
      <w:r w:rsidR="0001543E">
        <w:t xml:space="preserve"> circumstances of his death</w:t>
      </w:r>
      <w:r w:rsidR="000E3631">
        <w:t xml:space="preserve">: “‘Ten years ago, Jesus of Nazareth was crucified by Roman officers at the order of Pontius Pilot, procurator of Judea by the grace of </w:t>
      </w:r>
      <w:r w:rsidR="000E3631" w:rsidRPr="00712D41">
        <w:t>emperor</w:t>
      </w:r>
      <w:r w:rsidR="000E3631">
        <w:t xml:space="preserve"> Tiberius, and the life and death of this man of Nazareth have already been cloaked in strange legends’” (9). The gap between the description</w:t>
      </w:r>
      <w:r w:rsidR="0056223C">
        <w:t>s</w:t>
      </w:r>
      <w:r w:rsidR="000E3631">
        <w:t xml:space="preserve"> of Jesus’s death</w:t>
      </w:r>
      <w:r w:rsidR="0056223C">
        <w:t>, on the one hand,</w:t>
      </w:r>
      <w:r w:rsidR="000E3631">
        <w:t xml:space="preserve"> and his memorialization</w:t>
      </w:r>
      <w:r w:rsidR="0056223C">
        <w:t>, on the other,</w:t>
      </w:r>
      <w:r w:rsidR="000E3631">
        <w:t xml:space="preserve"> </w:t>
      </w:r>
      <w:r w:rsidR="00B96F90">
        <w:t>is</w:t>
      </w:r>
      <w:r w:rsidR="000E3631">
        <w:t xml:space="preserve"> evidence </w:t>
      </w:r>
      <w:r w:rsidR="00A36F78">
        <w:t>that his constitution as</w:t>
      </w:r>
      <w:r w:rsidR="00B90113">
        <w:t xml:space="preserve"> living-dead, </w:t>
      </w:r>
      <w:r w:rsidR="00B96F90">
        <w:t xml:space="preserve">which is </w:t>
      </w:r>
      <w:r w:rsidR="00B90113">
        <w:t xml:space="preserve">embedded in the representational systems that nurture the </w:t>
      </w:r>
      <w:r w:rsidR="00B96F90">
        <w:t>frameworks of national life</w:t>
      </w:r>
      <w:r w:rsidR="00B90113">
        <w:t xml:space="preserve">, became the </w:t>
      </w:r>
      <w:r w:rsidR="00DD3611">
        <w:t>main focal point</w:t>
      </w:r>
      <w:r w:rsidR="0056223C">
        <w:t xml:space="preserve"> </w:t>
      </w:r>
      <w:r w:rsidR="00DD3611">
        <w:t xml:space="preserve">and marginalized </w:t>
      </w:r>
      <w:r w:rsidR="00B90113">
        <w:t xml:space="preserve">interest in his historical figure, which, as mentioned, </w:t>
      </w:r>
      <w:r w:rsidR="007F6CEE">
        <w:t xml:space="preserve">neither </w:t>
      </w:r>
      <w:r w:rsidR="00A36F78">
        <w:t>affected</w:t>
      </w:r>
      <w:r w:rsidR="007F6CEE">
        <w:t xml:space="preserve"> reality no</w:t>
      </w:r>
      <w:r w:rsidR="00DD3611">
        <w:t>r</w:t>
      </w:r>
      <w:r w:rsidR="007F6CEE">
        <w:t xml:space="preserve"> led to </w:t>
      </w:r>
      <w:r w:rsidR="00DD3611">
        <w:t xml:space="preserve">a revolt </w:t>
      </w:r>
      <w:r w:rsidR="007F6CEE">
        <w:t xml:space="preserve">in the Jewish street. </w:t>
      </w:r>
    </w:p>
    <w:p w14:paraId="6CC1D264" w14:textId="1F3984B1" w:rsidR="002C742B" w:rsidRDefault="007F6CEE" w:rsidP="006725C6">
      <w:pPr>
        <w:ind w:firstLine="0"/>
        <w:contextualSpacing/>
      </w:pPr>
      <w:r>
        <w:tab/>
        <w:t xml:space="preserve">Similarly, Andigones </w:t>
      </w:r>
      <w:r w:rsidR="0056223C">
        <w:t xml:space="preserve">seeks </w:t>
      </w:r>
      <w:r>
        <w:t xml:space="preserve">to convince Judas Iscariot to confess </w:t>
      </w:r>
      <w:r w:rsidR="0056223C">
        <w:t>his betrayal of</w:t>
      </w:r>
      <w:r>
        <w:t xml:space="preserve"> Jesus so that he </w:t>
      </w:r>
      <w:r w:rsidR="0056223C">
        <w:t>can</w:t>
      </w:r>
      <w:r>
        <w:t xml:space="preserve"> become </w:t>
      </w:r>
      <w:r w:rsidR="0056223C">
        <w:t xml:space="preserve">Garamus’s </w:t>
      </w:r>
      <w:r>
        <w:t>new</w:t>
      </w:r>
      <w:r w:rsidR="0056223C">
        <w:t xml:space="preserve"> saint</w:t>
      </w:r>
      <w:r w:rsidR="000D6246">
        <w:t>: “‘I wagered Marcus that I could successfully create a local saint. Sometimes people raise flowers in hothouses, stimulating a flower’s growth. I told Marcus that under certain conditions it is possible to fashion a myth, a legend, even a new god’ [...]. ‘You shall be the saint of Garamus,’ Andigones repeated. ‘You possess all the qualifications’”</w:t>
      </w:r>
      <w:r w:rsidR="00CF5AFB">
        <w:t xml:space="preserve"> </w:t>
      </w:r>
      <w:r w:rsidR="000D6246">
        <w:t xml:space="preserve">(133-34). </w:t>
      </w:r>
      <w:r w:rsidR="00652B65">
        <w:t xml:space="preserve">In both cases, the lives of those who became living-dead—Judas </w:t>
      </w:r>
      <w:r w:rsidR="00652B65">
        <w:lastRenderedPageBreak/>
        <w:t>Iscariot and Jesus—</w:t>
      </w:r>
      <w:r w:rsidR="00CA0588">
        <w:t>are rendered</w:t>
      </w:r>
      <w:r w:rsidR="00652B65">
        <w:t xml:space="preserve"> inconsequential and </w:t>
      </w:r>
      <w:r w:rsidR="006725C6">
        <w:t>undefended</w:t>
      </w:r>
      <w:r w:rsidR="00652B65">
        <w:t xml:space="preserve">. Their material existence is subjugated to what is ostensibly the </w:t>
      </w:r>
      <w:r w:rsidR="00AF0BB5">
        <w:t>primary</w:t>
      </w:r>
      <w:r w:rsidR="00652B65">
        <w:t xml:space="preserve"> </w:t>
      </w:r>
      <w:r w:rsidR="002C742B">
        <w:t xml:space="preserve">purpose: the conversion of historical human beings </w:t>
      </w:r>
      <w:r w:rsidR="00CA0588">
        <w:t>in</w:t>
      </w:r>
      <w:r w:rsidR="002C742B">
        <w:t>to sanctified dead</w:t>
      </w:r>
      <w:r w:rsidR="00AF0BB5">
        <w:t>,</w:t>
      </w:r>
      <w:r w:rsidR="00CA0588">
        <w:t xml:space="preserve"> who in turn, are </w:t>
      </w:r>
      <w:r w:rsidR="002C742B">
        <w:t>“resuscitat</w:t>
      </w:r>
      <w:r w:rsidR="00CA0588">
        <w:t>ed</w:t>
      </w:r>
      <w:r w:rsidR="002C742B">
        <w:t>” in the nation’s collective memory. Both Judas Iscariot and Jesus are presented in the novel as victims of the same sovereign order, which is willing to sacrifice</w:t>
      </w:r>
      <w:r w:rsidR="00AF0BB5" w:rsidRPr="00AF0BB5">
        <w:t xml:space="preserve"> </w:t>
      </w:r>
      <w:r w:rsidR="00AF0BB5">
        <w:t>their lives</w:t>
      </w:r>
      <w:r w:rsidR="002C742B">
        <w:t xml:space="preserve"> </w:t>
      </w:r>
      <w:r w:rsidR="00AF0BB5">
        <w:t>to</w:t>
      </w:r>
      <w:r w:rsidR="002C742B">
        <w:t xml:space="preserve"> </w:t>
      </w:r>
      <w:r w:rsidR="00AF0BB5">
        <w:t>produce</w:t>
      </w:r>
      <w:r w:rsidR="002C742B">
        <w:t xml:space="preserve"> the exalted figure of the living-dead. </w:t>
      </w:r>
    </w:p>
    <w:p w14:paraId="5A427BEF" w14:textId="02CF95E0" w:rsidR="00CD233E" w:rsidRDefault="002C742B" w:rsidP="006725C6">
      <w:pPr>
        <w:ind w:firstLine="0"/>
        <w:contextualSpacing/>
      </w:pPr>
      <w:r>
        <w:tab/>
      </w:r>
      <w:r w:rsidR="00D13AAE" w:rsidRPr="00712F52">
        <w:t xml:space="preserve">The </w:t>
      </w:r>
      <w:r w:rsidR="00AF0BB5" w:rsidRPr="00712F52">
        <w:t>“saint industry”</w:t>
      </w:r>
      <w:r w:rsidR="00D13AAE" w:rsidRPr="00712F52">
        <w:t xml:space="preserve"> is presented</w:t>
      </w:r>
      <w:r w:rsidR="00D13AAE">
        <w:t xml:space="preserve"> in the novel as a well-oiled </w:t>
      </w:r>
      <w:r w:rsidR="006725C6">
        <w:t>machine</w:t>
      </w:r>
      <w:r w:rsidR="00D13AAE">
        <w:t xml:space="preserve"> that transforms liv</w:t>
      </w:r>
      <w:r w:rsidR="006725C6">
        <w:t>ing</w:t>
      </w:r>
      <w:r w:rsidR="00C53C82">
        <w:t xml:space="preserve"> individuals</w:t>
      </w:r>
      <w:r w:rsidR="00D13AAE">
        <w:t xml:space="preserve"> into living-dead, however not for purpose</w:t>
      </w:r>
      <w:r w:rsidR="00C53C82">
        <w:t>s</w:t>
      </w:r>
      <w:r w:rsidR="00D13AAE">
        <w:t xml:space="preserve"> of spiritual rehabilitation or </w:t>
      </w:r>
      <w:r w:rsidR="00C53C82">
        <w:t xml:space="preserve">the </w:t>
      </w:r>
      <w:r w:rsidR="00D13AAE">
        <w:t xml:space="preserve">moral </w:t>
      </w:r>
      <w:r w:rsidR="00C53C82">
        <w:t>butressing</w:t>
      </w:r>
      <w:r w:rsidR="00D13AAE">
        <w:t xml:space="preserve"> of faith in </w:t>
      </w:r>
      <w:r w:rsidR="00C53C82">
        <w:t>the just cause</w:t>
      </w:r>
      <w:r w:rsidR="00D13AAE">
        <w:t xml:space="preserve">, but for purposes of livelihood, business, and profit. </w:t>
      </w:r>
      <w:r w:rsidR="00147F2F">
        <w:t xml:space="preserve">The boy and girl in Alterman’s poem sacrifice themselves for </w:t>
      </w:r>
      <w:r w:rsidR="00C53C82">
        <w:t>what is</w:t>
      </w:r>
      <w:r w:rsidR="00147F2F">
        <w:t xml:space="preserve"> presented as </w:t>
      </w:r>
      <w:r w:rsidR="00C53C82">
        <w:t xml:space="preserve">an </w:t>
      </w:r>
      <w:r w:rsidR="00147F2F">
        <w:t>exalted</w:t>
      </w:r>
      <w:r w:rsidR="00C53C82">
        <w:t xml:space="preserve"> purpose</w:t>
      </w:r>
      <w:r w:rsidR="00147F2F">
        <w:t>, and by so doing, the</w:t>
      </w:r>
      <w:r w:rsidR="00C53C82">
        <w:t>y</w:t>
      </w:r>
      <w:r w:rsidR="00147F2F">
        <w:t xml:space="preserve"> become an inseparable part of the collective for which they gave their lives. However, Mossinsohn refutes these objectives and presents them as lacking any </w:t>
      </w:r>
      <w:r w:rsidR="00C60266">
        <w:t>dimension of</w:t>
      </w:r>
      <w:r w:rsidR="00A91807">
        <w:t xml:space="preserve"> the sublime</w:t>
      </w:r>
      <w:r w:rsidR="00147F2F">
        <w:t xml:space="preserve">. </w:t>
      </w:r>
      <w:proofErr w:type="spellStart"/>
      <w:r w:rsidR="00CD233E">
        <w:t>Andigones’s</w:t>
      </w:r>
      <w:proofErr w:type="spellEnd"/>
      <w:r w:rsidR="00CD233E">
        <w:t xml:space="preserve"> words clarify this when he explains to Judas Iscariot </w:t>
      </w:r>
      <w:r w:rsidR="00C60266">
        <w:t xml:space="preserve">how his death will </w:t>
      </w:r>
      <w:r w:rsidR="00CD233E">
        <w:t>benefit the city’s people:</w:t>
      </w:r>
    </w:p>
    <w:p w14:paraId="6C25EB08" w14:textId="77777777" w:rsidR="00CD233E" w:rsidRDefault="00CD233E" w:rsidP="00B9235A">
      <w:pPr>
        <w:ind w:firstLine="0"/>
        <w:contextualSpacing/>
      </w:pPr>
    </w:p>
    <w:p w14:paraId="605B39C4" w14:textId="0BF00E98" w:rsidR="00CD233E" w:rsidRDefault="00CD233E" w:rsidP="00CD233E">
      <w:pPr>
        <w:ind w:left="720" w:firstLine="0"/>
      </w:pPr>
      <w:r>
        <w:t>‘</w:t>
      </w:r>
      <w:r w:rsidRPr="00CD233E">
        <w:t>Now then, Antiper, about the statues. I am assuming that my program, the program for fashioning our saint, will be successful and I am acting accordingly. As you know, many people earn their livelihood through faiths and religions. And there is certainly nothing wrong with that. Vendors of sacrificial animals, spice dealers, leather workers, guards, attendants and guides, scribes producing scrolls and amulets, candle merchants, tombstone makers, artisans expert in engraving upon marble, priests officiating in front of the altar […]—all of them earn their livelihood through religion. This would imply that it is our saint</w:t>
      </w:r>
      <w:r>
        <w:t>’</w:t>
      </w:r>
      <w:r w:rsidRPr="00CD233E">
        <w:t>s affair not only to increase morality and the fear of heaven, but to serve as a source of sustenance for thousands of people […]</w:t>
      </w:r>
      <w:r w:rsidR="00AB7CC6">
        <w:t xml:space="preserve"> </w:t>
      </w:r>
      <w:r w:rsidRPr="00CD233E">
        <w:t xml:space="preserve">We can expect opposition from the </w:t>
      </w:r>
      <w:r w:rsidRPr="00CD233E">
        <w:lastRenderedPageBreak/>
        <w:t>local priests, but on the other hand we can anticipate hundreds of thousands of pilgrims, flourishing business, taxes paid willingly by proprietors of successful businesses—and we shall not relegate the manufacture of statues to the end of the list, statues of the saint of Garamus.</w:t>
      </w:r>
      <w:r>
        <w:t>’</w:t>
      </w:r>
      <w:r w:rsidRPr="00CD233E">
        <w:t xml:space="preserve"> (153-54</w:t>
      </w:r>
      <w:r>
        <w:t>)</w:t>
      </w:r>
    </w:p>
    <w:p w14:paraId="0BEE590E" w14:textId="19FA44E0" w:rsidR="00CD233E" w:rsidRDefault="00CD233E" w:rsidP="00CD233E">
      <w:pPr>
        <w:ind w:firstLine="0"/>
      </w:pPr>
    </w:p>
    <w:p w14:paraId="2C949E82" w14:textId="6C4F1F9E" w:rsidR="005741AD" w:rsidRDefault="006A29C9" w:rsidP="006725C6">
      <w:pPr>
        <w:ind w:firstLine="0"/>
        <w:contextualSpacing/>
      </w:pPr>
      <w:r>
        <w:t xml:space="preserve">Thus, the </w:t>
      </w:r>
      <w:r w:rsidR="00AB7CC6">
        <w:t xml:space="preserve">figure of </w:t>
      </w:r>
      <w:r w:rsidR="006725C6">
        <w:t xml:space="preserve">the </w:t>
      </w:r>
      <w:r>
        <w:t xml:space="preserve">living-dead is freed </w:t>
      </w:r>
      <w:r w:rsidR="00AB7CC6">
        <w:t>from</w:t>
      </w:r>
      <w:r>
        <w:t xml:space="preserve"> religiosity, exaltedness, and </w:t>
      </w:r>
      <w:commentRangeStart w:id="12"/>
      <w:r>
        <w:t>spirit</w:t>
      </w:r>
      <w:commentRangeEnd w:id="12"/>
      <w:r w:rsidR="00AB7CC6">
        <w:rPr>
          <w:rStyle w:val="CommentReference"/>
        </w:rPr>
        <w:commentReference w:id="12"/>
      </w:r>
      <w:r>
        <w:t xml:space="preserve">. Mossinsohn </w:t>
      </w:r>
      <w:r w:rsidR="00AB7CC6">
        <w:t>offers</w:t>
      </w:r>
      <w:r>
        <w:t xml:space="preserve"> a </w:t>
      </w:r>
      <w:r w:rsidR="00AB7CC6">
        <w:t>highly</w:t>
      </w:r>
      <w:r>
        <w:t xml:space="preserve"> prosaic and degrading</w:t>
      </w:r>
      <w:r w:rsidR="005741AD">
        <w:t xml:space="preserve"> interpretation </w:t>
      </w:r>
      <w:r w:rsidR="00AB7CC6">
        <w:t>of</w:t>
      </w:r>
      <w:r w:rsidR="005741AD">
        <w:t xml:space="preserve"> the vitality that death </w:t>
      </w:r>
      <w:r w:rsidR="00AB7CC6">
        <w:t>bestows on</w:t>
      </w:r>
      <w:r w:rsidR="005741AD">
        <w:t xml:space="preserve"> the living-dead, and substitutes it with a materialistic, cynical, and cold depiction that discloses the true </w:t>
      </w:r>
      <w:r w:rsidR="001F0801">
        <w:t>purpose</w:t>
      </w:r>
      <w:r w:rsidR="005741AD">
        <w:t xml:space="preserve"> of those who are exploited in the name of the national</w:t>
      </w:r>
      <w:r w:rsidR="00387542">
        <w:t xml:space="preserve"> </w:t>
      </w:r>
      <w:r w:rsidR="005741AD">
        <w:t xml:space="preserve">collective mission. </w:t>
      </w:r>
    </w:p>
    <w:p w14:paraId="3BA10642" w14:textId="6F7811BC" w:rsidR="00B94B6C" w:rsidRDefault="005741AD" w:rsidP="005741AD">
      <w:pPr>
        <w:ind w:firstLine="0"/>
        <w:contextualSpacing/>
      </w:pPr>
      <w:r>
        <w:tab/>
        <w:t xml:space="preserve">The </w:t>
      </w:r>
      <w:r w:rsidR="001F0801">
        <w:t>adulation</w:t>
      </w:r>
      <w:r>
        <w:t xml:space="preserve"> of death and the dead, as </w:t>
      </w:r>
      <w:r w:rsidR="001F0801">
        <w:t>conveyed in</w:t>
      </w:r>
      <w:r>
        <w:t xml:space="preserve"> the novel, </w:t>
      </w:r>
      <w:r w:rsidR="007F4EB5">
        <w:t xml:space="preserve">yields </w:t>
      </w:r>
      <w:r>
        <w:t>a pagan culture that sanctifies death</w:t>
      </w:r>
      <w:r w:rsidR="00B94B6C">
        <w:t xml:space="preserve">, </w:t>
      </w:r>
      <w:commentRangeStart w:id="13"/>
      <w:r w:rsidR="007F4EB5">
        <w:t>which, quite absurdly, flows</w:t>
      </w:r>
      <w:r w:rsidR="00B94B6C">
        <w:t xml:space="preserve"> in the veins of the social collective</w:t>
      </w:r>
      <w:commentRangeEnd w:id="13"/>
      <w:r w:rsidR="002723FB">
        <w:rPr>
          <w:rStyle w:val="CommentReference"/>
        </w:rPr>
        <w:commentReference w:id="13"/>
      </w:r>
      <w:r w:rsidR="00B94B6C">
        <w:t xml:space="preserve">. </w:t>
      </w:r>
      <w:r w:rsidR="002723FB">
        <w:t>For</w:t>
      </w:r>
      <w:r w:rsidR="00B94B6C">
        <w:t xml:space="preserve"> example, </w:t>
      </w:r>
      <w:r w:rsidR="002723FB">
        <w:t xml:space="preserve">when </w:t>
      </w:r>
      <w:r w:rsidR="00B94B6C">
        <w:t xml:space="preserve">Judas Iscariot </w:t>
      </w:r>
      <w:r w:rsidR="002723FB">
        <w:t>encounters</w:t>
      </w:r>
      <w:r w:rsidR="007D0D21">
        <w:t>,</w:t>
      </w:r>
      <w:r w:rsidR="00B94B6C">
        <w:t xml:space="preserve"> </w:t>
      </w:r>
      <w:r w:rsidR="007D0D21">
        <w:t xml:space="preserve">in Asclepius temple, </w:t>
      </w:r>
      <w:r w:rsidR="00B94B6C">
        <w:t>a sick young man</w:t>
      </w:r>
      <w:r w:rsidR="002723FB" w:rsidRPr="002723FB">
        <w:t xml:space="preserve"> </w:t>
      </w:r>
      <w:r w:rsidR="006725C6">
        <w:t>accompanied by two women</w:t>
      </w:r>
      <w:r w:rsidR="007D0D21">
        <w:t xml:space="preserve"> </w:t>
      </w:r>
      <w:r w:rsidR="005551DC">
        <w:t>with</w:t>
      </w:r>
      <w:r w:rsidR="006725C6">
        <w:t xml:space="preserve"> “a</w:t>
      </w:r>
      <w:r w:rsidR="002723FB">
        <w:t xml:space="preserve"> necklace of human bones” (211)</w:t>
      </w:r>
      <w:r w:rsidR="005551DC">
        <w:t xml:space="preserve"> hanging around his neck:</w:t>
      </w:r>
    </w:p>
    <w:p w14:paraId="63DE6FF3" w14:textId="77777777" w:rsidR="00712F52" w:rsidRDefault="00712F52" w:rsidP="00B94B6C">
      <w:pPr>
        <w:ind w:left="720" w:firstLine="0"/>
      </w:pPr>
    </w:p>
    <w:p w14:paraId="2D2231E0" w14:textId="10B0A609" w:rsidR="00B94B6C" w:rsidRDefault="00B94B6C" w:rsidP="00B94B6C">
      <w:pPr>
        <w:ind w:left="720" w:firstLine="0"/>
      </w:pPr>
      <w:r w:rsidRPr="00235C9A">
        <w:t xml:space="preserve">I approached the women, presenting myself to them simply as one of the many people visiting the temple […] continuing apologetically that I had unintentionally overheard their conversation […]. </w:t>
      </w:r>
      <w:r w:rsidR="00235C9A">
        <w:t>‘</w:t>
      </w:r>
      <w:r w:rsidRPr="00235C9A">
        <w:t>You must first grind the bones of the dead,</w:t>
      </w:r>
      <w:r w:rsidR="00235C9A">
        <w:t>’</w:t>
      </w:r>
      <w:r w:rsidRPr="00235C9A">
        <w:t xml:space="preserve"> I explained, </w:t>
      </w:r>
      <w:r w:rsidR="00235C9A">
        <w:t>‘</w:t>
      </w:r>
      <w:r w:rsidRPr="00235C9A">
        <w:t>grind them into fine dust, and sprinkle this bone dust into water when the moon is full. The one who is afflicted must drink this potion morning, noon and night.</w:t>
      </w:r>
      <w:r w:rsidR="00235C9A">
        <w:t>’</w:t>
      </w:r>
      <w:r w:rsidRPr="00235C9A">
        <w:t xml:space="preserve"> […]. </w:t>
      </w:r>
      <w:r w:rsidR="00235C9A">
        <w:t>‘</w:t>
      </w:r>
      <w:r w:rsidRPr="00235C9A">
        <w:t xml:space="preserve">We have done it, said the woman… […]. </w:t>
      </w:r>
      <w:r w:rsidR="00235C9A">
        <w:t>‘</w:t>
      </w:r>
      <w:r w:rsidRPr="00235C9A">
        <w:t>Naturally, we have already done that.</w:t>
      </w:r>
      <w:r w:rsidR="00235C9A">
        <w:t>’</w:t>
      </w:r>
      <w:r w:rsidRPr="00235C9A">
        <w:t xml:space="preserve"> (ibid) </w:t>
      </w:r>
    </w:p>
    <w:p w14:paraId="0294724F" w14:textId="77777777" w:rsidR="007D0D21" w:rsidRDefault="007D0D21" w:rsidP="00235C9A">
      <w:pPr>
        <w:ind w:firstLine="0"/>
      </w:pPr>
    </w:p>
    <w:p w14:paraId="201668D3" w14:textId="6EC2BCF5" w:rsidR="004966F6" w:rsidRDefault="00235C9A" w:rsidP="006725C6">
      <w:pPr>
        <w:ind w:firstLine="0"/>
      </w:pPr>
      <w:r>
        <w:t>Jesus’s healing miracles</w:t>
      </w:r>
      <w:r w:rsidR="00CB42DE">
        <w:t>, which</w:t>
      </w:r>
      <w:r>
        <w:t xml:space="preserve"> </w:t>
      </w:r>
      <w:r w:rsidR="00CB42DE">
        <w:t>in</w:t>
      </w:r>
      <w:r>
        <w:t xml:space="preserve"> the New Testament</w:t>
      </w:r>
      <w:r w:rsidR="00CB42DE">
        <w:t xml:space="preserve"> </w:t>
      </w:r>
      <w:r>
        <w:t xml:space="preserve">give life to the sick and </w:t>
      </w:r>
      <w:r w:rsidR="00CB42DE">
        <w:t>save</w:t>
      </w:r>
      <w:r>
        <w:t xml:space="preserve"> them from death, are substituted, in Judas Iscariot’s words, with a </w:t>
      </w:r>
      <w:r w:rsidR="00CB42DE">
        <w:t xml:space="preserve">formula </w:t>
      </w:r>
      <w:r w:rsidR="008A537C">
        <w:t xml:space="preserve">of salvation not from death, </w:t>
      </w:r>
      <w:r w:rsidR="00951A37">
        <w:t xml:space="preserve">but </w:t>
      </w:r>
      <w:r w:rsidR="008A537C">
        <w:lastRenderedPageBreak/>
        <w:t xml:space="preserve">rather through </w:t>
      </w:r>
      <w:r>
        <w:t xml:space="preserve">death. This literalization illuminates in a critical light the </w:t>
      </w:r>
      <w:r w:rsidR="004966F6">
        <w:t xml:space="preserve">death rites of the national culture, </w:t>
      </w:r>
      <w:r w:rsidR="00951A37">
        <w:t xml:space="preserve">for </w:t>
      </w:r>
      <w:r w:rsidR="004966F6">
        <w:t xml:space="preserve">which the dead, not the living, become </w:t>
      </w:r>
      <w:r w:rsidR="006725C6">
        <w:t>the</w:t>
      </w:r>
      <w:r w:rsidR="004966F6">
        <w:t xml:space="preserve"> </w:t>
      </w:r>
      <w:r w:rsidR="00951A37">
        <w:t xml:space="preserve">main source of vitality. </w:t>
      </w:r>
    </w:p>
    <w:p w14:paraId="1D2DA727" w14:textId="7373DBE7" w:rsidR="003623F9" w:rsidRDefault="004966F6" w:rsidP="006725C6">
      <w:pPr>
        <w:ind w:firstLine="0"/>
      </w:pPr>
      <w:r>
        <w:tab/>
        <w:t xml:space="preserve">The critical debate on the living-dead </w:t>
      </w:r>
      <w:r w:rsidR="006725C6">
        <w:t>motif in the novel serves as the</w:t>
      </w:r>
      <w:r>
        <w:t xml:space="preserve"> means for a conceptual and challenging exploration of the </w:t>
      </w:r>
      <w:r w:rsidR="00223679">
        <w:t>notion</w:t>
      </w:r>
      <w:r>
        <w:t xml:space="preserve"> of betrayal and its political </w:t>
      </w:r>
      <w:r w:rsidR="002D17BB">
        <w:t>ramifications</w:t>
      </w:r>
      <w:r>
        <w:t>.</w:t>
      </w:r>
      <w:r w:rsidR="002D17BB">
        <w:t xml:space="preserve"> </w:t>
      </w:r>
      <w:r w:rsidR="00E208A2">
        <w:t xml:space="preserve">Interestingly, </w:t>
      </w:r>
      <w:r w:rsidR="002D17BB">
        <w:t>Judas Iscariot’s betrayal—that is</w:t>
      </w:r>
      <w:r w:rsidR="00223679">
        <w:t>,</w:t>
      </w:r>
      <w:r w:rsidR="002D17BB">
        <w:t xml:space="preserve"> his turning in of Jesus—is described in the novel as </w:t>
      </w:r>
      <w:commentRangeStart w:id="14"/>
      <w:r w:rsidR="002D17BB">
        <w:t xml:space="preserve">the </w:t>
      </w:r>
      <w:r w:rsidR="00E208A2">
        <w:t>other side</w:t>
      </w:r>
      <w:r w:rsidR="002D17BB">
        <w:t xml:space="preserve"> of </w:t>
      </w:r>
      <w:commentRangeEnd w:id="14"/>
      <w:r w:rsidR="00E208A2">
        <w:rPr>
          <w:rStyle w:val="CommentReference"/>
        </w:rPr>
        <w:commentReference w:id="14"/>
      </w:r>
      <w:r w:rsidR="002D17BB">
        <w:t xml:space="preserve">loyalty, and encourages a critical interrogation of the absurd juxtaposition that the national culture </w:t>
      </w:r>
      <w:r w:rsidR="00E208A2">
        <w:t>forms</w:t>
      </w:r>
      <w:r w:rsidR="002D17BB">
        <w:t xml:space="preserve"> between the two. An example of this type </w:t>
      </w:r>
      <w:r w:rsidR="00A502A9">
        <w:t xml:space="preserve">of </w:t>
      </w:r>
      <w:r w:rsidR="002D17BB">
        <w:t xml:space="preserve">coupling </w:t>
      </w:r>
      <w:r w:rsidR="00A502A9">
        <w:t>arises from</w:t>
      </w:r>
      <w:r w:rsidR="002D17BB">
        <w:t xml:space="preserve"> </w:t>
      </w:r>
      <w:r w:rsidR="004647D1">
        <w:t xml:space="preserve">another </w:t>
      </w:r>
      <w:r w:rsidR="00A502A9">
        <w:t xml:space="preserve">familiar employment of the </w:t>
      </w:r>
      <w:r w:rsidR="004647D1">
        <w:t xml:space="preserve">living-dead figure, this time in Haim </w:t>
      </w:r>
      <w:proofErr w:type="spellStart"/>
      <w:r w:rsidR="004647D1">
        <w:t>Guri’s</w:t>
      </w:r>
      <w:proofErr w:type="spellEnd"/>
      <w:r w:rsidR="004647D1">
        <w:t xml:space="preserve"> poem </w:t>
      </w:r>
      <w:r w:rsidR="004647D1" w:rsidRPr="004647D1">
        <w:rPr>
          <w:i/>
          <w:iCs/>
        </w:rPr>
        <w:t>Here Our Bodies Lie</w:t>
      </w:r>
      <w:r w:rsidR="004647D1">
        <w:t>.</w:t>
      </w:r>
      <w:r w:rsidR="004647D1">
        <w:rPr>
          <w:rStyle w:val="FootnoteReference"/>
        </w:rPr>
        <w:footnoteReference w:id="28"/>
      </w:r>
      <w:r w:rsidR="004647D1">
        <w:t xml:space="preserve"> In th</w:t>
      </w:r>
      <w:r w:rsidR="00A502A9">
        <w:t>is</w:t>
      </w:r>
      <w:r w:rsidR="004647D1">
        <w:t xml:space="preserve"> poem, which was written in memory of Danny Mass and his platoon, the speakers, dead soldiers, are called upon to </w:t>
      </w:r>
      <w:r w:rsidR="009530BE">
        <w:t xml:space="preserve">free </w:t>
      </w:r>
      <w:r w:rsidR="004647D1">
        <w:t xml:space="preserve">themselves </w:t>
      </w:r>
      <w:r w:rsidR="009530BE">
        <w:t>from</w:t>
      </w:r>
      <w:r w:rsidR="004647D1">
        <w:t xml:space="preserve"> guilt </w:t>
      </w:r>
      <w:r w:rsidR="00A92054">
        <w:t>and clarify that their deaths in battle w</w:t>
      </w:r>
      <w:r w:rsidR="009530BE">
        <w:t>ere</w:t>
      </w:r>
      <w:r w:rsidR="00A92054">
        <w:t xml:space="preserve"> part of a heroic struggle</w:t>
      </w:r>
      <w:r w:rsidR="009530BE">
        <w:t xml:space="preserve">; that they </w:t>
      </w:r>
      <w:r w:rsidR="008D2488">
        <w:t>were not led as</w:t>
      </w:r>
      <w:r w:rsidR="00A92054">
        <w:t xml:space="preserve"> innocent flock to slaughter. This purification </w:t>
      </w:r>
      <w:r w:rsidR="008D2488">
        <w:t xml:space="preserve">is performed </w:t>
      </w:r>
      <w:r w:rsidR="00A92054">
        <w:t>by way of the</w:t>
      </w:r>
      <w:r w:rsidR="004F3B31">
        <w:t xml:space="preserve">ir </w:t>
      </w:r>
      <w:r w:rsidR="008D2488">
        <w:t>reciting</w:t>
      </w:r>
      <w:r w:rsidR="004F3B31">
        <w:t xml:space="preserve"> the words </w:t>
      </w:r>
      <w:r w:rsidR="006B3E30">
        <w:t>“</w:t>
      </w:r>
      <w:r w:rsidR="006B3E30" w:rsidRPr="00B359B6">
        <w:t>We did not betray. Look, our weapons are held close emptied of bullets, our pouches empty”</w:t>
      </w:r>
      <w:r w:rsidR="006B3E30">
        <w:t xml:space="preserve"> </w:t>
      </w:r>
      <w:r w:rsidR="00B359B6">
        <w:t xml:space="preserve">(my translation). </w:t>
      </w:r>
      <w:r w:rsidR="006B3E30">
        <w:t xml:space="preserve">The absolute loyalty of those who died to protect the homeland still necessitates, in </w:t>
      </w:r>
      <w:proofErr w:type="spellStart"/>
      <w:r w:rsidR="006B3E30">
        <w:t>Guri’s</w:t>
      </w:r>
      <w:proofErr w:type="spellEnd"/>
      <w:r w:rsidR="006B3E30">
        <w:t xml:space="preserve"> poem, </w:t>
      </w:r>
      <w:r w:rsidR="00DB14C6">
        <w:t xml:space="preserve">the self-absolution for </w:t>
      </w:r>
      <w:r w:rsidR="000B40BC">
        <w:t xml:space="preserve">what may appear as betrayal </w:t>
      </w:r>
      <w:r w:rsidR="006B3E30">
        <w:t xml:space="preserve">and what may </w:t>
      </w:r>
      <w:r w:rsidR="000B40BC">
        <w:t>be perceived as</w:t>
      </w:r>
      <w:r w:rsidR="006B3E30">
        <w:t xml:space="preserve"> a </w:t>
      </w:r>
      <w:r w:rsidR="00885E47">
        <w:t>display of passive death.</w:t>
      </w:r>
      <w:r w:rsidR="003A4783">
        <w:t xml:space="preserve"> </w:t>
      </w:r>
      <w:r w:rsidR="0057474A">
        <w:t xml:space="preserve">Mossinsohn proposes a similar </w:t>
      </w:r>
      <w:r w:rsidR="00C74705">
        <w:t>coupling</w:t>
      </w:r>
      <w:r w:rsidR="0057474A">
        <w:t xml:space="preserve"> of loyalty and betrayal</w:t>
      </w:r>
      <w:r w:rsidR="00C74705">
        <w:t xml:space="preserve"> in his novel</w:t>
      </w:r>
      <w:r w:rsidR="003A4783">
        <w:t>,</w:t>
      </w:r>
      <w:r w:rsidR="006F3631">
        <w:t xml:space="preserve"> however </w:t>
      </w:r>
      <w:r w:rsidR="003A4783">
        <w:t xml:space="preserve">from the standpoint of an attempt </w:t>
      </w:r>
      <w:r w:rsidR="0057474A">
        <w:t xml:space="preserve">to </w:t>
      </w:r>
      <w:r w:rsidR="003A4783">
        <w:t>articulate, in critical terms,</w:t>
      </w:r>
      <w:r w:rsidR="0057474A">
        <w:t xml:space="preserve"> the paradoxical and impossible proximity that the national discourse generates </w:t>
      </w:r>
      <w:r w:rsidR="00C74705">
        <w:t>in regard to</w:t>
      </w:r>
      <w:r w:rsidR="0057474A">
        <w:t xml:space="preserve"> </w:t>
      </w:r>
      <w:r w:rsidR="00E73691">
        <w:t>betrayal and loyalty</w:t>
      </w:r>
      <w:r w:rsidR="0057474A">
        <w:t>. Not only are Judas Iscariot and Jesus presented as those betrayed by the nation’s symbolic fathers—Bara</w:t>
      </w:r>
      <w:r w:rsidR="00291A87">
        <w:t>b</w:t>
      </w:r>
      <w:r w:rsidR="0057474A">
        <w:t>bas, commander of the Jewish underground</w:t>
      </w:r>
      <w:r w:rsidR="00E73691">
        <w:t>,</w:t>
      </w:r>
      <w:r w:rsidR="0057474A">
        <w:t xml:space="preserve"> and And</w:t>
      </w:r>
      <w:r w:rsidR="003623F9">
        <w:t xml:space="preserve">igones, the wise sage who is revealed </w:t>
      </w:r>
      <w:r w:rsidR="006725C6">
        <w:t>to be</w:t>
      </w:r>
      <w:r w:rsidR="003623F9">
        <w:t xml:space="preserve"> a covert government agent—but</w:t>
      </w:r>
      <w:r w:rsidR="00E73691">
        <w:t xml:space="preserve">, at least </w:t>
      </w:r>
      <w:r w:rsidR="003623F9">
        <w:t>in Judas</w:t>
      </w:r>
      <w:r w:rsidR="00E73691">
        <w:t>’s</w:t>
      </w:r>
      <w:r w:rsidR="003623F9">
        <w:t xml:space="preserve"> case, the betrayal is the consequence of absolute loyalty.</w:t>
      </w:r>
    </w:p>
    <w:p w14:paraId="08F9A9A9" w14:textId="64F1D906" w:rsidR="009A1CFF" w:rsidRDefault="009A1CFF" w:rsidP="00235C9A">
      <w:pPr>
        <w:ind w:firstLine="0"/>
      </w:pPr>
      <w:r>
        <w:lastRenderedPageBreak/>
        <w:tab/>
        <w:t xml:space="preserve">Similar to </w:t>
      </w:r>
      <w:r w:rsidR="00CB2388">
        <w:t xml:space="preserve">the </w:t>
      </w:r>
      <w:r w:rsidR="00D54C24">
        <w:t>lost gnostic Gospel of Judas</w:t>
      </w:r>
      <w:r w:rsidR="00400AFC">
        <w:t>, in the novel</w:t>
      </w:r>
      <w:r w:rsidR="006725C6">
        <w:t>,</w:t>
      </w:r>
      <w:r w:rsidR="00400AFC">
        <w:t xml:space="preserve"> Judas</w:t>
      </w:r>
      <w:r w:rsidR="00D54C24">
        <w:t xml:space="preserve">’s betrayal </w:t>
      </w:r>
      <w:r w:rsidR="00400AFC">
        <w:t xml:space="preserve">is presented as </w:t>
      </w:r>
      <w:r w:rsidR="00D54C24">
        <w:t>motivated by</w:t>
      </w:r>
      <w:r w:rsidR="00400AFC">
        <w:t xml:space="preserve"> total </w:t>
      </w:r>
      <w:r w:rsidR="00D12861">
        <w:t>devotion</w:t>
      </w:r>
      <w:r w:rsidR="00400AFC">
        <w:t xml:space="preserve">, </w:t>
      </w:r>
      <w:r w:rsidR="00D12861">
        <w:t>however</w:t>
      </w:r>
      <w:r w:rsidR="00400AFC">
        <w:t xml:space="preserve"> in this case, </w:t>
      </w:r>
      <w:r w:rsidR="00D12861">
        <w:t xml:space="preserve">his devotion is not </w:t>
      </w:r>
      <w:r w:rsidR="00400AFC">
        <w:t>to Jesus, but to his commander Bar</w:t>
      </w:r>
      <w:r w:rsidR="001F217D">
        <w:t>a</w:t>
      </w:r>
      <w:r w:rsidR="00291A87">
        <w:t>b</w:t>
      </w:r>
      <w:r w:rsidR="001F217D">
        <w:t xml:space="preserve">bas, who </w:t>
      </w:r>
      <w:r w:rsidR="00D12861">
        <w:t>entrusted</w:t>
      </w:r>
      <w:r w:rsidR="001F217D">
        <w:t xml:space="preserve"> him </w:t>
      </w:r>
      <w:r w:rsidR="00D12861">
        <w:t>with</w:t>
      </w:r>
      <w:r w:rsidR="001F217D">
        <w:t xml:space="preserve"> the mission. Judas Iscariot’s betrayal is </w:t>
      </w:r>
      <w:r w:rsidR="00F72845">
        <w:t>constituted</w:t>
      </w:r>
      <w:r w:rsidR="001F217D">
        <w:t xml:space="preserve">, therefore, in the fact that he was a </w:t>
      </w:r>
      <w:r w:rsidR="00CB2388">
        <w:t>“</w:t>
      </w:r>
      <w:r w:rsidR="001F217D">
        <w:t>too-good</w:t>
      </w:r>
      <w:r w:rsidR="00CB2388">
        <w:t>”</w:t>
      </w:r>
      <w:r w:rsidR="001F217D">
        <w:t xml:space="preserve"> underground fighter who demonstrated absolute loyalty to his commander and </w:t>
      </w:r>
      <w:r w:rsidR="00F72845">
        <w:t xml:space="preserve">who followed orders </w:t>
      </w:r>
      <w:r w:rsidR="006725C6">
        <w:t>without hesitation</w:t>
      </w:r>
      <w:r w:rsidR="001F217D">
        <w:t xml:space="preserve"> or doubt. Judas Iscariot’s betrayal </w:t>
      </w:r>
      <w:r w:rsidR="00276E94">
        <w:t>indeed stems from his being a product of over-identif</w:t>
      </w:r>
      <w:r w:rsidR="00CB2388">
        <w:t>ication</w:t>
      </w:r>
      <w:r w:rsidR="00276E94">
        <w:t xml:space="preserve"> with the ideological mechanisms of the national system: “He ordered me to turn Jesus over to the authorities; and I obeyed. I was a soldier of the underground and not a garrulous Pharisee” (161). Thus, while the living-dead in Haim </w:t>
      </w:r>
      <w:proofErr w:type="spellStart"/>
      <w:r w:rsidR="00276E94">
        <w:t>Guri’s</w:t>
      </w:r>
      <w:proofErr w:type="spellEnd"/>
      <w:r w:rsidR="00276E94">
        <w:t xml:space="preserve"> poem eliminate any doubt pertaining to their betray</w:t>
      </w:r>
      <w:r w:rsidR="008272B3">
        <w:t xml:space="preserve">al of </w:t>
      </w:r>
      <w:r w:rsidR="00276E94">
        <w:t xml:space="preserve">the nation, </w:t>
      </w:r>
      <w:r w:rsidR="008272B3">
        <w:t xml:space="preserve">from Judas Iscariot’s viewpoint </w:t>
      </w:r>
      <w:r w:rsidR="00276E94">
        <w:t>in Mossinsohn’s novel, the nation, or its representatives, are those who betray the living-dead:</w:t>
      </w:r>
    </w:p>
    <w:p w14:paraId="27B0BFC1" w14:textId="77777777" w:rsidR="00276E94" w:rsidRDefault="00276E94" w:rsidP="00276E94">
      <w:pPr>
        <w:spacing w:line="240" w:lineRule="auto"/>
        <w:jc w:val="both"/>
        <w:rPr>
          <w:rFonts w:asciiTheme="minorBidi" w:hAnsiTheme="minorBidi"/>
          <w:spacing w:val="4"/>
          <w:w w:val="99"/>
        </w:rPr>
      </w:pPr>
      <w:r>
        <w:tab/>
      </w:r>
    </w:p>
    <w:p w14:paraId="42B921E9" w14:textId="210C8D40" w:rsidR="00276E94" w:rsidRDefault="00276E94" w:rsidP="00276E94">
      <w:pPr>
        <w:ind w:left="720" w:firstLine="0"/>
      </w:pPr>
      <w:r w:rsidRPr="00694B00">
        <w:t>But my commander surrounded me with guile and deceit. He had no particular reason for sending me to point out Jesus. […]. The lot fell upon me because I acted like a loyal, devoted dog. I possessed no unusual power or perception. My one asset lay in the fact that I was loyal to Barabbas […]I was an ordinary soldier […]</w:t>
      </w:r>
      <w:r w:rsidR="008272B3">
        <w:t xml:space="preserve"> </w:t>
      </w:r>
      <w:r w:rsidRPr="00694B00">
        <w:t>Barabbas was in charge of the revolt, and it is not normal for a soldier to question the orders of the chief commander</w:t>
      </w:r>
      <w:r w:rsidR="00460541">
        <w:t xml:space="preserve"> </w:t>
      </w:r>
      <w:r w:rsidRPr="00694B00">
        <w:t>[…]</w:t>
      </w:r>
      <w:r w:rsidR="00460541">
        <w:t xml:space="preserve"> </w:t>
      </w:r>
      <w:r w:rsidRPr="00694B00">
        <w:t>Had I known that it was Jesus' wish to be crucified […] I would have refused to carry out the order. (188-189)</w:t>
      </w:r>
    </w:p>
    <w:p w14:paraId="226B1302" w14:textId="00C4F0F2" w:rsidR="00694B00" w:rsidRDefault="00694B00" w:rsidP="00694B00">
      <w:pPr>
        <w:ind w:firstLine="0"/>
      </w:pPr>
    </w:p>
    <w:p w14:paraId="1E5C36C1" w14:textId="58B62897" w:rsidR="00694B00" w:rsidRDefault="00694B00" w:rsidP="006725C6">
      <w:pPr>
        <w:ind w:firstLine="0"/>
      </w:pPr>
      <w:r>
        <w:t xml:space="preserve">Judas Iscariot’s only fault is that he demonstrated unwavering and blind loyalty, which not only led him to betray Jesus, but which </w:t>
      </w:r>
      <w:r w:rsidR="000B32FB">
        <w:t>eventually also</w:t>
      </w:r>
      <w:r>
        <w:t xml:space="preserve"> </w:t>
      </w:r>
      <w:r w:rsidR="006725C6">
        <w:t xml:space="preserve">caused </w:t>
      </w:r>
      <w:r>
        <w:t xml:space="preserve">his own death. He was mistaken when he internalized beyond measure </w:t>
      </w:r>
      <w:r w:rsidR="00291A87">
        <w:t xml:space="preserve">the </w:t>
      </w:r>
      <w:r w:rsidR="000B32FB">
        <w:t>rational underpinning of</w:t>
      </w:r>
      <w:r w:rsidR="00291A87">
        <w:t xml:space="preserve"> the “</w:t>
      </w:r>
      <w:r w:rsidR="006725C6">
        <w:t>saint</w:t>
      </w:r>
      <w:r w:rsidR="000B32FB">
        <w:t xml:space="preserve"> industry</w:t>
      </w:r>
      <w:r w:rsidR="00291A87">
        <w:t>,”</w:t>
      </w:r>
      <w:r w:rsidR="000B32FB">
        <w:t xml:space="preserve"> that is,</w:t>
      </w:r>
      <w:r w:rsidR="00291A87">
        <w:t xml:space="preserve"> the </w:t>
      </w:r>
      <w:r w:rsidR="000B32FB">
        <w:t xml:space="preserve">notion of the </w:t>
      </w:r>
      <w:r w:rsidR="00291A87">
        <w:t xml:space="preserve">living-dead: “I found myself in a silly, absurd situation, and I enjoyed thinking </w:t>
      </w:r>
      <w:r w:rsidR="00291A87">
        <w:lastRenderedPageBreak/>
        <w:t xml:space="preserve">about the desire of that bastard, Andigones, to make me that saint of Garamus” (199). </w:t>
      </w:r>
      <w:r w:rsidR="00630C97">
        <w:t xml:space="preserve">The internalization of this necessity to become a saint </w:t>
      </w:r>
      <w:r w:rsidR="00D540C0">
        <w:t>reaches absurdity</w:t>
      </w:r>
      <w:r w:rsidR="00630C97">
        <w:t xml:space="preserve"> in Judas</w:t>
      </w:r>
      <w:r w:rsidR="00D540C0">
        <w:t xml:space="preserve">’s </w:t>
      </w:r>
      <w:r w:rsidR="00630C97">
        <w:t xml:space="preserve">willingness to die </w:t>
      </w:r>
      <w:r w:rsidR="00D540C0">
        <w:t xml:space="preserve">on account of his </w:t>
      </w:r>
      <w:r w:rsidR="00630C97">
        <w:t xml:space="preserve">loyalty to the collective and his unwillingness to disappoint it: </w:t>
      </w:r>
    </w:p>
    <w:p w14:paraId="0FF976D5" w14:textId="77777777" w:rsidR="00630C97" w:rsidRDefault="00630C97" w:rsidP="00694B00">
      <w:pPr>
        <w:ind w:firstLine="0"/>
      </w:pPr>
    </w:p>
    <w:p w14:paraId="722CCD5B" w14:textId="60EC5716" w:rsidR="00630C97" w:rsidRDefault="00630C97" w:rsidP="005359CE">
      <w:pPr>
        <w:ind w:left="720" w:firstLine="0"/>
      </w:pPr>
      <w:r w:rsidRPr="00630C97">
        <w:t xml:space="preserve">Since it makes no difference whether they put me to death for one crime or for many crimes, I have followed </w:t>
      </w:r>
      <w:proofErr w:type="spellStart"/>
      <w:r w:rsidRPr="00630C97">
        <w:t>Antigones</w:t>
      </w:r>
      <w:proofErr w:type="spellEnd"/>
      <w:r>
        <w:t>’</w:t>
      </w:r>
      <w:r w:rsidRPr="00630C97">
        <w:t xml:space="preserve"> advice, confessing to as many crimes as possible. I have taken all the sins of the holly community of Garamus upon myself. I had no other choice. The hairy wood cravers of Andigones would have labored for </w:t>
      </w:r>
      <w:r w:rsidR="00D540C0" w:rsidRPr="00630C97">
        <w:t>naught</w:t>
      </w:r>
      <w:r w:rsidRPr="00630C97">
        <w:t xml:space="preserve"> if I were not to be crucified. And they worked hard from sunrise to sunset […]. To disappoint them would have been out of the question […]</w:t>
      </w:r>
      <w:r w:rsidR="00D540C0">
        <w:t xml:space="preserve"> </w:t>
      </w:r>
      <w:r w:rsidRPr="00630C97">
        <w:t xml:space="preserve">If I were to go free, all their toil would have been in vain. (289) </w:t>
      </w:r>
    </w:p>
    <w:p w14:paraId="3FD6A2B1" w14:textId="77777777" w:rsidR="009E49CC" w:rsidRDefault="009E49CC" w:rsidP="005359CE">
      <w:pPr>
        <w:ind w:left="720" w:firstLine="0"/>
      </w:pPr>
    </w:p>
    <w:p w14:paraId="3856A987" w14:textId="22A0A8DC" w:rsidR="00630C97" w:rsidRDefault="00222F30" w:rsidP="000A5D05">
      <w:pPr>
        <w:ind w:firstLine="0"/>
      </w:pPr>
      <w:r>
        <w:t xml:space="preserve">The figure of the living-dead, which was </w:t>
      </w:r>
      <w:r w:rsidR="001A0388">
        <w:t>formulated</w:t>
      </w:r>
      <w:r>
        <w:t xml:space="preserve"> to rouse motivation </w:t>
      </w:r>
      <w:r w:rsidR="00016629">
        <w:t xml:space="preserve">for </w:t>
      </w:r>
      <w:r>
        <w:t xml:space="preserve">and </w:t>
      </w:r>
      <w:r w:rsidR="006725C6">
        <w:t>the desire for</w:t>
      </w:r>
      <w:r w:rsidR="00016629">
        <w:t xml:space="preserve"> self-</w:t>
      </w:r>
      <w:r>
        <w:t xml:space="preserve">sacrifice </w:t>
      </w:r>
      <w:r w:rsidR="006725C6">
        <w:t>on behalf of</w:t>
      </w:r>
      <w:r w:rsidR="00016629">
        <w:t xml:space="preserve"> the</w:t>
      </w:r>
      <w:r>
        <w:t xml:space="preserve"> nation, is based on </w:t>
      </w:r>
      <w:r w:rsidR="00016629">
        <w:t xml:space="preserve">the </w:t>
      </w:r>
      <w:r w:rsidR="006725C6">
        <w:t xml:space="preserve">framing </w:t>
      </w:r>
      <w:r w:rsidR="00016629">
        <w:t xml:space="preserve">of </w:t>
      </w:r>
      <w:r>
        <w:t xml:space="preserve">death </w:t>
      </w:r>
      <w:r w:rsidRPr="00016629">
        <w:t>an object</w:t>
      </w:r>
      <w:r>
        <w:t xml:space="preserve"> of fascination and </w:t>
      </w:r>
      <w:r w:rsidR="005359CE">
        <w:t xml:space="preserve">on </w:t>
      </w:r>
      <w:r>
        <w:t xml:space="preserve">its </w:t>
      </w:r>
      <w:r w:rsidR="00016629">
        <w:t xml:space="preserve">presentation </w:t>
      </w:r>
      <w:r>
        <w:t xml:space="preserve">as </w:t>
      </w:r>
      <w:r w:rsidR="005359CE">
        <w:t xml:space="preserve">a beautiful, sublime </w:t>
      </w:r>
      <w:r w:rsidR="006725C6">
        <w:t xml:space="preserve">aesthetic </w:t>
      </w:r>
      <w:r w:rsidR="005359CE">
        <w:t xml:space="preserve">figure. In the novel, </w:t>
      </w:r>
      <w:proofErr w:type="spellStart"/>
      <w:r w:rsidR="005359CE">
        <w:t>Mossinsohn</w:t>
      </w:r>
      <w:proofErr w:type="spellEnd"/>
      <w:r w:rsidR="005359CE">
        <w:t xml:space="preserve"> describes the </w:t>
      </w:r>
      <w:proofErr w:type="spellStart"/>
      <w:r w:rsidR="00664577">
        <w:t>a</w:t>
      </w:r>
      <w:r w:rsidR="00664577" w:rsidRPr="00664577">
        <w:t>estheticization</w:t>
      </w:r>
      <w:proofErr w:type="spellEnd"/>
      <w:r w:rsidR="00EB517B">
        <w:t xml:space="preserve"> of death </w:t>
      </w:r>
      <w:r w:rsidR="005359CE">
        <w:t xml:space="preserve">and the sense of </w:t>
      </w:r>
      <w:r w:rsidR="00EB517B">
        <w:t xml:space="preserve">spiritual elevation experienced by those </w:t>
      </w:r>
      <w:r w:rsidR="00664577">
        <w:t>hungry</w:t>
      </w:r>
      <w:r w:rsidR="00EB517B">
        <w:t xml:space="preserve"> for </w:t>
      </w:r>
      <w:r w:rsidR="00664577">
        <w:t>murder</w:t>
      </w:r>
      <w:r w:rsidR="00EB517B">
        <w:t xml:space="preserve"> in his description of the Romans and Persians who were “concerned not with the ground but with the art of </w:t>
      </w:r>
      <w:r w:rsidR="000700CA">
        <w:t xml:space="preserve">performing the execution” (5). The image of Jesus himself, the sacred living-dead, is </w:t>
      </w:r>
      <w:r w:rsidR="00DB082D">
        <w:t>depicted</w:t>
      </w:r>
      <w:r w:rsidR="000700CA">
        <w:t xml:space="preserve"> in a manner that subverts </w:t>
      </w:r>
      <w:r w:rsidR="007417DF">
        <w:t>the</w:t>
      </w:r>
      <w:r w:rsidR="00664577">
        <w:t xml:space="preserve"> glorification of death and abstains </w:t>
      </w:r>
      <w:r w:rsidR="007417DF">
        <w:t xml:space="preserve">from presenting it in </w:t>
      </w:r>
      <w:r w:rsidR="00664577">
        <w:t>coarse</w:t>
      </w:r>
      <w:r w:rsidR="007417DF">
        <w:t xml:space="preserve"> physical form. While the physical portrayal of Jesus’s crucifixion in the New Testament is mainly subtle and understated, </w:t>
      </w:r>
      <w:r w:rsidR="00FA006B">
        <w:t>thereby</w:t>
      </w:r>
      <w:r w:rsidR="007417DF">
        <w:t xml:space="preserve"> facilitat</w:t>
      </w:r>
      <w:r w:rsidR="00FA006B">
        <w:t>ing</w:t>
      </w:r>
      <w:r w:rsidR="007417DF">
        <w:t xml:space="preserve"> the glorification of his </w:t>
      </w:r>
      <w:r w:rsidR="007417DF">
        <w:lastRenderedPageBreak/>
        <w:t xml:space="preserve">image and </w:t>
      </w:r>
      <w:r w:rsidR="00FA006B">
        <w:t>highlighting</w:t>
      </w:r>
      <w:r w:rsidR="007417DF">
        <w:t xml:space="preserve"> his </w:t>
      </w:r>
      <w:r w:rsidR="005960EB">
        <w:t>sacred attributes,</w:t>
      </w:r>
      <w:r w:rsidR="005960EB">
        <w:rPr>
          <w:rStyle w:val="FootnoteReference"/>
        </w:rPr>
        <w:footnoteReference w:id="29"/>
      </w:r>
      <w:r w:rsidR="005960EB">
        <w:t xml:space="preserve"> Mossinsohn’s depiction replaces the celebration of death with </w:t>
      </w:r>
      <w:r w:rsidR="000A5D05">
        <w:t>a debased, graphic description</w:t>
      </w:r>
      <w:r w:rsidR="005960EB">
        <w:t xml:space="preserve">: Jesus is portrayed as dying a death “bereft of beauty—only flies [...] There were green-winged, fat flies, large as locusts. They have been reared on the meals which the rulers offer them daily. And there were flies which you could not see, </w:t>
      </w:r>
      <w:proofErr w:type="spellStart"/>
      <w:r w:rsidR="005960EB" w:rsidRPr="00CA4232">
        <w:rPr>
          <w:i/>
          <w:iCs/>
        </w:rPr>
        <w:t>barchash</w:t>
      </w:r>
      <w:proofErr w:type="spellEnd"/>
      <w:r w:rsidR="005960EB">
        <w:t xml:space="preserve"> flies which enter the nostrils, the ears [...]” (190).</w:t>
      </w:r>
      <w:r w:rsidR="00CA4232">
        <w:t xml:space="preserve"> This tangible and contemptable description seems</w:t>
      </w:r>
      <w:r w:rsidR="00FA006B">
        <w:t>,</w:t>
      </w:r>
      <w:r w:rsidR="00CA4232">
        <w:t xml:space="preserve"> therefore</w:t>
      </w:r>
      <w:r w:rsidR="00FA006B">
        <w:t>,</w:t>
      </w:r>
      <w:r w:rsidR="00CA4232">
        <w:t xml:space="preserve"> to </w:t>
      </w:r>
      <w:r w:rsidR="00FA006B">
        <w:t>constitute</w:t>
      </w:r>
      <w:r w:rsidR="00CA4232">
        <w:t xml:space="preserve"> a </w:t>
      </w:r>
      <w:r w:rsidR="00FA006B">
        <w:t>distinctive</w:t>
      </w:r>
      <w:r w:rsidR="00CA4232">
        <w:t xml:space="preserve"> contrast to the </w:t>
      </w:r>
      <w:r w:rsidR="000A5D05">
        <w:t>softened</w:t>
      </w:r>
      <w:r w:rsidR="00CA4232">
        <w:t xml:space="preserve"> </w:t>
      </w:r>
      <w:r w:rsidR="00E67592">
        <w:t xml:space="preserve">portrayals of death </w:t>
      </w:r>
      <w:r w:rsidR="00E92C79">
        <w:t>i</w:t>
      </w:r>
      <w:r w:rsidR="00E67592">
        <w:t xml:space="preserve">n </w:t>
      </w:r>
      <w:proofErr w:type="spellStart"/>
      <w:r w:rsidR="00E67592">
        <w:t>Alterman</w:t>
      </w:r>
      <w:proofErr w:type="spellEnd"/>
      <w:r w:rsidR="00E67592">
        <w:t xml:space="preserve"> and </w:t>
      </w:r>
      <w:proofErr w:type="spellStart"/>
      <w:r w:rsidR="00E67592">
        <w:t>Guri’s</w:t>
      </w:r>
      <w:proofErr w:type="spellEnd"/>
      <w:r w:rsidR="00E67592">
        <w:t xml:space="preserve"> poems. By underscoring the materiality </w:t>
      </w:r>
      <w:r w:rsidR="000A5D05">
        <w:t>of</w:t>
      </w:r>
      <w:r w:rsidR="00E67592">
        <w:t xml:space="preserve"> </w:t>
      </w:r>
      <w:r w:rsidR="00E92C79">
        <w:t xml:space="preserve">Jesus’s </w:t>
      </w:r>
      <w:r w:rsidR="00E67592">
        <w:t xml:space="preserve">death, Mossinsohn not only undermines </w:t>
      </w:r>
      <w:r w:rsidR="00E67592" w:rsidRPr="00E92C79">
        <w:t>the aestheticization of</w:t>
      </w:r>
      <w:r w:rsidR="00E67592">
        <w:t xml:space="preserve"> death itself, but also underscores its finality and subverts the very attempt, embodie</w:t>
      </w:r>
      <w:r w:rsidR="0083588B">
        <w:t>d</w:t>
      </w:r>
      <w:r w:rsidR="00E67592">
        <w:t xml:space="preserve"> in the living-dead </w:t>
      </w:r>
      <w:r w:rsidR="000A5D05">
        <w:t>Jesus</w:t>
      </w:r>
      <w:r w:rsidR="00E67592">
        <w:t xml:space="preserve"> </w:t>
      </w:r>
      <w:r w:rsidR="000E4953">
        <w:t xml:space="preserve">figure, to </w:t>
      </w:r>
      <w:r w:rsidR="00BD178F">
        <w:t>link</w:t>
      </w:r>
      <w:r w:rsidR="0083588B">
        <w:t xml:space="preserve"> </w:t>
      </w:r>
      <w:r w:rsidR="000E4953">
        <w:t>this death</w:t>
      </w:r>
      <w:r w:rsidR="00CA4232">
        <w:t xml:space="preserve"> </w:t>
      </w:r>
      <w:r w:rsidR="00BD178F">
        <w:t>to</w:t>
      </w:r>
      <w:r w:rsidR="00437C4C">
        <w:t xml:space="preserve"> </w:t>
      </w:r>
      <w:r w:rsidR="005B2FF1">
        <w:t>a</w:t>
      </w:r>
      <w:r w:rsidR="000E4953">
        <w:t xml:space="preserve"> </w:t>
      </w:r>
      <w:r w:rsidR="00437C4C">
        <w:t xml:space="preserve">future </w:t>
      </w:r>
      <w:r w:rsidR="000E4953">
        <w:t xml:space="preserve">transcendental existence. </w:t>
      </w:r>
    </w:p>
    <w:p w14:paraId="15075B93" w14:textId="1E1AEA40" w:rsidR="00FA00BA" w:rsidRDefault="000E4953" w:rsidP="000A5D05">
      <w:pPr>
        <w:ind w:firstLine="0"/>
      </w:pPr>
      <w:r>
        <w:tab/>
        <w:t xml:space="preserve">Mossinsohn’s use of the living-dead figure in the novel should be considered from a wider perspective, one that scrutinizes </w:t>
      </w:r>
      <w:r w:rsidR="005C026A">
        <w:t>its</w:t>
      </w:r>
      <w:r>
        <w:t xml:space="preserve"> earlier dialectic manifestations in</w:t>
      </w:r>
      <w:r w:rsidR="005C026A">
        <w:t xml:space="preserve"> Jewish-national thought.</w:t>
      </w:r>
      <w:r w:rsidR="00A1043E">
        <w:t xml:space="preserve"> </w:t>
      </w:r>
      <w:r w:rsidR="00A86D4C">
        <w:t xml:space="preserve">Before </w:t>
      </w:r>
      <w:r w:rsidR="007F72C5">
        <w:t>representing</w:t>
      </w:r>
      <w:r w:rsidR="00B94F59">
        <w:t xml:space="preserve"> a</w:t>
      </w:r>
      <w:r w:rsidR="007F72C5">
        <w:t xml:space="preserve">n </w:t>
      </w:r>
      <w:r w:rsidR="0035422C">
        <w:t>apt</w:t>
      </w:r>
      <w:r w:rsidR="007F72C5">
        <w:t xml:space="preserve"> </w:t>
      </w:r>
      <w:r w:rsidR="00B94F59">
        <w:t xml:space="preserve">subjectivity in the Israeli national discourse, the living-dead </w:t>
      </w:r>
      <w:r w:rsidR="0035422C">
        <w:t>was a liminal figure that served as evidence of</w:t>
      </w:r>
      <w:r w:rsidR="00B94F59">
        <w:t xml:space="preserve"> the menacing nature of the Jewish ghost nation</w:t>
      </w:r>
      <w:r w:rsidR="00C5706E">
        <w:t>, which lacked autonomous territory and a sovereign framework</w:t>
      </w:r>
      <w:r w:rsidR="0035422C">
        <w:t xml:space="preserve">. </w:t>
      </w:r>
      <w:r w:rsidR="00C5706E">
        <w:t xml:space="preserve">In his celebrated work, </w:t>
      </w:r>
      <w:r w:rsidR="00C5706E" w:rsidRPr="00C5706E">
        <w:rPr>
          <w:i/>
          <w:iCs/>
        </w:rPr>
        <w:t>Auto-emancipation</w:t>
      </w:r>
      <w:r w:rsidR="00E81BB3">
        <w:t xml:space="preserve"> (1882)</w:t>
      </w:r>
      <w:r w:rsidR="0035422C">
        <w:t xml:space="preserve">—which </w:t>
      </w:r>
      <w:r w:rsidR="00C5706E">
        <w:t xml:space="preserve">physician and </w:t>
      </w:r>
      <w:r w:rsidR="00E81BB3">
        <w:t xml:space="preserve">philosopher Leon </w:t>
      </w:r>
      <w:proofErr w:type="spellStart"/>
      <w:r w:rsidR="00E81BB3">
        <w:t>Pinsker</w:t>
      </w:r>
      <w:proofErr w:type="spellEnd"/>
      <w:r w:rsidR="00E81BB3">
        <w:t xml:space="preserve"> wrote in response to the failure </w:t>
      </w:r>
      <w:r w:rsidR="0035422C">
        <w:t>of the</w:t>
      </w:r>
      <w:r w:rsidR="00E81BB3">
        <w:t xml:space="preserve"> emancipation </w:t>
      </w:r>
      <w:commentRangeStart w:id="15"/>
      <w:r w:rsidR="00E81BB3">
        <w:t>and</w:t>
      </w:r>
      <w:commentRangeEnd w:id="15"/>
      <w:r w:rsidR="000A5D05">
        <w:rPr>
          <w:rStyle w:val="CommentReference"/>
        </w:rPr>
        <w:commentReference w:id="15"/>
      </w:r>
      <w:r w:rsidR="00E81BB3">
        <w:t xml:space="preserve"> the pogroms of 1881</w:t>
      </w:r>
      <w:r w:rsidR="0035422C">
        <w:t xml:space="preserve">—the </w:t>
      </w:r>
      <w:r w:rsidR="00E81BB3">
        <w:t xml:space="preserve">Jewish </w:t>
      </w:r>
      <w:r w:rsidR="00FA00BA">
        <w:t xml:space="preserve">nation is presented as an </w:t>
      </w:r>
      <w:r w:rsidR="00FA00BA">
        <w:lastRenderedPageBreak/>
        <w:t xml:space="preserve">intimidating ghost nation </w:t>
      </w:r>
      <w:r w:rsidR="0035422C">
        <w:t xml:space="preserve">that wanders </w:t>
      </w:r>
      <w:r w:rsidR="00FA00BA">
        <w:t xml:space="preserve">among other nations, arousing in them an incurable genetic psychosis referred to as </w:t>
      </w:r>
      <w:r w:rsidR="00FA00BA" w:rsidRPr="00E2542C">
        <w:t>Jud</w:t>
      </w:r>
      <w:r w:rsidR="00E2542C">
        <w:t>e</w:t>
      </w:r>
      <w:r w:rsidR="00FA00BA" w:rsidRPr="00E2542C">
        <w:t>ophobia</w:t>
      </w:r>
      <w:r w:rsidR="00FA00BA">
        <w:t>.</w:t>
      </w:r>
      <w:r w:rsidR="00FA00BA">
        <w:rPr>
          <w:rStyle w:val="FootnoteReference"/>
        </w:rPr>
        <w:footnoteReference w:id="30"/>
      </w:r>
    </w:p>
    <w:p w14:paraId="3EC4689A" w14:textId="15805A77" w:rsidR="00D674F7" w:rsidRDefault="00FA00BA" w:rsidP="00CE259E">
      <w:pPr>
        <w:ind w:firstLine="0"/>
      </w:pPr>
      <w:r>
        <w:tab/>
      </w:r>
      <w:proofErr w:type="spellStart"/>
      <w:r>
        <w:t>Pinsker’s</w:t>
      </w:r>
      <w:proofErr w:type="spellEnd"/>
      <w:r>
        <w:t xml:space="preserve"> version of the living-dead</w:t>
      </w:r>
      <w:r w:rsidR="00E2542C">
        <w:t xml:space="preserve"> figure</w:t>
      </w:r>
      <w:r>
        <w:t xml:space="preserve"> is the product of </w:t>
      </w:r>
      <w:r w:rsidR="00E95CE0">
        <w:t xml:space="preserve">a diasporic </w:t>
      </w:r>
      <w:r w:rsidR="00E2542C">
        <w:t xml:space="preserve">existence lacking </w:t>
      </w:r>
      <w:r w:rsidR="00E95CE0">
        <w:t xml:space="preserve">national </w:t>
      </w:r>
      <w:r w:rsidR="00E2542C">
        <w:t>roots</w:t>
      </w:r>
      <w:r>
        <w:t xml:space="preserve"> </w:t>
      </w:r>
      <w:r w:rsidR="00E95CE0">
        <w:t xml:space="preserve">or </w:t>
      </w:r>
      <w:r w:rsidR="00E2542C">
        <w:t>organic-</w:t>
      </w:r>
      <w:r w:rsidR="00E95CE0">
        <w:t xml:space="preserve">sovereign </w:t>
      </w:r>
      <w:r w:rsidR="00E2542C">
        <w:t>cohesion</w:t>
      </w:r>
      <w:r w:rsidR="00E95CE0">
        <w:t>. It is interesting</w:t>
      </w:r>
      <w:r w:rsidR="00D56E23">
        <w:t xml:space="preserve"> to note</w:t>
      </w:r>
      <w:r w:rsidR="00E95CE0">
        <w:t xml:space="preserve"> that the </w:t>
      </w:r>
      <w:r w:rsidR="00D56E23">
        <w:t xml:space="preserve">novel’s </w:t>
      </w:r>
      <w:r w:rsidR="00E95CE0">
        <w:t xml:space="preserve">description of Judas Iscariot </w:t>
      </w:r>
      <w:r w:rsidR="00D56E23">
        <w:t xml:space="preserve">elicits </w:t>
      </w:r>
      <w:r w:rsidR="00BD178F">
        <w:t>an</w:t>
      </w:r>
      <w:r w:rsidR="00D56E23">
        <w:t xml:space="preserve"> affinity with</w:t>
      </w:r>
      <w:r w:rsidR="00E95CE0">
        <w:t xml:space="preserve"> </w:t>
      </w:r>
      <w:r w:rsidR="00BD178F">
        <w:t xml:space="preserve">both </w:t>
      </w:r>
      <w:r w:rsidR="00E95CE0">
        <w:t>the living-dead</w:t>
      </w:r>
      <w:r w:rsidR="00CE259E">
        <w:t xml:space="preserve"> that was</w:t>
      </w:r>
      <w:r w:rsidR="00E95CE0">
        <w:t xml:space="preserve"> appropriated for politica</w:t>
      </w:r>
      <w:r w:rsidR="00EB7BE5">
        <w:t xml:space="preserve">l purposes in the Israeli national discourse, </w:t>
      </w:r>
      <w:r w:rsidR="00BD178F">
        <w:t xml:space="preserve">and </w:t>
      </w:r>
      <w:r w:rsidR="00EB7BE5">
        <w:t xml:space="preserve">with the living-dead that was perceived in the Zionist discourse as </w:t>
      </w:r>
      <w:r w:rsidR="00CE259E">
        <w:t>representing</w:t>
      </w:r>
      <w:r w:rsidR="00EB7BE5">
        <w:t xml:space="preserve"> </w:t>
      </w:r>
      <w:r w:rsidR="00CE259E">
        <w:t>an</w:t>
      </w:r>
      <w:r w:rsidR="00EB7BE5">
        <w:t xml:space="preserve"> anomalous and a-territorial Jew</w:t>
      </w:r>
      <w:r w:rsidR="00CE259E">
        <w:t>ish existence</w:t>
      </w:r>
      <w:r w:rsidR="00EB7BE5">
        <w:t>.</w:t>
      </w:r>
      <w:r w:rsidR="00CE259E">
        <w:t xml:space="preserve"> </w:t>
      </w:r>
      <w:r w:rsidR="00EB7BE5">
        <w:t>Judas Iscariot is described, in th</w:t>
      </w:r>
      <w:r w:rsidR="00CE259E">
        <w:t>is</w:t>
      </w:r>
      <w:r w:rsidR="00EB7BE5">
        <w:t xml:space="preserve"> context, a</w:t>
      </w:r>
      <w:r w:rsidR="00CE259E">
        <w:t xml:space="preserve">s </w:t>
      </w:r>
      <w:r w:rsidR="00EB7BE5">
        <w:t xml:space="preserve">someone whose life circumstances sentenced him to </w:t>
      </w:r>
      <w:r w:rsidR="00D674F7">
        <w:t xml:space="preserve">a nomadic existence and </w:t>
      </w:r>
      <w:r w:rsidR="00CE259E">
        <w:t xml:space="preserve">a </w:t>
      </w:r>
      <w:r w:rsidR="00D674F7">
        <w:t xml:space="preserve">complex of identity </w:t>
      </w:r>
      <w:r w:rsidR="00DA77E3">
        <w:t>markers</w:t>
      </w:r>
      <w:r w:rsidR="00D674F7">
        <w:t xml:space="preserve"> ranging from monotheistic Jew and Edomite to a son of the empire who believes in the gods of Greece and Rome:</w:t>
      </w:r>
    </w:p>
    <w:p w14:paraId="312A765A" w14:textId="77777777" w:rsidR="00136F5A" w:rsidRDefault="00136F5A" w:rsidP="005359CE">
      <w:pPr>
        <w:ind w:firstLine="0"/>
      </w:pPr>
    </w:p>
    <w:p w14:paraId="63A6F2F6" w14:textId="7993A1D8" w:rsidR="000E4953" w:rsidRDefault="00136F5A" w:rsidP="001D61E0">
      <w:pPr>
        <w:ind w:left="1440" w:firstLine="0"/>
      </w:pPr>
      <w:r>
        <w:t>“</w:t>
      </w:r>
      <w:r w:rsidRPr="00136F5A">
        <w:t>For ten years I had been Antiper the Idumean. I had married a gentile, spurned the heritage of my fathers, prayers and commandments, and I had buried the past of Judas Iscariot. I was Antiper the Idumean and I sought to forget my unfortunate country, its rebellions and crucifixions and its slain, and the judgment day at Golgotha, the day of the crucifixion of Jesus.</w:t>
      </w:r>
      <w:r>
        <w:t>”</w:t>
      </w:r>
      <w:r w:rsidRPr="00136F5A">
        <w:t xml:space="preserve"> (11)</w:t>
      </w:r>
      <w:r w:rsidR="00E95CE0">
        <w:t xml:space="preserve"> </w:t>
      </w:r>
    </w:p>
    <w:p w14:paraId="556605B6" w14:textId="77777777" w:rsidR="007E6BF1" w:rsidRDefault="007E6BF1" w:rsidP="001D61E0">
      <w:pPr>
        <w:ind w:left="1440" w:firstLine="0"/>
      </w:pPr>
    </w:p>
    <w:p w14:paraId="61B36FBD" w14:textId="27A1FA8C" w:rsidR="00FE3F74" w:rsidRDefault="00136F5A" w:rsidP="00DA77E3">
      <w:pPr>
        <w:ind w:right="-283"/>
      </w:pPr>
      <w:r>
        <w:t xml:space="preserve">Judas </w:t>
      </w:r>
      <w:r w:rsidR="00DA77E3">
        <w:t xml:space="preserve">later </w:t>
      </w:r>
      <w:r>
        <w:t>describes his diasporic life,</w:t>
      </w:r>
      <w:r w:rsidR="00F92082">
        <w:t xml:space="preserve"> </w:t>
      </w:r>
      <w:r w:rsidR="0076110F">
        <w:t>constituted primarily in terms of</w:t>
      </w:r>
      <w:r w:rsidR="00F92082">
        <w:t xml:space="preserve"> his w</w:t>
      </w:r>
      <w:r w:rsidR="001D61E0">
        <w:t>ithdrawal from</w:t>
      </w:r>
      <w:r w:rsidR="00F92082">
        <w:t xml:space="preserve"> the</w:t>
      </w:r>
      <w:r w:rsidR="001D61E0">
        <w:t xml:space="preserve"> </w:t>
      </w:r>
      <w:r w:rsidR="001D61E0" w:rsidRPr="00DA77E3">
        <w:t>national existence</w:t>
      </w:r>
      <w:r w:rsidR="001D61E0">
        <w:t xml:space="preserve"> and </w:t>
      </w:r>
      <w:r w:rsidR="00F92082">
        <w:t xml:space="preserve">a constant state of </w:t>
      </w:r>
      <w:r w:rsidR="001D61E0">
        <w:t>foreignness:</w:t>
      </w:r>
      <w:r w:rsidR="00B840CA">
        <w:t xml:space="preserve"> “</w:t>
      </w:r>
      <w:r w:rsidR="001D61E0">
        <w:t>I was a rootless defector</w:t>
      </w:r>
      <w:r w:rsidR="00B840CA">
        <w:t xml:space="preserve"> and cried over the fact that I severed my roots with my own hands. I was a foreigner and stranger in Garamus, and a foreigner and stranger in my country and homeland. I married a gentile woman and disguised </w:t>
      </w:r>
      <w:r w:rsidR="00B840CA">
        <w:lastRenderedPageBreak/>
        <w:t>myself for ten tiresome years. I forgot my prayers and the earth of my homeland [...] ‘I have no roots,’ I said.”</w:t>
      </w:r>
      <w:r w:rsidR="003D7F1A">
        <w:rPr>
          <w:rStyle w:val="FootnoteReference"/>
        </w:rPr>
        <w:footnoteReference w:id="31"/>
      </w:r>
      <w:r w:rsidR="00B840CA">
        <w:t xml:space="preserve"> </w:t>
      </w:r>
      <w:r w:rsidR="00AA5BE6">
        <w:t xml:space="preserve">Not only is Judas Iscariot’s image fashioned from a critical standpoint vis-à-vis the living-dead constructed by the national Hebrew discourse, but his rootless image does not seek </w:t>
      </w:r>
      <w:r w:rsidR="00AD7A82">
        <w:t xml:space="preserve">a remedy, in </w:t>
      </w:r>
      <w:proofErr w:type="spellStart"/>
      <w:r w:rsidR="00AD7A82">
        <w:t>Pinsker’s</w:t>
      </w:r>
      <w:proofErr w:type="spellEnd"/>
      <w:r w:rsidR="00AD7A82">
        <w:t xml:space="preserve"> terms, for its pathological existence</w:t>
      </w:r>
      <w:r w:rsidR="00B3323B">
        <w:t xml:space="preserve">. On the contrary, it </w:t>
      </w:r>
      <w:r w:rsidR="00AD7A82">
        <w:t>presents life in the diaspora as a moral solution for the violence involved in realizing the national vision: “</w:t>
      </w:r>
      <w:r w:rsidR="00FE3F74" w:rsidRPr="00FE3F74">
        <w:t>due to the tumult and slaughter afflicting my country too frequently through the fanaticism and stubbornness of the Jews, I had decided to go into exile</w:t>
      </w:r>
      <w:r w:rsidR="00FE3F74">
        <w:t>”</w:t>
      </w:r>
      <w:r w:rsidR="00B3323B">
        <w:t xml:space="preserve"> (4).</w:t>
      </w:r>
    </w:p>
    <w:p w14:paraId="18D91554" w14:textId="72CCAA67" w:rsidR="001D61E0" w:rsidRDefault="00FE3F74" w:rsidP="00895AC4">
      <w:pPr>
        <w:ind w:right="-283" w:firstLine="0"/>
      </w:pPr>
      <w:r>
        <w:tab/>
      </w:r>
      <w:r w:rsidR="00B3323B">
        <w:t xml:space="preserve">By </w:t>
      </w:r>
      <w:r>
        <w:t>presenting Judas Is</w:t>
      </w:r>
      <w:r w:rsidR="000740FD">
        <w:t>ca</w:t>
      </w:r>
      <w:r>
        <w:t>riot as a hybrid character that simultaneously embodies two contrasting Jewish</w:t>
      </w:r>
      <w:r w:rsidR="000740FD">
        <w:t xml:space="preserve"> </w:t>
      </w:r>
      <w:r w:rsidR="000740FD" w:rsidRPr="00B3323B">
        <w:t>identities</w:t>
      </w:r>
      <w:r w:rsidR="000740FD">
        <w:t>—</w:t>
      </w:r>
      <w:r w:rsidR="00895AC4">
        <w:t xml:space="preserve">one </w:t>
      </w:r>
      <w:r w:rsidR="000740FD">
        <w:t>identified with the living-dead as a sovereign figure based on the “</w:t>
      </w:r>
      <w:r w:rsidR="00B3323B">
        <w:t xml:space="preserve">improved </w:t>
      </w:r>
      <w:r w:rsidR="000740FD">
        <w:t>Jew”</w:t>
      </w:r>
      <w:r>
        <w:t xml:space="preserve"> </w:t>
      </w:r>
      <w:r w:rsidR="000740FD">
        <w:t xml:space="preserve">who sacrifices </w:t>
      </w:r>
      <w:r w:rsidR="00895AC4">
        <w:t>his</w:t>
      </w:r>
      <w:r w:rsidR="000740FD">
        <w:t xml:space="preserve"> self for the homeland</w:t>
      </w:r>
      <w:r w:rsidR="00C167C5">
        <w:t>;</w:t>
      </w:r>
      <w:r w:rsidR="000740FD">
        <w:t xml:space="preserve"> and </w:t>
      </w:r>
      <w:r w:rsidR="00895AC4">
        <w:t>the other</w:t>
      </w:r>
      <w:r w:rsidR="00C167C5">
        <w:t xml:space="preserve"> </w:t>
      </w:r>
      <w:r w:rsidR="000740FD">
        <w:t>identified with the living-dead as a diasporic</w:t>
      </w:r>
      <w:r w:rsidR="00E31115">
        <w:t xml:space="preserve">, threatening </w:t>
      </w:r>
      <w:r w:rsidR="000740FD">
        <w:t>figure</w:t>
      </w:r>
      <w:r w:rsidR="00E31115">
        <w:t xml:space="preserve"> </w:t>
      </w:r>
      <w:r w:rsidR="00C167C5">
        <w:t xml:space="preserve">lacking </w:t>
      </w:r>
      <w:r w:rsidR="00E31115">
        <w:t xml:space="preserve">a sovereign existence—Mossinsohn negates the dialectic view that perceives these figures as </w:t>
      </w:r>
      <w:r w:rsidR="002103B6">
        <w:t>positioned</w:t>
      </w:r>
      <w:r w:rsidR="00E31115">
        <w:t xml:space="preserve"> on a diachronic and </w:t>
      </w:r>
      <w:r w:rsidR="00C167C5">
        <w:t xml:space="preserve">evolving </w:t>
      </w:r>
      <w:r w:rsidR="002103B6">
        <w:t>continuum</w:t>
      </w:r>
      <w:r w:rsidR="00E31115">
        <w:t>. In contrast to Zionist historiography, in the framework of which the two versions of the living-dead were presented as separate</w:t>
      </w:r>
      <w:r w:rsidR="002103B6">
        <w:t>, essentially opposite,</w:t>
      </w:r>
      <w:r w:rsidR="00E31115">
        <w:t xml:space="preserve"> </w:t>
      </w:r>
      <w:r w:rsidR="002103B6">
        <w:t xml:space="preserve">temporal and spatial </w:t>
      </w:r>
      <w:r w:rsidR="00E31115">
        <w:t>stages</w:t>
      </w:r>
      <w:r w:rsidR="002103B6">
        <w:t>,</w:t>
      </w:r>
      <w:r w:rsidR="00E31115">
        <w:t xml:space="preserve"> </w:t>
      </w:r>
      <w:r w:rsidR="00042E53">
        <w:t xml:space="preserve">Mossinsohn’s novel presents </w:t>
      </w:r>
      <w:r w:rsidR="003500B0">
        <w:t>them</w:t>
      </w:r>
      <w:r w:rsidR="00042E53">
        <w:t xml:space="preserve"> in their simultaneous existence. These simultaneous representations constitute</w:t>
      </w:r>
      <w:r w:rsidR="00456DEF">
        <w:t>,</w:t>
      </w:r>
      <w:r w:rsidR="00042E53">
        <w:t xml:space="preserve"> </w:t>
      </w:r>
      <w:r w:rsidR="00456DEF">
        <w:t xml:space="preserve">therefore, </w:t>
      </w:r>
      <w:r w:rsidR="00042E53">
        <w:t>an essentially anti-dialectic and a</w:t>
      </w:r>
      <w:r w:rsidR="00387542">
        <w:t>historical</w:t>
      </w:r>
      <w:r w:rsidR="00042E53">
        <w:t xml:space="preserve"> </w:t>
      </w:r>
      <w:r w:rsidR="00456DEF">
        <w:t>gesture</w:t>
      </w:r>
      <w:r w:rsidR="00AD7A82">
        <w:t xml:space="preserve"> </w:t>
      </w:r>
      <w:r w:rsidR="00042E53">
        <w:t>that subverts Zionist teleology in whose framework the appearance of one figure inevitably negates the other.</w:t>
      </w:r>
    </w:p>
    <w:p w14:paraId="738C7E16" w14:textId="23478425" w:rsidR="007A2683" w:rsidRDefault="00042E53" w:rsidP="000A2D99">
      <w:pPr>
        <w:ind w:right="-283" w:firstLine="0"/>
      </w:pPr>
      <w:r>
        <w:tab/>
        <w:t xml:space="preserve">This simultaneous representation of two </w:t>
      </w:r>
      <w:r w:rsidR="000A1680">
        <w:t xml:space="preserve">fundamentally different </w:t>
      </w:r>
      <w:r>
        <w:t xml:space="preserve">“living-dead” </w:t>
      </w:r>
      <w:r w:rsidR="009A6E07">
        <w:t xml:space="preserve">figures </w:t>
      </w:r>
      <w:r w:rsidR="000A1680">
        <w:t xml:space="preserve">raises questions as to the critical standpoint implied in the novel. </w:t>
      </w:r>
      <w:r w:rsidR="009A6E07">
        <w:t>On the one hand, t</w:t>
      </w:r>
      <w:r w:rsidR="000A1680">
        <w:t xml:space="preserve">his simultaneity </w:t>
      </w:r>
      <w:r w:rsidR="009A6E07">
        <w:t>may</w:t>
      </w:r>
      <w:r w:rsidR="000A1680">
        <w:t xml:space="preserve"> reflect a critical-political stance that discloses an </w:t>
      </w:r>
      <w:r w:rsidR="00AD546F">
        <w:t xml:space="preserve">inextricable linkage between sovereign existence and the diasporic, and the assumption that </w:t>
      </w:r>
      <w:r w:rsidR="002813F2">
        <w:t xml:space="preserve">in its Zionist formulation, </w:t>
      </w:r>
      <w:r w:rsidR="00AD546F">
        <w:t xml:space="preserve">sovereign existence is </w:t>
      </w:r>
      <w:r w:rsidR="002813F2">
        <w:lastRenderedPageBreak/>
        <w:t>perceived more as</w:t>
      </w:r>
      <w:r w:rsidR="00AD546F">
        <w:t xml:space="preserve"> “diaspora in the </w:t>
      </w:r>
      <w:r w:rsidR="007A6C90">
        <w:t>Land of Israel</w:t>
      </w:r>
      <w:r w:rsidR="00AD546F">
        <w:t>” tha</w:t>
      </w:r>
      <w:r w:rsidR="0080119C">
        <w:t>n the “dawn of redemption</w:t>
      </w:r>
      <w:r w:rsidR="002813F2">
        <w:t>.</w:t>
      </w:r>
      <w:r w:rsidR="0080119C">
        <w:t xml:space="preserve">” </w:t>
      </w:r>
      <w:r w:rsidR="002813F2">
        <w:t>On the other hand</w:t>
      </w:r>
      <w:r w:rsidR="0080119C">
        <w:t xml:space="preserve">, this simultaneity can be read as Mossinsohn’s </w:t>
      </w:r>
      <w:r w:rsidR="00205236">
        <w:t>attempt to avoi</w:t>
      </w:r>
      <w:r w:rsidR="00766705">
        <w:t>d the unmitig</w:t>
      </w:r>
      <w:r w:rsidR="000A2D99">
        <w:t>ated adoption</w:t>
      </w:r>
      <w:r w:rsidR="00766705">
        <w:t xml:space="preserve"> of </w:t>
      </w:r>
      <w:r w:rsidR="004653EC">
        <w:t xml:space="preserve">the critical </w:t>
      </w:r>
      <w:r w:rsidR="00766705">
        <w:t>role</w:t>
      </w:r>
      <w:r w:rsidR="004653EC">
        <w:t xml:space="preserve"> of literary “betrayer.” The </w:t>
      </w:r>
      <w:r w:rsidR="00337BC6">
        <w:t>integration</w:t>
      </w:r>
      <w:r w:rsidR="004653EC">
        <w:t xml:space="preserve"> of sovereign and diasporic trends in Mossinsohn’s text may be read not as an ideological and political “betrayal” </w:t>
      </w:r>
      <w:r w:rsidR="0010117A">
        <w:t>of</w:t>
      </w:r>
      <w:r w:rsidR="004653EC">
        <w:t xml:space="preserve"> the national agenda, but rather as a </w:t>
      </w:r>
      <w:r w:rsidR="0044418D">
        <w:t xml:space="preserve">means for its ratification: the retreat to the diasporic, or semi-diasporic, state can in fact be understood as a way </w:t>
      </w:r>
      <w:r w:rsidR="009E3C08">
        <w:t>to relieve</w:t>
      </w:r>
      <w:r w:rsidR="0010117A">
        <w:t xml:space="preserve"> the burden of</w:t>
      </w:r>
      <w:r w:rsidR="0044418D">
        <w:t xml:space="preserve"> responsibility with regard to reality—the sovereign, not the diasporic—and </w:t>
      </w:r>
      <w:r w:rsidR="003D7F1A">
        <w:t xml:space="preserve">for the </w:t>
      </w:r>
      <w:r w:rsidR="00337BC6">
        <w:t>renunciation</w:t>
      </w:r>
      <w:r w:rsidR="003D7F1A">
        <w:t xml:space="preserve"> of </w:t>
      </w:r>
      <w:commentRangeStart w:id="16"/>
      <w:r w:rsidR="003D7F1A">
        <w:t xml:space="preserve">the material </w:t>
      </w:r>
      <w:commentRangeEnd w:id="16"/>
      <w:r w:rsidR="009E3C08">
        <w:rPr>
          <w:rStyle w:val="CommentReference"/>
        </w:rPr>
        <w:commentReference w:id="16"/>
      </w:r>
      <w:r w:rsidR="003D7F1A">
        <w:t>circumstances in which the novel was written.</w:t>
      </w:r>
      <w:r w:rsidR="003D7F1A">
        <w:rPr>
          <w:rStyle w:val="FootnoteReference"/>
        </w:rPr>
        <w:footnoteReference w:id="32"/>
      </w:r>
      <w:r w:rsidR="0044418D">
        <w:t xml:space="preserve"> </w:t>
      </w:r>
      <w:r w:rsidR="003D7F1A">
        <w:t xml:space="preserve">The tension between the two representational systems of the living-dead raises the possibility that it is </w:t>
      </w:r>
      <w:r w:rsidR="00337BC6">
        <w:t>precisely</w:t>
      </w:r>
      <w:r w:rsidR="003D7F1A">
        <w:t xml:space="preserve"> the “invasion” of the diaspora into the sovereign life that constitutes </w:t>
      </w:r>
      <w:commentRangeStart w:id="17"/>
      <w:r w:rsidR="003D7F1A">
        <w:t xml:space="preserve">a means </w:t>
      </w:r>
      <w:r w:rsidR="00337BC6">
        <w:t>to preserve</w:t>
      </w:r>
      <w:r w:rsidR="00C12204">
        <w:t xml:space="preserve"> the position that </w:t>
      </w:r>
      <w:r w:rsidR="001F7E01">
        <w:t>points to</w:t>
      </w:r>
      <w:r w:rsidR="00C12204">
        <w:t xml:space="preserve">, as </w:t>
      </w:r>
      <w:proofErr w:type="spellStart"/>
      <w:r w:rsidR="00D04899">
        <w:t>H</w:t>
      </w:r>
      <w:r w:rsidR="00C12204">
        <w:t>an</w:t>
      </w:r>
      <w:r w:rsidR="00D04899">
        <w:t>a</w:t>
      </w:r>
      <w:r w:rsidR="00C12204">
        <w:t>n</w:t>
      </w:r>
      <w:proofErr w:type="spellEnd"/>
      <w:r w:rsidR="00C12204">
        <w:t xml:space="preserve"> </w:t>
      </w:r>
      <w:proofErr w:type="spellStart"/>
      <w:r w:rsidR="00C12204">
        <w:t>Hever</w:t>
      </w:r>
      <w:proofErr w:type="spellEnd"/>
      <w:r w:rsidR="00C12204">
        <w:t xml:space="preserve"> writes, </w:t>
      </w:r>
      <w:r w:rsidR="00337BC6">
        <w:t xml:space="preserve">those </w:t>
      </w:r>
      <w:r w:rsidR="00C12204">
        <w:t xml:space="preserve">“who hold the ruling political system and are permitted to use it” as part of the </w:t>
      </w:r>
      <w:r w:rsidR="006D74EF">
        <w:t xml:space="preserve">persecuted minority’s </w:t>
      </w:r>
      <w:r w:rsidR="00C12204">
        <w:t xml:space="preserve">oppositional </w:t>
      </w:r>
      <w:r w:rsidR="00BF17C0">
        <w:t>position.</w:t>
      </w:r>
      <w:r w:rsidR="00BF17C0">
        <w:rPr>
          <w:rStyle w:val="FootnoteReference"/>
        </w:rPr>
        <w:footnoteReference w:id="33"/>
      </w:r>
      <w:commentRangeEnd w:id="17"/>
      <w:r w:rsidR="006D74EF">
        <w:rPr>
          <w:rStyle w:val="CommentReference"/>
        </w:rPr>
        <w:commentReference w:id="17"/>
      </w:r>
      <w:r w:rsidR="00BF17C0">
        <w:t xml:space="preserve"> This standpoint may </w:t>
      </w:r>
      <w:r w:rsidR="00D04899">
        <w:t xml:space="preserve">eventually </w:t>
      </w:r>
      <w:r w:rsidR="00BF17C0">
        <w:t xml:space="preserve">lead “to the </w:t>
      </w:r>
      <w:r w:rsidR="00D04899">
        <w:t>evasion</w:t>
      </w:r>
      <w:r w:rsidR="00BF17C0">
        <w:t xml:space="preserve"> of responsibility imposed upon the sons and daughters of the majority.”</w:t>
      </w:r>
      <w:r w:rsidR="00BF17C0">
        <w:rPr>
          <w:rStyle w:val="FootnoteReference"/>
        </w:rPr>
        <w:footnoteReference w:id="34"/>
      </w:r>
      <w:r w:rsidR="00BF17C0">
        <w:t xml:space="preserve"> In what appears as a possible answer to </w:t>
      </w:r>
      <w:r w:rsidR="001F7E01">
        <w:t>the</w:t>
      </w:r>
      <w:r w:rsidR="00BF17C0">
        <w:t xml:space="preserve"> </w:t>
      </w:r>
      <w:r w:rsidR="001F7E01">
        <w:t xml:space="preserve">question regarding the </w:t>
      </w:r>
      <w:r w:rsidR="003B116B">
        <w:t xml:space="preserve">extent of Mossinsohn’s </w:t>
      </w:r>
      <w:r w:rsidR="00A43E85">
        <w:t xml:space="preserve">criticism, the end of the novel </w:t>
      </w:r>
      <w:r w:rsidR="003B116B">
        <w:t>clarifies</w:t>
      </w:r>
      <w:r w:rsidR="00A43E85">
        <w:t xml:space="preserve"> that Judas Iscariot occupies a</w:t>
      </w:r>
      <w:r w:rsidR="003B116B">
        <w:t>n</w:t>
      </w:r>
      <w:r w:rsidR="00A43E85">
        <w:t xml:space="preserve"> indecisive </w:t>
      </w:r>
      <w:r w:rsidR="00545C5B">
        <w:t>intermediary</w:t>
      </w:r>
      <w:r w:rsidR="00A43E85">
        <w:t xml:space="preserve"> position that is both critical and informative. </w:t>
      </w:r>
      <w:r w:rsidR="00591C09">
        <w:t xml:space="preserve">He does not perform an </w:t>
      </w:r>
      <w:r w:rsidR="00AD54DB">
        <w:t xml:space="preserve">ultimate </w:t>
      </w:r>
      <w:r w:rsidR="00591C09">
        <w:t xml:space="preserve">act betrayal, one that </w:t>
      </w:r>
      <w:commentRangeStart w:id="18"/>
      <w:r w:rsidR="001C2D1B">
        <w:t>implies</w:t>
      </w:r>
      <w:r w:rsidR="00591C09">
        <w:t xml:space="preserve"> </w:t>
      </w:r>
      <w:commentRangeEnd w:id="18"/>
      <w:r w:rsidR="001C2D1B">
        <w:rPr>
          <w:rStyle w:val="CommentReference"/>
        </w:rPr>
        <w:commentReference w:id="18"/>
      </w:r>
      <w:r w:rsidR="00591C09">
        <w:t>a tangible escape route from the mechanisms of power and authority</w:t>
      </w:r>
      <w:r w:rsidR="007A2683">
        <w:t xml:space="preserve">, but </w:t>
      </w:r>
      <w:r w:rsidR="00AD54DB">
        <w:t>rather outlines,</w:t>
      </w:r>
      <w:r w:rsidR="007A2683">
        <w:t xml:space="preserve"> in the framework of these mechanisms, </w:t>
      </w:r>
      <w:r w:rsidR="00AD54DB">
        <w:t>an</w:t>
      </w:r>
      <w:r w:rsidR="007A2683">
        <w:t xml:space="preserve"> alternative way to produce meaning: </w:t>
      </w:r>
      <w:r w:rsidR="00AD54DB">
        <w:t>the use of the</w:t>
      </w:r>
      <w:r w:rsidR="007A2683">
        <w:t xml:space="preserve"> language of messianism and redemption, however from a perspective that is not identified with the </w:t>
      </w:r>
      <w:r w:rsidR="00E93A56">
        <w:t xml:space="preserve">conventional </w:t>
      </w:r>
      <w:r w:rsidR="007A2683">
        <w:t>interpretation in sovereign discourse.</w:t>
      </w:r>
    </w:p>
    <w:p w14:paraId="55DDCF02" w14:textId="3B295867" w:rsidR="007A2683" w:rsidRDefault="007A2683" w:rsidP="00B840CA">
      <w:pPr>
        <w:ind w:right="-283" w:firstLine="0"/>
      </w:pPr>
    </w:p>
    <w:p w14:paraId="3C313006" w14:textId="31D02C5D" w:rsidR="007A2683" w:rsidRDefault="007A2683" w:rsidP="00B840CA">
      <w:pPr>
        <w:ind w:right="-283" w:firstLine="0"/>
        <w:rPr>
          <w:b/>
          <w:bCs/>
        </w:rPr>
      </w:pPr>
      <w:r w:rsidRPr="00301E31">
        <w:rPr>
          <w:b/>
          <w:bCs/>
        </w:rPr>
        <w:t>Betrayal</w:t>
      </w:r>
      <w:r w:rsidR="00B8487A">
        <w:rPr>
          <w:b/>
          <w:bCs/>
        </w:rPr>
        <w:t xml:space="preserve"> </w:t>
      </w:r>
      <w:r w:rsidR="00B8487A" w:rsidRPr="00712F52">
        <w:rPr>
          <w:b/>
          <w:bCs/>
        </w:rPr>
        <w:t>Limited</w:t>
      </w:r>
      <w:r w:rsidR="000A2D99">
        <w:rPr>
          <w:b/>
          <w:bCs/>
        </w:rPr>
        <w:t>:</w:t>
      </w:r>
      <w:r w:rsidRPr="00301E31">
        <w:rPr>
          <w:b/>
          <w:bCs/>
        </w:rPr>
        <w:t xml:space="preserve"> From </w:t>
      </w:r>
      <w:r w:rsidR="00301E31" w:rsidRPr="00301E31">
        <w:rPr>
          <w:b/>
          <w:bCs/>
        </w:rPr>
        <w:t xml:space="preserve">Zionist </w:t>
      </w:r>
      <w:proofErr w:type="spellStart"/>
      <w:r w:rsidRPr="00301E31">
        <w:rPr>
          <w:b/>
          <w:bCs/>
        </w:rPr>
        <w:t>Messianism</w:t>
      </w:r>
      <w:proofErr w:type="spellEnd"/>
      <w:r w:rsidR="00301E31" w:rsidRPr="00301E31">
        <w:rPr>
          <w:b/>
          <w:bCs/>
        </w:rPr>
        <w:t xml:space="preserve"> </w:t>
      </w:r>
      <w:r w:rsidR="000A2D99">
        <w:rPr>
          <w:b/>
          <w:bCs/>
        </w:rPr>
        <w:t xml:space="preserve">to </w:t>
      </w:r>
      <w:r w:rsidR="00301E31" w:rsidRPr="00301E31">
        <w:rPr>
          <w:b/>
          <w:bCs/>
        </w:rPr>
        <w:t xml:space="preserve">Eschatological </w:t>
      </w:r>
      <w:proofErr w:type="spellStart"/>
      <w:r w:rsidR="00301E31" w:rsidRPr="00301E31">
        <w:rPr>
          <w:b/>
          <w:bCs/>
        </w:rPr>
        <w:t>Messianism</w:t>
      </w:r>
      <w:proofErr w:type="spellEnd"/>
      <w:r w:rsidR="00301E31" w:rsidRPr="00301E31">
        <w:rPr>
          <w:b/>
          <w:bCs/>
        </w:rPr>
        <w:t xml:space="preserve"> </w:t>
      </w:r>
    </w:p>
    <w:p w14:paraId="7A37B275" w14:textId="05EDD2E0" w:rsidR="00301E31" w:rsidRDefault="00301E31" w:rsidP="000A2D99">
      <w:pPr>
        <w:ind w:right="-283"/>
      </w:pPr>
      <w:r>
        <w:t xml:space="preserve">At the end of the novel, Judas realizes that he is destined to serve as </w:t>
      </w:r>
      <w:r w:rsidR="00B8487A">
        <w:t xml:space="preserve">yet </w:t>
      </w:r>
      <w:r>
        <w:t xml:space="preserve">another </w:t>
      </w:r>
      <w:r w:rsidR="00C45D86">
        <w:t>victim</w:t>
      </w:r>
      <w:r w:rsidR="00B8487A">
        <w:t xml:space="preserve"> </w:t>
      </w:r>
      <w:r w:rsidR="00C45D86">
        <w:t>in the well-oiled machine of the national saint</w:t>
      </w:r>
      <w:r w:rsidR="00420D79">
        <w:t>hood</w:t>
      </w:r>
      <w:r w:rsidR="00C45D86">
        <w:t xml:space="preserve">—living-dead—industry: “After the death sentence was decreed,” the Roman soldier </w:t>
      </w:r>
      <w:proofErr w:type="spellStart"/>
      <w:r w:rsidR="00C45D86">
        <w:t>Pantrei</w:t>
      </w:r>
      <w:proofErr w:type="spellEnd"/>
      <w:r w:rsidR="00C45D86">
        <w:t xml:space="preserve"> says to him in the prison cell, “everyone began loving you and praising you” (301). On the verge of becoming G</w:t>
      </w:r>
      <w:r w:rsidR="00B8487A">
        <w:t>a</w:t>
      </w:r>
      <w:r w:rsidR="00C45D86">
        <w:t>r</w:t>
      </w:r>
      <w:r w:rsidR="00B8487A">
        <w:t>a</w:t>
      </w:r>
      <w:r w:rsidR="00C45D86">
        <w:t xml:space="preserve">mus’s new saint, Judas Iscariot “pondered rebellious, vain thoughts” (302), however, in response to </w:t>
      </w:r>
      <w:proofErr w:type="spellStart"/>
      <w:r w:rsidR="00C45D86">
        <w:t>Andigones’s</w:t>
      </w:r>
      <w:proofErr w:type="spellEnd"/>
      <w:r w:rsidR="00C45D86">
        <w:t xml:space="preserve"> </w:t>
      </w:r>
      <w:r w:rsidR="00BD58F2">
        <w:t xml:space="preserve">proposal, that he board a Sidonian ship waiting for him in the port and start a new life, he chooses to passively </w:t>
      </w:r>
      <w:r w:rsidR="0078549C">
        <w:t>await</w:t>
      </w:r>
      <w:r w:rsidR="00BD58F2">
        <w:t xml:space="preserve"> his death: “‘Thank you, but no,’ I said. ‘I want to continue sleeping. I’m too weary to go on walking in that cir</w:t>
      </w:r>
      <w:r w:rsidR="0078549C">
        <w:t>cl</w:t>
      </w:r>
      <w:r w:rsidR="00BD58F2">
        <w:t xml:space="preserve">e’” (303). This response epitomizes the alternative political position that Mossinsohn proposes </w:t>
      </w:r>
      <w:r w:rsidR="0078549C">
        <w:t>through</w:t>
      </w:r>
      <w:r w:rsidR="00BD58F2">
        <w:t xml:space="preserve"> the character of Judas Iscariot</w:t>
      </w:r>
      <w:r w:rsidR="00744867">
        <w:t xml:space="preserve">, and which is </w:t>
      </w:r>
      <w:r w:rsidR="00451E36">
        <w:t>crystalized in the novel’s closing words:</w:t>
      </w:r>
    </w:p>
    <w:p w14:paraId="2F103A94" w14:textId="77777777" w:rsidR="00451E36" w:rsidRDefault="00451E36" w:rsidP="00C45D86">
      <w:pPr>
        <w:ind w:right="-283" w:firstLine="0"/>
      </w:pPr>
    </w:p>
    <w:p w14:paraId="116D6A01" w14:textId="172E9F5B" w:rsidR="00451E36" w:rsidRPr="00451E36" w:rsidRDefault="00451E36" w:rsidP="00451E36">
      <w:pPr>
        <w:ind w:left="720" w:firstLine="0"/>
        <w:jc w:val="both"/>
      </w:pPr>
      <w:r w:rsidRPr="00451E36">
        <w:t>I lay down on my bed again and Andigones covered me with a blanket. Drawing the blanket over my head, I closed my eyes and at once sank into the realm of the night, where we had been in an era long gone by, before God made His first mistake by creating the light. (303)</w:t>
      </w:r>
    </w:p>
    <w:p w14:paraId="1229AFFA" w14:textId="1CA40214" w:rsidR="00451E36" w:rsidRDefault="00451E36" w:rsidP="00451E36">
      <w:pPr>
        <w:ind w:right="-283" w:firstLine="0"/>
      </w:pPr>
    </w:p>
    <w:p w14:paraId="5AF08996" w14:textId="02B4FA3A" w:rsidR="00451E36" w:rsidRDefault="00451E36" w:rsidP="00420D79">
      <w:pPr>
        <w:ind w:right="-283" w:firstLine="0"/>
      </w:pPr>
      <w:r>
        <w:t xml:space="preserve">Under the canopy of his blanket, it becomes clear </w:t>
      </w:r>
      <w:r w:rsidR="00744867">
        <w:t>to Judas that he</w:t>
      </w:r>
      <w:r>
        <w:t xml:space="preserve"> will not take steps to change his </w:t>
      </w:r>
      <w:r w:rsidRPr="00744867">
        <w:t>destiny</w:t>
      </w:r>
      <w:r w:rsidR="00744867">
        <w:t xml:space="preserve">, and </w:t>
      </w:r>
      <w:r>
        <w:t xml:space="preserve">will rather instill his death with a messianic significance different from that of the Zionist redemption narrative—a meaning based on the eschatological </w:t>
      </w:r>
      <w:r w:rsidR="00744867">
        <w:t>concept</w:t>
      </w:r>
      <w:r w:rsidR="0012114C">
        <w:t xml:space="preserve"> of annihilation and the end of days. The sense of revelation that Judas describes, which is based on a gnostic aspiration </w:t>
      </w:r>
      <w:r w:rsidR="00C1664D">
        <w:t xml:space="preserve">of unification with a divine-transcendental </w:t>
      </w:r>
      <w:r w:rsidR="00D648BB">
        <w:t>entity</w:t>
      </w:r>
      <w:r w:rsidR="00C1664D">
        <w:t xml:space="preserve"> and a return to the anthropic</w:t>
      </w:r>
      <w:r w:rsidR="00DB0708">
        <w:t xml:space="preserve">, pre-creation bosom </w:t>
      </w:r>
      <w:r w:rsidR="00DB0708">
        <w:lastRenderedPageBreak/>
        <w:t>of the divine sovereign,</w:t>
      </w:r>
      <w:r w:rsidR="00DB0708">
        <w:rPr>
          <w:rStyle w:val="FootnoteReference"/>
        </w:rPr>
        <w:footnoteReference w:id="35"/>
      </w:r>
      <w:r w:rsidR="00C1664D">
        <w:t xml:space="preserve"> </w:t>
      </w:r>
      <w:r w:rsidR="00DB0708">
        <w:t xml:space="preserve">thus lays </w:t>
      </w:r>
      <w:r w:rsidR="00420D79">
        <w:t xml:space="preserve">a </w:t>
      </w:r>
      <w:r w:rsidR="00D648BB">
        <w:t>dual groundwork for</w:t>
      </w:r>
      <w:r w:rsidR="00DB0708">
        <w:t xml:space="preserve"> betrayal: </w:t>
      </w:r>
      <w:r w:rsidR="00420D79">
        <w:t>one</w:t>
      </w:r>
      <w:r w:rsidR="00DB0708">
        <w:t xml:space="preserve"> based on a gnostic </w:t>
      </w:r>
      <w:r w:rsidR="00D648BB">
        <w:t>renunciation</w:t>
      </w:r>
      <w:r w:rsidR="00DB0708">
        <w:t xml:space="preserve"> of the Christian theological narrative and </w:t>
      </w:r>
      <w:r w:rsidR="00420D79">
        <w:t>the other</w:t>
      </w:r>
      <w:r w:rsidR="00DB0708">
        <w:t xml:space="preserve"> based on a nation</w:t>
      </w:r>
      <w:r w:rsidR="008272A9">
        <w:t>al</w:t>
      </w:r>
      <w:r w:rsidR="00DB0708">
        <w:t xml:space="preserve"> </w:t>
      </w:r>
      <w:r w:rsidR="008272A9">
        <w:t>renunciation</w:t>
      </w:r>
      <w:r w:rsidR="00DB0708">
        <w:t xml:space="preserve"> of the </w:t>
      </w:r>
      <w:commentRangeStart w:id="19"/>
      <w:r w:rsidR="0059193E">
        <w:t xml:space="preserve">active </w:t>
      </w:r>
      <w:commentRangeEnd w:id="19"/>
      <w:r w:rsidR="006B4A2B">
        <w:rPr>
          <w:rStyle w:val="CommentReference"/>
        </w:rPr>
        <w:commentReference w:id="19"/>
      </w:r>
      <w:r w:rsidR="0059193E">
        <w:t xml:space="preserve">messianic </w:t>
      </w:r>
      <w:r w:rsidR="006B4A2B">
        <w:t>conceptualization</w:t>
      </w:r>
      <w:r w:rsidR="0059193E">
        <w:t xml:space="preserve"> of the Zionist project. </w:t>
      </w:r>
    </w:p>
    <w:p w14:paraId="145543D6" w14:textId="66F3D2CB" w:rsidR="0059193E" w:rsidRDefault="0059193E" w:rsidP="006E367C">
      <w:pPr>
        <w:ind w:right="-283" w:firstLine="0"/>
      </w:pPr>
      <w:r>
        <w:tab/>
      </w:r>
      <w:r w:rsidR="0094188F">
        <w:t>While it</w:t>
      </w:r>
      <w:r>
        <w:t xml:space="preserve"> </w:t>
      </w:r>
      <w:r w:rsidR="008272A9">
        <w:t>consider</w:t>
      </w:r>
      <w:r w:rsidR="0094188F">
        <w:t>s</w:t>
      </w:r>
      <w:r>
        <w:t xml:space="preserve"> itself a secular movement, </w:t>
      </w:r>
      <w:r w:rsidR="002C1B21">
        <w:t xml:space="preserve">Zionism </w:t>
      </w:r>
      <w:r>
        <w:t xml:space="preserve">was never an essentially secular project, but </w:t>
      </w:r>
      <w:r w:rsidR="002C1B21">
        <w:t xml:space="preserve">was </w:t>
      </w:r>
      <w:r>
        <w:t xml:space="preserve">rather founded on a theological principle that presented the emigration to the </w:t>
      </w:r>
      <w:r w:rsidR="007A6C90">
        <w:t>Land of Israel</w:t>
      </w:r>
      <w:r>
        <w:t xml:space="preserve"> and the building of the national homeland </w:t>
      </w:r>
      <w:r w:rsidR="00666085">
        <w:t xml:space="preserve">as part of a non-eschatological process of redemption. As </w:t>
      </w:r>
      <w:proofErr w:type="spellStart"/>
      <w:r w:rsidR="00666085">
        <w:t>Yotam</w:t>
      </w:r>
      <w:proofErr w:type="spellEnd"/>
      <w:r w:rsidR="00666085">
        <w:t xml:space="preserve"> </w:t>
      </w:r>
      <w:proofErr w:type="spellStart"/>
      <w:r w:rsidR="00666085">
        <w:t>Hotam</w:t>
      </w:r>
      <w:proofErr w:type="spellEnd"/>
      <w:r w:rsidR="00666085">
        <w:t xml:space="preserve"> argues, Zionism constitutes a modern and inverted version of the gnostic paradigm, which was translated into Jewish-national terms</w:t>
      </w:r>
      <w:r w:rsidR="006B4A2B">
        <w:t>. W</w:t>
      </w:r>
      <w:r w:rsidR="00666085">
        <w:t xml:space="preserve">hile </w:t>
      </w:r>
      <w:r w:rsidR="00F06A58">
        <w:t>gnosis was</w:t>
      </w:r>
      <w:r w:rsidR="009455DE">
        <w:t xml:space="preserve"> originally based on a dualistic division</w:t>
      </w:r>
      <w:r w:rsidR="00666085">
        <w:t xml:space="preserve"> between transcendental divinity and imminent nature, and views the liberation from the shackles of the material world and the unification with the transcendental divi</w:t>
      </w:r>
      <w:r w:rsidR="00CC1411">
        <w:t xml:space="preserve">nity as the key to redemption, Zionism espouses the material return to history </w:t>
      </w:r>
      <w:r w:rsidR="00B666C3">
        <w:t>by way of</w:t>
      </w:r>
      <w:r w:rsidR="00CC1411">
        <w:t xml:space="preserve"> living on the land and building a sovereign state.</w:t>
      </w:r>
      <w:r w:rsidR="00CC1411">
        <w:rPr>
          <w:rStyle w:val="FootnoteReference"/>
        </w:rPr>
        <w:footnoteReference w:id="36"/>
      </w:r>
      <w:r w:rsidR="00CC1411">
        <w:t xml:space="preserve"> </w:t>
      </w:r>
      <w:r w:rsidR="00B666C3">
        <w:t>By</w:t>
      </w:r>
      <w:r w:rsidR="00CC1411">
        <w:t xml:space="preserve"> denying the theological and spiritual foundations of Jewish existence, Zionism promotes the absolute return to immanency</w:t>
      </w:r>
      <w:r w:rsidR="00F07751">
        <w:t xml:space="preserve">—by way of political activity that will lead to the establishment of a Jewish state. The theological language, which is deeply absorbed in the Zionist discourse, bases redemption on human </w:t>
      </w:r>
      <w:r w:rsidR="00383022">
        <w:t>enterprise</w:t>
      </w:r>
      <w:r w:rsidR="00F07751">
        <w:t xml:space="preserve"> in an imminent and material space, and not on a divine plan that </w:t>
      </w:r>
      <w:r w:rsidR="00383022">
        <w:t>offers</w:t>
      </w:r>
      <w:r w:rsidR="00F07751">
        <w:t xml:space="preserve"> transcendental intervention </w:t>
      </w:r>
      <w:r w:rsidR="00383022">
        <w:t>uncontrollable by man</w:t>
      </w:r>
      <w:r w:rsidR="00F07751">
        <w:t xml:space="preserve">. Therefore, Zionism </w:t>
      </w:r>
      <w:r w:rsidR="001C45AB">
        <w:t xml:space="preserve">substituted “transcendental </w:t>
      </w:r>
      <w:proofErr w:type="spellStart"/>
      <w:r w:rsidR="001C45AB">
        <w:t>messianism</w:t>
      </w:r>
      <w:proofErr w:type="spellEnd"/>
      <w:r w:rsidR="001C45AB">
        <w:t xml:space="preserve">,” in which redemption is </w:t>
      </w:r>
      <w:r w:rsidR="001C45AB">
        <w:lastRenderedPageBreak/>
        <w:t>controlled by the heavenly sovereign, with “Promethean messianism,” at the center of which is rational man</w:t>
      </w:r>
      <w:r w:rsidR="00622F32">
        <w:t xml:space="preserve"> who determines his destiny within history as he sees fit.</w:t>
      </w:r>
      <w:r w:rsidR="00622F32">
        <w:rPr>
          <w:rStyle w:val="FootnoteReference"/>
        </w:rPr>
        <w:footnoteReference w:id="37"/>
      </w:r>
    </w:p>
    <w:p w14:paraId="0002523C" w14:textId="0BFC9FDD" w:rsidR="0075306B" w:rsidRDefault="00622F32" w:rsidP="006E367C">
      <w:pPr>
        <w:ind w:right="-283" w:firstLine="0"/>
      </w:pPr>
      <w:r>
        <w:tab/>
        <w:t xml:space="preserve">Thus, the salvation that Judas Iscariot proposes is revealed as gnostic salvation, which redeems him from the imminent world and </w:t>
      </w:r>
      <w:r w:rsidR="00605588">
        <w:t xml:space="preserve">unites him with the divine </w:t>
      </w:r>
      <w:r w:rsidR="00383022">
        <w:t>source</w:t>
      </w:r>
      <w:r w:rsidR="00605588">
        <w:t>.</w:t>
      </w:r>
      <w:r>
        <w:t xml:space="preserve"> </w:t>
      </w:r>
      <w:r w:rsidR="006E367C">
        <w:t xml:space="preserve">During </w:t>
      </w:r>
      <w:r w:rsidR="00605588">
        <w:t xml:space="preserve">the moments in which he awaits his crucifixion, </w:t>
      </w:r>
      <w:r w:rsidR="00795982">
        <w:t>Judas</w:t>
      </w:r>
      <w:r w:rsidR="00605588">
        <w:t xml:space="preserve"> finds his redemption </w:t>
      </w:r>
      <w:r w:rsidR="009272BD">
        <w:t xml:space="preserve">by way of inverting </w:t>
      </w:r>
      <w:r w:rsidR="00605588">
        <w:t xml:space="preserve">Zionist </w:t>
      </w:r>
      <w:r w:rsidR="009272BD">
        <w:t>Gnosticism</w:t>
      </w:r>
      <w:r w:rsidR="00605588">
        <w:t xml:space="preserve">: </w:t>
      </w:r>
      <w:r w:rsidR="009272BD">
        <w:t xml:space="preserve">by </w:t>
      </w:r>
      <w:r w:rsidR="00605588">
        <w:t>reconstructing a pre-</w:t>
      </w:r>
      <w:r w:rsidR="009272BD">
        <w:t>genesis</w:t>
      </w:r>
      <w:r w:rsidR="00605588">
        <w:t xml:space="preserve"> moment, he substitutes </w:t>
      </w:r>
      <w:r w:rsidR="005947E0">
        <w:t xml:space="preserve">the restorative national messianism with utopic-eschatological messianism and with unification with the divine transcendentality. Given that the political-national redemption in the novel </w:t>
      </w:r>
      <w:r w:rsidR="00440C5C">
        <w:t>is</w:t>
      </w:r>
      <w:r w:rsidR="005947E0">
        <w:t xml:space="preserve"> disclosed as fraudulent, </w:t>
      </w:r>
      <w:r w:rsidR="009658D1">
        <w:t xml:space="preserve">forsaking, and appropriating, the redemption </w:t>
      </w:r>
      <w:r w:rsidR="00440C5C">
        <w:t xml:space="preserve">that </w:t>
      </w:r>
      <w:r w:rsidR="009658D1">
        <w:t xml:space="preserve">Judas adheres to </w:t>
      </w:r>
      <w:r w:rsidR="00210B1D">
        <w:t>defies the</w:t>
      </w:r>
      <w:r w:rsidR="009658D1">
        <w:t xml:space="preserve"> </w:t>
      </w:r>
      <w:r w:rsidR="00254319" w:rsidRPr="002C7304">
        <w:t>Zionist notion</w:t>
      </w:r>
      <w:r w:rsidR="009658D1">
        <w:t xml:space="preserve"> of </w:t>
      </w:r>
      <w:r w:rsidR="00254319">
        <w:t>progress</w:t>
      </w:r>
      <w:r w:rsidR="009658D1">
        <w:t xml:space="preserve"> and marks </w:t>
      </w:r>
      <w:r w:rsidR="006E367C">
        <w:t>a breach</w:t>
      </w:r>
      <w:r w:rsidR="009658D1">
        <w:t xml:space="preserve"> </w:t>
      </w:r>
      <w:r w:rsidR="00902094">
        <w:t xml:space="preserve">of the historical continuity. If Zionism speaks for the active return to </w:t>
      </w:r>
      <w:r w:rsidR="00254319">
        <w:t>h</w:t>
      </w:r>
      <w:r w:rsidR="00902094">
        <w:t xml:space="preserve">istory, Judas’s denial of the messianic-national narrative </w:t>
      </w:r>
      <w:r w:rsidR="00210B1D">
        <w:t>is manifested in his choice of the</w:t>
      </w:r>
      <w:r w:rsidR="00902094">
        <w:t xml:space="preserve"> opposite messianic option: </w:t>
      </w:r>
      <w:r w:rsidR="0080726A">
        <w:t>withdrawing from</w:t>
      </w:r>
      <w:r w:rsidR="00902094">
        <w:t xml:space="preserve"> history, which is </w:t>
      </w:r>
      <w:r w:rsidR="0080726A">
        <w:t>associated</w:t>
      </w:r>
      <w:r w:rsidR="00902094">
        <w:t xml:space="preserve"> with waiting, passivity, </w:t>
      </w:r>
      <w:r w:rsidR="0075306B">
        <w:t xml:space="preserve">and </w:t>
      </w:r>
      <w:r w:rsidR="00902094">
        <w:t>an inanimate state</w:t>
      </w:r>
      <w:r w:rsidR="0075306B">
        <w:t xml:space="preserve">, </w:t>
      </w:r>
      <w:r w:rsidR="0080726A">
        <w:t>while</w:t>
      </w:r>
      <w:r w:rsidR="0075306B">
        <w:t xml:space="preserve"> </w:t>
      </w:r>
      <w:r w:rsidR="00471DC2">
        <w:t>replacing</w:t>
      </w:r>
      <w:r w:rsidR="0075306B">
        <w:t xml:space="preserve"> the human</w:t>
      </w:r>
      <w:r w:rsidR="00471DC2">
        <w:t>,</w:t>
      </w:r>
      <w:r w:rsidR="0075306B">
        <w:t xml:space="preserve"> </w:t>
      </w:r>
      <w:r w:rsidR="00471DC2">
        <w:t xml:space="preserve">Promethean but disappointing, </w:t>
      </w:r>
      <w:r w:rsidR="00210B1D">
        <w:t xml:space="preserve">sovereign </w:t>
      </w:r>
      <w:r w:rsidR="0075306B">
        <w:t>with the divine</w:t>
      </w:r>
      <w:r w:rsidR="00471DC2" w:rsidRPr="00471DC2">
        <w:t xml:space="preserve"> </w:t>
      </w:r>
      <w:r w:rsidR="00471DC2">
        <w:t>once again</w:t>
      </w:r>
      <w:r w:rsidR="0075306B">
        <w:t xml:space="preserve">. </w:t>
      </w:r>
    </w:p>
    <w:p w14:paraId="4A22276C" w14:textId="2ACE9FED" w:rsidR="00276E94" w:rsidRDefault="0075306B" w:rsidP="008916A2">
      <w:pPr>
        <w:ind w:right="-283" w:firstLine="0"/>
      </w:pPr>
      <w:r>
        <w:tab/>
        <w:t xml:space="preserve">It appears therefore, that Mossinsohn does not view betrayal as an actual </w:t>
      </w:r>
      <w:r w:rsidR="00210B1D">
        <w:t>option</w:t>
      </w:r>
      <w:r>
        <w:t xml:space="preserve"> for Judas Iscariot, </w:t>
      </w:r>
      <w:r w:rsidR="00210B1D">
        <w:t>given that</w:t>
      </w:r>
      <w:r>
        <w:t xml:space="preserve"> </w:t>
      </w:r>
      <w:r w:rsidR="00513A26">
        <w:t xml:space="preserve">regardless of </w:t>
      </w:r>
      <w:r>
        <w:t xml:space="preserve">whether he dies or escapes—he will be recorded in the history books as a saint and will be </w:t>
      </w:r>
      <w:r w:rsidR="00CC0075">
        <w:t xml:space="preserve">inducted into the canonical messianic narrative. </w:t>
      </w:r>
      <w:r w:rsidR="00E16326">
        <w:t xml:space="preserve">However, within this rather limited range of possibilities, and without </w:t>
      </w:r>
      <w:r w:rsidR="00E16326" w:rsidRPr="00025D8B">
        <w:t xml:space="preserve">shirking </w:t>
      </w:r>
      <w:r w:rsidR="00E16326">
        <w:t xml:space="preserve">the ideological structures in which it exists, Judas Iscariot creates an alternative narrative that internalizes the messianic logic but </w:t>
      </w:r>
      <w:r w:rsidR="008D563D">
        <w:t xml:space="preserve">provides it with a different interpretation. As the individual who, in the novel, is described as a </w:t>
      </w:r>
      <w:r w:rsidR="001646E6">
        <w:t>member of the underground who</w:t>
      </w:r>
      <w:r w:rsidR="00513A26">
        <w:t xml:space="preserve"> </w:t>
      </w:r>
      <w:r w:rsidR="001646E6">
        <w:t>turn</w:t>
      </w:r>
      <w:r w:rsidR="00025D8B">
        <w:t>s</w:t>
      </w:r>
      <w:r w:rsidR="001646E6">
        <w:t xml:space="preserve"> Jesus </w:t>
      </w:r>
      <w:r w:rsidR="00513A26">
        <w:t>over</w:t>
      </w:r>
      <w:r w:rsidR="001646E6">
        <w:t xml:space="preserve"> </w:t>
      </w:r>
      <w:r w:rsidR="00025D8B">
        <w:t>for</w:t>
      </w:r>
      <w:r w:rsidR="001646E6">
        <w:t xml:space="preserve"> political </w:t>
      </w:r>
      <w:r w:rsidR="00025D8B">
        <w:t xml:space="preserve">reasons </w:t>
      </w:r>
      <w:r w:rsidR="00C04F75">
        <w:t>associated with</w:t>
      </w:r>
      <w:r w:rsidR="00025D8B">
        <w:t xml:space="preserve"> </w:t>
      </w:r>
      <w:r w:rsidR="00C04F75">
        <w:t>inciting</w:t>
      </w:r>
      <w:r w:rsidR="001646E6">
        <w:t xml:space="preserve"> national revolt, </w:t>
      </w:r>
      <w:r w:rsidR="00025D8B">
        <w:t>Judas</w:t>
      </w:r>
      <w:r w:rsidR="001646E6">
        <w:t xml:space="preserve"> is </w:t>
      </w:r>
      <w:r w:rsidR="00025D8B">
        <w:t xml:space="preserve">now </w:t>
      </w:r>
      <w:r w:rsidR="001646E6">
        <w:t xml:space="preserve">completely de-politicizing his messianism, in so doing, </w:t>
      </w:r>
      <w:r w:rsidR="00C04F75">
        <w:t xml:space="preserve">refuses </w:t>
      </w:r>
      <w:r w:rsidR="001646E6">
        <w:t xml:space="preserve">to </w:t>
      </w:r>
      <w:r w:rsidR="001646E6">
        <w:lastRenderedPageBreak/>
        <w:t xml:space="preserve">cooperate with </w:t>
      </w:r>
      <w:r w:rsidR="00513A26">
        <w:t xml:space="preserve">the national messianism’s </w:t>
      </w:r>
      <w:r w:rsidR="001646E6">
        <w:t xml:space="preserve">appropriation of the dead-saints (living-dead). In preferring a utopic and eschatological model of messianism identified with the end of history, Judas Iscariot </w:t>
      </w:r>
      <w:r w:rsidR="00F36129">
        <w:t>chooses the opposite of what the people of G</w:t>
      </w:r>
      <w:r w:rsidR="00C04F75">
        <w:t>aram</w:t>
      </w:r>
      <w:r w:rsidR="00F36129">
        <w:t>us chose for him when they sought to crown him as a saint</w:t>
      </w:r>
      <w:r w:rsidR="008916A2">
        <w:t>,</w:t>
      </w:r>
      <w:r w:rsidR="00F36129">
        <w:t xml:space="preserve"> in order to cultivate the </w:t>
      </w:r>
      <w:r w:rsidR="00C04F75">
        <w:t xml:space="preserve">local </w:t>
      </w:r>
      <w:r w:rsidR="00C04F75" w:rsidRPr="00A933FE">
        <w:t xml:space="preserve">residents’ </w:t>
      </w:r>
      <w:r w:rsidR="00F36129">
        <w:t>existential and historical—social and national—framework</w:t>
      </w:r>
      <w:r w:rsidR="00A933FE">
        <w:t>s</w:t>
      </w:r>
      <w:r w:rsidR="00F36129">
        <w:t>. He returns, in fact, to a gnostic, anti-cosmic</w:t>
      </w:r>
      <w:r w:rsidR="008916A2">
        <w:t>,</w:t>
      </w:r>
      <w:r w:rsidR="00F36129">
        <w:t xml:space="preserve"> and anti-im</w:t>
      </w:r>
      <w:r w:rsidR="00507303">
        <w:t>minent</w:t>
      </w:r>
      <w:r w:rsidR="00F36129">
        <w:t xml:space="preserve"> position </w:t>
      </w:r>
      <w:r w:rsidR="00507303">
        <w:t xml:space="preserve">that negates materialistic existence and nullifies it. This act </w:t>
      </w:r>
      <w:r w:rsidR="008916A2">
        <w:t>criticizes</w:t>
      </w:r>
      <w:r w:rsidR="00507303">
        <w:t xml:space="preserve"> </w:t>
      </w:r>
      <w:r w:rsidR="008916A2">
        <w:t>how</w:t>
      </w:r>
      <w:r w:rsidR="00507303">
        <w:t xml:space="preserve"> Israeli sovereignty </w:t>
      </w:r>
      <w:r w:rsidR="00C91F33">
        <w:t>paradoxically works against inherent historical reality to</w:t>
      </w:r>
      <w:r w:rsidR="00A933FE">
        <w:t xml:space="preserve"> </w:t>
      </w:r>
      <w:r w:rsidR="00207E0E">
        <w:t>realize its political aspiration</w:t>
      </w:r>
      <w:r w:rsidR="00C91F33">
        <w:t>s</w:t>
      </w:r>
      <w:r w:rsidR="00507303">
        <w:t xml:space="preserve">: like many national projects, it </w:t>
      </w:r>
      <w:r w:rsidR="00C87442">
        <w:t>transforms</w:t>
      </w:r>
      <w:r w:rsidR="00507303">
        <w:t xml:space="preserve"> historical </w:t>
      </w:r>
      <w:r w:rsidR="00C87442">
        <w:t>figures</w:t>
      </w:r>
      <w:r w:rsidR="00507303">
        <w:t xml:space="preserve"> </w:t>
      </w:r>
      <w:r w:rsidR="00AD7E36">
        <w:t xml:space="preserve">into </w:t>
      </w:r>
      <w:r w:rsidR="00C87442">
        <w:t xml:space="preserve">the </w:t>
      </w:r>
      <w:r w:rsidR="00AD7E36">
        <w:t xml:space="preserve">living-dead, crowns </w:t>
      </w:r>
      <w:proofErr w:type="gramStart"/>
      <w:r w:rsidR="00AD7E36">
        <w:t>humans</w:t>
      </w:r>
      <w:proofErr w:type="gramEnd"/>
      <w:r w:rsidR="00AD7E36">
        <w:t xml:space="preserve"> saints with no actual substance, and substitutes the historical and imminent with myth, which</w:t>
      </w:r>
      <w:r w:rsidR="00C87442">
        <w:t>,</w:t>
      </w:r>
      <w:r w:rsidR="00AD7E36">
        <w:t xml:space="preserve"> </w:t>
      </w:r>
      <w:r w:rsidR="00C87442">
        <w:t>as Roland Barthes explains, speaks</w:t>
      </w:r>
      <w:r w:rsidR="00AD7E36">
        <w:t xml:space="preserve"> in a language fundamentally different tha</w:t>
      </w:r>
      <w:r w:rsidR="00C87442">
        <w:t>n</w:t>
      </w:r>
      <w:r w:rsidR="00AD7E36">
        <w:t xml:space="preserve"> the language of history.</w:t>
      </w:r>
      <w:r w:rsidR="00AD7E36">
        <w:rPr>
          <w:rStyle w:val="FootnoteReference"/>
        </w:rPr>
        <w:footnoteReference w:id="38"/>
      </w:r>
      <w:r w:rsidR="00CC0075">
        <w:t xml:space="preserve"> </w:t>
      </w:r>
    </w:p>
    <w:p w14:paraId="0ADDA1B0" w14:textId="7B7254C3" w:rsidR="004966F6" w:rsidRDefault="003623F9" w:rsidP="005359CE">
      <w:pPr>
        <w:ind w:firstLine="0"/>
      </w:pPr>
      <w:r>
        <w:tab/>
      </w:r>
      <w:r w:rsidR="0057474A">
        <w:t xml:space="preserve"> </w:t>
      </w:r>
    </w:p>
    <w:p w14:paraId="037CB526" w14:textId="3A163668" w:rsidR="0004523D" w:rsidRPr="0004523D" w:rsidRDefault="00235C9A" w:rsidP="00F314B7">
      <w:pPr>
        <w:ind w:firstLine="0"/>
      </w:pPr>
      <w:r>
        <w:t xml:space="preserve"> </w:t>
      </w:r>
    </w:p>
    <w:sectPr w:rsidR="0004523D" w:rsidRPr="0004523D">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6B65EE0" w14:textId="0E603A4E" w:rsidR="000A2D99" w:rsidRDefault="000A2D99">
      <w:pPr>
        <w:pStyle w:val="CommentText"/>
      </w:pPr>
      <w:r>
        <w:rPr>
          <w:rStyle w:val="CommentReference"/>
        </w:rPr>
        <w:annotationRef/>
      </w:r>
      <w:r>
        <w:t>I might rephrase the note as “canonical gospels” rather than “Christian gospels”</w:t>
      </w:r>
    </w:p>
  </w:comment>
  <w:comment w:id="1" w:author="Author" w:initials="A">
    <w:p w14:paraId="0F502DED" w14:textId="60BAD547" w:rsidR="000A2D99" w:rsidRDefault="000A2D99">
      <w:pPr>
        <w:pStyle w:val="CommentText"/>
      </w:pPr>
      <w:r>
        <w:rPr>
          <w:rStyle w:val="CommentReference"/>
        </w:rPr>
        <w:annotationRef/>
      </w:r>
      <w:r>
        <w:t>I’m not sure what this means exactly. Can you clarify?</w:t>
      </w:r>
    </w:p>
  </w:comment>
  <w:comment w:id="2" w:author="Author" w:initials="A">
    <w:p w14:paraId="42A9D9AA" w14:textId="78110D19" w:rsidR="000A2D99" w:rsidRDefault="000A2D99">
      <w:pPr>
        <w:pStyle w:val="CommentText"/>
      </w:pPr>
      <w:r>
        <w:rPr>
          <w:rStyle w:val="CommentReference"/>
        </w:rPr>
        <w:annotationRef/>
      </w:r>
      <w:r>
        <w:t>I’m not sure I know what this means. Does the translation reflect your intention?</w:t>
      </w:r>
    </w:p>
  </w:comment>
  <w:comment w:id="3" w:author="Author" w:initials="A">
    <w:p w14:paraId="7E32B630" w14:textId="40F498DE" w:rsidR="000A2D99" w:rsidRDefault="000A2D99">
      <w:pPr>
        <w:pStyle w:val="CommentText"/>
      </w:pPr>
      <w:r>
        <w:rPr>
          <w:rStyle w:val="CommentReference"/>
        </w:rPr>
        <w:annotationRef/>
      </w:r>
      <w:r>
        <w:t>I am not sure what you mean by “national life”</w:t>
      </w:r>
    </w:p>
  </w:comment>
  <w:comment w:id="4" w:author="Author" w:initials="A">
    <w:p w14:paraId="0189A379" w14:textId="76E6E08C" w:rsidR="000A2D99" w:rsidRDefault="000A2D99">
      <w:pPr>
        <w:pStyle w:val="CommentText"/>
      </w:pPr>
      <w:r>
        <w:rPr>
          <w:rStyle w:val="CommentReference"/>
        </w:rPr>
        <w:annotationRef/>
      </w:r>
      <w:r>
        <w:t>Does this reflect your intention?</w:t>
      </w:r>
    </w:p>
  </w:comment>
  <w:comment w:id="5" w:author="Author" w:initials="A">
    <w:p w14:paraId="1C49F6CC" w14:textId="74C09206" w:rsidR="000A2D99" w:rsidRDefault="000A2D99">
      <w:pPr>
        <w:pStyle w:val="CommentText"/>
      </w:pPr>
      <w:r>
        <w:rPr>
          <w:rStyle w:val="CommentReference"/>
        </w:rPr>
        <w:annotationRef/>
      </w:r>
      <w:r>
        <w:t>Does this word reflect your intention? I wonder as Israel was “sovereign” in the political sense from 1948 on.</w:t>
      </w:r>
    </w:p>
  </w:comment>
  <w:comment w:id="6" w:author="Author" w:initials="A">
    <w:p w14:paraId="29633035" w14:textId="5C5C5BDD" w:rsidR="000A2D99" w:rsidRDefault="000A2D99">
      <w:pPr>
        <w:pStyle w:val="CommentText"/>
      </w:pPr>
      <w:r>
        <w:rPr>
          <w:rStyle w:val="CommentReference"/>
        </w:rPr>
        <w:annotationRef/>
      </w:r>
      <w:r>
        <w:t>Or do you mean “traditional Jewish thought”</w:t>
      </w:r>
    </w:p>
  </w:comment>
  <w:comment w:id="7" w:author="Author" w:initials="A">
    <w:p w14:paraId="64F3C558" w14:textId="5D3E5D2F" w:rsidR="000A2D99" w:rsidRDefault="000A2D99">
      <w:pPr>
        <w:pStyle w:val="CommentText"/>
      </w:pPr>
      <w:r>
        <w:rPr>
          <w:rStyle w:val="CommentReference"/>
        </w:rPr>
        <w:annotationRef/>
      </w:r>
      <w:r>
        <w:t>Does this translation reflect your intention?</w:t>
      </w:r>
    </w:p>
  </w:comment>
  <w:comment w:id="8" w:author="Author" w:initials="A">
    <w:p w14:paraId="12DD28F6" w14:textId="15968F51" w:rsidR="000A2D99" w:rsidRDefault="000A2D99">
      <w:pPr>
        <w:pStyle w:val="CommentText"/>
      </w:pPr>
      <w:r>
        <w:rPr>
          <w:rStyle w:val="CommentReference"/>
        </w:rPr>
        <w:annotationRef/>
      </w:r>
      <w:r>
        <w:t xml:space="preserve">This spelling in the Hebrew source is incorrect. </w:t>
      </w:r>
    </w:p>
  </w:comment>
  <w:comment w:id="9" w:author="Author" w:initials="A">
    <w:p w14:paraId="633DEFC8" w14:textId="5BEA6BAF" w:rsidR="000A2D99" w:rsidRDefault="000A2D99">
      <w:pPr>
        <w:pStyle w:val="CommentText"/>
      </w:pPr>
      <w:r>
        <w:rPr>
          <w:rStyle w:val="CommentReference"/>
        </w:rPr>
        <w:annotationRef/>
      </w:r>
      <w:r>
        <w:t>Did you mean “prostration”? – an idol one kneels before in worship?</w:t>
      </w:r>
    </w:p>
  </w:comment>
  <w:comment w:id="11" w:author="Author" w:initials="A">
    <w:p w14:paraId="2615F785" w14:textId="6CAE0875" w:rsidR="000A2D99" w:rsidRDefault="000A2D99">
      <w:pPr>
        <w:pStyle w:val="CommentText"/>
      </w:pPr>
      <w:r>
        <w:rPr>
          <w:rStyle w:val="CommentReference"/>
        </w:rPr>
        <w:annotationRef/>
      </w:r>
      <w:r>
        <w:t xml:space="preserve">Between who? </w:t>
      </w:r>
    </w:p>
  </w:comment>
  <w:comment w:id="12" w:author="Author" w:initials="A">
    <w:p w14:paraId="7B31B29F" w14:textId="07013619" w:rsidR="000A2D99" w:rsidRDefault="000A2D99">
      <w:pPr>
        <w:pStyle w:val="CommentText"/>
      </w:pPr>
      <w:r>
        <w:rPr>
          <w:rStyle w:val="CommentReference"/>
        </w:rPr>
        <w:annotationRef/>
      </w:r>
      <w:r>
        <w:t xml:space="preserve">Spirituality? </w:t>
      </w:r>
    </w:p>
  </w:comment>
  <w:comment w:id="13" w:author="Author" w:initials="A">
    <w:p w14:paraId="7C0B8588" w14:textId="1F3106AB" w:rsidR="000A2D99" w:rsidRDefault="000A2D99">
      <w:pPr>
        <w:pStyle w:val="CommentText"/>
      </w:pPr>
      <w:r>
        <w:rPr>
          <w:rStyle w:val="CommentReference"/>
        </w:rPr>
        <w:annotationRef/>
      </w:r>
      <w:r>
        <w:t xml:space="preserve">I am not certain I understand this. Do you mean to say that the sanctity of death already flows in the veins of the </w:t>
      </w:r>
      <w:proofErr w:type="gramStart"/>
      <w:r>
        <w:t>collective.</w:t>
      </w:r>
      <w:proofErr w:type="gramEnd"/>
      <w:r>
        <w:t xml:space="preserve"> </w:t>
      </w:r>
    </w:p>
  </w:comment>
  <w:comment w:id="14" w:author="Author" w:initials="A">
    <w:p w14:paraId="29E20AD2" w14:textId="4EB10587" w:rsidR="000A2D99" w:rsidRDefault="000A2D99">
      <w:pPr>
        <w:pStyle w:val="CommentText"/>
      </w:pPr>
      <w:r>
        <w:rPr>
          <w:rStyle w:val="CommentReference"/>
        </w:rPr>
        <w:annotationRef/>
      </w:r>
      <w:r>
        <w:t xml:space="preserve">Another manifestation of? An alternative manifestation of loyalty? </w:t>
      </w:r>
    </w:p>
  </w:comment>
  <w:comment w:id="15" w:author="Author" w:initials="A">
    <w:p w14:paraId="087ACBAE" w14:textId="27485CC0" w:rsidR="000A2D99" w:rsidRDefault="000A2D99" w:rsidP="000A5D05">
      <w:pPr>
        <w:pStyle w:val="CommentText"/>
      </w:pPr>
      <w:r>
        <w:t xml:space="preserve">I would add: </w:t>
      </w:r>
      <w:r>
        <w:rPr>
          <w:rStyle w:val="CommentReference"/>
        </w:rPr>
        <w:annotationRef/>
      </w:r>
      <w:r>
        <w:rPr>
          <w:rStyle w:val="CommentReference"/>
        </w:rPr>
        <w:t>“o</w:t>
      </w:r>
      <w:r>
        <w:t>f Jews in Czarist Russian”</w:t>
      </w:r>
    </w:p>
  </w:comment>
  <w:comment w:id="16" w:author="Author" w:initials="A">
    <w:p w14:paraId="47DAA0EA" w14:textId="5273CA4D" w:rsidR="000A2D99" w:rsidRDefault="000A2D99">
      <w:pPr>
        <w:pStyle w:val="CommentText"/>
      </w:pPr>
      <w:r>
        <w:rPr>
          <w:rStyle w:val="CommentReference"/>
        </w:rPr>
        <w:annotationRef/>
      </w:r>
      <w:r>
        <w:t xml:space="preserve">This is confusing – do you mean to say the social, cultural, political contexts in which the novel was written. And why denial or renunciation? </w:t>
      </w:r>
    </w:p>
  </w:comment>
  <w:comment w:id="17" w:author="Author" w:initials="A">
    <w:p w14:paraId="4E3FE57C" w14:textId="11F8E9FC" w:rsidR="000A2D99" w:rsidRDefault="000A2D99">
      <w:pPr>
        <w:pStyle w:val="CommentText"/>
      </w:pPr>
      <w:r>
        <w:rPr>
          <w:rStyle w:val="CommentReference"/>
        </w:rPr>
        <w:annotationRef/>
      </w:r>
      <w:r>
        <w:t xml:space="preserve">I find this sentence confusing. </w:t>
      </w:r>
    </w:p>
  </w:comment>
  <w:comment w:id="18" w:author="Author" w:initials="A">
    <w:p w14:paraId="5BB80C6A" w14:textId="3F30910B" w:rsidR="000A2D99" w:rsidRDefault="000A2D99">
      <w:pPr>
        <w:pStyle w:val="CommentText"/>
      </w:pPr>
      <w:r>
        <w:rPr>
          <w:rStyle w:val="CommentReference"/>
        </w:rPr>
        <w:annotationRef/>
      </w:r>
      <w:r>
        <w:t xml:space="preserve">I am not certain I understand your meaning here. </w:t>
      </w:r>
    </w:p>
  </w:comment>
  <w:comment w:id="19" w:author="Author" w:initials="A">
    <w:p w14:paraId="1BADC885" w14:textId="7038C502" w:rsidR="000A2D99" w:rsidRDefault="000A2D99">
      <w:pPr>
        <w:pStyle w:val="CommentText"/>
      </w:pPr>
      <w:r>
        <w:rPr>
          <w:rStyle w:val="CommentReference"/>
        </w:rPr>
        <w:annotationRef/>
      </w:r>
      <w:r>
        <w:t>Do you mean, the one that exists? The extant messianic view...</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65EE0" w15:done="0"/>
  <w15:commentEx w15:paraId="0F502DED" w15:done="0"/>
  <w15:commentEx w15:paraId="42A9D9AA" w15:done="0"/>
  <w15:commentEx w15:paraId="7E32B630" w15:done="0"/>
  <w15:commentEx w15:paraId="0189A379" w15:done="0"/>
  <w15:commentEx w15:paraId="1C49F6CC" w15:done="0"/>
  <w15:commentEx w15:paraId="29633035" w15:done="0"/>
  <w15:commentEx w15:paraId="64F3C558" w15:done="0"/>
  <w15:commentEx w15:paraId="12DD28F6" w15:done="0"/>
  <w15:commentEx w15:paraId="633DEFC8" w15:done="0"/>
  <w15:commentEx w15:paraId="2615F785" w15:done="0"/>
  <w15:commentEx w15:paraId="7B31B29F" w15:done="0"/>
  <w15:commentEx w15:paraId="7C0B8588" w15:done="0"/>
  <w15:commentEx w15:paraId="29E20AD2" w15:done="0"/>
  <w15:commentEx w15:paraId="087ACBAE" w15:done="0"/>
  <w15:commentEx w15:paraId="47DAA0EA" w15:done="0"/>
  <w15:commentEx w15:paraId="4E3FE57C" w15:done="0"/>
  <w15:commentEx w15:paraId="5BB80C6A" w15:done="0"/>
  <w15:commentEx w15:paraId="1BADC8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18F84" w16cid:durableId="217C0310"/>
  <w16cid:commentId w16cid:paraId="265E599E" w16cid:durableId="217CCB1D"/>
  <w16cid:commentId w16cid:paraId="7E32B630" w16cid:durableId="217CCBD8"/>
  <w16cid:commentId w16cid:paraId="12DD28F6" w16cid:durableId="217D093E"/>
  <w16cid:commentId w16cid:paraId="633DEFC8" w16cid:durableId="217D12BC"/>
  <w16cid:commentId w16cid:paraId="2615F785" w16cid:durableId="217D391A"/>
  <w16cid:commentId w16cid:paraId="7B31B29F" w16cid:durableId="217E3599"/>
  <w16cid:commentId w16cid:paraId="7C0B8588" w16cid:durableId="217E379B"/>
  <w16cid:commentId w16cid:paraId="29E20AD2" w16cid:durableId="217E3E1E"/>
  <w16cid:commentId w16cid:paraId="47DAA0EA" w16cid:durableId="217E65EC"/>
  <w16cid:commentId w16cid:paraId="4E3FE57C" w16cid:durableId="217E677F"/>
  <w16cid:commentId w16cid:paraId="5BB80C6A" w16cid:durableId="217E6C0B"/>
  <w16cid:commentId w16cid:paraId="1BADC885" w16cid:durableId="217E75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08678" w14:textId="77777777" w:rsidR="008041D1" w:rsidRDefault="008041D1" w:rsidP="00417668">
      <w:pPr>
        <w:spacing w:line="240" w:lineRule="auto"/>
      </w:pPr>
      <w:r>
        <w:separator/>
      </w:r>
    </w:p>
  </w:endnote>
  <w:endnote w:type="continuationSeparator" w:id="0">
    <w:p w14:paraId="080FBE53" w14:textId="77777777" w:rsidR="008041D1" w:rsidRDefault="008041D1" w:rsidP="00417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25960"/>
      <w:docPartObj>
        <w:docPartGallery w:val="Page Numbers (Bottom of Page)"/>
        <w:docPartUnique/>
      </w:docPartObj>
    </w:sdtPr>
    <w:sdtEndPr>
      <w:rPr>
        <w:noProof/>
      </w:rPr>
    </w:sdtEndPr>
    <w:sdtContent>
      <w:p w14:paraId="75FE4E9F" w14:textId="01826462" w:rsidR="000A2D99" w:rsidRDefault="000A2D99">
        <w:pPr>
          <w:pStyle w:val="Footer"/>
          <w:jc w:val="center"/>
        </w:pPr>
        <w:r>
          <w:fldChar w:fldCharType="begin"/>
        </w:r>
        <w:r>
          <w:instrText xml:space="preserve"> PAGE   \* MERGEFORMAT </w:instrText>
        </w:r>
        <w:r>
          <w:fldChar w:fldCharType="separate"/>
        </w:r>
        <w:r w:rsidR="008A5D9B">
          <w:rPr>
            <w:noProof/>
          </w:rPr>
          <w:t>27</w:t>
        </w:r>
        <w:r>
          <w:rPr>
            <w:noProof/>
          </w:rPr>
          <w:fldChar w:fldCharType="end"/>
        </w:r>
      </w:p>
    </w:sdtContent>
  </w:sdt>
  <w:p w14:paraId="6BF02638" w14:textId="77777777" w:rsidR="000A2D99" w:rsidRDefault="000A2D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A5716" w14:textId="77777777" w:rsidR="008041D1" w:rsidRDefault="008041D1" w:rsidP="001C6F57">
      <w:pPr>
        <w:spacing w:line="240" w:lineRule="auto"/>
        <w:ind w:firstLine="0"/>
      </w:pPr>
      <w:r>
        <w:separator/>
      </w:r>
    </w:p>
  </w:footnote>
  <w:footnote w:type="continuationSeparator" w:id="0">
    <w:p w14:paraId="0663E6B3" w14:textId="77777777" w:rsidR="008041D1" w:rsidRDefault="008041D1" w:rsidP="001C6F57">
      <w:pPr>
        <w:spacing w:line="240" w:lineRule="auto"/>
        <w:ind w:firstLine="0"/>
      </w:pPr>
      <w:r>
        <w:continuationSeparator/>
      </w:r>
    </w:p>
  </w:footnote>
  <w:footnote w:id="1">
    <w:p w14:paraId="0E9A2877" w14:textId="092DD096" w:rsidR="000A2D99" w:rsidRPr="004A4A62" w:rsidRDefault="000A2D99" w:rsidP="00426955">
      <w:pPr>
        <w:pStyle w:val="FootnoteText"/>
        <w:ind w:right="-283" w:firstLine="0"/>
        <w:contextualSpacing/>
        <w:jc w:val="both"/>
        <w:rPr>
          <w:sz w:val="24"/>
          <w:szCs w:val="24"/>
        </w:rPr>
      </w:pPr>
      <w:r w:rsidRPr="004A4A62">
        <w:footnoteRef/>
      </w:r>
      <w:r w:rsidRPr="00426955">
        <w:rPr>
          <w:sz w:val="24"/>
          <w:szCs w:val="24"/>
        </w:rPr>
        <w:t xml:space="preserve"> </w:t>
      </w:r>
      <w:r w:rsidRPr="004A4A62">
        <w:rPr>
          <w:sz w:val="24"/>
          <w:szCs w:val="24"/>
        </w:rPr>
        <w:t xml:space="preserve">Jorge Luis Borges. “Three Versions of Judas.” </w:t>
      </w:r>
      <w:r w:rsidRPr="00BF6A88">
        <w:rPr>
          <w:i/>
          <w:iCs/>
          <w:sz w:val="24"/>
          <w:szCs w:val="24"/>
        </w:rPr>
        <w:t>Fictions</w:t>
      </w:r>
      <w:r w:rsidRPr="004A4A62">
        <w:rPr>
          <w:sz w:val="24"/>
          <w:szCs w:val="24"/>
        </w:rPr>
        <w:t>. New York: Grove Press. 1962 [1944], pp. 151-158.</w:t>
      </w:r>
    </w:p>
  </w:footnote>
  <w:footnote w:id="2">
    <w:p w14:paraId="7D5499F4" w14:textId="056ECBEE" w:rsidR="000A2D99" w:rsidRPr="004A4A62" w:rsidRDefault="000A2D99" w:rsidP="00426955">
      <w:pPr>
        <w:pStyle w:val="FootnoteText"/>
        <w:ind w:firstLine="0"/>
        <w:contextualSpacing/>
        <w:rPr>
          <w:sz w:val="24"/>
          <w:szCs w:val="24"/>
        </w:rPr>
      </w:pPr>
      <w:r w:rsidRPr="004A4A62">
        <w:footnoteRef/>
      </w:r>
      <w:r w:rsidRPr="004A4A62">
        <w:rPr>
          <w:sz w:val="24"/>
          <w:szCs w:val="24"/>
        </w:rPr>
        <w:t xml:space="preserve"> A similar narrative arises from the “lost” gospel according to Judas Iscariot, which was found in a third century Coptic manuscript discovered in archeological excavations in 1978 in the El-Minya desert in Egypt. This gospel subverts the theolog</w:t>
      </w:r>
      <w:r>
        <w:rPr>
          <w:sz w:val="24"/>
          <w:szCs w:val="24"/>
        </w:rPr>
        <w:t>ical perceptions of the Christi</w:t>
      </w:r>
      <w:r w:rsidRPr="004A4A62">
        <w:rPr>
          <w:sz w:val="24"/>
          <w:szCs w:val="24"/>
        </w:rPr>
        <w:t>a</w:t>
      </w:r>
      <w:r>
        <w:rPr>
          <w:sz w:val="24"/>
          <w:szCs w:val="24"/>
        </w:rPr>
        <w:t>n</w:t>
      </w:r>
      <w:r w:rsidRPr="004A4A62">
        <w:rPr>
          <w:sz w:val="24"/>
          <w:szCs w:val="24"/>
        </w:rPr>
        <w:t xml:space="preserve"> gospels in the New Testament, and presents the character of Judas Iscariot as a gnostic paradigm of absolute dedication to Christ. Bart D. </w:t>
      </w:r>
      <w:proofErr w:type="spellStart"/>
      <w:r w:rsidRPr="004A4A62">
        <w:rPr>
          <w:sz w:val="24"/>
          <w:szCs w:val="24"/>
        </w:rPr>
        <w:t>Ehrman</w:t>
      </w:r>
      <w:proofErr w:type="spellEnd"/>
      <w:r w:rsidRPr="004A4A62">
        <w:rPr>
          <w:sz w:val="24"/>
          <w:szCs w:val="24"/>
        </w:rPr>
        <w:t xml:space="preserve">. </w:t>
      </w:r>
      <w:r w:rsidRPr="00BF6A88">
        <w:rPr>
          <w:i/>
          <w:iCs/>
          <w:sz w:val="24"/>
          <w:szCs w:val="24"/>
        </w:rPr>
        <w:t>The Lost Gospel of Judas Iscariot: A New Look at Betrayer and Betrayed</w:t>
      </w:r>
      <w:r w:rsidRPr="004A4A62">
        <w:rPr>
          <w:sz w:val="24"/>
          <w:szCs w:val="24"/>
        </w:rPr>
        <w:t>. Oxford University Press. 2008, pp. 1-12.</w:t>
      </w:r>
    </w:p>
  </w:footnote>
  <w:footnote w:id="3">
    <w:p w14:paraId="4D665308" w14:textId="00142607" w:rsidR="000A2D99" w:rsidRPr="00426955" w:rsidRDefault="000A2D99" w:rsidP="00833FF5">
      <w:pPr>
        <w:pStyle w:val="FootnoteText"/>
        <w:ind w:firstLine="0"/>
        <w:contextualSpacing/>
        <w:rPr>
          <w:sz w:val="24"/>
          <w:szCs w:val="24"/>
        </w:rPr>
      </w:pPr>
      <w:r w:rsidRPr="00426955">
        <w:rPr>
          <w:rStyle w:val="FootnoteReference"/>
          <w:sz w:val="24"/>
          <w:szCs w:val="24"/>
        </w:rPr>
        <w:footnoteRef/>
      </w:r>
      <w:r w:rsidRPr="00426955">
        <w:rPr>
          <w:sz w:val="24"/>
          <w:szCs w:val="24"/>
        </w:rPr>
        <w:t xml:space="preserve"> Judas Iscariot became—especially in the nineteenth and twentie</w:t>
      </w:r>
      <w:r>
        <w:rPr>
          <w:sz w:val="24"/>
          <w:szCs w:val="24"/>
        </w:rPr>
        <w:t>th centuries—the focus of extensive literary production</w:t>
      </w:r>
      <w:r w:rsidRPr="00426955">
        <w:rPr>
          <w:sz w:val="24"/>
          <w:szCs w:val="24"/>
        </w:rPr>
        <w:t xml:space="preserve"> that strived to rehabilitate his image, to resurrect him as a promethean hero with ambivalent and contradictory characteristics, and to even crown him the embodiment of modern man’s desperate and defiant voice</w:t>
      </w:r>
      <w:r>
        <w:rPr>
          <w:sz w:val="24"/>
          <w:szCs w:val="24"/>
        </w:rPr>
        <w:t xml:space="preserve"> in the age after the death of G</w:t>
      </w:r>
      <w:r w:rsidRPr="00426955">
        <w:rPr>
          <w:sz w:val="24"/>
          <w:szCs w:val="24"/>
        </w:rPr>
        <w:t xml:space="preserve">od. See for instance: Ken Smith. </w:t>
      </w:r>
      <w:r w:rsidRPr="00426955">
        <w:rPr>
          <w:i/>
          <w:iCs/>
          <w:sz w:val="24"/>
          <w:szCs w:val="24"/>
        </w:rPr>
        <w:t>Judas: A Biographical Novel of the Life of Judas Iscariot</w:t>
      </w:r>
      <w:r w:rsidRPr="00426955">
        <w:rPr>
          <w:sz w:val="24"/>
          <w:szCs w:val="24"/>
        </w:rPr>
        <w:t xml:space="preserve">. Lincoln: Ink, 2001; James Reich. </w:t>
      </w:r>
      <w:r w:rsidRPr="00426955">
        <w:rPr>
          <w:i/>
          <w:iCs/>
          <w:sz w:val="24"/>
          <w:szCs w:val="24"/>
        </w:rPr>
        <w:t>Judas: A Novel</w:t>
      </w:r>
      <w:r w:rsidRPr="00426955">
        <w:rPr>
          <w:sz w:val="24"/>
          <w:szCs w:val="24"/>
        </w:rPr>
        <w:t xml:space="preserve">. Berkeley: Counterpoint, 2011; Tosca Lee. </w:t>
      </w:r>
      <w:r w:rsidRPr="00426955">
        <w:rPr>
          <w:i/>
          <w:iCs/>
          <w:sz w:val="24"/>
          <w:szCs w:val="24"/>
        </w:rPr>
        <w:t>Iscariot: A Novel of Judas</w:t>
      </w:r>
      <w:r w:rsidRPr="00426955">
        <w:rPr>
          <w:sz w:val="24"/>
          <w:szCs w:val="24"/>
        </w:rPr>
        <w:t xml:space="preserve">. New York: Howard Books, 2013; Amos Oz. </w:t>
      </w:r>
      <w:r w:rsidRPr="00426955">
        <w:rPr>
          <w:i/>
          <w:iCs/>
          <w:sz w:val="24"/>
          <w:szCs w:val="24"/>
        </w:rPr>
        <w:t>Judas</w:t>
      </w:r>
      <w:r w:rsidRPr="00426955">
        <w:rPr>
          <w:sz w:val="24"/>
          <w:szCs w:val="24"/>
        </w:rPr>
        <w:t xml:space="preserve">. London: Penguin Books, 2016. </w:t>
      </w:r>
    </w:p>
  </w:footnote>
  <w:footnote w:id="4">
    <w:p w14:paraId="239BF733" w14:textId="18C6C8B9" w:rsidR="000A2D99" w:rsidRPr="00426955" w:rsidRDefault="000A2D99" w:rsidP="009C06ED">
      <w:pPr>
        <w:pStyle w:val="FootnoteText"/>
        <w:ind w:firstLine="0"/>
        <w:contextualSpacing/>
        <w:rPr>
          <w:sz w:val="24"/>
          <w:szCs w:val="24"/>
        </w:rPr>
      </w:pPr>
      <w:r w:rsidRPr="00426955">
        <w:rPr>
          <w:rStyle w:val="FootnoteReference"/>
          <w:sz w:val="24"/>
          <w:szCs w:val="24"/>
        </w:rPr>
        <w:footnoteRef/>
      </w:r>
      <w:r w:rsidRPr="00426955">
        <w:rPr>
          <w:sz w:val="24"/>
          <w:szCs w:val="24"/>
        </w:rPr>
        <w:t xml:space="preserve"> From here on, all quotations in the text are taken from the translated English version: Igal Mossinsohn. </w:t>
      </w:r>
      <w:r w:rsidRPr="00426955">
        <w:rPr>
          <w:i/>
          <w:iCs/>
          <w:sz w:val="24"/>
          <w:szCs w:val="24"/>
        </w:rPr>
        <w:t>Judas</w:t>
      </w:r>
      <w:r w:rsidRPr="00426955">
        <w:rPr>
          <w:sz w:val="24"/>
          <w:szCs w:val="24"/>
        </w:rPr>
        <w:t>. Translation: Jules Harlow. New York: St. Martin’s Press, 1963</w:t>
      </w:r>
      <w:r>
        <w:rPr>
          <w:sz w:val="24"/>
          <w:szCs w:val="24"/>
        </w:rPr>
        <w:t>.</w:t>
      </w:r>
      <w:r w:rsidRPr="00426955">
        <w:rPr>
          <w:sz w:val="24"/>
          <w:szCs w:val="24"/>
        </w:rPr>
        <w:t xml:space="preserve"> </w:t>
      </w:r>
    </w:p>
  </w:footnote>
  <w:footnote w:id="5">
    <w:p w14:paraId="75ABF90B" w14:textId="6676D0CC" w:rsidR="000A2D99" w:rsidRPr="00426955" w:rsidRDefault="000A2D99" w:rsidP="001F65B6">
      <w:pPr>
        <w:pStyle w:val="FootnoteText"/>
        <w:ind w:firstLine="0"/>
        <w:contextualSpacing/>
        <w:rPr>
          <w:sz w:val="24"/>
          <w:szCs w:val="24"/>
        </w:rPr>
      </w:pPr>
      <w:r w:rsidRPr="00426955">
        <w:rPr>
          <w:rStyle w:val="FootnoteReference"/>
          <w:sz w:val="24"/>
          <w:szCs w:val="24"/>
        </w:rPr>
        <w:footnoteRef/>
      </w:r>
      <w:r w:rsidRPr="00426955">
        <w:rPr>
          <w:sz w:val="24"/>
          <w:szCs w:val="24"/>
        </w:rPr>
        <w:t xml:space="preserve"> Gershon Shaked. “Through a Man: On the Literary Work of Igal Mossinsohn.” </w:t>
      </w:r>
      <w:proofErr w:type="spellStart"/>
      <w:r w:rsidRPr="00426955">
        <w:rPr>
          <w:i/>
          <w:iCs/>
          <w:sz w:val="24"/>
          <w:szCs w:val="24"/>
        </w:rPr>
        <w:t>Mekhkarei</w:t>
      </w:r>
      <w:proofErr w:type="spellEnd"/>
      <w:r w:rsidRPr="00426955">
        <w:rPr>
          <w:i/>
          <w:iCs/>
          <w:sz w:val="24"/>
          <w:szCs w:val="24"/>
        </w:rPr>
        <w:t xml:space="preserve"> </w:t>
      </w:r>
      <w:proofErr w:type="spellStart"/>
      <w:r w:rsidRPr="00426955">
        <w:rPr>
          <w:i/>
          <w:iCs/>
          <w:sz w:val="24"/>
          <w:szCs w:val="24"/>
        </w:rPr>
        <w:t>Yerushalaim</w:t>
      </w:r>
      <w:proofErr w:type="spellEnd"/>
      <w:r w:rsidRPr="00426955">
        <w:rPr>
          <w:i/>
          <w:iCs/>
          <w:sz w:val="24"/>
          <w:szCs w:val="24"/>
        </w:rPr>
        <w:t xml:space="preserve"> </w:t>
      </w:r>
      <w:proofErr w:type="spellStart"/>
      <w:r w:rsidRPr="00426955">
        <w:rPr>
          <w:i/>
          <w:iCs/>
          <w:sz w:val="24"/>
          <w:szCs w:val="24"/>
        </w:rPr>
        <w:t>Bisifrut</w:t>
      </w:r>
      <w:proofErr w:type="spellEnd"/>
      <w:r w:rsidRPr="00426955">
        <w:rPr>
          <w:sz w:val="24"/>
          <w:szCs w:val="24"/>
        </w:rPr>
        <w:t xml:space="preserve"> </w:t>
      </w:r>
      <w:proofErr w:type="spellStart"/>
      <w:r w:rsidRPr="00426955">
        <w:rPr>
          <w:i/>
          <w:iCs/>
          <w:sz w:val="24"/>
          <w:szCs w:val="24"/>
        </w:rPr>
        <w:t>Ivrit</w:t>
      </w:r>
      <w:proofErr w:type="spellEnd"/>
      <w:r w:rsidRPr="00426955">
        <w:rPr>
          <w:i/>
          <w:iCs/>
          <w:sz w:val="24"/>
          <w:szCs w:val="24"/>
        </w:rPr>
        <w:t xml:space="preserve"> </w:t>
      </w:r>
      <w:r w:rsidRPr="00426955">
        <w:rPr>
          <w:sz w:val="24"/>
          <w:szCs w:val="24"/>
        </w:rPr>
        <w:t>(1990): pp. 223-251 [p.240]. [</w:t>
      </w:r>
      <w:r>
        <w:rPr>
          <w:sz w:val="24"/>
          <w:szCs w:val="24"/>
        </w:rPr>
        <w:t>I</w:t>
      </w:r>
      <w:r w:rsidRPr="00426955">
        <w:rPr>
          <w:sz w:val="24"/>
          <w:szCs w:val="24"/>
        </w:rPr>
        <w:t>n Hebrew]</w:t>
      </w:r>
    </w:p>
  </w:footnote>
  <w:footnote w:id="6">
    <w:p w14:paraId="3F5B12ED" w14:textId="62B88006" w:rsidR="000A2D99" w:rsidRPr="00426955" w:rsidRDefault="000A2D99" w:rsidP="001F65B6">
      <w:pPr>
        <w:pStyle w:val="FootnoteText"/>
        <w:ind w:firstLine="0"/>
        <w:contextualSpacing/>
        <w:rPr>
          <w:sz w:val="24"/>
          <w:szCs w:val="24"/>
        </w:rPr>
      </w:pPr>
      <w:r w:rsidRPr="00426955">
        <w:rPr>
          <w:rStyle w:val="FootnoteReference"/>
          <w:sz w:val="24"/>
          <w:szCs w:val="24"/>
        </w:rPr>
        <w:footnoteRef/>
      </w:r>
      <w:r w:rsidRPr="00426955">
        <w:rPr>
          <w:sz w:val="24"/>
          <w:szCs w:val="24"/>
        </w:rPr>
        <w:t xml:space="preserve"> Avner Holzman. “Portrait of Realistic Fiction.” </w:t>
      </w:r>
      <w:proofErr w:type="spellStart"/>
      <w:r w:rsidRPr="00426955">
        <w:rPr>
          <w:i/>
          <w:iCs/>
          <w:sz w:val="24"/>
          <w:szCs w:val="24"/>
        </w:rPr>
        <w:t>Mada</w:t>
      </w:r>
      <w:proofErr w:type="spellEnd"/>
      <w:r w:rsidRPr="00426955">
        <w:rPr>
          <w:i/>
          <w:iCs/>
          <w:sz w:val="24"/>
          <w:szCs w:val="24"/>
        </w:rPr>
        <w:t xml:space="preserve"> </w:t>
      </w:r>
      <w:proofErr w:type="spellStart"/>
      <w:r w:rsidRPr="00426955">
        <w:rPr>
          <w:i/>
          <w:iCs/>
          <w:sz w:val="24"/>
          <w:szCs w:val="24"/>
        </w:rPr>
        <w:t>Hayahadut</w:t>
      </w:r>
      <w:proofErr w:type="spellEnd"/>
      <w:r w:rsidRPr="00426955">
        <w:rPr>
          <w:sz w:val="24"/>
          <w:szCs w:val="24"/>
        </w:rPr>
        <w:t xml:space="preserve"> 34 (1994): pp. 149-156 [p. 153]. [In Hebrew]</w:t>
      </w:r>
    </w:p>
  </w:footnote>
  <w:footnote w:id="7">
    <w:p w14:paraId="0D40ABC8" w14:textId="77350696" w:rsidR="000A2D99" w:rsidRDefault="000A2D99" w:rsidP="00426955">
      <w:pPr>
        <w:pStyle w:val="FootnoteText"/>
        <w:ind w:firstLine="0"/>
        <w:contextualSpacing/>
      </w:pPr>
      <w:r w:rsidRPr="00426955">
        <w:rPr>
          <w:sz w:val="24"/>
          <w:szCs w:val="24"/>
          <w:vertAlign w:val="superscript"/>
        </w:rPr>
        <w:footnoteRef/>
      </w:r>
      <w:r w:rsidRPr="00426955">
        <w:rPr>
          <w:sz w:val="24"/>
          <w:szCs w:val="24"/>
          <w:vertAlign w:val="superscript"/>
        </w:rPr>
        <w:t xml:space="preserve"> </w:t>
      </w:r>
      <w:r w:rsidRPr="00426955">
        <w:rPr>
          <w:sz w:val="24"/>
          <w:szCs w:val="24"/>
        </w:rPr>
        <w:t xml:space="preserve">Antonio Gramsci. </w:t>
      </w:r>
      <w:r w:rsidRPr="00426955">
        <w:rPr>
          <w:i/>
          <w:iCs/>
          <w:sz w:val="24"/>
          <w:szCs w:val="24"/>
        </w:rPr>
        <w:t>Selections from the Prison Notebooks</w:t>
      </w:r>
      <w:r w:rsidRPr="00426955">
        <w:rPr>
          <w:sz w:val="24"/>
          <w:szCs w:val="24"/>
        </w:rPr>
        <w:t>, New York: International Publications, 1971.</w:t>
      </w:r>
    </w:p>
  </w:footnote>
  <w:footnote w:id="8">
    <w:p w14:paraId="4AF4A023" w14:textId="52E4C4C3" w:rsidR="000A2D99" w:rsidRPr="00426955" w:rsidRDefault="000A2D99" w:rsidP="001C6F57">
      <w:pPr>
        <w:pStyle w:val="FootnoteText"/>
        <w:ind w:firstLine="0"/>
        <w:rPr>
          <w:sz w:val="24"/>
          <w:szCs w:val="24"/>
        </w:rPr>
      </w:pPr>
      <w:r w:rsidRPr="00426955">
        <w:rPr>
          <w:rStyle w:val="FootnoteReference"/>
          <w:sz w:val="24"/>
          <w:szCs w:val="24"/>
        </w:rPr>
        <w:footnoteRef/>
      </w:r>
      <w:r w:rsidRPr="00426955">
        <w:rPr>
          <w:sz w:val="24"/>
          <w:szCs w:val="24"/>
        </w:rPr>
        <w:t xml:space="preserve"> Yael Dar. “Between the Dissolution of the Palmach and Children’s Stories. Moshe Shamir and Igal Mossinsohn Write for Children Against the Background and Conflicts Between </w:t>
      </w:r>
      <w:proofErr w:type="spellStart"/>
      <w:r w:rsidRPr="00426955">
        <w:rPr>
          <w:sz w:val="24"/>
          <w:szCs w:val="24"/>
        </w:rPr>
        <w:t>Mapai</w:t>
      </w:r>
      <w:proofErr w:type="spellEnd"/>
      <w:r w:rsidRPr="00426955">
        <w:rPr>
          <w:sz w:val="24"/>
          <w:szCs w:val="24"/>
        </w:rPr>
        <w:t xml:space="preserve"> and </w:t>
      </w:r>
      <w:proofErr w:type="spellStart"/>
      <w:r w:rsidRPr="00426955">
        <w:rPr>
          <w:sz w:val="24"/>
          <w:szCs w:val="24"/>
        </w:rPr>
        <w:t>Mapam</w:t>
      </w:r>
      <w:proofErr w:type="spellEnd"/>
      <w:r w:rsidRPr="00426955">
        <w:rPr>
          <w:sz w:val="24"/>
          <w:szCs w:val="24"/>
        </w:rPr>
        <w:t xml:space="preserve"> during the Independence War.” Mordechai Bar-On and Meir </w:t>
      </w:r>
      <w:proofErr w:type="spellStart"/>
      <w:r w:rsidRPr="00426955">
        <w:rPr>
          <w:sz w:val="24"/>
          <w:szCs w:val="24"/>
        </w:rPr>
        <w:t>Hazan</w:t>
      </w:r>
      <w:proofErr w:type="spellEnd"/>
      <w:r w:rsidRPr="00426955">
        <w:rPr>
          <w:sz w:val="24"/>
          <w:szCs w:val="24"/>
        </w:rPr>
        <w:t xml:space="preserve"> (Eds.) </w:t>
      </w:r>
      <w:proofErr w:type="spellStart"/>
      <w:r w:rsidRPr="00426955">
        <w:rPr>
          <w:i/>
          <w:iCs/>
          <w:sz w:val="24"/>
          <w:szCs w:val="24"/>
        </w:rPr>
        <w:t>Politika</w:t>
      </w:r>
      <w:proofErr w:type="spellEnd"/>
      <w:r w:rsidRPr="00426955">
        <w:rPr>
          <w:i/>
          <w:iCs/>
          <w:sz w:val="24"/>
          <w:szCs w:val="24"/>
        </w:rPr>
        <w:t xml:space="preserve"> </w:t>
      </w:r>
      <w:proofErr w:type="spellStart"/>
      <w:r w:rsidRPr="00426955">
        <w:rPr>
          <w:i/>
          <w:iCs/>
          <w:sz w:val="24"/>
          <w:szCs w:val="24"/>
        </w:rPr>
        <w:t>Bemilkhama</w:t>
      </w:r>
      <w:proofErr w:type="spellEnd"/>
      <w:r w:rsidRPr="00426955">
        <w:rPr>
          <w:i/>
          <w:iCs/>
          <w:sz w:val="24"/>
          <w:szCs w:val="24"/>
        </w:rPr>
        <w:t xml:space="preserve">: </w:t>
      </w:r>
      <w:proofErr w:type="spellStart"/>
      <w:r w:rsidRPr="00426955">
        <w:rPr>
          <w:i/>
          <w:iCs/>
          <w:sz w:val="24"/>
          <w:szCs w:val="24"/>
        </w:rPr>
        <w:t>Kovetz</w:t>
      </w:r>
      <w:proofErr w:type="spellEnd"/>
      <w:r w:rsidRPr="00426955">
        <w:rPr>
          <w:i/>
          <w:iCs/>
          <w:sz w:val="24"/>
          <w:szCs w:val="24"/>
        </w:rPr>
        <w:t xml:space="preserve"> </w:t>
      </w:r>
      <w:proofErr w:type="spellStart"/>
      <w:r w:rsidRPr="00426955">
        <w:rPr>
          <w:i/>
          <w:iCs/>
          <w:sz w:val="24"/>
          <w:szCs w:val="24"/>
        </w:rPr>
        <w:t>Mekhkarim</w:t>
      </w:r>
      <w:proofErr w:type="spellEnd"/>
      <w:r w:rsidRPr="00426955">
        <w:rPr>
          <w:i/>
          <w:iCs/>
          <w:sz w:val="24"/>
          <w:szCs w:val="24"/>
        </w:rPr>
        <w:t xml:space="preserve"> al </w:t>
      </w:r>
      <w:proofErr w:type="spellStart"/>
      <w:r w:rsidRPr="00426955">
        <w:rPr>
          <w:i/>
          <w:iCs/>
          <w:sz w:val="24"/>
          <w:szCs w:val="24"/>
        </w:rPr>
        <w:t>Hahevra</w:t>
      </w:r>
      <w:proofErr w:type="spellEnd"/>
      <w:r w:rsidRPr="00426955">
        <w:rPr>
          <w:i/>
          <w:iCs/>
          <w:sz w:val="24"/>
          <w:szCs w:val="24"/>
        </w:rPr>
        <w:t xml:space="preserve"> </w:t>
      </w:r>
      <w:proofErr w:type="spellStart"/>
      <w:r w:rsidRPr="00426955">
        <w:rPr>
          <w:i/>
          <w:iCs/>
          <w:sz w:val="24"/>
          <w:szCs w:val="24"/>
        </w:rPr>
        <w:t>Haezrakhit</w:t>
      </w:r>
      <w:proofErr w:type="spellEnd"/>
      <w:r w:rsidRPr="00426955">
        <w:rPr>
          <w:i/>
          <w:iCs/>
          <w:sz w:val="24"/>
          <w:szCs w:val="24"/>
        </w:rPr>
        <w:t xml:space="preserve"> </w:t>
      </w:r>
      <w:proofErr w:type="spellStart"/>
      <w:r w:rsidRPr="00426955">
        <w:rPr>
          <w:i/>
          <w:iCs/>
          <w:sz w:val="24"/>
          <w:szCs w:val="24"/>
        </w:rPr>
        <w:t>Bimilkhemet</w:t>
      </w:r>
      <w:proofErr w:type="spellEnd"/>
      <w:r w:rsidRPr="00426955">
        <w:rPr>
          <w:i/>
          <w:iCs/>
          <w:sz w:val="24"/>
          <w:szCs w:val="24"/>
        </w:rPr>
        <w:t xml:space="preserve"> </w:t>
      </w:r>
      <w:proofErr w:type="spellStart"/>
      <w:r w:rsidRPr="00426955">
        <w:rPr>
          <w:i/>
          <w:iCs/>
          <w:sz w:val="24"/>
          <w:szCs w:val="24"/>
        </w:rPr>
        <w:t>Haatzmaut</w:t>
      </w:r>
      <w:proofErr w:type="spellEnd"/>
      <w:r w:rsidRPr="00426955">
        <w:rPr>
          <w:sz w:val="24"/>
          <w:szCs w:val="24"/>
        </w:rPr>
        <w:t xml:space="preserve">. Jerusalem: </w:t>
      </w:r>
      <w:proofErr w:type="spellStart"/>
      <w:r w:rsidRPr="00426955">
        <w:rPr>
          <w:sz w:val="24"/>
          <w:szCs w:val="24"/>
        </w:rPr>
        <w:t>Yad</w:t>
      </w:r>
      <w:proofErr w:type="spellEnd"/>
      <w:r w:rsidRPr="00426955">
        <w:rPr>
          <w:sz w:val="24"/>
          <w:szCs w:val="24"/>
        </w:rPr>
        <w:t xml:space="preserve"> Yitzhak </w:t>
      </w:r>
      <w:r>
        <w:rPr>
          <w:sz w:val="24"/>
          <w:szCs w:val="24"/>
        </w:rPr>
        <w:t>B</w:t>
      </w:r>
      <w:r w:rsidRPr="00426955">
        <w:rPr>
          <w:sz w:val="24"/>
          <w:szCs w:val="24"/>
        </w:rPr>
        <w:t>en-</w:t>
      </w:r>
      <w:proofErr w:type="spellStart"/>
      <w:r w:rsidRPr="00426955">
        <w:rPr>
          <w:sz w:val="24"/>
          <w:szCs w:val="24"/>
        </w:rPr>
        <w:t>Zvi</w:t>
      </w:r>
      <w:proofErr w:type="spellEnd"/>
      <w:r w:rsidRPr="00426955">
        <w:rPr>
          <w:sz w:val="24"/>
          <w:szCs w:val="24"/>
        </w:rPr>
        <w:t>, 2014. pp. 580-598 [p.</w:t>
      </w:r>
      <w:r>
        <w:rPr>
          <w:sz w:val="24"/>
          <w:szCs w:val="24"/>
        </w:rPr>
        <w:t xml:space="preserve"> </w:t>
      </w:r>
      <w:r w:rsidRPr="00426955">
        <w:rPr>
          <w:sz w:val="24"/>
          <w:szCs w:val="24"/>
        </w:rPr>
        <w:t>593]. [In Hebrew].</w:t>
      </w:r>
    </w:p>
  </w:footnote>
  <w:footnote w:id="9">
    <w:p w14:paraId="566F74FA" w14:textId="17E2A059" w:rsidR="000A2D99" w:rsidRPr="00426955" w:rsidRDefault="000A2D99" w:rsidP="00C862AB">
      <w:pPr>
        <w:pStyle w:val="FootnoteText"/>
        <w:ind w:right="-283" w:firstLine="0"/>
        <w:jc w:val="both"/>
        <w:rPr>
          <w:sz w:val="24"/>
          <w:szCs w:val="24"/>
        </w:rPr>
      </w:pPr>
      <w:r w:rsidRPr="00426955">
        <w:rPr>
          <w:rStyle w:val="FootnoteReference"/>
          <w:sz w:val="24"/>
          <w:szCs w:val="24"/>
        </w:rPr>
        <w:footnoteRef/>
      </w:r>
      <w:r w:rsidRPr="00426955">
        <w:rPr>
          <w:sz w:val="24"/>
          <w:szCs w:val="24"/>
        </w:rPr>
        <w:t xml:space="preserve"> David </w:t>
      </w:r>
      <w:proofErr w:type="spellStart"/>
      <w:r w:rsidRPr="00426955">
        <w:rPr>
          <w:sz w:val="24"/>
          <w:szCs w:val="24"/>
        </w:rPr>
        <w:t>Ohana</w:t>
      </w:r>
      <w:proofErr w:type="spellEnd"/>
      <w:r w:rsidRPr="00426955">
        <w:rPr>
          <w:sz w:val="24"/>
          <w:szCs w:val="24"/>
        </w:rPr>
        <w:t xml:space="preserve">. </w:t>
      </w:r>
      <w:proofErr w:type="spellStart"/>
      <w:r w:rsidRPr="00426955">
        <w:rPr>
          <w:i/>
          <w:iCs/>
          <w:sz w:val="24"/>
          <w:szCs w:val="24"/>
        </w:rPr>
        <w:t>Messianism</w:t>
      </w:r>
      <w:proofErr w:type="spellEnd"/>
      <w:r w:rsidRPr="00426955">
        <w:rPr>
          <w:i/>
          <w:iCs/>
          <w:sz w:val="24"/>
          <w:szCs w:val="24"/>
        </w:rPr>
        <w:t xml:space="preserve"> and </w:t>
      </w:r>
      <w:proofErr w:type="spellStart"/>
      <w:r w:rsidRPr="00426955">
        <w:rPr>
          <w:i/>
          <w:iCs/>
          <w:sz w:val="24"/>
          <w:szCs w:val="24"/>
        </w:rPr>
        <w:t>Mamlachtiut</w:t>
      </w:r>
      <w:proofErr w:type="spellEnd"/>
      <w:r w:rsidRPr="00426955">
        <w:rPr>
          <w:i/>
          <w:iCs/>
          <w:sz w:val="24"/>
          <w:szCs w:val="24"/>
        </w:rPr>
        <w:t xml:space="preserve"> – Ben-Gurion and the Intellectuals – Between Political Vision and Political Theology</w:t>
      </w:r>
      <w:r w:rsidRPr="00426955">
        <w:rPr>
          <w:sz w:val="24"/>
          <w:szCs w:val="24"/>
        </w:rPr>
        <w:t>. The Ben-Gurion Research Institute, 2003, pp. 254 [In Hebrew].</w:t>
      </w:r>
      <w:r w:rsidRPr="00426955">
        <w:rPr>
          <w:sz w:val="24"/>
          <w:szCs w:val="24"/>
          <w:rtl/>
        </w:rPr>
        <w:t xml:space="preserve"> </w:t>
      </w:r>
    </w:p>
  </w:footnote>
  <w:footnote w:id="10">
    <w:p w14:paraId="11633120" w14:textId="038D4B11" w:rsidR="000A2D99" w:rsidRDefault="000A2D99" w:rsidP="00EE2793">
      <w:pPr>
        <w:spacing w:line="240" w:lineRule="auto"/>
        <w:ind w:right="-283" w:firstLine="0"/>
        <w:jc w:val="both"/>
      </w:pPr>
      <w:r w:rsidRPr="00EE2793">
        <w:rPr>
          <w:rStyle w:val="FootnoteReference"/>
        </w:rPr>
        <w:footnoteRef/>
      </w:r>
      <w:r>
        <w:t xml:space="preserve"> </w:t>
      </w:r>
      <w:proofErr w:type="spellStart"/>
      <w:r w:rsidRPr="00426955">
        <w:t>Søren</w:t>
      </w:r>
      <w:proofErr w:type="spellEnd"/>
      <w:r w:rsidRPr="00426955">
        <w:t xml:space="preserve"> Kierkegaard. Papers and Journals. Trans. Howard V. Hong and Edna H. Hong. Bloomington: Indiana University Press, 1970, pp. 512. </w:t>
      </w:r>
    </w:p>
  </w:footnote>
  <w:footnote w:id="11">
    <w:p w14:paraId="4C67E143" w14:textId="58ED1793" w:rsidR="000A2D99" w:rsidRPr="00EE2793" w:rsidRDefault="000A2D99" w:rsidP="00643A5E">
      <w:pPr>
        <w:pStyle w:val="FootnoteText"/>
        <w:ind w:firstLine="0"/>
        <w:rPr>
          <w:sz w:val="24"/>
          <w:szCs w:val="24"/>
        </w:rPr>
      </w:pPr>
      <w:r w:rsidRPr="00EE2793">
        <w:rPr>
          <w:rStyle w:val="FootnoteReference"/>
          <w:sz w:val="24"/>
          <w:szCs w:val="24"/>
        </w:rPr>
        <w:footnoteRef/>
      </w:r>
      <w:r w:rsidRPr="00EE2793">
        <w:rPr>
          <w:sz w:val="24"/>
          <w:szCs w:val="24"/>
        </w:rPr>
        <w:t xml:space="preserve"> Israel </w:t>
      </w:r>
      <w:proofErr w:type="spellStart"/>
      <w:r w:rsidRPr="00EE2793">
        <w:rPr>
          <w:sz w:val="24"/>
          <w:szCs w:val="24"/>
        </w:rPr>
        <w:t>Yaacov</w:t>
      </w:r>
      <w:proofErr w:type="spellEnd"/>
      <w:r w:rsidRPr="00EE2793">
        <w:rPr>
          <w:sz w:val="24"/>
          <w:szCs w:val="24"/>
        </w:rPr>
        <w:t xml:space="preserve"> Yuval argues that Judas Iscariot is indeed referenced, albeit in a circumvented and indirect manner, in the </w:t>
      </w:r>
      <w:r>
        <w:rPr>
          <w:sz w:val="24"/>
          <w:szCs w:val="24"/>
        </w:rPr>
        <w:t xml:space="preserve">narratives of the destruction of the Temple in tractate </w:t>
      </w:r>
      <w:proofErr w:type="spellStart"/>
      <w:r>
        <w:rPr>
          <w:sz w:val="24"/>
          <w:szCs w:val="24"/>
        </w:rPr>
        <w:t>Gittin</w:t>
      </w:r>
      <w:proofErr w:type="spellEnd"/>
      <w:r>
        <w:rPr>
          <w:sz w:val="24"/>
          <w:szCs w:val="24"/>
        </w:rPr>
        <w:t xml:space="preserve"> 55b-57a, and in the story on </w:t>
      </w:r>
      <w:proofErr w:type="spellStart"/>
      <w:r>
        <w:rPr>
          <w:sz w:val="24"/>
          <w:szCs w:val="24"/>
        </w:rPr>
        <w:t>Kamtz</w:t>
      </w:r>
      <w:proofErr w:type="spellEnd"/>
      <w:r>
        <w:rPr>
          <w:sz w:val="24"/>
          <w:szCs w:val="24"/>
        </w:rPr>
        <w:t xml:space="preserve"> and Bar </w:t>
      </w:r>
      <w:proofErr w:type="spellStart"/>
      <w:r>
        <w:rPr>
          <w:sz w:val="24"/>
          <w:szCs w:val="24"/>
        </w:rPr>
        <w:t>Kamtza</w:t>
      </w:r>
      <w:proofErr w:type="spellEnd"/>
      <w:r>
        <w:rPr>
          <w:sz w:val="24"/>
          <w:szCs w:val="24"/>
        </w:rPr>
        <w:t xml:space="preserve">. </w:t>
      </w:r>
      <w:r w:rsidRPr="00EE2793">
        <w:rPr>
          <w:sz w:val="24"/>
          <w:szCs w:val="24"/>
        </w:rPr>
        <w:t xml:space="preserve">(Israel </w:t>
      </w:r>
      <w:proofErr w:type="spellStart"/>
      <w:r w:rsidRPr="00EE2793">
        <w:rPr>
          <w:sz w:val="24"/>
          <w:szCs w:val="24"/>
        </w:rPr>
        <w:t>Yaacov</w:t>
      </w:r>
      <w:proofErr w:type="spellEnd"/>
      <w:r w:rsidRPr="00EE2793">
        <w:rPr>
          <w:sz w:val="24"/>
          <w:szCs w:val="24"/>
        </w:rPr>
        <w:t xml:space="preserve"> Yuval. </w:t>
      </w:r>
      <w:r w:rsidRPr="00EE2793">
        <w:rPr>
          <w:i/>
          <w:iCs/>
          <w:sz w:val="24"/>
          <w:szCs w:val="24"/>
        </w:rPr>
        <w:t>Two Gentiles in Your Stomach. Jews and Christians. Mutual Images</w:t>
      </w:r>
      <w:r w:rsidRPr="00EE2793">
        <w:rPr>
          <w:sz w:val="24"/>
          <w:szCs w:val="24"/>
        </w:rPr>
        <w:t>. Tel Aviv: Am Oved, 2000, pp. 55-67.) [In Hebrew].</w:t>
      </w:r>
    </w:p>
  </w:footnote>
  <w:footnote w:id="12">
    <w:p w14:paraId="165D59B9" w14:textId="3317ADA3" w:rsidR="000A2D99" w:rsidRPr="00EE2793" w:rsidRDefault="000A2D99" w:rsidP="00C56AC6">
      <w:pPr>
        <w:pStyle w:val="FootnoteText"/>
        <w:ind w:firstLine="0"/>
        <w:rPr>
          <w:sz w:val="24"/>
          <w:szCs w:val="24"/>
        </w:rPr>
      </w:pPr>
      <w:r w:rsidRPr="00EE2793">
        <w:rPr>
          <w:rStyle w:val="FootnoteReference"/>
          <w:sz w:val="24"/>
          <w:szCs w:val="24"/>
        </w:rPr>
        <w:footnoteRef/>
      </w:r>
      <w:r w:rsidRPr="00EE2793">
        <w:rPr>
          <w:sz w:val="24"/>
          <w:szCs w:val="24"/>
        </w:rPr>
        <w:t xml:space="preserve"> In contrast to the Babylonian Talmud, the Palestinian Talmud does not contain </w:t>
      </w:r>
      <w:r>
        <w:rPr>
          <w:sz w:val="24"/>
          <w:szCs w:val="24"/>
        </w:rPr>
        <w:t>texts</w:t>
      </w:r>
      <w:r w:rsidRPr="00EE2793">
        <w:rPr>
          <w:sz w:val="24"/>
          <w:szCs w:val="24"/>
        </w:rPr>
        <w:t xml:space="preserve"> that can be understood as r</w:t>
      </w:r>
      <w:r>
        <w:rPr>
          <w:sz w:val="24"/>
          <w:szCs w:val="24"/>
        </w:rPr>
        <w:t xml:space="preserve">eferring </w:t>
      </w:r>
      <w:r w:rsidRPr="00EE2793">
        <w:rPr>
          <w:sz w:val="24"/>
          <w:szCs w:val="24"/>
        </w:rPr>
        <w:t xml:space="preserve">to Jesus or Christianity. According to the prevalent hypothesis, Christianity’s </w:t>
      </w:r>
      <w:r>
        <w:rPr>
          <w:sz w:val="24"/>
          <w:szCs w:val="24"/>
        </w:rPr>
        <w:t xml:space="preserve">status as </w:t>
      </w:r>
      <w:r w:rsidRPr="00EE2793">
        <w:rPr>
          <w:sz w:val="24"/>
          <w:szCs w:val="24"/>
        </w:rPr>
        <w:t xml:space="preserve">the </w:t>
      </w:r>
      <w:r>
        <w:rPr>
          <w:sz w:val="24"/>
          <w:szCs w:val="24"/>
        </w:rPr>
        <w:t>official religion of the Roman E</w:t>
      </w:r>
      <w:r w:rsidRPr="00EE2793">
        <w:rPr>
          <w:sz w:val="24"/>
          <w:szCs w:val="24"/>
        </w:rPr>
        <w:t xml:space="preserve">mpire dictated a more cautious approach to Christianity </w:t>
      </w:r>
      <w:r>
        <w:rPr>
          <w:sz w:val="24"/>
          <w:szCs w:val="24"/>
        </w:rPr>
        <w:t xml:space="preserve">in writing </w:t>
      </w:r>
      <w:r w:rsidRPr="00EE2793">
        <w:rPr>
          <w:sz w:val="24"/>
          <w:szCs w:val="24"/>
        </w:rPr>
        <w:t xml:space="preserve">on </w:t>
      </w:r>
      <w:r>
        <w:rPr>
          <w:sz w:val="24"/>
          <w:szCs w:val="24"/>
        </w:rPr>
        <w:t xml:space="preserve">the </w:t>
      </w:r>
      <w:r w:rsidRPr="00EE2793">
        <w:rPr>
          <w:sz w:val="24"/>
          <w:szCs w:val="24"/>
        </w:rPr>
        <w:t xml:space="preserve">part of the Jews who lived in Palestine (under Roman rule). In contrast, in the Persian empire, both Jews and Christians were considered religious minorities </w:t>
      </w:r>
      <w:r>
        <w:rPr>
          <w:sz w:val="24"/>
          <w:szCs w:val="24"/>
        </w:rPr>
        <w:t>living</w:t>
      </w:r>
      <w:r w:rsidRPr="00EE2793">
        <w:rPr>
          <w:sz w:val="24"/>
          <w:szCs w:val="24"/>
        </w:rPr>
        <w:t xml:space="preserve"> under the Persian legal system and the official Zoroastrian religion, and therefore the Jews had far more liberty to express ambivalent positions in regard to the Christina minority with whom they lived as neighbors. (Peter Schäfer. </w:t>
      </w:r>
      <w:r w:rsidRPr="00EE2793">
        <w:rPr>
          <w:i/>
          <w:iCs/>
          <w:sz w:val="24"/>
          <w:szCs w:val="24"/>
        </w:rPr>
        <w:t>Jesus in the Talmud</w:t>
      </w:r>
      <w:r w:rsidRPr="00EE2793">
        <w:rPr>
          <w:sz w:val="24"/>
          <w:szCs w:val="24"/>
        </w:rPr>
        <w:t xml:space="preserve">. </w:t>
      </w:r>
      <w:r>
        <w:rPr>
          <w:sz w:val="24"/>
          <w:szCs w:val="24"/>
        </w:rPr>
        <w:t>Princeton</w:t>
      </w:r>
      <w:r w:rsidRPr="00EE2793">
        <w:rPr>
          <w:sz w:val="24"/>
          <w:szCs w:val="24"/>
        </w:rPr>
        <w:t xml:space="preserve">: Princeton University Press, 2007, pp. 123). </w:t>
      </w:r>
    </w:p>
  </w:footnote>
  <w:footnote w:id="13">
    <w:p w14:paraId="2DA6455E" w14:textId="265CFB3D" w:rsidR="000A2D99" w:rsidRPr="00EE2793" w:rsidRDefault="000A2D99" w:rsidP="001C6F57">
      <w:pPr>
        <w:pStyle w:val="FootnoteText"/>
        <w:ind w:firstLine="0"/>
        <w:rPr>
          <w:sz w:val="24"/>
          <w:szCs w:val="24"/>
        </w:rPr>
      </w:pPr>
      <w:r w:rsidRPr="00EE2793">
        <w:rPr>
          <w:rStyle w:val="FootnoteReference"/>
          <w:sz w:val="24"/>
          <w:szCs w:val="24"/>
        </w:rPr>
        <w:footnoteRef/>
      </w:r>
      <w:r w:rsidRPr="00EE2793">
        <w:rPr>
          <w:sz w:val="24"/>
          <w:szCs w:val="24"/>
        </w:rPr>
        <w:t xml:space="preserve"> Ora </w:t>
      </w:r>
      <w:proofErr w:type="spellStart"/>
      <w:r w:rsidRPr="00EE2793">
        <w:rPr>
          <w:sz w:val="24"/>
          <w:szCs w:val="24"/>
        </w:rPr>
        <w:t>Limor</w:t>
      </w:r>
      <w:proofErr w:type="spellEnd"/>
      <w:r w:rsidRPr="00EE2793">
        <w:rPr>
          <w:sz w:val="24"/>
          <w:szCs w:val="24"/>
        </w:rPr>
        <w:t xml:space="preserve">. “The Jewish Anti-Christian Polemic Through the Generations.” </w:t>
      </w:r>
      <w:proofErr w:type="spellStart"/>
      <w:r>
        <w:rPr>
          <w:i/>
          <w:iCs/>
          <w:sz w:val="24"/>
          <w:szCs w:val="24"/>
        </w:rPr>
        <w:t>Pe’</w:t>
      </w:r>
      <w:r w:rsidRPr="00EE2793">
        <w:rPr>
          <w:i/>
          <w:iCs/>
          <w:sz w:val="24"/>
          <w:szCs w:val="24"/>
        </w:rPr>
        <w:t>amim</w:t>
      </w:r>
      <w:proofErr w:type="spellEnd"/>
      <w:r w:rsidRPr="00EE2793">
        <w:rPr>
          <w:sz w:val="24"/>
          <w:szCs w:val="24"/>
        </w:rPr>
        <w:t xml:space="preserve"> 75 (1998): pp. 94-96. [In Hebrew].</w:t>
      </w:r>
    </w:p>
  </w:footnote>
  <w:footnote w:id="14">
    <w:p w14:paraId="18C0CB18" w14:textId="298990D9" w:rsidR="000A2D99" w:rsidRPr="00EE2793" w:rsidRDefault="000A2D99" w:rsidP="001C6F57">
      <w:pPr>
        <w:pStyle w:val="FootnoteText"/>
        <w:ind w:firstLine="0"/>
        <w:rPr>
          <w:sz w:val="24"/>
          <w:szCs w:val="24"/>
        </w:rPr>
      </w:pPr>
      <w:r w:rsidRPr="00EE2793">
        <w:rPr>
          <w:rStyle w:val="FootnoteReference"/>
          <w:sz w:val="24"/>
          <w:szCs w:val="24"/>
        </w:rPr>
        <w:footnoteRef/>
      </w:r>
      <w:r w:rsidRPr="00EE2793">
        <w:rPr>
          <w:sz w:val="24"/>
          <w:szCs w:val="24"/>
        </w:rPr>
        <w:t xml:space="preserve"> For example, in one of the versions of the book a story is presented that describes how Judas Iscariot stole Jesus’s body and hid it in his garden. In response to Queen Helena’s threats to kill all of the Jews if the body was not returned, Judas Iscariot leads a pogrom against Christians in Jerusalem. Judas is depicted here not only as the savior of Judaism, but also as the redeemer of Jews, who transforms his people from passive and weak victim to a powerful, militant collective. (Ora </w:t>
      </w:r>
      <w:proofErr w:type="spellStart"/>
      <w:r w:rsidRPr="00EE2793">
        <w:rPr>
          <w:sz w:val="24"/>
          <w:szCs w:val="24"/>
        </w:rPr>
        <w:t>Limor</w:t>
      </w:r>
      <w:proofErr w:type="spellEnd"/>
      <w:r w:rsidRPr="00EE2793">
        <w:rPr>
          <w:sz w:val="24"/>
          <w:szCs w:val="24"/>
        </w:rPr>
        <w:t xml:space="preserve"> and Israel Jacob Yuval. "Judas Iscariot: Revealer of the Hidden Truth." W P. Schafer, Y. Deutsch, &amp; M. </w:t>
      </w:r>
      <w:proofErr w:type="spellStart"/>
      <w:r w:rsidRPr="00EE2793">
        <w:rPr>
          <w:sz w:val="24"/>
          <w:szCs w:val="24"/>
        </w:rPr>
        <w:t>Meerson</w:t>
      </w:r>
      <w:proofErr w:type="spellEnd"/>
      <w:r w:rsidRPr="00EE2793">
        <w:rPr>
          <w:sz w:val="24"/>
          <w:szCs w:val="24"/>
        </w:rPr>
        <w:t xml:space="preserve"> (eds.), </w:t>
      </w:r>
      <w:proofErr w:type="spellStart"/>
      <w:r w:rsidRPr="00EE2793">
        <w:rPr>
          <w:sz w:val="24"/>
          <w:szCs w:val="24"/>
        </w:rPr>
        <w:t>Toledot</w:t>
      </w:r>
      <w:proofErr w:type="spellEnd"/>
      <w:r w:rsidRPr="00EE2793">
        <w:rPr>
          <w:sz w:val="24"/>
          <w:szCs w:val="24"/>
        </w:rPr>
        <w:t xml:space="preserve"> </w:t>
      </w:r>
      <w:proofErr w:type="spellStart"/>
      <w:r w:rsidRPr="00EE2793">
        <w:rPr>
          <w:sz w:val="24"/>
          <w:szCs w:val="24"/>
        </w:rPr>
        <w:t>Yeshu</w:t>
      </w:r>
      <w:proofErr w:type="spellEnd"/>
      <w:r w:rsidRPr="00EE2793">
        <w:rPr>
          <w:sz w:val="24"/>
          <w:szCs w:val="24"/>
        </w:rPr>
        <w:t xml:space="preserve"> (“The Life Story of Jesus”) Revisited (ss. 197–220). Tübingen: Mohr </w:t>
      </w:r>
      <w:proofErr w:type="spellStart"/>
      <w:r w:rsidRPr="00EE2793">
        <w:rPr>
          <w:sz w:val="24"/>
          <w:szCs w:val="24"/>
        </w:rPr>
        <w:t>Siebeck</w:t>
      </w:r>
      <w:proofErr w:type="spellEnd"/>
      <w:r w:rsidRPr="00EE2793">
        <w:rPr>
          <w:sz w:val="24"/>
          <w:szCs w:val="24"/>
        </w:rPr>
        <w:t>. 2011, pp. 206</w:t>
      </w:r>
    </w:p>
  </w:footnote>
  <w:footnote w:id="15">
    <w:p w14:paraId="7998C64B" w14:textId="0ED5EEFB" w:rsidR="000A2D99" w:rsidRPr="007C2066" w:rsidRDefault="000A2D99" w:rsidP="001C6F57">
      <w:pPr>
        <w:pStyle w:val="FootnoteText"/>
        <w:ind w:firstLine="0"/>
      </w:pPr>
      <w:r w:rsidRPr="00EE2793">
        <w:rPr>
          <w:sz w:val="24"/>
          <w:szCs w:val="24"/>
          <w:vertAlign w:val="superscript"/>
        </w:rPr>
        <w:footnoteRef/>
      </w:r>
      <w:r w:rsidRPr="00EE2793">
        <w:rPr>
          <w:sz w:val="24"/>
          <w:szCs w:val="24"/>
          <w:vertAlign w:val="superscript"/>
        </w:rPr>
        <w:t xml:space="preserve"> </w:t>
      </w:r>
      <w:r w:rsidRPr="00EE2793">
        <w:rPr>
          <w:sz w:val="24"/>
          <w:szCs w:val="24"/>
        </w:rPr>
        <w:t xml:space="preserve">Mati Silver. “A Jewish View of Jesus: Steven Weiss, Yosef Klausner, and the Discussion on Jesus the Jew Between Two World Wars.” </w:t>
      </w:r>
      <w:r w:rsidRPr="00EE2793">
        <w:rPr>
          <w:i/>
          <w:iCs/>
          <w:sz w:val="24"/>
          <w:szCs w:val="24"/>
        </w:rPr>
        <w:t>Zion: Quarterly for Studies in Israeli History</w:t>
      </w:r>
      <w:r w:rsidRPr="00EE2793">
        <w:rPr>
          <w:sz w:val="24"/>
          <w:szCs w:val="24"/>
        </w:rPr>
        <w:t xml:space="preserve"> (2005): pp. 31-62.)</w:t>
      </w:r>
    </w:p>
  </w:footnote>
  <w:footnote w:id="16">
    <w:p w14:paraId="1B23917C" w14:textId="3492E7D3" w:rsidR="000A2D99" w:rsidRPr="00EE2793" w:rsidRDefault="000A2D99" w:rsidP="00A65DC7">
      <w:pPr>
        <w:pStyle w:val="FootnoteText"/>
        <w:ind w:firstLine="0"/>
        <w:rPr>
          <w:sz w:val="24"/>
          <w:szCs w:val="24"/>
        </w:rPr>
      </w:pPr>
      <w:r w:rsidRPr="00EE2793">
        <w:rPr>
          <w:rStyle w:val="FootnoteReference"/>
          <w:sz w:val="24"/>
          <w:szCs w:val="24"/>
        </w:rPr>
        <w:footnoteRef/>
      </w:r>
      <w:r w:rsidRPr="00EE2793">
        <w:rPr>
          <w:sz w:val="24"/>
          <w:szCs w:val="24"/>
        </w:rPr>
        <w:t xml:space="preserve"> </w:t>
      </w:r>
      <w:r>
        <w:rPr>
          <w:sz w:val="24"/>
          <w:szCs w:val="24"/>
        </w:rPr>
        <w:t xml:space="preserve">This, for example, is how Moses Mendelssohn, in his famous correspondence with Catholic priest Johann Kasper </w:t>
      </w:r>
      <w:proofErr w:type="spellStart"/>
      <w:r>
        <w:rPr>
          <w:sz w:val="24"/>
          <w:szCs w:val="24"/>
        </w:rPr>
        <w:t>Lavater</w:t>
      </w:r>
      <w:proofErr w:type="spellEnd"/>
      <w:r>
        <w:rPr>
          <w:sz w:val="24"/>
          <w:szCs w:val="24"/>
        </w:rPr>
        <w:t xml:space="preserve">, explains why he does not object to conversion out of contempt for Christianity, but precisely due to his acceptance of Jesus’s instruction that ordered Jews to stay loyal to their faith. See: </w:t>
      </w:r>
      <w:proofErr w:type="spellStart"/>
      <w:r>
        <w:rPr>
          <w:sz w:val="24"/>
          <w:szCs w:val="24"/>
        </w:rPr>
        <w:t>Zvi</w:t>
      </w:r>
      <w:proofErr w:type="spellEnd"/>
      <w:r>
        <w:rPr>
          <w:sz w:val="24"/>
          <w:szCs w:val="24"/>
        </w:rPr>
        <w:t xml:space="preserve"> </w:t>
      </w:r>
      <w:proofErr w:type="spellStart"/>
      <w:r>
        <w:rPr>
          <w:sz w:val="24"/>
          <w:szCs w:val="24"/>
        </w:rPr>
        <w:t>Sadan</w:t>
      </w:r>
      <w:proofErr w:type="spellEnd"/>
      <w:r>
        <w:rPr>
          <w:sz w:val="24"/>
          <w:szCs w:val="24"/>
        </w:rPr>
        <w:t xml:space="preserve">. </w:t>
      </w:r>
      <w:r w:rsidRPr="00B654EC">
        <w:rPr>
          <w:i/>
          <w:iCs/>
          <w:sz w:val="24"/>
          <w:szCs w:val="24"/>
        </w:rPr>
        <w:t>Flesh of Our Flesh: Jesus of Nazareth in Zionist Thought</w:t>
      </w:r>
      <w:r>
        <w:rPr>
          <w:sz w:val="24"/>
          <w:szCs w:val="24"/>
        </w:rPr>
        <w:t>. Jerusalem: Carmel, 2008: 18-20.</w:t>
      </w:r>
    </w:p>
  </w:footnote>
  <w:footnote w:id="17">
    <w:p w14:paraId="3C12B95B" w14:textId="77777777" w:rsidR="000A2D99" w:rsidRDefault="000A2D99" w:rsidP="001B6478">
      <w:pPr>
        <w:spacing w:line="240" w:lineRule="auto"/>
        <w:ind w:left="-283" w:right="-283" w:firstLine="283"/>
        <w:jc w:val="both"/>
      </w:pPr>
      <w:r>
        <w:rPr>
          <w:rStyle w:val="FootnoteReference"/>
        </w:rPr>
        <w:footnoteRef/>
      </w:r>
      <w:r>
        <w:t xml:space="preserve"> As Eric Hobsbawm claims, nations are not based on ancient traditions, but on invented traditions </w:t>
      </w:r>
    </w:p>
    <w:p w14:paraId="2A714049" w14:textId="0060785F" w:rsidR="000A2D99" w:rsidRPr="001B6478" w:rsidRDefault="000A2D99" w:rsidP="00391087">
      <w:pPr>
        <w:spacing w:line="240" w:lineRule="auto"/>
        <w:ind w:right="-283" w:firstLine="0"/>
        <w:jc w:val="both"/>
      </w:pPr>
      <w:r>
        <w:t xml:space="preserve">(constructed as ancient) designed to create social and communal cohesion among the civilians of the nation-state. These traditions are not authentic and spontaneous, but rather a manifestation of social and cultural engineering process aimed at instilling a sense of continuous historical existence and the legitimization of the nation-state’s existence in the present. </w:t>
      </w:r>
      <w:r w:rsidRPr="001B6478">
        <w:t xml:space="preserve">Eric Hobsbawm. </w:t>
      </w:r>
      <w:r>
        <w:t>“</w:t>
      </w:r>
      <w:r w:rsidRPr="001B6478">
        <w:t>Introduction: Inventing Traditions.</w:t>
      </w:r>
      <w:r>
        <w:t>”</w:t>
      </w:r>
      <w:r w:rsidRPr="001B6478">
        <w:t xml:space="preserve"> </w:t>
      </w:r>
      <w:r w:rsidRPr="001B6478">
        <w:rPr>
          <w:i/>
          <w:iCs/>
        </w:rPr>
        <w:t>The Invention of Tradition</w:t>
      </w:r>
      <w:r w:rsidRPr="001B6478">
        <w:t>. Editors: Eric Hobsbawm and Terence Ranger. Cambridge University Press, 2012.</w:t>
      </w:r>
    </w:p>
  </w:footnote>
  <w:footnote w:id="18">
    <w:p w14:paraId="04E86CE0" w14:textId="31CF56F6" w:rsidR="000A2D99" w:rsidRPr="00596D60" w:rsidRDefault="000A2D99" w:rsidP="002F65CB">
      <w:pPr>
        <w:pStyle w:val="FootnoteText"/>
        <w:ind w:firstLine="0"/>
      </w:pPr>
      <w:r w:rsidRPr="001B6478">
        <w:rPr>
          <w:rStyle w:val="FootnoteReference"/>
          <w:sz w:val="24"/>
          <w:szCs w:val="24"/>
        </w:rPr>
        <w:footnoteRef/>
      </w:r>
      <w:r w:rsidRPr="001B6478">
        <w:rPr>
          <w:sz w:val="24"/>
          <w:szCs w:val="24"/>
        </w:rPr>
        <w:t xml:space="preserve"> </w:t>
      </w:r>
      <w:r>
        <w:rPr>
          <w:sz w:val="24"/>
          <w:szCs w:val="24"/>
        </w:rPr>
        <w:t>See in this context the collection “</w:t>
      </w:r>
      <w:proofErr w:type="spellStart"/>
      <w:r>
        <w:rPr>
          <w:sz w:val="24"/>
          <w:szCs w:val="24"/>
        </w:rPr>
        <w:t>Kihiliyatainu</w:t>
      </w:r>
      <w:proofErr w:type="spellEnd"/>
      <w:r>
        <w:rPr>
          <w:sz w:val="24"/>
          <w:szCs w:val="24"/>
        </w:rPr>
        <w:t xml:space="preserve">,” published under Meir </w:t>
      </w:r>
      <w:proofErr w:type="spellStart"/>
      <w:r>
        <w:rPr>
          <w:sz w:val="24"/>
          <w:szCs w:val="24"/>
        </w:rPr>
        <w:t>Yaari’s</w:t>
      </w:r>
      <w:proofErr w:type="spellEnd"/>
      <w:r>
        <w:rPr>
          <w:sz w:val="24"/>
          <w:szCs w:val="24"/>
        </w:rPr>
        <w:t xml:space="preserve"> initiative and guidance, which contains numerous references to Jesus and his apostles as a role model for the growing group of </w:t>
      </w:r>
      <w:proofErr w:type="spellStart"/>
      <w:r>
        <w:rPr>
          <w:sz w:val="24"/>
          <w:szCs w:val="24"/>
        </w:rPr>
        <w:t>HaShomer</w:t>
      </w:r>
      <w:proofErr w:type="spellEnd"/>
      <w:r>
        <w:rPr>
          <w:sz w:val="24"/>
          <w:szCs w:val="24"/>
        </w:rPr>
        <w:t xml:space="preserve"> </w:t>
      </w:r>
      <w:proofErr w:type="spellStart"/>
      <w:r>
        <w:rPr>
          <w:sz w:val="24"/>
          <w:szCs w:val="24"/>
        </w:rPr>
        <w:t>Hatzair</w:t>
      </w:r>
      <w:proofErr w:type="spellEnd"/>
      <w:r>
        <w:rPr>
          <w:sz w:val="24"/>
          <w:szCs w:val="24"/>
        </w:rPr>
        <w:t xml:space="preserve"> settlers in </w:t>
      </w:r>
      <w:proofErr w:type="spellStart"/>
      <w:r>
        <w:rPr>
          <w:sz w:val="24"/>
          <w:szCs w:val="24"/>
        </w:rPr>
        <w:t>Bitania</w:t>
      </w:r>
      <w:proofErr w:type="spellEnd"/>
      <w:r>
        <w:rPr>
          <w:sz w:val="24"/>
          <w:szCs w:val="24"/>
        </w:rPr>
        <w:t xml:space="preserve"> </w:t>
      </w:r>
      <w:proofErr w:type="spellStart"/>
      <w:r>
        <w:rPr>
          <w:sz w:val="24"/>
          <w:szCs w:val="24"/>
        </w:rPr>
        <w:t>Illit</w:t>
      </w:r>
      <w:proofErr w:type="spellEnd"/>
      <w:r>
        <w:rPr>
          <w:sz w:val="24"/>
          <w:szCs w:val="24"/>
        </w:rPr>
        <w:t xml:space="preserve"> in 1921-1922. Also see: </w:t>
      </w:r>
      <w:proofErr w:type="spellStart"/>
      <w:r>
        <w:rPr>
          <w:sz w:val="24"/>
          <w:szCs w:val="24"/>
        </w:rPr>
        <w:t>Muki</w:t>
      </w:r>
      <w:proofErr w:type="spellEnd"/>
      <w:r>
        <w:rPr>
          <w:sz w:val="24"/>
          <w:szCs w:val="24"/>
        </w:rPr>
        <w:t xml:space="preserve"> </w:t>
      </w:r>
      <w:proofErr w:type="spellStart"/>
      <w:r>
        <w:rPr>
          <w:sz w:val="24"/>
          <w:szCs w:val="24"/>
        </w:rPr>
        <w:t>Tsur</w:t>
      </w:r>
      <w:proofErr w:type="spellEnd"/>
      <w:r>
        <w:rPr>
          <w:sz w:val="24"/>
          <w:szCs w:val="24"/>
        </w:rPr>
        <w:t xml:space="preserve"> (Ed.) </w:t>
      </w:r>
      <w:proofErr w:type="spellStart"/>
      <w:r>
        <w:rPr>
          <w:i/>
          <w:iCs/>
          <w:sz w:val="24"/>
          <w:szCs w:val="24"/>
        </w:rPr>
        <w:t>Kehilatei</w:t>
      </w:r>
      <w:r w:rsidRPr="00596D60">
        <w:rPr>
          <w:i/>
          <w:iCs/>
          <w:sz w:val="24"/>
          <w:szCs w:val="24"/>
        </w:rPr>
        <w:t>nu</w:t>
      </w:r>
      <w:proofErr w:type="spellEnd"/>
      <w:r>
        <w:rPr>
          <w:sz w:val="24"/>
          <w:szCs w:val="24"/>
        </w:rPr>
        <w:t xml:space="preserve">: </w:t>
      </w:r>
      <w:r>
        <w:rPr>
          <w:i/>
          <w:iCs/>
          <w:sz w:val="24"/>
          <w:szCs w:val="24"/>
        </w:rPr>
        <w:t>Pioneers’ Thoughts,</w:t>
      </w:r>
      <w:r w:rsidRPr="00596D60">
        <w:rPr>
          <w:i/>
          <w:iCs/>
          <w:sz w:val="24"/>
          <w:szCs w:val="24"/>
        </w:rPr>
        <w:t xml:space="preserve"> Deliberations, and Desires.</w:t>
      </w:r>
      <w:r>
        <w:rPr>
          <w:sz w:val="24"/>
          <w:szCs w:val="24"/>
        </w:rPr>
        <w:t xml:space="preserve"> Jerusalem: </w:t>
      </w:r>
      <w:proofErr w:type="spellStart"/>
      <w:r>
        <w:rPr>
          <w:sz w:val="24"/>
          <w:szCs w:val="24"/>
        </w:rPr>
        <w:t>Yad</w:t>
      </w:r>
      <w:proofErr w:type="spellEnd"/>
      <w:r>
        <w:rPr>
          <w:sz w:val="24"/>
          <w:szCs w:val="24"/>
        </w:rPr>
        <w:t xml:space="preserve"> Ben-</w:t>
      </w:r>
      <w:proofErr w:type="spellStart"/>
      <w:r>
        <w:rPr>
          <w:sz w:val="24"/>
          <w:szCs w:val="24"/>
        </w:rPr>
        <w:t>Zvi</w:t>
      </w:r>
      <w:proofErr w:type="spellEnd"/>
      <w:r>
        <w:rPr>
          <w:sz w:val="24"/>
          <w:szCs w:val="24"/>
        </w:rPr>
        <w:t>, 1987. [In Hebrew].</w:t>
      </w:r>
    </w:p>
  </w:footnote>
  <w:footnote w:id="19">
    <w:p w14:paraId="1D9BDF42" w14:textId="5B519EF6" w:rsidR="000A2D99" w:rsidRPr="0008708F" w:rsidRDefault="000A2D99" w:rsidP="001C6F57">
      <w:pPr>
        <w:pStyle w:val="FootnoteText"/>
        <w:ind w:firstLine="0"/>
        <w:rPr>
          <w:sz w:val="24"/>
          <w:szCs w:val="24"/>
        </w:rPr>
      </w:pPr>
      <w:r w:rsidRPr="0008708F">
        <w:rPr>
          <w:rStyle w:val="FootnoteReference"/>
          <w:sz w:val="24"/>
          <w:szCs w:val="24"/>
        </w:rPr>
        <w:footnoteRef/>
      </w:r>
      <w:r w:rsidRPr="0008708F">
        <w:rPr>
          <w:sz w:val="24"/>
          <w:szCs w:val="24"/>
        </w:rPr>
        <w:t xml:space="preserve"> Joseph Klausner. </w:t>
      </w:r>
      <w:r w:rsidRPr="0008708F">
        <w:rPr>
          <w:i/>
          <w:iCs/>
          <w:sz w:val="24"/>
          <w:szCs w:val="24"/>
        </w:rPr>
        <w:t>Jesus of Nazareth: His Life, Times, and Teachings</w:t>
      </w:r>
      <w:r w:rsidRPr="0008708F">
        <w:rPr>
          <w:sz w:val="24"/>
          <w:szCs w:val="24"/>
        </w:rPr>
        <w:t xml:space="preserve">. Jerusalem: </w:t>
      </w:r>
      <w:proofErr w:type="spellStart"/>
      <w:r w:rsidRPr="007A6C90">
        <w:rPr>
          <w:sz w:val="24"/>
          <w:szCs w:val="24"/>
        </w:rPr>
        <w:t>Schtiebel</w:t>
      </w:r>
      <w:proofErr w:type="spellEnd"/>
      <w:r w:rsidRPr="0008708F">
        <w:rPr>
          <w:sz w:val="24"/>
          <w:szCs w:val="24"/>
        </w:rPr>
        <w:t xml:space="preserve">, 1922. </w:t>
      </w:r>
    </w:p>
  </w:footnote>
  <w:footnote w:id="20">
    <w:p w14:paraId="24AD98F6" w14:textId="0FEFFD28" w:rsidR="000A2D99" w:rsidRPr="0008708F" w:rsidRDefault="000A2D99" w:rsidP="001C6F57">
      <w:pPr>
        <w:pStyle w:val="FootnoteText"/>
        <w:ind w:firstLine="0"/>
        <w:rPr>
          <w:sz w:val="24"/>
          <w:szCs w:val="24"/>
        </w:rPr>
      </w:pPr>
      <w:r w:rsidRPr="0008708F">
        <w:rPr>
          <w:rStyle w:val="FootnoteReference"/>
          <w:sz w:val="24"/>
          <w:szCs w:val="24"/>
        </w:rPr>
        <w:footnoteRef/>
      </w:r>
      <w:r w:rsidRPr="0008708F">
        <w:rPr>
          <w:sz w:val="24"/>
          <w:szCs w:val="24"/>
        </w:rPr>
        <w:t xml:space="preserve"> Ibid, p. 440.</w:t>
      </w:r>
    </w:p>
  </w:footnote>
  <w:footnote w:id="21">
    <w:p w14:paraId="7A69E481" w14:textId="5D9059E9" w:rsidR="000A2D99" w:rsidRPr="0008708F" w:rsidRDefault="000A2D99" w:rsidP="001C6F57">
      <w:pPr>
        <w:pStyle w:val="FootnoteText"/>
        <w:ind w:firstLine="0"/>
        <w:rPr>
          <w:sz w:val="24"/>
          <w:szCs w:val="24"/>
        </w:rPr>
      </w:pPr>
      <w:r w:rsidRPr="0008708F">
        <w:rPr>
          <w:rStyle w:val="FootnoteReference"/>
          <w:sz w:val="24"/>
          <w:szCs w:val="24"/>
        </w:rPr>
        <w:footnoteRef/>
      </w:r>
      <w:r w:rsidRPr="0008708F">
        <w:rPr>
          <w:sz w:val="24"/>
          <w:szCs w:val="24"/>
        </w:rPr>
        <w:t xml:space="preserve"> Ibid, p. 443</w:t>
      </w:r>
    </w:p>
  </w:footnote>
  <w:footnote w:id="22">
    <w:p w14:paraId="0EC035C4" w14:textId="667B30AB" w:rsidR="000A2D99" w:rsidRPr="0008708F" w:rsidRDefault="000A2D99" w:rsidP="00171B92">
      <w:pPr>
        <w:pStyle w:val="FootnoteText"/>
        <w:ind w:firstLine="0"/>
        <w:rPr>
          <w:sz w:val="24"/>
          <w:szCs w:val="24"/>
        </w:rPr>
      </w:pPr>
      <w:r w:rsidRPr="0008708F">
        <w:rPr>
          <w:rStyle w:val="FootnoteReference"/>
          <w:sz w:val="24"/>
          <w:szCs w:val="24"/>
        </w:rPr>
        <w:footnoteRef/>
      </w:r>
      <w:r w:rsidRPr="0008708F">
        <w:rPr>
          <w:sz w:val="24"/>
          <w:szCs w:val="24"/>
        </w:rPr>
        <w:t xml:space="preserve"> </w:t>
      </w:r>
      <w:r>
        <w:rPr>
          <w:sz w:val="24"/>
          <w:szCs w:val="24"/>
        </w:rPr>
        <w:t xml:space="preserve">Two primary examples of Hebrew literary works that ascribe significant importance to the character of Judas Iscariot in an attempt—which does not always necessarily materialize—to create a critical discourse on the issue of power and violence applied in the framework of Jewish sovereign existence are the novels </w:t>
      </w:r>
      <w:r w:rsidRPr="003A7701">
        <w:rPr>
          <w:i/>
          <w:iCs/>
          <w:sz w:val="24"/>
          <w:szCs w:val="24"/>
        </w:rPr>
        <w:t>On the Narrow Path</w:t>
      </w:r>
      <w:r>
        <w:rPr>
          <w:sz w:val="24"/>
          <w:szCs w:val="24"/>
        </w:rPr>
        <w:t xml:space="preserve"> by Aaron Abraham </w:t>
      </w:r>
      <w:proofErr w:type="spellStart"/>
      <w:r>
        <w:rPr>
          <w:sz w:val="24"/>
          <w:szCs w:val="24"/>
        </w:rPr>
        <w:t>Kabak</w:t>
      </w:r>
      <w:proofErr w:type="spellEnd"/>
      <w:r>
        <w:rPr>
          <w:sz w:val="24"/>
          <w:szCs w:val="24"/>
        </w:rPr>
        <w:t xml:space="preserve"> (1933) and Amos Oz’s </w:t>
      </w:r>
      <w:r w:rsidRPr="00CB15FA">
        <w:rPr>
          <w:i/>
          <w:iCs/>
          <w:sz w:val="24"/>
          <w:szCs w:val="24"/>
        </w:rPr>
        <w:t>Judas</w:t>
      </w:r>
      <w:r>
        <w:rPr>
          <w:sz w:val="24"/>
          <w:szCs w:val="24"/>
        </w:rPr>
        <w:t xml:space="preserve"> (2014).</w:t>
      </w:r>
    </w:p>
  </w:footnote>
  <w:footnote w:id="23">
    <w:p w14:paraId="3EDA8ECF" w14:textId="33CDABE9" w:rsidR="000A2D99" w:rsidRPr="00CB15FA" w:rsidRDefault="000A2D99" w:rsidP="00CB15FA">
      <w:pPr>
        <w:pStyle w:val="FootnoteText"/>
        <w:spacing w:before="100"/>
        <w:ind w:firstLine="0"/>
        <w:rPr>
          <w:sz w:val="24"/>
          <w:szCs w:val="24"/>
        </w:rPr>
      </w:pPr>
      <w:r w:rsidRPr="00CB15FA">
        <w:rPr>
          <w:rStyle w:val="FootnoteReference"/>
          <w:sz w:val="24"/>
          <w:szCs w:val="24"/>
        </w:rPr>
        <w:footnoteRef/>
      </w:r>
      <w:r w:rsidRPr="00CB15FA">
        <w:rPr>
          <w:sz w:val="24"/>
          <w:szCs w:val="24"/>
        </w:rPr>
        <w:t xml:space="preserve"> </w:t>
      </w:r>
      <w:r>
        <w:rPr>
          <w:sz w:val="24"/>
          <w:szCs w:val="24"/>
        </w:rPr>
        <w:t xml:space="preserve">Benedict Anderson. </w:t>
      </w:r>
      <w:r w:rsidRPr="00CB15FA">
        <w:rPr>
          <w:i/>
          <w:iCs/>
          <w:sz w:val="24"/>
          <w:szCs w:val="24"/>
        </w:rPr>
        <w:t>Imagined Communities: Reflections on the Origins and Spread of Nationalism</w:t>
      </w:r>
      <w:r>
        <w:rPr>
          <w:sz w:val="24"/>
          <w:szCs w:val="24"/>
        </w:rPr>
        <w:t xml:space="preserve">. London: Verso, 2006 [1983], p. 9. </w:t>
      </w:r>
    </w:p>
  </w:footnote>
  <w:footnote w:id="24">
    <w:p w14:paraId="7640BE43" w14:textId="1A7A3F91" w:rsidR="000A2D99" w:rsidRPr="00CB15FA" w:rsidRDefault="000A2D99" w:rsidP="00CB15FA">
      <w:pPr>
        <w:pStyle w:val="FootnoteText"/>
        <w:ind w:firstLine="0"/>
        <w:rPr>
          <w:sz w:val="24"/>
          <w:szCs w:val="24"/>
        </w:rPr>
      </w:pPr>
      <w:r w:rsidRPr="00CB15FA">
        <w:rPr>
          <w:rStyle w:val="FootnoteReference"/>
          <w:sz w:val="24"/>
          <w:szCs w:val="24"/>
        </w:rPr>
        <w:footnoteRef/>
      </w:r>
      <w:r w:rsidRPr="00CB15FA">
        <w:rPr>
          <w:sz w:val="24"/>
          <w:szCs w:val="24"/>
        </w:rPr>
        <w:t xml:space="preserve"> </w:t>
      </w:r>
      <w:r>
        <w:rPr>
          <w:sz w:val="24"/>
          <w:szCs w:val="24"/>
        </w:rPr>
        <w:t xml:space="preserve">Ibid, ibid. </w:t>
      </w:r>
    </w:p>
  </w:footnote>
  <w:footnote w:id="25">
    <w:p w14:paraId="5A2E3CCA" w14:textId="61BED31E" w:rsidR="000A2D99" w:rsidRPr="00CB15FA" w:rsidRDefault="000A2D99" w:rsidP="00CB15FA">
      <w:pPr>
        <w:pStyle w:val="FootnoteText"/>
        <w:ind w:firstLine="0"/>
        <w:rPr>
          <w:rStyle w:val="FootnoteReference"/>
        </w:rPr>
      </w:pPr>
      <w:r w:rsidRPr="00CB15FA">
        <w:rPr>
          <w:rStyle w:val="FootnoteReference"/>
          <w:sz w:val="24"/>
          <w:szCs w:val="24"/>
        </w:rPr>
        <w:footnoteRef/>
      </w:r>
      <w:r>
        <w:rPr>
          <w:rStyle w:val="FootnoteReference"/>
        </w:rPr>
        <w:t xml:space="preserve"> </w:t>
      </w:r>
      <w:r>
        <w:rPr>
          <w:rStyle w:val="FootnoteReference"/>
          <w:sz w:val="24"/>
          <w:szCs w:val="24"/>
          <w:vertAlign w:val="baseline"/>
        </w:rPr>
        <w:t>Yehuda Shenhav. “</w:t>
      </w:r>
      <w:r>
        <w:rPr>
          <w:sz w:val="24"/>
          <w:szCs w:val="24"/>
        </w:rPr>
        <w:t xml:space="preserve">A Forsaking State, Corporate Responsibility, and the Post-Secular Option: A Reading of </w:t>
      </w:r>
      <w:r w:rsidRPr="00647C49">
        <w:rPr>
          <w:i/>
          <w:iCs/>
          <w:sz w:val="24"/>
          <w:szCs w:val="24"/>
        </w:rPr>
        <w:t>The Human Resources Manager</w:t>
      </w:r>
      <w:r>
        <w:rPr>
          <w:sz w:val="24"/>
          <w:szCs w:val="24"/>
        </w:rPr>
        <w:t xml:space="preserve">.” In Amir </w:t>
      </w:r>
      <w:proofErr w:type="spellStart"/>
      <w:r>
        <w:rPr>
          <w:sz w:val="24"/>
          <w:szCs w:val="24"/>
        </w:rPr>
        <w:t>Benbaji</w:t>
      </w:r>
      <w:proofErr w:type="spellEnd"/>
      <w:r>
        <w:rPr>
          <w:sz w:val="24"/>
          <w:szCs w:val="24"/>
        </w:rPr>
        <w:t xml:space="preserve">, </w:t>
      </w:r>
      <w:proofErr w:type="spellStart"/>
      <w:r>
        <w:rPr>
          <w:sz w:val="24"/>
          <w:szCs w:val="24"/>
        </w:rPr>
        <w:t>Nitza</w:t>
      </w:r>
      <w:proofErr w:type="spellEnd"/>
      <w:r>
        <w:rPr>
          <w:sz w:val="24"/>
          <w:szCs w:val="24"/>
        </w:rPr>
        <w:t xml:space="preserve"> Ben-</w:t>
      </w:r>
      <w:proofErr w:type="spellStart"/>
      <w:r>
        <w:rPr>
          <w:sz w:val="24"/>
          <w:szCs w:val="24"/>
        </w:rPr>
        <w:t>Dov</w:t>
      </w:r>
      <w:proofErr w:type="spellEnd"/>
      <w:r>
        <w:rPr>
          <w:sz w:val="24"/>
          <w:szCs w:val="24"/>
        </w:rPr>
        <w:t xml:space="preserve">, and </w:t>
      </w:r>
      <w:proofErr w:type="spellStart"/>
      <w:r>
        <w:rPr>
          <w:sz w:val="24"/>
          <w:szCs w:val="24"/>
        </w:rPr>
        <w:t>Ziva</w:t>
      </w:r>
      <w:proofErr w:type="spellEnd"/>
      <w:r>
        <w:rPr>
          <w:sz w:val="24"/>
          <w:szCs w:val="24"/>
        </w:rPr>
        <w:t xml:space="preserve"> Shamir Eds</w:t>
      </w:r>
      <w:r w:rsidRPr="002E4FD0">
        <w:rPr>
          <w:i/>
          <w:iCs/>
          <w:sz w:val="24"/>
          <w:szCs w:val="24"/>
        </w:rPr>
        <w:t>. Crossing Gazes:</w:t>
      </w:r>
      <w:r>
        <w:rPr>
          <w:sz w:val="24"/>
          <w:szCs w:val="24"/>
        </w:rPr>
        <w:t xml:space="preserve"> </w:t>
      </w:r>
      <w:r w:rsidRPr="002E4FD0">
        <w:rPr>
          <w:i/>
          <w:iCs/>
          <w:sz w:val="24"/>
          <w:szCs w:val="24"/>
        </w:rPr>
        <w:t>Readings of the Works of A. B. Yehoshua</w:t>
      </w:r>
      <w:r>
        <w:rPr>
          <w:sz w:val="24"/>
          <w:szCs w:val="24"/>
        </w:rPr>
        <w:t xml:space="preserve">. </w:t>
      </w:r>
      <w:proofErr w:type="spellStart"/>
      <w:r>
        <w:rPr>
          <w:sz w:val="24"/>
          <w:szCs w:val="24"/>
        </w:rPr>
        <w:t>Bnei</w:t>
      </w:r>
      <w:proofErr w:type="spellEnd"/>
      <w:r>
        <w:rPr>
          <w:sz w:val="24"/>
          <w:szCs w:val="24"/>
        </w:rPr>
        <w:t xml:space="preserve"> </w:t>
      </w:r>
      <w:proofErr w:type="spellStart"/>
      <w:r>
        <w:rPr>
          <w:sz w:val="24"/>
          <w:szCs w:val="24"/>
        </w:rPr>
        <w:t>Brak</w:t>
      </w:r>
      <w:proofErr w:type="spellEnd"/>
      <w:r>
        <w:rPr>
          <w:sz w:val="24"/>
          <w:szCs w:val="24"/>
        </w:rPr>
        <w:t xml:space="preserve">: </w:t>
      </w:r>
      <w:proofErr w:type="spellStart"/>
      <w:r>
        <w:rPr>
          <w:sz w:val="24"/>
          <w:szCs w:val="24"/>
        </w:rPr>
        <w:t>Hakibbutz</w:t>
      </w:r>
      <w:proofErr w:type="spellEnd"/>
      <w:r>
        <w:rPr>
          <w:sz w:val="24"/>
          <w:szCs w:val="24"/>
        </w:rPr>
        <w:t xml:space="preserve"> </w:t>
      </w:r>
      <w:proofErr w:type="spellStart"/>
      <w:r>
        <w:rPr>
          <w:sz w:val="24"/>
          <w:szCs w:val="24"/>
        </w:rPr>
        <w:t>Hameuhad</w:t>
      </w:r>
      <w:proofErr w:type="spellEnd"/>
      <w:r>
        <w:rPr>
          <w:sz w:val="24"/>
          <w:szCs w:val="24"/>
        </w:rPr>
        <w:t>, 2010, pp. 362-383. [In Hebrew]</w:t>
      </w:r>
    </w:p>
  </w:footnote>
  <w:footnote w:id="26">
    <w:p w14:paraId="1C2935AD" w14:textId="631B50A6" w:rsidR="000A2D99" w:rsidRDefault="000A2D99" w:rsidP="002E4FD0">
      <w:pPr>
        <w:pStyle w:val="FootnoteText"/>
        <w:ind w:firstLine="0"/>
      </w:pPr>
      <w:r w:rsidRPr="002E4FD0">
        <w:rPr>
          <w:rStyle w:val="FootnoteReference"/>
          <w:sz w:val="24"/>
          <w:szCs w:val="24"/>
        </w:rPr>
        <w:footnoteRef/>
      </w:r>
      <w:r w:rsidRPr="002E4FD0">
        <w:rPr>
          <w:sz w:val="24"/>
          <w:szCs w:val="24"/>
        </w:rPr>
        <w:t xml:space="preserve"> </w:t>
      </w:r>
      <w:r>
        <w:rPr>
          <w:sz w:val="24"/>
          <w:szCs w:val="24"/>
        </w:rPr>
        <w:t xml:space="preserve">Giorgio Agamben. </w:t>
      </w:r>
      <w:r w:rsidRPr="002E4FD0">
        <w:rPr>
          <w:i/>
          <w:iCs/>
          <w:sz w:val="24"/>
          <w:szCs w:val="24"/>
        </w:rPr>
        <w:t xml:space="preserve">Homo </w:t>
      </w:r>
      <w:proofErr w:type="spellStart"/>
      <w:r w:rsidRPr="002E4FD0">
        <w:rPr>
          <w:i/>
          <w:iCs/>
          <w:sz w:val="24"/>
          <w:szCs w:val="24"/>
        </w:rPr>
        <w:t>Sacer</w:t>
      </w:r>
      <w:proofErr w:type="spellEnd"/>
      <w:r w:rsidRPr="002E4FD0">
        <w:rPr>
          <w:i/>
          <w:iCs/>
          <w:sz w:val="24"/>
          <w:szCs w:val="24"/>
        </w:rPr>
        <w:t>: Sovereign Power and Bare Life</w:t>
      </w:r>
      <w:r>
        <w:rPr>
          <w:sz w:val="24"/>
          <w:szCs w:val="24"/>
        </w:rPr>
        <w:t>. Stanford: Stanford University Press, 1998</w:t>
      </w:r>
    </w:p>
  </w:footnote>
  <w:footnote w:id="27">
    <w:p w14:paraId="44EA4384" w14:textId="3BEAC33A" w:rsidR="000A2D99" w:rsidRPr="002E4FD0" w:rsidRDefault="000A2D99" w:rsidP="002E4FD0">
      <w:pPr>
        <w:pStyle w:val="FootnoteText"/>
        <w:ind w:firstLine="0"/>
        <w:rPr>
          <w:sz w:val="24"/>
          <w:szCs w:val="24"/>
        </w:rPr>
      </w:pPr>
      <w:r w:rsidRPr="002E4FD0">
        <w:rPr>
          <w:rStyle w:val="FootnoteReference"/>
          <w:sz w:val="24"/>
          <w:szCs w:val="24"/>
        </w:rPr>
        <w:footnoteRef/>
      </w:r>
      <w:r w:rsidRPr="002E4FD0">
        <w:rPr>
          <w:sz w:val="24"/>
          <w:szCs w:val="24"/>
        </w:rPr>
        <w:t xml:space="preserve"> </w:t>
      </w:r>
      <w:r>
        <w:rPr>
          <w:sz w:val="24"/>
          <w:szCs w:val="24"/>
        </w:rPr>
        <w:t xml:space="preserve">Nathan Alterman. “The Silver Platter.” In Esther </w:t>
      </w:r>
      <w:proofErr w:type="spellStart"/>
      <w:r>
        <w:rPr>
          <w:sz w:val="24"/>
          <w:szCs w:val="24"/>
        </w:rPr>
        <w:t>Raizen</w:t>
      </w:r>
      <w:proofErr w:type="spellEnd"/>
      <w:r>
        <w:rPr>
          <w:sz w:val="24"/>
          <w:szCs w:val="24"/>
        </w:rPr>
        <w:t xml:space="preserve">. </w:t>
      </w:r>
      <w:r w:rsidRPr="002E4FD0">
        <w:rPr>
          <w:i/>
          <w:iCs/>
          <w:sz w:val="24"/>
          <w:szCs w:val="24"/>
        </w:rPr>
        <w:t>No Rattling of Sabers: An Anthology of Israeli War Poetry</w:t>
      </w:r>
      <w:r>
        <w:rPr>
          <w:sz w:val="24"/>
          <w:szCs w:val="24"/>
        </w:rPr>
        <w:t>. Austin: Center for Middle Eastern Studies at University of Texas at Austin, 1995, p. 20.</w:t>
      </w:r>
    </w:p>
  </w:footnote>
  <w:footnote w:id="28">
    <w:p w14:paraId="228BD00D" w14:textId="290BE7B5" w:rsidR="000A2D99" w:rsidRDefault="000A2D99" w:rsidP="009E49CC">
      <w:pPr>
        <w:pStyle w:val="FootnoteText"/>
        <w:ind w:firstLine="0"/>
      </w:pPr>
      <w:r w:rsidRPr="009E49CC">
        <w:rPr>
          <w:rStyle w:val="FootnoteReference"/>
          <w:sz w:val="24"/>
          <w:szCs w:val="24"/>
        </w:rPr>
        <w:footnoteRef/>
      </w:r>
      <w:r w:rsidRPr="009E49CC">
        <w:rPr>
          <w:sz w:val="24"/>
          <w:szCs w:val="24"/>
        </w:rPr>
        <w:t xml:space="preserve"> </w:t>
      </w:r>
      <w:r>
        <w:rPr>
          <w:sz w:val="24"/>
          <w:szCs w:val="24"/>
        </w:rPr>
        <w:t xml:space="preserve">The poem appears in the collection </w:t>
      </w:r>
      <w:proofErr w:type="spellStart"/>
      <w:r w:rsidRPr="009E49CC">
        <w:rPr>
          <w:i/>
          <w:iCs/>
          <w:sz w:val="24"/>
          <w:szCs w:val="24"/>
        </w:rPr>
        <w:t>Pirkhai</w:t>
      </w:r>
      <w:proofErr w:type="spellEnd"/>
      <w:r w:rsidRPr="009E49CC">
        <w:rPr>
          <w:i/>
          <w:iCs/>
          <w:sz w:val="24"/>
          <w:szCs w:val="24"/>
        </w:rPr>
        <w:t xml:space="preserve"> </w:t>
      </w:r>
      <w:proofErr w:type="spellStart"/>
      <w:r w:rsidRPr="009E49CC">
        <w:rPr>
          <w:i/>
          <w:iCs/>
          <w:sz w:val="24"/>
          <w:szCs w:val="24"/>
        </w:rPr>
        <w:t>Haesh</w:t>
      </w:r>
      <w:proofErr w:type="spellEnd"/>
      <w:r>
        <w:rPr>
          <w:sz w:val="24"/>
          <w:szCs w:val="24"/>
        </w:rPr>
        <w:t xml:space="preserve"> published by </w:t>
      </w:r>
      <w:proofErr w:type="spellStart"/>
      <w:r>
        <w:rPr>
          <w:sz w:val="24"/>
          <w:szCs w:val="24"/>
        </w:rPr>
        <w:t>Guri</w:t>
      </w:r>
      <w:proofErr w:type="spellEnd"/>
      <w:r>
        <w:rPr>
          <w:sz w:val="24"/>
          <w:szCs w:val="24"/>
        </w:rPr>
        <w:t xml:space="preserve"> in 1949. </w:t>
      </w:r>
    </w:p>
  </w:footnote>
  <w:footnote w:id="29">
    <w:p w14:paraId="0F63EBF0" w14:textId="38B1DC34" w:rsidR="000A2D99" w:rsidRPr="00E52965" w:rsidRDefault="000A2D99" w:rsidP="00E52965">
      <w:pPr>
        <w:pStyle w:val="FootnoteText"/>
        <w:ind w:firstLine="0"/>
        <w:rPr>
          <w:sz w:val="24"/>
          <w:szCs w:val="24"/>
        </w:rPr>
      </w:pPr>
      <w:r w:rsidRPr="00E52965">
        <w:rPr>
          <w:rStyle w:val="FootnoteReference"/>
          <w:sz w:val="24"/>
          <w:szCs w:val="24"/>
        </w:rPr>
        <w:footnoteRef/>
      </w:r>
      <w:r w:rsidRPr="00E52965">
        <w:rPr>
          <w:sz w:val="24"/>
          <w:szCs w:val="24"/>
        </w:rPr>
        <w:t xml:space="preserve"> To compare, this is how the crucifixion of Jesus is described in the gospel according to Matthew:</w:t>
      </w:r>
      <w:r>
        <w:rPr>
          <w:sz w:val="24"/>
          <w:szCs w:val="24"/>
        </w:rPr>
        <w:t xml:space="preserve"> </w:t>
      </w:r>
      <w:r w:rsidRPr="00E52965">
        <w:rPr>
          <w:sz w:val="24"/>
          <w:szCs w:val="24"/>
        </w:rPr>
        <w:t>“And when they were come unto a place called Golgotha, that is to say, a place of a skull. They gave him vinegar to drink mingled with gall: and when he had tasted thereof, he would not drink. And they crucified him, and parted his garments, casting lots: that it might be fulfilled which was spoken by the prophet, They parted my garments among them, and upon my vesture did they cast lots. And sitting down they watched him there; And set up over his head his accusation written, This Is Jesus The King Of The Jews. Then were there two thieves crucified with him, one on the right hand, and another on the left.” (27: 33-38).</w:t>
      </w:r>
    </w:p>
    <w:p w14:paraId="758F23F9" w14:textId="77777777" w:rsidR="000A2D99" w:rsidRPr="00E52965" w:rsidRDefault="000A2D99" w:rsidP="009E49CC">
      <w:pPr>
        <w:pStyle w:val="FootnoteText"/>
        <w:ind w:firstLine="0"/>
        <w:rPr>
          <w:sz w:val="24"/>
          <w:szCs w:val="24"/>
        </w:rPr>
      </w:pPr>
    </w:p>
  </w:footnote>
  <w:footnote w:id="30">
    <w:p w14:paraId="5B8EFDE4" w14:textId="491AD2BE" w:rsidR="000A2D99" w:rsidRPr="00E52965" w:rsidRDefault="000A2D99" w:rsidP="009E49CC">
      <w:pPr>
        <w:pStyle w:val="FootnoteText"/>
        <w:ind w:firstLine="0"/>
        <w:rPr>
          <w:rFonts w:asciiTheme="majorBidi" w:hAnsiTheme="majorBidi" w:cstheme="majorBidi"/>
          <w:sz w:val="40"/>
          <w:szCs w:val="40"/>
        </w:rPr>
      </w:pPr>
      <w:r w:rsidRPr="00E52965">
        <w:rPr>
          <w:rStyle w:val="FootnoteReference"/>
          <w:sz w:val="24"/>
          <w:szCs w:val="24"/>
        </w:rPr>
        <w:footnoteRef/>
      </w:r>
      <w:r w:rsidRPr="00E52965">
        <w:rPr>
          <w:sz w:val="24"/>
          <w:szCs w:val="24"/>
        </w:rPr>
        <w:t xml:space="preserve"> </w:t>
      </w:r>
      <w:r>
        <w:rPr>
          <w:sz w:val="24"/>
          <w:szCs w:val="24"/>
        </w:rPr>
        <w:t xml:space="preserve">Leon Pinsker. </w:t>
      </w:r>
      <w:proofErr w:type="spellStart"/>
      <w:r w:rsidRPr="00E52965">
        <w:rPr>
          <w:i/>
          <w:iCs/>
          <w:sz w:val="24"/>
          <w:szCs w:val="24"/>
        </w:rPr>
        <w:t>Auto</w:t>
      </w:r>
      <w:r>
        <w:rPr>
          <w:i/>
          <w:iCs/>
          <w:sz w:val="24"/>
          <w:szCs w:val="24"/>
        </w:rPr>
        <w:t>e</w:t>
      </w:r>
      <w:r w:rsidRPr="00E52965">
        <w:rPr>
          <w:i/>
          <w:iCs/>
          <w:sz w:val="24"/>
          <w:szCs w:val="24"/>
        </w:rPr>
        <w:t>mancipation</w:t>
      </w:r>
      <w:proofErr w:type="spellEnd"/>
      <w:r>
        <w:rPr>
          <w:sz w:val="24"/>
          <w:szCs w:val="24"/>
        </w:rPr>
        <w:t xml:space="preserve">. Translation from German: </w:t>
      </w:r>
      <w:proofErr w:type="spellStart"/>
      <w:r>
        <w:rPr>
          <w:sz w:val="24"/>
          <w:szCs w:val="24"/>
        </w:rPr>
        <w:t>Ehad</w:t>
      </w:r>
      <w:proofErr w:type="spellEnd"/>
      <w:r>
        <w:rPr>
          <w:sz w:val="24"/>
          <w:szCs w:val="24"/>
        </w:rPr>
        <w:t xml:space="preserve"> </w:t>
      </w:r>
      <w:proofErr w:type="spellStart"/>
      <w:r>
        <w:rPr>
          <w:sz w:val="24"/>
          <w:szCs w:val="24"/>
        </w:rPr>
        <w:t>Haam</w:t>
      </w:r>
      <w:proofErr w:type="spellEnd"/>
      <w:r>
        <w:rPr>
          <w:sz w:val="24"/>
          <w:szCs w:val="24"/>
        </w:rPr>
        <w:t>. Referenced in Project Ben Yehuda. &lt;</w:t>
      </w:r>
      <w:r w:rsidRPr="00E52965">
        <w:rPr>
          <w:rFonts w:asciiTheme="majorBidi" w:hAnsiTheme="majorBidi" w:cstheme="majorBidi"/>
          <w:spacing w:val="4"/>
          <w:w w:val="99"/>
          <w:sz w:val="24"/>
          <w:szCs w:val="24"/>
        </w:rPr>
        <w:t>http://benyehuda.org/ginzberg/pinsker_autoemancipation.html&gt;</w:t>
      </w:r>
    </w:p>
  </w:footnote>
  <w:footnote w:id="31">
    <w:p w14:paraId="1455A711" w14:textId="3FC0DEE6" w:rsidR="000A2D99" w:rsidRPr="00B8059C" w:rsidRDefault="000A2D99" w:rsidP="00B8059C">
      <w:pPr>
        <w:pStyle w:val="FootnoteText"/>
        <w:ind w:firstLine="0"/>
        <w:rPr>
          <w:sz w:val="24"/>
          <w:szCs w:val="24"/>
        </w:rPr>
      </w:pPr>
      <w:r w:rsidRPr="00B8059C">
        <w:rPr>
          <w:rStyle w:val="FootnoteReference"/>
          <w:sz w:val="24"/>
          <w:szCs w:val="24"/>
        </w:rPr>
        <w:footnoteRef/>
      </w:r>
      <w:r w:rsidRPr="00B8059C">
        <w:rPr>
          <w:sz w:val="24"/>
          <w:szCs w:val="24"/>
        </w:rPr>
        <w:t xml:space="preserve"> </w:t>
      </w:r>
      <w:r>
        <w:rPr>
          <w:sz w:val="24"/>
          <w:szCs w:val="24"/>
        </w:rPr>
        <w:t>Given that the parallel for the quote was not found in translation, it was translated by me from the source: Igal Mossinsohn</w:t>
      </w:r>
      <w:r w:rsidRPr="00712F52">
        <w:rPr>
          <w:i/>
          <w:iCs/>
          <w:sz w:val="24"/>
          <w:szCs w:val="24"/>
        </w:rPr>
        <w:t xml:space="preserve">. Judas Iscariot: </w:t>
      </w:r>
      <w:r>
        <w:rPr>
          <w:i/>
          <w:iCs/>
          <w:sz w:val="24"/>
          <w:szCs w:val="24"/>
        </w:rPr>
        <w:t>O</w:t>
      </w:r>
      <w:r w:rsidRPr="00712F52">
        <w:rPr>
          <w:i/>
          <w:iCs/>
          <w:sz w:val="24"/>
          <w:szCs w:val="24"/>
        </w:rPr>
        <w:t>r the Sins of Saint Garamus</w:t>
      </w:r>
      <w:r w:rsidRPr="00712F52">
        <w:rPr>
          <w:sz w:val="24"/>
          <w:szCs w:val="24"/>
        </w:rPr>
        <w:t>. Tel Aviv:</w:t>
      </w:r>
      <w:r>
        <w:rPr>
          <w:sz w:val="24"/>
          <w:szCs w:val="24"/>
        </w:rPr>
        <w:t xml:space="preserve"> Am Oved, 1962, p. 208.</w:t>
      </w:r>
    </w:p>
  </w:footnote>
  <w:footnote w:id="32">
    <w:p w14:paraId="1D20E527" w14:textId="217F3DE3" w:rsidR="000A2D99" w:rsidRPr="00B8059C" w:rsidRDefault="000A2D99" w:rsidP="000A2D99">
      <w:pPr>
        <w:pStyle w:val="FootnoteText"/>
        <w:ind w:firstLine="0"/>
        <w:rPr>
          <w:sz w:val="24"/>
          <w:szCs w:val="24"/>
        </w:rPr>
      </w:pPr>
      <w:r w:rsidRPr="00B8059C">
        <w:rPr>
          <w:rStyle w:val="FootnoteReference"/>
          <w:sz w:val="24"/>
          <w:szCs w:val="24"/>
        </w:rPr>
        <w:footnoteRef/>
      </w:r>
      <w:r w:rsidRPr="00B8059C">
        <w:rPr>
          <w:sz w:val="24"/>
          <w:szCs w:val="24"/>
        </w:rPr>
        <w:t xml:space="preserve"> </w:t>
      </w:r>
      <w:r>
        <w:rPr>
          <w:sz w:val="24"/>
          <w:szCs w:val="24"/>
        </w:rPr>
        <w:t xml:space="preserve">This issue is in line </w:t>
      </w:r>
      <w:r w:rsidRPr="00D04899">
        <w:rPr>
          <w:sz w:val="24"/>
          <w:szCs w:val="24"/>
        </w:rPr>
        <w:t xml:space="preserve">with </w:t>
      </w:r>
      <w:proofErr w:type="spellStart"/>
      <w:r w:rsidRPr="00D04899">
        <w:rPr>
          <w:sz w:val="24"/>
          <w:szCs w:val="24"/>
        </w:rPr>
        <w:t>Hanan</w:t>
      </w:r>
      <w:proofErr w:type="spellEnd"/>
      <w:r w:rsidRPr="00D04899">
        <w:rPr>
          <w:sz w:val="24"/>
          <w:szCs w:val="24"/>
        </w:rPr>
        <w:t xml:space="preserve"> </w:t>
      </w:r>
      <w:proofErr w:type="spellStart"/>
      <w:r w:rsidRPr="00D04899">
        <w:rPr>
          <w:sz w:val="24"/>
          <w:szCs w:val="24"/>
        </w:rPr>
        <w:t>Hever’s</w:t>
      </w:r>
      <w:proofErr w:type="spellEnd"/>
      <w:r>
        <w:rPr>
          <w:sz w:val="24"/>
          <w:szCs w:val="24"/>
        </w:rPr>
        <w:t xml:space="preserve"> discussion on the absolution from responsibility that can be found in works written in the early sixties, even though </w:t>
      </w:r>
      <w:proofErr w:type="spellStart"/>
      <w:r>
        <w:rPr>
          <w:sz w:val="24"/>
          <w:szCs w:val="24"/>
        </w:rPr>
        <w:t>Mossinsohn</w:t>
      </w:r>
      <w:proofErr w:type="spellEnd"/>
      <w:r>
        <w:rPr>
          <w:sz w:val="24"/>
          <w:szCs w:val="24"/>
        </w:rPr>
        <w:t xml:space="preserve"> does not belong in “biological” terms to this generation of writers. (</w:t>
      </w:r>
      <w:proofErr w:type="spellStart"/>
      <w:r>
        <w:rPr>
          <w:sz w:val="24"/>
          <w:szCs w:val="24"/>
        </w:rPr>
        <w:t>Hanan</w:t>
      </w:r>
      <w:proofErr w:type="spellEnd"/>
      <w:r>
        <w:rPr>
          <w:sz w:val="24"/>
          <w:szCs w:val="24"/>
        </w:rPr>
        <w:t xml:space="preserve"> </w:t>
      </w:r>
      <w:proofErr w:type="spellStart"/>
      <w:r>
        <w:rPr>
          <w:sz w:val="24"/>
          <w:szCs w:val="24"/>
        </w:rPr>
        <w:t>Hever</w:t>
      </w:r>
      <w:proofErr w:type="spellEnd"/>
      <w:r>
        <w:rPr>
          <w:sz w:val="24"/>
          <w:szCs w:val="24"/>
        </w:rPr>
        <w:t xml:space="preserve">. “Majority as National Minority in Israeli Fiction From the Early Nineteen-Sixties.” </w:t>
      </w:r>
      <w:proofErr w:type="spellStart"/>
      <w:r w:rsidRPr="001943E2">
        <w:rPr>
          <w:i/>
          <w:iCs/>
          <w:sz w:val="24"/>
          <w:szCs w:val="24"/>
        </w:rPr>
        <w:t>Hasipur</w:t>
      </w:r>
      <w:proofErr w:type="spellEnd"/>
      <w:r w:rsidRPr="001943E2">
        <w:rPr>
          <w:i/>
          <w:iCs/>
          <w:sz w:val="24"/>
          <w:szCs w:val="24"/>
        </w:rPr>
        <w:t xml:space="preserve"> </w:t>
      </w:r>
      <w:proofErr w:type="spellStart"/>
      <w:r w:rsidRPr="001943E2">
        <w:rPr>
          <w:i/>
          <w:iCs/>
          <w:sz w:val="24"/>
          <w:szCs w:val="24"/>
        </w:rPr>
        <w:t>Vehaleom</w:t>
      </w:r>
      <w:proofErr w:type="spellEnd"/>
      <w:r>
        <w:rPr>
          <w:sz w:val="24"/>
          <w:szCs w:val="24"/>
        </w:rPr>
        <w:t xml:space="preserve">. Tel Aviv: </w:t>
      </w:r>
      <w:proofErr w:type="spellStart"/>
      <w:r>
        <w:rPr>
          <w:sz w:val="24"/>
          <w:szCs w:val="24"/>
        </w:rPr>
        <w:t>Resling</w:t>
      </w:r>
      <w:proofErr w:type="spellEnd"/>
      <w:r>
        <w:rPr>
          <w:sz w:val="24"/>
          <w:szCs w:val="24"/>
        </w:rPr>
        <w:t>, 2007, pp. 239-255)</w:t>
      </w:r>
    </w:p>
  </w:footnote>
  <w:footnote w:id="33">
    <w:p w14:paraId="1A9D3476" w14:textId="5255C651" w:rsidR="000A2D99" w:rsidRPr="00B8059C" w:rsidRDefault="000A2D99" w:rsidP="00B8059C">
      <w:pPr>
        <w:pStyle w:val="FootnoteText"/>
        <w:ind w:firstLine="0"/>
        <w:rPr>
          <w:sz w:val="24"/>
          <w:szCs w:val="24"/>
        </w:rPr>
      </w:pPr>
      <w:r w:rsidRPr="00B8059C">
        <w:rPr>
          <w:rStyle w:val="FootnoteReference"/>
          <w:sz w:val="24"/>
          <w:szCs w:val="24"/>
        </w:rPr>
        <w:footnoteRef/>
      </w:r>
      <w:r w:rsidRPr="00B8059C">
        <w:rPr>
          <w:sz w:val="24"/>
          <w:szCs w:val="24"/>
        </w:rPr>
        <w:t xml:space="preserve"> </w:t>
      </w:r>
      <w:r>
        <w:rPr>
          <w:sz w:val="24"/>
          <w:szCs w:val="24"/>
        </w:rPr>
        <w:t>Ibid, pp. 240-242 (my translation).</w:t>
      </w:r>
    </w:p>
  </w:footnote>
  <w:footnote w:id="34">
    <w:p w14:paraId="51E63FFE" w14:textId="1D32DA44" w:rsidR="000A2D99" w:rsidRPr="00B8059C" w:rsidRDefault="000A2D99" w:rsidP="00B8059C">
      <w:pPr>
        <w:pStyle w:val="FootnoteText"/>
        <w:ind w:firstLine="0"/>
        <w:rPr>
          <w:sz w:val="24"/>
          <w:szCs w:val="24"/>
        </w:rPr>
      </w:pPr>
      <w:r w:rsidRPr="00B8059C">
        <w:rPr>
          <w:rStyle w:val="FootnoteReference"/>
          <w:sz w:val="24"/>
          <w:szCs w:val="24"/>
        </w:rPr>
        <w:footnoteRef/>
      </w:r>
      <w:r w:rsidRPr="00B8059C">
        <w:rPr>
          <w:sz w:val="24"/>
          <w:szCs w:val="24"/>
        </w:rPr>
        <w:t xml:space="preserve"> </w:t>
      </w:r>
      <w:r>
        <w:rPr>
          <w:sz w:val="24"/>
          <w:szCs w:val="24"/>
        </w:rPr>
        <w:t>Ibid, p. 255 (my translation).</w:t>
      </w:r>
    </w:p>
  </w:footnote>
  <w:footnote w:id="35">
    <w:p w14:paraId="59117AD8" w14:textId="673C8259" w:rsidR="000A2D99" w:rsidRPr="00696A68" w:rsidRDefault="000A2D99" w:rsidP="001943E2">
      <w:pPr>
        <w:pStyle w:val="FootnoteText"/>
        <w:ind w:firstLine="0"/>
        <w:rPr>
          <w:sz w:val="24"/>
          <w:szCs w:val="24"/>
        </w:rPr>
      </w:pPr>
      <w:r w:rsidRPr="00696A68">
        <w:rPr>
          <w:rStyle w:val="FootnoteReference"/>
          <w:sz w:val="24"/>
          <w:szCs w:val="24"/>
        </w:rPr>
        <w:footnoteRef/>
      </w:r>
      <w:r w:rsidRPr="00696A68">
        <w:rPr>
          <w:sz w:val="24"/>
          <w:szCs w:val="24"/>
        </w:rPr>
        <w:t xml:space="preserve"> </w:t>
      </w:r>
      <w:r>
        <w:rPr>
          <w:sz w:val="24"/>
          <w:szCs w:val="24"/>
        </w:rPr>
        <w:t>The gnostic faith is based</w:t>
      </w:r>
      <w:r w:rsidR="006E367C">
        <w:rPr>
          <w:sz w:val="24"/>
          <w:szCs w:val="24"/>
        </w:rPr>
        <w:t xml:space="preserve"> on a striking dualism between G</w:t>
      </w:r>
      <w:r>
        <w:rPr>
          <w:sz w:val="24"/>
          <w:szCs w:val="24"/>
        </w:rPr>
        <w:t>od and the worl</w:t>
      </w:r>
      <w:r w:rsidR="006E367C">
        <w:rPr>
          <w:sz w:val="24"/>
          <w:szCs w:val="24"/>
        </w:rPr>
        <w:t>d: G</w:t>
      </w:r>
      <w:r>
        <w:rPr>
          <w:sz w:val="24"/>
          <w:szCs w:val="24"/>
        </w:rPr>
        <w:t>od is the transcendental essence that is the counterpart to the material world and constitutes its absolute opposite. In gnostic terms, the tangible and material world is also described as a product of divinity, however the divinity that created it is essentially evil (</w:t>
      </w:r>
      <w:r w:rsidR="006E367C">
        <w:rPr>
          <w:sz w:val="24"/>
          <w:szCs w:val="24"/>
        </w:rPr>
        <w:t xml:space="preserve">the </w:t>
      </w:r>
      <w:r>
        <w:rPr>
          <w:sz w:val="24"/>
          <w:szCs w:val="24"/>
        </w:rPr>
        <w:t>demiurge). The revolt against the extant cosmic order, that is, opposition to the evil divinity that created the material world, is expressed in an aspiration to be released from the shackles of imminent existence toward the transcendental eternity of the benevolent divinity. (</w:t>
      </w:r>
      <w:proofErr w:type="spellStart"/>
      <w:r>
        <w:rPr>
          <w:sz w:val="24"/>
          <w:szCs w:val="24"/>
        </w:rPr>
        <w:t>Yotam</w:t>
      </w:r>
      <w:proofErr w:type="spellEnd"/>
      <w:r>
        <w:rPr>
          <w:sz w:val="24"/>
          <w:szCs w:val="24"/>
        </w:rPr>
        <w:t xml:space="preserve"> </w:t>
      </w:r>
      <w:proofErr w:type="spellStart"/>
      <w:r>
        <w:rPr>
          <w:sz w:val="24"/>
          <w:szCs w:val="24"/>
        </w:rPr>
        <w:t>Hotam</w:t>
      </w:r>
      <w:proofErr w:type="spellEnd"/>
      <w:r>
        <w:rPr>
          <w:sz w:val="24"/>
          <w:szCs w:val="24"/>
        </w:rPr>
        <w:t xml:space="preserve">. </w:t>
      </w:r>
      <w:r w:rsidRPr="009B1763">
        <w:rPr>
          <w:i/>
          <w:iCs/>
          <w:sz w:val="24"/>
          <w:szCs w:val="24"/>
        </w:rPr>
        <w:t>Modern and Zionist Gnosis</w:t>
      </w:r>
      <w:r>
        <w:rPr>
          <w:sz w:val="24"/>
          <w:szCs w:val="24"/>
        </w:rPr>
        <w:t xml:space="preserve">. Jerusalem: </w:t>
      </w:r>
      <w:proofErr w:type="spellStart"/>
      <w:r>
        <w:rPr>
          <w:sz w:val="24"/>
          <w:szCs w:val="24"/>
        </w:rPr>
        <w:t>Magnes</w:t>
      </w:r>
      <w:proofErr w:type="spellEnd"/>
      <w:r>
        <w:rPr>
          <w:sz w:val="24"/>
          <w:szCs w:val="24"/>
        </w:rPr>
        <w:t>, 2007, pp. 45-46 [In Hebrew])</w:t>
      </w:r>
    </w:p>
  </w:footnote>
  <w:footnote w:id="36">
    <w:p w14:paraId="33BCF5B8" w14:textId="1DE82BD3" w:rsidR="000A2D99" w:rsidRPr="00696A68" w:rsidRDefault="000A2D99" w:rsidP="001943E2">
      <w:pPr>
        <w:pStyle w:val="FootnoteText"/>
        <w:ind w:firstLine="0"/>
        <w:rPr>
          <w:sz w:val="24"/>
          <w:szCs w:val="24"/>
        </w:rPr>
      </w:pPr>
      <w:r w:rsidRPr="00696A68">
        <w:rPr>
          <w:rStyle w:val="FootnoteReference"/>
          <w:sz w:val="24"/>
          <w:szCs w:val="24"/>
        </w:rPr>
        <w:footnoteRef/>
      </w:r>
      <w:r w:rsidRPr="00696A68">
        <w:rPr>
          <w:sz w:val="24"/>
          <w:szCs w:val="24"/>
        </w:rPr>
        <w:t xml:space="preserve"> </w:t>
      </w:r>
      <w:proofErr w:type="spellStart"/>
      <w:r>
        <w:rPr>
          <w:sz w:val="24"/>
          <w:szCs w:val="24"/>
        </w:rPr>
        <w:t>Hotam</w:t>
      </w:r>
      <w:proofErr w:type="spellEnd"/>
      <w:r>
        <w:rPr>
          <w:sz w:val="24"/>
          <w:szCs w:val="24"/>
        </w:rPr>
        <w:t>, 2007, pp. 45-48.</w:t>
      </w:r>
    </w:p>
  </w:footnote>
  <w:footnote w:id="37">
    <w:p w14:paraId="0694FF7C" w14:textId="3EAAF2BC" w:rsidR="000A2D99" w:rsidRPr="009B1763" w:rsidRDefault="000A2D99" w:rsidP="009B1763">
      <w:pPr>
        <w:pStyle w:val="FootnoteText"/>
        <w:ind w:firstLine="0"/>
        <w:rPr>
          <w:sz w:val="24"/>
          <w:szCs w:val="24"/>
        </w:rPr>
      </w:pPr>
      <w:r w:rsidRPr="009B1763">
        <w:rPr>
          <w:rStyle w:val="FootnoteReference"/>
          <w:sz w:val="24"/>
          <w:szCs w:val="24"/>
        </w:rPr>
        <w:footnoteRef/>
      </w:r>
      <w:r>
        <w:rPr>
          <w:sz w:val="24"/>
          <w:szCs w:val="24"/>
        </w:rPr>
        <w:t xml:space="preserve"> </w:t>
      </w:r>
      <w:proofErr w:type="spellStart"/>
      <w:r>
        <w:rPr>
          <w:sz w:val="24"/>
          <w:szCs w:val="24"/>
        </w:rPr>
        <w:t>Ohana</w:t>
      </w:r>
      <w:proofErr w:type="spellEnd"/>
      <w:r>
        <w:rPr>
          <w:sz w:val="24"/>
          <w:szCs w:val="24"/>
        </w:rPr>
        <w:t>, 2003, pp. 7-11.</w:t>
      </w:r>
    </w:p>
  </w:footnote>
  <w:footnote w:id="38">
    <w:p w14:paraId="5BF1AED0" w14:textId="70FCE01A" w:rsidR="000A2D99" w:rsidRPr="00F314B7" w:rsidRDefault="000A2D99" w:rsidP="00F314B7">
      <w:pPr>
        <w:pStyle w:val="FootnoteText"/>
        <w:ind w:firstLine="0"/>
        <w:rPr>
          <w:sz w:val="24"/>
          <w:szCs w:val="24"/>
        </w:rPr>
      </w:pPr>
      <w:r w:rsidRPr="00F314B7">
        <w:rPr>
          <w:rStyle w:val="FootnoteReference"/>
          <w:sz w:val="24"/>
          <w:szCs w:val="24"/>
        </w:rPr>
        <w:footnoteRef/>
      </w:r>
      <w:r w:rsidRPr="00F314B7">
        <w:rPr>
          <w:sz w:val="24"/>
          <w:szCs w:val="24"/>
        </w:rPr>
        <w:t xml:space="preserve"> </w:t>
      </w:r>
      <w:r>
        <w:rPr>
          <w:sz w:val="24"/>
          <w:szCs w:val="24"/>
        </w:rPr>
        <w:t xml:space="preserve">Roland Barthes. </w:t>
      </w:r>
      <w:r w:rsidRPr="00F314B7">
        <w:rPr>
          <w:i/>
          <w:iCs/>
          <w:sz w:val="24"/>
          <w:szCs w:val="24"/>
        </w:rPr>
        <w:t>Mythologies</w:t>
      </w:r>
      <w:r>
        <w:rPr>
          <w:sz w:val="24"/>
          <w:szCs w:val="24"/>
        </w:rPr>
        <w:t xml:space="preserve">. Trans. Annette Lavers. New York: The Noon Day Press, 1991 [1957].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C0"/>
    <w:rsid w:val="000023AA"/>
    <w:rsid w:val="00002D1F"/>
    <w:rsid w:val="0000399E"/>
    <w:rsid w:val="00003BCB"/>
    <w:rsid w:val="000077C4"/>
    <w:rsid w:val="000116F6"/>
    <w:rsid w:val="0001184C"/>
    <w:rsid w:val="0001543E"/>
    <w:rsid w:val="00016629"/>
    <w:rsid w:val="0002261B"/>
    <w:rsid w:val="000234C4"/>
    <w:rsid w:val="00025692"/>
    <w:rsid w:val="00025D8B"/>
    <w:rsid w:val="0002733E"/>
    <w:rsid w:val="00027911"/>
    <w:rsid w:val="00031F49"/>
    <w:rsid w:val="00037A07"/>
    <w:rsid w:val="00041BF7"/>
    <w:rsid w:val="00042E53"/>
    <w:rsid w:val="0004453F"/>
    <w:rsid w:val="0004459F"/>
    <w:rsid w:val="0004523D"/>
    <w:rsid w:val="00046716"/>
    <w:rsid w:val="0005107A"/>
    <w:rsid w:val="00052B9F"/>
    <w:rsid w:val="00057935"/>
    <w:rsid w:val="00063A7B"/>
    <w:rsid w:val="0006465E"/>
    <w:rsid w:val="000700CA"/>
    <w:rsid w:val="00070522"/>
    <w:rsid w:val="00071624"/>
    <w:rsid w:val="00072630"/>
    <w:rsid w:val="000740FD"/>
    <w:rsid w:val="0007516E"/>
    <w:rsid w:val="000758BD"/>
    <w:rsid w:val="00076CA7"/>
    <w:rsid w:val="00081DEF"/>
    <w:rsid w:val="00084E21"/>
    <w:rsid w:val="00085557"/>
    <w:rsid w:val="00085B77"/>
    <w:rsid w:val="000864A9"/>
    <w:rsid w:val="0008708F"/>
    <w:rsid w:val="0009504C"/>
    <w:rsid w:val="000A0C86"/>
    <w:rsid w:val="000A154D"/>
    <w:rsid w:val="000A1680"/>
    <w:rsid w:val="000A2D99"/>
    <w:rsid w:val="000A39C1"/>
    <w:rsid w:val="000A44EF"/>
    <w:rsid w:val="000A5D05"/>
    <w:rsid w:val="000B03C8"/>
    <w:rsid w:val="000B05BC"/>
    <w:rsid w:val="000B22F8"/>
    <w:rsid w:val="000B32FB"/>
    <w:rsid w:val="000B40BC"/>
    <w:rsid w:val="000C186B"/>
    <w:rsid w:val="000C2B40"/>
    <w:rsid w:val="000C4CCD"/>
    <w:rsid w:val="000C545C"/>
    <w:rsid w:val="000C606F"/>
    <w:rsid w:val="000D0322"/>
    <w:rsid w:val="000D24CA"/>
    <w:rsid w:val="000D2D66"/>
    <w:rsid w:val="000D2D8D"/>
    <w:rsid w:val="000D6246"/>
    <w:rsid w:val="000D7D43"/>
    <w:rsid w:val="000D7EA0"/>
    <w:rsid w:val="000E08BD"/>
    <w:rsid w:val="000E0DD0"/>
    <w:rsid w:val="000E3631"/>
    <w:rsid w:val="000E3B8A"/>
    <w:rsid w:val="000E4953"/>
    <w:rsid w:val="000E7195"/>
    <w:rsid w:val="000E7BC6"/>
    <w:rsid w:val="000F0424"/>
    <w:rsid w:val="000F32A5"/>
    <w:rsid w:val="000F4542"/>
    <w:rsid w:val="000F5293"/>
    <w:rsid w:val="000F7060"/>
    <w:rsid w:val="0010117A"/>
    <w:rsid w:val="00101A08"/>
    <w:rsid w:val="001020B6"/>
    <w:rsid w:val="001029EE"/>
    <w:rsid w:val="00102E3A"/>
    <w:rsid w:val="00103159"/>
    <w:rsid w:val="001036B5"/>
    <w:rsid w:val="001037ED"/>
    <w:rsid w:val="00107613"/>
    <w:rsid w:val="00110FCE"/>
    <w:rsid w:val="00111755"/>
    <w:rsid w:val="00112527"/>
    <w:rsid w:val="00112F18"/>
    <w:rsid w:val="00117813"/>
    <w:rsid w:val="0012002C"/>
    <w:rsid w:val="0012114C"/>
    <w:rsid w:val="00122594"/>
    <w:rsid w:val="00122ACA"/>
    <w:rsid w:val="00125E89"/>
    <w:rsid w:val="00130A30"/>
    <w:rsid w:val="00133419"/>
    <w:rsid w:val="001337B7"/>
    <w:rsid w:val="00134119"/>
    <w:rsid w:val="001341F7"/>
    <w:rsid w:val="0013464F"/>
    <w:rsid w:val="001359BA"/>
    <w:rsid w:val="00135A52"/>
    <w:rsid w:val="0013656E"/>
    <w:rsid w:val="00136F5A"/>
    <w:rsid w:val="00137D2A"/>
    <w:rsid w:val="00141C96"/>
    <w:rsid w:val="0014355E"/>
    <w:rsid w:val="00144E18"/>
    <w:rsid w:val="00147F2F"/>
    <w:rsid w:val="00151D8B"/>
    <w:rsid w:val="001602B9"/>
    <w:rsid w:val="001638F6"/>
    <w:rsid w:val="001646E6"/>
    <w:rsid w:val="00171B92"/>
    <w:rsid w:val="00174F07"/>
    <w:rsid w:val="001804BA"/>
    <w:rsid w:val="00180809"/>
    <w:rsid w:val="0018160A"/>
    <w:rsid w:val="001826BE"/>
    <w:rsid w:val="0018286E"/>
    <w:rsid w:val="001906B7"/>
    <w:rsid w:val="001912A3"/>
    <w:rsid w:val="00191347"/>
    <w:rsid w:val="00192A72"/>
    <w:rsid w:val="00192C68"/>
    <w:rsid w:val="001934B9"/>
    <w:rsid w:val="001943E2"/>
    <w:rsid w:val="00194CFF"/>
    <w:rsid w:val="001A011C"/>
    <w:rsid w:val="001A0388"/>
    <w:rsid w:val="001A19CA"/>
    <w:rsid w:val="001A2FD3"/>
    <w:rsid w:val="001A6C8E"/>
    <w:rsid w:val="001B3BD7"/>
    <w:rsid w:val="001B5709"/>
    <w:rsid w:val="001B6478"/>
    <w:rsid w:val="001B6AA7"/>
    <w:rsid w:val="001B70F2"/>
    <w:rsid w:val="001B74F7"/>
    <w:rsid w:val="001C06AA"/>
    <w:rsid w:val="001C0BA5"/>
    <w:rsid w:val="001C0CCC"/>
    <w:rsid w:val="001C2D1B"/>
    <w:rsid w:val="001C32A7"/>
    <w:rsid w:val="001C45AB"/>
    <w:rsid w:val="001C6F57"/>
    <w:rsid w:val="001C758A"/>
    <w:rsid w:val="001D2792"/>
    <w:rsid w:val="001D61E0"/>
    <w:rsid w:val="001D741B"/>
    <w:rsid w:val="001D7F50"/>
    <w:rsid w:val="001E091E"/>
    <w:rsid w:val="001E57EB"/>
    <w:rsid w:val="001E7BAB"/>
    <w:rsid w:val="001E7F3F"/>
    <w:rsid w:val="001F0801"/>
    <w:rsid w:val="001F1C1D"/>
    <w:rsid w:val="001F217D"/>
    <w:rsid w:val="001F440A"/>
    <w:rsid w:val="001F4ABA"/>
    <w:rsid w:val="001F4C35"/>
    <w:rsid w:val="001F5A87"/>
    <w:rsid w:val="001F65B6"/>
    <w:rsid w:val="001F6AB2"/>
    <w:rsid w:val="001F7E01"/>
    <w:rsid w:val="001F7ED0"/>
    <w:rsid w:val="00203AAD"/>
    <w:rsid w:val="00205236"/>
    <w:rsid w:val="00207921"/>
    <w:rsid w:val="00207E0E"/>
    <w:rsid w:val="002103B6"/>
    <w:rsid w:val="00210B1D"/>
    <w:rsid w:val="00211852"/>
    <w:rsid w:val="00213AB9"/>
    <w:rsid w:val="00214FAC"/>
    <w:rsid w:val="0021752F"/>
    <w:rsid w:val="002200A5"/>
    <w:rsid w:val="002203B1"/>
    <w:rsid w:val="00221641"/>
    <w:rsid w:val="00222C7D"/>
    <w:rsid w:val="00222F30"/>
    <w:rsid w:val="00223679"/>
    <w:rsid w:val="00223AC5"/>
    <w:rsid w:val="002243D6"/>
    <w:rsid w:val="002245E4"/>
    <w:rsid w:val="00225AA8"/>
    <w:rsid w:val="002263B9"/>
    <w:rsid w:val="0023104F"/>
    <w:rsid w:val="00231518"/>
    <w:rsid w:val="00231A3B"/>
    <w:rsid w:val="002343C4"/>
    <w:rsid w:val="00234CAA"/>
    <w:rsid w:val="00235C9A"/>
    <w:rsid w:val="0024197A"/>
    <w:rsid w:val="002451B0"/>
    <w:rsid w:val="00245BC5"/>
    <w:rsid w:val="00250756"/>
    <w:rsid w:val="00250777"/>
    <w:rsid w:val="00250C81"/>
    <w:rsid w:val="00254319"/>
    <w:rsid w:val="002561B8"/>
    <w:rsid w:val="00260849"/>
    <w:rsid w:val="00263B27"/>
    <w:rsid w:val="0026655E"/>
    <w:rsid w:val="00267B5A"/>
    <w:rsid w:val="002711AA"/>
    <w:rsid w:val="0027127A"/>
    <w:rsid w:val="002723FB"/>
    <w:rsid w:val="00276E94"/>
    <w:rsid w:val="00277ED4"/>
    <w:rsid w:val="00280516"/>
    <w:rsid w:val="002813F2"/>
    <w:rsid w:val="00281A98"/>
    <w:rsid w:val="0028214E"/>
    <w:rsid w:val="002908E7"/>
    <w:rsid w:val="00291A87"/>
    <w:rsid w:val="0029594C"/>
    <w:rsid w:val="00297F5F"/>
    <w:rsid w:val="002A11DD"/>
    <w:rsid w:val="002A2A01"/>
    <w:rsid w:val="002B0E04"/>
    <w:rsid w:val="002B65E8"/>
    <w:rsid w:val="002B7C69"/>
    <w:rsid w:val="002C0B79"/>
    <w:rsid w:val="002C1B21"/>
    <w:rsid w:val="002C3ADB"/>
    <w:rsid w:val="002C3EB6"/>
    <w:rsid w:val="002C7304"/>
    <w:rsid w:val="002C742B"/>
    <w:rsid w:val="002C764D"/>
    <w:rsid w:val="002C7876"/>
    <w:rsid w:val="002D0053"/>
    <w:rsid w:val="002D0510"/>
    <w:rsid w:val="002D17BB"/>
    <w:rsid w:val="002D2F6F"/>
    <w:rsid w:val="002D6258"/>
    <w:rsid w:val="002D76D6"/>
    <w:rsid w:val="002E4243"/>
    <w:rsid w:val="002E4FD0"/>
    <w:rsid w:val="002F067A"/>
    <w:rsid w:val="002F24D5"/>
    <w:rsid w:val="002F4604"/>
    <w:rsid w:val="002F51A5"/>
    <w:rsid w:val="002F51F3"/>
    <w:rsid w:val="002F5552"/>
    <w:rsid w:val="002F65CB"/>
    <w:rsid w:val="00300A96"/>
    <w:rsid w:val="00301E31"/>
    <w:rsid w:val="003021F5"/>
    <w:rsid w:val="00304E84"/>
    <w:rsid w:val="0030514A"/>
    <w:rsid w:val="00310AD7"/>
    <w:rsid w:val="003152DB"/>
    <w:rsid w:val="00317937"/>
    <w:rsid w:val="00321A03"/>
    <w:rsid w:val="00322846"/>
    <w:rsid w:val="003228E3"/>
    <w:rsid w:val="00322F91"/>
    <w:rsid w:val="00327952"/>
    <w:rsid w:val="00327F76"/>
    <w:rsid w:val="003312DA"/>
    <w:rsid w:val="003313A6"/>
    <w:rsid w:val="0033370D"/>
    <w:rsid w:val="00334AB9"/>
    <w:rsid w:val="00335BF3"/>
    <w:rsid w:val="00336850"/>
    <w:rsid w:val="00336913"/>
    <w:rsid w:val="003376A9"/>
    <w:rsid w:val="0033778E"/>
    <w:rsid w:val="00337BC6"/>
    <w:rsid w:val="003402A3"/>
    <w:rsid w:val="003407E3"/>
    <w:rsid w:val="00344C9D"/>
    <w:rsid w:val="00345168"/>
    <w:rsid w:val="00346932"/>
    <w:rsid w:val="003500B0"/>
    <w:rsid w:val="0035168D"/>
    <w:rsid w:val="0035422C"/>
    <w:rsid w:val="00355694"/>
    <w:rsid w:val="00355B56"/>
    <w:rsid w:val="00355BF6"/>
    <w:rsid w:val="003572B4"/>
    <w:rsid w:val="003575ED"/>
    <w:rsid w:val="00357FDA"/>
    <w:rsid w:val="003600A3"/>
    <w:rsid w:val="00360A34"/>
    <w:rsid w:val="00360A8F"/>
    <w:rsid w:val="00360F4A"/>
    <w:rsid w:val="003623F9"/>
    <w:rsid w:val="0037151C"/>
    <w:rsid w:val="003759DF"/>
    <w:rsid w:val="00375B2B"/>
    <w:rsid w:val="00376F10"/>
    <w:rsid w:val="00377E62"/>
    <w:rsid w:val="00380014"/>
    <w:rsid w:val="00381243"/>
    <w:rsid w:val="00383022"/>
    <w:rsid w:val="003855AB"/>
    <w:rsid w:val="003860D7"/>
    <w:rsid w:val="00387542"/>
    <w:rsid w:val="00390265"/>
    <w:rsid w:val="00391087"/>
    <w:rsid w:val="00394616"/>
    <w:rsid w:val="00395220"/>
    <w:rsid w:val="00395EC7"/>
    <w:rsid w:val="0039776C"/>
    <w:rsid w:val="003A3719"/>
    <w:rsid w:val="003A4783"/>
    <w:rsid w:val="003A5ADE"/>
    <w:rsid w:val="003A632D"/>
    <w:rsid w:val="003A7701"/>
    <w:rsid w:val="003B0635"/>
    <w:rsid w:val="003B0B14"/>
    <w:rsid w:val="003B116B"/>
    <w:rsid w:val="003B1C34"/>
    <w:rsid w:val="003B320E"/>
    <w:rsid w:val="003B39AA"/>
    <w:rsid w:val="003B5C63"/>
    <w:rsid w:val="003B6238"/>
    <w:rsid w:val="003B7DA7"/>
    <w:rsid w:val="003C01D8"/>
    <w:rsid w:val="003C1CB0"/>
    <w:rsid w:val="003D07B2"/>
    <w:rsid w:val="003D116C"/>
    <w:rsid w:val="003D14A1"/>
    <w:rsid w:val="003D462B"/>
    <w:rsid w:val="003D677B"/>
    <w:rsid w:val="003D72EF"/>
    <w:rsid w:val="003D7F1A"/>
    <w:rsid w:val="003E46D4"/>
    <w:rsid w:val="003F01AC"/>
    <w:rsid w:val="003F0763"/>
    <w:rsid w:val="003F37E6"/>
    <w:rsid w:val="003F5DD9"/>
    <w:rsid w:val="003F715E"/>
    <w:rsid w:val="00400AFC"/>
    <w:rsid w:val="00403498"/>
    <w:rsid w:val="004036F4"/>
    <w:rsid w:val="00404B37"/>
    <w:rsid w:val="004112A2"/>
    <w:rsid w:val="004152B7"/>
    <w:rsid w:val="004153FF"/>
    <w:rsid w:val="00417668"/>
    <w:rsid w:val="00420615"/>
    <w:rsid w:val="00420AA2"/>
    <w:rsid w:val="00420D79"/>
    <w:rsid w:val="00422F8D"/>
    <w:rsid w:val="00424D8D"/>
    <w:rsid w:val="00426955"/>
    <w:rsid w:val="00430958"/>
    <w:rsid w:val="00431077"/>
    <w:rsid w:val="00434ED9"/>
    <w:rsid w:val="00437525"/>
    <w:rsid w:val="00437932"/>
    <w:rsid w:val="00437C4C"/>
    <w:rsid w:val="00440C5C"/>
    <w:rsid w:val="00443CA8"/>
    <w:rsid w:val="0044418D"/>
    <w:rsid w:val="00445266"/>
    <w:rsid w:val="0044714D"/>
    <w:rsid w:val="00450E3D"/>
    <w:rsid w:val="00451012"/>
    <w:rsid w:val="004510AA"/>
    <w:rsid w:val="00451E36"/>
    <w:rsid w:val="0045235D"/>
    <w:rsid w:val="0045629A"/>
    <w:rsid w:val="00456DEF"/>
    <w:rsid w:val="00460541"/>
    <w:rsid w:val="0046065B"/>
    <w:rsid w:val="004647D1"/>
    <w:rsid w:val="004653EC"/>
    <w:rsid w:val="004665D8"/>
    <w:rsid w:val="004669FA"/>
    <w:rsid w:val="00467368"/>
    <w:rsid w:val="00467840"/>
    <w:rsid w:val="00470573"/>
    <w:rsid w:val="004718E6"/>
    <w:rsid w:val="00471B81"/>
    <w:rsid w:val="00471DC2"/>
    <w:rsid w:val="00474C17"/>
    <w:rsid w:val="004773CF"/>
    <w:rsid w:val="00480FD0"/>
    <w:rsid w:val="004866DA"/>
    <w:rsid w:val="004874C1"/>
    <w:rsid w:val="00491F8B"/>
    <w:rsid w:val="004939BF"/>
    <w:rsid w:val="004949F2"/>
    <w:rsid w:val="00495139"/>
    <w:rsid w:val="004966F6"/>
    <w:rsid w:val="00497307"/>
    <w:rsid w:val="004A2135"/>
    <w:rsid w:val="004A3704"/>
    <w:rsid w:val="004A4776"/>
    <w:rsid w:val="004A4A62"/>
    <w:rsid w:val="004B4FD4"/>
    <w:rsid w:val="004B5CA2"/>
    <w:rsid w:val="004B6B4E"/>
    <w:rsid w:val="004C7790"/>
    <w:rsid w:val="004D47D2"/>
    <w:rsid w:val="004E036C"/>
    <w:rsid w:val="004E36B1"/>
    <w:rsid w:val="004E45DE"/>
    <w:rsid w:val="004E4D0A"/>
    <w:rsid w:val="004E57EB"/>
    <w:rsid w:val="004F2459"/>
    <w:rsid w:val="004F3B31"/>
    <w:rsid w:val="004F4718"/>
    <w:rsid w:val="004F47DF"/>
    <w:rsid w:val="004F4845"/>
    <w:rsid w:val="004F5B17"/>
    <w:rsid w:val="005025AC"/>
    <w:rsid w:val="005066FC"/>
    <w:rsid w:val="00507303"/>
    <w:rsid w:val="00511141"/>
    <w:rsid w:val="00511D10"/>
    <w:rsid w:val="00513A26"/>
    <w:rsid w:val="005146A5"/>
    <w:rsid w:val="005147CF"/>
    <w:rsid w:val="00516137"/>
    <w:rsid w:val="00516670"/>
    <w:rsid w:val="00517E23"/>
    <w:rsid w:val="00521C4C"/>
    <w:rsid w:val="00523219"/>
    <w:rsid w:val="00524D4B"/>
    <w:rsid w:val="005250D5"/>
    <w:rsid w:val="005270C7"/>
    <w:rsid w:val="005317B6"/>
    <w:rsid w:val="0053243C"/>
    <w:rsid w:val="005359CE"/>
    <w:rsid w:val="00541302"/>
    <w:rsid w:val="00545328"/>
    <w:rsid w:val="00545C5B"/>
    <w:rsid w:val="0055038D"/>
    <w:rsid w:val="00553EE8"/>
    <w:rsid w:val="005551DC"/>
    <w:rsid w:val="0055557B"/>
    <w:rsid w:val="0055580D"/>
    <w:rsid w:val="00560B25"/>
    <w:rsid w:val="005615BD"/>
    <w:rsid w:val="0056223C"/>
    <w:rsid w:val="00563AB3"/>
    <w:rsid w:val="00564C9F"/>
    <w:rsid w:val="00566584"/>
    <w:rsid w:val="00567786"/>
    <w:rsid w:val="005741AD"/>
    <w:rsid w:val="0057474A"/>
    <w:rsid w:val="00574CD4"/>
    <w:rsid w:val="00580CBD"/>
    <w:rsid w:val="0058185B"/>
    <w:rsid w:val="00584096"/>
    <w:rsid w:val="0058463A"/>
    <w:rsid w:val="00585BD7"/>
    <w:rsid w:val="0058697B"/>
    <w:rsid w:val="00590F7B"/>
    <w:rsid w:val="0059193E"/>
    <w:rsid w:val="00591C09"/>
    <w:rsid w:val="005934A2"/>
    <w:rsid w:val="005947E0"/>
    <w:rsid w:val="00594E28"/>
    <w:rsid w:val="00595675"/>
    <w:rsid w:val="005960EB"/>
    <w:rsid w:val="00596D60"/>
    <w:rsid w:val="00597009"/>
    <w:rsid w:val="00597892"/>
    <w:rsid w:val="005A5190"/>
    <w:rsid w:val="005A6ED8"/>
    <w:rsid w:val="005A730A"/>
    <w:rsid w:val="005B2FF1"/>
    <w:rsid w:val="005C026A"/>
    <w:rsid w:val="005C1C17"/>
    <w:rsid w:val="005C27AE"/>
    <w:rsid w:val="005C2CCE"/>
    <w:rsid w:val="005C4914"/>
    <w:rsid w:val="005C4CD9"/>
    <w:rsid w:val="005C53DE"/>
    <w:rsid w:val="005D457D"/>
    <w:rsid w:val="005D58B5"/>
    <w:rsid w:val="005D729C"/>
    <w:rsid w:val="005E4A4A"/>
    <w:rsid w:val="005E6D37"/>
    <w:rsid w:val="005F14A1"/>
    <w:rsid w:val="005F2B57"/>
    <w:rsid w:val="005F3066"/>
    <w:rsid w:val="0060019F"/>
    <w:rsid w:val="00602423"/>
    <w:rsid w:val="00602A3C"/>
    <w:rsid w:val="00605588"/>
    <w:rsid w:val="006127DB"/>
    <w:rsid w:val="00612B7E"/>
    <w:rsid w:val="006130D8"/>
    <w:rsid w:val="00614264"/>
    <w:rsid w:val="00614F5B"/>
    <w:rsid w:val="006154E6"/>
    <w:rsid w:val="00620C11"/>
    <w:rsid w:val="00622F32"/>
    <w:rsid w:val="00623074"/>
    <w:rsid w:val="00623748"/>
    <w:rsid w:val="006242B9"/>
    <w:rsid w:val="00627C68"/>
    <w:rsid w:val="006308ED"/>
    <w:rsid w:val="00630C97"/>
    <w:rsid w:val="00631CE5"/>
    <w:rsid w:val="00643082"/>
    <w:rsid w:val="00643A5E"/>
    <w:rsid w:val="00645C85"/>
    <w:rsid w:val="00646649"/>
    <w:rsid w:val="00647B9D"/>
    <w:rsid w:val="00647C49"/>
    <w:rsid w:val="006501C9"/>
    <w:rsid w:val="00652B65"/>
    <w:rsid w:val="00661F32"/>
    <w:rsid w:val="00664577"/>
    <w:rsid w:val="00664A7F"/>
    <w:rsid w:val="00664DEA"/>
    <w:rsid w:val="0066529D"/>
    <w:rsid w:val="00666085"/>
    <w:rsid w:val="00666749"/>
    <w:rsid w:val="006679E6"/>
    <w:rsid w:val="006725C6"/>
    <w:rsid w:val="00673E40"/>
    <w:rsid w:val="00677852"/>
    <w:rsid w:val="00681053"/>
    <w:rsid w:val="00682E21"/>
    <w:rsid w:val="006835A9"/>
    <w:rsid w:val="00690C8D"/>
    <w:rsid w:val="006912A7"/>
    <w:rsid w:val="00694B00"/>
    <w:rsid w:val="00696A68"/>
    <w:rsid w:val="00696F5F"/>
    <w:rsid w:val="00697647"/>
    <w:rsid w:val="00697B70"/>
    <w:rsid w:val="00697D51"/>
    <w:rsid w:val="006A1BF7"/>
    <w:rsid w:val="006A2289"/>
    <w:rsid w:val="006A29C9"/>
    <w:rsid w:val="006A3616"/>
    <w:rsid w:val="006A4F03"/>
    <w:rsid w:val="006A5351"/>
    <w:rsid w:val="006A67B8"/>
    <w:rsid w:val="006A69C3"/>
    <w:rsid w:val="006A7F25"/>
    <w:rsid w:val="006B33BF"/>
    <w:rsid w:val="006B3E30"/>
    <w:rsid w:val="006B4A2B"/>
    <w:rsid w:val="006B7D21"/>
    <w:rsid w:val="006C1848"/>
    <w:rsid w:val="006C1911"/>
    <w:rsid w:val="006C1BC9"/>
    <w:rsid w:val="006C3BDF"/>
    <w:rsid w:val="006D1C4E"/>
    <w:rsid w:val="006D2282"/>
    <w:rsid w:val="006D3962"/>
    <w:rsid w:val="006D3FCF"/>
    <w:rsid w:val="006D46C0"/>
    <w:rsid w:val="006D74EF"/>
    <w:rsid w:val="006E094E"/>
    <w:rsid w:val="006E1391"/>
    <w:rsid w:val="006E32AD"/>
    <w:rsid w:val="006E367C"/>
    <w:rsid w:val="006E45C5"/>
    <w:rsid w:val="006E49F9"/>
    <w:rsid w:val="006F3631"/>
    <w:rsid w:val="006F3D5B"/>
    <w:rsid w:val="006F5744"/>
    <w:rsid w:val="006F5B2D"/>
    <w:rsid w:val="006F7258"/>
    <w:rsid w:val="00700079"/>
    <w:rsid w:val="0070262C"/>
    <w:rsid w:val="007029FA"/>
    <w:rsid w:val="00702E4D"/>
    <w:rsid w:val="00707393"/>
    <w:rsid w:val="007124DB"/>
    <w:rsid w:val="00712815"/>
    <w:rsid w:val="00712D41"/>
    <w:rsid w:val="00712F52"/>
    <w:rsid w:val="00713F0A"/>
    <w:rsid w:val="007150CB"/>
    <w:rsid w:val="00715298"/>
    <w:rsid w:val="00715FCB"/>
    <w:rsid w:val="007201D2"/>
    <w:rsid w:val="00720455"/>
    <w:rsid w:val="007222C5"/>
    <w:rsid w:val="00722C48"/>
    <w:rsid w:val="0072525D"/>
    <w:rsid w:val="00732583"/>
    <w:rsid w:val="00732934"/>
    <w:rsid w:val="00734241"/>
    <w:rsid w:val="007400CC"/>
    <w:rsid w:val="007417DF"/>
    <w:rsid w:val="007427D7"/>
    <w:rsid w:val="007428BF"/>
    <w:rsid w:val="00744867"/>
    <w:rsid w:val="00747ADC"/>
    <w:rsid w:val="00751287"/>
    <w:rsid w:val="0075306B"/>
    <w:rsid w:val="007533DA"/>
    <w:rsid w:val="0075649B"/>
    <w:rsid w:val="00760B19"/>
    <w:rsid w:val="0076110F"/>
    <w:rsid w:val="007635DD"/>
    <w:rsid w:val="00766705"/>
    <w:rsid w:val="007668C0"/>
    <w:rsid w:val="007669A3"/>
    <w:rsid w:val="00772A95"/>
    <w:rsid w:val="00772D65"/>
    <w:rsid w:val="007735C9"/>
    <w:rsid w:val="00773899"/>
    <w:rsid w:val="00775473"/>
    <w:rsid w:val="00780814"/>
    <w:rsid w:val="00781E01"/>
    <w:rsid w:val="00782D70"/>
    <w:rsid w:val="0078303D"/>
    <w:rsid w:val="00783B76"/>
    <w:rsid w:val="0078549C"/>
    <w:rsid w:val="00786C05"/>
    <w:rsid w:val="00786D8F"/>
    <w:rsid w:val="00787FB5"/>
    <w:rsid w:val="007937EB"/>
    <w:rsid w:val="007939D6"/>
    <w:rsid w:val="00795163"/>
    <w:rsid w:val="00795982"/>
    <w:rsid w:val="00795A61"/>
    <w:rsid w:val="007A0D46"/>
    <w:rsid w:val="007A2683"/>
    <w:rsid w:val="007A6390"/>
    <w:rsid w:val="007A6C90"/>
    <w:rsid w:val="007A6E62"/>
    <w:rsid w:val="007A79BF"/>
    <w:rsid w:val="007A7A15"/>
    <w:rsid w:val="007B14EA"/>
    <w:rsid w:val="007B1519"/>
    <w:rsid w:val="007B22C0"/>
    <w:rsid w:val="007C1AE3"/>
    <w:rsid w:val="007C2066"/>
    <w:rsid w:val="007C3692"/>
    <w:rsid w:val="007C4288"/>
    <w:rsid w:val="007C4D74"/>
    <w:rsid w:val="007C55CB"/>
    <w:rsid w:val="007D0B92"/>
    <w:rsid w:val="007D0D21"/>
    <w:rsid w:val="007D2A3E"/>
    <w:rsid w:val="007D3FF5"/>
    <w:rsid w:val="007D488D"/>
    <w:rsid w:val="007E1B3F"/>
    <w:rsid w:val="007E378D"/>
    <w:rsid w:val="007E4FA6"/>
    <w:rsid w:val="007E52F0"/>
    <w:rsid w:val="007E5FC6"/>
    <w:rsid w:val="007E6BF1"/>
    <w:rsid w:val="007F257F"/>
    <w:rsid w:val="007F4EB5"/>
    <w:rsid w:val="007F62C6"/>
    <w:rsid w:val="007F6CEE"/>
    <w:rsid w:val="007F7078"/>
    <w:rsid w:val="007F72C5"/>
    <w:rsid w:val="007F7842"/>
    <w:rsid w:val="0080119C"/>
    <w:rsid w:val="008028A1"/>
    <w:rsid w:val="008041D1"/>
    <w:rsid w:val="00805526"/>
    <w:rsid w:val="0080726A"/>
    <w:rsid w:val="00807B7C"/>
    <w:rsid w:val="00812E20"/>
    <w:rsid w:val="00813B20"/>
    <w:rsid w:val="00820D8E"/>
    <w:rsid w:val="00821F65"/>
    <w:rsid w:val="00826DA1"/>
    <w:rsid w:val="008272A9"/>
    <w:rsid w:val="008272B3"/>
    <w:rsid w:val="008301FD"/>
    <w:rsid w:val="00830A99"/>
    <w:rsid w:val="00830DB2"/>
    <w:rsid w:val="00830FDD"/>
    <w:rsid w:val="008313B8"/>
    <w:rsid w:val="00832079"/>
    <w:rsid w:val="00833FF5"/>
    <w:rsid w:val="00835231"/>
    <w:rsid w:val="0083588B"/>
    <w:rsid w:val="00836928"/>
    <w:rsid w:val="00836ABE"/>
    <w:rsid w:val="00836ADB"/>
    <w:rsid w:val="00836CDF"/>
    <w:rsid w:val="00841229"/>
    <w:rsid w:val="00842222"/>
    <w:rsid w:val="00850F1F"/>
    <w:rsid w:val="00852D5C"/>
    <w:rsid w:val="00854327"/>
    <w:rsid w:val="00854608"/>
    <w:rsid w:val="00856ED8"/>
    <w:rsid w:val="00860D76"/>
    <w:rsid w:val="0086115D"/>
    <w:rsid w:val="008617CF"/>
    <w:rsid w:val="00862EF4"/>
    <w:rsid w:val="00863B12"/>
    <w:rsid w:val="00866257"/>
    <w:rsid w:val="0087138A"/>
    <w:rsid w:val="00872172"/>
    <w:rsid w:val="00873713"/>
    <w:rsid w:val="00874FA0"/>
    <w:rsid w:val="00875673"/>
    <w:rsid w:val="008757D7"/>
    <w:rsid w:val="008772D4"/>
    <w:rsid w:val="00877993"/>
    <w:rsid w:val="00877EFB"/>
    <w:rsid w:val="0088006F"/>
    <w:rsid w:val="00880BF6"/>
    <w:rsid w:val="00885E47"/>
    <w:rsid w:val="008916A2"/>
    <w:rsid w:val="00891D90"/>
    <w:rsid w:val="00892414"/>
    <w:rsid w:val="00893A8E"/>
    <w:rsid w:val="008943C2"/>
    <w:rsid w:val="0089450E"/>
    <w:rsid w:val="0089491A"/>
    <w:rsid w:val="00895AC4"/>
    <w:rsid w:val="00895B6F"/>
    <w:rsid w:val="008A09FE"/>
    <w:rsid w:val="008A1642"/>
    <w:rsid w:val="008A3897"/>
    <w:rsid w:val="008A537C"/>
    <w:rsid w:val="008A5D9B"/>
    <w:rsid w:val="008A6581"/>
    <w:rsid w:val="008A659A"/>
    <w:rsid w:val="008B1C46"/>
    <w:rsid w:val="008B398F"/>
    <w:rsid w:val="008B43DE"/>
    <w:rsid w:val="008B6759"/>
    <w:rsid w:val="008B7521"/>
    <w:rsid w:val="008C0540"/>
    <w:rsid w:val="008C28FC"/>
    <w:rsid w:val="008C2BAB"/>
    <w:rsid w:val="008C41DE"/>
    <w:rsid w:val="008C4488"/>
    <w:rsid w:val="008D144D"/>
    <w:rsid w:val="008D1B7C"/>
    <w:rsid w:val="008D2454"/>
    <w:rsid w:val="008D2488"/>
    <w:rsid w:val="008D5153"/>
    <w:rsid w:val="008D563D"/>
    <w:rsid w:val="008E0EAF"/>
    <w:rsid w:val="008E1376"/>
    <w:rsid w:val="008E486E"/>
    <w:rsid w:val="008E4EC5"/>
    <w:rsid w:val="008E5208"/>
    <w:rsid w:val="008E5328"/>
    <w:rsid w:val="008E65F6"/>
    <w:rsid w:val="008E7EF7"/>
    <w:rsid w:val="008F2AAB"/>
    <w:rsid w:val="008F2D11"/>
    <w:rsid w:val="008F5A4B"/>
    <w:rsid w:val="008F6866"/>
    <w:rsid w:val="008F74A9"/>
    <w:rsid w:val="00902094"/>
    <w:rsid w:val="009135F2"/>
    <w:rsid w:val="00914B46"/>
    <w:rsid w:val="00915682"/>
    <w:rsid w:val="009165CE"/>
    <w:rsid w:val="009168E2"/>
    <w:rsid w:val="009200B8"/>
    <w:rsid w:val="00921644"/>
    <w:rsid w:val="00921F54"/>
    <w:rsid w:val="00922609"/>
    <w:rsid w:val="00925DE6"/>
    <w:rsid w:val="009272BD"/>
    <w:rsid w:val="00933CBD"/>
    <w:rsid w:val="00935DE7"/>
    <w:rsid w:val="00935F60"/>
    <w:rsid w:val="009414D5"/>
    <w:rsid w:val="0094188F"/>
    <w:rsid w:val="00943240"/>
    <w:rsid w:val="00943271"/>
    <w:rsid w:val="00943B0E"/>
    <w:rsid w:val="00943F04"/>
    <w:rsid w:val="009442B1"/>
    <w:rsid w:val="009455DE"/>
    <w:rsid w:val="00951A37"/>
    <w:rsid w:val="00952262"/>
    <w:rsid w:val="00952F8C"/>
    <w:rsid w:val="009530BE"/>
    <w:rsid w:val="00954F31"/>
    <w:rsid w:val="009560DC"/>
    <w:rsid w:val="00956DF5"/>
    <w:rsid w:val="00956F94"/>
    <w:rsid w:val="0096066B"/>
    <w:rsid w:val="00961D5D"/>
    <w:rsid w:val="0096319D"/>
    <w:rsid w:val="009658D1"/>
    <w:rsid w:val="00965952"/>
    <w:rsid w:val="009661FB"/>
    <w:rsid w:val="0096712B"/>
    <w:rsid w:val="00976650"/>
    <w:rsid w:val="00982E0B"/>
    <w:rsid w:val="00986929"/>
    <w:rsid w:val="00987AD5"/>
    <w:rsid w:val="00987C72"/>
    <w:rsid w:val="00990D21"/>
    <w:rsid w:val="00991345"/>
    <w:rsid w:val="00993B00"/>
    <w:rsid w:val="009953C8"/>
    <w:rsid w:val="009969E2"/>
    <w:rsid w:val="00996EE3"/>
    <w:rsid w:val="009A10C6"/>
    <w:rsid w:val="009A17FE"/>
    <w:rsid w:val="009A1CFF"/>
    <w:rsid w:val="009A1FB2"/>
    <w:rsid w:val="009A26D6"/>
    <w:rsid w:val="009A4976"/>
    <w:rsid w:val="009A5C49"/>
    <w:rsid w:val="009A6E07"/>
    <w:rsid w:val="009B07D5"/>
    <w:rsid w:val="009B1763"/>
    <w:rsid w:val="009B2651"/>
    <w:rsid w:val="009B2EA1"/>
    <w:rsid w:val="009B6230"/>
    <w:rsid w:val="009B79AE"/>
    <w:rsid w:val="009C06ED"/>
    <w:rsid w:val="009C33E0"/>
    <w:rsid w:val="009C3C5B"/>
    <w:rsid w:val="009C7F3B"/>
    <w:rsid w:val="009D153F"/>
    <w:rsid w:val="009D4545"/>
    <w:rsid w:val="009D6490"/>
    <w:rsid w:val="009D6B92"/>
    <w:rsid w:val="009D7B0F"/>
    <w:rsid w:val="009E0693"/>
    <w:rsid w:val="009E2410"/>
    <w:rsid w:val="009E3C08"/>
    <w:rsid w:val="009E49CC"/>
    <w:rsid w:val="009E4FC5"/>
    <w:rsid w:val="009E5C2B"/>
    <w:rsid w:val="009E7D47"/>
    <w:rsid w:val="009F1FF8"/>
    <w:rsid w:val="009F2449"/>
    <w:rsid w:val="009F64EB"/>
    <w:rsid w:val="009F686E"/>
    <w:rsid w:val="009F71EF"/>
    <w:rsid w:val="00A00045"/>
    <w:rsid w:val="00A00B0F"/>
    <w:rsid w:val="00A04F89"/>
    <w:rsid w:val="00A1043E"/>
    <w:rsid w:val="00A111FB"/>
    <w:rsid w:val="00A11A11"/>
    <w:rsid w:val="00A1405A"/>
    <w:rsid w:val="00A152D9"/>
    <w:rsid w:val="00A24219"/>
    <w:rsid w:val="00A24223"/>
    <w:rsid w:val="00A25B4F"/>
    <w:rsid w:val="00A303F0"/>
    <w:rsid w:val="00A30BDE"/>
    <w:rsid w:val="00A3386C"/>
    <w:rsid w:val="00A3393B"/>
    <w:rsid w:val="00A36F78"/>
    <w:rsid w:val="00A37DA1"/>
    <w:rsid w:val="00A40BAA"/>
    <w:rsid w:val="00A41060"/>
    <w:rsid w:val="00A41472"/>
    <w:rsid w:val="00A43E85"/>
    <w:rsid w:val="00A45738"/>
    <w:rsid w:val="00A47DB2"/>
    <w:rsid w:val="00A502A9"/>
    <w:rsid w:val="00A50CD7"/>
    <w:rsid w:val="00A53C7E"/>
    <w:rsid w:val="00A54547"/>
    <w:rsid w:val="00A60D83"/>
    <w:rsid w:val="00A614D7"/>
    <w:rsid w:val="00A632C7"/>
    <w:rsid w:val="00A657CB"/>
    <w:rsid w:val="00A65DC7"/>
    <w:rsid w:val="00A7129A"/>
    <w:rsid w:val="00A72901"/>
    <w:rsid w:val="00A74E7D"/>
    <w:rsid w:val="00A7603D"/>
    <w:rsid w:val="00A76BC0"/>
    <w:rsid w:val="00A8095A"/>
    <w:rsid w:val="00A84976"/>
    <w:rsid w:val="00A85FA3"/>
    <w:rsid w:val="00A86D4C"/>
    <w:rsid w:val="00A86D84"/>
    <w:rsid w:val="00A87D8C"/>
    <w:rsid w:val="00A91114"/>
    <w:rsid w:val="00A91807"/>
    <w:rsid w:val="00A92054"/>
    <w:rsid w:val="00A933FE"/>
    <w:rsid w:val="00A93924"/>
    <w:rsid w:val="00A93EBA"/>
    <w:rsid w:val="00A93ED4"/>
    <w:rsid w:val="00A95529"/>
    <w:rsid w:val="00A96446"/>
    <w:rsid w:val="00AA0E94"/>
    <w:rsid w:val="00AA1B18"/>
    <w:rsid w:val="00AA5BE6"/>
    <w:rsid w:val="00AA6728"/>
    <w:rsid w:val="00AA7288"/>
    <w:rsid w:val="00AA76BA"/>
    <w:rsid w:val="00AB2A1D"/>
    <w:rsid w:val="00AB311F"/>
    <w:rsid w:val="00AB3401"/>
    <w:rsid w:val="00AB529C"/>
    <w:rsid w:val="00AB6B59"/>
    <w:rsid w:val="00AB7CC6"/>
    <w:rsid w:val="00AC0787"/>
    <w:rsid w:val="00AC1868"/>
    <w:rsid w:val="00AC33A6"/>
    <w:rsid w:val="00AC64FE"/>
    <w:rsid w:val="00AD1480"/>
    <w:rsid w:val="00AD1CDC"/>
    <w:rsid w:val="00AD48F8"/>
    <w:rsid w:val="00AD546F"/>
    <w:rsid w:val="00AD54DB"/>
    <w:rsid w:val="00AD6E51"/>
    <w:rsid w:val="00AD7A82"/>
    <w:rsid w:val="00AD7E36"/>
    <w:rsid w:val="00AD7F50"/>
    <w:rsid w:val="00AD7FA1"/>
    <w:rsid w:val="00AE0A05"/>
    <w:rsid w:val="00AE2385"/>
    <w:rsid w:val="00AE73E3"/>
    <w:rsid w:val="00AF0B4C"/>
    <w:rsid w:val="00AF0BB5"/>
    <w:rsid w:val="00AF0CD7"/>
    <w:rsid w:val="00AF2005"/>
    <w:rsid w:val="00AF2B57"/>
    <w:rsid w:val="00AF4BA3"/>
    <w:rsid w:val="00AF7914"/>
    <w:rsid w:val="00B02148"/>
    <w:rsid w:val="00B03516"/>
    <w:rsid w:val="00B04E5C"/>
    <w:rsid w:val="00B0649A"/>
    <w:rsid w:val="00B06E85"/>
    <w:rsid w:val="00B119AA"/>
    <w:rsid w:val="00B13445"/>
    <w:rsid w:val="00B1664D"/>
    <w:rsid w:val="00B17825"/>
    <w:rsid w:val="00B210BB"/>
    <w:rsid w:val="00B21B89"/>
    <w:rsid w:val="00B22470"/>
    <w:rsid w:val="00B245F6"/>
    <w:rsid w:val="00B2721F"/>
    <w:rsid w:val="00B3323B"/>
    <w:rsid w:val="00B33255"/>
    <w:rsid w:val="00B34C45"/>
    <w:rsid w:val="00B35859"/>
    <w:rsid w:val="00B359B6"/>
    <w:rsid w:val="00B35E3C"/>
    <w:rsid w:val="00B36EA7"/>
    <w:rsid w:val="00B409DF"/>
    <w:rsid w:val="00B414C4"/>
    <w:rsid w:val="00B4150E"/>
    <w:rsid w:val="00B42A1B"/>
    <w:rsid w:val="00B42A28"/>
    <w:rsid w:val="00B431D9"/>
    <w:rsid w:val="00B47165"/>
    <w:rsid w:val="00B55929"/>
    <w:rsid w:val="00B60D61"/>
    <w:rsid w:val="00B61982"/>
    <w:rsid w:val="00B654EC"/>
    <w:rsid w:val="00B666C3"/>
    <w:rsid w:val="00B7134C"/>
    <w:rsid w:val="00B72FA2"/>
    <w:rsid w:val="00B73FF8"/>
    <w:rsid w:val="00B75D73"/>
    <w:rsid w:val="00B8059C"/>
    <w:rsid w:val="00B81631"/>
    <w:rsid w:val="00B81898"/>
    <w:rsid w:val="00B81EAF"/>
    <w:rsid w:val="00B83D22"/>
    <w:rsid w:val="00B840CA"/>
    <w:rsid w:val="00B8487A"/>
    <w:rsid w:val="00B90113"/>
    <w:rsid w:val="00B9235A"/>
    <w:rsid w:val="00B93693"/>
    <w:rsid w:val="00B93ED6"/>
    <w:rsid w:val="00B94B6C"/>
    <w:rsid w:val="00B94F59"/>
    <w:rsid w:val="00B95701"/>
    <w:rsid w:val="00B95DD9"/>
    <w:rsid w:val="00B96F90"/>
    <w:rsid w:val="00B977E1"/>
    <w:rsid w:val="00BA1A19"/>
    <w:rsid w:val="00BA39F6"/>
    <w:rsid w:val="00BA632B"/>
    <w:rsid w:val="00BB51D4"/>
    <w:rsid w:val="00BB64AF"/>
    <w:rsid w:val="00BB666B"/>
    <w:rsid w:val="00BC31E8"/>
    <w:rsid w:val="00BC40A7"/>
    <w:rsid w:val="00BC7568"/>
    <w:rsid w:val="00BD0D37"/>
    <w:rsid w:val="00BD178F"/>
    <w:rsid w:val="00BD1BD4"/>
    <w:rsid w:val="00BD248B"/>
    <w:rsid w:val="00BD2950"/>
    <w:rsid w:val="00BD2ADB"/>
    <w:rsid w:val="00BD4110"/>
    <w:rsid w:val="00BD44D0"/>
    <w:rsid w:val="00BD58F2"/>
    <w:rsid w:val="00BD59D3"/>
    <w:rsid w:val="00BD6107"/>
    <w:rsid w:val="00BD7A54"/>
    <w:rsid w:val="00BE118E"/>
    <w:rsid w:val="00BE360C"/>
    <w:rsid w:val="00BE7966"/>
    <w:rsid w:val="00BF17C0"/>
    <w:rsid w:val="00BF1EDC"/>
    <w:rsid w:val="00BF2468"/>
    <w:rsid w:val="00BF4F8D"/>
    <w:rsid w:val="00BF6A88"/>
    <w:rsid w:val="00C0013B"/>
    <w:rsid w:val="00C04CCC"/>
    <w:rsid w:val="00C04F75"/>
    <w:rsid w:val="00C12204"/>
    <w:rsid w:val="00C156CA"/>
    <w:rsid w:val="00C15C0D"/>
    <w:rsid w:val="00C1633C"/>
    <w:rsid w:val="00C1664D"/>
    <w:rsid w:val="00C167C5"/>
    <w:rsid w:val="00C21F04"/>
    <w:rsid w:val="00C22852"/>
    <w:rsid w:val="00C23BCB"/>
    <w:rsid w:val="00C2490F"/>
    <w:rsid w:val="00C2537E"/>
    <w:rsid w:val="00C26919"/>
    <w:rsid w:val="00C3097C"/>
    <w:rsid w:val="00C31B51"/>
    <w:rsid w:val="00C31E8A"/>
    <w:rsid w:val="00C34FB5"/>
    <w:rsid w:val="00C3551C"/>
    <w:rsid w:val="00C42581"/>
    <w:rsid w:val="00C441D3"/>
    <w:rsid w:val="00C44EE2"/>
    <w:rsid w:val="00C45D86"/>
    <w:rsid w:val="00C51333"/>
    <w:rsid w:val="00C513C0"/>
    <w:rsid w:val="00C5156B"/>
    <w:rsid w:val="00C528BC"/>
    <w:rsid w:val="00C53C82"/>
    <w:rsid w:val="00C54835"/>
    <w:rsid w:val="00C55BD7"/>
    <w:rsid w:val="00C56AC6"/>
    <w:rsid w:val="00C56E6B"/>
    <w:rsid w:val="00C5706E"/>
    <w:rsid w:val="00C60266"/>
    <w:rsid w:val="00C61B62"/>
    <w:rsid w:val="00C63693"/>
    <w:rsid w:val="00C66D9F"/>
    <w:rsid w:val="00C72327"/>
    <w:rsid w:val="00C726A0"/>
    <w:rsid w:val="00C74705"/>
    <w:rsid w:val="00C76C55"/>
    <w:rsid w:val="00C821B8"/>
    <w:rsid w:val="00C82DBD"/>
    <w:rsid w:val="00C833E1"/>
    <w:rsid w:val="00C862AB"/>
    <w:rsid w:val="00C87442"/>
    <w:rsid w:val="00C900ED"/>
    <w:rsid w:val="00C91F33"/>
    <w:rsid w:val="00C93458"/>
    <w:rsid w:val="00C976FC"/>
    <w:rsid w:val="00CA0588"/>
    <w:rsid w:val="00CA191F"/>
    <w:rsid w:val="00CA4232"/>
    <w:rsid w:val="00CA734A"/>
    <w:rsid w:val="00CB089E"/>
    <w:rsid w:val="00CB15FA"/>
    <w:rsid w:val="00CB2162"/>
    <w:rsid w:val="00CB2388"/>
    <w:rsid w:val="00CB36E4"/>
    <w:rsid w:val="00CB3E3B"/>
    <w:rsid w:val="00CB42DE"/>
    <w:rsid w:val="00CB64DC"/>
    <w:rsid w:val="00CB704D"/>
    <w:rsid w:val="00CB7916"/>
    <w:rsid w:val="00CC0075"/>
    <w:rsid w:val="00CC1411"/>
    <w:rsid w:val="00CC6DA3"/>
    <w:rsid w:val="00CD233E"/>
    <w:rsid w:val="00CD24BB"/>
    <w:rsid w:val="00CD37D4"/>
    <w:rsid w:val="00CD4F17"/>
    <w:rsid w:val="00CE259E"/>
    <w:rsid w:val="00CE44AD"/>
    <w:rsid w:val="00CE5C9A"/>
    <w:rsid w:val="00CE6181"/>
    <w:rsid w:val="00CF2298"/>
    <w:rsid w:val="00CF24DD"/>
    <w:rsid w:val="00CF38EF"/>
    <w:rsid w:val="00CF3B5F"/>
    <w:rsid w:val="00CF5AFB"/>
    <w:rsid w:val="00CF5F5D"/>
    <w:rsid w:val="00CF6EC0"/>
    <w:rsid w:val="00D0081C"/>
    <w:rsid w:val="00D00EBD"/>
    <w:rsid w:val="00D02E9C"/>
    <w:rsid w:val="00D032DA"/>
    <w:rsid w:val="00D04557"/>
    <w:rsid w:val="00D04899"/>
    <w:rsid w:val="00D04922"/>
    <w:rsid w:val="00D07114"/>
    <w:rsid w:val="00D11940"/>
    <w:rsid w:val="00D126C9"/>
    <w:rsid w:val="00D12861"/>
    <w:rsid w:val="00D13262"/>
    <w:rsid w:val="00D13881"/>
    <w:rsid w:val="00D13AAE"/>
    <w:rsid w:val="00D14055"/>
    <w:rsid w:val="00D15412"/>
    <w:rsid w:val="00D178AB"/>
    <w:rsid w:val="00D24F30"/>
    <w:rsid w:val="00D27ED4"/>
    <w:rsid w:val="00D34AFF"/>
    <w:rsid w:val="00D35C73"/>
    <w:rsid w:val="00D3768F"/>
    <w:rsid w:val="00D435F8"/>
    <w:rsid w:val="00D44D2D"/>
    <w:rsid w:val="00D540C0"/>
    <w:rsid w:val="00D54913"/>
    <w:rsid w:val="00D54C24"/>
    <w:rsid w:val="00D55769"/>
    <w:rsid w:val="00D56CF4"/>
    <w:rsid w:val="00D56E23"/>
    <w:rsid w:val="00D5745D"/>
    <w:rsid w:val="00D602DB"/>
    <w:rsid w:val="00D61EC5"/>
    <w:rsid w:val="00D648BB"/>
    <w:rsid w:val="00D65B2F"/>
    <w:rsid w:val="00D65F69"/>
    <w:rsid w:val="00D674F7"/>
    <w:rsid w:val="00D7177E"/>
    <w:rsid w:val="00D735BE"/>
    <w:rsid w:val="00D741FB"/>
    <w:rsid w:val="00D7609B"/>
    <w:rsid w:val="00D77030"/>
    <w:rsid w:val="00D807B9"/>
    <w:rsid w:val="00D8092C"/>
    <w:rsid w:val="00D80CB0"/>
    <w:rsid w:val="00D841DA"/>
    <w:rsid w:val="00D873C3"/>
    <w:rsid w:val="00D90276"/>
    <w:rsid w:val="00D96235"/>
    <w:rsid w:val="00D97E4D"/>
    <w:rsid w:val="00DA1B93"/>
    <w:rsid w:val="00DA1E17"/>
    <w:rsid w:val="00DA63F5"/>
    <w:rsid w:val="00DA69B0"/>
    <w:rsid w:val="00DA77E3"/>
    <w:rsid w:val="00DA7B83"/>
    <w:rsid w:val="00DA7C17"/>
    <w:rsid w:val="00DB0708"/>
    <w:rsid w:val="00DB082D"/>
    <w:rsid w:val="00DB14C6"/>
    <w:rsid w:val="00DB1511"/>
    <w:rsid w:val="00DB3A25"/>
    <w:rsid w:val="00DB40D3"/>
    <w:rsid w:val="00DC1C04"/>
    <w:rsid w:val="00DC2A50"/>
    <w:rsid w:val="00DD3611"/>
    <w:rsid w:val="00DD610C"/>
    <w:rsid w:val="00DD79BE"/>
    <w:rsid w:val="00DE14C5"/>
    <w:rsid w:val="00DE1AC6"/>
    <w:rsid w:val="00DE2C62"/>
    <w:rsid w:val="00DE7E48"/>
    <w:rsid w:val="00DF0B5E"/>
    <w:rsid w:val="00DF3059"/>
    <w:rsid w:val="00DF51B0"/>
    <w:rsid w:val="00DF66AB"/>
    <w:rsid w:val="00E012F7"/>
    <w:rsid w:val="00E01B34"/>
    <w:rsid w:val="00E06512"/>
    <w:rsid w:val="00E10B29"/>
    <w:rsid w:val="00E11411"/>
    <w:rsid w:val="00E14706"/>
    <w:rsid w:val="00E160D5"/>
    <w:rsid w:val="00E16326"/>
    <w:rsid w:val="00E208A2"/>
    <w:rsid w:val="00E24F00"/>
    <w:rsid w:val="00E2542C"/>
    <w:rsid w:val="00E31115"/>
    <w:rsid w:val="00E3179F"/>
    <w:rsid w:val="00E3230F"/>
    <w:rsid w:val="00E33298"/>
    <w:rsid w:val="00E33890"/>
    <w:rsid w:val="00E3497F"/>
    <w:rsid w:val="00E3501D"/>
    <w:rsid w:val="00E3608D"/>
    <w:rsid w:val="00E366DB"/>
    <w:rsid w:val="00E37BF3"/>
    <w:rsid w:val="00E40B52"/>
    <w:rsid w:val="00E424A8"/>
    <w:rsid w:val="00E44532"/>
    <w:rsid w:val="00E45A4E"/>
    <w:rsid w:val="00E45D0B"/>
    <w:rsid w:val="00E50EF4"/>
    <w:rsid w:val="00E512AD"/>
    <w:rsid w:val="00E5162C"/>
    <w:rsid w:val="00E52053"/>
    <w:rsid w:val="00E52965"/>
    <w:rsid w:val="00E54E37"/>
    <w:rsid w:val="00E550B4"/>
    <w:rsid w:val="00E63926"/>
    <w:rsid w:val="00E65CCD"/>
    <w:rsid w:val="00E67592"/>
    <w:rsid w:val="00E719D3"/>
    <w:rsid w:val="00E71B56"/>
    <w:rsid w:val="00E72C9F"/>
    <w:rsid w:val="00E73691"/>
    <w:rsid w:val="00E74CEF"/>
    <w:rsid w:val="00E80B5E"/>
    <w:rsid w:val="00E81401"/>
    <w:rsid w:val="00E81BB3"/>
    <w:rsid w:val="00E83B15"/>
    <w:rsid w:val="00E83EA3"/>
    <w:rsid w:val="00E850DC"/>
    <w:rsid w:val="00E86197"/>
    <w:rsid w:val="00E90D39"/>
    <w:rsid w:val="00E911E7"/>
    <w:rsid w:val="00E9191C"/>
    <w:rsid w:val="00E922AE"/>
    <w:rsid w:val="00E92772"/>
    <w:rsid w:val="00E92C79"/>
    <w:rsid w:val="00E93A56"/>
    <w:rsid w:val="00E95CE0"/>
    <w:rsid w:val="00E97161"/>
    <w:rsid w:val="00EA064A"/>
    <w:rsid w:val="00EA1652"/>
    <w:rsid w:val="00EA18BA"/>
    <w:rsid w:val="00EA2C12"/>
    <w:rsid w:val="00EB31C5"/>
    <w:rsid w:val="00EB3462"/>
    <w:rsid w:val="00EB517B"/>
    <w:rsid w:val="00EB723D"/>
    <w:rsid w:val="00EB75EF"/>
    <w:rsid w:val="00EB7BE5"/>
    <w:rsid w:val="00EC1B3F"/>
    <w:rsid w:val="00EC3DDD"/>
    <w:rsid w:val="00EC4231"/>
    <w:rsid w:val="00EC5559"/>
    <w:rsid w:val="00ED651E"/>
    <w:rsid w:val="00ED7767"/>
    <w:rsid w:val="00ED77DB"/>
    <w:rsid w:val="00EE0629"/>
    <w:rsid w:val="00EE0C91"/>
    <w:rsid w:val="00EE2793"/>
    <w:rsid w:val="00EE339D"/>
    <w:rsid w:val="00EE7555"/>
    <w:rsid w:val="00EE7D9D"/>
    <w:rsid w:val="00EF1309"/>
    <w:rsid w:val="00EF6756"/>
    <w:rsid w:val="00EF7539"/>
    <w:rsid w:val="00F00DA2"/>
    <w:rsid w:val="00F02B3C"/>
    <w:rsid w:val="00F05639"/>
    <w:rsid w:val="00F06A58"/>
    <w:rsid w:val="00F07751"/>
    <w:rsid w:val="00F10A40"/>
    <w:rsid w:val="00F13604"/>
    <w:rsid w:val="00F14A38"/>
    <w:rsid w:val="00F223B2"/>
    <w:rsid w:val="00F25B1F"/>
    <w:rsid w:val="00F25F0D"/>
    <w:rsid w:val="00F266A5"/>
    <w:rsid w:val="00F314B7"/>
    <w:rsid w:val="00F31FD0"/>
    <w:rsid w:val="00F34F46"/>
    <w:rsid w:val="00F36129"/>
    <w:rsid w:val="00F372F7"/>
    <w:rsid w:val="00F374E3"/>
    <w:rsid w:val="00F40D56"/>
    <w:rsid w:val="00F449E8"/>
    <w:rsid w:val="00F46023"/>
    <w:rsid w:val="00F463EF"/>
    <w:rsid w:val="00F50E98"/>
    <w:rsid w:val="00F52181"/>
    <w:rsid w:val="00F54311"/>
    <w:rsid w:val="00F569F1"/>
    <w:rsid w:val="00F573D1"/>
    <w:rsid w:val="00F61124"/>
    <w:rsid w:val="00F63461"/>
    <w:rsid w:val="00F71B5F"/>
    <w:rsid w:val="00F72845"/>
    <w:rsid w:val="00F73E3D"/>
    <w:rsid w:val="00F73FA8"/>
    <w:rsid w:val="00F750C8"/>
    <w:rsid w:val="00F77B9C"/>
    <w:rsid w:val="00F81164"/>
    <w:rsid w:val="00F821FB"/>
    <w:rsid w:val="00F84DA3"/>
    <w:rsid w:val="00F8745B"/>
    <w:rsid w:val="00F92082"/>
    <w:rsid w:val="00F93067"/>
    <w:rsid w:val="00F95B2D"/>
    <w:rsid w:val="00F963A5"/>
    <w:rsid w:val="00FA006B"/>
    <w:rsid w:val="00FA00BA"/>
    <w:rsid w:val="00FA0E5D"/>
    <w:rsid w:val="00FA461A"/>
    <w:rsid w:val="00FA4F8F"/>
    <w:rsid w:val="00FA5839"/>
    <w:rsid w:val="00FA58FE"/>
    <w:rsid w:val="00FB354D"/>
    <w:rsid w:val="00FB75C9"/>
    <w:rsid w:val="00FC457F"/>
    <w:rsid w:val="00FD3C0B"/>
    <w:rsid w:val="00FD4EB6"/>
    <w:rsid w:val="00FD72DA"/>
    <w:rsid w:val="00FD74E2"/>
    <w:rsid w:val="00FD78D7"/>
    <w:rsid w:val="00FE1BDE"/>
    <w:rsid w:val="00FE3F74"/>
    <w:rsid w:val="00FE5E1A"/>
    <w:rsid w:val="00FE71CC"/>
    <w:rsid w:val="00FF06F1"/>
    <w:rsid w:val="00FF1276"/>
    <w:rsid w:val="00FF35CA"/>
    <w:rsid w:val="00FF7B9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D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7668"/>
    <w:pPr>
      <w:spacing w:line="240" w:lineRule="auto"/>
    </w:pPr>
    <w:rPr>
      <w:sz w:val="20"/>
      <w:szCs w:val="20"/>
    </w:rPr>
  </w:style>
  <w:style w:type="character" w:customStyle="1" w:styleId="FootnoteTextChar">
    <w:name w:val="Footnote Text Char"/>
    <w:basedOn w:val="DefaultParagraphFont"/>
    <w:link w:val="FootnoteText"/>
    <w:uiPriority w:val="99"/>
    <w:rsid w:val="00417668"/>
    <w:rPr>
      <w:sz w:val="20"/>
      <w:szCs w:val="20"/>
    </w:rPr>
  </w:style>
  <w:style w:type="character" w:styleId="FootnoteReference">
    <w:name w:val="footnote reference"/>
    <w:basedOn w:val="DefaultParagraphFont"/>
    <w:uiPriority w:val="99"/>
    <w:semiHidden/>
    <w:unhideWhenUsed/>
    <w:rsid w:val="00417668"/>
    <w:rPr>
      <w:vertAlign w:val="superscript"/>
    </w:rPr>
  </w:style>
  <w:style w:type="paragraph" w:styleId="Header">
    <w:name w:val="header"/>
    <w:basedOn w:val="Normal"/>
    <w:link w:val="HeaderChar"/>
    <w:uiPriority w:val="99"/>
    <w:unhideWhenUsed/>
    <w:rsid w:val="008F6866"/>
    <w:pPr>
      <w:tabs>
        <w:tab w:val="center" w:pos="4680"/>
        <w:tab w:val="right" w:pos="9360"/>
      </w:tabs>
      <w:spacing w:line="240" w:lineRule="auto"/>
    </w:pPr>
  </w:style>
  <w:style w:type="character" w:customStyle="1" w:styleId="HeaderChar">
    <w:name w:val="Header Char"/>
    <w:basedOn w:val="DefaultParagraphFont"/>
    <w:link w:val="Header"/>
    <w:uiPriority w:val="99"/>
    <w:rsid w:val="008F6866"/>
  </w:style>
  <w:style w:type="paragraph" w:styleId="Footer">
    <w:name w:val="footer"/>
    <w:basedOn w:val="Normal"/>
    <w:link w:val="FooterChar"/>
    <w:uiPriority w:val="99"/>
    <w:unhideWhenUsed/>
    <w:rsid w:val="008F6866"/>
    <w:pPr>
      <w:tabs>
        <w:tab w:val="center" w:pos="4680"/>
        <w:tab w:val="right" w:pos="9360"/>
      </w:tabs>
      <w:spacing w:line="240" w:lineRule="auto"/>
    </w:pPr>
  </w:style>
  <w:style w:type="character" w:customStyle="1" w:styleId="FooterChar">
    <w:name w:val="Footer Char"/>
    <w:basedOn w:val="DefaultParagraphFont"/>
    <w:link w:val="Footer"/>
    <w:uiPriority w:val="99"/>
    <w:rsid w:val="008F6866"/>
  </w:style>
  <w:style w:type="character" w:styleId="CommentReference">
    <w:name w:val="annotation reference"/>
    <w:basedOn w:val="DefaultParagraphFont"/>
    <w:uiPriority w:val="99"/>
    <w:semiHidden/>
    <w:unhideWhenUsed/>
    <w:rsid w:val="000F5293"/>
    <w:rPr>
      <w:sz w:val="16"/>
      <w:szCs w:val="16"/>
    </w:rPr>
  </w:style>
  <w:style w:type="paragraph" w:styleId="CommentText">
    <w:name w:val="annotation text"/>
    <w:basedOn w:val="Normal"/>
    <w:link w:val="CommentTextChar"/>
    <w:uiPriority w:val="99"/>
    <w:semiHidden/>
    <w:unhideWhenUsed/>
    <w:rsid w:val="000F5293"/>
    <w:pPr>
      <w:spacing w:line="240" w:lineRule="auto"/>
    </w:pPr>
    <w:rPr>
      <w:sz w:val="20"/>
      <w:szCs w:val="20"/>
    </w:rPr>
  </w:style>
  <w:style w:type="character" w:customStyle="1" w:styleId="CommentTextChar">
    <w:name w:val="Comment Text Char"/>
    <w:basedOn w:val="DefaultParagraphFont"/>
    <w:link w:val="CommentText"/>
    <w:uiPriority w:val="99"/>
    <w:semiHidden/>
    <w:rsid w:val="000F5293"/>
    <w:rPr>
      <w:sz w:val="20"/>
      <w:szCs w:val="20"/>
    </w:rPr>
  </w:style>
  <w:style w:type="paragraph" w:styleId="CommentSubject">
    <w:name w:val="annotation subject"/>
    <w:basedOn w:val="CommentText"/>
    <w:next w:val="CommentText"/>
    <w:link w:val="CommentSubjectChar"/>
    <w:uiPriority w:val="99"/>
    <w:semiHidden/>
    <w:unhideWhenUsed/>
    <w:rsid w:val="000F5293"/>
    <w:rPr>
      <w:b/>
      <w:bCs/>
    </w:rPr>
  </w:style>
  <w:style w:type="character" w:customStyle="1" w:styleId="CommentSubjectChar">
    <w:name w:val="Comment Subject Char"/>
    <w:basedOn w:val="CommentTextChar"/>
    <w:link w:val="CommentSubject"/>
    <w:uiPriority w:val="99"/>
    <w:semiHidden/>
    <w:rsid w:val="000F5293"/>
    <w:rPr>
      <w:b/>
      <w:bCs/>
      <w:sz w:val="20"/>
      <w:szCs w:val="20"/>
    </w:rPr>
  </w:style>
  <w:style w:type="paragraph" w:styleId="BalloonText">
    <w:name w:val="Balloon Text"/>
    <w:basedOn w:val="Normal"/>
    <w:link w:val="BalloonTextChar"/>
    <w:uiPriority w:val="99"/>
    <w:semiHidden/>
    <w:unhideWhenUsed/>
    <w:rsid w:val="000F52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98235">
      <w:bodyDiv w:val="1"/>
      <w:marLeft w:val="0"/>
      <w:marRight w:val="0"/>
      <w:marTop w:val="0"/>
      <w:marBottom w:val="0"/>
      <w:divBdr>
        <w:top w:val="none" w:sz="0" w:space="0" w:color="auto"/>
        <w:left w:val="none" w:sz="0" w:space="0" w:color="auto"/>
        <w:bottom w:val="none" w:sz="0" w:space="0" w:color="auto"/>
        <w:right w:val="none" w:sz="0" w:space="0" w:color="auto"/>
      </w:divBdr>
    </w:div>
    <w:div w:id="15248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9886D2C-89F1-5A47-9033-7FEC633A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32</Pages>
  <Words>9423</Words>
  <Characters>45515</Characters>
  <Application>Microsoft Macintosh Word</Application>
  <DocSecurity>0</DocSecurity>
  <Lines>623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46</cp:revision>
  <dcterms:created xsi:type="dcterms:W3CDTF">2019-11-20T07:46:00Z</dcterms:created>
  <dcterms:modified xsi:type="dcterms:W3CDTF">2019-11-20T11:33:00Z</dcterms:modified>
</cp:coreProperties>
</file>