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30E7" w14:textId="00C03B6D" w:rsidR="0055580B" w:rsidRDefault="0055580B" w:rsidP="006E0177">
      <w:pPr>
        <w:pStyle w:val="1"/>
        <w:rPr>
          <w:rFonts w:ascii="Times New Roman" w:hAnsi="Times New Roman" w:cs="Times New Roman"/>
          <w:sz w:val="24"/>
          <w:szCs w:val="24"/>
        </w:rPr>
      </w:pPr>
      <w:commentRangeStart w:id="0"/>
      <w:r>
        <w:rPr>
          <w:rFonts w:ascii="Times New Roman" w:hAnsi="Times New Roman" w:cs="Times New Roman"/>
          <w:sz w:val="24"/>
          <w:szCs w:val="24"/>
        </w:rPr>
        <w:t xml:space="preserve">Creating and </w:t>
      </w:r>
      <w:r w:rsidR="006E0177">
        <w:rPr>
          <w:rFonts w:ascii="Times New Roman" w:hAnsi="Times New Roman" w:cs="Times New Roman"/>
          <w:sz w:val="24"/>
          <w:szCs w:val="24"/>
        </w:rPr>
        <w:t>disrupting</w:t>
      </w:r>
      <w:r w:rsidR="00D0015E">
        <w:rPr>
          <w:rFonts w:ascii="Times New Roman" w:hAnsi="Times New Roman" w:cs="Times New Roman"/>
          <w:sz w:val="24"/>
          <w:szCs w:val="24"/>
        </w:rPr>
        <w:t xml:space="preserve"> verbal connections in </w:t>
      </w:r>
      <w:r w:rsidR="00014020">
        <w:rPr>
          <w:rFonts w:ascii="Times New Roman" w:hAnsi="Times New Roman" w:cs="Times New Roman"/>
          <w:sz w:val="24"/>
          <w:szCs w:val="24"/>
        </w:rPr>
        <w:t>the Targum</w:t>
      </w:r>
      <w:r w:rsidR="006E0177">
        <w:rPr>
          <w:rFonts w:ascii="Times New Roman" w:hAnsi="Times New Roman" w:cs="Times New Roman"/>
          <w:sz w:val="24"/>
          <w:szCs w:val="24"/>
        </w:rPr>
        <w:t xml:space="preserve">ic stories </w:t>
      </w:r>
      <w:r w:rsidR="00D0015E">
        <w:rPr>
          <w:rFonts w:ascii="Times New Roman" w:hAnsi="Times New Roman" w:cs="Times New Roman"/>
          <w:sz w:val="24"/>
          <w:szCs w:val="24"/>
        </w:rPr>
        <w:t>of Hagar and Ishmael</w:t>
      </w:r>
      <w:commentRangeEnd w:id="0"/>
      <w:r w:rsidR="00D0015E">
        <w:rPr>
          <w:rStyle w:val="a6"/>
          <w:rFonts w:asciiTheme="minorHAnsi" w:eastAsiaTheme="minorHAnsi" w:hAnsiTheme="minorHAnsi"/>
        </w:rPr>
        <w:commentReference w:id="0"/>
      </w:r>
    </w:p>
    <w:p w14:paraId="58DEC684" w14:textId="516CD34D" w:rsidR="00D0015E" w:rsidRDefault="00D0015E" w:rsidP="006E0177">
      <w:pPr>
        <w:bidi w:val="0"/>
      </w:pPr>
      <w:r>
        <w:tab/>
        <w:t xml:space="preserve">The </w:t>
      </w:r>
      <w:commentRangeStart w:id="1"/>
      <w:r>
        <w:t>biblical story</w:t>
      </w:r>
      <w:commentRangeEnd w:id="1"/>
      <w:r>
        <w:rPr>
          <w:rStyle w:val="a6"/>
        </w:rPr>
        <w:commentReference w:id="1"/>
      </w:r>
      <w:r>
        <w:t xml:space="preserve"> utilizes the </w:t>
      </w:r>
      <w:commentRangeStart w:id="2"/>
      <w:r>
        <w:t xml:space="preserve">associative meanings </w:t>
      </w:r>
      <w:commentRangeEnd w:id="2"/>
      <w:r w:rsidR="00FC0BE8">
        <w:rPr>
          <w:rStyle w:val="a6"/>
        </w:rPr>
        <w:commentReference w:id="2"/>
      </w:r>
      <w:r w:rsidR="00FC0BE8">
        <w:t>of words, connotations,</w:t>
      </w:r>
      <w:r>
        <w:t xml:space="preserve"> </w:t>
      </w:r>
      <w:r w:rsidR="00FC0BE8">
        <w:t xml:space="preserve">recurring motifs, </w:t>
      </w:r>
      <w:r w:rsidR="006E0177">
        <w:t>as well as</w:t>
      </w:r>
      <w:r w:rsidR="00FC0BE8">
        <w:t xml:space="preserve"> </w:t>
      </w:r>
      <w:commentRangeStart w:id="3"/>
      <w:r w:rsidR="00FC0BE8">
        <w:t xml:space="preserve">allusions to create </w:t>
      </w:r>
      <w:r w:rsidR="006E0177">
        <w:t>connections</w:t>
      </w:r>
      <w:r w:rsidR="00FC0BE8">
        <w:t xml:space="preserve"> </w:t>
      </w:r>
      <w:commentRangeEnd w:id="3"/>
      <w:r w:rsidR="00FC0BE8">
        <w:rPr>
          <w:rStyle w:val="a6"/>
        </w:rPr>
        <w:commentReference w:id="3"/>
      </w:r>
      <w:r w:rsidR="00FC0BE8">
        <w:t xml:space="preserve">with other stories in the Bible. Some of the story’s messages are conveyed by means of these same associations, connotations, analogies, and motifs. </w:t>
      </w:r>
    </w:p>
    <w:p w14:paraId="02623BBC" w14:textId="0192DD29" w:rsidR="00FC0BE8" w:rsidRDefault="00FC0BE8" w:rsidP="00014020">
      <w:pPr>
        <w:bidi w:val="0"/>
      </w:pPr>
      <w:r>
        <w:tab/>
        <w:t xml:space="preserve">When the </w:t>
      </w:r>
      <w:r w:rsidR="00014020">
        <w:t>Targum</w:t>
      </w:r>
      <w:r>
        <w:t xml:space="preserve"> selects which word is the most appropriate to translate a certain biblical word, it does not always do so </w:t>
      </w:r>
      <w:r w:rsidR="005E1BAE">
        <w:t xml:space="preserve">consistently and in accordance with the Bible’s own lexical choices; sometimes in the same </w:t>
      </w:r>
      <w:commentRangeStart w:id="4"/>
      <w:r w:rsidR="005E1BAE">
        <w:t>chapter</w:t>
      </w:r>
      <w:commentRangeEnd w:id="4"/>
      <w:r w:rsidR="005E1BAE">
        <w:rPr>
          <w:rStyle w:val="a6"/>
        </w:rPr>
        <w:commentReference w:id="4"/>
      </w:r>
      <w:r w:rsidR="006E0177">
        <w:t>,</w:t>
      </w:r>
      <w:r w:rsidR="005E1BAE">
        <w:t xml:space="preserve"> two identical Hebrew words will be translated by two entirely different Aramaic terms, or two different Hebrew words will be translated by the same word in Aramaic. Thus, even as the </w:t>
      </w:r>
      <w:r w:rsidR="00014020">
        <w:t>Targum</w:t>
      </w:r>
      <w:r w:rsidR="005E1BAE">
        <w:t xml:space="preserve"> unravels connotations and allusions woven by the Bible, it also creates others that are not found in the original text.</w:t>
      </w:r>
    </w:p>
    <w:p w14:paraId="7717445A" w14:textId="225F9CF5" w:rsidR="005E1BAE" w:rsidRDefault="005E1BAE" w:rsidP="006E0177">
      <w:pPr>
        <w:bidi w:val="0"/>
      </w:pPr>
      <w:r>
        <w:tab/>
        <w:t>In this paper, I will attempt to reveal the web of connections and connotations that the Targum creates within this s</w:t>
      </w:r>
      <w:commentRangeStart w:id="5"/>
      <w:r>
        <w:t>t</w:t>
      </w:r>
      <w:commentRangeEnd w:id="5"/>
      <w:r w:rsidR="006E0177">
        <w:rPr>
          <w:rStyle w:val="a6"/>
        </w:rPr>
        <w:commentReference w:id="5"/>
      </w:r>
      <w:r>
        <w:t xml:space="preserve">ory and between </w:t>
      </w:r>
      <w:r w:rsidR="006E0177">
        <w:t>it</w:t>
      </w:r>
      <w:r>
        <w:t xml:space="preserve"> and other sources, and the differences between the Bible’s own </w:t>
      </w:r>
      <w:r w:rsidR="00DC0CD9">
        <w:t>semantic network and</w:t>
      </w:r>
      <w:r w:rsidR="006E0177">
        <w:t xml:space="preserve"> that of the Targum—both in </w:t>
      </w:r>
      <w:r w:rsidR="00DC0CD9">
        <w:t xml:space="preserve">cases where the Targum </w:t>
      </w:r>
      <w:r w:rsidR="006E0177">
        <w:t>disrupts</w:t>
      </w:r>
      <w:r w:rsidR="00DC0CD9">
        <w:t xml:space="preserve"> biblical connections and where it creates new ones.</w:t>
      </w:r>
    </w:p>
    <w:p w14:paraId="6D942580" w14:textId="77777777" w:rsidR="006B4081" w:rsidRDefault="00DC0CD9" w:rsidP="006E0177">
      <w:pPr>
        <w:bidi w:val="0"/>
        <w:rPr>
          <w:ins w:id="6" w:author="Miri Kahana" w:date="2019-12-24T20:26:00Z"/>
        </w:rPr>
      </w:pPr>
      <w:del w:id="7" w:author="Miri Kahana" w:date="2019-12-24T20:26:00Z">
        <w:r w:rsidDel="006B4081">
          <w:tab/>
        </w:r>
      </w:del>
      <w:r>
        <w:t xml:space="preserve">The connections made or broken by the Targum are instructive of how the Targumic audience </w:t>
      </w:r>
      <w:commentRangeStart w:id="8"/>
      <w:r>
        <w:t xml:space="preserve">studied </w:t>
      </w:r>
      <w:commentRangeEnd w:id="8"/>
      <w:r w:rsidR="006E0177">
        <w:rPr>
          <w:rStyle w:val="a6"/>
        </w:rPr>
        <w:commentReference w:id="8"/>
      </w:r>
      <w:r>
        <w:t xml:space="preserve">the story and linked together its various parts. </w:t>
      </w:r>
    </w:p>
    <w:p w14:paraId="7A884352" w14:textId="4FB1293B" w:rsidR="00DC0CD9" w:rsidRDefault="00DC0CD9" w:rsidP="00324AAA">
      <w:pPr>
        <w:bidi w:val="0"/>
      </w:pPr>
      <w:del w:id="9" w:author="Miri Kahana" w:date="2019-12-24T20:28:00Z">
        <w:r w:rsidDel="00324AAA">
          <w:delText xml:space="preserve">Additionally, we can learn about the affinities between different traditions within the Targumim and </w:delText>
        </w:r>
        <w:commentRangeStart w:id="10"/>
        <w:r w:rsidDel="00324AAA">
          <w:delText xml:space="preserve">late antique </w:delText>
        </w:r>
        <w:commentRangeEnd w:id="10"/>
        <w:r w:rsidDel="00324AAA">
          <w:rPr>
            <w:rStyle w:val="a6"/>
          </w:rPr>
          <w:commentReference w:id="10"/>
        </w:r>
        <w:r w:rsidR="006E0177" w:rsidDel="00324AAA">
          <w:delText xml:space="preserve">Jewish literature generally, which </w:delText>
        </w:r>
        <w:r w:rsidDel="00324AAA">
          <w:delText>share a similar semantic network.</w:delText>
        </w:r>
      </w:del>
    </w:p>
    <w:p w14:paraId="5A87A003" w14:textId="711145EC" w:rsidR="00324AAA" w:rsidRDefault="00DC0CD9" w:rsidP="00324AAA">
      <w:pPr>
        <w:bidi w:val="0"/>
        <w:rPr>
          <w:ins w:id="11" w:author="Miri Kahana" w:date="2019-12-24T20:28:00Z"/>
        </w:rPr>
      </w:pPr>
      <w:r>
        <w:tab/>
      </w:r>
      <w:del w:id="12" w:author="Miri Kahana" w:date="2019-12-24T20:08:00Z">
        <w:r w:rsidDel="002A73D5">
          <w:delText xml:space="preserve">This paper will focus on the stories of Hagar and Ishmael, who are central characters in two chapters, Genesis 16 and 21, and are also mentioned in passing </w:delText>
        </w:r>
        <w:r w:rsidR="00EF2F52" w:rsidDel="002A73D5">
          <w:delText>elsewhere</w:delText>
        </w:r>
        <w:r w:rsidDel="002A73D5">
          <w:delText>.</w:delText>
        </w:r>
        <w:r w:rsidR="00EF2F52" w:rsidDel="002A73D5">
          <w:delText xml:space="preserve"> </w:delText>
        </w:r>
        <w:r w:rsidR="008B51EE" w:rsidDel="002A73D5">
          <w:delText xml:space="preserve">The Bible links these stories and references to create </w:delText>
        </w:r>
        <w:commentRangeStart w:id="13"/>
        <w:r w:rsidR="008B51EE" w:rsidDel="002A73D5">
          <w:delText>contexts</w:delText>
        </w:r>
        <w:commentRangeEnd w:id="13"/>
        <w:r w:rsidR="008B51EE" w:rsidDel="002A73D5">
          <w:rPr>
            <w:rStyle w:val="a6"/>
          </w:rPr>
          <w:commentReference w:id="13"/>
        </w:r>
        <w:r w:rsidR="008B51EE" w:rsidDel="002A73D5">
          <w:delText xml:space="preserve"> and makes uses of recurring motifs, thus allowing us to investigate the Targum’s corresponding semantic network from a wide perspective, rather than the narrow frame of a single verse. </w:delText>
        </w:r>
      </w:del>
      <w:r w:rsidR="008B51EE">
        <w:t xml:space="preserve">While the paper focuses on Targum Onkelos, it also includes a comparison with </w:t>
      </w:r>
      <w:commentRangeStart w:id="14"/>
      <w:r w:rsidR="008B51EE">
        <w:t>other Targums</w:t>
      </w:r>
      <w:r w:rsidR="00850F14">
        <w:t xml:space="preserve"> from that period</w:t>
      </w:r>
      <w:commentRangeEnd w:id="14"/>
      <w:r w:rsidR="009C2B5F">
        <w:rPr>
          <w:rStyle w:val="a6"/>
        </w:rPr>
        <w:commentReference w:id="14"/>
      </w:r>
      <w:r w:rsidR="00850F14">
        <w:t xml:space="preserve">, with </w:t>
      </w:r>
      <w:commentRangeStart w:id="16"/>
      <w:r w:rsidR="00850F14">
        <w:t>literature from Qumran</w:t>
      </w:r>
      <w:commentRangeEnd w:id="16"/>
      <w:r w:rsidR="00850F14">
        <w:rPr>
          <w:rStyle w:val="a6"/>
        </w:rPr>
        <w:commentReference w:id="16"/>
      </w:r>
      <w:r w:rsidR="00850F14">
        <w:t>, and with rabbinic midrash</w:t>
      </w:r>
      <w:ins w:id="17" w:author="Miri Kahana" w:date="2019-12-24T20:28:00Z">
        <w:r w:rsidR="00324AAA">
          <w:t>,</w:t>
        </w:r>
      </w:ins>
      <w:del w:id="18" w:author="Miri Kahana" w:date="2019-12-24T20:28:00Z">
        <w:r w:rsidR="00850F14" w:rsidDel="00324AAA">
          <w:delText>.</w:delText>
        </w:r>
      </w:del>
      <w:ins w:id="19" w:author="Miri Kahana" w:date="2019-12-24T20:28:00Z">
        <w:r w:rsidR="00324AAA" w:rsidRPr="00324AAA">
          <w:t xml:space="preserve"> </w:t>
        </w:r>
      </w:ins>
      <w:commentRangeStart w:id="20"/>
      <w:ins w:id="21" w:author="Miri Kahana" w:date="2019-12-24T20:29:00Z">
        <w:r w:rsidR="00324AAA">
          <w:t xml:space="preserve">In order to </w:t>
        </w:r>
        <w:commentRangeEnd w:id="20"/>
        <w:r w:rsidR="00324AAA">
          <w:rPr>
            <w:rStyle w:val="a6"/>
          </w:rPr>
          <w:commentReference w:id="20"/>
        </w:r>
      </w:ins>
      <w:ins w:id="22" w:author="Miri Kahana" w:date="2019-12-24T20:28:00Z">
        <w:r w:rsidR="00324AAA">
          <w:t xml:space="preserve">learn about the affinities between different traditions within the </w:t>
        </w:r>
        <w:commentRangeStart w:id="23"/>
        <w:r w:rsidR="00324AAA">
          <w:t xml:space="preserve">Targumim and </w:t>
        </w:r>
        <w:commentRangeStart w:id="24"/>
        <w:r w:rsidR="00324AAA">
          <w:t xml:space="preserve">late antique </w:t>
        </w:r>
        <w:commentRangeEnd w:id="24"/>
        <w:r w:rsidR="00324AAA">
          <w:rPr>
            <w:rStyle w:val="a6"/>
          </w:rPr>
          <w:commentReference w:id="24"/>
        </w:r>
        <w:commentRangeStart w:id="25"/>
        <w:r w:rsidR="00324AAA">
          <w:t>Jewish</w:t>
        </w:r>
      </w:ins>
      <w:commentRangeEnd w:id="25"/>
      <w:ins w:id="26" w:author="Miri Kahana" w:date="2019-12-24T20:53:00Z">
        <w:r w:rsidR="009C2B5F">
          <w:rPr>
            <w:rStyle w:val="a6"/>
            <w:rtl/>
          </w:rPr>
          <w:commentReference w:id="25"/>
        </w:r>
      </w:ins>
      <w:ins w:id="27" w:author="Miri Kahana" w:date="2019-12-24T20:28:00Z">
        <w:r w:rsidR="00324AAA">
          <w:t xml:space="preserve"> literature generally</w:t>
        </w:r>
      </w:ins>
      <w:commentRangeEnd w:id="23"/>
      <w:ins w:id="28" w:author="Miri Kahana" w:date="2019-12-24T20:55:00Z">
        <w:r w:rsidR="00C90CD7">
          <w:rPr>
            <w:rStyle w:val="a6"/>
          </w:rPr>
          <w:commentReference w:id="23"/>
        </w:r>
      </w:ins>
      <w:ins w:id="29" w:author="Miri Kahana" w:date="2019-12-24T20:28:00Z">
        <w:r w:rsidR="00324AAA">
          <w:t>, which share a similar semantic network.</w:t>
        </w:r>
      </w:ins>
    </w:p>
    <w:p w14:paraId="15FD7D3B" w14:textId="412BA287" w:rsidR="007D6914" w:rsidRPr="00850F14" w:rsidRDefault="007D6914" w:rsidP="002A73D5">
      <w:pPr>
        <w:bidi w:val="0"/>
      </w:pPr>
    </w:p>
    <w:sectPr w:rsidR="007D6914" w:rsidRPr="00850F14" w:rsidSect="005352C1">
      <w:type w:val="continuous"/>
      <w:pgSz w:w="11907" w:h="16839" w:code="9"/>
      <w:pgMar w:top="1440" w:right="1800" w:bottom="1440" w:left="1800" w:header="0" w:footer="0"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23T14:06:00Z" w:initials="st">
    <w:p w14:paraId="4C0A7B97" w14:textId="5184698F" w:rsidR="006E0177" w:rsidRDefault="00D0015E" w:rsidP="006E0177">
      <w:pPr>
        <w:pStyle w:val="a7"/>
        <w:bidi w:val="0"/>
      </w:pPr>
      <w:r>
        <w:rPr>
          <w:rStyle w:val="a6"/>
        </w:rPr>
        <w:annotationRef/>
      </w:r>
      <w:r>
        <w:t>Am I correct that you wanted only one of the titles translated?</w:t>
      </w:r>
    </w:p>
    <w:p w14:paraId="1F3DEB12" w14:textId="256FDAE5" w:rsidR="00BC3867" w:rsidRDefault="00BC3867" w:rsidP="00BC3867">
      <w:pPr>
        <w:pStyle w:val="a7"/>
        <w:bidi w:val="0"/>
        <w:rPr>
          <w:rFonts w:hint="cs"/>
          <w:rtl/>
        </w:rPr>
      </w:pPr>
      <w:r>
        <w:rPr>
          <w:rFonts w:hint="cs"/>
          <w:rtl/>
        </w:rPr>
        <w:t>כן</w:t>
      </w:r>
    </w:p>
  </w:comment>
  <w:comment w:id="1" w:author="editor" w:date="2019-12-23T14:07:00Z" w:initials="st">
    <w:p w14:paraId="433A1458" w14:textId="3BAD473E" w:rsidR="00D0015E" w:rsidRDefault="00D0015E" w:rsidP="006E0177">
      <w:pPr>
        <w:pStyle w:val="a7"/>
        <w:bidi w:val="0"/>
      </w:pPr>
      <w:r>
        <w:rPr>
          <w:rStyle w:val="a6"/>
        </w:rPr>
        <w:annotationRef/>
      </w:r>
      <w:r>
        <w:t>Or biblical stories in general?</w:t>
      </w:r>
      <w:r w:rsidR="006E0177">
        <w:t xml:space="preserve"> </w:t>
      </w:r>
    </w:p>
    <w:p w14:paraId="09F4A905" w14:textId="0B33B40A" w:rsidR="004513AD" w:rsidRDefault="004513AD" w:rsidP="004513AD">
      <w:pPr>
        <w:pStyle w:val="a7"/>
        <w:rPr>
          <w:rFonts w:hint="cs"/>
          <w:rtl/>
        </w:rPr>
      </w:pPr>
      <w:r>
        <w:rPr>
          <w:rFonts w:hint="cs"/>
          <w:rtl/>
        </w:rPr>
        <w:t>התכוונתי באופן כללי</w:t>
      </w:r>
    </w:p>
    <w:p w14:paraId="43A0CF0B" w14:textId="0B1FD071" w:rsidR="004513AD" w:rsidRDefault="004513AD" w:rsidP="004513AD">
      <w:pPr>
        <w:pStyle w:val="a7"/>
        <w:rPr>
          <w:rFonts w:hint="cs"/>
          <w:rtl/>
        </w:rPr>
      </w:pPr>
      <w:r>
        <w:rPr>
          <w:rFonts w:hint="cs"/>
          <w:rtl/>
        </w:rPr>
        <w:t xml:space="preserve">אולי עדיף </w:t>
      </w:r>
      <w:r w:rsidRPr="004513AD">
        <w:t>Narrative</w:t>
      </w:r>
      <w:r>
        <w:t>s</w:t>
      </w:r>
      <w:r>
        <w:rPr>
          <w:rFonts w:hint="cs"/>
          <w:rtl/>
        </w:rPr>
        <w:t xml:space="preserve"> ?</w:t>
      </w:r>
    </w:p>
  </w:comment>
  <w:comment w:id="2" w:author="editor" w:date="2019-12-23T14:10:00Z" w:initials="st">
    <w:p w14:paraId="7A2CA00C" w14:textId="7B8535A7" w:rsidR="00FC0BE8" w:rsidRDefault="00FC0BE8" w:rsidP="00FC0BE8">
      <w:pPr>
        <w:pStyle w:val="a7"/>
        <w:bidi w:val="0"/>
      </w:pPr>
      <w:r>
        <w:rPr>
          <w:rStyle w:val="a6"/>
        </w:rPr>
        <w:annotationRef/>
      </w:r>
      <w:r>
        <w:t>Is this the correct translation of this term?</w:t>
      </w:r>
    </w:p>
    <w:p w14:paraId="4F2D565C" w14:textId="389EAFE3" w:rsidR="00BC3867" w:rsidRDefault="00BC3867" w:rsidP="00BC3867">
      <w:pPr>
        <w:pStyle w:val="a7"/>
        <w:bidi w:val="0"/>
        <w:rPr>
          <w:rFonts w:hint="cs"/>
          <w:rtl/>
        </w:rPr>
      </w:pPr>
      <w:r>
        <w:rPr>
          <w:rFonts w:hint="cs"/>
          <w:rtl/>
        </w:rPr>
        <w:t>מצוין</w:t>
      </w:r>
    </w:p>
  </w:comment>
  <w:comment w:id="3" w:author="editor" w:date="2019-12-23T14:12:00Z" w:initials="st">
    <w:p w14:paraId="70D1B243" w14:textId="721A2259" w:rsidR="00FC0BE8" w:rsidRDefault="00FC0BE8" w:rsidP="00FC0BE8">
      <w:pPr>
        <w:pStyle w:val="a7"/>
        <w:bidi w:val="0"/>
      </w:pPr>
      <w:r>
        <w:rPr>
          <w:rStyle w:val="a6"/>
        </w:rPr>
        <w:annotationRef/>
      </w:r>
      <w:r>
        <w:t>Does this reflect your intention?</w:t>
      </w:r>
    </w:p>
    <w:p w14:paraId="3ACE6AB6" w14:textId="3A929A4B" w:rsidR="00BC3867" w:rsidRDefault="00581B62" w:rsidP="00581B62">
      <w:pPr>
        <w:pStyle w:val="a7"/>
        <w:rPr>
          <w:rtl/>
        </w:rPr>
      </w:pPr>
      <w:r>
        <w:rPr>
          <w:rFonts w:hint="cs"/>
          <w:rtl/>
        </w:rPr>
        <w:t xml:space="preserve"> חשבתי ש </w:t>
      </w:r>
      <w:r>
        <w:rPr>
          <w:rFonts w:ascii="Assistant" w:hAnsi="Assistant"/>
          <w:color w:val="333333"/>
          <w:sz w:val="21"/>
          <w:szCs w:val="21"/>
          <w:shd w:val="clear" w:color="auto" w:fill="FFFFFF"/>
        </w:rPr>
        <w:t>analogies</w:t>
      </w:r>
      <w:r>
        <w:rPr>
          <w:rFonts w:hint="cs"/>
          <w:rtl/>
        </w:rPr>
        <w:t xml:space="preserve"> מתאים יותר</w:t>
      </w:r>
    </w:p>
    <w:p w14:paraId="0BFA7EC7" w14:textId="2104EEBA" w:rsidR="004513AD" w:rsidRDefault="004513AD" w:rsidP="00581B62">
      <w:pPr>
        <w:pStyle w:val="a7"/>
        <w:rPr>
          <w:rtl/>
        </w:rPr>
      </w:pPr>
      <w:r>
        <w:rPr>
          <w:rFonts w:hint="cs"/>
          <w:rtl/>
        </w:rPr>
        <w:t xml:space="preserve">לדוגמה, ספר של ברמן בנושא נקרא: </w:t>
      </w:r>
    </w:p>
    <w:p w14:paraId="55471509" w14:textId="6286AB08" w:rsidR="004513AD" w:rsidRDefault="004513AD" w:rsidP="00581B62">
      <w:pPr>
        <w:pStyle w:val="a7"/>
      </w:pPr>
      <w:r w:rsidRPr="004513AD">
        <w:t>Narrative Analogy in the Hebrew Bible: Battle Stories and Their Equivalent NonBattle Narratives</w:t>
      </w:r>
    </w:p>
  </w:comment>
  <w:comment w:id="4" w:author="editor" w:date="2019-12-23T14:19:00Z" w:initials="st">
    <w:p w14:paraId="6C009D91" w14:textId="39B8DC91" w:rsidR="005E1BAE" w:rsidRDefault="005E1BAE" w:rsidP="005E1BAE">
      <w:pPr>
        <w:pStyle w:val="a7"/>
        <w:bidi w:val="0"/>
      </w:pPr>
      <w:r>
        <w:rPr>
          <w:rStyle w:val="a6"/>
        </w:rPr>
        <w:annotationRef/>
      </w:r>
      <w:r>
        <w:t>Rather than “parsha” which is less familiar to English readers.</w:t>
      </w:r>
    </w:p>
    <w:p w14:paraId="635C46B8" w14:textId="07C77D55" w:rsidR="004513AD" w:rsidRDefault="004513AD" w:rsidP="004513AD">
      <w:pPr>
        <w:pStyle w:val="a7"/>
        <w:bidi w:val="0"/>
        <w:rPr>
          <w:rFonts w:hint="cs"/>
          <w:rtl/>
        </w:rPr>
      </w:pPr>
      <w:r>
        <w:rPr>
          <w:rFonts w:hint="cs"/>
          <w:rtl/>
        </w:rPr>
        <w:t xml:space="preserve">אז אולי לחזור ל'סיפור', פרק לא רלוונטי כאן, כי הכוונה ליחידת תוכן. </w:t>
      </w:r>
    </w:p>
  </w:comment>
  <w:comment w:id="5" w:author="editor" w:date="2019-12-24T10:46:00Z" w:initials="st">
    <w:p w14:paraId="5E8C391E" w14:textId="44782B56" w:rsidR="004513AD" w:rsidRDefault="006E0177" w:rsidP="004513AD">
      <w:pPr>
        <w:pStyle w:val="a7"/>
        <w:bidi w:val="0"/>
      </w:pPr>
      <w:r>
        <w:rPr>
          <w:rStyle w:val="a6"/>
        </w:rPr>
        <w:annotationRef/>
      </w:r>
      <w:r>
        <w:t>Here for the sake of clarity, you might say “in the story of Hagar and Ishmael”</w:t>
      </w:r>
    </w:p>
    <w:p w14:paraId="4206DC9A" w14:textId="1A8CE182" w:rsidR="002A73D5" w:rsidRDefault="002A73D5" w:rsidP="002A73D5">
      <w:pPr>
        <w:pStyle w:val="a7"/>
        <w:bidi w:val="0"/>
      </w:pPr>
      <w:r>
        <w:rPr>
          <w:rFonts w:hint="cs"/>
          <w:rtl/>
        </w:rPr>
        <w:t>אני מקבלת את ההצעה, ובתמורה מחקתי שני משפטים למטה (כלומר, לעבור לסיפור הספציפי כבר כאן, ולא רק בפסקה האחרונה כמו שהתכוונתי).</w:t>
      </w:r>
    </w:p>
    <w:p w14:paraId="2F0E3540" w14:textId="3C8604BC" w:rsidR="00324AAA" w:rsidRDefault="00324AAA" w:rsidP="00324AAA">
      <w:pPr>
        <w:pStyle w:val="a7"/>
        <w:bidi w:val="0"/>
        <w:rPr>
          <w:rFonts w:hint="cs"/>
          <w:rtl/>
        </w:rPr>
      </w:pPr>
      <w:r>
        <w:rPr>
          <w:rFonts w:hint="cs"/>
          <w:rtl/>
        </w:rPr>
        <w:t>בנוסף, פיצלתי את הפסקה הבאה, המשפט הראשון בהמשך הפסקה הזאת, והשני עבר למשפט האחרון.</w:t>
      </w:r>
    </w:p>
  </w:comment>
  <w:comment w:id="8" w:author="editor" w:date="2019-12-24T10:47:00Z" w:initials="st">
    <w:p w14:paraId="49152DDB" w14:textId="312624EE" w:rsidR="006E0177" w:rsidRDefault="006E0177" w:rsidP="006E0177">
      <w:pPr>
        <w:pStyle w:val="a7"/>
        <w:bidi w:val="0"/>
      </w:pPr>
      <w:r>
        <w:rPr>
          <w:rStyle w:val="a6"/>
        </w:rPr>
        <w:annotationRef/>
      </w:r>
      <w:r>
        <w:t>Perhaps better “understood”?</w:t>
      </w:r>
    </w:p>
    <w:p w14:paraId="29B4057B" w14:textId="7706CB96" w:rsidR="002A73D5" w:rsidRDefault="002A73D5" w:rsidP="002A73D5">
      <w:pPr>
        <w:pStyle w:val="a7"/>
        <w:bidi w:val="0"/>
      </w:pPr>
      <w:r>
        <w:rPr>
          <w:rFonts w:hint="cs"/>
          <w:rtl/>
        </w:rPr>
        <w:t>כן. עדיף.</w:t>
      </w:r>
    </w:p>
  </w:comment>
  <w:comment w:id="10" w:author="editor" w:date="2019-12-23T14:30:00Z" w:initials="st">
    <w:p w14:paraId="4B217863" w14:textId="22B7DBEB" w:rsidR="00DC0CD9" w:rsidRDefault="00DC0CD9" w:rsidP="00DC0CD9">
      <w:pPr>
        <w:pStyle w:val="a7"/>
        <w:bidi w:val="0"/>
      </w:pPr>
      <w:r>
        <w:rPr>
          <w:rStyle w:val="a6"/>
        </w:rPr>
        <w:annotationRef/>
      </w:r>
      <w:r>
        <w:t>My addition. Correct?</w:t>
      </w:r>
    </w:p>
  </w:comment>
  <w:comment w:id="13" w:author="editor" w:date="2019-12-23T14:47:00Z" w:initials="st">
    <w:p w14:paraId="76368E1C" w14:textId="0B2CEBED" w:rsidR="008B51EE" w:rsidRDefault="008B51EE" w:rsidP="008B51EE">
      <w:pPr>
        <w:pStyle w:val="a7"/>
        <w:bidi w:val="0"/>
      </w:pPr>
      <w:r>
        <w:rPr>
          <w:rStyle w:val="a6"/>
        </w:rPr>
        <w:annotationRef/>
      </w:r>
      <w:r>
        <w:t>Maybe “shared contexts”</w:t>
      </w:r>
    </w:p>
  </w:comment>
  <w:comment w:id="14" w:author="Miri Kahana" w:date="2019-12-24T20:50:00Z" w:initials="MK">
    <w:p w14:paraId="28F353FC" w14:textId="50A3FC81" w:rsidR="009C2B5F" w:rsidRPr="009C2B5F" w:rsidRDefault="009C2B5F">
      <w:pPr>
        <w:pStyle w:val="a7"/>
        <w:rPr>
          <w:rFonts w:hint="cs"/>
          <w:rtl/>
        </w:rPr>
      </w:pPr>
      <w:r>
        <w:rPr>
          <w:rStyle w:val="a6"/>
        </w:rPr>
        <w:annotationRef/>
      </w:r>
      <w:r>
        <w:rPr>
          <w:rFonts w:hint="cs"/>
          <w:rtl/>
        </w:rPr>
        <w:t xml:space="preserve">התכוונתי </w:t>
      </w:r>
      <w:bookmarkStart w:id="15" w:name="_GoBack"/>
      <w:bookmarkEnd w:id="15"/>
      <w:r>
        <w:rPr>
          <w:rFonts w:hint="cs"/>
          <w:rtl/>
        </w:rPr>
        <w:t xml:space="preserve">לשני דברים: השוואה לתרגומים- </w:t>
      </w:r>
      <w:r>
        <w:rPr>
          <w:rFonts w:hint="cs"/>
        </w:rPr>
        <w:t xml:space="preserve">TARGUMS </w:t>
      </w:r>
      <w:r>
        <w:rPr>
          <w:rFonts w:hint="cs"/>
          <w:rtl/>
        </w:rPr>
        <w:t xml:space="preserve"> אחרים, וגם ל </w:t>
      </w:r>
      <w:r>
        <w:t xml:space="preserve">translations </w:t>
      </w:r>
      <w:r>
        <w:rPr>
          <w:rFonts w:hint="cs"/>
          <w:rtl/>
        </w:rPr>
        <w:t xml:space="preserve">  מהתקופה.</w:t>
      </w:r>
    </w:p>
  </w:comment>
  <w:comment w:id="16" w:author="editor" w:date="2019-12-23T14:52:00Z" w:initials="st">
    <w:p w14:paraId="13CD16B2" w14:textId="4D14D92A" w:rsidR="00850F14" w:rsidRDefault="00850F14" w:rsidP="00850F14">
      <w:pPr>
        <w:pStyle w:val="a7"/>
        <w:bidi w:val="0"/>
      </w:pPr>
      <w:r>
        <w:rPr>
          <w:rStyle w:val="a6"/>
        </w:rPr>
        <w:annotationRef/>
      </w:r>
      <w:r>
        <w:t>Or “the Dead Sea Scrolls”</w:t>
      </w:r>
    </w:p>
    <w:p w14:paraId="1EA1AC60" w14:textId="5C6540CA" w:rsidR="00675773" w:rsidRDefault="00675773" w:rsidP="00675773">
      <w:pPr>
        <w:pStyle w:val="a7"/>
        <w:bidi w:val="0"/>
        <w:rPr>
          <w:rFonts w:hint="cs"/>
          <w:rtl/>
        </w:rPr>
      </w:pPr>
      <w:r>
        <w:rPr>
          <w:rFonts w:hint="cs"/>
          <w:rtl/>
        </w:rPr>
        <w:t>נראה לי שבמקרה זה עדיף קומראן, אחד הנושאים שהוצעו בקול הקורא היה "התרגום וקומראן"</w:t>
      </w:r>
    </w:p>
  </w:comment>
  <w:comment w:id="20" w:author="Miri Kahana" w:date="2019-12-24T20:29:00Z" w:initials="MK">
    <w:p w14:paraId="3EB46DD0" w14:textId="120D9B5F" w:rsidR="00324AAA" w:rsidRDefault="00324AAA">
      <w:pPr>
        <w:pStyle w:val="a7"/>
        <w:rPr>
          <w:rFonts w:hint="cs"/>
          <w:rtl/>
        </w:rPr>
      </w:pPr>
      <w:r>
        <w:rPr>
          <w:rStyle w:val="a6"/>
        </w:rPr>
        <w:annotationRef/>
      </w:r>
      <w:r>
        <w:rPr>
          <w:rFonts w:hint="cs"/>
          <w:rtl/>
        </w:rPr>
        <w:t xml:space="preserve">התכוונתי "כדי", נראה לי שזה נכון. </w:t>
      </w:r>
    </w:p>
  </w:comment>
  <w:comment w:id="24" w:author="editor" w:date="2019-12-23T14:30:00Z" w:initials="st">
    <w:p w14:paraId="1A6E86A0" w14:textId="77777777" w:rsidR="00324AAA" w:rsidRDefault="00324AAA" w:rsidP="00324AAA">
      <w:pPr>
        <w:pStyle w:val="a7"/>
        <w:bidi w:val="0"/>
      </w:pPr>
      <w:r>
        <w:rPr>
          <w:rStyle w:val="a6"/>
        </w:rPr>
        <w:annotationRef/>
      </w:r>
      <w:r>
        <w:t>My addition. Correct?</w:t>
      </w:r>
    </w:p>
    <w:p w14:paraId="20127C4B" w14:textId="668886A1" w:rsidR="00675773" w:rsidRDefault="00675773" w:rsidP="00675773">
      <w:pPr>
        <w:pStyle w:val="a7"/>
        <w:bidi w:val="0"/>
        <w:rPr>
          <w:rFonts w:hint="cs"/>
          <w:rtl/>
        </w:rPr>
      </w:pPr>
      <w:r>
        <w:rPr>
          <w:rFonts w:hint="cs"/>
          <w:rtl/>
        </w:rPr>
        <w:t>אני בספק, כי כתבי קומראן, לדוגמה, מקודמים יותר.</w:t>
      </w:r>
    </w:p>
  </w:comment>
  <w:comment w:id="25" w:author="Miri Kahana" w:date="2019-12-24T20:53:00Z" w:initials="MK">
    <w:p w14:paraId="3E1ABC0D" w14:textId="1D144C4C" w:rsidR="009C2B5F" w:rsidRDefault="009C2B5F">
      <w:pPr>
        <w:pStyle w:val="a7"/>
      </w:pPr>
      <w:r>
        <w:rPr>
          <w:rStyle w:val="a6"/>
        </w:rPr>
        <w:annotationRef/>
      </w:r>
      <w:r>
        <w:rPr>
          <w:rFonts w:hint="cs"/>
          <w:rtl/>
        </w:rPr>
        <w:t xml:space="preserve">לאו דווקא יהודיים, ההשוואה היא גם למקורות אחרים. </w:t>
      </w:r>
    </w:p>
  </w:comment>
  <w:comment w:id="23" w:author="Miri Kahana" w:date="2019-12-24T20:55:00Z" w:initials="MK">
    <w:p w14:paraId="45B53FC2" w14:textId="32E905AE" w:rsidR="00C90CD7" w:rsidRDefault="00C90CD7">
      <w:pPr>
        <w:pStyle w:val="a7"/>
        <w:rPr>
          <w:rFonts w:hint="cs"/>
          <w:rtl/>
        </w:rPr>
      </w:pPr>
      <w:r>
        <w:rPr>
          <w:rStyle w:val="a6"/>
        </w:rPr>
        <w:annotationRef/>
      </w:r>
      <w:r>
        <w:rPr>
          <w:rFonts w:hint="cs"/>
          <w:rtl/>
        </w:rPr>
        <w:t xml:space="preserve">אולי בקיצור: התרגום ומסורות אחרות.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3DEB12" w15:done="0"/>
  <w15:commentEx w15:paraId="43A0CF0B" w15:done="0"/>
  <w15:commentEx w15:paraId="4F2D565C" w15:done="0"/>
  <w15:commentEx w15:paraId="55471509" w15:done="0"/>
  <w15:commentEx w15:paraId="635C46B8" w15:done="0"/>
  <w15:commentEx w15:paraId="2F0E3540" w15:done="0"/>
  <w15:commentEx w15:paraId="29B4057B" w15:done="0"/>
  <w15:commentEx w15:paraId="4B217863" w15:done="0"/>
  <w15:commentEx w15:paraId="76368E1C" w15:done="0"/>
  <w15:commentEx w15:paraId="28F353FC" w15:done="0"/>
  <w15:commentEx w15:paraId="1EA1AC60" w15:done="0"/>
  <w15:commentEx w15:paraId="3EB46DD0" w15:done="0"/>
  <w15:commentEx w15:paraId="20127C4B" w15:done="0"/>
  <w15:commentEx w15:paraId="3E1ABC0D" w15:done="0"/>
  <w15:commentEx w15:paraId="45B53F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6CF1"/>
    <w:multiLevelType w:val="hybridMultilevel"/>
    <w:tmpl w:val="8CF4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1"/>
    <w:rsid w:val="000049B6"/>
    <w:rsid w:val="00014020"/>
    <w:rsid w:val="000445AF"/>
    <w:rsid w:val="000A644C"/>
    <w:rsid w:val="000B4B02"/>
    <w:rsid w:val="00102F42"/>
    <w:rsid w:val="00127E8C"/>
    <w:rsid w:val="00247D2B"/>
    <w:rsid w:val="002A73D5"/>
    <w:rsid w:val="00324AAA"/>
    <w:rsid w:val="00377AF3"/>
    <w:rsid w:val="003F1BDC"/>
    <w:rsid w:val="004114C6"/>
    <w:rsid w:val="00445DE9"/>
    <w:rsid w:val="00450D79"/>
    <w:rsid w:val="004513AD"/>
    <w:rsid w:val="004A5227"/>
    <w:rsid w:val="004C66C7"/>
    <w:rsid w:val="005256F7"/>
    <w:rsid w:val="005352C1"/>
    <w:rsid w:val="0055580B"/>
    <w:rsid w:val="005620F3"/>
    <w:rsid w:val="005777A1"/>
    <w:rsid w:val="00581B62"/>
    <w:rsid w:val="005E1BAE"/>
    <w:rsid w:val="00606445"/>
    <w:rsid w:val="0064671A"/>
    <w:rsid w:val="00675773"/>
    <w:rsid w:val="006B4081"/>
    <w:rsid w:val="006E0177"/>
    <w:rsid w:val="007D6914"/>
    <w:rsid w:val="00850F14"/>
    <w:rsid w:val="008B51EE"/>
    <w:rsid w:val="00956764"/>
    <w:rsid w:val="00992F49"/>
    <w:rsid w:val="009C2B5F"/>
    <w:rsid w:val="009F7421"/>
    <w:rsid w:val="00A06337"/>
    <w:rsid w:val="00A61753"/>
    <w:rsid w:val="00A969CD"/>
    <w:rsid w:val="00B60510"/>
    <w:rsid w:val="00B67854"/>
    <w:rsid w:val="00B9083B"/>
    <w:rsid w:val="00BC3867"/>
    <w:rsid w:val="00C037B8"/>
    <w:rsid w:val="00C90CD7"/>
    <w:rsid w:val="00CB16AC"/>
    <w:rsid w:val="00D0015E"/>
    <w:rsid w:val="00D162B2"/>
    <w:rsid w:val="00D75281"/>
    <w:rsid w:val="00DC0CD9"/>
    <w:rsid w:val="00E420E0"/>
    <w:rsid w:val="00EF2F52"/>
    <w:rsid w:val="00FA5E1A"/>
    <w:rsid w:val="00FC0BE8"/>
    <w:rsid w:val="00FE59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33E"/>
  <w15:chartTrackingRefBased/>
  <w15:docId w15:val="{03D7796E-855C-42E8-8497-5A43C563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CB"/>
    <w:pPr>
      <w:bidi/>
      <w:spacing w:before="120" w:after="120" w:line="360" w:lineRule="auto"/>
      <w:contextualSpacing/>
      <w:jc w:val="both"/>
    </w:pPr>
    <w:rPr>
      <w:rFonts w:cs="David"/>
      <w:szCs w:val="24"/>
    </w:rPr>
  </w:style>
  <w:style w:type="paragraph" w:styleId="1">
    <w:name w:val="heading 1"/>
    <w:basedOn w:val="a"/>
    <w:next w:val="a"/>
    <w:link w:val="10"/>
    <w:autoRedefine/>
    <w:uiPriority w:val="9"/>
    <w:qFormat/>
    <w:rsid w:val="0055580B"/>
    <w:pPr>
      <w:keepNext/>
      <w:keepLines/>
      <w:bidi w:val="0"/>
      <w:spacing w:before="240" w:after="0"/>
      <w:jc w:val="center"/>
      <w:outlineLvl w:val="0"/>
    </w:pPr>
    <w:rPr>
      <w:rFonts w:asciiTheme="majorHAnsi" w:eastAsiaTheme="majorEastAsia" w:hAnsiTheme="majorHAnsi"/>
      <w:sz w:val="32"/>
      <w:szCs w:val="32"/>
    </w:rPr>
  </w:style>
  <w:style w:type="paragraph" w:styleId="2">
    <w:name w:val="heading 2"/>
    <w:basedOn w:val="a"/>
    <w:next w:val="a"/>
    <w:link w:val="20"/>
    <w:qFormat/>
    <w:rsid w:val="005620F3"/>
    <w:pPr>
      <w:keepNext/>
      <w:spacing w:before="240" w:after="60"/>
      <w:outlineLvl w:val="1"/>
    </w:pPr>
    <w:rPr>
      <w:rFonts w:ascii="Arial" w:eastAsia="Times New Roman" w:hAnsi="Arial"/>
      <w:bCs/>
      <w:sz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5580B"/>
    <w:rPr>
      <w:rFonts w:asciiTheme="majorHAnsi" w:eastAsiaTheme="majorEastAsia" w:hAnsiTheme="majorHAnsi" w:cs="David"/>
      <w:sz w:val="32"/>
      <w:szCs w:val="32"/>
    </w:rPr>
  </w:style>
  <w:style w:type="character" w:customStyle="1" w:styleId="20">
    <w:name w:val="כותרת 2 תו"/>
    <w:basedOn w:val="a0"/>
    <w:link w:val="2"/>
    <w:rsid w:val="005620F3"/>
    <w:rPr>
      <w:rFonts w:ascii="Arial" w:eastAsia="Times New Roman" w:hAnsi="Arial" w:cs="David"/>
      <w:bCs/>
      <w:sz w:val="28"/>
      <w:szCs w:val="24"/>
      <w:lang w:eastAsia="he-IL"/>
    </w:rPr>
  </w:style>
  <w:style w:type="paragraph" w:customStyle="1" w:styleId="11">
    <w:name w:val="ציטוט1"/>
    <w:basedOn w:val="a"/>
    <w:next w:val="a"/>
    <w:link w:val="12"/>
    <w:qFormat/>
    <w:rsid w:val="00445DE9"/>
    <w:pPr>
      <w:ind w:left="567"/>
    </w:pPr>
    <w:rPr>
      <w:rFonts w:ascii="Times New Roman" w:eastAsia="Times New Roman" w:hAnsi="Times New Roman"/>
      <w:sz w:val="24"/>
    </w:rPr>
  </w:style>
  <w:style w:type="character" w:customStyle="1" w:styleId="12">
    <w:name w:val="ציטוט1 תו"/>
    <w:basedOn w:val="a0"/>
    <w:link w:val="11"/>
    <w:rsid w:val="00445DE9"/>
    <w:rPr>
      <w:rFonts w:ascii="Times New Roman" w:eastAsia="Times New Roman" w:hAnsi="Times New Roman" w:cs="David"/>
      <w:sz w:val="24"/>
      <w:szCs w:val="24"/>
    </w:rPr>
  </w:style>
  <w:style w:type="paragraph" w:styleId="a3">
    <w:name w:val="List Paragraph"/>
    <w:basedOn w:val="a"/>
    <w:uiPriority w:val="34"/>
    <w:qFormat/>
    <w:rsid w:val="005352C1"/>
    <w:pPr>
      <w:ind w:left="720"/>
    </w:pPr>
  </w:style>
  <w:style w:type="paragraph" w:styleId="a4">
    <w:name w:val="Balloon Text"/>
    <w:basedOn w:val="a"/>
    <w:link w:val="a5"/>
    <w:uiPriority w:val="99"/>
    <w:semiHidden/>
    <w:unhideWhenUsed/>
    <w:rsid w:val="00102F42"/>
    <w:pPr>
      <w:spacing w:before="0" w:after="0" w:line="240" w:lineRule="auto"/>
    </w:pPr>
    <w:rPr>
      <w:rFonts w:ascii="Tahoma" w:hAnsi="Tahoma" w:cs="Tahoma"/>
      <w:sz w:val="18"/>
      <w:szCs w:val="18"/>
    </w:rPr>
  </w:style>
  <w:style w:type="character" w:customStyle="1" w:styleId="a5">
    <w:name w:val="טקסט בלונים תו"/>
    <w:basedOn w:val="a0"/>
    <w:link w:val="a4"/>
    <w:uiPriority w:val="99"/>
    <w:semiHidden/>
    <w:rsid w:val="00102F42"/>
    <w:rPr>
      <w:rFonts w:ascii="Tahoma" w:hAnsi="Tahoma" w:cs="Tahoma"/>
      <w:sz w:val="18"/>
      <w:szCs w:val="18"/>
    </w:rPr>
  </w:style>
  <w:style w:type="character" w:styleId="a6">
    <w:name w:val="annotation reference"/>
    <w:basedOn w:val="a0"/>
    <w:uiPriority w:val="99"/>
    <w:semiHidden/>
    <w:unhideWhenUsed/>
    <w:rsid w:val="00D0015E"/>
    <w:rPr>
      <w:sz w:val="18"/>
      <w:szCs w:val="18"/>
    </w:rPr>
  </w:style>
  <w:style w:type="paragraph" w:styleId="a7">
    <w:name w:val="annotation text"/>
    <w:basedOn w:val="a"/>
    <w:link w:val="a8"/>
    <w:uiPriority w:val="99"/>
    <w:semiHidden/>
    <w:unhideWhenUsed/>
    <w:rsid w:val="00D0015E"/>
    <w:pPr>
      <w:spacing w:line="240" w:lineRule="auto"/>
    </w:pPr>
    <w:rPr>
      <w:sz w:val="24"/>
    </w:rPr>
  </w:style>
  <w:style w:type="character" w:customStyle="1" w:styleId="a8">
    <w:name w:val="טקסט הערה תו"/>
    <w:basedOn w:val="a0"/>
    <w:link w:val="a7"/>
    <w:uiPriority w:val="99"/>
    <w:semiHidden/>
    <w:rsid w:val="00D0015E"/>
    <w:rPr>
      <w:rFonts w:cs="David"/>
      <w:sz w:val="24"/>
      <w:szCs w:val="24"/>
    </w:rPr>
  </w:style>
  <w:style w:type="paragraph" w:styleId="a9">
    <w:name w:val="annotation subject"/>
    <w:basedOn w:val="a7"/>
    <w:next w:val="a7"/>
    <w:link w:val="aa"/>
    <w:uiPriority w:val="99"/>
    <w:semiHidden/>
    <w:unhideWhenUsed/>
    <w:rsid w:val="00D0015E"/>
    <w:rPr>
      <w:b/>
      <w:bCs/>
      <w:sz w:val="20"/>
      <w:szCs w:val="20"/>
    </w:rPr>
  </w:style>
  <w:style w:type="character" w:customStyle="1" w:styleId="aa">
    <w:name w:val="נושא הערה תו"/>
    <w:basedOn w:val="a8"/>
    <w:link w:val="a9"/>
    <w:uiPriority w:val="99"/>
    <w:semiHidden/>
    <w:rsid w:val="00D0015E"/>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1958</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Kahana</dc:creator>
  <cp:keywords/>
  <dc:description/>
  <cp:lastModifiedBy>Miri Kahana</cp:lastModifiedBy>
  <cp:revision>2</cp:revision>
  <cp:lastPrinted>2019-12-19T16:56:00Z</cp:lastPrinted>
  <dcterms:created xsi:type="dcterms:W3CDTF">2019-12-24T18:59:00Z</dcterms:created>
  <dcterms:modified xsi:type="dcterms:W3CDTF">2019-12-24T18:59:00Z</dcterms:modified>
</cp:coreProperties>
</file>