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A33F" w14:textId="6470FCF6" w:rsidR="00931194" w:rsidRPr="007D1812" w:rsidRDefault="00931194" w:rsidP="00017A5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t>Summary Report:</w:t>
      </w:r>
    </w:p>
    <w:p w14:paraId="13F46F6C" w14:textId="38F1704F" w:rsidR="00931194" w:rsidRPr="007D1812" w:rsidRDefault="00931194" w:rsidP="003F5BF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Project for Providing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Cognitive 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Accessibility 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>at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Museums and Recreation Sites</w:t>
      </w:r>
    </w:p>
    <w:p w14:paraId="526C6B4B" w14:textId="245CECF2" w:rsidR="00017A59" w:rsidRPr="00017A59" w:rsidRDefault="00017A59" w:rsidP="00017A5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BFACB72" w14:textId="1D51ECD6" w:rsidR="00017A59" w:rsidRPr="007D1812" w:rsidRDefault="00017A59" w:rsidP="003F5BF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Research Findings </w:t>
      </w:r>
      <w:r w:rsidR="007D1812">
        <w:rPr>
          <w:rFonts w:asciiTheme="majorBidi" w:hAnsiTheme="majorBidi" w:cstheme="majorBidi"/>
          <w:b/>
          <w:bCs/>
          <w:sz w:val="24"/>
          <w:szCs w:val="24"/>
        </w:rPr>
        <w:t>of an Evaluation of a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5BF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7D1812">
        <w:rPr>
          <w:rFonts w:asciiTheme="majorBidi" w:hAnsiTheme="majorBidi" w:cstheme="majorBidi"/>
          <w:b/>
          <w:bCs/>
          <w:sz w:val="24"/>
          <w:szCs w:val="24"/>
        </w:rPr>
        <w:t>Improving</w:t>
      </w:r>
      <w:r w:rsidR="003F5BF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Accessibility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>at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Recreational Sites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Individuals with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>Intellectual Developmental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Disabilities and Their Families</w:t>
      </w:r>
    </w:p>
    <w:p w14:paraId="28D5DEFB" w14:textId="2FD813F5" w:rsidR="00812006" w:rsidRDefault="00812006" w:rsidP="003F5B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2B9EF3" w14:textId="6AF786E9" w:rsidR="00812006" w:rsidRP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 w:rsidRPr="00812006">
        <w:rPr>
          <w:rFonts w:asciiTheme="majorBidi" w:hAnsiTheme="majorBidi" w:cstheme="majorBidi"/>
          <w:sz w:val="24"/>
          <w:szCs w:val="24"/>
        </w:rPr>
        <w:t xml:space="preserve">This study was conducted with the </w:t>
      </w:r>
      <w:r>
        <w:rPr>
          <w:rFonts w:asciiTheme="majorBidi" w:hAnsiTheme="majorBidi" w:cstheme="majorBidi"/>
          <w:sz w:val="24"/>
          <w:szCs w:val="24"/>
        </w:rPr>
        <w:t>assistance</w:t>
      </w:r>
      <w:r w:rsidRPr="00812006">
        <w:rPr>
          <w:rFonts w:asciiTheme="majorBidi" w:hAnsiTheme="majorBidi" w:cstheme="majorBidi"/>
          <w:sz w:val="24"/>
          <w:szCs w:val="24"/>
        </w:rPr>
        <w:t xml:space="preserve"> of a research grant</w:t>
      </w:r>
      <w:r>
        <w:rPr>
          <w:rFonts w:asciiTheme="majorBidi" w:hAnsiTheme="majorBidi" w:cstheme="majorBidi"/>
          <w:sz w:val="24"/>
          <w:szCs w:val="24"/>
        </w:rPr>
        <w:t xml:space="preserve"> from </w:t>
      </w:r>
      <w:commentRangeStart w:id="0"/>
      <w:r>
        <w:rPr>
          <w:rFonts w:asciiTheme="majorBidi" w:hAnsiTheme="majorBidi" w:cstheme="majorBidi"/>
          <w:sz w:val="24"/>
          <w:szCs w:val="24"/>
        </w:rPr>
        <w:t>The Shalem Fund</w:t>
      </w:r>
      <w:r w:rsidR="007D1812">
        <w:rPr>
          <w:rFonts w:asciiTheme="majorBidi" w:hAnsiTheme="majorBidi" w:cstheme="majorBidi"/>
          <w:sz w:val="24"/>
          <w:szCs w:val="24"/>
        </w:rPr>
        <w:t>:</w:t>
      </w:r>
    </w:p>
    <w:p w14:paraId="0F827081" w14:textId="72B49864" w:rsid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Fund </w:t>
      </w:r>
      <w:r w:rsidRPr="00812006">
        <w:rPr>
          <w:rFonts w:asciiTheme="majorBidi" w:hAnsiTheme="majorBidi" w:cstheme="majorBidi"/>
          <w:sz w:val="24"/>
          <w:szCs w:val="24"/>
        </w:rPr>
        <w:t xml:space="preserve">for the Development of Services for People with </w:t>
      </w:r>
      <w:r>
        <w:rPr>
          <w:rFonts w:asciiTheme="majorBidi" w:hAnsiTheme="majorBidi" w:cstheme="majorBidi"/>
          <w:sz w:val="24"/>
          <w:szCs w:val="24"/>
        </w:rPr>
        <w:t>Intellectual</w:t>
      </w:r>
      <w:r w:rsidRPr="00812006">
        <w:rPr>
          <w:rFonts w:asciiTheme="majorBidi" w:hAnsiTheme="majorBidi" w:cstheme="majorBidi"/>
          <w:sz w:val="24"/>
          <w:szCs w:val="24"/>
        </w:rPr>
        <w:t xml:space="preserve"> </w:t>
      </w:r>
      <w:r w:rsidR="00283D92"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812006">
        <w:rPr>
          <w:rFonts w:asciiTheme="majorBidi" w:hAnsiTheme="majorBidi" w:cstheme="majorBidi"/>
          <w:sz w:val="24"/>
          <w:szCs w:val="24"/>
        </w:rPr>
        <w:t xml:space="preserve">Disabilities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12006">
        <w:rPr>
          <w:rFonts w:asciiTheme="majorBidi" w:hAnsiTheme="majorBidi" w:cstheme="majorBidi"/>
          <w:sz w:val="24"/>
          <w:szCs w:val="24"/>
        </w:rPr>
        <w:t xml:space="preserve">Local </w:t>
      </w:r>
      <w:r>
        <w:rPr>
          <w:rFonts w:asciiTheme="majorBidi" w:hAnsiTheme="majorBidi" w:cstheme="majorBidi"/>
          <w:sz w:val="24"/>
          <w:szCs w:val="24"/>
        </w:rPr>
        <w:t>Councils</w:t>
      </w:r>
      <w:commentRangeEnd w:id="0"/>
      <w:r>
        <w:rPr>
          <w:rStyle w:val="CommentReference"/>
        </w:rPr>
        <w:commentReference w:id="0"/>
      </w:r>
    </w:p>
    <w:p w14:paraId="4A3EC9AF" w14:textId="77777777" w:rsidR="007D1812" w:rsidRDefault="007D1812" w:rsidP="0081200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B0294D" w14:textId="34FF8930" w:rsid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</w:t>
      </w:r>
    </w:p>
    <w:p w14:paraId="03E0D53E" w14:textId="4E0E571C" w:rsidR="00812006" w:rsidRPr="007D1812" w:rsidRDefault="00812006" w:rsidP="00812006">
      <w:pPr>
        <w:rPr>
          <w:rFonts w:asciiTheme="majorBidi" w:hAnsiTheme="majorBidi" w:cstheme="majorBidi"/>
          <w:sz w:val="24"/>
          <w:szCs w:val="24"/>
        </w:rPr>
      </w:pPr>
      <w:r w:rsidRPr="007D1812">
        <w:rPr>
          <w:rFonts w:asciiTheme="majorBidi" w:hAnsiTheme="majorBidi" w:cstheme="majorBidi"/>
          <w:sz w:val="24"/>
          <w:szCs w:val="24"/>
        </w:rPr>
        <w:t xml:space="preserve">Keren Shalem </w:t>
      </w:r>
      <w:r w:rsidRPr="007D1812">
        <w:rPr>
          <w:rFonts w:asciiTheme="majorBidi" w:hAnsiTheme="majorBidi" w:cstheme="majorBidi"/>
          <w:sz w:val="24"/>
          <w:szCs w:val="24"/>
          <w:rtl/>
        </w:rPr>
        <w:t>142/202</w:t>
      </w:r>
      <w:r w:rsidRPr="007D1812">
        <w:rPr>
          <w:rFonts w:asciiTheme="majorBidi" w:hAnsiTheme="majorBidi" w:cstheme="majorBidi"/>
          <w:sz w:val="24"/>
          <w:szCs w:val="24"/>
        </w:rPr>
        <w:t>0</w:t>
      </w:r>
    </w:p>
    <w:p w14:paraId="1730A092" w14:textId="32B730FE" w:rsidR="00812006" w:rsidRDefault="00812006" w:rsidP="004100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812006">
        <w:rPr>
          <w:rFonts w:asciiTheme="majorBidi" w:hAnsiTheme="majorBidi" w:cstheme="majorBidi"/>
          <w:sz w:val="24"/>
          <w:szCs w:val="24"/>
        </w:rPr>
        <w:t>esearch team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commentRangeStart w:id="1"/>
      <w:r w:rsidRPr="00812006">
        <w:rPr>
          <w:rFonts w:asciiTheme="majorBidi" w:hAnsiTheme="majorBidi" w:cstheme="majorBidi"/>
          <w:sz w:val="24"/>
          <w:szCs w:val="24"/>
        </w:rPr>
        <w:t>Dr. Sigal Uziel-Karl</w:t>
      </w:r>
      <w:commentRangeEnd w:id="1"/>
      <w:r>
        <w:rPr>
          <w:rStyle w:val="CommentReference"/>
        </w:rPr>
        <w:commentReference w:id="1"/>
      </w:r>
      <w:r w:rsidRPr="00812006">
        <w:rPr>
          <w:rFonts w:asciiTheme="majorBidi" w:hAnsiTheme="majorBidi" w:cstheme="majorBidi"/>
          <w:sz w:val="24"/>
          <w:szCs w:val="24"/>
        </w:rPr>
        <w:t xml:space="preserve">, Hila </w:t>
      </w:r>
      <w:commentRangeStart w:id="2"/>
      <w:r w:rsidRPr="00812006">
        <w:rPr>
          <w:rFonts w:asciiTheme="majorBidi" w:hAnsiTheme="majorBidi" w:cstheme="majorBidi"/>
          <w:sz w:val="24"/>
          <w:szCs w:val="24"/>
        </w:rPr>
        <w:t>Rimon</w:t>
      </w:r>
      <w:commentRangeEnd w:id="2"/>
      <w:r>
        <w:rPr>
          <w:rStyle w:val="CommentReference"/>
        </w:rPr>
        <w:commentReference w:id="2"/>
      </w:r>
      <w:r w:rsidRPr="00812006">
        <w:rPr>
          <w:rFonts w:asciiTheme="majorBidi" w:hAnsiTheme="majorBidi" w:cstheme="majorBidi"/>
          <w:sz w:val="24"/>
          <w:szCs w:val="24"/>
        </w:rPr>
        <w:t xml:space="preserve">-Greenspan, </w:t>
      </w:r>
      <w:commentRangeStart w:id="3"/>
      <w:r w:rsidRPr="00812006">
        <w:rPr>
          <w:rFonts w:asciiTheme="majorBidi" w:hAnsiTheme="majorBidi" w:cstheme="majorBidi"/>
          <w:sz w:val="24"/>
          <w:szCs w:val="24"/>
        </w:rPr>
        <w:t xml:space="preserve">Yossi </w:t>
      </w:r>
      <w:r>
        <w:rPr>
          <w:rFonts w:asciiTheme="majorBidi" w:hAnsiTheme="majorBidi" w:cstheme="majorBidi"/>
          <w:sz w:val="24"/>
          <w:szCs w:val="24"/>
        </w:rPr>
        <w:t>Fre</w:t>
      </w:r>
      <w:r w:rsidRPr="00812006">
        <w:rPr>
          <w:rFonts w:asciiTheme="majorBidi" w:hAnsiTheme="majorBidi" w:cstheme="majorBidi"/>
          <w:sz w:val="24"/>
          <w:szCs w:val="24"/>
        </w:rPr>
        <w:t>i</w:t>
      </w:r>
      <w:r w:rsidR="00410092">
        <w:rPr>
          <w:rFonts w:asciiTheme="majorBidi" w:hAnsiTheme="majorBidi" w:cstheme="majorBidi"/>
          <w:sz w:val="24"/>
          <w:szCs w:val="24"/>
        </w:rPr>
        <w:t>e</w:t>
      </w:r>
      <w:r w:rsidRPr="00812006">
        <w:rPr>
          <w:rFonts w:asciiTheme="majorBidi" w:hAnsiTheme="majorBidi" w:cstheme="majorBidi"/>
          <w:sz w:val="24"/>
          <w:szCs w:val="24"/>
        </w:rPr>
        <w:t>r-Dror</w:t>
      </w:r>
      <w:commentRangeEnd w:id="3"/>
      <w:r w:rsidR="00410092">
        <w:rPr>
          <w:rStyle w:val="CommentReference"/>
        </w:rPr>
        <w:commentReference w:id="3"/>
      </w:r>
      <w:r w:rsidRPr="00812006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Pr="00410092">
        <w:rPr>
          <w:rFonts w:asciiTheme="majorBidi" w:hAnsiTheme="majorBidi" w:cstheme="majorBidi"/>
          <w:sz w:val="24"/>
          <w:szCs w:val="24"/>
        </w:rPr>
        <w:t xml:space="preserve">Prof. </w:t>
      </w:r>
      <w:r w:rsidR="00410092" w:rsidRPr="00410092">
        <w:rPr>
          <w:rFonts w:asciiTheme="majorBidi" w:hAnsiTheme="majorBidi" w:cstheme="majorBidi"/>
          <w:sz w:val="24"/>
          <w:szCs w:val="24"/>
        </w:rPr>
        <w:t>Shira Yalon-Chamovitz</w:t>
      </w:r>
      <w:commentRangeEnd w:id="4"/>
      <w:r w:rsidR="00410092">
        <w:rPr>
          <w:rStyle w:val="CommentReference"/>
        </w:rPr>
        <w:commentReference w:id="4"/>
      </w:r>
    </w:p>
    <w:p w14:paraId="38DF59BD" w14:textId="6B827CDA" w:rsidR="00D46593" w:rsidRDefault="00D46593" w:rsidP="00410092">
      <w:pPr>
        <w:rPr>
          <w:rFonts w:asciiTheme="majorBidi" w:hAnsiTheme="majorBidi" w:cstheme="majorBidi"/>
          <w:sz w:val="24"/>
          <w:szCs w:val="24"/>
        </w:rPr>
      </w:pPr>
    </w:p>
    <w:p w14:paraId="07FCA532" w14:textId="025A1528" w:rsidR="00D46593" w:rsidRDefault="00D4659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4EA5687" w14:textId="14442056" w:rsidR="00D46593" w:rsidRPr="007D1812" w:rsidRDefault="00D46593" w:rsidP="004100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Summary</w:t>
      </w:r>
    </w:p>
    <w:p w14:paraId="14993333" w14:textId="0BE1A0A5" w:rsidR="00D46593" w:rsidRDefault="00D46593" w:rsidP="004100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research was </w:t>
      </w:r>
      <w:r w:rsidR="00BA44AC">
        <w:rPr>
          <w:rFonts w:asciiTheme="majorBidi" w:hAnsiTheme="majorBidi" w:cstheme="majorBidi"/>
          <w:sz w:val="24"/>
          <w:szCs w:val="24"/>
        </w:rPr>
        <w:t>conducted with the financial support of</w:t>
      </w:r>
      <w:r>
        <w:rPr>
          <w:rFonts w:asciiTheme="majorBidi" w:hAnsiTheme="majorBidi" w:cstheme="majorBidi"/>
          <w:sz w:val="24"/>
          <w:szCs w:val="24"/>
        </w:rPr>
        <w:t xml:space="preserve"> The Shalem Fund</w:t>
      </w:r>
    </w:p>
    <w:p w14:paraId="69DC9FFF" w14:textId="4FF2F378" w:rsidR="00BA44AC" w:rsidRDefault="00BA44AC" w:rsidP="00410092">
      <w:pPr>
        <w:rPr>
          <w:rFonts w:asciiTheme="majorBidi" w:hAnsiTheme="majorBidi" w:cstheme="majorBidi"/>
          <w:sz w:val="24"/>
          <w:szCs w:val="24"/>
        </w:rPr>
      </w:pPr>
    </w:p>
    <w:p w14:paraId="1F1A5982" w14:textId="77777777" w:rsidR="007D1812" w:rsidRDefault="00BA44AC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</w:rPr>
      </w:pPr>
      <w:r w:rsidRPr="00BA44AC">
        <w:rPr>
          <w:rFonts w:asciiTheme="majorBidi" w:hAnsiTheme="majorBidi" w:cstheme="majorBidi"/>
          <w:sz w:val="24"/>
          <w:szCs w:val="24"/>
        </w:rPr>
        <w:t xml:space="preserve">Access to leisure and </w:t>
      </w:r>
      <w:r>
        <w:rPr>
          <w:rFonts w:asciiTheme="majorBidi" w:hAnsiTheme="majorBidi" w:cstheme="majorBidi"/>
          <w:sz w:val="24"/>
          <w:szCs w:val="24"/>
        </w:rPr>
        <w:t>recreations</w:t>
      </w:r>
      <w:r w:rsidRPr="00BA44AC">
        <w:rPr>
          <w:rFonts w:asciiTheme="majorBidi" w:hAnsiTheme="majorBidi" w:cstheme="majorBidi"/>
          <w:sz w:val="24"/>
          <w:szCs w:val="24"/>
        </w:rPr>
        <w:t xml:space="preserve"> activities for people with intellectual </w:t>
      </w:r>
      <w:r w:rsidR="0008086A"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BA44AC">
        <w:rPr>
          <w:rFonts w:asciiTheme="majorBidi" w:hAnsiTheme="majorBidi" w:cstheme="majorBidi"/>
          <w:sz w:val="24"/>
          <w:szCs w:val="24"/>
        </w:rPr>
        <w:t>disabilities</w:t>
      </w:r>
      <w:r w:rsidR="005234BE">
        <w:rPr>
          <w:rFonts w:asciiTheme="majorBidi" w:hAnsiTheme="majorBidi" w:cstheme="majorBidi"/>
          <w:sz w:val="24"/>
          <w:szCs w:val="24"/>
        </w:rPr>
        <w:t xml:space="preserve"> (</w:t>
      </w:r>
      <w:commentRangeStart w:id="5"/>
      <w:r w:rsidR="005234BE">
        <w:rPr>
          <w:rFonts w:asciiTheme="majorBidi" w:hAnsiTheme="majorBidi" w:cstheme="majorBidi"/>
          <w:sz w:val="24"/>
          <w:szCs w:val="24"/>
        </w:rPr>
        <w:t>IDD</w:t>
      </w:r>
      <w:commentRangeEnd w:id="5"/>
      <w:r w:rsidR="005234BE">
        <w:rPr>
          <w:rStyle w:val="CommentReference"/>
        </w:rPr>
        <w:commentReference w:id="5"/>
      </w:r>
      <w:r w:rsidR="005234BE">
        <w:rPr>
          <w:rFonts w:asciiTheme="majorBidi" w:hAnsiTheme="majorBidi" w:cstheme="majorBidi"/>
          <w:sz w:val="24"/>
          <w:szCs w:val="24"/>
        </w:rPr>
        <w:t>)</w:t>
      </w:r>
      <w:r w:rsidRPr="00BA44AC">
        <w:rPr>
          <w:rFonts w:asciiTheme="majorBidi" w:hAnsiTheme="majorBidi" w:cstheme="majorBidi"/>
          <w:sz w:val="24"/>
          <w:szCs w:val="24"/>
        </w:rPr>
        <w:t xml:space="preserve"> is important and valuable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Pr="00BA44AC">
        <w:rPr>
          <w:rFonts w:asciiTheme="majorBidi" w:hAnsiTheme="majorBidi" w:cstheme="majorBidi"/>
          <w:sz w:val="24"/>
          <w:szCs w:val="24"/>
        </w:rPr>
        <w:t>contribute</w:t>
      </w:r>
      <w:r>
        <w:rPr>
          <w:rFonts w:asciiTheme="majorBidi" w:hAnsiTheme="majorBidi" w:cstheme="majorBidi"/>
          <w:sz w:val="24"/>
          <w:szCs w:val="24"/>
        </w:rPr>
        <w:t>s</w:t>
      </w:r>
      <w:r w:rsidRPr="00BA44AC">
        <w:rPr>
          <w:rFonts w:asciiTheme="majorBidi" w:hAnsiTheme="majorBidi" w:cstheme="majorBidi"/>
          <w:sz w:val="24"/>
          <w:szCs w:val="24"/>
        </w:rPr>
        <w:t xml:space="preserve"> to bringing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BA44AC">
        <w:rPr>
          <w:rFonts w:asciiTheme="majorBidi" w:hAnsiTheme="majorBidi" w:cstheme="majorBidi"/>
          <w:sz w:val="24"/>
          <w:szCs w:val="24"/>
        </w:rPr>
        <w:t xml:space="preserve"> with </w:t>
      </w:r>
      <w:r w:rsidR="005234BE">
        <w:rPr>
          <w:rFonts w:asciiTheme="majorBidi" w:hAnsiTheme="majorBidi" w:cstheme="majorBidi"/>
          <w:sz w:val="24"/>
          <w:szCs w:val="24"/>
        </w:rPr>
        <w:t>IDD</w:t>
      </w:r>
      <w:r>
        <w:rPr>
          <w:rFonts w:asciiTheme="majorBidi" w:hAnsiTheme="majorBidi" w:cstheme="majorBidi"/>
          <w:sz w:val="24"/>
          <w:szCs w:val="24"/>
        </w:rPr>
        <w:t xml:space="preserve"> closer</w:t>
      </w:r>
      <w:r w:rsidRPr="00BA44AC">
        <w:rPr>
          <w:rFonts w:asciiTheme="majorBidi" w:hAnsiTheme="majorBidi" w:cstheme="majorBidi"/>
          <w:sz w:val="24"/>
          <w:szCs w:val="24"/>
        </w:rPr>
        <w:t xml:space="preserve"> to the cultural and leisure life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BA44AC">
        <w:rPr>
          <w:rFonts w:asciiTheme="majorBidi" w:hAnsiTheme="majorBidi" w:cstheme="majorBidi"/>
          <w:sz w:val="24"/>
          <w:szCs w:val="24"/>
        </w:rPr>
        <w:t xml:space="preserve"> the community, improving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BA44AC">
        <w:rPr>
          <w:rFonts w:asciiTheme="majorBidi" w:hAnsiTheme="majorBidi" w:cstheme="majorBidi"/>
          <w:sz w:val="24"/>
          <w:szCs w:val="24"/>
        </w:rPr>
        <w:t xml:space="preserve"> quality of life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7D1812">
        <w:rPr>
          <w:rFonts w:asciiTheme="majorBidi" w:hAnsiTheme="majorBidi" w:cstheme="majorBidi"/>
          <w:sz w:val="24"/>
          <w:szCs w:val="24"/>
        </w:rPr>
        <w:t xml:space="preserve">increasing </w:t>
      </w:r>
      <w:r>
        <w:rPr>
          <w:rFonts w:asciiTheme="majorBidi" w:hAnsiTheme="majorBidi" w:cstheme="majorBidi"/>
          <w:sz w:val="24"/>
          <w:szCs w:val="24"/>
        </w:rPr>
        <w:t>their sense of equality.</w:t>
      </w:r>
      <w:r w:rsidRPr="00BA44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Additionally</w:t>
      </w:r>
      <w:r w:rsidRPr="00BA44AC">
        <w:rPr>
          <w:rFonts w:asciiTheme="majorBidi" w:hAnsiTheme="majorBidi" w:cstheme="majorBidi"/>
          <w:sz w:val="24"/>
          <w:szCs w:val="24"/>
        </w:rPr>
        <w:t xml:space="preserve">, accessibility </w:t>
      </w:r>
      <w:r>
        <w:rPr>
          <w:rFonts w:asciiTheme="majorBidi" w:hAnsiTheme="majorBidi" w:cstheme="majorBidi"/>
          <w:sz w:val="24"/>
          <w:szCs w:val="24"/>
        </w:rPr>
        <w:t>of</w:t>
      </w:r>
      <w:r w:rsidRPr="00BA44AC">
        <w:rPr>
          <w:rFonts w:asciiTheme="majorBidi" w:hAnsiTheme="majorBidi" w:cstheme="majorBidi"/>
          <w:sz w:val="24"/>
          <w:szCs w:val="24"/>
        </w:rPr>
        <w:t xml:space="preserve"> leisure culture enables the presence of people with disabilities in the public sphere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BA44AC">
        <w:rPr>
          <w:rFonts w:asciiTheme="majorBidi" w:hAnsiTheme="majorBidi" w:cstheme="majorBidi"/>
          <w:sz w:val="24"/>
          <w:szCs w:val="24"/>
        </w:rPr>
        <w:t xml:space="preserve"> and thus promotes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A44AC">
        <w:rPr>
          <w:rFonts w:asciiTheme="majorBidi" w:hAnsiTheme="majorBidi" w:cstheme="majorBidi"/>
          <w:sz w:val="24"/>
          <w:szCs w:val="24"/>
        </w:rPr>
        <w:t>perceptual change among the general public.</w:t>
      </w:r>
      <w:r w:rsidR="004778C2">
        <w:rPr>
          <w:rFonts w:asciiTheme="majorBidi" w:hAnsiTheme="majorBidi" w:cstheme="majorBidi"/>
          <w:sz w:val="24"/>
          <w:szCs w:val="24"/>
        </w:rPr>
        <w:t xml:space="preserve"> Recognition of this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</w:t>
      </w:r>
      <w:r w:rsidR="004778C2">
        <w:rPr>
          <w:rFonts w:asciiTheme="majorBidi" w:hAnsiTheme="majorBidi" w:cstheme="majorBidi"/>
          <w:sz w:val="24"/>
          <w:szCs w:val="24"/>
        </w:rPr>
        <w:t>is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expressed in </w:t>
      </w:r>
      <w:r w:rsidR="007D1812">
        <w:rPr>
          <w:rFonts w:asciiTheme="majorBidi" w:hAnsiTheme="majorBidi" w:cstheme="majorBidi"/>
          <w:sz w:val="24"/>
          <w:szCs w:val="24"/>
        </w:rPr>
        <w:t xml:space="preserve">the </w:t>
      </w:r>
      <w:r w:rsidR="004778C2">
        <w:rPr>
          <w:rFonts w:asciiTheme="majorBidi" w:hAnsiTheme="majorBidi" w:cstheme="majorBidi"/>
          <w:sz w:val="24"/>
          <w:szCs w:val="24"/>
        </w:rPr>
        <w:t>guarante</w:t>
      </w:r>
      <w:r w:rsidR="007D1812">
        <w:rPr>
          <w:rFonts w:asciiTheme="majorBidi" w:hAnsiTheme="majorBidi" w:cstheme="majorBidi"/>
          <w:sz w:val="24"/>
          <w:szCs w:val="24"/>
        </w:rPr>
        <w:t>e of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the right of access to all </w:t>
      </w:r>
      <w:r w:rsidR="007D1812">
        <w:rPr>
          <w:rFonts w:asciiTheme="majorBidi" w:hAnsiTheme="majorBidi" w:cstheme="majorBidi"/>
          <w:sz w:val="24"/>
          <w:szCs w:val="24"/>
        </w:rPr>
        <w:t>life realms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</w:t>
      </w:r>
      <w:r w:rsidR="007D1812">
        <w:rPr>
          <w:rFonts w:asciiTheme="majorBidi" w:hAnsiTheme="majorBidi" w:cstheme="majorBidi"/>
          <w:sz w:val="24"/>
          <w:szCs w:val="24"/>
        </w:rPr>
        <w:t>granted by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6"/>
      <w:r w:rsidR="004778C2" w:rsidRPr="004778C2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4778C2" w:rsidRPr="004778C2">
        <w:rPr>
          <w:rFonts w:asciiTheme="majorBidi" w:eastAsia="Times New Roman" w:hAnsiTheme="majorBidi" w:cstheme="majorBidi"/>
          <w:color w:val="000000"/>
          <w:sz w:val="24"/>
          <w:szCs w:val="24"/>
        </w:rPr>
        <w:t>Convention on the Rights of Persons with Disabilities</w:t>
      </w:r>
      <w:commentRangeEnd w:id="6"/>
      <w:r w:rsidR="00CF7C56">
        <w:rPr>
          <w:rStyle w:val="CommentReference"/>
        </w:rPr>
        <w:commentReference w:id="6"/>
      </w:r>
      <w:r w:rsidR="00CF7C5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and </w:t>
      </w:r>
      <w:r w:rsidR="00CF7C56" w:rsidRPr="00CF7C56">
        <w:rPr>
          <w:rFonts w:asciiTheme="majorBidi" w:hAnsiTheme="majorBidi" w:cstheme="majorBidi"/>
          <w:sz w:val="24"/>
          <w:szCs w:val="24"/>
        </w:rPr>
        <w:t>in Israeli legislation and regulations.</w:t>
      </w:r>
      <w:r w:rsidR="00587E45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587E45">
        <w:rPr>
          <w:rFonts w:asciiTheme="majorBidi" w:hAnsiTheme="majorBidi" w:cstheme="majorBidi"/>
          <w:sz w:val="24"/>
          <w:szCs w:val="24"/>
        </w:rPr>
        <w:t xml:space="preserve"> </w:t>
      </w:r>
      <w:r w:rsidR="00587E45" w:rsidRPr="00587E45">
        <w:rPr>
          <w:rFonts w:asciiTheme="majorBidi" w:hAnsiTheme="majorBidi" w:cstheme="majorBidi"/>
          <w:sz w:val="24"/>
          <w:szCs w:val="24"/>
        </w:rPr>
        <w:t xml:space="preserve">With the </w:t>
      </w:r>
      <w:r w:rsidR="00587E45">
        <w:rPr>
          <w:rFonts w:asciiTheme="majorBidi" w:hAnsiTheme="majorBidi" w:cstheme="majorBidi"/>
          <w:sz w:val="24"/>
          <w:szCs w:val="24"/>
        </w:rPr>
        <w:t>enactment</w:t>
      </w:r>
      <w:r w:rsidR="00587E45" w:rsidRPr="00587E45">
        <w:rPr>
          <w:rFonts w:asciiTheme="majorBidi" w:hAnsiTheme="majorBidi" w:cstheme="majorBidi"/>
          <w:sz w:val="24"/>
          <w:szCs w:val="24"/>
        </w:rPr>
        <w:t xml:space="preserve"> of the </w:t>
      </w:r>
      <w:commentRangeStart w:id="7"/>
      <w:r w:rsidR="00587E45" w:rsidRPr="00587E45">
        <w:rPr>
          <w:rFonts w:asciiTheme="majorBidi" w:hAnsiTheme="majorBidi" w:cstheme="majorBidi"/>
          <w:sz w:val="24"/>
          <w:szCs w:val="24"/>
        </w:rPr>
        <w:t>Equal Rights for People with Disabilities</w:t>
      </w:r>
      <w:r w:rsidR="00587E45" w:rsidRPr="00587E45">
        <w:rPr>
          <w:rFonts w:asciiTheme="majorBidi" w:hAnsiTheme="majorBidi" w:cstheme="majorBidi"/>
          <w:sz w:val="24"/>
          <w:szCs w:val="24"/>
        </w:rPr>
        <w:t xml:space="preserve"> Act </w:t>
      </w:r>
      <w:r w:rsidR="00587E45" w:rsidRPr="00587E45">
        <w:rPr>
          <w:rFonts w:asciiTheme="majorBidi" w:hAnsiTheme="majorBidi" w:cstheme="majorBidi"/>
          <w:sz w:val="24"/>
          <w:szCs w:val="24"/>
        </w:rPr>
        <w:t>(Service Accessibility Adjustments</w:t>
      </w:r>
      <w:r w:rsidR="00587E45">
        <w:rPr>
          <w:rFonts w:asciiTheme="majorBidi" w:hAnsiTheme="majorBidi" w:cstheme="majorBidi"/>
          <w:sz w:val="24"/>
          <w:szCs w:val="24"/>
        </w:rPr>
        <w:t>, 2013</w:t>
      </w:r>
      <w:commentRangeEnd w:id="7"/>
      <w:r w:rsidR="00587E45">
        <w:rPr>
          <w:rStyle w:val="CommentReference"/>
        </w:rPr>
        <w:commentReference w:id="7"/>
      </w:r>
      <w:r w:rsidR="00587E45" w:rsidRPr="00587E45">
        <w:rPr>
          <w:rFonts w:asciiTheme="majorBidi" w:hAnsiTheme="majorBidi" w:cstheme="majorBidi"/>
          <w:sz w:val="24"/>
          <w:szCs w:val="24"/>
        </w:rPr>
        <w:t>)</w:t>
      </w:r>
      <w:r w:rsidR="004A70D4">
        <w:rPr>
          <w:rFonts w:asciiTheme="majorBidi" w:hAnsiTheme="majorBidi" w:cstheme="majorBidi"/>
          <w:sz w:val="24"/>
          <w:szCs w:val="24"/>
        </w:rPr>
        <w:t xml:space="preserve">, </w:t>
      </w:r>
      <w:r w:rsidR="007D1812">
        <w:rPr>
          <w:rFonts w:asciiTheme="majorBidi" w:hAnsiTheme="majorBidi" w:cstheme="majorBidi"/>
          <w:sz w:val="24"/>
          <w:szCs w:val="24"/>
        </w:rPr>
        <w:t>specifically</w:t>
      </w:r>
      <w:r w:rsidR="004A70D4">
        <w:rPr>
          <w:rFonts w:asciiTheme="majorBidi" w:hAnsiTheme="majorBidi" w:cstheme="majorBidi"/>
          <w:sz w:val="24"/>
          <w:szCs w:val="24"/>
        </w:rPr>
        <w:t xml:space="preserve"> 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regulations 60-61 </w:t>
      </w:r>
      <w:r w:rsidR="004A70D4">
        <w:rPr>
          <w:rFonts w:asciiTheme="majorBidi" w:hAnsiTheme="majorBidi" w:cstheme="majorBidi"/>
          <w:sz w:val="24"/>
          <w:szCs w:val="24"/>
        </w:rPr>
        <w:t>regarding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 </w:t>
      </w:r>
      <w:r w:rsidR="004A70D4">
        <w:rPr>
          <w:rFonts w:asciiTheme="majorBidi" w:hAnsiTheme="majorBidi" w:cstheme="majorBidi"/>
          <w:sz w:val="24"/>
          <w:szCs w:val="24"/>
        </w:rPr>
        <w:t>accessibility to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 museums and galleries, it is imperative to consider 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how information can be displayed in museums so that 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>every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 person can understand it, and how activit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>ies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 can be conducted so that 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>every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 person can participate</w:t>
      </w:r>
      <w:r w:rsidR="004A70D4" w:rsidRPr="004A70D4">
        <w:rPr>
          <w:rFonts w:asciiTheme="majorBidi" w:hAnsiTheme="majorBidi" w:cstheme="majorBidi"/>
          <w:sz w:val="24"/>
          <w:szCs w:val="24"/>
        </w:rPr>
        <w:t>.</w:t>
      </w:r>
      <w:r w:rsidR="00A740E6">
        <w:rPr>
          <w:rFonts w:asciiTheme="majorBidi" w:hAnsiTheme="majorBidi" w:cstheme="majorBidi"/>
          <w:sz w:val="24"/>
          <w:szCs w:val="24"/>
        </w:rPr>
        <w:t xml:space="preserve"> </w:t>
      </w:r>
    </w:p>
    <w:p w14:paraId="4C2415E0" w14:textId="77777777" w:rsidR="007D1812" w:rsidRDefault="00A740E6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A740E6">
        <w:rPr>
          <w:rFonts w:asciiTheme="majorBidi" w:hAnsiTheme="majorBidi" w:cstheme="majorBidi"/>
          <w:sz w:val="24"/>
          <w:szCs w:val="24"/>
        </w:rPr>
        <w:t xml:space="preserve">number of leading aid organizations for people </w:t>
      </w:r>
      <w:r w:rsidR="007D1812">
        <w:rPr>
          <w:rFonts w:asciiTheme="majorBidi" w:hAnsiTheme="majorBidi" w:cstheme="majorBidi"/>
          <w:sz w:val="24"/>
          <w:szCs w:val="24"/>
        </w:rPr>
        <w:t xml:space="preserve">with disabilities </w:t>
      </w:r>
      <w:r>
        <w:rPr>
          <w:rFonts w:asciiTheme="majorBidi" w:hAnsiTheme="majorBidi" w:cstheme="majorBidi"/>
          <w:sz w:val="24"/>
          <w:szCs w:val="24"/>
        </w:rPr>
        <w:t>are cooperating towards this goal</w:t>
      </w:r>
      <w:r w:rsidRPr="00A740E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National Insurance </w:t>
      </w:r>
      <w:r w:rsidRPr="00A740E6">
        <w:rPr>
          <w:rFonts w:asciiTheme="majorBidi" w:hAnsiTheme="majorBidi" w:cstheme="majorBidi"/>
          <w:sz w:val="24"/>
          <w:szCs w:val="24"/>
        </w:rPr>
        <w:t xml:space="preserve">Funds, </w:t>
      </w:r>
      <w:commentRangeStart w:id="8"/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>Ministry</w:t>
      </w:r>
      <w:commentRangeEnd w:id="8"/>
      <w:r>
        <w:rPr>
          <w:rStyle w:val="CommentReference"/>
        </w:rPr>
        <w:commentReference w:id="8"/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Labor, Social Affairs and Social Services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Shalem Fund, and </w:t>
      </w:r>
      <w:commentRangeStart w:id="9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Akim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Israel. Together, they have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developed a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special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program for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making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recreational sites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accessible. This program 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includes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training for 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>team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s,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development of tailor-made accessories according to the needs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each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museum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or recreational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site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accompanying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evaluative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research.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comprehensive plan is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pioneering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unique in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Israel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(and possibly in the world). </w:t>
      </w:r>
    </w:p>
    <w:p w14:paraId="6B659491" w14:textId="77777777" w:rsidR="00180939" w:rsidRDefault="00462A1B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In the first phase, the program was implemented at four sites </w:t>
      </w:r>
      <w:r w:rsidR="00E75BE1">
        <w:rPr>
          <w:rFonts w:asciiTheme="majorBidi" w:hAnsiTheme="majorBidi" w:cstheme="majorBidi"/>
          <w:sz w:val="24"/>
          <w:szCs w:val="24"/>
          <w:shd w:val="clear" w:color="auto" w:fill="FFFFFF"/>
        </w:rPr>
        <w:t>with</w:t>
      </w: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different orientation</w:t>
      </w:r>
      <w:r w:rsidR="00E75BE1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rchaeological site 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>at the City of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David in Jerusalem, 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commentRangeStart w:id="10"/>
      <w:r w:rsidR="009737EB" w:rsidRPr="009737EB">
        <w:rPr>
          <w:rFonts w:asciiTheme="majorBidi" w:hAnsiTheme="majorBidi" w:cstheme="majorBidi"/>
          <w:sz w:val="24"/>
          <w:szCs w:val="24"/>
        </w:rPr>
        <w:t>Technoda Science and Technology Education Center</w:t>
      </w:r>
      <w:commentRangeEnd w:id="10"/>
      <w:r w:rsidR="009737EB">
        <w:rPr>
          <w:rStyle w:val="CommentReference"/>
        </w:rPr>
        <w:commentReference w:id="10"/>
      </w:r>
      <w:r w:rsidR="003A09BE">
        <w:rPr>
          <w:rFonts w:asciiTheme="majorBidi" w:hAnsiTheme="majorBidi" w:cstheme="majorBidi"/>
          <w:sz w:val="24"/>
          <w:szCs w:val="24"/>
        </w:rPr>
        <w:t xml:space="preserve"> in Hadera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commentRangeStart w:id="11"/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Hiriya</w:t>
      </w:r>
      <w:commentRangeEnd w:id="11"/>
      <w:r w:rsidR="003A09BE">
        <w:rPr>
          <w:rStyle w:val="CommentReference"/>
        </w:rPr>
        <w:commentReference w:id="11"/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Center for Environmental Education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commentRangeStart w:id="12"/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>Atlit</w:t>
      </w:r>
      <w:commentRangeEnd w:id="12"/>
      <w:r w:rsidR="003A09BE">
        <w:rPr>
          <w:rStyle w:val="CommentReference"/>
        </w:rPr>
        <w:commentReference w:id="12"/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Detainee Camp Museum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Another museum, the 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Science Museum in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Jerusalem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where </w:t>
      </w:r>
      <w:r w:rsidR="00E849C0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access</w:t>
      </w:r>
      <w:r w:rsidR="00E849C0">
        <w:rPr>
          <w:rFonts w:asciiTheme="majorBidi" w:hAnsiTheme="majorBidi" w:cstheme="majorBidi"/>
          <w:sz w:val="24"/>
          <w:szCs w:val="24"/>
          <w:shd w:val="clear" w:color="auto" w:fill="FFFFFF"/>
        </w:rPr>
        <w:t>ibility has not been improved</w:t>
      </w:r>
      <w:r w:rsidR="003C67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</w:t>
      </w:r>
      <w:r w:rsidR="00E849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used for comparative purposes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BD3E4B7" w14:textId="71D34659" w:rsidR="000A2DB7" w:rsidRDefault="00425EBE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aim of the </w:t>
      </w:r>
      <w:r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present study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assess the contribution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activities </w:t>
      </w:r>
      <w:r w:rsidR="0097147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 the sites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involved </w:t>
      </w:r>
      <w:r w:rsidR="0097147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this project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improve </w:t>
      </w:r>
      <w:r w:rsidR="0097147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cognitive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access to </w:t>
      </w:r>
      <w:r w:rsidR="0097147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people with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IDD</w:t>
      </w:r>
      <w:r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terms of enjoyment, participation, and learning.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mixed-methods 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design 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used, and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we examined both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>quantitative and qualitative component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roups of people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with IDD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 five different frameworks participated in the study.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Four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the 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groups (frame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works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) constituted the research group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Each of these 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group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visited one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site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before and after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its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 program was launched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fifth group was the control group. 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>Th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e control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group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made two visits to 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Science Museum in Jerusalem, which has not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improved its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interval between first measurement (before) and second measurement (after) was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between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18 and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24 months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participants were adults with moderate to high levels of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IDD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ost (but not all)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independent mobility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cap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>ability and no severe sensory disability such as blindness or deafness.</w:t>
      </w:r>
    </w:p>
    <w:p w14:paraId="1147F067" w14:textId="07E6A221" w:rsidR="000A2DB7" w:rsidRDefault="000A2DB7" w:rsidP="000A2DB7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Several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research </w:t>
      </w: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tools were used in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study:</w:t>
      </w:r>
    </w:p>
    <w:p w14:paraId="35E687A2" w14:textId="22BC3B1A" w:rsidR="000C7F18" w:rsidRDefault="000C7F18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Observation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measuring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individual </w:t>
      </w: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participation </w:t>
      </w:r>
    </w:p>
    <w:p w14:paraId="77E8FFFA" w14:textId="2B3A4239" w:rsidR="000C7F18" w:rsidRDefault="00180939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Observations of g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>roup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7161AEA" w14:textId="3B483AA1" w:rsidR="000C7F18" w:rsidRDefault="000C7F18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Interview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museum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guides</w:t>
      </w:r>
      <w:r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accompanying staff</w:t>
      </w:r>
    </w:p>
    <w:p w14:paraId="5CFE0942" w14:textId="38F65306" w:rsidR="001C127B" w:rsidRDefault="001C127B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questionnaire assessing enjoyment </w:t>
      </w:r>
      <w:r w:rsidRPr="001C127B">
        <w:rPr>
          <w:rFonts w:asciiTheme="majorBidi" w:hAnsiTheme="majorBidi" w:cstheme="majorBidi"/>
          <w:sz w:val="24"/>
          <w:szCs w:val="24"/>
          <w:shd w:val="clear" w:color="auto" w:fill="FFFFFF"/>
        </w:rPr>
        <w:t>and satisfaction</w:t>
      </w:r>
    </w:p>
    <w:p w14:paraId="1BCE5ED6" w14:textId="07B87F92" w:rsidR="00B970D2" w:rsidRDefault="00B970D2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 questionnaire assessing k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nowledge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, consisting of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five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closed questions,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four possible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responses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each,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only one of which was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correct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CDBCD8B" w14:textId="1D227402" w:rsidR="00B970D2" w:rsidRDefault="00B970D2" w:rsidP="000C7F18">
      <w:pPr>
        <w:pStyle w:val="ListParagraph"/>
        <w:numPr>
          <w:ilvl w:val="0"/>
          <w:numId w:val="1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A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13"/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focus</w:t>
      </w:r>
      <w:commentRangeEnd w:id="13"/>
      <w:r>
        <w:rPr>
          <w:rStyle w:val="CommentReference"/>
        </w:rPr>
        <w:commentReference w:id="13"/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group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team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accompanying staff, conducted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the aim of expanding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understanding of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overall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perception </w:t>
      </w:r>
      <w:r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of the museum visit</w:t>
      </w:r>
    </w:p>
    <w:p w14:paraId="4DC921CE" w14:textId="069D0E12" w:rsidR="007E0027" w:rsidRDefault="007E0027" w:rsidP="007E0027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overall assessment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sites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their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accessibility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positive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change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participants’ knowledge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before and after accessibility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 improved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found to be large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(d = 0.70) and significant (P &lt;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.001).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However, although there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was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positive change in knowledge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three of the four sites,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participants’ level of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knowledge as a whole remains low. Satisfaction was found to be very high even before the sites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’ accessibility was improved. N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 confirmation was found that the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improved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access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ibility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contributed to improvement in satisfaction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overall,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nor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any of the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specific sites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 the same time, satisfaction was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already 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very high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>time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entry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the site</w:t>
      </w:r>
      <w:r w:rsidR="005B7203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5B5F34EB" w14:textId="671C7EB8" w:rsidR="005B7203" w:rsidRDefault="005B7203" w:rsidP="007E0027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nalysis of the qualitative findings indicated a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correlation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between satisfaction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bookmarkStart w:id="14" w:name="_GoBack"/>
      <w:bookmarkEnd w:id="14"/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other components such as: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7278AB84" w14:textId="7087941A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15"/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ength</w:t>
      </w:r>
      <w:commentRangeEnd w:id="15"/>
      <w:r>
        <w:rPr>
          <w:rStyle w:val="CommentReference"/>
        </w:rPr>
        <w:commentReference w:id="15"/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tour (optimal duration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is 60 - 90 minutes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</w:p>
    <w:p w14:paraId="5D053998" w14:textId="282EF500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group size (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optimally a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small group of 10-12 participants) </w:t>
      </w:r>
    </w:p>
    <w:p w14:paraId="2D6B5FBC" w14:textId="0D1CCB4E" w:rsidR="005B7203" w:rsidRPr="005B7203" w:rsidRDefault="00FA4EC9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degree of </w:t>
      </w:r>
      <w:r w:rsidR="005B7203"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physical accessibility </w:t>
      </w:r>
    </w:p>
    <w:p w14:paraId="5ABBEA05" w14:textId="7AC52B27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number of transitions within the museum space (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preferably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small) </w:t>
      </w:r>
    </w:p>
    <w:p w14:paraId="072CBEC3" w14:textId="455399B8" w:rsidR="005B7203" w:rsidRPr="005B7203" w:rsidRDefault="00FA4EC9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instruction given within a closed</w:t>
      </w:r>
      <w:r w:rsidR="005B7203"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space </w:t>
      </w:r>
    </w:p>
    <w:p w14:paraId="47427F10" w14:textId="6A300E59" w:rsidR="00FA4EC9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support of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accompanying staff </w:t>
      </w:r>
    </w:p>
    <w:p w14:paraId="1EBD1F5C" w14:textId="01163A6B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use of name tags for participants </w:t>
      </w:r>
    </w:p>
    <w:p w14:paraId="46C19EC7" w14:textId="35D1841C" w:rsidR="005B7203" w:rsidRPr="005B7203" w:rsidRDefault="00E61AC1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appropriate training in improving accessibility and suitability</w:t>
      </w:r>
    </w:p>
    <w:p w14:paraId="2FB7402E" w14:textId="4D944BF5" w:rsidR="005B7203" w:rsidRPr="005B7203" w:rsidRDefault="00E61AC1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demonstrations using</w:t>
      </w:r>
      <w:r w:rsidR="005B7203"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accessories that are simple </w:t>
      </w:r>
      <w:r w:rsidR="005B7203"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operate and use </w:t>
      </w:r>
    </w:p>
    <w:p w14:paraId="6121B334" w14:textId="47491916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simplification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of language</w:t>
      </w:r>
    </w:p>
    <w:p w14:paraId="351E2547" w14:textId="5A544073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use of symbols </w:t>
      </w:r>
    </w:p>
    <w:p w14:paraId="552D7ACF" w14:textId="6D7766CD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active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experiential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learning </w:t>
      </w:r>
    </w:p>
    <w:p w14:paraId="7F0812CD" w14:textId="110F7A1A" w:rsidR="005B7203" w:rsidRPr="005B7203" w:rsidRDefault="005B7203" w:rsidP="005B7203">
      <w:pPr>
        <w:pStyle w:val="ListParagraph"/>
        <w:numPr>
          <w:ilvl w:val="0"/>
          <w:numId w:val="2"/>
        </w:num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creating a fun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visit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experience</w:t>
      </w:r>
    </w:p>
    <w:p w14:paraId="1DD7944C" w14:textId="0B7B1A75" w:rsidR="003A09BE" w:rsidRPr="00A740E6" w:rsidRDefault="00E16501" w:rsidP="00587E45">
      <w:p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</w:rPr>
      </w:pPr>
      <w:r w:rsidRPr="00E16501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E16501">
        <w:rPr>
          <w:rFonts w:asciiTheme="majorBidi" w:hAnsiTheme="majorBidi" w:cstheme="majorBidi"/>
          <w:sz w:val="24"/>
          <w:szCs w:val="24"/>
        </w:rPr>
        <w:t xml:space="preserve">: Accessibility, Museum, </w:t>
      </w:r>
      <w:r w:rsidR="0018174C">
        <w:rPr>
          <w:rFonts w:asciiTheme="majorBidi" w:hAnsiTheme="majorBidi" w:cstheme="majorBidi"/>
          <w:sz w:val="24"/>
          <w:szCs w:val="24"/>
        </w:rPr>
        <w:t>Evaluative</w:t>
      </w:r>
      <w:r w:rsidRPr="00E16501">
        <w:rPr>
          <w:rFonts w:asciiTheme="majorBidi" w:hAnsiTheme="majorBidi" w:cstheme="majorBidi"/>
          <w:sz w:val="24"/>
          <w:szCs w:val="24"/>
        </w:rPr>
        <w:t xml:space="preserve"> Research, </w:t>
      </w:r>
      <w:r>
        <w:rPr>
          <w:rFonts w:asciiTheme="majorBidi" w:hAnsiTheme="majorBidi" w:cstheme="majorBidi"/>
          <w:sz w:val="24"/>
          <w:szCs w:val="24"/>
        </w:rPr>
        <w:t xml:space="preserve">Intellectual </w:t>
      </w:r>
      <w:r w:rsidRPr="00E16501">
        <w:rPr>
          <w:rFonts w:asciiTheme="majorBidi" w:hAnsiTheme="majorBidi" w:cstheme="majorBidi"/>
          <w:sz w:val="24"/>
          <w:szCs w:val="24"/>
        </w:rPr>
        <w:t xml:space="preserve">Developmental Disability, Knowledge </w:t>
      </w:r>
      <w:r w:rsidR="001728AD">
        <w:rPr>
          <w:rFonts w:asciiTheme="majorBidi" w:hAnsiTheme="majorBidi" w:cstheme="majorBidi"/>
          <w:sz w:val="24"/>
          <w:szCs w:val="24"/>
        </w:rPr>
        <w:t>Assessment</w:t>
      </w:r>
      <w:r w:rsidRPr="00E16501">
        <w:rPr>
          <w:rFonts w:asciiTheme="majorBidi" w:hAnsiTheme="majorBidi" w:cstheme="majorBidi"/>
          <w:sz w:val="24"/>
          <w:szCs w:val="24"/>
        </w:rPr>
        <w:t>, Satisfaction, Language Simplification</w:t>
      </w:r>
    </w:p>
    <w:sectPr w:rsidR="003A09BE" w:rsidRPr="00A7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0-03-31T13:01:00Z" w:initials="ALE">
    <w:p w14:paraId="7944BBDD" w14:textId="77777777" w:rsidR="00812006" w:rsidRDefault="00812006" w:rsidP="00812006">
      <w:pPr>
        <w:pStyle w:val="CommentText"/>
      </w:pPr>
      <w:r>
        <w:rPr>
          <w:rStyle w:val="CommentReference"/>
        </w:rPr>
        <w:annotationRef/>
      </w:r>
      <w:r>
        <w:t>Full English name of organization from:</w:t>
      </w:r>
    </w:p>
    <w:p w14:paraId="7BB28636" w14:textId="5CE80385" w:rsidR="00812006" w:rsidRDefault="00812006" w:rsidP="00812006">
      <w:pPr>
        <w:pStyle w:val="CommentText"/>
      </w:pPr>
      <w:hyperlink r:id="rId1" w:history="1">
        <w:r>
          <w:rPr>
            <w:rStyle w:val="Hyperlink"/>
          </w:rPr>
          <w:t>http://www.kshalem.org.il/</w:t>
        </w:r>
      </w:hyperlink>
    </w:p>
  </w:comment>
  <w:comment w:id="1" w:author="ALE editor" w:date="2020-03-31T13:03:00Z" w:initials="ALE">
    <w:p w14:paraId="1A7EFF87" w14:textId="17C0C855" w:rsidR="00410092" w:rsidRDefault="00812006">
      <w:pPr>
        <w:pStyle w:val="CommentText"/>
      </w:pPr>
      <w:r>
        <w:rPr>
          <w:rStyle w:val="CommentReference"/>
        </w:rPr>
        <w:annotationRef/>
      </w:r>
      <w:r w:rsidR="00410092">
        <w:t xml:space="preserve">All author may verify English spelling of their names. </w:t>
      </w:r>
    </w:p>
    <w:p w14:paraId="35EB0219" w14:textId="5CC4B39B" w:rsidR="00410092" w:rsidRDefault="00410092">
      <w:pPr>
        <w:pStyle w:val="CommentText"/>
      </w:pPr>
      <w:r>
        <w:t>Here are the links I found for each</w:t>
      </w:r>
    </w:p>
    <w:p w14:paraId="39F142FA" w14:textId="77777777" w:rsidR="00410092" w:rsidRDefault="00410092">
      <w:pPr>
        <w:pStyle w:val="CommentText"/>
      </w:pPr>
    </w:p>
    <w:p w14:paraId="31F7BE5C" w14:textId="15ACFA12" w:rsidR="00812006" w:rsidRDefault="00410092">
      <w:pPr>
        <w:pStyle w:val="CommentText"/>
      </w:pPr>
      <w:hyperlink r:id="rId2" w:history="1">
        <w:r w:rsidRPr="00B333D8">
          <w:rPr>
            <w:rStyle w:val="Hyperlink"/>
          </w:rPr>
          <w:t>https://www.researchgate.net/profile/Sigal_Uziel-Karl2</w:t>
        </w:r>
      </w:hyperlink>
    </w:p>
  </w:comment>
  <w:comment w:id="2" w:author="ALE editor" w:date="2020-03-31T13:04:00Z" w:initials="ALE">
    <w:p w14:paraId="5340E4BC" w14:textId="1D1D2B77" w:rsidR="00812006" w:rsidRDefault="00812006">
      <w:pPr>
        <w:pStyle w:val="CommentText"/>
      </w:pPr>
      <w:r>
        <w:rPr>
          <w:rStyle w:val="CommentReference"/>
        </w:rPr>
        <w:annotationRef/>
      </w:r>
      <w:hyperlink r:id="rId3" w:history="1">
        <w:r>
          <w:rPr>
            <w:rStyle w:val="Hyperlink"/>
          </w:rPr>
          <w:t>https://brookdale.jdc.org.il/en/team/hila-rimon-greenspan/</w:t>
        </w:r>
      </w:hyperlink>
    </w:p>
  </w:comment>
  <w:comment w:id="3" w:author="ALE editor" w:date="2020-03-31T13:08:00Z" w:initials="ALE">
    <w:p w14:paraId="0A65C8D4" w14:textId="3C26495C" w:rsidR="00410092" w:rsidRDefault="00410092">
      <w:pPr>
        <w:pStyle w:val="CommentText"/>
      </w:pPr>
      <w:r>
        <w:rPr>
          <w:rStyle w:val="CommentReference"/>
        </w:rPr>
        <w:annotationRef/>
      </w:r>
      <w:hyperlink r:id="rId4" w:history="1">
        <w:r>
          <w:rPr>
            <w:rStyle w:val="Hyperlink"/>
          </w:rPr>
          <w:t>https://www.academia.edu/38464117/Disability_Mainstreaming_in_the_One-Stop_Shops_Israel_and_the_OECD_Countries</w:t>
        </w:r>
      </w:hyperlink>
    </w:p>
  </w:comment>
  <w:comment w:id="4" w:author="ALE editor" w:date="2020-03-31T13:09:00Z" w:initials="ALE">
    <w:p w14:paraId="5845751F" w14:textId="0C7C4BB1" w:rsidR="00410092" w:rsidRDefault="00410092">
      <w:pPr>
        <w:pStyle w:val="CommentText"/>
      </w:pPr>
      <w:r>
        <w:rPr>
          <w:rStyle w:val="CommentReference"/>
        </w:rPr>
        <w:annotationRef/>
      </w:r>
      <w:hyperlink r:id="rId5" w:history="1">
        <w:r>
          <w:rPr>
            <w:rStyle w:val="Hyperlink"/>
          </w:rPr>
          <w:t>https://www.ono.ac.il/wp-content/uploads/2019/05/shira-yalon-Chamovitz-cv.pdf</w:t>
        </w:r>
      </w:hyperlink>
    </w:p>
  </w:comment>
  <w:comment w:id="5" w:author="ALE editor" w:date="2020-03-31T14:24:00Z" w:initials="ALE">
    <w:p w14:paraId="09373D78" w14:textId="06566003" w:rsidR="005234BE" w:rsidRDefault="005234BE">
      <w:pPr>
        <w:pStyle w:val="CommentText"/>
      </w:pPr>
      <w:r>
        <w:rPr>
          <w:rStyle w:val="CommentReference"/>
        </w:rPr>
        <w:annotationRef/>
      </w:r>
      <w:r>
        <w:t>Later an acronym is introduced, so I introduced it earlier.</w:t>
      </w:r>
    </w:p>
  </w:comment>
  <w:comment w:id="6" w:author="ALE editor" w:date="2020-03-31T13:29:00Z" w:initials="ALE">
    <w:p w14:paraId="315C3CBE" w14:textId="5F824909" w:rsidR="00CF7C56" w:rsidRDefault="00CF7C56">
      <w:pPr>
        <w:pStyle w:val="CommentText"/>
      </w:pPr>
      <w:r>
        <w:rPr>
          <w:rStyle w:val="CommentReference"/>
        </w:rPr>
        <w:annotationRef/>
      </w:r>
      <w:hyperlink r:id="rId6" w:history="1">
        <w:r>
          <w:rPr>
            <w:rStyle w:val="Hyperlink"/>
          </w:rPr>
          <w:t>https://www.un.org/development/desa/disabilities/convention-on-the-rights-of-persons-with-disabilities.html</w:t>
        </w:r>
      </w:hyperlink>
    </w:p>
  </w:comment>
  <w:comment w:id="7" w:author="ALE editor" w:date="2020-03-31T13:36:00Z" w:initials="ALE">
    <w:p w14:paraId="008713ED" w14:textId="251574D3" w:rsidR="00587E45" w:rsidRDefault="00587E45">
      <w:pPr>
        <w:pStyle w:val="CommentText"/>
      </w:pPr>
      <w:r>
        <w:rPr>
          <w:rStyle w:val="CommentReference"/>
        </w:rPr>
        <w:annotationRef/>
      </w:r>
      <w:hyperlink r:id="rId7" w:history="1">
        <w:r>
          <w:rPr>
            <w:rStyle w:val="Hyperlink"/>
          </w:rPr>
          <w:t>https://www.aisrael.org/_Uploads/dbsAttachedFiles/Regulations.pdf</w:t>
        </w:r>
      </w:hyperlink>
    </w:p>
  </w:comment>
  <w:comment w:id="8" w:author="ALE editor" w:date="2020-03-31T13:43:00Z" w:initials="ALE">
    <w:p w14:paraId="39D69869" w14:textId="24EE7EC2" w:rsidR="00A740E6" w:rsidRDefault="00A740E6">
      <w:pPr>
        <w:pStyle w:val="CommentText"/>
      </w:pPr>
      <w:r>
        <w:rPr>
          <w:rStyle w:val="CommentReference"/>
        </w:rPr>
        <w:annotationRef/>
      </w:r>
      <w:hyperlink r:id="rId8" w:history="1">
        <w:r>
          <w:rPr>
            <w:rStyle w:val="Hyperlink"/>
          </w:rPr>
          <w:t>https://www.gov.il/en/departments/molsa</w:t>
        </w:r>
      </w:hyperlink>
    </w:p>
  </w:comment>
  <w:comment w:id="9" w:author="ALE editor" w:date="2020-03-31T13:46:00Z" w:initials="ALE">
    <w:p w14:paraId="2D052C89" w14:textId="67EECB1D" w:rsidR="00A740E6" w:rsidRDefault="00A740E6">
      <w:pPr>
        <w:pStyle w:val="CommentText"/>
      </w:pPr>
      <w:r>
        <w:rPr>
          <w:rStyle w:val="CommentReference"/>
        </w:rPr>
        <w:annotationRef/>
      </w:r>
      <w:hyperlink r:id="rId9" w:history="1">
        <w:r>
          <w:rPr>
            <w:rStyle w:val="Hyperlink"/>
          </w:rPr>
          <w:t>http://akimisrael.com/</w:t>
        </w:r>
      </w:hyperlink>
    </w:p>
  </w:comment>
  <w:comment w:id="10" w:author="ALE editor" w:date="2020-03-31T13:52:00Z" w:initials="ALE">
    <w:p w14:paraId="733BE351" w14:textId="3EA5F1EC" w:rsidR="009737EB" w:rsidRDefault="009737EB">
      <w:pPr>
        <w:pStyle w:val="CommentText"/>
      </w:pPr>
      <w:r>
        <w:rPr>
          <w:rStyle w:val="CommentReference"/>
        </w:rPr>
        <w:annotationRef/>
      </w:r>
      <w:hyperlink r:id="rId10" w:history="1">
        <w:r>
          <w:rPr>
            <w:rStyle w:val="Hyperlink"/>
          </w:rPr>
          <w:t>http://technoda.org.il/Index.aspx?l=3</w:t>
        </w:r>
      </w:hyperlink>
    </w:p>
  </w:comment>
  <w:comment w:id="11" w:author="ALE editor" w:date="2020-03-31T13:54:00Z" w:initials="ALE">
    <w:p w14:paraId="19D9FB7E" w14:textId="07755DBF" w:rsidR="003A09BE" w:rsidRDefault="003A09BE">
      <w:pPr>
        <w:pStyle w:val="CommentText"/>
      </w:pPr>
      <w:r>
        <w:rPr>
          <w:rStyle w:val="CommentReference"/>
        </w:rPr>
        <w:annotationRef/>
      </w:r>
      <w:hyperlink r:id="rId11" w:history="1">
        <w:r>
          <w:rPr>
            <w:rStyle w:val="Hyperlink"/>
          </w:rPr>
          <w:t>https://www.hiriya.co.il/eng</w:t>
        </w:r>
      </w:hyperlink>
    </w:p>
  </w:comment>
  <w:comment w:id="12" w:author="ALE editor" w:date="2020-03-31T13:58:00Z" w:initials="ALE">
    <w:p w14:paraId="52A08AEC" w14:textId="5590ECF8" w:rsidR="003A09BE" w:rsidRDefault="003A09BE">
      <w:pPr>
        <w:pStyle w:val="CommentText"/>
      </w:pPr>
      <w:r>
        <w:rPr>
          <w:rStyle w:val="CommentReference"/>
        </w:rPr>
        <w:annotationRef/>
      </w:r>
      <w:hyperlink r:id="rId12" w:history="1">
        <w:r>
          <w:rPr>
            <w:rStyle w:val="Hyperlink"/>
          </w:rPr>
          <w:t>https://www.touristisrael.com/atlit-detainee-camp-museum/16177/</w:t>
        </w:r>
      </w:hyperlink>
    </w:p>
  </w:comment>
  <w:comment w:id="13" w:author="ALE editor" w:date="2020-03-31T14:49:00Z" w:initials="ALE">
    <w:p w14:paraId="1C7E45A3" w14:textId="23AC3EC8" w:rsidR="00B970D2" w:rsidRDefault="00B970D2">
      <w:pPr>
        <w:pStyle w:val="CommentText"/>
      </w:pPr>
      <w:r>
        <w:rPr>
          <w:rStyle w:val="CommentReference"/>
        </w:rPr>
        <w:annotationRef/>
      </w:r>
      <w:r>
        <w:t>This was not numbered in the original, but it seems like another research tool.</w:t>
      </w:r>
    </w:p>
  </w:comment>
  <w:comment w:id="15" w:author="ALE editor" w:date="2020-03-31T15:03:00Z" w:initials="ALE">
    <w:p w14:paraId="71062239" w14:textId="1D8F2B21" w:rsidR="005B7203" w:rsidRDefault="005B7203">
      <w:pPr>
        <w:pStyle w:val="CommentText"/>
      </w:pPr>
      <w:r>
        <w:rPr>
          <w:rStyle w:val="CommentReference"/>
        </w:rPr>
        <w:annotationRef/>
      </w:r>
      <w:r>
        <w:t xml:space="preserve">Since there were so many items in this sentence, I listed them as points. I hope it is okay. It can easily put back into a sentence if that preferred.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B28636" w15:done="0"/>
  <w15:commentEx w15:paraId="31F7BE5C" w15:done="0"/>
  <w15:commentEx w15:paraId="5340E4BC" w15:done="0"/>
  <w15:commentEx w15:paraId="0A65C8D4" w15:done="0"/>
  <w15:commentEx w15:paraId="5845751F" w15:done="0"/>
  <w15:commentEx w15:paraId="09373D78" w15:done="0"/>
  <w15:commentEx w15:paraId="315C3CBE" w15:done="0"/>
  <w15:commentEx w15:paraId="008713ED" w15:done="0"/>
  <w15:commentEx w15:paraId="39D69869" w15:done="0"/>
  <w15:commentEx w15:paraId="2D052C89" w15:done="0"/>
  <w15:commentEx w15:paraId="733BE351" w15:done="0"/>
  <w15:commentEx w15:paraId="19D9FB7E" w15:done="0"/>
  <w15:commentEx w15:paraId="52A08AEC" w15:done="0"/>
  <w15:commentEx w15:paraId="1C7E45A3" w15:done="0"/>
  <w15:commentEx w15:paraId="710622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28636" w16cid:durableId="222DBDA6"/>
  <w16cid:commentId w16cid:paraId="31F7BE5C" w16cid:durableId="222DBE37"/>
  <w16cid:commentId w16cid:paraId="5340E4BC" w16cid:durableId="222DBE5B"/>
  <w16cid:commentId w16cid:paraId="0A65C8D4" w16cid:durableId="222DBF38"/>
  <w16cid:commentId w16cid:paraId="5845751F" w16cid:durableId="222DBFA6"/>
  <w16cid:commentId w16cid:paraId="09373D78" w16cid:durableId="222DD12D"/>
  <w16cid:commentId w16cid:paraId="315C3CBE" w16cid:durableId="222DC42E"/>
  <w16cid:commentId w16cid:paraId="008713ED" w16cid:durableId="222DC5E7"/>
  <w16cid:commentId w16cid:paraId="39D69869" w16cid:durableId="222DC794"/>
  <w16cid:commentId w16cid:paraId="2D052C89" w16cid:durableId="222DC83B"/>
  <w16cid:commentId w16cid:paraId="733BE351" w16cid:durableId="222DC986"/>
  <w16cid:commentId w16cid:paraId="19D9FB7E" w16cid:durableId="222DCA25"/>
  <w16cid:commentId w16cid:paraId="52A08AEC" w16cid:durableId="222DCB0A"/>
  <w16cid:commentId w16cid:paraId="1C7E45A3" w16cid:durableId="222DD6E7"/>
  <w16cid:commentId w16cid:paraId="71062239" w16cid:durableId="222DDA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DB1A" w14:textId="77777777" w:rsidR="002720B9" w:rsidRDefault="002720B9" w:rsidP="00587E45">
      <w:pPr>
        <w:spacing w:after="0" w:line="240" w:lineRule="auto"/>
      </w:pPr>
      <w:r>
        <w:separator/>
      </w:r>
    </w:p>
  </w:endnote>
  <w:endnote w:type="continuationSeparator" w:id="0">
    <w:p w14:paraId="5ED5D0B0" w14:textId="77777777" w:rsidR="002720B9" w:rsidRDefault="002720B9" w:rsidP="0058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89C0" w14:textId="77777777" w:rsidR="002720B9" w:rsidRDefault="002720B9" w:rsidP="00587E45">
      <w:pPr>
        <w:spacing w:after="0" w:line="240" w:lineRule="auto"/>
      </w:pPr>
      <w:r>
        <w:separator/>
      </w:r>
    </w:p>
  </w:footnote>
  <w:footnote w:type="continuationSeparator" w:id="0">
    <w:p w14:paraId="4F8424CA" w14:textId="77777777" w:rsidR="002720B9" w:rsidRDefault="002720B9" w:rsidP="00587E45">
      <w:pPr>
        <w:spacing w:after="0" w:line="240" w:lineRule="auto"/>
      </w:pPr>
      <w:r>
        <w:continuationSeparator/>
      </w:r>
    </w:p>
  </w:footnote>
  <w:footnote w:id="1">
    <w:p w14:paraId="685AD9F3" w14:textId="37F89DE3" w:rsidR="00587E45" w:rsidRDefault="00587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https://www.gov.il/he/Departments/legalInfo/crpd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2B8E"/>
    <w:multiLevelType w:val="hybridMultilevel"/>
    <w:tmpl w:val="32EE3CB2"/>
    <w:lvl w:ilvl="0" w:tplc="5A1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00009"/>
    <w:multiLevelType w:val="hybridMultilevel"/>
    <w:tmpl w:val="1AF6B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94"/>
    <w:rsid w:val="00017A59"/>
    <w:rsid w:val="0008086A"/>
    <w:rsid w:val="000A2DB7"/>
    <w:rsid w:val="000C7F18"/>
    <w:rsid w:val="001728AD"/>
    <w:rsid w:val="00180939"/>
    <w:rsid w:val="0018174C"/>
    <w:rsid w:val="001C127B"/>
    <w:rsid w:val="002720B9"/>
    <w:rsid w:val="00283D92"/>
    <w:rsid w:val="0035179C"/>
    <w:rsid w:val="003A09BE"/>
    <w:rsid w:val="003C67F9"/>
    <w:rsid w:val="003D6B6A"/>
    <w:rsid w:val="003F5BF9"/>
    <w:rsid w:val="00410092"/>
    <w:rsid w:val="00425EBE"/>
    <w:rsid w:val="00462A1B"/>
    <w:rsid w:val="004778C2"/>
    <w:rsid w:val="004A70D4"/>
    <w:rsid w:val="005234BE"/>
    <w:rsid w:val="00587E45"/>
    <w:rsid w:val="005B7203"/>
    <w:rsid w:val="007D1812"/>
    <w:rsid w:val="007E0027"/>
    <w:rsid w:val="00812006"/>
    <w:rsid w:val="00931194"/>
    <w:rsid w:val="00971473"/>
    <w:rsid w:val="009737EB"/>
    <w:rsid w:val="009D77C8"/>
    <w:rsid w:val="00A740E6"/>
    <w:rsid w:val="00AF6ECB"/>
    <w:rsid w:val="00B970D2"/>
    <w:rsid w:val="00BA44AC"/>
    <w:rsid w:val="00BE2ECE"/>
    <w:rsid w:val="00C57535"/>
    <w:rsid w:val="00CF7C56"/>
    <w:rsid w:val="00D46593"/>
    <w:rsid w:val="00E16501"/>
    <w:rsid w:val="00E27FBF"/>
    <w:rsid w:val="00E61AC1"/>
    <w:rsid w:val="00E75BE1"/>
    <w:rsid w:val="00E849C0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4D77"/>
  <w15:chartTrackingRefBased/>
  <w15:docId w15:val="{6722CFBD-9213-45DD-9FC5-1A191CC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0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78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E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A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en/departments/molsa" TargetMode="External"/><Relationship Id="rId3" Type="http://schemas.openxmlformats.org/officeDocument/2006/relationships/hyperlink" Target="https://brookdale.jdc.org.il/en/team/hila-rimon-greenspan/" TargetMode="External"/><Relationship Id="rId7" Type="http://schemas.openxmlformats.org/officeDocument/2006/relationships/hyperlink" Target="https://www.aisrael.org/_Uploads/dbsAttachedFiles/Regulations.pdf" TargetMode="External"/><Relationship Id="rId12" Type="http://schemas.openxmlformats.org/officeDocument/2006/relationships/hyperlink" Target="https://www.touristisrael.com/atlit-detainee-camp-museum/16177/" TargetMode="External"/><Relationship Id="rId2" Type="http://schemas.openxmlformats.org/officeDocument/2006/relationships/hyperlink" Target="https://www.researchgate.net/profile/Sigal_Uziel-Karl2" TargetMode="External"/><Relationship Id="rId1" Type="http://schemas.openxmlformats.org/officeDocument/2006/relationships/hyperlink" Target="http://www.kshalem.org.il/" TargetMode="External"/><Relationship Id="rId6" Type="http://schemas.openxmlformats.org/officeDocument/2006/relationships/hyperlink" Target="https://www.un.org/development/desa/disabilities/convention-on-the-rights-of-persons-with-disabilities.html" TargetMode="External"/><Relationship Id="rId11" Type="http://schemas.openxmlformats.org/officeDocument/2006/relationships/hyperlink" Target="https://www.hiriya.co.il/eng" TargetMode="External"/><Relationship Id="rId5" Type="http://schemas.openxmlformats.org/officeDocument/2006/relationships/hyperlink" Target="https://www.ono.ac.il/wp-content/uploads/2019/05/shira-yalon-Chamovitz-cv.pdf" TargetMode="External"/><Relationship Id="rId10" Type="http://schemas.openxmlformats.org/officeDocument/2006/relationships/hyperlink" Target="http://technoda.org.il/Index.aspx?l=3" TargetMode="External"/><Relationship Id="rId4" Type="http://schemas.openxmlformats.org/officeDocument/2006/relationships/hyperlink" Target="https://www.academia.edu/38464117/Disability_Mainstreaming_in_the_One-Stop_Shops_Israel_and_the_OECD_Countries" TargetMode="External"/><Relationship Id="rId9" Type="http://schemas.openxmlformats.org/officeDocument/2006/relationships/hyperlink" Target="http://akimisrael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il/he/Departments/legalInfo/cr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3127-6579-4788-A7FE-FCA2BBE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44</cp:revision>
  <dcterms:created xsi:type="dcterms:W3CDTF">2020-03-31T09:48:00Z</dcterms:created>
  <dcterms:modified xsi:type="dcterms:W3CDTF">2020-03-31T12:30:00Z</dcterms:modified>
</cp:coreProperties>
</file>