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6C" w:rsidRDefault="00B1526C">
      <w:pPr>
        <w:bidi w:val="0"/>
        <w:spacing w:line="240" w:lineRule="auto"/>
        <w:jc w:val="center"/>
        <w:rPr>
          <w:ins w:id="1" w:author="Author"/>
          <w:rFonts w:asciiTheme="majorBidi" w:hAnsiTheme="majorBidi" w:cstheme="majorBidi"/>
          <w:b/>
          <w:bCs/>
          <w:sz w:val="28"/>
          <w:szCs w:val="28"/>
        </w:rPr>
        <w:pPrChange w:id="2" w:author="Author">
          <w:pPr>
            <w:bidi w:val="0"/>
            <w:spacing w:line="360" w:lineRule="auto"/>
            <w:jc w:val="center"/>
          </w:pPr>
        </w:pPrChange>
      </w:pPr>
    </w:p>
    <w:p w:rsidR="00B1526C" w:rsidRDefault="00B1526C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pPrChange w:id="3" w:author="Author">
          <w:pPr>
            <w:bidi w:val="0"/>
            <w:spacing w:line="360" w:lineRule="auto"/>
            <w:jc w:val="center"/>
          </w:pPr>
        </w:pPrChange>
      </w:pPr>
      <w:r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B1526C" w:rsidRDefault="00E32369" w:rsidP="004C5A3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As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ymmetric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>oubling</w:t>
      </w:r>
      <w:r>
        <w:rPr>
          <w:rFonts w:asciiTheme="majorBidi" w:hAnsiTheme="majorBidi" w:cstheme="majorBidi"/>
          <w:b/>
          <w:bCs/>
          <w:sz w:val="28"/>
          <w:szCs w:val="28"/>
        </w:rPr>
        <w:t>”: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5645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05645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5645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F05645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error </w:t>
      </w:r>
      <w:r w:rsidR="00F05645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05645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rganization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U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sing the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ethod of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oubling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ources </w:t>
      </w:r>
      <w:commentRangeStart w:id="4"/>
      <w:proofErr w:type="gramStart"/>
      <w:r w:rsidR="00B1526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>gainst</w:t>
      </w:r>
      <w:commentRangeEnd w:id="4"/>
      <w:proofErr w:type="gramEnd"/>
      <w:r w:rsidR="004C5A3F">
        <w:rPr>
          <w:rStyle w:val="a8"/>
        </w:rPr>
        <w:commentReference w:id="4"/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 a </w:t>
      </w:r>
      <w:r w:rsidR="00B1526C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>tate</w:t>
      </w:r>
    </w:p>
    <w:p w:rsidR="00AB46FC" w:rsidRPr="00AB46FC" w:rsidRDefault="00B1526C" w:rsidP="004C5A3F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ase of Palestinian Hamas against Israeli </w:t>
      </w:r>
      <w:r w:rsidR="00F62688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AB46FC"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ntelligence </w:t>
      </w:r>
    </w:p>
    <w:p w:rsidR="00AB46FC" w:rsidRPr="00AB46FC" w:rsidRDefault="00AB46FC" w:rsidP="00AB46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commentRangeStart w:id="5"/>
      <w:r w:rsidRPr="00AB46FC">
        <w:rPr>
          <w:rFonts w:asciiTheme="majorBidi" w:hAnsiTheme="majorBidi" w:cstheme="majorBidi"/>
          <w:sz w:val="28"/>
          <w:szCs w:val="28"/>
        </w:rPr>
        <w:t>Netanel (</w:t>
      </w:r>
      <w:proofErr w:type="spellStart"/>
      <w:r w:rsidRPr="00AB46FC">
        <w:rPr>
          <w:rFonts w:asciiTheme="majorBidi" w:hAnsiTheme="majorBidi" w:cstheme="majorBidi"/>
          <w:sz w:val="28"/>
          <w:szCs w:val="28"/>
        </w:rPr>
        <w:t>Nati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 xml:space="preserve">) </w:t>
      </w:r>
      <w:commentRangeStart w:id="6"/>
      <w:r w:rsidRPr="00AB46FC">
        <w:rPr>
          <w:rFonts w:asciiTheme="majorBidi" w:hAnsiTheme="majorBidi" w:cstheme="majorBidi"/>
          <w:sz w:val="28"/>
          <w:szCs w:val="28"/>
        </w:rPr>
        <w:t>Flamer</w:t>
      </w:r>
      <w:commentRangeEnd w:id="6"/>
      <w:r w:rsidR="00B1526C">
        <w:rPr>
          <w:rStyle w:val="a8"/>
        </w:rPr>
        <w:commentReference w:id="6"/>
      </w:r>
      <w:commentRangeEnd w:id="5"/>
      <w:r w:rsidR="00624B81">
        <w:rPr>
          <w:rStyle w:val="a8"/>
        </w:rPr>
        <w:commentReference w:id="5"/>
      </w:r>
    </w:p>
    <w:p w:rsidR="00A720C5" w:rsidRPr="00AB46FC" w:rsidRDefault="00B1526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decades,</w:t>
      </w:r>
      <w:r w:rsidR="00C210B6">
        <w:rPr>
          <w:rFonts w:asciiTheme="majorBidi" w:hAnsiTheme="majorBidi" w:cstheme="majorBidi"/>
          <w:sz w:val="24"/>
          <w:szCs w:val="24"/>
        </w:rPr>
        <w:t xml:space="preserve"> Palestinian society has been dealing with the phenomenon of people from its ranks </w:t>
      </w:r>
      <w:r>
        <w:rPr>
          <w:rFonts w:asciiTheme="majorBidi" w:hAnsiTheme="majorBidi" w:cstheme="majorBidi"/>
          <w:sz w:val="24"/>
          <w:szCs w:val="24"/>
        </w:rPr>
        <w:t>becoming</w:t>
      </w:r>
      <w:r w:rsidR="00C210B6">
        <w:rPr>
          <w:rFonts w:asciiTheme="majorBidi" w:hAnsiTheme="majorBidi" w:cstheme="majorBidi"/>
          <w:sz w:val="24"/>
          <w:szCs w:val="24"/>
        </w:rPr>
        <w:t xml:space="preserve"> intelligence sources</w:t>
      </w:r>
      <w:r w:rsidR="00773849">
        <w:rPr>
          <w:rFonts w:asciiTheme="majorBidi" w:hAnsiTheme="majorBidi" w:cstheme="majorBidi"/>
          <w:sz w:val="24"/>
          <w:szCs w:val="24"/>
        </w:rPr>
        <w:t xml:space="preserve"> working</w:t>
      </w:r>
      <w:r w:rsidR="00C210B6">
        <w:rPr>
          <w:rFonts w:asciiTheme="majorBidi" w:hAnsiTheme="majorBidi" w:cstheme="majorBidi"/>
          <w:sz w:val="24"/>
          <w:szCs w:val="24"/>
        </w:rPr>
        <w:t xml:space="preserve"> for Israel (</w:t>
      </w:r>
      <w:r>
        <w:rPr>
          <w:rFonts w:asciiTheme="majorBidi" w:hAnsiTheme="majorBidi" w:cstheme="majorBidi"/>
          <w:sz w:val="24"/>
          <w:szCs w:val="24"/>
        </w:rPr>
        <w:t>“</w:t>
      </w:r>
      <w:r w:rsidR="00C210B6">
        <w:rPr>
          <w:rFonts w:asciiTheme="majorBidi" w:hAnsiTheme="majorBidi" w:cstheme="majorBidi"/>
          <w:sz w:val="24"/>
          <w:szCs w:val="24"/>
        </w:rPr>
        <w:t>collaborators</w:t>
      </w:r>
      <w:r>
        <w:rPr>
          <w:rFonts w:asciiTheme="majorBidi" w:hAnsiTheme="majorBidi" w:cstheme="majorBidi"/>
          <w:sz w:val="24"/>
          <w:szCs w:val="24"/>
        </w:rPr>
        <w:t>”</w:t>
      </w:r>
      <w:r w:rsidR="00C210B6">
        <w:rPr>
          <w:rFonts w:asciiTheme="majorBidi" w:hAnsiTheme="majorBidi" w:cstheme="majorBidi"/>
          <w:sz w:val="24"/>
          <w:szCs w:val="24"/>
        </w:rPr>
        <w:t>).</w:t>
      </w:r>
      <w:r w:rsidR="009A479B">
        <w:rPr>
          <w:rStyle w:val="a5"/>
          <w:rFonts w:asciiTheme="majorBidi" w:hAnsiTheme="majorBidi" w:cstheme="majorBidi"/>
          <w:sz w:val="24"/>
          <w:szCs w:val="24"/>
        </w:rPr>
        <w:footnoteReference w:id="1"/>
      </w:r>
      <w:r w:rsidR="00C210B6">
        <w:rPr>
          <w:rFonts w:asciiTheme="majorBidi" w:hAnsiTheme="majorBidi" w:cstheme="majorBidi"/>
          <w:sz w:val="24"/>
          <w:szCs w:val="24"/>
        </w:rPr>
        <w:t xml:space="preserve">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Since its </w:t>
      </w:r>
      <w:r w:rsidR="00A66789" w:rsidRPr="00AB46FC">
        <w:rPr>
          <w:rFonts w:asciiTheme="majorBidi" w:hAnsiTheme="majorBidi" w:cstheme="majorBidi"/>
          <w:sz w:val="24"/>
          <w:szCs w:val="24"/>
        </w:rPr>
        <w:t>found</w:t>
      </w:r>
      <w:r>
        <w:rPr>
          <w:rFonts w:asciiTheme="majorBidi" w:hAnsiTheme="majorBidi" w:cstheme="majorBidi"/>
          <w:sz w:val="24"/>
          <w:szCs w:val="24"/>
        </w:rPr>
        <w:t>ing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 in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 December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1987,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Palestinian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Movement </w:t>
      </w:r>
      <w:r w:rsidR="00F05645">
        <w:rPr>
          <w:rFonts w:asciiTheme="majorBidi" w:hAnsiTheme="majorBidi" w:cstheme="majorBidi"/>
          <w:sz w:val="24"/>
          <w:szCs w:val="24"/>
        </w:rPr>
        <w:t xml:space="preserve">has </w:t>
      </w:r>
      <w:r>
        <w:rPr>
          <w:rFonts w:asciiTheme="majorBidi" w:hAnsiTheme="majorBidi" w:cstheme="majorBidi"/>
          <w:sz w:val="24"/>
          <w:szCs w:val="24"/>
        </w:rPr>
        <w:t>had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to cope with Israeli intelligence effort</w:t>
      </w:r>
      <w:r>
        <w:rPr>
          <w:rFonts w:asciiTheme="majorBidi" w:hAnsiTheme="majorBidi" w:cstheme="majorBidi"/>
          <w:sz w:val="24"/>
          <w:szCs w:val="24"/>
        </w:rPr>
        <w:t>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to penetrate </w:t>
      </w:r>
      <w:r w:rsidR="00355966">
        <w:rPr>
          <w:rFonts w:asciiTheme="majorBidi" w:hAnsiTheme="majorBidi" w:cstheme="majorBidi"/>
          <w:sz w:val="24"/>
          <w:szCs w:val="24"/>
        </w:rPr>
        <w:t>its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organization and </w:t>
      </w:r>
      <w:r>
        <w:rPr>
          <w:rFonts w:asciiTheme="majorBidi" w:hAnsiTheme="majorBidi" w:cstheme="majorBidi"/>
          <w:sz w:val="24"/>
          <w:szCs w:val="24"/>
        </w:rPr>
        <w:t>uncover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its secrets. </w:t>
      </w:r>
      <w:r w:rsidR="00BC57A4">
        <w:rPr>
          <w:rFonts w:asciiTheme="majorBidi" w:hAnsiTheme="majorBidi" w:cstheme="majorBidi"/>
          <w:sz w:val="24"/>
          <w:szCs w:val="24"/>
        </w:rPr>
        <w:t>Like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other armed </w:t>
      </w:r>
      <w:r w:rsidR="00F62688" w:rsidRPr="00AB46FC">
        <w:rPr>
          <w:rFonts w:asciiTheme="majorBidi" w:hAnsiTheme="majorBidi" w:cstheme="majorBidi"/>
          <w:sz w:val="24"/>
          <w:szCs w:val="24"/>
        </w:rPr>
        <w:t xml:space="preserve">Palestinian </w:t>
      </w:r>
      <w:r w:rsidR="00BA07A5" w:rsidRPr="00AB46FC">
        <w:rPr>
          <w:rFonts w:asciiTheme="majorBidi" w:hAnsiTheme="majorBidi" w:cstheme="majorBidi"/>
          <w:sz w:val="24"/>
          <w:szCs w:val="24"/>
        </w:rPr>
        <w:t>group</w:t>
      </w:r>
      <w:r w:rsidR="00355966">
        <w:rPr>
          <w:rFonts w:asciiTheme="majorBidi" w:hAnsiTheme="majorBidi" w:cstheme="majorBidi"/>
          <w:sz w:val="24"/>
          <w:szCs w:val="24"/>
        </w:rPr>
        <w:t>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in 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Judah, Samaria and Gaza, </w:t>
      </w:r>
      <w:r w:rsidR="00BA07A5" w:rsidRPr="00AB46FC">
        <w:rPr>
          <w:rFonts w:asciiTheme="majorBidi" w:hAnsiTheme="majorBidi" w:cstheme="majorBidi"/>
          <w:sz w:val="24"/>
          <w:szCs w:val="24"/>
        </w:rPr>
        <w:t>Hamas</w:t>
      </w:r>
      <w:r w:rsidR="00BC57A4">
        <w:rPr>
          <w:rFonts w:asciiTheme="majorBidi" w:hAnsiTheme="majorBidi" w:cstheme="majorBidi"/>
          <w:sz w:val="24"/>
          <w:szCs w:val="24"/>
        </w:rPr>
        <w:t xml:space="preserve">, from its earliest days of operation, made the identification and targeting of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collaborators with Israel </w:t>
      </w:r>
      <w:r w:rsidR="00BC57A4">
        <w:rPr>
          <w:rFonts w:asciiTheme="majorBidi" w:hAnsiTheme="majorBidi" w:cstheme="majorBidi"/>
          <w:sz w:val="24"/>
          <w:szCs w:val="24"/>
        </w:rPr>
        <w:t>a top priority</w:t>
      </w:r>
      <w:r w:rsidR="007A7CE7" w:rsidRPr="00AB46FC">
        <w:rPr>
          <w:rFonts w:asciiTheme="majorBidi" w:hAnsiTheme="majorBidi" w:cstheme="majorBidi"/>
          <w:sz w:val="24"/>
          <w:szCs w:val="24"/>
        </w:rPr>
        <w:t>.</w:t>
      </w:r>
      <w:r w:rsidR="009A479B">
        <w:rPr>
          <w:rStyle w:val="a5"/>
          <w:rFonts w:asciiTheme="majorBidi" w:hAnsiTheme="majorBidi" w:cstheme="majorBidi"/>
          <w:sz w:val="24"/>
          <w:szCs w:val="24"/>
        </w:rPr>
        <w:footnoteReference w:id="2"/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C57A4">
        <w:rPr>
          <w:rFonts w:asciiTheme="majorBidi" w:hAnsiTheme="majorBidi" w:cstheme="majorBidi"/>
          <w:sz w:val="24"/>
          <w:szCs w:val="24"/>
        </w:rPr>
        <w:t>This focus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includ</w:t>
      </w:r>
      <w:r w:rsidR="007A7CE7" w:rsidRPr="00AB46FC">
        <w:rPr>
          <w:rFonts w:asciiTheme="majorBidi" w:hAnsiTheme="majorBidi" w:cstheme="majorBidi"/>
          <w:sz w:val="24"/>
          <w:szCs w:val="24"/>
        </w:rPr>
        <w:t>ed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>the establishment of an apparatus</w:t>
      </w:r>
      <w:r w:rsidR="00BC57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7CE7" w:rsidRPr="004C5A3F">
        <w:rPr>
          <w:rFonts w:asciiTheme="majorBidi" w:hAnsiTheme="majorBidi" w:cstheme="majorBidi"/>
          <w:i/>
          <w:iCs/>
          <w:sz w:val="24"/>
          <w:szCs w:val="24"/>
        </w:rPr>
        <w:t>Almajd</w:t>
      </w:r>
      <w:proofErr w:type="spellEnd"/>
      <w:r w:rsidR="00BC57A4">
        <w:rPr>
          <w:rFonts w:asciiTheme="majorBidi" w:hAnsiTheme="majorBidi" w:cstheme="majorBidi"/>
          <w:sz w:val="24"/>
          <w:szCs w:val="24"/>
        </w:rPr>
        <w:t>,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C57A4">
        <w:rPr>
          <w:rFonts w:asciiTheme="majorBidi" w:hAnsiTheme="majorBidi" w:cstheme="majorBidi"/>
          <w:sz w:val="24"/>
          <w:szCs w:val="24"/>
        </w:rPr>
        <w:t>for</w:t>
      </w:r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gathering information on Palestinians suspected </w:t>
      </w:r>
      <w:r w:rsidR="00BC57A4">
        <w:rPr>
          <w:rFonts w:asciiTheme="majorBidi" w:hAnsiTheme="majorBidi" w:cstheme="majorBidi"/>
          <w:sz w:val="24"/>
          <w:szCs w:val="24"/>
        </w:rPr>
        <w:t>of being c</w:t>
      </w:r>
      <w:r w:rsidR="007A7CE7" w:rsidRPr="00AB46FC">
        <w:rPr>
          <w:rFonts w:asciiTheme="majorBidi" w:hAnsiTheme="majorBidi" w:cstheme="majorBidi"/>
          <w:sz w:val="24"/>
          <w:szCs w:val="24"/>
        </w:rPr>
        <w:t>ollaborators</w:t>
      </w:r>
      <w:r w:rsidR="00BC57A4">
        <w:rPr>
          <w:rFonts w:asciiTheme="majorBidi" w:hAnsiTheme="majorBidi" w:cstheme="majorBidi"/>
          <w:sz w:val="24"/>
          <w:szCs w:val="24"/>
        </w:rPr>
        <w:t>.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C57A4">
        <w:rPr>
          <w:rFonts w:asciiTheme="majorBidi" w:hAnsiTheme="majorBidi" w:cstheme="majorBidi"/>
          <w:sz w:val="24"/>
          <w:szCs w:val="24"/>
        </w:rPr>
        <w:t xml:space="preserve">The </w:t>
      </w:r>
      <w:r w:rsidR="00355966" w:rsidRPr="00AB46FC">
        <w:rPr>
          <w:rFonts w:asciiTheme="majorBidi" w:hAnsiTheme="majorBidi" w:cstheme="majorBidi"/>
          <w:sz w:val="24"/>
          <w:szCs w:val="24"/>
        </w:rPr>
        <w:t>Hamas</w:t>
      </w:r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r w:rsidR="00BC57A4">
        <w:rPr>
          <w:rFonts w:asciiTheme="majorBidi" w:hAnsiTheme="majorBidi" w:cstheme="majorBidi"/>
          <w:sz w:val="24"/>
          <w:szCs w:val="24"/>
        </w:rPr>
        <w:t xml:space="preserve">practice </w:t>
      </w:r>
      <w:r w:rsidR="00355966">
        <w:rPr>
          <w:rFonts w:asciiTheme="majorBidi" w:hAnsiTheme="majorBidi" w:cstheme="majorBidi"/>
          <w:sz w:val="24"/>
          <w:szCs w:val="24"/>
        </w:rPr>
        <w:t xml:space="preserve">was </w:t>
      </w:r>
      <w:r w:rsidR="00F05645">
        <w:rPr>
          <w:rFonts w:asciiTheme="majorBidi" w:hAnsiTheme="majorBidi" w:cstheme="majorBidi"/>
          <w:sz w:val="24"/>
          <w:szCs w:val="24"/>
        </w:rPr>
        <w:t xml:space="preserve">to </w:t>
      </w:r>
      <w:r w:rsidR="00BC57A4">
        <w:rPr>
          <w:rFonts w:asciiTheme="majorBidi" w:hAnsiTheme="majorBidi" w:cstheme="majorBidi"/>
          <w:sz w:val="24"/>
          <w:szCs w:val="24"/>
        </w:rPr>
        <w:t>apply different degrees of torture and abuse, including damaging the property of those suspected of collaborating</w:t>
      </w:r>
      <w:r w:rsidR="007A7CE7" w:rsidRPr="00AB46FC">
        <w:rPr>
          <w:rFonts w:asciiTheme="majorBidi" w:hAnsiTheme="majorBidi" w:cstheme="majorBidi"/>
          <w:sz w:val="24"/>
          <w:szCs w:val="24"/>
        </w:rPr>
        <w:t>. Many suspects were kidnapped, interrogated, tortured, and killed</w:t>
      </w:r>
      <w:r w:rsidR="00A720C5" w:rsidRPr="00AB46FC">
        <w:rPr>
          <w:rFonts w:asciiTheme="majorBidi" w:hAnsiTheme="majorBidi" w:cstheme="majorBidi"/>
          <w:sz w:val="24"/>
          <w:szCs w:val="24"/>
        </w:rPr>
        <w:t>, although many of them were not actually collaborators.</w:t>
      </w:r>
    </w:p>
    <w:p w:rsidR="00E171D6" w:rsidRDefault="00A720C5" w:rsidP="0031422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46FC">
        <w:rPr>
          <w:rFonts w:asciiTheme="majorBidi" w:hAnsiTheme="majorBidi" w:cstheme="majorBidi"/>
          <w:sz w:val="24"/>
          <w:szCs w:val="24"/>
        </w:rPr>
        <w:t xml:space="preserve">In some cases, Hamas chose </w:t>
      </w:r>
      <w:r w:rsidR="00FD614C">
        <w:rPr>
          <w:rFonts w:asciiTheme="majorBidi" w:hAnsiTheme="majorBidi" w:cstheme="majorBidi"/>
          <w:sz w:val="24"/>
          <w:szCs w:val="24"/>
        </w:rPr>
        <w:t>a different tactic of exploiting collaborators to transform a threat into</w:t>
      </w:r>
      <w:r w:rsidR="00245931">
        <w:rPr>
          <w:rFonts w:asciiTheme="majorBidi" w:hAnsiTheme="majorBidi" w:cstheme="majorBidi"/>
          <w:sz w:val="24"/>
          <w:szCs w:val="24"/>
        </w:rPr>
        <w:t xml:space="preserve"> an opportunity</w:t>
      </w:r>
      <w:r w:rsidR="00FD614C">
        <w:rPr>
          <w:rFonts w:asciiTheme="majorBidi" w:hAnsiTheme="majorBidi" w:cstheme="majorBidi"/>
          <w:sz w:val="24"/>
          <w:szCs w:val="24"/>
        </w:rPr>
        <w:t xml:space="preserve">. 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FD614C">
        <w:rPr>
          <w:rFonts w:asciiTheme="majorBidi" w:hAnsiTheme="majorBidi" w:cstheme="majorBidi"/>
          <w:sz w:val="24"/>
          <w:szCs w:val="24"/>
        </w:rPr>
        <w:t>turned some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collaborators </w:t>
      </w:r>
      <w:r w:rsidR="00FD614C">
        <w:rPr>
          <w:rFonts w:asciiTheme="majorBidi" w:hAnsiTheme="majorBidi" w:cstheme="majorBidi"/>
          <w:sz w:val="24"/>
          <w:szCs w:val="24"/>
        </w:rPr>
        <w:t xml:space="preserve">into double agents, </w:t>
      </w:r>
      <w:r w:rsidR="00F05645">
        <w:rPr>
          <w:rFonts w:asciiTheme="majorBidi" w:hAnsiTheme="majorBidi" w:cstheme="majorBidi"/>
          <w:sz w:val="24"/>
          <w:szCs w:val="24"/>
        </w:rPr>
        <w:t>using them</w:t>
      </w:r>
      <w:r w:rsidR="00FD614C">
        <w:rPr>
          <w:rFonts w:asciiTheme="majorBidi" w:hAnsiTheme="majorBidi" w:cstheme="majorBidi"/>
          <w:sz w:val="24"/>
          <w:szCs w:val="24"/>
        </w:rPr>
        <w:t xml:space="preserve"> to advance its </w:t>
      </w:r>
      <w:r w:rsidR="00544C62" w:rsidRPr="00AB46FC">
        <w:rPr>
          <w:rFonts w:asciiTheme="majorBidi" w:hAnsiTheme="majorBidi" w:cstheme="majorBidi"/>
          <w:sz w:val="24"/>
          <w:szCs w:val="24"/>
        </w:rPr>
        <w:t>goals.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Th</w:t>
      </w:r>
      <w:r w:rsidR="00F05645">
        <w:rPr>
          <w:rFonts w:asciiTheme="majorBidi" w:hAnsiTheme="majorBidi" w:cstheme="majorBidi"/>
          <w:sz w:val="24"/>
          <w:szCs w:val="24"/>
        </w:rPr>
        <w:t>is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r w:rsidR="00FD614C">
        <w:rPr>
          <w:rFonts w:asciiTheme="majorBidi" w:hAnsiTheme="majorBidi" w:cstheme="majorBidi"/>
          <w:sz w:val="24"/>
          <w:szCs w:val="24"/>
        </w:rPr>
        <w:t xml:space="preserve">examines some of the doubling </w:t>
      </w:r>
      <w:r w:rsidR="004F4D7A">
        <w:rPr>
          <w:rFonts w:asciiTheme="majorBidi" w:hAnsiTheme="majorBidi" w:cstheme="majorBidi"/>
          <w:sz w:val="24"/>
          <w:szCs w:val="24"/>
        </w:rPr>
        <w:t xml:space="preserve">operations </w:t>
      </w:r>
      <w:r w:rsidR="00FD614C">
        <w:rPr>
          <w:rFonts w:asciiTheme="majorBidi" w:hAnsiTheme="majorBidi" w:cstheme="majorBidi"/>
          <w:sz w:val="24"/>
          <w:szCs w:val="24"/>
        </w:rPr>
        <w:t xml:space="preserve">carried out by Hamas </w:t>
      </w:r>
      <w:r w:rsidR="004F4D7A">
        <w:rPr>
          <w:rFonts w:asciiTheme="majorBidi" w:hAnsiTheme="majorBidi" w:cstheme="majorBidi"/>
          <w:sz w:val="24"/>
          <w:szCs w:val="24"/>
        </w:rPr>
        <w:t>o</w:t>
      </w:r>
      <w:r w:rsidR="00FD614C">
        <w:rPr>
          <w:rFonts w:asciiTheme="majorBidi" w:hAnsiTheme="majorBidi" w:cstheme="majorBidi"/>
          <w:sz w:val="24"/>
          <w:szCs w:val="24"/>
        </w:rPr>
        <w:t>n</w:t>
      </w:r>
      <w:r w:rsidR="004F4D7A">
        <w:rPr>
          <w:rFonts w:asciiTheme="majorBidi" w:hAnsiTheme="majorBidi" w:cstheme="majorBidi"/>
          <w:sz w:val="24"/>
          <w:szCs w:val="24"/>
        </w:rPr>
        <w:t xml:space="preserve"> Israeli collaborators </w:t>
      </w:r>
      <w:r w:rsidR="00FD614C">
        <w:rPr>
          <w:rFonts w:asciiTheme="majorBidi" w:hAnsiTheme="majorBidi" w:cstheme="majorBidi"/>
          <w:sz w:val="24"/>
          <w:szCs w:val="24"/>
        </w:rPr>
        <w:t>over</w:t>
      </w:r>
      <w:r w:rsidR="00245931">
        <w:rPr>
          <w:rFonts w:asciiTheme="majorBidi" w:hAnsiTheme="majorBidi" w:cstheme="majorBidi"/>
          <w:sz w:val="24"/>
          <w:szCs w:val="24"/>
        </w:rPr>
        <w:t xml:space="preserve"> the last three decades</w:t>
      </w:r>
      <w:r w:rsidR="00E57DE6" w:rsidRPr="00AB46FC">
        <w:rPr>
          <w:rFonts w:asciiTheme="majorBidi" w:hAnsiTheme="majorBidi" w:cstheme="majorBidi"/>
          <w:sz w:val="24"/>
          <w:szCs w:val="24"/>
        </w:rPr>
        <w:t>.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FD614C">
        <w:rPr>
          <w:rFonts w:asciiTheme="majorBidi" w:hAnsiTheme="majorBidi" w:cstheme="majorBidi"/>
          <w:sz w:val="24"/>
          <w:szCs w:val="24"/>
        </w:rPr>
        <w:t>Examining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th</w:t>
      </w:r>
      <w:r w:rsidR="00F05645">
        <w:rPr>
          <w:rFonts w:asciiTheme="majorBidi" w:hAnsiTheme="majorBidi" w:cstheme="majorBidi"/>
          <w:sz w:val="24"/>
          <w:szCs w:val="24"/>
        </w:rPr>
        <w:t>e</w:t>
      </w:r>
      <w:r w:rsidR="00544C62" w:rsidRPr="00AB46FC">
        <w:rPr>
          <w:rFonts w:asciiTheme="majorBidi" w:hAnsiTheme="majorBidi" w:cstheme="majorBidi"/>
          <w:sz w:val="24"/>
          <w:szCs w:val="24"/>
        </w:rPr>
        <w:t>se cases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will reveal how </w:t>
      </w:r>
      <w:r w:rsidR="00FD614C">
        <w:rPr>
          <w:rFonts w:asciiTheme="majorBidi" w:hAnsiTheme="majorBidi" w:cstheme="majorBidi"/>
          <w:sz w:val="24"/>
          <w:szCs w:val="24"/>
        </w:rPr>
        <w:t>Hamas’s doubling methods developed over time,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concurrently</w:t>
      </w:r>
      <w:r w:rsidR="00245931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with the movement's evolution. In the </w:t>
      </w:r>
      <w:r w:rsidR="00FD614C">
        <w:rPr>
          <w:rFonts w:asciiTheme="majorBidi" w:hAnsiTheme="majorBidi" w:cstheme="majorBidi"/>
          <w:sz w:val="24"/>
          <w:szCs w:val="24"/>
        </w:rPr>
        <w:t>19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90s, doubling </w:t>
      </w:r>
      <w:r w:rsidR="00AB46FC" w:rsidRPr="00AB46FC">
        <w:rPr>
          <w:rFonts w:asciiTheme="majorBidi" w:hAnsiTheme="majorBidi" w:cstheme="majorBidi"/>
          <w:sz w:val="24"/>
          <w:szCs w:val="24"/>
        </w:rPr>
        <w:t>operation</w:t>
      </w:r>
      <w:r w:rsidR="00FD614C">
        <w:rPr>
          <w:rFonts w:asciiTheme="majorBidi" w:hAnsiTheme="majorBidi" w:cstheme="majorBidi"/>
          <w:sz w:val="24"/>
          <w:szCs w:val="24"/>
        </w:rPr>
        <w:t>s were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used </w:t>
      </w:r>
      <w:r w:rsidR="00FD614C">
        <w:rPr>
          <w:rFonts w:asciiTheme="majorBidi" w:hAnsiTheme="majorBidi" w:cstheme="majorBidi"/>
          <w:sz w:val="24"/>
          <w:szCs w:val="24"/>
        </w:rPr>
        <w:t>to accomplish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FD614C">
        <w:rPr>
          <w:rFonts w:asciiTheme="majorBidi" w:hAnsiTheme="majorBidi" w:cstheme="majorBidi"/>
          <w:sz w:val="24"/>
          <w:szCs w:val="24"/>
        </w:rPr>
        <w:t>the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72142" w:rsidRPr="00AB46FC">
        <w:rPr>
          <w:rFonts w:asciiTheme="majorBidi" w:hAnsiTheme="majorBidi" w:cstheme="majorBidi"/>
          <w:sz w:val="24"/>
          <w:szCs w:val="24"/>
        </w:rPr>
        <w:t>short-term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goal of killing the collaborators</w:t>
      </w:r>
      <w:r w:rsidR="00FD614C">
        <w:rPr>
          <w:rFonts w:asciiTheme="majorBidi" w:hAnsiTheme="majorBidi" w:cstheme="majorBidi"/>
          <w:sz w:val="24"/>
          <w:szCs w:val="24"/>
        </w:rPr>
        <w:t>’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coordinators.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In the early 2000s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doubling operation</w:t>
      </w:r>
      <w:r w:rsidR="00FD614C">
        <w:rPr>
          <w:rFonts w:asciiTheme="majorBidi" w:hAnsiTheme="majorBidi" w:cstheme="majorBidi"/>
          <w:sz w:val="24"/>
          <w:szCs w:val="24"/>
        </w:rPr>
        <w:t>s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471C63">
        <w:rPr>
          <w:rFonts w:asciiTheme="majorBidi" w:hAnsiTheme="majorBidi" w:cstheme="majorBidi"/>
          <w:sz w:val="24"/>
          <w:szCs w:val="24"/>
        </w:rPr>
        <w:t xml:space="preserve">became </w:t>
      </w:r>
      <w:proofErr w:type="gramStart"/>
      <w:r w:rsidR="00471C63">
        <w:rPr>
          <w:rFonts w:asciiTheme="majorBidi" w:hAnsiTheme="majorBidi" w:cstheme="majorBidi"/>
          <w:sz w:val="24"/>
          <w:szCs w:val="24"/>
        </w:rPr>
        <w:t>both longer</w:t>
      </w:r>
      <w:proofErr w:type="gramEnd"/>
      <w:r w:rsidR="00471C63">
        <w:rPr>
          <w:rFonts w:asciiTheme="majorBidi" w:hAnsiTheme="majorBidi" w:cstheme="majorBidi"/>
          <w:sz w:val="24"/>
          <w:szCs w:val="24"/>
        </w:rPr>
        <w:t xml:space="preserve">-term, lasting </w:t>
      </w:r>
      <w:r w:rsidR="00F62688">
        <w:rPr>
          <w:rFonts w:asciiTheme="majorBidi" w:hAnsiTheme="majorBidi" w:cstheme="majorBidi"/>
          <w:sz w:val="24"/>
          <w:szCs w:val="24"/>
        </w:rPr>
        <w:t xml:space="preserve">from </w:t>
      </w:r>
      <w:r w:rsidR="00471C63">
        <w:rPr>
          <w:rFonts w:asciiTheme="majorBidi" w:hAnsiTheme="majorBidi" w:cstheme="majorBidi"/>
          <w:sz w:val="24"/>
          <w:szCs w:val="24"/>
        </w:rPr>
        <w:t xml:space="preserve">one to a few months, and more sophisticated, including goals </w:t>
      </w:r>
      <w:r w:rsidR="00F05645">
        <w:rPr>
          <w:rFonts w:asciiTheme="majorBidi" w:hAnsiTheme="majorBidi" w:cstheme="majorBidi"/>
          <w:sz w:val="24"/>
          <w:szCs w:val="24"/>
        </w:rPr>
        <w:t xml:space="preserve">such </w:t>
      </w:r>
      <w:r w:rsidR="00471C63">
        <w:rPr>
          <w:rFonts w:asciiTheme="majorBidi" w:hAnsiTheme="majorBidi" w:cstheme="majorBidi"/>
          <w:sz w:val="24"/>
          <w:szCs w:val="24"/>
        </w:rPr>
        <w:t>as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4F1">
        <w:rPr>
          <w:rFonts w:asciiTheme="majorBidi" w:hAnsiTheme="majorBidi" w:cstheme="majorBidi"/>
          <w:sz w:val="24"/>
          <w:szCs w:val="24"/>
        </w:rPr>
        <w:t xml:space="preserve">providing false information. After Hamas </w:t>
      </w:r>
      <w:r w:rsidR="00245931" w:rsidRPr="00AB44F1">
        <w:rPr>
          <w:rFonts w:asciiTheme="majorBidi" w:hAnsiTheme="majorBidi" w:cstheme="majorBidi"/>
          <w:sz w:val="24"/>
          <w:szCs w:val="24"/>
        </w:rPr>
        <w:t>t</w:t>
      </w:r>
      <w:r w:rsidR="00245931">
        <w:rPr>
          <w:rFonts w:asciiTheme="majorBidi" w:hAnsiTheme="majorBidi" w:cstheme="majorBidi"/>
          <w:sz w:val="24"/>
          <w:szCs w:val="24"/>
        </w:rPr>
        <w:t>ook</w:t>
      </w:r>
      <w:r w:rsidR="00245931" w:rsidRPr="00AB44F1">
        <w:rPr>
          <w:rFonts w:asciiTheme="majorBidi" w:hAnsiTheme="majorBidi" w:cstheme="majorBidi"/>
          <w:sz w:val="24"/>
          <w:szCs w:val="24"/>
        </w:rPr>
        <w:t xml:space="preserve"> </w:t>
      </w:r>
      <w:r w:rsidR="00AB44F1" w:rsidRPr="00AB44F1">
        <w:rPr>
          <w:rFonts w:asciiTheme="majorBidi" w:hAnsiTheme="majorBidi" w:cstheme="majorBidi"/>
          <w:sz w:val="24"/>
          <w:szCs w:val="24"/>
        </w:rPr>
        <w:t>control</w:t>
      </w:r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o</w:t>
      </w:r>
      <w:r w:rsidR="00471C63">
        <w:rPr>
          <w:rFonts w:asciiTheme="majorBidi" w:hAnsiTheme="majorBidi" w:cstheme="majorBidi"/>
          <w:sz w:val="24"/>
          <w:szCs w:val="24"/>
        </w:rPr>
        <w:t>f</w:t>
      </w:r>
      <w:r w:rsidR="00245931">
        <w:rPr>
          <w:rFonts w:asciiTheme="majorBidi" w:hAnsiTheme="majorBidi" w:cstheme="majorBidi"/>
          <w:sz w:val="24"/>
          <w:szCs w:val="24"/>
        </w:rPr>
        <w:t xml:space="preserve"> the </w:t>
      </w:r>
      <w:r w:rsidR="00AB44F1">
        <w:rPr>
          <w:rFonts w:asciiTheme="majorBidi" w:hAnsiTheme="majorBidi" w:cstheme="majorBidi"/>
          <w:sz w:val="24"/>
          <w:szCs w:val="24"/>
        </w:rPr>
        <w:t xml:space="preserve">Gaza Strip </w:t>
      </w:r>
      <w:r w:rsidR="00471C63">
        <w:rPr>
          <w:rFonts w:asciiTheme="majorBidi" w:hAnsiTheme="majorBidi" w:cstheme="majorBidi"/>
          <w:sz w:val="24"/>
          <w:szCs w:val="24"/>
        </w:rPr>
        <w:t xml:space="preserve">in </w:t>
      </w:r>
      <w:r w:rsidR="00AB44F1">
        <w:rPr>
          <w:rFonts w:asciiTheme="majorBidi" w:hAnsiTheme="majorBidi" w:cstheme="majorBidi"/>
          <w:sz w:val="24"/>
          <w:szCs w:val="24"/>
        </w:rPr>
        <w:t xml:space="preserve">2007, </w:t>
      </w:r>
      <w:r w:rsidR="00471C63">
        <w:rPr>
          <w:rFonts w:asciiTheme="majorBidi" w:hAnsiTheme="majorBidi" w:cstheme="majorBidi"/>
          <w:sz w:val="24"/>
          <w:szCs w:val="24"/>
        </w:rPr>
        <w:t xml:space="preserve">the Hamas governmental apparatus gradually </w:t>
      </w:r>
      <w:r w:rsidR="00126084">
        <w:rPr>
          <w:rFonts w:asciiTheme="majorBidi" w:hAnsiTheme="majorBidi" w:cstheme="majorBidi"/>
          <w:sz w:val="24"/>
          <w:szCs w:val="24"/>
        </w:rPr>
        <w:t>imposed better organization on</w:t>
      </w:r>
      <w:r w:rsidR="00471C63">
        <w:rPr>
          <w:rFonts w:asciiTheme="majorBidi" w:hAnsiTheme="majorBidi" w:cstheme="majorBidi"/>
          <w:sz w:val="24"/>
          <w:szCs w:val="24"/>
        </w:rPr>
        <w:t xml:space="preserve"> their efforts </w:t>
      </w:r>
      <w:r w:rsidR="00AB44F1">
        <w:rPr>
          <w:rFonts w:asciiTheme="majorBidi" w:hAnsiTheme="majorBidi" w:cstheme="majorBidi"/>
          <w:sz w:val="24"/>
          <w:szCs w:val="24"/>
        </w:rPr>
        <w:t>with collaborators</w:t>
      </w:r>
      <w:r w:rsidR="00471C63">
        <w:rPr>
          <w:rFonts w:asciiTheme="majorBidi" w:hAnsiTheme="majorBidi" w:cstheme="majorBidi"/>
          <w:sz w:val="24"/>
          <w:szCs w:val="24"/>
        </w:rPr>
        <w:t>, with their</w:t>
      </w:r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08509F" w:rsidRPr="0008509F">
        <w:rPr>
          <w:rFonts w:asciiTheme="majorBidi" w:hAnsiTheme="majorBidi" w:cstheme="majorBidi"/>
          <w:sz w:val="24"/>
          <w:szCs w:val="24"/>
        </w:rPr>
        <w:t>Internal Security Force (ISF)</w:t>
      </w:r>
      <w:r w:rsidR="00471C63">
        <w:rPr>
          <w:rFonts w:asciiTheme="majorBidi" w:hAnsiTheme="majorBidi" w:cstheme="majorBidi"/>
          <w:sz w:val="24"/>
          <w:szCs w:val="24"/>
        </w:rPr>
        <w:t xml:space="preserve"> playing an important role</w:t>
      </w:r>
      <w:r w:rsidR="00AB44F1">
        <w:rPr>
          <w:rFonts w:asciiTheme="majorBidi" w:hAnsiTheme="majorBidi" w:cstheme="majorBidi"/>
          <w:sz w:val="24"/>
          <w:szCs w:val="24"/>
        </w:rPr>
        <w:t>. The doubling operation</w:t>
      </w:r>
      <w:r w:rsidR="00471C63">
        <w:rPr>
          <w:rFonts w:asciiTheme="majorBidi" w:hAnsiTheme="majorBidi" w:cstheme="majorBidi"/>
          <w:sz w:val="24"/>
          <w:szCs w:val="24"/>
        </w:rPr>
        <w:t>s</w:t>
      </w:r>
      <w:r w:rsidR="00AB44F1">
        <w:rPr>
          <w:rFonts w:asciiTheme="majorBidi" w:hAnsiTheme="majorBidi" w:cstheme="majorBidi"/>
          <w:sz w:val="24"/>
          <w:szCs w:val="24"/>
        </w:rPr>
        <w:t xml:space="preserve"> became more </w:t>
      </w:r>
      <w:r w:rsidR="001141F0">
        <w:rPr>
          <w:rFonts w:asciiTheme="majorBidi" w:hAnsiTheme="majorBidi" w:cstheme="majorBidi"/>
          <w:sz w:val="24"/>
          <w:szCs w:val="24"/>
        </w:rPr>
        <w:t xml:space="preserve">organized </w:t>
      </w:r>
      <w:r w:rsidR="00471C63">
        <w:rPr>
          <w:rFonts w:asciiTheme="majorBidi" w:hAnsiTheme="majorBidi" w:cstheme="majorBidi"/>
          <w:sz w:val="24"/>
          <w:szCs w:val="24"/>
        </w:rPr>
        <w:t>and sophisticated, being used</w:t>
      </w:r>
      <w:r w:rsidR="00E171D6">
        <w:rPr>
          <w:rFonts w:asciiTheme="majorBidi" w:hAnsiTheme="majorBidi" w:cstheme="majorBidi"/>
          <w:sz w:val="24"/>
          <w:szCs w:val="24"/>
        </w:rPr>
        <w:t xml:space="preserve"> for</w:t>
      </w:r>
      <w:r w:rsidR="00E171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171D6" w:rsidRPr="00E171D6">
        <w:rPr>
          <w:rFonts w:asciiTheme="majorBidi" w:hAnsiTheme="majorBidi" w:cstheme="majorBidi"/>
          <w:sz w:val="24"/>
          <w:szCs w:val="24"/>
        </w:rPr>
        <w:t>propaganda</w:t>
      </w:r>
      <w:r w:rsidR="00E171D6">
        <w:rPr>
          <w:rFonts w:asciiTheme="majorBidi" w:hAnsiTheme="majorBidi" w:cstheme="majorBidi"/>
          <w:sz w:val="24"/>
          <w:szCs w:val="24"/>
        </w:rPr>
        <w:t xml:space="preserve"> and </w:t>
      </w:r>
      <w:r w:rsidR="00E171D6" w:rsidRPr="00E171D6">
        <w:rPr>
          <w:rFonts w:asciiTheme="majorBidi" w:hAnsiTheme="majorBidi" w:cstheme="majorBidi"/>
          <w:sz w:val="24"/>
          <w:szCs w:val="24"/>
        </w:rPr>
        <w:t>deterrence</w:t>
      </w:r>
      <w:r w:rsidR="00471C63">
        <w:rPr>
          <w:rFonts w:asciiTheme="majorBidi" w:hAnsiTheme="majorBidi" w:cstheme="majorBidi"/>
          <w:sz w:val="24"/>
          <w:szCs w:val="24"/>
        </w:rPr>
        <w:t xml:space="preserve"> purposes as well as other goals</w:t>
      </w:r>
      <w:r w:rsidR="00E171D6">
        <w:rPr>
          <w:rFonts w:asciiTheme="majorBidi" w:hAnsiTheme="majorBidi" w:cstheme="majorBidi"/>
          <w:sz w:val="24"/>
          <w:szCs w:val="24"/>
        </w:rPr>
        <w:t>.</w:t>
      </w:r>
    </w:p>
    <w:p w:rsidR="007A7CE7" w:rsidRDefault="004F4D7A" w:rsidP="0031422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F62688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research is based on </w:t>
      </w:r>
      <w:r w:rsidR="00245931">
        <w:rPr>
          <w:rFonts w:asciiTheme="majorBidi" w:hAnsiTheme="majorBidi" w:cstheme="majorBidi"/>
          <w:sz w:val="24"/>
          <w:szCs w:val="24"/>
        </w:rPr>
        <w:t>v</w:t>
      </w:r>
      <w:r w:rsidR="00245931" w:rsidRPr="004F4D7A">
        <w:rPr>
          <w:rFonts w:asciiTheme="majorBidi" w:hAnsiTheme="majorBidi" w:cstheme="majorBidi"/>
          <w:sz w:val="24"/>
          <w:szCs w:val="24"/>
        </w:rPr>
        <w:t>ari</w:t>
      </w:r>
      <w:r w:rsidR="00245931">
        <w:rPr>
          <w:rFonts w:asciiTheme="majorBidi" w:hAnsiTheme="majorBidi" w:cstheme="majorBidi"/>
          <w:sz w:val="24"/>
          <w:szCs w:val="24"/>
        </w:rPr>
        <w:t xml:space="preserve">ous </w:t>
      </w:r>
      <w:r>
        <w:rPr>
          <w:rFonts w:asciiTheme="majorBidi" w:hAnsiTheme="majorBidi" w:cstheme="majorBidi"/>
          <w:sz w:val="24"/>
          <w:szCs w:val="24"/>
        </w:rPr>
        <w:t xml:space="preserve">sources, in </w:t>
      </w:r>
      <w:r w:rsidR="00471C63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>Hebrew and Arabic</w:t>
      </w:r>
      <w:r w:rsidR="00245931">
        <w:rPr>
          <w:rFonts w:asciiTheme="majorBidi" w:hAnsiTheme="majorBidi" w:cstheme="majorBidi"/>
          <w:sz w:val="24"/>
          <w:szCs w:val="24"/>
        </w:rPr>
        <w:t xml:space="preserve">, </w:t>
      </w:r>
      <w:r w:rsidR="00471C63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official publications of Hamas t</w:t>
      </w:r>
      <w:r w:rsidRPr="004F4D7A">
        <w:rPr>
          <w:rFonts w:asciiTheme="majorBidi" w:hAnsiTheme="majorBidi" w:cstheme="majorBidi"/>
          <w:sz w:val="24"/>
          <w:szCs w:val="24"/>
        </w:rPr>
        <w:t>ogether with</w:t>
      </w:r>
      <w:r>
        <w:rPr>
          <w:rFonts w:asciiTheme="majorBidi" w:hAnsiTheme="majorBidi" w:cstheme="majorBidi"/>
          <w:sz w:val="24"/>
          <w:szCs w:val="24"/>
        </w:rPr>
        <w:t xml:space="preserve"> official Israeli sources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4F4D7A">
        <w:rPr>
          <w:rFonts w:asciiTheme="majorBidi" w:hAnsiTheme="majorBidi" w:cstheme="majorBidi"/>
          <w:sz w:val="24"/>
          <w:szCs w:val="24"/>
        </w:rPr>
        <w:t>judicial proceeding</w:t>
      </w:r>
      <w:r w:rsidR="00471C63">
        <w:rPr>
          <w:rFonts w:asciiTheme="majorBidi" w:hAnsiTheme="majorBidi" w:cstheme="majorBidi"/>
          <w:sz w:val="24"/>
          <w:szCs w:val="24"/>
        </w:rPr>
        <w:t>s</w:t>
      </w:r>
      <w:r w:rsidR="00F62688">
        <w:rPr>
          <w:rFonts w:asciiTheme="majorBidi" w:hAnsiTheme="majorBidi" w:cstheme="majorBidi"/>
          <w:sz w:val="24"/>
          <w:szCs w:val="24"/>
        </w:rPr>
        <w:t>. S</w:t>
      </w:r>
      <w:r w:rsidR="00471C63">
        <w:rPr>
          <w:rFonts w:asciiTheme="majorBidi" w:hAnsiTheme="majorBidi" w:cstheme="majorBidi"/>
          <w:sz w:val="24"/>
          <w:szCs w:val="24"/>
        </w:rPr>
        <w:t xml:space="preserve">ome of </w:t>
      </w:r>
      <w:r w:rsidR="00F62688">
        <w:rPr>
          <w:rFonts w:asciiTheme="majorBidi" w:hAnsiTheme="majorBidi" w:cstheme="majorBidi"/>
          <w:sz w:val="24"/>
          <w:szCs w:val="24"/>
        </w:rPr>
        <w:t>these materials</w:t>
      </w:r>
      <w:r w:rsidR="00471C63">
        <w:rPr>
          <w:rFonts w:asciiTheme="majorBidi" w:hAnsiTheme="majorBidi" w:cstheme="majorBidi"/>
          <w:sz w:val="24"/>
          <w:szCs w:val="24"/>
        </w:rPr>
        <w:t xml:space="preserve"> have not yet received</w:t>
      </w:r>
      <w:r w:rsidR="003A13A8">
        <w:rPr>
          <w:rFonts w:asciiTheme="majorBidi" w:hAnsiTheme="majorBidi" w:cstheme="majorBidi"/>
          <w:sz w:val="24"/>
          <w:szCs w:val="24"/>
        </w:rPr>
        <w:t xml:space="preserve"> serious attention in the </w:t>
      </w:r>
      <w:r w:rsidR="00314223">
        <w:rPr>
          <w:rFonts w:asciiTheme="majorBidi" w:hAnsiTheme="majorBidi" w:cstheme="majorBidi"/>
          <w:sz w:val="24"/>
          <w:szCs w:val="24"/>
        </w:rPr>
        <w:t>scholarship</w:t>
      </w:r>
      <w:r>
        <w:rPr>
          <w:rFonts w:asciiTheme="majorBidi" w:hAnsiTheme="majorBidi" w:cstheme="majorBidi"/>
          <w:sz w:val="24"/>
          <w:szCs w:val="24"/>
        </w:rPr>
        <w:t xml:space="preserve">. Secondary literature and </w:t>
      </w:r>
      <w:r w:rsidR="003A13A8">
        <w:rPr>
          <w:rFonts w:asciiTheme="majorBidi" w:hAnsiTheme="majorBidi" w:cstheme="majorBidi"/>
          <w:sz w:val="24"/>
          <w:szCs w:val="24"/>
        </w:rPr>
        <w:t xml:space="preserve">journalistic sources will be used </w:t>
      </w:r>
      <w:r w:rsidR="00E11ACB">
        <w:rPr>
          <w:rFonts w:asciiTheme="majorBidi" w:hAnsiTheme="majorBidi" w:cstheme="majorBidi"/>
          <w:sz w:val="24"/>
          <w:szCs w:val="24"/>
        </w:rPr>
        <w:t>both to provide necessary background and to present an even more complete picture of Hamas doubling activities.</w:t>
      </w:r>
      <w:r w:rsidR="003A13A8">
        <w:rPr>
          <w:rFonts w:asciiTheme="majorBidi" w:hAnsiTheme="majorBidi" w:cstheme="majorBidi"/>
          <w:sz w:val="24"/>
          <w:szCs w:val="24"/>
        </w:rPr>
        <w:t xml:space="preserve"> </w:t>
      </w:r>
      <w:r w:rsidR="00E11ACB">
        <w:rPr>
          <w:rFonts w:asciiTheme="majorBidi" w:hAnsiTheme="majorBidi" w:cstheme="majorBidi"/>
          <w:sz w:val="24"/>
          <w:szCs w:val="24"/>
        </w:rPr>
        <w:t>Most r</w:t>
      </w:r>
      <w:r w:rsidR="00773849">
        <w:rPr>
          <w:rFonts w:asciiTheme="majorBidi" w:hAnsiTheme="majorBidi" w:cstheme="majorBidi"/>
          <w:sz w:val="24"/>
          <w:szCs w:val="24"/>
        </w:rPr>
        <w:t>esearch on</w:t>
      </w:r>
      <w:r w:rsidR="003A13A8">
        <w:rPr>
          <w:rFonts w:asciiTheme="majorBidi" w:hAnsiTheme="majorBidi" w:cstheme="majorBidi"/>
          <w:sz w:val="24"/>
          <w:szCs w:val="24"/>
        </w:rPr>
        <w:t xml:space="preserve"> intelligence and counter</w:t>
      </w:r>
      <w:r w:rsidR="00245931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</w:t>
      </w:r>
      <w:r w:rsidR="00E11ACB">
        <w:rPr>
          <w:rFonts w:asciiTheme="majorBidi" w:hAnsiTheme="majorBidi" w:cstheme="majorBidi"/>
          <w:sz w:val="24"/>
          <w:szCs w:val="24"/>
        </w:rPr>
        <w:t>ies</w:t>
      </w:r>
      <w:r w:rsidR="003A13A8">
        <w:rPr>
          <w:rFonts w:asciiTheme="majorBidi" w:hAnsiTheme="majorBidi" w:cstheme="majorBidi"/>
          <w:sz w:val="24"/>
          <w:szCs w:val="24"/>
        </w:rPr>
        <w:t xml:space="preserve"> of non-state </w:t>
      </w:r>
      <w:r w:rsidR="001A2C4B">
        <w:rPr>
          <w:rFonts w:asciiTheme="majorBidi" w:hAnsiTheme="majorBidi" w:cstheme="majorBidi"/>
          <w:sz w:val="24"/>
          <w:szCs w:val="24"/>
        </w:rPr>
        <w:t xml:space="preserve">armed </w:t>
      </w:r>
      <w:r w:rsidR="003A13A8">
        <w:rPr>
          <w:rFonts w:asciiTheme="majorBidi" w:hAnsiTheme="majorBidi" w:cstheme="majorBidi"/>
          <w:sz w:val="24"/>
          <w:szCs w:val="24"/>
        </w:rPr>
        <w:t>organization</w:t>
      </w:r>
      <w:r w:rsidR="00245931">
        <w:rPr>
          <w:rFonts w:asciiTheme="majorBidi" w:hAnsiTheme="majorBidi" w:cstheme="majorBidi"/>
          <w:sz w:val="24"/>
          <w:szCs w:val="24"/>
        </w:rPr>
        <w:t>s</w:t>
      </w:r>
      <w:r w:rsidR="00E11ACB">
        <w:rPr>
          <w:rFonts w:asciiTheme="majorBidi" w:hAnsiTheme="majorBidi" w:cstheme="majorBidi"/>
          <w:sz w:val="24"/>
          <w:szCs w:val="24"/>
        </w:rPr>
        <w:t xml:space="preserve">, particularly </w:t>
      </w:r>
      <w:r w:rsidR="00F62688">
        <w:rPr>
          <w:rFonts w:asciiTheme="majorBidi" w:hAnsiTheme="majorBidi" w:cstheme="majorBidi"/>
          <w:sz w:val="24"/>
          <w:szCs w:val="24"/>
        </w:rPr>
        <w:t xml:space="preserve">on </w:t>
      </w:r>
      <w:r w:rsidR="00E11ACB">
        <w:rPr>
          <w:rFonts w:asciiTheme="majorBidi" w:hAnsiTheme="majorBidi" w:cstheme="majorBidi"/>
          <w:sz w:val="24"/>
          <w:szCs w:val="24"/>
        </w:rPr>
        <w:t>the specific issue of doubling sources,</w:t>
      </w:r>
      <w:r w:rsidR="003A13A8">
        <w:rPr>
          <w:rFonts w:asciiTheme="majorBidi" w:hAnsiTheme="majorBidi" w:cstheme="majorBidi"/>
          <w:sz w:val="24"/>
          <w:szCs w:val="24"/>
        </w:rPr>
        <w:t xml:space="preserve"> lack</w:t>
      </w:r>
      <w:r w:rsidR="00773849">
        <w:rPr>
          <w:rFonts w:asciiTheme="majorBidi" w:hAnsiTheme="majorBidi" w:cstheme="majorBidi"/>
          <w:sz w:val="24"/>
          <w:szCs w:val="24"/>
        </w:rPr>
        <w:t xml:space="preserve">s </w:t>
      </w:r>
      <w:ins w:id="7" w:author="Author">
        <w:r w:rsidR="00E11ACB">
          <w:rPr>
            <w:rFonts w:asciiTheme="majorBidi" w:hAnsiTheme="majorBidi" w:cstheme="majorBidi"/>
            <w:sz w:val="24"/>
            <w:szCs w:val="24"/>
          </w:rPr>
          <w:t xml:space="preserve">sufficient </w:t>
        </w:r>
      </w:ins>
      <w:commentRangeStart w:id="8"/>
      <w:r w:rsidR="00773849">
        <w:rPr>
          <w:rFonts w:asciiTheme="majorBidi" w:hAnsiTheme="majorBidi" w:cstheme="majorBidi"/>
          <w:sz w:val="24"/>
          <w:szCs w:val="24"/>
        </w:rPr>
        <w:t xml:space="preserve">academic </w:t>
      </w:r>
      <w:ins w:id="9" w:author="Author">
        <w:r w:rsidR="00F62688">
          <w:rPr>
            <w:rFonts w:asciiTheme="majorBidi" w:hAnsiTheme="majorBidi" w:cstheme="majorBidi"/>
            <w:sz w:val="24"/>
            <w:szCs w:val="24"/>
          </w:rPr>
          <w:t>documentation</w:t>
        </w:r>
      </w:ins>
      <w:del w:id="10" w:author="Author">
        <w:r w:rsidR="00773849" w:rsidDel="00E61787">
          <w:rPr>
            <w:rFonts w:asciiTheme="majorBidi" w:hAnsiTheme="majorBidi" w:cstheme="majorBidi"/>
            <w:sz w:val="24"/>
            <w:szCs w:val="24"/>
          </w:rPr>
          <w:delText>material</w:delText>
        </w:r>
      </w:del>
      <w:commentRangeEnd w:id="8"/>
      <w:r w:rsidR="00A86705">
        <w:rPr>
          <w:rStyle w:val="a8"/>
        </w:rPr>
        <w:commentReference w:id="8"/>
      </w:r>
      <w:ins w:id="11" w:author="Author">
        <w:r w:rsidR="00E61787">
          <w:rPr>
            <w:rFonts w:asciiTheme="majorBidi" w:hAnsiTheme="majorBidi" w:cstheme="majorBidi"/>
            <w:sz w:val="24"/>
            <w:szCs w:val="24"/>
          </w:rPr>
          <w:t>.</w:t>
        </w:r>
      </w:ins>
      <w:del w:id="12" w:author="Author"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73849" w:rsidDel="00E11ACB">
          <w:rPr>
            <w:rFonts w:asciiTheme="majorBidi" w:hAnsiTheme="majorBidi" w:cstheme="majorBidi"/>
            <w:sz w:val="24"/>
            <w:szCs w:val="24"/>
          </w:rPr>
          <w:delText>and is insufficient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A13A8" w:rsidRPr="003A13A8" w:rsidDel="00E11ACB">
          <w:rPr>
            <w:rFonts w:asciiTheme="majorBidi" w:hAnsiTheme="majorBidi" w:cstheme="majorBidi"/>
            <w:sz w:val="24"/>
            <w:szCs w:val="24"/>
          </w:rPr>
          <w:delText>fortiori</w:delText>
        </w:r>
        <w:r w:rsidR="003A13A8" w:rsidDel="00E11ACB">
          <w:rPr>
            <w:rFonts w:asciiTheme="majorBidi" w:hAnsiTheme="majorBidi" w:cstheme="majorBidi"/>
            <w:sz w:val="24"/>
            <w:szCs w:val="24"/>
          </w:rPr>
          <w:delText xml:space="preserve"> the specific aspect of doubling sources</w:delText>
        </w:r>
        <w:r w:rsidR="003A13A8" w:rsidDel="00F056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3A13A8">
        <w:rPr>
          <w:rFonts w:asciiTheme="majorBidi" w:hAnsiTheme="majorBidi" w:cstheme="majorBidi"/>
          <w:sz w:val="24"/>
          <w:szCs w:val="24"/>
        </w:rPr>
        <w:t xml:space="preserve"> Therefore, </w:t>
      </w:r>
      <w:r w:rsidR="00E57DE6" w:rsidRPr="00AB46FC">
        <w:rPr>
          <w:rFonts w:asciiTheme="majorBidi" w:hAnsiTheme="majorBidi" w:cstheme="majorBidi"/>
          <w:sz w:val="24"/>
          <w:szCs w:val="24"/>
        </w:rPr>
        <w:t>th</w:t>
      </w:r>
      <w:r w:rsidR="00E61787">
        <w:rPr>
          <w:rFonts w:asciiTheme="majorBidi" w:hAnsiTheme="majorBidi" w:cstheme="majorBidi"/>
          <w:sz w:val="24"/>
          <w:szCs w:val="24"/>
        </w:rPr>
        <w:t>is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article </w:t>
      </w:r>
      <w:r w:rsidR="003A13A8">
        <w:rPr>
          <w:rFonts w:asciiTheme="majorBidi" w:hAnsiTheme="majorBidi" w:cstheme="majorBidi"/>
          <w:sz w:val="24"/>
          <w:szCs w:val="24"/>
        </w:rPr>
        <w:t xml:space="preserve">will </w:t>
      </w:r>
      <w:r w:rsidR="00E61787">
        <w:rPr>
          <w:rFonts w:asciiTheme="majorBidi" w:hAnsiTheme="majorBidi" w:cstheme="majorBidi"/>
          <w:sz w:val="24"/>
          <w:szCs w:val="24"/>
        </w:rPr>
        <w:t>make a unique contribution by exploring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how</w:t>
      </w:r>
      <w:r w:rsidR="00E61787">
        <w:rPr>
          <w:rFonts w:asciiTheme="majorBidi" w:hAnsiTheme="majorBidi" w:cstheme="majorBidi"/>
          <w:sz w:val="24"/>
          <w:szCs w:val="24"/>
        </w:rPr>
        <w:t xml:space="preserve"> a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3A13A8">
        <w:rPr>
          <w:rFonts w:asciiTheme="majorBidi" w:hAnsiTheme="majorBidi" w:cstheme="majorBidi"/>
          <w:sz w:val="24"/>
          <w:szCs w:val="24"/>
        </w:rPr>
        <w:t>t</w:t>
      </w:r>
      <w:r w:rsidR="00544C62" w:rsidRPr="00AB46FC">
        <w:rPr>
          <w:rFonts w:asciiTheme="majorBidi" w:hAnsiTheme="majorBidi" w:cstheme="majorBidi"/>
          <w:sz w:val="24"/>
          <w:szCs w:val="24"/>
        </w:rPr>
        <w:t>error organization can use doubling of sources as part of its asymmetric war against a state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. </w:t>
      </w:r>
      <w:r w:rsidR="003A13A8" w:rsidRPr="003A13A8">
        <w:rPr>
          <w:rFonts w:asciiTheme="majorBidi" w:hAnsiTheme="majorBidi" w:cstheme="majorBidi"/>
          <w:sz w:val="24"/>
          <w:szCs w:val="24"/>
        </w:rPr>
        <w:t>In addition,</w:t>
      </w:r>
      <w:r w:rsidR="003A13A8">
        <w:rPr>
          <w:rFonts w:asciiTheme="majorBidi" w:hAnsiTheme="majorBidi" w:cstheme="majorBidi"/>
          <w:sz w:val="24"/>
          <w:szCs w:val="24"/>
        </w:rPr>
        <w:t xml:space="preserve"> it will </w:t>
      </w:r>
      <w:r w:rsidR="00773849">
        <w:rPr>
          <w:rFonts w:asciiTheme="majorBidi" w:hAnsiTheme="majorBidi" w:cstheme="majorBidi"/>
          <w:sz w:val="24"/>
          <w:szCs w:val="24"/>
        </w:rPr>
        <w:t>shed</w:t>
      </w:r>
      <w:r w:rsidR="003A13A8">
        <w:rPr>
          <w:rFonts w:asciiTheme="majorBidi" w:hAnsiTheme="majorBidi" w:cstheme="majorBidi"/>
          <w:sz w:val="24"/>
          <w:szCs w:val="24"/>
        </w:rPr>
        <w:t xml:space="preserve"> light on an interesting aspect of Hamas</w:t>
      </w:r>
      <w:r w:rsidR="00314223">
        <w:rPr>
          <w:rFonts w:asciiTheme="majorBidi" w:hAnsiTheme="majorBidi" w:cstheme="majorBidi"/>
          <w:sz w:val="24"/>
          <w:szCs w:val="24"/>
        </w:rPr>
        <w:t>’s</w:t>
      </w:r>
      <w:r w:rsidR="003A13A8">
        <w:rPr>
          <w:rFonts w:asciiTheme="majorBidi" w:hAnsiTheme="majorBidi" w:cstheme="majorBidi"/>
          <w:sz w:val="24"/>
          <w:szCs w:val="24"/>
        </w:rPr>
        <w:t xml:space="preserve"> counter</w:t>
      </w:r>
      <w:r w:rsidR="00773849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activity.</w:t>
      </w:r>
    </w:p>
    <w:p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72142">
        <w:rPr>
          <w:rFonts w:asciiTheme="majorBidi" w:hAnsiTheme="majorBidi" w:cstheme="majorBidi"/>
          <w:b/>
          <w:bCs/>
          <w:sz w:val="24"/>
          <w:szCs w:val="24"/>
          <w:u w:val="single"/>
        </w:rPr>
        <w:t>Bio</w:t>
      </w:r>
      <w:r w:rsidR="003C6CA3">
        <w:rPr>
          <w:rFonts w:asciiTheme="majorBidi" w:hAnsiTheme="majorBidi" w:cstheme="majorBidi"/>
          <w:b/>
          <w:bCs/>
          <w:sz w:val="24"/>
          <w:szCs w:val="24"/>
          <w:u w:val="single"/>
        </w:rPr>
        <w:t>graphy</w:t>
      </w:r>
    </w:p>
    <w:p w:rsidR="001A2C4B" w:rsidRPr="007F35F5" w:rsidRDefault="001A2C4B" w:rsidP="00126084">
      <w:pPr>
        <w:bidi w:val="0"/>
        <w:spacing w:line="360" w:lineRule="auto"/>
        <w:jc w:val="both"/>
        <w:rPr>
          <w:rFonts w:ascii="David" w:eastAsia="Times New Roman" w:hAnsi="David" w:cs="David"/>
          <w:sz w:val="24"/>
          <w:szCs w:val="24"/>
          <w:bdr w:val="none" w:sz="0" w:space="0" w:color="auto" w:frame="1"/>
          <w:rtl/>
        </w:rPr>
      </w:pP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Netanel (</w:t>
      </w: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Nati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) Flamer is a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PhD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student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Department of Middle Eastern Studies 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-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 University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He 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was awarded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an M.A. in Middle Eastern Studies from Tel Aviv University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with </w:t>
      </w:r>
      <w:commentRangeStart w:id="13"/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honors</w:t>
      </w:r>
      <w:commentRangeEnd w:id="13"/>
      <w:r w:rsidR="003C6CA3">
        <w:rPr>
          <w:rStyle w:val="a8"/>
        </w:rPr>
        <w:commentReference w:id="13"/>
      </w:r>
      <w:r w:rsidR="00A86705">
        <w:rPr>
          <w:rFonts w:ascii="David" w:eastAsia="Times New Roman" w:hAnsi="David"/>
          <w:sz w:val="24"/>
          <w:szCs w:val="24"/>
          <w:bdr w:val="none" w:sz="0" w:space="0" w:color="auto" w:frame="1"/>
        </w:rPr>
        <w:t xml:space="preserve"> </w:t>
      </w:r>
      <w:ins w:id="14" w:author="נתנאל" w:date="2020-05-31T10:35:00Z">
        <w:r w:rsidR="00A86705">
          <w:rPr>
            <w:rFonts w:ascii="David" w:eastAsia="Times New Roman" w:hAnsi="David"/>
            <w:sz w:val="24"/>
            <w:szCs w:val="24"/>
            <w:bdr w:val="none" w:sz="0" w:space="0" w:color="auto" w:frame="1"/>
          </w:rPr>
          <w:t>in 2015</w:t>
        </w:r>
      </w:ins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 w:rsidRPr="00E132B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Over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past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four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years</w:t>
      </w:r>
      <w:r w:rsidR="003C6CA3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,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he 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has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been 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work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ing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as a teaching assistant at the IDC School of Government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, and 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is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currently a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adjunct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lecturer </w:t>
      </w:r>
      <w:r w:rsidR="00B1526C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Bar-Ilan University.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His current research examines the intelligence a</w:t>
      </w:r>
      <w:commentRangeStart w:id="15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ctivit</w:t>
      </w:r>
      <w:ins w:id="16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ies</w:t>
        </w:r>
      </w:ins>
      <w:del w:id="17" w:author="Author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y</w:delText>
        </w:r>
      </w:del>
      <w:commentRangeEnd w:id="15"/>
      <w:r w:rsidR="00A86705">
        <w:rPr>
          <w:rStyle w:val="a8"/>
          <w:rtl/>
        </w:rPr>
        <w:commentReference w:id="15"/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commentRangeStart w:id="18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of </w:t>
      </w:r>
      <w:commentRangeStart w:id="19"/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Hizb</w:t>
      </w:r>
      <w:ins w:id="20" w:author="Author">
        <w:r w:rsidR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t>u</w:t>
        </w:r>
      </w:ins>
      <w:del w:id="21" w:author="Author">
        <w:r w:rsidRPr="007F35F5" w:rsidDel="00B1526C">
          <w:rPr>
            <w:rFonts w:ascii="David" w:eastAsia="Times New Roman" w:hAnsi="David" w:cs="David"/>
            <w:sz w:val="24"/>
            <w:szCs w:val="24"/>
            <w:bdr w:val="none" w:sz="0" w:space="0" w:color="auto" w:frame="1"/>
          </w:rPr>
          <w:delText>a</w:delText>
        </w:r>
      </w:del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llah</w:t>
      </w:r>
      <w:commentRangeEnd w:id="19"/>
      <w:proofErr w:type="spellEnd"/>
      <w:r w:rsidR="00B1526C">
        <w:rPr>
          <w:rStyle w:val="a8"/>
        </w:rPr>
        <w:commentReference w:id="19"/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commentRangeEnd w:id="18"/>
      <w:r w:rsidR="00A86705">
        <w:rPr>
          <w:rStyle w:val="a8"/>
          <w:rtl/>
        </w:rPr>
        <w:commentReference w:id="18"/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and Hamas against Israel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</w:t>
      </w:r>
      <w:r w:rsidR="00F62688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His general field of interest is</w:t>
      </w:r>
      <w:r w:rsidR="003C6CA3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Islamic terror organizatio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ns in the Middle East and intelligence issues related to the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Lebanese and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Palestinian arena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s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</w:p>
    <w:p w:rsidR="001A2C4B" w:rsidRPr="00E72142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66789" w:rsidRPr="00A555C4" w:rsidRDefault="007A7CE7" w:rsidP="007A7CE7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A07A5">
        <w:rPr>
          <w:rFonts w:asciiTheme="majorBidi" w:hAnsiTheme="majorBidi" w:cstheme="majorBidi"/>
        </w:rPr>
        <w:t xml:space="preserve">   </w:t>
      </w:r>
    </w:p>
    <w:sectPr w:rsidR="00A66789" w:rsidRPr="00A555C4" w:rsidSect="00052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נתנאל" w:date="2020-05-31T10:41:00Z" w:initials="נ">
    <w:p w:rsidR="00624B81" w:rsidRDefault="004C5A3F" w:rsidP="00624B81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עם </w:t>
      </w:r>
      <w:r>
        <w:t>A</w:t>
      </w:r>
      <w:r>
        <w:rPr>
          <w:rFonts w:hint="cs"/>
          <w:rtl/>
        </w:rPr>
        <w:t xml:space="preserve"> או </w:t>
      </w:r>
      <w:r>
        <w:t>a</w:t>
      </w:r>
    </w:p>
    <w:p w:rsidR="00624B81" w:rsidRDefault="00624B81" w:rsidP="00624B81">
      <w:pPr>
        <w:pStyle w:val="a9"/>
        <w:rPr>
          <w:rFonts w:hint="cs"/>
          <w:rtl/>
        </w:rPr>
      </w:pPr>
      <w:r>
        <w:rPr>
          <w:rFonts w:hint="cs"/>
          <w:rtl/>
        </w:rPr>
        <w:t xml:space="preserve">(בשורה הבאה זה עם </w:t>
      </w:r>
      <w:r>
        <w:t>a</w:t>
      </w:r>
      <w:r>
        <w:rPr>
          <w:rFonts w:hint="cs"/>
          <w:rtl/>
        </w:rPr>
        <w:t xml:space="preserve"> קטנה)</w:t>
      </w:r>
    </w:p>
  </w:comment>
  <w:comment w:id="6" w:author="Author" w:initials="A">
    <w:p w:rsidR="00B1526C" w:rsidRDefault="00B1526C">
      <w:pPr>
        <w:pStyle w:val="a9"/>
      </w:pPr>
      <w:r>
        <w:rPr>
          <w:rStyle w:val="a8"/>
        </w:rPr>
        <w:annotationRef/>
      </w:r>
      <w:r>
        <w:t>Is it important to include your nickname?</w:t>
      </w:r>
    </w:p>
  </w:comment>
  <w:comment w:id="5" w:author="נתנאל" w:date="2020-05-31T10:40:00Z" w:initials="נ">
    <w:p w:rsidR="00624B81" w:rsidRDefault="00624B81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בעקרון זה "שם הבמה" שלי..</w:t>
      </w:r>
    </w:p>
    <w:p w:rsidR="00624B81" w:rsidRDefault="00624B81">
      <w:pPr>
        <w:pStyle w:val="a9"/>
        <w:rPr>
          <w:rFonts w:hint="cs"/>
          <w:rtl/>
        </w:rPr>
      </w:pPr>
    </w:p>
    <w:p w:rsidR="00624B81" w:rsidRDefault="00624B81">
      <w:pPr>
        <w:pStyle w:val="a9"/>
        <w:rPr>
          <w:rFonts w:hint="cs"/>
          <w:rtl/>
        </w:rPr>
      </w:pPr>
      <w:r>
        <w:rPr>
          <w:rFonts w:hint="cs"/>
          <w:rtl/>
        </w:rPr>
        <w:t xml:space="preserve">נתנאל (נתי) </w:t>
      </w:r>
      <w:proofErr w:type="spellStart"/>
      <w:r>
        <w:rPr>
          <w:rFonts w:hint="cs"/>
          <w:rtl/>
        </w:rPr>
        <w:t>פלמר</w:t>
      </w:r>
      <w:proofErr w:type="spellEnd"/>
    </w:p>
    <w:p w:rsidR="00624B81" w:rsidRDefault="00624B81">
      <w:pPr>
        <w:pStyle w:val="a9"/>
        <w:rPr>
          <w:rFonts w:hint="cs"/>
          <w:rtl/>
        </w:rPr>
      </w:pPr>
    </w:p>
    <w:p w:rsidR="00624B81" w:rsidRDefault="00624B81">
      <w:pPr>
        <w:pStyle w:val="a9"/>
        <w:rPr>
          <w:rFonts w:hint="cs"/>
          <w:rtl/>
        </w:rPr>
      </w:pPr>
      <w:r>
        <w:rPr>
          <w:rFonts w:hint="cs"/>
          <w:rtl/>
        </w:rPr>
        <w:t>מכיוון שאני בראשית דרכי האקדמית, עוד לא החלטתי בסוגיה.</w:t>
      </w:r>
    </w:p>
    <w:p w:rsidR="00624B81" w:rsidRDefault="00624B81">
      <w:pPr>
        <w:pStyle w:val="a9"/>
        <w:rPr>
          <w:rFonts w:hint="cs"/>
          <w:rtl/>
        </w:rPr>
      </w:pPr>
    </w:p>
    <w:p w:rsidR="00624B81" w:rsidRDefault="00624B81">
      <w:pPr>
        <w:pStyle w:val="a9"/>
        <w:rPr>
          <w:rFonts w:hint="cs"/>
          <w:rtl/>
        </w:rPr>
      </w:pPr>
      <w:r>
        <w:rPr>
          <w:rFonts w:hint="cs"/>
          <w:rtl/>
        </w:rPr>
        <w:t>אשמח לשמוע המלצות</w:t>
      </w:r>
      <w:r>
        <w:sym w:font="Wingdings" w:char="F04A"/>
      </w:r>
    </w:p>
  </w:comment>
  <w:comment w:id="8" w:author="נתנאל" w:date="2020-05-31T10:33:00Z" w:initials="נ">
    <w:p w:rsidR="00A86705" w:rsidRDefault="00A86705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אני חושב שהמילה </w:t>
      </w:r>
      <w:r>
        <w:t>documentation</w:t>
      </w:r>
      <w:r>
        <w:rPr>
          <w:rFonts w:hint="cs"/>
          <w:rtl/>
        </w:rPr>
        <w:t xml:space="preserve"> פחות מתאימה. אני רוצה לומר שיש חוסר בכתיבה אקדמית בנושא. אשמח שזה יהיה מנוסח ממש ככה.</w:t>
      </w:r>
    </w:p>
  </w:comment>
  <w:comment w:id="13" w:author="Author" w:initials="A">
    <w:p w:rsidR="003C6CA3" w:rsidRDefault="003C6CA3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>Consider giving the year.</w:t>
      </w:r>
    </w:p>
  </w:comment>
  <w:comment w:id="15" w:author="נתנאל" w:date="2020-05-31T10:37:00Z" w:initials="נ">
    <w:p w:rsidR="00A86705" w:rsidRDefault="00A86705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המדובר פה הוא על "הפעילות המודיעינית", לא על פעולות מודיעיניות.. האם ניתן להשאיר בכל זאת </w:t>
      </w:r>
      <w:r>
        <w:t>activity</w:t>
      </w:r>
      <w:r>
        <w:rPr>
          <w:rFonts w:hint="cs"/>
          <w:rtl/>
        </w:rPr>
        <w:t>?</w:t>
      </w:r>
    </w:p>
  </w:comment>
  <w:comment w:id="19" w:author="Author" w:initials="A">
    <w:p w:rsidR="00B1526C" w:rsidRDefault="00B1526C" w:rsidP="00B1526C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>This can also be spelled Hezbollah</w:t>
      </w:r>
    </w:p>
  </w:comment>
  <w:comment w:id="18" w:author="נתנאל" w:date="2020-05-31T10:36:00Z" w:initials="נ">
    <w:p w:rsidR="00A86705" w:rsidRDefault="00A86705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על פי כללי התעתיק מערבית, יש לכתוב </w:t>
      </w:r>
      <w:proofErr w:type="spellStart"/>
      <w:r>
        <w:t>hizballah</w:t>
      </w:r>
      <w:proofErr w:type="spellEnd"/>
      <w:r>
        <w:rPr>
          <w:rFonts w:hint="cs"/>
          <w:rtl/>
        </w:rPr>
        <w:t xml:space="preserve"> (אני כותב מזווית של חוקר מזרח תיכון, לא מדע המדינה)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9921A5" w15:done="0"/>
  <w15:commentEx w15:paraId="5EE8BC11" w15:done="0"/>
  <w15:commentEx w15:paraId="3DDA4E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31" w:rsidRDefault="00F04C31" w:rsidP="009A479B">
      <w:pPr>
        <w:spacing w:after="0" w:line="240" w:lineRule="auto"/>
      </w:pPr>
      <w:r>
        <w:separator/>
      </w:r>
    </w:p>
  </w:endnote>
  <w:endnote w:type="continuationSeparator" w:id="0">
    <w:p w:rsidR="00F04C31" w:rsidRDefault="00F04C31" w:rsidP="009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31" w:rsidRDefault="00F04C31">
      <w:pPr>
        <w:spacing w:after="0" w:line="240" w:lineRule="auto"/>
        <w:jc w:val="right"/>
        <w:pPrChange w:id="0" w:author="Author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:rsidR="00F04C31" w:rsidRDefault="00F04C31" w:rsidP="009A479B">
      <w:pPr>
        <w:spacing w:after="0" w:line="240" w:lineRule="auto"/>
      </w:pPr>
      <w:r>
        <w:continuationSeparator/>
      </w:r>
    </w:p>
  </w:footnote>
  <w:footnote w:id="1">
    <w:p w:rsidR="009A479B" w:rsidRPr="00A86705" w:rsidRDefault="009A479B" w:rsidP="00A86705">
      <w:pPr>
        <w:pStyle w:val="a3"/>
        <w:bidi w:val="0"/>
        <w:jc w:val="both"/>
        <w:rPr>
          <w:rFonts w:asciiTheme="majorBidi" w:hAnsiTheme="majorBidi" w:cstheme="majorBidi"/>
        </w:rPr>
      </w:pPr>
      <w:r w:rsidRPr="00303E59">
        <w:rPr>
          <w:rStyle w:val="a5"/>
          <w:rFonts w:ascii="David" w:hAnsi="David" w:cs="David"/>
        </w:rPr>
        <w:footnoteRef/>
      </w:r>
      <w:r w:rsidRPr="00303E59">
        <w:rPr>
          <w:rFonts w:ascii="David" w:hAnsi="David" w:cs="David"/>
          <w:rtl/>
        </w:rPr>
        <w:t xml:space="preserve"> </w:t>
      </w:r>
      <w:r w:rsidRPr="00A86705">
        <w:rPr>
          <w:rFonts w:asciiTheme="majorBidi" w:hAnsiTheme="majorBidi" w:cstheme="majorBidi"/>
        </w:rPr>
        <w:t xml:space="preserve">See Hillel Cohen, </w:t>
      </w:r>
      <w:r w:rsidRPr="00A86705">
        <w:rPr>
          <w:rFonts w:asciiTheme="majorBidi" w:hAnsiTheme="majorBidi" w:cstheme="majorBidi"/>
          <w:i/>
          <w:iCs/>
        </w:rPr>
        <w:t>Army of Shadows: Palestinian Collaboration with Zionism, 1917–1948</w:t>
      </w:r>
      <w:r w:rsidR="00F05645">
        <w:rPr>
          <w:rFonts w:asciiTheme="majorBidi" w:hAnsiTheme="majorBidi" w:cstheme="majorBidi"/>
          <w:i/>
          <w:iCs/>
        </w:rPr>
        <w:t>.</w:t>
      </w:r>
      <w:r w:rsidRPr="00A86705">
        <w:rPr>
          <w:rFonts w:asciiTheme="majorBidi" w:hAnsiTheme="majorBidi" w:cstheme="majorBidi"/>
        </w:rPr>
        <w:t xml:space="preserve"> (</w:t>
      </w:r>
      <w:r w:rsidRPr="00A86705">
        <w:rPr>
          <w:rFonts w:asciiTheme="majorBidi" w:hAnsiTheme="majorBidi" w:cstheme="majorBidi"/>
          <w:shd w:val="clear" w:color="auto" w:fill="FFFFFF"/>
        </w:rPr>
        <w:t xml:space="preserve">Oakland: University of California Press, 2008); Hillel Cohen, </w:t>
      </w:r>
      <w:r w:rsidRPr="00A86705">
        <w:rPr>
          <w:rFonts w:asciiTheme="majorBidi" w:hAnsiTheme="majorBidi" w:cstheme="majorBidi"/>
          <w:i/>
          <w:iCs/>
          <w:shd w:val="clear" w:color="auto" w:fill="FFFFFF"/>
        </w:rPr>
        <w:t>Good Arabs: The Israeli Security Agencies and the Israeli Arabs, 1948–1967</w:t>
      </w:r>
      <w:r w:rsidR="00A86705" w:rsidRPr="00A86705">
        <w:rPr>
          <w:rFonts w:asciiTheme="majorBidi" w:hAnsiTheme="majorBidi" w:cstheme="majorBidi"/>
          <w:i/>
          <w:iCs/>
          <w:shd w:val="clear" w:color="auto" w:fill="FFFFFF"/>
        </w:rPr>
        <w:t>.</w:t>
      </w:r>
      <w:r w:rsidRPr="00A86705">
        <w:rPr>
          <w:rFonts w:asciiTheme="majorBidi" w:hAnsiTheme="majorBidi" w:cstheme="majorBidi"/>
          <w:shd w:val="clear" w:color="auto" w:fill="FFFFFF"/>
        </w:rPr>
        <w:t xml:space="preserve"> </w:t>
      </w:r>
      <w:r w:rsidRPr="00A86705">
        <w:rPr>
          <w:rFonts w:asciiTheme="majorBidi" w:hAnsiTheme="majorBidi" w:cstheme="majorBidi"/>
        </w:rPr>
        <w:t>(</w:t>
      </w:r>
      <w:r w:rsidRPr="00A86705">
        <w:rPr>
          <w:rFonts w:asciiTheme="majorBidi" w:hAnsiTheme="majorBidi" w:cstheme="majorBidi"/>
          <w:shd w:val="clear" w:color="auto" w:fill="FFFFFF"/>
        </w:rPr>
        <w:t>Oakland: University of California Press, 2010)</w:t>
      </w:r>
      <w:r w:rsidRPr="00A86705">
        <w:rPr>
          <w:rFonts w:asciiTheme="majorBidi" w:hAnsiTheme="majorBidi" w:cstheme="majorBidi"/>
        </w:rPr>
        <w:t>.</w:t>
      </w:r>
    </w:p>
  </w:footnote>
  <w:footnote w:id="2">
    <w:p w:rsidR="009A479B" w:rsidRPr="00A86705" w:rsidRDefault="009A479B">
      <w:pPr>
        <w:pStyle w:val="a3"/>
        <w:bidi w:val="0"/>
        <w:jc w:val="both"/>
        <w:rPr>
          <w:rFonts w:asciiTheme="majorBidi" w:hAnsiTheme="majorBidi" w:cstheme="majorBidi"/>
        </w:rPr>
      </w:pPr>
      <w:r w:rsidRPr="00A86705">
        <w:rPr>
          <w:rStyle w:val="a5"/>
          <w:rFonts w:asciiTheme="majorBidi" w:hAnsiTheme="majorBidi" w:cstheme="majorBidi"/>
        </w:rPr>
        <w:footnoteRef/>
      </w:r>
      <w:r w:rsidRPr="00A86705">
        <w:rPr>
          <w:rFonts w:asciiTheme="majorBidi" w:hAnsiTheme="majorBidi" w:cstheme="majorBidi"/>
          <w:rtl/>
        </w:rPr>
        <w:t xml:space="preserve"> </w:t>
      </w:r>
      <w:r w:rsidR="00F05645">
        <w:rPr>
          <w:rFonts w:asciiTheme="majorBidi" w:hAnsiTheme="majorBidi" w:cstheme="majorBidi"/>
        </w:rPr>
        <w:t>For a</w:t>
      </w:r>
      <w:r w:rsidRPr="00A86705">
        <w:rPr>
          <w:rFonts w:asciiTheme="majorBidi" w:hAnsiTheme="majorBidi" w:cstheme="majorBidi"/>
        </w:rPr>
        <w:t xml:space="preserve">n attempt to </w:t>
      </w:r>
      <w:r w:rsidR="00FD614C">
        <w:rPr>
          <w:rFonts w:asciiTheme="majorBidi" w:hAnsiTheme="majorBidi" w:cstheme="majorBidi"/>
        </w:rPr>
        <w:t>c</w:t>
      </w:r>
      <w:r w:rsidRPr="00A86705">
        <w:rPr>
          <w:rFonts w:asciiTheme="majorBidi" w:hAnsiTheme="majorBidi" w:cstheme="majorBidi"/>
        </w:rPr>
        <w:t xml:space="preserve">haracterize </w:t>
      </w:r>
      <w:r w:rsidR="00303E59" w:rsidRPr="00A86705">
        <w:rPr>
          <w:rFonts w:asciiTheme="majorBidi" w:hAnsiTheme="majorBidi" w:cstheme="majorBidi"/>
        </w:rPr>
        <w:t>and categorize</w:t>
      </w:r>
      <w:r w:rsidRPr="00A86705">
        <w:rPr>
          <w:rFonts w:asciiTheme="majorBidi" w:hAnsiTheme="majorBidi" w:cstheme="majorBidi"/>
        </w:rPr>
        <w:t xml:space="preserve"> this activity</w:t>
      </w:r>
      <w:r w:rsidR="00303E59" w:rsidRPr="00A86705">
        <w:rPr>
          <w:rFonts w:asciiTheme="majorBidi" w:hAnsiTheme="majorBidi" w:cstheme="majorBidi"/>
        </w:rPr>
        <w:t xml:space="preserve"> </w:t>
      </w:r>
      <w:r w:rsidR="00F05645">
        <w:rPr>
          <w:rFonts w:asciiTheme="majorBidi" w:hAnsiTheme="majorBidi" w:cstheme="majorBidi"/>
        </w:rPr>
        <w:t>i</w:t>
      </w:r>
      <w:r w:rsidR="00303E59" w:rsidRPr="00A86705">
        <w:rPr>
          <w:rFonts w:asciiTheme="majorBidi" w:hAnsiTheme="majorBidi" w:cstheme="majorBidi"/>
        </w:rPr>
        <w:t>n real time</w:t>
      </w:r>
      <w:r w:rsidR="00F05645">
        <w:rPr>
          <w:rFonts w:asciiTheme="majorBidi" w:hAnsiTheme="majorBidi" w:cstheme="majorBidi"/>
        </w:rPr>
        <w:t>,</w:t>
      </w:r>
      <w:r w:rsidRPr="00A86705">
        <w:rPr>
          <w:rFonts w:asciiTheme="majorBidi" w:hAnsiTheme="majorBidi" w:cstheme="majorBidi"/>
        </w:rPr>
        <w:t xml:space="preserve"> </w:t>
      </w:r>
      <w:r w:rsidR="00303E59" w:rsidRPr="00A86705">
        <w:rPr>
          <w:rFonts w:asciiTheme="majorBidi" w:hAnsiTheme="majorBidi" w:cstheme="majorBidi"/>
        </w:rPr>
        <w:t>see</w:t>
      </w:r>
      <w:r w:rsidRPr="00A86705">
        <w:rPr>
          <w:rFonts w:asciiTheme="majorBidi" w:hAnsiTheme="majorBidi" w:cstheme="majorBidi"/>
        </w:rPr>
        <w:t xml:space="preserve"> "Collaborators in the Occupie</w:t>
      </w:r>
      <w:r w:rsidR="00F05645">
        <w:rPr>
          <w:rFonts w:asciiTheme="majorBidi" w:hAnsiTheme="majorBidi" w:cstheme="majorBidi"/>
        </w:rPr>
        <w:t>d</w:t>
      </w:r>
      <w:r w:rsidR="00303E59" w:rsidRPr="00A86705">
        <w:rPr>
          <w:rFonts w:asciiTheme="majorBidi" w:hAnsiTheme="majorBidi" w:cstheme="majorBidi"/>
        </w:rPr>
        <w:t xml:space="preserve"> </w:t>
      </w:r>
      <w:r w:rsidRPr="00A86705">
        <w:rPr>
          <w:rFonts w:asciiTheme="majorBidi" w:hAnsiTheme="majorBidi" w:cstheme="majorBidi"/>
        </w:rPr>
        <w:t>Territories: Human Rights Abuses and Violations</w:t>
      </w:r>
      <w:r w:rsidR="00F05645">
        <w:rPr>
          <w:rFonts w:asciiTheme="majorBidi" w:hAnsiTheme="majorBidi" w:cstheme="majorBidi"/>
        </w:rPr>
        <w:t>,</w:t>
      </w:r>
      <w:r w:rsidR="00303E59" w:rsidRPr="00A86705">
        <w:rPr>
          <w:rFonts w:asciiTheme="majorBidi" w:hAnsiTheme="majorBidi" w:cstheme="majorBidi"/>
        </w:rPr>
        <w:t xml:space="preserve">" </w:t>
      </w:r>
      <w:proofErr w:type="spellStart"/>
      <w:r w:rsidR="00F05645">
        <w:rPr>
          <w:rFonts w:asciiTheme="majorBidi" w:hAnsiTheme="majorBidi" w:cstheme="majorBidi"/>
          <w:i/>
          <w:iCs/>
        </w:rPr>
        <w:t>B’</w:t>
      </w:r>
      <w:r w:rsidR="00303E59" w:rsidRPr="00A86705">
        <w:rPr>
          <w:rFonts w:asciiTheme="majorBidi" w:hAnsiTheme="majorBidi" w:cstheme="majorBidi"/>
          <w:i/>
          <w:iCs/>
        </w:rPr>
        <w:t>tselem</w:t>
      </w:r>
      <w:proofErr w:type="spellEnd"/>
      <w:r w:rsidR="00303E59" w:rsidRPr="00A86705">
        <w:rPr>
          <w:rFonts w:asciiTheme="majorBidi" w:hAnsiTheme="majorBidi" w:cstheme="majorBidi"/>
          <w:i/>
          <w:iCs/>
        </w:rPr>
        <w:t xml:space="preserve">, </w:t>
      </w:r>
      <w:r w:rsidR="00303E59" w:rsidRPr="00A86705">
        <w:rPr>
          <w:rFonts w:asciiTheme="majorBidi" w:hAnsiTheme="majorBidi" w:cstheme="majorBidi"/>
        </w:rPr>
        <w:t>January 1993.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89"/>
    <w:rsid w:val="000524A7"/>
    <w:rsid w:val="0008509F"/>
    <w:rsid w:val="000B388B"/>
    <w:rsid w:val="001141F0"/>
    <w:rsid w:val="00126084"/>
    <w:rsid w:val="001A2C4B"/>
    <w:rsid w:val="00224081"/>
    <w:rsid w:val="00245931"/>
    <w:rsid w:val="00303E59"/>
    <w:rsid w:val="00312CD6"/>
    <w:rsid w:val="00314223"/>
    <w:rsid w:val="00355966"/>
    <w:rsid w:val="003A13A8"/>
    <w:rsid w:val="003C4F39"/>
    <w:rsid w:val="003C6CA3"/>
    <w:rsid w:val="00416886"/>
    <w:rsid w:val="0042771A"/>
    <w:rsid w:val="00471C63"/>
    <w:rsid w:val="004C5A3F"/>
    <w:rsid w:val="004D36DD"/>
    <w:rsid w:val="004F4D7A"/>
    <w:rsid w:val="00540FFA"/>
    <w:rsid w:val="00544C62"/>
    <w:rsid w:val="005E436F"/>
    <w:rsid w:val="00624B81"/>
    <w:rsid w:val="00632996"/>
    <w:rsid w:val="00773849"/>
    <w:rsid w:val="007A7CE7"/>
    <w:rsid w:val="009A479B"/>
    <w:rsid w:val="00A42DF4"/>
    <w:rsid w:val="00A555C4"/>
    <w:rsid w:val="00A66789"/>
    <w:rsid w:val="00A720C5"/>
    <w:rsid w:val="00A86705"/>
    <w:rsid w:val="00AB44F1"/>
    <w:rsid w:val="00AB46FC"/>
    <w:rsid w:val="00B1526C"/>
    <w:rsid w:val="00BA07A5"/>
    <w:rsid w:val="00BC49E6"/>
    <w:rsid w:val="00BC57A4"/>
    <w:rsid w:val="00C210B6"/>
    <w:rsid w:val="00C94996"/>
    <w:rsid w:val="00D12E7B"/>
    <w:rsid w:val="00E11ACB"/>
    <w:rsid w:val="00E171D6"/>
    <w:rsid w:val="00E32369"/>
    <w:rsid w:val="00E57DE6"/>
    <w:rsid w:val="00E61787"/>
    <w:rsid w:val="00E72142"/>
    <w:rsid w:val="00EB48D1"/>
    <w:rsid w:val="00F04C31"/>
    <w:rsid w:val="00F05645"/>
    <w:rsid w:val="00F62688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4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479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A47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47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2C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A2C4B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152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526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B152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526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B152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479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A47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47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2C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A2C4B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152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526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B152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526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B15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A88C-FCC3-4762-B686-E666C316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2020-05-31T05:44:00Z</dcterms:created>
  <dcterms:modified xsi:type="dcterms:W3CDTF">2020-05-31T05:47:00Z</dcterms:modified>
</cp:coreProperties>
</file>