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4DFC" w14:textId="274FE64C" w:rsidR="00290B09" w:rsidRPr="00191DF3" w:rsidRDefault="009038FC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This article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offers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a formal and linguistic commentary on an epigram by Gregory of Nazianzus (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AP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8.170)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  <w:lang w:val="fr-FR"/>
        </w:rPr>
        <w:t>.</w:t>
      </w:r>
      <w:r w:rsidRPr="00191DF3">
        <w:rPr>
          <w:rFonts w:ascii="Palatino Linotype" w:eastAsia="Times New Roman" w:hAnsi="Palatino Linotype" w:cs="Times New Roman"/>
          <w:color w:val="C45911" w:themeColor="accent2" w:themeShade="BF"/>
          <w:sz w:val="20"/>
          <w:szCs w:val="20"/>
          <w:u w:color="000000"/>
          <w:lang w:val="fr-FR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The poem belongs to the series of epigrams dealing with tomb profaners,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whose thematic repertoire it shares. A survey of lexical occurrences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allows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r w:rsidR="00260D55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us to identify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some </w:t>
      </w:r>
      <w:r w:rsidR="00A3046A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elements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common to the less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well-known genre of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hexametric poetry, such as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the </w:t>
      </w:r>
      <w:r w:rsidR="00FD61A3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Sibylline</w:t>
      </w:r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 xml:space="preserve"> Oracles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, </w:t>
      </w:r>
      <w:r w:rsidR="008D5210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which grants</w:t>
      </w:r>
      <w:r w:rsidR="006F3CD2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us greater insight into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Gregory's poetic laboratory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a</w:t>
      </w:r>
      <w:r w:rsidR="008D5210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nd 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strong links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with the Homeric tradition, evident 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in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r w:rsidR="006F3CD2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individual learned</w:t>
      </w:r>
      <w:r w:rsidR="008D5210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commentRangeStart w:id="0"/>
      <w:r w:rsidR="008D5210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references</w:t>
      </w:r>
      <w:commentRangeEnd w:id="0"/>
      <w:r w:rsidR="008D5210" w:rsidRPr="00191DF3">
        <w:rPr>
          <w:rStyle w:val="CommentReference"/>
          <w:rFonts w:ascii="Calibri" w:eastAsia="Calibri" w:hAnsi="Calibri" w:cs="Calibri"/>
          <w:color w:val="C45911" w:themeColor="accent2" w:themeShade="BF"/>
          <w:u w:color="000000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. Finally, on a philological level, the testimony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of </w:t>
      </w:r>
      <w:proofErr w:type="spellStart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Pac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h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omi</w:t>
      </w:r>
      <w:r w:rsidR="00E930B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</w:t>
      </w:r>
      <w:proofErr w:type="spellEnd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proofErr w:type="spellStart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R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h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usan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</w:t>
      </w:r>
      <w:proofErr w:type="spellEnd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, which has generally been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neglected, 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i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s useful </w:t>
      </w:r>
      <w:r w:rsidR="00636B4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for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the </w:t>
      </w:r>
      <w:proofErr w:type="spellStart"/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vexata</w:t>
      </w:r>
      <w:proofErr w:type="spellEnd"/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 xml:space="preserve"> </w:t>
      </w:r>
      <w:proofErr w:type="spellStart"/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quaestio</w:t>
      </w:r>
      <w:proofErr w:type="spellEnd"/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r w:rsidR="00636B4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regarding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the constitution and interpretation of the text, 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which is limited to just a few verses.</w:t>
      </w:r>
    </w:p>
    <w:p w14:paraId="3D2D8D36" w14:textId="77777777" w:rsidR="00290B09" w:rsidRPr="00191DF3" w:rsidRDefault="00290B09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</w:pPr>
    </w:p>
    <w:p w14:paraId="04C8BF6A" w14:textId="7C30142E" w:rsidR="000A4744" w:rsidRPr="00191DF3" w:rsidRDefault="0028278E" w:rsidP="000A4744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Gregory of Nazianzus’ </w:t>
      </w:r>
      <w:r w:rsidR="000A4744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epigrammatic production has been at the cent</w:t>
      </w:r>
      <w:r w:rsidR="00AF24F6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r</w:t>
      </w:r>
      <w:r w:rsidR="000A4744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e of renewed </w:t>
      </w:r>
      <w:r w:rsidR="00142AE5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scholarly </w:t>
      </w:r>
      <w:r w:rsidR="000A4744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interest 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for some years</w:t>
      </w:r>
      <w:r w:rsidR="000A4744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.</w:t>
      </w:r>
    </w:p>
    <w:p w14:paraId="2C39775D" w14:textId="1A4E7FDC" w:rsidR="000A4744" w:rsidRPr="00191DF3" w:rsidRDefault="000A4744" w:rsidP="000A4744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On the curses against the </w:t>
      </w:r>
      <w:commentRangeStart w:id="1"/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profaners</w:t>
      </w:r>
      <w:proofErr w:type="spellEnd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of </w:t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graves</w:t>
      </w:r>
      <w:proofErr w:type="spellEnd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</w:t>
      </w:r>
      <w:commentRangeEnd w:id="1"/>
      <w:r w:rsidR="005034D7">
        <w:rPr>
          <w:rStyle w:val="CommentReference"/>
        </w:rPr>
        <w:commentReference w:id="1"/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found</w:t>
      </w:r>
      <w:proofErr w:type="spellEnd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in </w:t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many</w:t>
      </w:r>
      <w:proofErr w:type="spellEnd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</w:t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epitaphs</w:t>
      </w:r>
      <w:proofErr w:type="spellEnd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</w:t>
      </w:r>
      <w:r w:rsidR="002E4850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across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Asia Minor, see Strubbe 1997.</w:t>
      </w:r>
    </w:p>
    <w:p w14:paraId="6D8B315A" w14:textId="26796210" w:rsidR="000A4744" w:rsidRPr="00191DF3" w:rsidRDefault="000A4744" w:rsidP="005034D7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ἀνάγνων: the adjective ἀναγνός, </w:t>
      </w:r>
      <w:r w:rsidR="00BD6278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“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impure</w:t>
      </w:r>
      <w:r w:rsidR="00BD6278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”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, composed of ἀγνός, </w:t>
      </w:r>
      <w:r w:rsidR="00BD6278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“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pure</w:t>
      </w:r>
      <w:r w:rsidR="00BD6278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”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, is attested in literature </w:t>
      </w:r>
      <w:r w:rsidR="00B026AA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going back to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a lyric fragment </w:t>
      </w:r>
      <w:r w:rsidR="00400FA2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by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Las</w:t>
      </w:r>
      <w:r w:rsidR="00400FA2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us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(PMG 1), and </w:t>
      </w:r>
      <w:r w:rsidR="00B026AA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it 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has a prevalent poetic </w:t>
      </w:r>
      <w:r w:rsidR="000552D5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quality</w:t>
      </w:r>
      <w:r w:rsidR="00B466EC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</w:t>
      </w:r>
      <w:commentRangeStart w:id="2"/>
      <w:r w:rsidR="006D329A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used by a number of Greek authors</w:t>
      </w:r>
      <w:r w:rsidR="00B466EC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</w:t>
      </w:r>
      <w:commentRangeEnd w:id="2"/>
      <w:r w:rsidR="006D329A" w:rsidRPr="00191DF3">
        <w:rPr>
          <w:rStyle w:val="CommentReference"/>
          <w:color w:val="C45911" w:themeColor="accent2" w:themeShade="BF"/>
        </w:rPr>
        <w:commentReference w:id="2"/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(Aeschylus 2x, Sophocles 3x, Euripides 1x, L</w:t>
      </w:r>
      <w:r w:rsidR="00F00DC9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y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co</w:t>
      </w:r>
      <w:r w:rsidR="00F00DC9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ph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ron 2x) with a notable concentration in the </w:t>
      </w:r>
      <w:r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>Sib</w:t>
      </w:r>
      <w:r w:rsidR="00B466EC"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>y</w:t>
      </w:r>
      <w:r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>llin</w:t>
      </w:r>
      <w:r w:rsidR="00B466EC"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>e</w:t>
      </w:r>
      <w:r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 xml:space="preserve"> Oracles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(13x)</w:t>
      </w:r>
      <w:r w:rsidR="00C9192C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and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among Christian authors</w:t>
      </w:r>
      <w:r w:rsidR="006D329A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, such as Clement of Alexandria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(2x), Eusebi</w:t>
      </w:r>
      <w:r w:rsidR="00C9192C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us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(5x) and Gregor</w:t>
      </w:r>
      <w:r w:rsidR="00C9192C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y of Nazianzus himself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(12x, 9 in </w:t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poetry</w:t>
      </w:r>
      <w:proofErr w:type="spellEnd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). In </w:t>
      </w:r>
      <w:r w:rsidR="000B1844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late antiquity, 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the adjective was </w:t>
      </w:r>
      <w:r w:rsidR="006579B1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given new meaning by the Christians, especi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ally in reference to </w:t>
      </w:r>
      <w:r w:rsidR="000B1844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those who were</w:t>
      </w:r>
      <w:r w:rsidR="006579B1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considered to be the</w:t>
      </w:r>
      <w:r w:rsidR="00CE6588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quintessential “impure” –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that is, pagans. In the </w:t>
      </w:r>
      <w:r w:rsidR="009317B0"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 xml:space="preserve">Sibylline </w:t>
      </w:r>
      <w:r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>Oracles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it constituted a convenient hexametric clause; Gregor</w:t>
      </w:r>
      <w:r w:rsidR="009F3708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y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, on the other hand, varies its use by extending it to other positions (e.g. </w:t>
      </w:r>
      <w:r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>carm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. 2.2.7.222) and other metr</w:t>
      </w:r>
      <w:r w:rsidR="00AF24F6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e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s</w:t>
      </w:r>
      <w:r w:rsidR="00D74B71"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,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 such as the trimet</w:t>
      </w:r>
      <w:r w:rsidR="00AF24F6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r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 xml:space="preserve">e (e.g. </w:t>
      </w:r>
      <w:r w:rsidRPr="00191DF3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  <w:lang w:val="it-IT"/>
        </w:rPr>
        <w:t>carm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. 1.1.6.71).</w:t>
      </w:r>
    </w:p>
    <w:p w14:paraId="6FAFA8A5" w14:textId="55576154" w:rsidR="000A4744" w:rsidRPr="00191DF3" w:rsidRDefault="000C2611" w:rsidP="000A4744">
      <w:pPr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In his 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Oratio funebris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the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grammarian Pachomius Rhusanus, who lived in the sixteenth century, seemingly provides us with a useful paraphrase that is consistent with this interpretation: καὶ οὕτως οἱ τάφοι τῶν βεβήλων ἱερέα περιέχουσι (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“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so the 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tombs of the pagans contain a priest”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) .</w:t>
      </w:r>
    </w:p>
    <w:p w14:paraId="4539C685" w14:textId="139555B7" w:rsidR="000A4744" w:rsidRPr="00191DF3" w:rsidRDefault="00AC5682" w:rsidP="000A4744">
      <w:pPr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hAnsi="Palatino Linotype"/>
          <w:b/>
          <w:bCs/>
          <w:color w:val="C45911" w:themeColor="accent2" w:themeShade="BF"/>
          <w:sz w:val="20"/>
          <w:szCs w:val="20"/>
          <w:lang w:val="it-IT"/>
        </w:rPr>
        <w:t>1</w:t>
      </w:r>
      <w:r w:rsidR="000A4744" w:rsidRPr="00191DF3">
        <w:rPr>
          <w:rFonts w:ascii="Palatino Linotype" w:hAnsi="Palatino Linotype"/>
          <w:b/>
          <w:bCs/>
          <w:color w:val="C45911" w:themeColor="accent2" w:themeShade="BF"/>
          <w:sz w:val="20"/>
          <w:szCs w:val="20"/>
          <w:lang w:val="it-IT"/>
        </w:rPr>
        <w:t>. 3 αὖτε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: 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“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again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”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, 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“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furthermore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”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, 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“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on the other hand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”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,</w:t>
      </w:r>
      <w:r w:rsidR="00214F76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a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typical Homeric and epic particle, preserved in Hellenistic and late </w:t>
      </w:r>
      <w:r w:rsidR="00214F76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antique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hexametric poetry,</w:t>
      </w:r>
      <w:r w:rsidR="004C6FC5" w:rsidRPr="00191DF3">
        <w:rPr>
          <w:rStyle w:val="FootnoteReference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1"/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albeit with some differences</w:t>
      </w:r>
      <w:r w:rsidR="00AF24F6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. It appears in</w:t>
      </w:r>
      <w:r w:rsidR="00214F76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the </w:t>
      </w:r>
      <w:r w:rsidR="000A4744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Sibylline Oracles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(14x), </w:t>
      </w:r>
      <w:r w:rsidR="00214F76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Quint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us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of Smyrna </w:t>
      </w:r>
      <w:proofErr w:type="gram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( 28</w:t>
      </w:r>
      <w:proofErr w:type="gramEnd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x), Gregor</w:t>
      </w:r>
      <w:r w:rsidR="00214F76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y of Nazianzus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(20x), Eudocia (31x), but it is no 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longer</w:t>
      </w:r>
      <w:proofErr w:type="spellEnd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</w:t>
      </w:r>
      <w:commentRangeStart w:id="3"/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visible</w:t>
      </w:r>
      <w:proofErr w:type="spellEnd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</w:t>
      </w:r>
      <w:commentRangeEnd w:id="3"/>
      <w:r w:rsidR="005034D7">
        <w:rPr>
          <w:rStyle w:val="CommentReference"/>
        </w:rPr>
        <w:commentReference w:id="3"/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in </w:t>
      </w:r>
      <w:proofErr w:type="spellStart"/>
      <w:r w:rsidR="00214F76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Nonn</w:t>
      </w:r>
      <w:r w:rsidR="000C2611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us</w:t>
      </w:r>
      <w:proofErr w:type="spellEnd"/>
      <w:r w:rsidR="00214F76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’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hexameter</w:t>
      </w:r>
      <w:proofErr w:type="spellEnd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.</w:t>
      </w:r>
    </w:p>
    <w:p w14:paraId="1201AE01" w14:textId="01E68260" w:rsidR="000A4744" w:rsidRPr="00191DF3" w:rsidRDefault="000A4744" w:rsidP="000A4744">
      <w:pPr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An indication of</w:t>
      </w:r>
      <w:r w:rsidR="00892B00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its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lexical preciousness comes from Hesychius, who glosses the form διέπερσας · ἐπόρθησας (δ 1616 Latte-Cunningham).</w:t>
      </w:r>
    </w:p>
    <w:p w14:paraId="0B370CE0" w14:textId="4F95EED0" w:rsidR="000A4744" w:rsidRPr="00191DF3" w:rsidRDefault="000A4744" w:rsidP="000A4744">
      <w:pPr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Pachomius Rhusanus added a further interpretive possibility, that is,</w:t>
      </w:r>
      <w:r w:rsidR="00892B00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that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those who are stained with such serious faults are likely to be authors of other shameful actions, such as those attributed to the inhabitants of Sodom, but I feel</w:t>
      </w:r>
      <w:r w:rsidR="00AF24F6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that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it is rather unlikely: ἢ σοδομίτιδας πηγὰς τοὺς τοιαοτο , ὡς ὅτι οἱ τοιαῦτα τολμῶντες εἰκὸς καὶ τἆλλ 'ἀθέμιτα πράσσειν.</w:t>
      </w:r>
      <w:r w:rsidR="004C6FC5" w:rsidRPr="00191DF3">
        <w:rPr>
          <w:rStyle w:val="FootnoteReference"/>
          <w:rFonts w:ascii="Palatino Linotype" w:hAnsi="Palatino Linotype" w:cs="Times New Roman"/>
          <w:color w:val="C45911" w:themeColor="accent2" w:themeShade="BF"/>
          <w:sz w:val="20"/>
          <w:szCs w:val="20"/>
          <w:bdr w:val="none" w:sz="0" w:space="0" w:color="auto"/>
        </w:rPr>
        <w:footnoteReference w:id="2"/>
      </w:r>
    </w:p>
    <w:p w14:paraId="336FE95E" w14:textId="0F828CBA" w:rsidR="00AC5682" w:rsidRPr="00191DF3" w:rsidRDefault="00AC5682" w:rsidP="00AC5682">
      <w:pPr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In conclusion, a close reading of </w:t>
      </w:r>
      <w:r w:rsidRPr="00146231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AP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8.170 offers readers a very rich </w:t>
      </w:r>
      <w:r w:rsidR="00B93205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example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of </w:t>
      </w:r>
      <w:r w:rsidR="00350777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many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of Gregory</w:t>
      </w:r>
      <w:r w:rsidR="00350777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Nazianzen's expressive possibilities. If the </w:t>
      </w:r>
      <w:r w:rsidR="0092228C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common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Callimachea</w:t>
      </w:r>
      <w:r w:rsidR="0092228C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n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component, </w:t>
      </w:r>
      <w:r w:rsidR="002952B8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which </w:t>
      </w:r>
      <w:r w:rsidR="0092228C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was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dear to Gregor</w:t>
      </w:r>
      <w:r w:rsidR="0092228C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y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,</w:t>
      </w:r>
      <w:r w:rsidR="004C6FC5" w:rsidRPr="00191DF3">
        <w:rPr>
          <w:rStyle w:val="FootnoteReference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3"/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is missing, </w:t>
      </w:r>
      <w:r w:rsidR="002952B8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what is </w:t>
      </w:r>
      <w:r w:rsidR="00B93205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apparent</w:t>
      </w:r>
      <w:r w:rsidR="002952B8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is</w:t>
      </w:r>
      <w:r w:rsidR="00B93205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the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author's relationship with the less </w:t>
      </w:r>
      <w:r w:rsidR="00B93205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well-known genre of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hexametric poetry, represented for example by the 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Sib</w:t>
      </w:r>
      <w:r w:rsidR="00B93205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y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llin</w:t>
      </w:r>
      <w:r w:rsidR="00B93205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e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 xml:space="preserve"> Oracles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: ἀθέσμως and ἄναγνος, placed in a reverse clause, are </w:t>
      </w:r>
      <w:r w:rsidR="00426773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samples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of this </w:t>
      </w:r>
      <w:r w:rsidR="00426773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link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. The epic dimension, </w:t>
      </w:r>
      <w:r w:rsidR="00426773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which was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suited to the Homeric hexameter, reappears, however, in a series of other more sought-after choices</w:t>
      </w:r>
      <w:r w:rsidR="00426773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,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such as τρισθανής, διαπέρθω, ἀμφὶς ἔχω, which </w:t>
      </w:r>
      <w:r w:rsidR="00426773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blend into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the Christian inspiration evident </w:t>
      </w:r>
      <w:r w:rsidR="00426773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in the use of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ancient terms </w:t>
      </w:r>
      <w:r w:rsidR="00426773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that are given new meaning, such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as ἀθλοφόροι. In </w:t>
      </w:r>
      <w:r w:rsidR="00930989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other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cases, then, as with the particle αὖτε, it is difficult to distinguish between the </w:t>
      </w:r>
      <w:r w:rsidR="00E73989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preference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given to the Homeric hexameter and the </w:t>
      </w:r>
      <w:r w:rsidR="00E73989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use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of elements </w:t>
      </w:r>
      <w:r w:rsidR="00E73989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borrowed from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</w:t>
      </w:r>
      <w:r w:rsidR="004048E8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more widely-circulated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poetry such as that of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lastRenderedPageBreak/>
        <w:t xml:space="preserve">the 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Sibylline Oracles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. Finally, from the explicit moralizing message, which results in a strong</w:t>
      </w:r>
      <w:r w:rsidR="00E73989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condemnation of the τυμβωρύχοι, it is clear that the epigram was not </w:t>
      </w:r>
      <w:r w:rsidR="00E73989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actually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meant to be engraved,</w:t>
      </w:r>
      <w:r w:rsidR="004048E8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but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rather </w:t>
      </w:r>
      <w:r w:rsidR="004048E8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was intended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to be published in a book with a didactic and moralistic </w:t>
      </w:r>
      <w:r w:rsidR="00E73989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aim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.</w:t>
      </w:r>
      <w:r w:rsidR="005B6492" w:rsidRPr="00191DF3">
        <w:rPr>
          <w:rStyle w:val="FootnoteReference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4"/>
      </w:r>
    </w:p>
    <w:p w14:paraId="67588327" w14:textId="01998F9D" w:rsidR="00AC5682" w:rsidRPr="00191DF3" w:rsidRDefault="004F14B2" w:rsidP="00AC5682">
      <w:pPr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Therefore, 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Gregor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y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once again reveals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his soul as a </w:t>
      </w:r>
      <w:r w:rsidR="002851DF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lang w:val="it-IT"/>
        </w:rPr>
        <w:t>poeta doctus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, open to formal suggestions from different backgrounds but capable at the same time, thanks to his vast cultur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al knowledge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and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complete 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dominance of the hexameter, to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lead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 them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in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to a </w:t>
      </w:r>
      <w:r w:rsidR="0096748D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 xml:space="preserve">peculiar </w:t>
      </w:r>
      <w:r w:rsidR="00AC5682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stylistic harmony.</w:t>
      </w:r>
      <w:bookmarkStart w:id="4" w:name="_GoBack"/>
      <w:bookmarkEnd w:id="4"/>
    </w:p>
    <w:p w14:paraId="0DB9FEC8" w14:textId="77777777" w:rsidR="00AC5682" w:rsidRPr="009038FC" w:rsidRDefault="00AC5682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Palatino Linotype" w:hAnsi="Palatino Linotype"/>
          <w:color w:val="0070C0"/>
          <w:sz w:val="20"/>
          <w:szCs w:val="20"/>
          <w:lang w:val="it-IT"/>
        </w:rPr>
      </w:pPr>
    </w:p>
    <w:p w14:paraId="561695B4" w14:textId="18574719" w:rsidR="00AC424A" w:rsidRDefault="002C66AE">
      <w:pPr>
        <w:rPr>
          <w:color w:val="0070C0"/>
        </w:rPr>
      </w:pPr>
    </w:p>
    <w:p w14:paraId="1A960089" w14:textId="77777777" w:rsidR="00996DF1" w:rsidRPr="009038FC" w:rsidRDefault="00996DF1">
      <w:pPr>
        <w:rPr>
          <w:color w:val="0070C0"/>
        </w:rPr>
      </w:pPr>
    </w:p>
    <w:sectPr w:rsidR="00996DF1" w:rsidRPr="009038FC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123D67E1" w14:textId="55357F98" w:rsidR="008D5210" w:rsidRDefault="008D5210">
      <w:pPr>
        <w:pStyle w:val="CommentText"/>
      </w:pPr>
      <w:r>
        <w:rPr>
          <w:rStyle w:val="CommentReference"/>
        </w:rPr>
        <w:annotationRef/>
      </w:r>
      <w:r>
        <w:t xml:space="preserve">Lines?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sicura</w:t>
      </w:r>
      <w:proofErr w:type="spellEnd"/>
      <w:r>
        <w:t xml:space="preserve"> come </w:t>
      </w:r>
      <w:proofErr w:type="spellStart"/>
      <w:r>
        <w:t>tradurre</w:t>
      </w:r>
      <w:proofErr w:type="spellEnd"/>
      <w:r>
        <w:t xml:space="preserve"> “</w:t>
      </w:r>
      <w:proofErr w:type="spellStart"/>
      <w:r>
        <w:t>riprese</w:t>
      </w:r>
      <w:proofErr w:type="spellEnd"/>
      <w:r>
        <w:t xml:space="preserve">”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contesto</w:t>
      </w:r>
      <w:proofErr w:type="spellEnd"/>
      <w:r>
        <w:t xml:space="preserve">… me lo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spiegare</w:t>
      </w:r>
      <w:proofErr w:type="spellEnd"/>
      <w:r>
        <w:t xml:space="preserve"> con </w:t>
      </w:r>
      <w:proofErr w:type="spellStart"/>
      <w:r>
        <w:t>piu</w:t>
      </w:r>
      <w:proofErr w:type="spellEnd"/>
      <w:r>
        <w:t xml:space="preserve">’ parole, per </w:t>
      </w:r>
      <w:proofErr w:type="spellStart"/>
      <w:r>
        <w:t>favore</w:t>
      </w:r>
      <w:proofErr w:type="spellEnd"/>
      <w:r>
        <w:t>?</w:t>
      </w:r>
    </w:p>
  </w:comment>
  <w:comment w:id="1" w:author="Author" w:initials="A">
    <w:p w14:paraId="52CB598E" w14:textId="0590FE53" w:rsidR="005034D7" w:rsidRDefault="005034D7">
      <w:pPr>
        <w:pStyle w:val="CommentText"/>
      </w:pPr>
      <w:r>
        <w:rPr>
          <w:rStyle w:val="CommentReference"/>
        </w:rPr>
        <w:annotationRef/>
      </w:r>
      <w:r>
        <w:t>“Tomb robbers” is a more common term, if that is what you mean.</w:t>
      </w:r>
    </w:p>
  </w:comment>
  <w:comment w:id="2" w:author="Author" w:initials="A">
    <w:p w14:paraId="71417098" w14:textId="12708CF3" w:rsidR="006D329A" w:rsidRDefault="006D329A">
      <w:pPr>
        <w:pStyle w:val="CommentText"/>
      </w:pPr>
      <w:r>
        <w:rPr>
          <w:rStyle w:val="CommentReference"/>
        </w:rPr>
        <w:annotationRef/>
      </w:r>
      <w:r>
        <w:t>I added this because it seemed like something is missing, but it can easily be removed.</w:t>
      </w:r>
    </w:p>
  </w:comment>
  <w:comment w:id="3" w:author="Author" w:initials="A">
    <w:p w14:paraId="207B9254" w14:textId="75CF4D60" w:rsidR="005034D7" w:rsidRDefault="005034D7">
      <w:pPr>
        <w:pStyle w:val="CommentText"/>
      </w:pPr>
      <w:r>
        <w:rPr>
          <w:rStyle w:val="CommentReference"/>
        </w:rPr>
        <w:annotationRef/>
      </w:r>
      <w:r>
        <w:t>Better: present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3D67E1" w15:done="0"/>
  <w15:commentEx w15:paraId="52CB598E" w15:done="0"/>
  <w15:commentEx w15:paraId="71417098" w15:done="0"/>
  <w15:commentEx w15:paraId="207B92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1CC70" w16cex:dateUtc="2020-06-27T20:47:00Z"/>
  <w16cex:commentExtensible w16cex:durableId="22A1CE34" w16cex:dateUtc="2020-06-27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3D67E1" w16cid:durableId="22A1CC70"/>
  <w16cid:commentId w16cid:paraId="71417098" w16cid:durableId="22A1CE3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7D99" w14:textId="77777777" w:rsidR="002C66AE" w:rsidRDefault="002C66AE" w:rsidP="009038FC">
      <w:pPr>
        <w:spacing w:after="0" w:line="240" w:lineRule="auto"/>
      </w:pPr>
      <w:r>
        <w:separator/>
      </w:r>
    </w:p>
  </w:endnote>
  <w:endnote w:type="continuationSeparator" w:id="0">
    <w:p w14:paraId="66F88167" w14:textId="77777777" w:rsidR="002C66AE" w:rsidRDefault="002C66AE" w:rsidP="0090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46402" w14:textId="77777777" w:rsidR="002C66AE" w:rsidRDefault="002C66AE" w:rsidP="009038FC">
      <w:pPr>
        <w:spacing w:after="0" w:line="240" w:lineRule="auto"/>
      </w:pPr>
      <w:r>
        <w:separator/>
      </w:r>
    </w:p>
  </w:footnote>
  <w:footnote w:type="continuationSeparator" w:id="0">
    <w:p w14:paraId="750ED0E5" w14:textId="77777777" w:rsidR="002C66AE" w:rsidRDefault="002C66AE" w:rsidP="009038FC">
      <w:pPr>
        <w:spacing w:after="0" w:line="240" w:lineRule="auto"/>
      </w:pPr>
      <w:r>
        <w:continuationSeparator/>
      </w:r>
    </w:p>
  </w:footnote>
  <w:footnote w:id="1">
    <w:p w14:paraId="5279C0E6" w14:textId="77777777" w:rsidR="004C6FC5" w:rsidRPr="00191DF3" w:rsidRDefault="004C6FC5" w:rsidP="004C6FC5">
      <w:pPr>
        <w:pStyle w:val="FootnoteText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FootnoteReference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See also LSJ </w:t>
      </w:r>
      <w:proofErr w:type="spellStart"/>
      <w:r w:rsidRPr="00191DF3">
        <w:rPr>
          <w:rFonts w:ascii="Palatino Linotype" w:hAnsi="Palatino Linotype"/>
          <w:i/>
          <w:iCs/>
          <w:color w:val="C45911" w:themeColor="accent2" w:themeShade="BF"/>
          <w:sz w:val="18"/>
          <w:szCs w:val="18"/>
        </w:rPr>
        <w:t>s.v</w:t>
      </w:r>
      <w:proofErr w:type="spellEnd"/>
      <w:r w:rsidRPr="00191DF3">
        <w:rPr>
          <w:rFonts w:ascii="Palatino Linotype" w:hAnsi="Palatino Linotype"/>
          <w:i/>
          <w:iCs/>
          <w:color w:val="C45911" w:themeColor="accent2" w:themeShade="BF"/>
          <w:sz w:val="18"/>
          <w:szCs w:val="18"/>
        </w:rPr>
        <w:t>.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</w:p>
  </w:footnote>
  <w:footnote w:id="2">
    <w:p w14:paraId="439F0187" w14:textId="77777777" w:rsidR="004C6FC5" w:rsidRPr="00191DF3" w:rsidRDefault="004C6FC5" w:rsidP="004C6FC5">
      <w:pPr>
        <w:pStyle w:val="NoSpacing"/>
        <w:jc w:val="both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FootnoteReference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  <w:proofErr w:type="spellStart"/>
      <w:r w:rsidRPr="00191DF3">
        <w:rPr>
          <w:rFonts w:ascii="Palatino Linotype" w:hAnsi="Palatino Linotype" w:cs="Times New Roman"/>
          <w:color w:val="C45911" w:themeColor="accent2" w:themeShade="BF"/>
          <w:sz w:val="18"/>
          <w:szCs w:val="18"/>
          <w:bdr w:val="none" w:sz="0" w:space="0" w:color="auto"/>
        </w:rPr>
        <w:t>Karmires</w:t>
      </w:r>
      <w:proofErr w:type="spellEnd"/>
      <w:r w:rsidRPr="00191DF3">
        <w:rPr>
          <w:rFonts w:ascii="Palatino Linotype" w:hAnsi="Palatino Linotype" w:cs="Times New Roman"/>
          <w:color w:val="C45911" w:themeColor="accent2" w:themeShade="BF"/>
          <w:sz w:val="18"/>
          <w:szCs w:val="18"/>
          <w:bdr w:val="none" w:sz="0" w:space="0" w:color="auto"/>
        </w:rPr>
        <w:t xml:space="preserve"> 1936: 36.</w:t>
      </w:r>
    </w:p>
  </w:footnote>
  <w:footnote w:id="3">
    <w:p w14:paraId="5EFA5BA2" w14:textId="1EAC6002" w:rsidR="004C6FC5" w:rsidRPr="00191DF3" w:rsidRDefault="004C6FC5" w:rsidP="004C6FC5">
      <w:pPr>
        <w:pStyle w:val="NoSpacing"/>
        <w:jc w:val="both"/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</w:pPr>
      <w:r w:rsidRPr="00191DF3">
        <w:rPr>
          <w:rStyle w:val="FootnoteReference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 xml:space="preserve"> See Poulos 2019. For an example of Callimacheanism on the epigrammatic level in </w:t>
      </w:r>
      <w:r w:rsidRPr="00B10A5C">
        <w:rPr>
          <w:rFonts w:ascii="Palatino Linotype" w:hAnsi="Palatino Linotype"/>
          <w:i/>
          <w:iCs/>
          <w:color w:val="C45911" w:themeColor="accent2" w:themeShade="BF"/>
          <w:sz w:val="18"/>
          <w:szCs w:val="18"/>
          <w:lang w:val="it-IT"/>
        </w:rPr>
        <w:t>AP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 xml:space="preserve"> 8.21, see Cerroni 2020.</w:t>
      </w:r>
    </w:p>
  </w:footnote>
  <w:footnote w:id="4">
    <w:p w14:paraId="568FA23B" w14:textId="735C1B5E" w:rsidR="005B6492" w:rsidRPr="00191DF3" w:rsidRDefault="005B6492" w:rsidP="005B6492">
      <w:pPr>
        <w:pStyle w:val="FootnoteText"/>
        <w:jc w:val="both"/>
        <w:rPr>
          <w:color w:val="C45911" w:themeColor="accent2" w:themeShade="BF"/>
          <w:lang w:val="it-IT"/>
        </w:rPr>
      </w:pPr>
      <w:r w:rsidRPr="00666519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666519">
        <w:rPr>
          <w:rFonts w:ascii="Palatino Linotype" w:hAnsi="Palatino Linotype"/>
          <w:sz w:val="18"/>
          <w:szCs w:val="18"/>
          <w:lang w:val="it-IT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 xml:space="preserve">Floridi 2013: 78-79, </w:t>
      </w:r>
      <w:r w:rsidR="00A074E9"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despite W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altz</w:t>
      </w:r>
      <w:r w:rsidR="00A074E9"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’s (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1944: 25</w:t>
      </w:r>
      <w:r w:rsidR="00A074E9"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) simple explanation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 xml:space="preserve">, </w:t>
      </w:r>
      <w:r w:rsidR="00A074E9"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by which he justifies the high number of epigrams on the theme of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el-GR"/>
        </w:rPr>
        <w:t>τυμβωρυχία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 xml:space="preserve"> </w:t>
      </w:r>
      <w:r w:rsidR="00A074E9"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by referring to the high demand of customers interested in such texts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it-I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FC"/>
    <w:rsid w:val="00007F08"/>
    <w:rsid w:val="0001450A"/>
    <w:rsid w:val="000221CA"/>
    <w:rsid w:val="0002426C"/>
    <w:rsid w:val="00025579"/>
    <w:rsid w:val="000552D5"/>
    <w:rsid w:val="000A4744"/>
    <w:rsid w:val="000B1844"/>
    <w:rsid w:val="000C2611"/>
    <w:rsid w:val="00101C21"/>
    <w:rsid w:val="00142AE5"/>
    <w:rsid w:val="00146231"/>
    <w:rsid w:val="00191DF3"/>
    <w:rsid w:val="00214F76"/>
    <w:rsid w:val="00260D55"/>
    <w:rsid w:val="0028278E"/>
    <w:rsid w:val="002851DF"/>
    <w:rsid w:val="00290B09"/>
    <w:rsid w:val="002952B8"/>
    <w:rsid w:val="002C66AE"/>
    <w:rsid w:val="002E4850"/>
    <w:rsid w:val="003273B6"/>
    <w:rsid w:val="00350777"/>
    <w:rsid w:val="00400FA2"/>
    <w:rsid w:val="004048E8"/>
    <w:rsid w:val="00426773"/>
    <w:rsid w:val="004341F4"/>
    <w:rsid w:val="00455498"/>
    <w:rsid w:val="004C6FC5"/>
    <w:rsid w:val="004F14B2"/>
    <w:rsid w:val="005034D7"/>
    <w:rsid w:val="00545FEA"/>
    <w:rsid w:val="005B6492"/>
    <w:rsid w:val="00636B4B"/>
    <w:rsid w:val="006579B1"/>
    <w:rsid w:val="006B1F21"/>
    <w:rsid w:val="006D329A"/>
    <w:rsid w:val="006F3CD2"/>
    <w:rsid w:val="00732FC6"/>
    <w:rsid w:val="007448DF"/>
    <w:rsid w:val="00755762"/>
    <w:rsid w:val="007E6DB4"/>
    <w:rsid w:val="00892B00"/>
    <w:rsid w:val="008951CE"/>
    <w:rsid w:val="008D5210"/>
    <w:rsid w:val="008F28CC"/>
    <w:rsid w:val="009038FC"/>
    <w:rsid w:val="0091709F"/>
    <w:rsid w:val="00922051"/>
    <w:rsid w:val="0092228C"/>
    <w:rsid w:val="00930989"/>
    <w:rsid w:val="009317B0"/>
    <w:rsid w:val="0096748D"/>
    <w:rsid w:val="00996DF1"/>
    <w:rsid w:val="009F3708"/>
    <w:rsid w:val="009F6631"/>
    <w:rsid w:val="00A074E9"/>
    <w:rsid w:val="00A3046A"/>
    <w:rsid w:val="00A61E08"/>
    <w:rsid w:val="00AC5682"/>
    <w:rsid w:val="00AF24F6"/>
    <w:rsid w:val="00AF4509"/>
    <w:rsid w:val="00B026AA"/>
    <w:rsid w:val="00B10A5C"/>
    <w:rsid w:val="00B466EC"/>
    <w:rsid w:val="00B93205"/>
    <w:rsid w:val="00BD6278"/>
    <w:rsid w:val="00C600C7"/>
    <w:rsid w:val="00C9192C"/>
    <w:rsid w:val="00CE6588"/>
    <w:rsid w:val="00D56190"/>
    <w:rsid w:val="00D74B71"/>
    <w:rsid w:val="00DD38A9"/>
    <w:rsid w:val="00E054EC"/>
    <w:rsid w:val="00E73989"/>
    <w:rsid w:val="00E930BB"/>
    <w:rsid w:val="00EB29D8"/>
    <w:rsid w:val="00F00DC9"/>
    <w:rsid w:val="00F05372"/>
    <w:rsid w:val="00F1508C"/>
    <w:rsid w:val="00FA042E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30D6"/>
  <w15:chartTrackingRefBased/>
  <w15:docId w15:val="{45773137-867A-6348-B18C-E061CF6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038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038FC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38FC"/>
    <w:rPr>
      <w:vertAlign w:val="superscript"/>
    </w:rPr>
  </w:style>
  <w:style w:type="paragraph" w:styleId="NoSpacing">
    <w:name w:val="No Spacing"/>
    <w:uiPriority w:val="1"/>
    <w:qFormat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Default">
    <w:name w:val="Default"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55"/>
    <w:rPr>
      <w:rFonts w:ascii="Segoe UI" w:eastAsia="Calibri" w:hAnsi="Segoe UI" w:cs="Segoe UI"/>
      <w:color w:val="000000"/>
      <w:sz w:val="18"/>
      <w:szCs w:val="18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5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10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10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1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673</Words>
  <Characters>3840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4</cp:revision>
  <dcterms:created xsi:type="dcterms:W3CDTF">2020-06-29T02:43:00Z</dcterms:created>
  <dcterms:modified xsi:type="dcterms:W3CDTF">2020-06-29T02:55:00Z</dcterms:modified>
</cp:coreProperties>
</file>