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4DFC" w14:textId="2A7F731F" w:rsidR="00290B09" w:rsidRPr="00191DF3" w:rsidRDefault="009038FC" w:rsidP="009038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This article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offers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a formal and linguistic commentary on an epigram by Gregory of Nazianzus (</w:t>
      </w:r>
      <w:r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>AP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8.170)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  <w:lang w:val="fr-FR"/>
        </w:rPr>
        <w:t>.</w:t>
      </w:r>
      <w:r w:rsidRPr="00191DF3">
        <w:rPr>
          <w:rFonts w:ascii="Palatino Linotype" w:eastAsia="Times New Roman" w:hAnsi="Palatino Linotype" w:cs="Times New Roman"/>
          <w:color w:val="C45911" w:themeColor="accent2" w:themeShade="BF"/>
          <w:sz w:val="20"/>
          <w:szCs w:val="20"/>
          <w:u w:color="000000"/>
          <w:lang w:val="fr-FR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The poem belongs to the series of epigrams dealing with tomb profaners, 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whose thematic repertoire it shares. A survey of lexical occurrences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allows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</w:t>
      </w:r>
      <w:r w:rsidR="00260D55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us to identify 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some </w:t>
      </w:r>
      <w:r w:rsidR="00A3046A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elements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common to the less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well-known genre of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hexametric poetry, such as </w:t>
      </w:r>
      <w:r w:rsidR="00FD61A3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the </w:t>
      </w:r>
      <w:r w:rsidR="00FD61A3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>Sibylline</w:t>
      </w:r>
      <w:r w:rsidR="00290B09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 xml:space="preserve"> Oracles</w:t>
      </w:r>
      <w:r w:rsidR="00CA0BFD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. </w:t>
      </w:r>
      <w:r w:rsidR="00CA0BFD" w:rsidRPr="00CA0BFD">
        <w:rPr>
          <w:rFonts w:ascii="Palatino Linotype" w:hAnsi="Palatino Linotype"/>
          <w:color w:val="auto"/>
          <w:sz w:val="20"/>
          <w:szCs w:val="20"/>
          <w:u w:color="000000"/>
        </w:rPr>
        <w:t>It also</w:t>
      </w:r>
      <w:r w:rsidR="008D5210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grants</w:t>
      </w:r>
      <w:r w:rsidR="006F3CD2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us greater insight into </w:t>
      </w:r>
      <w:r w:rsidR="00290B09" w:rsidRPr="00CA0BFD">
        <w:rPr>
          <w:rFonts w:ascii="Palatino Linotype" w:hAnsi="Palatino Linotype"/>
          <w:color w:val="auto"/>
          <w:sz w:val="20"/>
          <w:szCs w:val="20"/>
          <w:u w:color="000000"/>
        </w:rPr>
        <w:t>Gregory's poetic laboratory</w:t>
      </w:r>
      <w:r w:rsidR="00C600C7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</w:t>
      </w:r>
      <w:r w:rsidR="00BE5E78">
        <w:rPr>
          <w:rFonts w:ascii="Palatino Linotype" w:hAnsi="Palatino Linotype"/>
          <w:color w:val="auto"/>
          <w:sz w:val="20"/>
          <w:szCs w:val="20"/>
          <w:u w:color="000000"/>
        </w:rPr>
        <w:t xml:space="preserve">through the strong </w:t>
      </w:r>
      <w:r w:rsidR="00C600C7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links </w:t>
      </w:r>
      <w:r w:rsidR="00290B09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with Homeric tradition, evident </w:t>
      </w:r>
      <w:r w:rsidR="00C600C7" w:rsidRPr="00CA0BFD">
        <w:rPr>
          <w:rFonts w:ascii="Palatino Linotype" w:hAnsi="Palatino Linotype"/>
          <w:color w:val="auto"/>
          <w:sz w:val="20"/>
          <w:szCs w:val="20"/>
          <w:u w:color="000000"/>
        </w:rPr>
        <w:t>in</w:t>
      </w:r>
      <w:r w:rsidR="00290B09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</w:t>
      </w:r>
      <w:r w:rsidR="006F3CD2" w:rsidRPr="00CA0BFD">
        <w:rPr>
          <w:rFonts w:ascii="Palatino Linotype" w:hAnsi="Palatino Linotype"/>
          <w:color w:val="auto"/>
          <w:sz w:val="20"/>
          <w:szCs w:val="20"/>
          <w:u w:color="000000"/>
        </w:rPr>
        <w:t>individual learned</w:t>
      </w:r>
      <w:r w:rsidR="008D5210" w:rsidRPr="00CA0BFD">
        <w:rPr>
          <w:rFonts w:ascii="Palatino Linotype" w:hAnsi="Palatino Linotype"/>
          <w:color w:val="auto"/>
          <w:sz w:val="20"/>
          <w:szCs w:val="20"/>
          <w:u w:color="000000"/>
        </w:rPr>
        <w:t xml:space="preserve"> references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. Finally, on a philological level, the testimony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of Pac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h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omi</w:t>
      </w:r>
      <w:r w:rsidR="00E930BB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us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R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h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usan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us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, which has generally been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neglected, </w:t>
      </w:r>
      <w:r w:rsidR="00C600C7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i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s useful </w:t>
      </w:r>
      <w:r w:rsidR="00636B4B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for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the </w:t>
      </w:r>
      <w:r w:rsidR="00290B09" w:rsidRPr="00191DF3">
        <w:rPr>
          <w:rFonts w:ascii="Palatino Linotype" w:hAnsi="Palatino Linotype"/>
          <w:i/>
          <w:iCs/>
          <w:color w:val="C45911" w:themeColor="accent2" w:themeShade="BF"/>
          <w:sz w:val="20"/>
          <w:szCs w:val="20"/>
          <w:u w:color="000000"/>
        </w:rPr>
        <w:t>vexata quaestio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</w:t>
      </w:r>
      <w:r w:rsidR="00636B4B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regarding</w:t>
      </w:r>
      <w:r w:rsidR="00290B09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 xml:space="preserve"> the constitution and interpretation of the text, </w:t>
      </w:r>
      <w:r w:rsidR="006B1F21" w:rsidRPr="00191DF3"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  <w:t>which is limited to just a few verses.</w:t>
      </w:r>
    </w:p>
    <w:p w14:paraId="3D2D8D36" w14:textId="77777777" w:rsidR="00290B09" w:rsidRPr="00191DF3" w:rsidRDefault="00290B09" w:rsidP="009038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Palatino Linotype" w:hAnsi="Palatino Linotype"/>
          <w:color w:val="C45911" w:themeColor="accent2" w:themeShade="BF"/>
          <w:sz w:val="20"/>
          <w:szCs w:val="20"/>
          <w:u w:color="000000"/>
        </w:rPr>
      </w:pPr>
    </w:p>
    <w:p w14:paraId="04C8BF6A" w14:textId="7C30142E" w:rsidR="000A4744" w:rsidRPr="00CA0BFD" w:rsidRDefault="0028278E" w:rsidP="000A4744">
      <w:pPr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</w:pPr>
      <w:r w:rsidRPr="00191DF3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Gregory of Nazianzus’ </w:t>
      </w:r>
      <w:r w:rsidR="000A47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epigrammatic production has been at the cent</w:t>
      </w:r>
      <w:r w:rsidR="00AF24F6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r</w:t>
      </w:r>
      <w:r w:rsidR="000A47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e of renewed </w:t>
      </w:r>
      <w:r w:rsidR="00142AE5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scholarly </w:t>
      </w:r>
      <w:r w:rsidR="000A47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interest 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for some years</w:t>
      </w:r>
      <w:r w:rsidR="000A47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.</w:t>
      </w:r>
    </w:p>
    <w:p w14:paraId="2C39775D" w14:textId="65EDA979" w:rsidR="000A4744" w:rsidRPr="00CA0BFD" w:rsidRDefault="000A4744" w:rsidP="000A4744">
      <w:pPr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On the curses against </w:t>
      </w:r>
      <w:r w:rsidR="00BE5E78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grave</w:t>
      </w:r>
      <w:r w:rsidR="00E10435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</w:t>
      </w:r>
      <w:r w:rsidR="00BE5E78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robbers 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found in many epitaphs </w:t>
      </w:r>
      <w:r w:rsidR="002E4850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across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Asia Minor, see Strubbe 1997.</w:t>
      </w:r>
    </w:p>
    <w:p w14:paraId="6D8B315A" w14:textId="52AD94A2" w:rsidR="000A4744" w:rsidRPr="00CA0BFD" w:rsidRDefault="000A4744" w:rsidP="005034D7">
      <w:pPr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</w:pP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ἀνάγνων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: the adjective 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ἀναγνός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, </w:t>
      </w:r>
      <w:r w:rsidR="00BD627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“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impure</w:t>
      </w:r>
      <w:r w:rsidR="00BD627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”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, composed of </w:t>
      </w:r>
      <w:r w:rsidRPr="00191DF3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  <w:lang w:val="it-IT"/>
        </w:rPr>
        <w:t>ἀγνός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, </w:t>
      </w:r>
      <w:r w:rsidR="00BD627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“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pure</w:t>
      </w:r>
      <w:r w:rsidR="00BD627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”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, is attested in literature </w:t>
      </w:r>
      <w:r w:rsidR="00B026AA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going back to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a lyric fragment </w:t>
      </w:r>
      <w:r w:rsidR="00400FA2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by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Las</w:t>
      </w:r>
      <w:r w:rsidR="00400FA2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us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(PMG 1), and </w:t>
      </w:r>
      <w:r w:rsidR="00B026AA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it 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has a prevalent poetic </w:t>
      </w:r>
      <w:r w:rsidR="000552D5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quality</w:t>
      </w:r>
      <w:r w:rsidR="00B466EC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</w:t>
      </w:r>
      <w:r w:rsidR="006D329A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used by a number of Greek authors</w:t>
      </w:r>
      <w:r w:rsidR="00B466EC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(Aeschylus 2x, Sophocles 3x, Euripides 1x, L</w:t>
      </w:r>
      <w:r w:rsidR="00F00DC9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y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co</w:t>
      </w:r>
      <w:r w:rsidR="00F00DC9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ph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ron 2x)</w:t>
      </w:r>
      <w:r w:rsidR="00D04951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,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with a notable concentration in the </w:t>
      </w:r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Sib</w:t>
      </w:r>
      <w:r w:rsidR="00B466EC"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y</w:t>
      </w:r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llin</w:t>
      </w:r>
      <w:r w:rsidR="00B466EC"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e</w:t>
      </w:r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 xml:space="preserve"> Oracles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(13x)</w:t>
      </w:r>
      <w:r w:rsidR="00D04951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,</w:t>
      </w:r>
      <w:r w:rsidR="00C9192C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and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among Christian authors</w:t>
      </w:r>
      <w:r w:rsidR="006D329A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, such as Clement of Alexandria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(2x), Eusebi</w:t>
      </w:r>
      <w:r w:rsidR="00C9192C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us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(5x) and Gregor</w:t>
      </w:r>
      <w:r w:rsidR="00C9192C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y of Nazianzus himself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(12x, 9 in poetry). In </w:t>
      </w:r>
      <w:r w:rsidR="000B18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late antiquity, 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the adjective was </w:t>
      </w:r>
      <w:r w:rsidR="006579B1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given new meaning by the Christians, especi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ally in reference to </w:t>
      </w:r>
      <w:r w:rsidR="000B1844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those who were</w:t>
      </w:r>
      <w:r w:rsidR="006579B1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considered to be the</w:t>
      </w:r>
      <w:r w:rsidR="00CE658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quintessential “impure” –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that is, pagans. In the </w:t>
      </w:r>
      <w:r w:rsidR="009317B0"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 xml:space="preserve">Sibylline </w:t>
      </w:r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Oracles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it constituted a convenient hexametric clause; Gregor</w:t>
      </w:r>
      <w:r w:rsidR="009F3708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y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, on the other hand, varies its use by extending it to other positions (e.g. </w:t>
      </w:r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carm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. 2.2.7.222) and other metr</w:t>
      </w:r>
      <w:r w:rsidR="00AF24F6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e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s</w:t>
      </w:r>
      <w:r w:rsidR="00D74B71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,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 such as the trimet</w:t>
      </w:r>
      <w:r w:rsidR="00AF24F6"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r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 xml:space="preserve">e (e.g. </w:t>
      </w:r>
      <w:r w:rsidRPr="00CA0BFD">
        <w:rPr>
          <w:rFonts w:ascii="Palatino Linotype" w:eastAsia="Palatino Linotype" w:hAnsi="Palatino Linotype" w:cs="Palatino Linotype"/>
          <w:i/>
          <w:iCs/>
          <w:color w:val="C45911" w:themeColor="accent2" w:themeShade="BF"/>
          <w:sz w:val="20"/>
          <w:szCs w:val="20"/>
        </w:rPr>
        <w:t>carm</w:t>
      </w:r>
      <w:r w:rsidRPr="00CA0BFD">
        <w:rPr>
          <w:rFonts w:ascii="Palatino Linotype" w:eastAsia="Palatino Linotype" w:hAnsi="Palatino Linotype" w:cs="Palatino Linotype"/>
          <w:color w:val="C45911" w:themeColor="accent2" w:themeShade="BF"/>
          <w:sz w:val="20"/>
          <w:szCs w:val="20"/>
        </w:rPr>
        <w:t>. 1.1.6.71).</w:t>
      </w:r>
    </w:p>
    <w:p w14:paraId="6FAFA8A5" w14:textId="55576154" w:rsidR="000A4744" w:rsidRPr="00CA0BFD" w:rsidRDefault="000C2611" w:rsidP="000A4744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In his 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Oratio funebris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the 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grammarian Pachomius Rhusanus, who lived in the sixteenth century, seemingly provides us with a useful paraphrase that is consistent with this interpretation: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καὶ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οὕτως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οἱ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τάφοι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τῶν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βεβήλων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ἱερέα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0A4744"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περιέχουσι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(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“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so the 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tombs of the pagans contain a priest”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) .</w:t>
      </w:r>
    </w:p>
    <w:p w14:paraId="4539C685" w14:textId="4FBF0F61" w:rsidR="000A4744" w:rsidRPr="00CA0BFD" w:rsidRDefault="00AC5682" w:rsidP="000A4744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b/>
          <w:bCs/>
          <w:color w:val="C45911" w:themeColor="accent2" w:themeShade="BF"/>
          <w:sz w:val="20"/>
          <w:szCs w:val="20"/>
        </w:rPr>
        <w:t>1</w:t>
      </w:r>
      <w:r w:rsidR="000A4744" w:rsidRPr="00CA0BFD">
        <w:rPr>
          <w:rFonts w:ascii="Palatino Linotype" w:hAnsi="Palatino Linotype"/>
          <w:b/>
          <w:bCs/>
          <w:color w:val="C45911" w:themeColor="accent2" w:themeShade="BF"/>
          <w:sz w:val="20"/>
          <w:szCs w:val="20"/>
        </w:rPr>
        <w:t xml:space="preserve">. 3 </w:t>
      </w:r>
      <w:r w:rsidR="000A4744" w:rsidRPr="00191DF3">
        <w:rPr>
          <w:rFonts w:ascii="Palatino Linotype" w:hAnsi="Palatino Linotype"/>
          <w:b/>
          <w:bCs/>
          <w:color w:val="C45911" w:themeColor="accent2" w:themeShade="BF"/>
          <w:sz w:val="20"/>
          <w:szCs w:val="20"/>
          <w:lang w:val="it-IT"/>
        </w:rPr>
        <w:t>αὖτε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: 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“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again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”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“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furthermore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”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“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on the other hand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”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,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typical Homeric and epic particle, preserved in Hellenistic and late 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antique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hexametric poetry,</w:t>
      </w:r>
      <w:r w:rsidR="004C6FC5" w:rsidRPr="00191DF3">
        <w:rPr>
          <w:rStyle w:val="FootnoteReference"/>
          <w:rFonts w:ascii="Palatino Linotype" w:hAnsi="Palatino Linotype"/>
          <w:color w:val="C45911" w:themeColor="accent2" w:themeShade="BF"/>
          <w:sz w:val="20"/>
          <w:szCs w:val="20"/>
          <w:lang w:val="it-IT"/>
        </w:rPr>
        <w:footnoteReference w:id="1"/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albeit with some differences</w:t>
      </w:r>
      <w:r w:rsidR="00AF24F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. It appears in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the </w:t>
      </w:r>
      <w:r w:rsidR="000A4744"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Sibylline Oracles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(14x), 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Quint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us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of Smyrna ( 28x), Gregor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y of Nazianzus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(20x), Eudocia (31x), but it is no longer </w:t>
      </w:r>
      <w:r w:rsidR="00BE5E78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present 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in 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Nonn</w:t>
      </w:r>
      <w:r w:rsidR="000C2611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us</w:t>
      </w:r>
      <w:r w:rsidR="00214F7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’</w:t>
      </w:r>
      <w:r w:rsidR="000A4744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hexameter.</w:t>
      </w:r>
    </w:p>
    <w:p w14:paraId="1201AE01" w14:textId="01E68260" w:rsidR="000A4744" w:rsidRPr="00CA0BFD" w:rsidRDefault="000A4744" w:rsidP="000A4744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An indication of</w:t>
      </w:r>
      <w:r w:rsidR="00892B00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its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lexical preciousness comes from Hesychius, who glosses the form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διέπερσας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·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ἐπόρθησας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(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δ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1616 Latte-Cunningham).</w:t>
      </w:r>
    </w:p>
    <w:p w14:paraId="0B370CE0" w14:textId="4F95EED0" w:rsidR="000A4744" w:rsidRPr="00CA0BFD" w:rsidRDefault="000A4744" w:rsidP="000A4744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Pachomius Rhusanus added a further interpretive possibility, that is,</w:t>
      </w:r>
      <w:r w:rsidR="00892B00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that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those who are stained with such serious faults are likely to be authors of other shameful actions, such as those attributed to the inhabitants of Sodom, but I feel</w:t>
      </w:r>
      <w:r w:rsidR="00AF24F6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that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it is rather unlikely: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ἢ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σοδομίτιδας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πηγὰς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τοὺς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τοιαοτο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,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ὡς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ὅτι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οἱ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τοιαῦτα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τολμῶντες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εἰκὸς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καὶ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τἆλλ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'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ἀθέμιτα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πράσσειν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.</w:t>
      </w:r>
      <w:r w:rsidR="004C6FC5" w:rsidRPr="00191DF3">
        <w:rPr>
          <w:rStyle w:val="FootnoteReference"/>
          <w:rFonts w:ascii="Palatino Linotype" w:hAnsi="Palatino Linotype" w:cs="Times New Roman"/>
          <w:color w:val="C45911" w:themeColor="accent2" w:themeShade="BF"/>
          <w:sz w:val="20"/>
          <w:szCs w:val="20"/>
          <w:bdr w:val="none" w:sz="0" w:space="0" w:color="auto"/>
        </w:rPr>
        <w:footnoteReference w:id="2"/>
      </w:r>
    </w:p>
    <w:p w14:paraId="336FE95E" w14:textId="1F5F3A2B" w:rsidR="00AC5682" w:rsidRPr="00CA0BFD" w:rsidRDefault="00AC5682" w:rsidP="00AC5682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In conclusion, a close reading of 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AP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8.170 offers readers a very rich </w:t>
      </w:r>
      <w:r w:rsidR="00B93205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example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of </w:t>
      </w:r>
      <w:r w:rsidR="00350777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many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of Gregory</w:t>
      </w:r>
      <w:r w:rsidR="00350777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Nazianzen's expressive possibilities. If the </w:t>
      </w:r>
      <w:r w:rsidR="0092228C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common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Callimachea</w:t>
      </w:r>
      <w:r w:rsidR="0092228C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n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component, </w:t>
      </w:r>
      <w:r w:rsidR="002952B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which </w:t>
      </w:r>
      <w:r w:rsidR="0092228C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was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dear to Gregor</w:t>
      </w:r>
      <w:r w:rsidR="0092228C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y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,</w:t>
      </w:r>
      <w:r w:rsidR="004C6FC5" w:rsidRPr="00191DF3">
        <w:rPr>
          <w:rStyle w:val="FootnoteReference"/>
          <w:rFonts w:ascii="Palatino Linotype" w:hAnsi="Palatino Linotype"/>
          <w:color w:val="C45911" w:themeColor="accent2" w:themeShade="BF"/>
          <w:sz w:val="20"/>
          <w:szCs w:val="20"/>
          <w:lang w:val="it-IT"/>
        </w:rPr>
        <w:footnoteReference w:id="3"/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is missing, </w:t>
      </w:r>
      <w:r w:rsidR="002952B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what is </w:t>
      </w:r>
      <w:r w:rsidR="00B93205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apparent</w:t>
      </w:r>
      <w:r w:rsidR="002952B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is</w:t>
      </w:r>
      <w:r w:rsidR="00B93205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the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author's relationship with the less </w:t>
      </w:r>
      <w:r w:rsidR="00B93205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well-known genre of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hexametric poetry, represented for example by the 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Sib</w:t>
      </w:r>
      <w:r w:rsidR="00B93205"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y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llin</w:t>
      </w:r>
      <w:r w:rsidR="00B93205"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e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 xml:space="preserve"> Oracles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: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ἀθέσμως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and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ἄναγνος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placed in a reverse clause, are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samples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of this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link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. The epic dimension,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which was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suited to the Homeric hexameter, reappears, however, in a series of other more sought-after choices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,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such as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τρισθανής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διαπέρθω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ἀμφὶς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ἔχω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which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blend into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the Christian inspiration evident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in the use of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ancient terms </w:t>
      </w:r>
      <w:r w:rsidR="00426773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that are given new meaning, such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as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ἀθλοφόροι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. In </w:t>
      </w:r>
      <w:r w:rsidR="00930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other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cases, then, as with the particle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αὖτε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it is difficult to distinguish between the 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preference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given to the Homeric hexameter and the 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use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of elements 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borrowed from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4048E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more widely</w:t>
      </w:r>
      <w:r w:rsidR="00D04951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="004048E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circulated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poetry such as that of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lastRenderedPageBreak/>
        <w:t xml:space="preserve">the 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Sibylline Oracles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. Finally, from the explicit morali</w:t>
      </w:r>
      <w:r w:rsidR="0035596B">
        <w:rPr>
          <w:rFonts w:ascii="Palatino Linotype" w:hAnsi="Palatino Linotype"/>
          <w:color w:val="C45911" w:themeColor="accent2" w:themeShade="BF"/>
          <w:sz w:val="20"/>
          <w:szCs w:val="20"/>
        </w:rPr>
        <w:t>z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ing message, which results in a strong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condemnation of the </w:t>
      </w:r>
      <w:r w:rsidRPr="00191DF3">
        <w:rPr>
          <w:rFonts w:ascii="Palatino Linotype" w:hAnsi="Palatino Linotype"/>
          <w:color w:val="C45911" w:themeColor="accent2" w:themeShade="BF"/>
          <w:sz w:val="20"/>
          <w:szCs w:val="20"/>
          <w:lang w:val="it-IT"/>
        </w:rPr>
        <w:t>τυμβωρύχοι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, it is clear that the epigram was not 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actually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meant to be engraved,</w:t>
      </w:r>
      <w:r w:rsidR="004048E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but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rather </w:t>
      </w:r>
      <w:r w:rsidR="004048E8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was intended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to be published in a book with a didactic and moralistic </w:t>
      </w:r>
      <w:r w:rsidR="00E73989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aim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.</w:t>
      </w:r>
      <w:r w:rsidR="005B6492" w:rsidRPr="00191DF3">
        <w:rPr>
          <w:rStyle w:val="FootnoteReference"/>
          <w:rFonts w:ascii="Palatino Linotype" w:hAnsi="Palatino Linotype"/>
          <w:color w:val="C45911" w:themeColor="accent2" w:themeShade="BF"/>
          <w:sz w:val="20"/>
          <w:szCs w:val="20"/>
          <w:lang w:val="it-IT"/>
        </w:rPr>
        <w:footnoteReference w:id="4"/>
      </w:r>
    </w:p>
    <w:p w14:paraId="67588327" w14:textId="6D329605" w:rsidR="00AC5682" w:rsidRDefault="004F14B2" w:rsidP="00AC5682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Therefore, 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Gregor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y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once again reveals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his soul as a </w:t>
      </w:r>
      <w:r w:rsidR="002851DF" w:rsidRPr="00CA0BFD">
        <w:rPr>
          <w:rFonts w:ascii="Palatino Linotype" w:hAnsi="Palatino Linotype"/>
          <w:i/>
          <w:iCs/>
          <w:color w:val="C45911" w:themeColor="accent2" w:themeShade="BF"/>
          <w:sz w:val="20"/>
          <w:szCs w:val="20"/>
        </w:rPr>
        <w:t>poeta doctus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, open to formal suggestions from different backgrounds but capable at the same time, thanks to his vast cultur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al knowledge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and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complete 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dominance of the hexameter, to </w:t>
      </w:r>
      <w:r w:rsidR="00FB271E">
        <w:rPr>
          <w:rFonts w:ascii="Palatino Linotype" w:hAnsi="Palatino Linotype"/>
          <w:color w:val="C45911" w:themeColor="accent2" w:themeShade="BF"/>
          <w:sz w:val="20"/>
          <w:szCs w:val="20"/>
        </w:rPr>
        <w:t>bring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 them </w:t>
      </w:r>
      <w:r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in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to a </w:t>
      </w:r>
      <w:r w:rsidR="0096748D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 xml:space="preserve">peculiar </w:t>
      </w:r>
      <w:r w:rsidR="00AC5682" w:rsidRPr="00CA0BFD">
        <w:rPr>
          <w:rFonts w:ascii="Palatino Linotype" w:hAnsi="Palatino Linotype"/>
          <w:color w:val="C45911" w:themeColor="accent2" w:themeShade="BF"/>
          <w:sz w:val="20"/>
          <w:szCs w:val="20"/>
        </w:rPr>
        <w:t>stylistic harmony.</w:t>
      </w:r>
    </w:p>
    <w:p w14:paraId="12C0C3BB" w14:textId="082185C6" w:rsidR="00CA0BFD" w:rsidRDefault="00CA0BFD" w:rsidP="00AC5682">
      <w:pPr>
        <w:rPr>
          <w:rFonts w:ascii="Palatino Linotype" w:hAnsi="Palatino Linotype"/>
          <w:color w:val="C45911" w:themeColor="accent2" w:themeShade="BF"/>
          <w:sz w:val="20"/>
          <w:szCs w:val="20"/>
        </w:rPr>
      </w:pPr>
    </w:p>
    <w:p w14:paraId="08FB5782" w14:textId="45880EEB" w:rsidR="00BE5E78" w:rsidRPr="00CA0BFD" w:rsidRDefault="00BE5E78" w:rsidP="00AC5682">
      <w:pPr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</w:pP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On the renewal of the epic </w:t>
      </w:r>
      <w:r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formula</w:t>
      </w:r>
      <w:r w:rsidR="00745645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ic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 heritage in Nonn</w:t>
      </w:r>
      <w:r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us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, </w:t>
      </w:r>
      <w:r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see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 D'Ippolit</w:t>
      </w:r>
      <w:r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o,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 2016. </w:t>
      </w:r>
      <w:r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Changes in the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 hexameter, </w:t>
      </w:r>
      <w:r w:rsidR="00384DD2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which had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 stylistic and lexical </w:t>
      </w:r>
      <w:r w:rsidR="00384DD2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consequences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, </w:t>
      </w:r>
      <w:r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are addressed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 in the classic works </w:t>
      </w:r>
      <w:r w:rsidR="00EA6BDA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of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 Whitby</w:t>
      </w:r>
      <w:r w:rsidR="00EC710B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,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 1994 and Agosti</w:t>
      </w:r>
      <w:r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 – G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onnelli</w:t>
      </w:r>
      <w:r w:rsidR="00EC710B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>,</w:t>
      </w:r>
      <w:r w:rsidRPr="00BE5E78">
        <w:rPr>
          <w:rFonts w:ascii="Palatino Linotype" w:hAnsi="Palatino Linotype"/>
          <w:b/>
          <w:bCs/>
          <w:color w:val="auto"/>
          <w:sz w:val="20"/>
          <w:szCs w:val="20"/>
          <w:lang w:val="it-IT"/>
        </w:rPr>
        <w:t xml:space="preserve"> 1995.</w:t>
      </w:r>
    </w:p>
    <w:p w14:paraId="0DB9FEC8" w14:textId="77777777" w:rsidR="00AC5682" w:rsidRPr="00CA0BFD" w:rsidRDefault="00AC5682" w:rsidP="009038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Palatino Linotype" w:hAnsi="Palatino Linotype"/>
          <w:color w:val="0070C0"/>
          <w:sz w:val="20"/>
          <w:szCs w:val="20"/>
          <w:lang w:val="it-IT"/>
        </w:rPr>
      </w:pPr>
    </w:p>
    <w:p w14:paraId="561695B4" w14:textId="18574719" w:rsidR="00AC424A" w:rsidRPr="00CA0BFD" w:rsidRDefault="00EB362B">
      <w:pPr>
        <w:rPr>
          <w:color w:val="0070C0"/>
          <w:lang w:val="it-IT"/>
        </w:rPr>
      </w:pPr>
    </w:p>
    <w:p w14:paraId="1A960089" w14:textId="77777777" w:rsidR="00996DF1" w:rsidRPr="00CA0BFD" w:rsidRDefault="00996DF1">
      <w:pPr>
        <w:rPr>
          <w:color w:val="0070C0"/>
          <w:lang w:val="it-IT"/>
        </w:rPr>
      </w:pPr>
    </w:p>
    <w:sectPr w:rsidR="00996DF1" w:rsidRPr="00CA0BFD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160A" w14:textId="77777777" w:rsidR="00EB362B" w:rsidRDefault="00EB362B" w:rsidP="009038FC">
      <w:pPr>
        <w:spacing w:after="0" w:line="240" w:lineRule="auto"/>
      </w:pPr>
      <w:r>
        <w:separator/>
      </w:r>
    </w:p>
  </w:endnote>
  <w:endnote w:type="continuationSeparator" w:id="0">
    <w:p w14:paraId="3FCF5054" w14:textId="77777777" w:rsidR="00EB362B" w:rsidRDefault="00EB362B" w:rsidP="0090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616EE" w14:textId="77777777" w:rsidR="00EB362B" w:rsidRDefault="00EB362B" w:rsidP="009038FC">
      <w:pPr>
        <w:spacing w:after="0" w:line="240" w:lineRule="auto"/>
      </w:pPr>
      <w:r>
        <w:separator/>
      </w:r>
    </w:p>
  </w:footnote>
  <w:footnote w:type="continuationSeparator" w:id="0">
    <w:p w14:paraId="375D7CD1" w14:textId="77777777" w:rsidR="00EB362B" w:rsidRDefault="00EB362B" w:rsidP="009038FC">
      <w:pPr>
        <w:spacing w:after="0" w:line="240" w:lineRule="auto"/>
      </w:pPr>
      <w:r>
        <w:continuationSeparator/>
      </w:r>
    </w:p>
  </w:footnote>
  <w:footnote w:id="1">
    <w:p w14:paraId="5279C0E6" w14:textId="77777777" w:rsidR="004C6FC5" w:rsidRPr="00191DF3" w:rsidRDefault="004C6FC5" w:rsidP="004C6FC5">
      <w:pPr>
        <w:pStyle w:val="FootnoteText"/>
        <w:rPr>
          <w:rFonts w:ascii="Palatino Linotype" w:hAnsi="Palatino Linotype"/>
          <w:color w:val="C45911" w:themeColor="accent2" w:themeShade="BF"/>
          <w:sz w:val="18"/>
          <w:szCs w:val="18"/>
        </w:rPr>
      </w:pPr>
      <w:r w:rsidRPr="00191DF3">
        <w:rPr>
          <w:rStyle w:val="FootnoteReference"/>
          <w:rFonts w:ascii="Palatino Linotype" w:hAnsi="Palatino Linotype"/>
          <w:color w:val="C45911" w:themeColor="accent2" w:themeShade="BF"/>
          <w:sz w:val="18"/>
          <w:szCs w:val="18"/>
        </w:rPr>
        <w:footnoteRef/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See also LSJ </w:t>
      </w:r>
      <w:r w:rsidRPr="00191DF3">
        <w:rPr>
          <w:rFonts w:ascii="Palatino Linotype" w:hAnsi="Palatino Linotype"/>
          <w:i/>
          <w:iCs/>
          <w:color w:val="C45911" w:themeColor="accent2" w:themeShade="BF"/>
          <w:sz w:val="18"/>
          <w:szCs w:val="18"/>
        </w:rPr>
        <w:t>s.v.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</w:t>
      </w:r>
    </w:p>
  </w:footnote>
  <w:footnote w:id="2">
    <w:p w14:paraId="439F0187" w14:textId="77777777" w:rsidR="004C6FC5" w:rsidRPr="00191DF3" w:rsidRDefault="004C6FC5" w:rsidP="004C6FC5">
      <w:pPr>
        <w:pStyle w:val="NoSpacing"/>
        <w:jc w:val="both"/>
        <w:rPr>
          <w:rFonts w:ascii="Palatino Linotype" w:hAnsi="Palatino Linotype"/>
          <w:color w:val="C45911" w:themeColor="accent2" w:themeShade="BF"/>
          <w:sz w:val="18"/>
          <w:szCs w:val="18"/>
        </w:rPr>
      </w:pPr>
      <w:r w:rsidRPr="00191DF3">
        <w:rPr>
          <w:rStyle w:val="FootnoteReference"/>
          <w:rFonts w:ascii="Palatino Linotype" w:hAnsi="Palatino Linotype"/>
          <w:color w:val="C45911" w:themeColor="accent2" w:themeShade="BF"/>
          <w:sz w:val="18"/>
          <w:szCs w:val="18"/>
        </w:rPr>
        <w:footnoteRef/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</w:t>
      </w:r>
      <w:r w:rsidRPr="00191DF3">
        <w:rPr>
          <w:rFonts w:ascii="Palatino Linotype" w:hAnsi="Palatino Linotype" w:cs="Times New Roman"/>
          <w:color w:val="C45911" w:themeColor="accent2" w:themeShade="BF"/>
          <w:sz w:val="18"/>
          <w:szCs w:val="18"/>
          <w:bdr w:val="none" w:sz="0" w:space="0" w:color="auto"/>
        </w:rPr>
        <w:t>Karmires 1936: 36.</w:t>
      </w:r>
    </w:p>
  </w:footnote>
  <w:footnote w:id="3">
    <w:p w14:paraId="5EFA5BA2" w14:textId="1EAC6002" w:rsidR="004C6FC5" w:rsidRPr="00CA0BFD" w:rsidRDefault="004C6FC5" w:rsidP="004C6FC5">
      <w:pPr>
        <w:pStyle w:val="NoSpacing"/>
        <w:jc w:val="both"/>
        <w:rPr>
          <w:rFonts w:ascii="Palatino Linotype" w:hAnsi="Palatino Linotype"/>
          <w:color w:val="C45911" w:themeColor="accent2" w:themeShade="BF"/>
          <w:sz w:val="18"/>
          <w:szCs w:val="18"/>
        </w:rPr>
      </w:pPr>
      <w:r w:rsidRPr="00191DF3">
        <w:rPr>
          <w:rStyle w:val="FootnoteReference"/>
          <w:rFonts w:ascii="Palatino Linotype" w:hAnsi="Palatino Linotype"/>
          <w:color w:val="C45911" w:themeColor="accent2" w:themeShade="BF"/>
          <w:sz w:val="18"/>
          <w:szCs w:val="18"/>
        </w:rPr>
        <w:footnoteRef/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See Poulos 2019. For an example of Callimacheanism on the epigrammatic level in </w:t>
      </w:r>
      <w:r w:rsidRPr="00CA0BFD">
        <w:rPr>
          <w:rFonts w:ascii="Palatino Linotype" w:hAnsi="Palatino Linotype"/>
          <w:i/>
          <w:iCs/>
          <w:color w:val="C45911" w:themeColor="accent2" w:themeShade="BF"/>
          <w:sz w:val="18"/>
          <w:szCs w:val="18"/>
        </w:rPr>
        <w:t>AP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8.21, see Cerroni 2020.</w:t>
      </w:r>
    </w:p>
  </w:footnote>
  <w:footnote w:id="4">
    <w:p w14:paraId="568FA23B" w14:textId="735C1B5E" w:rsidR="005B6492" w:rsidRPr="00CA0BFD" w:rsidRDefault="005B6492" w:rsidP="005B6492">
      <w:pPr>
        <w:pStyle w:val="FootnoteText"/>
        <w:jc w:val="both"/>
        <w:rPr>
          <w:color w:val="C45911" w:themeColor="accent2" w:themeShade="BF"/>
        </w:rPr>
      </w:pPr>
      <w:r w:rsidRPr="00666519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CA0BFD">
        <w:rPr>
          <w:rFonts w:ascii="Palatino Linotype" w:hAnsi="Palatino Linotype"/>
          <w:sz w:val="18"/>
          <w:szCs w:val="18"/>
        </w:rPr>
        <w:t xml:space="preserve"> 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Floridi 2013: 78-79, </w:t>
      </w:r>
      <w:r w:rsidR="00A074E9"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despite W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altz</w:t>
      </w:r>
      <w:r w:rsidR="00A074E9"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’s (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1944: 25</w:t>
      </w:r>
      <w:r w:rsidR="00A074E9"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) simple explanation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, </w:t>
      </w:r>
      <w:r w:rsidR="00A074E9"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by which he justifies the high number of epigrams on the theme of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</w:t>
      </w:r>
      <w:r w:rsidRPr="00191DF3">
        <w:rPr>
          <w:rFonts w:ascii="Palatino Linotype" w:hAnsi="Palatino Linotype"/>
          <w:color w:val="C45911" w:themeColor="accent2" w:themeShade="BF"/>
          <w:sz w:val="18"/>
          <w:szCs w:val="18"/>
          <w:lang w:val="el-GR"/>
        </w:rPr>
        <w:t>τυμβωρυχία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 xml:space="preserve"> </w:t>
      </w:r>
      <w:r w:rsidR="00A074E9"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by referring to the high demand of customers interested in such texts</w:t>
      </w:r>
      <w:r w:rsidRPr="00CA0BFD">
        <w:rPr>
          <w:rFonts w:ascii="Palatino Linotype" w:hAnsi="Palatino Linotype"/>
          <w:color w:val="C45911" w:themeColor="accent2" w:themeShade="BF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FC"/>
    <w:rsid w:val="00007F08"/>
    <w:rsid w:val="0001450A"/>
    <w:rsid w:val="000221CA"/>
    <w:rsid w:val="0002426C"/>
    <w:rsid w:val="00025579"/>
    <w:rsid w:val="000552D5"/>
    <w:rsid w:val="000A4744"/>
    <w:rsid w:val="000B1844"/>
    <w:rsid w:val="000C2611"/>
    <w:rsid w:val="00101C21"/>
    <w:rsid w:val="00142AE5"/>
    <w:rsid w:val="00146231"/>
    <w:rsid w:val="00191DF3"/>
    <w:rsid w:val="00214F76"/>
    <w:rsid w:val="00260D55"/>
    <w:rsid w:val="0028278E"/>
    <w:rsid w:val="002851DF"/>
    <w:rsid w:val="00290B09"/>
    <w:rsid w:val="002952B8"/>
    <w:rsid w:val="002C66AE"/>
    <w:rsid w:val="002E4850"/>
    <w:rsid w:val="003273B6"/>
    <w:rsid w:val="00350777"/>
    <w:rsid w:val="0035596B"/>
    <w:rsid w:val="00384DD2"/>
    <w:rsid w:val="00400FA2"/>
    <w:rsid w:val="004048E8"/>
    <w:rsid w:val="00426773"/>
    <w:rsid w:val="004341F4"/>
    <w:rsid w:val="00455498"/>
    <w:rsid w:val="0049320A"/>
    <w:rsid w:val="004C6FC5"/>
    <w:rsid w:val="004F14B2"/>
    <w:rsid w:val="005034D7"/>
    <w:rsid w:val="00545FEA"/>
    <w:rsid w:val="005B6492"/>
    <w:rsid w:val="00636B4B"/>
    <w:rsid w:val="006579B1"/>
    <w:rsid w:val="006B1F21"/>
    <w:rsid w:val="006D329A"/>
    <w:rsid w:val="006F3CD2"/>
    <w:rsid w:val="00732FC6"/>
    <w:rsid w:val="007448DF"/>
    <w:rsid w:val="00745645"/>
    <w:rsid w:val="00755762"/>
    <w:rsid w:val="007E6DB4"/>
    <w:rsid w:val="0089199F"/>
    <w:rsid w:val="00892B00"/>
    <w:rsid w:val="008951CE"/>
    <w:rsid w:val="008D5210"/>
    <w:rsid w:val="008F28CC"/>
    <w:rsid w:val="009038FC"/>
    <w:rsid w:val="0091709F"/>
    <w:rsid w:val="00922051"/>
    <w:rsid w:val="0092228C"/>
    <w:rsid w:val="00930989"/>
    <w:rsid w:val="009317B0"/>
    <w:rsid w:val="0096748D"/>
    <w:rsid w:val="00996DF1"/>
    <w:rsid w:val="009F3708"/>
    <w:rsid w:val="009F6631"/>
    <w:rsid w:val="00A074E9"/>
    <w:rsid w:val="00A3046A"/>
    <w:rsid w:val="00A61E08"/>
    <w:rsid w:val="00AC5682"/>
    <w:rsid w:val="00AF24F6"/>
    <w:rsid w:val="00AF4509"/>
    <w:rsid w:val="00B026AA"/>
    <w:rsid w:val="00B10A5C"/>
    <w:rsid w:val="00B466EC"/>
    <w:rsid w:val="00B93205"/>
    <w:rsid w:val="00BD6278"/>
    <w:rsid w:val="00BE5E78"/>
    <w:rsid w:val="00C600C7"/>
    <w:rsid w:val="00C9192C"/>
    <w:rsid w:val="00CA0BFD"/>
    <w:rsid w:val="00CE6588"/>
    <w:rsid w:val="00D04951"/>
    <w:rsid w:val="00D56190"/>
    <w:rsid w:val="00D74B71"/>
    <w:rsid w:val="00DD38A9"/>
    <w:rsid w:val="00E054EC"/>
    <w:rsid w:val="00E10435"/>
    <w:rsid w:val="00E73989"/>
    <w:rsid w:val="00E930BB"/>
    <w:rsid w:val="00EA6BDA"/>
    <w:rsid w:val="00EB29D8"/>
    <w:rsid w:val="00EB362B"/>
    <w:rsid w:val="00EC710B"/>
    <w:rsid w:val="00F00DC9"/>
    <w:rsid w:val="00F05372"/>
    <w:rsid w:val="00F1508C"/>
    <w:rsid w:val="00FA042E"/>
    <w:rsid w:val="00FA5831"/>
    <w:rsid w:val="00FB271E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30D6"/>
  <w15:chartTrackingRefBased/>
  <w15:docId w15:val="{45773137-867A-6348-B18C-E061CF6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038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rsid w:val="009038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038FC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038FC"/>
    <w:rPr>
      <w:vertAlign w:val="superscript"/>
    </w:rPr>
  </w:style>
  <w:style w:type="paragraph" w:styleId="NoSpacing">
    <w:name w:val="No Spacing"/>
    <w:uiPriority w:val="1"/>
    <w:qFormat/>
    <w:rsid w:val="009038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Default">
    <w:name w:val="Default"/>
    <w:rsid w:val="009038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D55"/>
    <w:rPr>
      <w:rFonts w:ascii="Segoe UI" w:eastAsia="Calibri" w:hAnsi="Segoe UI" w:cs="Segoe UI"/>
      <w:color w:val="000000"/>
      <w:sz w:val="18"/>
      <w:szCs w:val="18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5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10"/>
    <w:rPr>
      <w:rFonts w:ascii="Calibri" w:eastAsia="Calibri" w:hAnsi="Calibri" w:cs="Calibri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10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Kalina Yamboliev</cp:lastModifiedBy>
  <cp:revision>16</cp:revision>
  <dcterms:created xsi:type="dcterms:W3CDTF">2020-06-29T02:43:00Z</dcterms:created>
  <dcterms:modified xsi:type="dcterms:W3CDTF">2020-06-30T15:07:00Z</dcterms:modified>
</cp:coreProperties>
</file>