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6D8E" w14:textId="73379059" w:rsidR="00F74BEB" w:rsidRPr="000736C0" w:rsidRDefault="00EB14B2" w:rsidP="00795B94">
      <w:pPr>
        <w:bidi w:val="0"/>
        <w:spacing w:line="360" w:lineRule="auto"/>
        <w:rPr>
          <w:rFonts w:ascii="Times New Roman" w:hAnsi="Times New Roman" w:cs="Times New Roman"/>
          <w:b/>
          <w:bCs/>
          <w:sz w:val="24"/>
          <w:szCs w:val="24"/>
          <w:rtl/>
        </w:rPr>
      </w:pPr>
      <w:r>
        <w:rPr>
          <w:rFonts w:ascii="Times New Roman" w:hAnsi="Times New Roman" w:cs="Times New Roman"/>
          <w:b/>
          <w:bCs/>
          <w:sz w:val="24"/>
          <w:szCs w:val="24"/>
        </w:rPr>
        <w:t>Hope and Anxiety in the Works of José Saramago</w:t>
      </w:r>
    </w:p>
    <w:p w14:paraId="2B820D77" w14:textId="659B87A4" w:rsidR="00711250" w:rsidRDefault="00711250" w:rsidP="00795B94">
      <w:pPr>
        <w:bidi w:val="0"/>
        <w:spacing w:line="360" w:lineRule="auto"/>
        <w:rPr>
          <w:rFonts w:ascii="Times New Roman" w:hAnsi="Times New Roman" w:cs="Times New Roman"/>
          <w:b/>
          <w:bCs/>
          <w:sz w:val="24"/>
          <w:szCs w:val="24"/>
        </w:rPr>
      </w:pPr>
      <w:r w:rsidRPr="000736C0">
        <w:rPr>
          <w:rFonts w:ascii="Times New Roman" w:hAnsi="Times New Roman" w:cs="Times New Roman"/>
          <w:b/>
          <w:bCs/>
          <w:sz w:val="24"/>
          <w:szCs w:val="24"/>
        </w:rPr>
        <w:t>Dr. Bina Nir</w:t>
      </w:r>
    </w:p>
    <w:p w14:paraId="10537800" w14:textId="48F77956" w:rsidR="009B116C" w:rsidRDefault="009B116C" w:rsidP="00795B94">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8F6BD78" w14:textId="2D9C0E2B" w:rsidR="009B116C" w:rsidRDefault="009B116C" w:rsidP="003D6234">
      <w:pPr>
        <w:bidi w:val="0"/>
        <w:spacing w:line="360" w:lineRule="auto"/>
        <w:rPr>
          <w:rFonts w:ascii="Times New Roman" w:hAnsi="Times New Roman" w:cs="Times New Roman"/>
          <w:sz w:val="24"/>
          <w:szCs w:val="24"/>
        </w:rPr>
      </w:pPr>
      <w:commentRangeStart w:id="0"/>
      <w:r>
        <w:rPr>
          <w:rFonts w:ascii="Times New Roman" w:hAnsi="Times New Roman" w:cs="Times New Roman"/>
          <w:sz w:val="24"/>
          <w:szCs w:val="24"/>
        </w:rPr>
        <w:t xml:space="preserve">Life on </w:t>
      </w:r>
      <w:r w:rsidR="00B97937">
        <w:rPr>
          <w:rFonts w:ascii="Times New Roman" w:hAnsi="Times New Roman" w:cs="Times New Roman"/>
          <w:sz w:val="24"/>
          <w:szCs w:val="24"/>
        </w:rPr>
        <w:t>the brink</w:t>
      </w:r>
      <w:r>
        <w:rPr>
          <w:rFonts w:ascii="Times New Roman" w:hAnsi="Times New Roman" w:cs="Times New Roman"/>
          <w:sz w:val="24"/>
          <w:szCs w:val="24"/>
        </w:rPr>
        <w:t xml:space="preserve"> of the apocalypse is a narrative </w:t>
      </w:r>
      <w:commentRangeEnd w:id="0"/>
      <w:r w:rsidR="00795B94">
        <w:rPr>
          <w:rStyle w:val="CommentReference"/>
        </w:rPr>
        <w:commentReference w:id="0"/>
      </w:r>
      <w:r>
        <w:rPr>
          <w:rFonts w:ascii="Times New Roman" w:hAnsi="Times New Roman" w:cs="Times New Roman"/>
          <w:sz w:val="24"/>
          <w:szCs w:val="24"/>
        </w:rPr>
        <w:t xml:space="preserve">rooted in the Judeo-Christian foundation of Western culture, which resurfaces in times of crisis. Works of literature within the apocalyptic genre allow us to </w:t>
      </w:r>
      <w:r w:rsidR="003D6234">
        <w:rPr>
          <w:rFonts w:ascii="Times New Roman" w:hAnsi="Times New Roman" w:cs="Times New Roman"/>
          <w:sz w:val="24"/>
          <w:szCs w:val="24"/>
        </w:rPr>
        <w:t>experience</w:t>
      </w:r>
      <w:r>
        <w:rPr>
          <w:rFonts w:ascii="Times New Roman" w:hAnsi="Times New Roman" w:cs="Times New Roman"/>
          <w:sz w:val="24"/>
          <w:szCs w:val="24"/>
        </w:rPr>
        <w:t xml:space="preserve"> what it would be like to live through the end o</w:t>
      </w:r>
      <w:bookmarkStart w:id="1" w:name="_GoBack"/>
      <w:bookmarkEnd w:id="1"/>
      <w:r>
        <w:rPr>
          <w:rFonts w:ascii="Times New Roman" w:hAnsi="Times New Roman" w:cs="Times New Roman"/>
          <w:sz w:val="24"/>
          <w:szCs w:val="24"/>
        </w:rPr>
        <w:t>f the world. In the present article</w:t>
      </w:r>
      <w:r w:rsidR="00795B94">
        <w:rPr>
          <w:rFonts w:ascii="Times New Roman" w:hAnsi="Times New Roman" w:cs="Times New Roman"/>
          <w:sz w:val="24"/>
          <w:szCs w:val="24"/>
        </w:rPr>
        <w:t>,</w:t>
      </w:r>
      <w:r>
        <w:rPr>
          <w:rFonts w:ascii="Times New Roman" w:hAnsi="Times New Roman" w:cs="Times New Roman"/>
          <w:sz w:val="24"/>
          <w:szCs w:val="24"/>
        </w:rPr>
        <w:t xml:space="preserve"> we will examine two novels by the author José Saramago – </w:t>
      </w:r>
      <w:r>
        <w:rPr>
          <w:rFonts w:ascii="Times New Roman" w:hAnsi="Times New Roman" w:cs="Times New Roman"/>
          <w:i/>
          <w:iCs/>
          <w:sz w:val="24"/>
          <w:szCs w:val="24"/>
        </w:rPr>
        <w:t>Blindness</w:t>
      </w:r>
      <w:r>
        <w:rPr>
          <w:rFonts w:ascii="Times New Roman" w:hAnsi="Times New Roman" w:cs="Times New Roman"/>
          <w:sz w:val="24"/>
          <w:szCs w:val="24"/>
        </w:rPr>
        <w:t xml:space="preserve"> and </w:t>
      </w:r>
      <w:r>
        <w:rPr>
          <w:rFonts w:ascii="Times New Roman" w:hAnsi="Times New Roman" w:cs="Times New Roman"/>
          <w:i/>
          <w:iCs/>
          <w:sz w:val="24"/>
          <w:szCs w:val="24"/>
        </w:rPr>
        <w:t>Death with Interruptions</w:t>
      </w:r>
      <w:r>
        <w:rPr>
          <w:rFonts w:ascii="Times New Roman" w:hAnsi="Times New Roman" w:cs="Times New Roman"/>
          <w:sz w:val="24"/>
          <w:szCs w:val="24"/>
        </w:rPr>
        <w:t xml:space="preserve"> – that take on this theme while examining human anxiety as well as hope. These two concepts, for Saramago</w:t>
      </w:r>
      <w:r w:rsidR="003D6234">
        <w:rPr>
          <w:rFonts w:ascii="Times New Roman" w:hAnsi="Times New Roman" w:cs="Times New Roman"/>
          <w:sz w:val="24"/>
          <w:szCs w:val="24"/>
        </w:rPr>
        <w:t xml:space="preserve"> are</w:t>
      </w:r>
      <w:r>
        <w:rPr>
          <w:rFonts w:ascii="Times New Roman" w:hAnsi="Times New Roman" w:cs="Times New Roman"/>
          <w:sz w:val="24"/>
          <w:szCs w:val="24"/>
        </w:rPr>
        <w:t xml:space="preserve"> the inter</w:t>
      </w:r>
      <w:r w:rsidR="00865290">
        <w:rPr>
          <w:rFonts w:ascii="Times New Roman" w:hAnsi="Times New Roman" w:cs="Times New Roman"/>
          <w:sz w:val="24"/>
          <w:szCs w:val="24"/>
        </w:rPr>
        <w:t>twined</w:t>
      </w:r>
      <w:r>
        <w:rPr>
          <w:rFonts w:ascii="Times New Roman" w:hAnsi="Times New Roman" w:cs="Times New Roman"/>
          <w:sz w:val="24"/>
          <w:szCs w:val="24"/>
        </w:rPr>
        <w:t xml:space="preserve"> byproducts of the affirmation of life and its activity. </w:t>
      </w:r>
    </w:p>
    <w:p w14:paraId="47AE893F" w14:textId="4B442010" w:rsidR="009B116C" w:rsidRDefault="00795B94" w:rsidP="00795B94">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Keywords</w:t>
      </w:r>
    </w:p>
    <w:p w14:paraId="2709C83E" w14:textId="48B58AED" w:rsidR="009B116C" w:rsidRDefault="009B116C" w:rsidP="00795B94">
      <w:pPr>
        <w:bidi w:val="0"/>
        <w:spacing w:line="360" w:lineRule="auto"/>
        <w:rPr>
          <w:rFonts w:ascii="Times New Roman" w:hAnsi="Times New Roman" w:cs="Times New Roman"/>
          <w:sz w:val="24"/>
          <w:szCs w:val="24"/>
        </w:rPr>
      </w:pPr>
      <w:r>
        <w:rPr>
          <w:rFonts w:ascii="Times New Roman" w:hAnsi="Times New Roman" w:cs="Times New Roman"/>
          <w:sz w:val="24"/>
          <w:szCs w:val="24"/>
        </w:rPr>
        <w:t>Apocalypse, Death with Interruption, Blindness, existential absurd</w:t>
      </w:r>
      <w:r w:rsidR="003D6234">
        <w:rPr>
          <w:rFonts w:ascii="Times New Roman" w:hAnsi="Times New Roman" w:cs="Times New Roman"/>
          <w:sz w:val="24"/>
          <w:szCs w:val="24"/>
        </w:rPr>
        <w:t xml:space="preserve">, </w:t>
      </w:r>
      <w:r w:rsidR="003D6234">
        <w:rPr>
          <w:rFonts w:ascii="Times New Roman" w:hAnsi="Times New Roman" w:cs="Times New Roman"/>
          <w:sz w:val="24"/>
          <w:szCs w:val="24"/>
        </w:rPr>
        <w:t>José Saramago</w:t>
      </w:r>
    </w:p>
    <w:p w14:paraId="57FFD868" w14:textId="77777777" w:rsidR="005D5B14" w:rsidRDefault="005D5B14" w:rsidP="00795B94">
      <w:pPr>
        <w:bidi w:val="0"/>
        <w:spacing w:line="360" w:lineRule="auto"/>
        <w:rPr>
          <w:rFonts w:ascii="Times New Roman" w:hAnsi="Times New Roman" w:cs="Times New Roman"/>
          <w:sz w:val="24"/>
          <w:szCs w:val="24"/>
        </w:rPr>
      </w:pPr>
    </w:p>
    <w:p w14:paraId="56D13759" w14:textId="10CA53D7" w:rsidR="009B116C" w:rsidRDefault="009B116C" w:rsidP="00795B94">
      <w:pPr>
        <w:pStyle w:val="Subtitle"/>
        <w:spacing w:line="360" w:lineRule="auto"/>
        <w:jc w:val="left"/>
      </w:pPr>
      <w:r w:rsidRPr="009B116C">
        <w:t>1. Introduction</w:t>
      </w:r>
    </w:p>
    <w:p w14:paraId="3A4AC9E6" w14:textId="24EA7BB3" w:rsidR="008B193B" w:rsidRDefault="00574B54" w:rsidP="003D6234">
      <w:pPr>
        <w:pStyle w:val="Style1"/>
      </w:pPr>
      <w:commentRangeStart w:id="2"/>
      <w:r>
        <w:t xml:space="preserve">Life on the </w:t>
      </w:r>
      <w:r w:rsidR="00B97937">
        <w:t>brink</w:t>
      </w:r>
      <w:r>
        <w:t xml:space="preserve"> of the apocalypse </w:t>
      </w:r>
      <w:commentRangeEnd w:id="2"/>
      <w:r w:rsidR="003D6234">
        <w:rPr>
          <w:rStyle w:val="CommentReference"/>
          <w:rFonts w:asciiTheme="minorHAnsi" w:hAnsiTheme="minorHAnsi" w:cstheme="minorBidi"/>
        </w:rPr>
        <w:commentReference w:id="2"/>
      </w:r>
      <w:r>
        <w:t>is a cultural, personal and collective narrative that often resurfaces in times of crisis</w:t>
      </w:r>
      <w:r w:rsidR="00865290">
        <w:t>.</w:t>
      </w:r>
      <w:r>
        <w:t xml:space="preserve"> </w:t>
      </w:r>
      <w:r w:rsidR="003D6234">
        <w:t>Facing</w:t>
      </w:r>
      <w:r w:rsidR="003D6234">
        <w:t xml:space="preserve"> an unknown future</w:t>
      </w:r>
      <w:r>
        <w:t xml:space="preserve"> </w:t>
      </w:r>
      <w:r w:rsidR="008A6E79">
        <w:t>bring</w:t>
      </w:r>
      <w:r w:rsidR="00865290">
        <w:t>s</w:t>
      </w:r>
      <w:r w:rsidR="008A6E79">
        <w:t xml:space="preserve"> on</w:t>
      </w:r>
      <w:r>
        <w:t xml:space="preserve"> uncertainty and feelings of anxiety</w:t>
      </w:r>
      <w:r w:rsidR="003D6234">
        <w:t>. As</w:t>
      </w:r>
      <w:r w:rsidR="003D6234">
        <w:t xml:space="preserve"> the result of</w:t>
      </w:r>
      <w:r w:rsidR="003D6234" w:rsidRPr="00574B54">
        <w:t xml:space="preserve"> the </w:t>
      </w:r>
      <w:r w:rsidR="003D6234">
        <w:t>ongoing</w:t>
      </w:r>
      <w:r w:rsidR="003D6234" w:rsidRPr="00574B54">
        <w:t xml:space="preserve"> COVID-19 </w:t>
      </w:r>
      <w:r w:rsidR="003D6234">
        <w:t>pandemic</w:t>
      </w:r>
      <w:r w:rsidR="003D6234">
        <w:t xml:space="preserve">, </w:t>
      </w:r>
      <w:commentRangeStart w:id="3"/>
      <w:r w:rsidR="003D6234">
        <w:t>t</w:t>
      </w:r>
      <w:r w:rsidRPr="00574B54">
        <w:t xml:space="preserve">he </w:t>
      </w:r>
      <w:r w:rsidR="00865290">
        <w:t>atmosphere of the times</w:t>
      </w:r>
      <w:r w:rsidRPr="00574B54">
        <w:t xml:space="preserve"> </w:t>
      </w:r>
      <w:commentRangeEnd w:id="3"/>
      <w:r w:rsidR="003D6234">
        <w:rPr>
          <w:rStyle w:val="CommentReference"/>
          <w:rFonts w:asciiTheme="minorHAnsi" w:hAnsiTheme="minorHAnsi" w:cstheme="minorBidi"/>
        </w:rPr>
        <w:commentReference w:id="3"/>
      </w:r>
      <w:r w:rsidRPr="00574B54">
        <w:t xml:space="preserve">we are </w:t>
      </w:r>
      <w:r>
        <w:t xml:space="preserve">currently </w:t>
      </w:r>
      <w:r w:rsidR="00865290">
        <w:t>living</w:t>
      </w:r>
      <w:r w:rsidR="003D6234">
        <w:t xml:space="preserve"> through</w:t>
      </w:r>
      <w:r w:rsidR="00865290">
        <w:t xml:space="preserve"> </w:t>
      </w:r>
      <w:r w:rsidRPr="00574B54">
        <w:t xml:space="preserve">is often described as </w:t>
      </w:r>
      <w:r w:rsidR="00865290">
        <w:t>apocalyptic</w:t>
      </w:r>
      <w:r w:rsidRPr="00574B54">
        <w:t xml:space="preserve">. </w:t>
      </w:r>
      <w:r>
        <w:t>The struggle</w:t>
      </w:r>
      <w:r w:rsidRPr="00574B54">
        <w:t xml:space="preserve"> </w:t>
      </w:r>
      <w:r>
        <w:t>of humanity against</w:t>
      </w:r>
      <w:r w:rsidR="003D6234">
        <w:t xml:space="preserve"> both</w:t>
      </w:r>
      <w:r>
        <w:t xml:space="preserve"> the corona</w:t>
      </w:r>
      <w:r w:rsidRPr="00574B54">
        <w:t xml:space="preserve">virus and </w:t>
      </w:r>
      <w:r>
        <w:t>the approaching</w:t>
      </w:r>
      <w:r w:rsidRPr="00574B54">
        <w:t xml:space="preserve"> climate crisis is </w:t>
      </w:r>
      <w:r w:rsidR="003D6234">
        <w:t>an</w:t>
      </w:r>
      <w:r w:rsidR="008B193B">
        <w:t xml:space="preserve"> attempt</w:t>
      </w:r>
      <w:r>
        <w:t xml:space="preserve"> to prevent </w:t>
      </w:r>
      <w:r w:rsidRPr="00574B54">
        <w:t>the</w:t>
      </w:r>
      <w:r>
        <w:t xml:space="preserve"> possib</w:t>
      </w:r>
      <w:r w:rsidR="008B193B">
        <w:t>ility of a</w:t>
      </w:r>
      <w:r>
        <w:t xml:space="preserve"> catastrophic</w:t>
      </w:r>
      <w:r w:rsidRPr="00574B54">
        <w:t xml:space="preserve"> future.</w:t>
      </w:r>
      <w:r>
        <w:rPr>
          <w:rStyle w:val="FootnoteReference"/>
        </w:rPr>
        <w:footnoteReference w:id="1"/>
      </w:r>
      <w:r w:rsidRPr="00574B54">
        <w:t xml:space="preserve"> </w:t>
      </w:r>
      <w:r w:rsidR="008B193B">
        <w:t>No wonder then that t</w:t>
      </w:r>
      <w:r w:rsidRPr="00574B54">
        <w:t>his is a time of hopelessness, uncertainty and great anxiety.</w:t>
      </w:r>
      <w:r w:rsidR="008B193B">
        <w:t xml:space="preserve"> </w:t>
      </w:r>
    </w:p>
    <w:p w14:paraId="5A4E673A" w14:textId="529850A0" w:rsidR="009B116C" w:rsidRDefault="008B193B" w:rsidP="003D6234">
      <w:pPr>
        <w:pStyle w:val="Style1"/>
      </w:pPr>
      <w:r>
        <w:t>Paul Tillich</w:t>
      </w:r>
      <w:r w:rsidRPr="008B193B">
        <w:t xml:space="preserve"> </w:t>
      </w:r>
      <w:r>
        <w:t>proposes</w:t>
      </w:r>
      <w:r w:rsidRPr="008B193B">
        <w:t xml:space="preserve"> a distinction between three human anxieties</w:t>
      </w:r>
      <w:r>
        <w:t>, i.e.</w:t>
      </w:r>
      <w:r w:rsidR="003D6234">
        <w:t>,</w:t>
      </w:r>
      <w:r w:rsidRPr="008B193B">
        <w:t xml:space="preserve"> </w:t>
      </w:r>
      <w:r w:rsidR="00865290">
        <w:t xml:space="preserve">anxieties </w:t>
      </w:r>
      <w:r w:rsidR="003D6234">
        <w:t>that arise</w:t>
      </w:r>
      <w:r w:rsidR="003D6234" w:rsidRPr="008B193B">
        <w:t xml:space="preserve"> </w:t>
      </w:r>
      <w:r w:rsidRPr="008B193B">
        <w:t xml:space="preserve">from the very fact of being human, and the </w:t>
      </w:r>
      <w:r>
        <w:t>pandemic has</w:t>
      </w:r>
      <w:r w:rsidRPr="008B193B">
        <w:t xml:space="preserve"> confront</w:t>
      </w:r>
      <w:r w:rsidR="00865290">
        <w:t>ed</w:t>
      </w:r>
      <w:r w:rsidRPr="008B193B">
        <w:t xml:space="preserve"> us with all three: the anxiety of fate and death, the anxiety of emptiness and meaninglessness</w:t>
      </w:r>
      <w:r w:rsidR="003D6234">
        <w:t>,</w:t>
      </w:r>
      <w:r w:rsidRPr="008B193B">
        <w:t xml:space="preserve"> and the anxiety of conscience and guilt.</w:t>
      </w:r>
      <w:r>
        <w:rPr>
          <w:rStyle w:val="FootnoteReference"/>
        </w:rPr>
        <w:footnoteReference w:id="2"/>
      </w:r>
      <w:r w:rsidRPr="008B193B">
        <w:t xml:space="preserve"> The anxiety of fate and death, </w:t>
      </w:r>
      <w:r>
        <w:t>according to Tillich</w:t>
      </w:r>
      <w:r w:rsidRPr="008B193B">
        <w:t xml:space="preserve">, overshadows all </w:t>
      </w:r>
      <w:r>
        <w:t xml:space="preserve">other </w:t>
      </w:r>
      <w:r w:rsidRPr="008B193B">
        <w:t xml:space="preserve">anxieties and </w:t>
      </w:r>
      <w:r w:rsidR="00634B71">
        <w:t>is characterized by</w:t>
      </w:r>
      <w:r w:rsidRPr="008B193B">
        <w:t xml:space="preserve"> </w:t>
      </w:r>
      <w:r>
        <w:t>a</w:t>
      </w:r>
      <w:r w:rsidRPr="008B193B">
        <w:t xml:space="preserve"> sense of arbitrariness, horror </w:t>
      </w:r>
      <w:r>
        <w:t>of the unexpected, and the</w:t>
      </w:r>
      <w:r w:rsidRPr="008B193B">
        <w:t xml:space="preserve"> inability to find meaning and logic in </w:t>
      </w:r>
      <w:r>
        <w:t xml:space="preserve">the world. </w:t>
      </w:r>
    </w:p>
    <w:p w14:paraId="53E4CD89" w14:textId="719DBB3C" w:rsidR="008B193B" w:rsidRDefault="008B193B" w:rsidP="00795B94">
      <w:pPr>
        <w:pStyle w:val="Style1"/>
      </w:pPr>
      <w:r>
        <w:lastRenderedPageBreak/>
        <w:t>E</w:t>
      </w:r>
      <w:r w:rsidRPr="008B193B">
        <w:t xml:space="preserve">xtreme situations </w:t>
      </w:r>
      <w:r>
        <w:t>likewise trigger</w:t>
      </w:r>
      <w:r w:rsidRPr="008B193B">
        <w:t xml:space="preserve"> the anxiety of emptiness and meaninglessness. In our daily </w:t>
      </w:r>
      <w:r>
        <w:t>lives</w:t>
      </w:r>
      <w:r w:rsidRPr="008B193B">
        <w:t xml:space="preserve">, we </w:t>
      </w:r>
      <w:r>
        <w:t xml:space="preserve">do not often find ourselves </w:t>
      </w:r>
      <w:r w:rsidRPr="008B193B">
        <w:t>stop</w:t>
      </w:r>
      <w:r>
        <w:t>ping</w:t>
      </w:r>
      <w:r w:rsidRPr="008B193B">
        <w:t xml:space="preserve"> </w:t>
      </w:r>
      <w:r>
        <w:t>to ask</w:t>
      </w:r>
      <w:r w:rsidRPr="008B193B">
        <w:t xml:space="preserve"> the big questions about the meaning of existence</w:t>
      </w:r>
      <w:r>
        <w:t>.</w:t>
      </w:r>
      <w:r w:rsidRPr="008B193B">
        <w:t xml:space="preserve"> Typically, our routine is characterized by the actions of mechanical life</w:t>
      </w:r>
      <w:r w:rsidR="003D6234">
        <w:t>,</w:t>
      </w:r>
      <w:r w:rsidRPr="008B193B">
        <w:t xml:space="preserve"> as described by Albert Camus in his book </w:t>
      </w:r>
      <w:r w:rsidRPr="00997D80">
        <w:rPr>
          <w:i/>
          <w:iCs/>
        </w:rPr>
        <w:t>The Myth of Sisyphus</w:t>
      </w:r>
      <w:r w:rsidR="00997D80">
        <w:t>, in the midst of which “one day the ‘why’ arises and everything begins in that weariness tinged with amazement.”</w:t>
      </w:r>
      <w:r w:rsidR="00997D80">
        <w:rPr>
          <w:rStyle w:val="FootnoteReference"/>
        </w:rPr>
        <w:footnoteReference w:id="3"/>
      </w:r>
      <w:r w:rsidR="00997D80">
        <w:t xml:space="preserve"> </w:t>
      </w:r>
      <w:r w:rsidR="00997D80" w:rsidRPr="00997D80">
        <w:t>In extreme situations, we are given the opportunity to deal with questions about the meaning of our private and collective lives</w:t>
      </w:r>
      <w:r w:rsidR="00997D80">
        <w:t>. T</w:t>
      </w:r>
      <w:r w:rsidR="00997D80" w:rsidRPr="00997D80">
        <w:t>hese questions</w:t>
      </w:r>
      <w:r w:rsidR="00997D80">
        <w:t>,</w:t>
      </w:r>
      <w:r w:rsidR="00997D80" w:rsidRPr="00997D80">
        <w:t xml:space="preserve"> </w:t>
      </w:r>
      <w:r w:rsidR="00997D80">
        <w:t>which</w:t>
      </w:r>
      <w:r w:rsidR="00997D80" w:rsidRPr="00997D80">
        <w:t xml:space="preserve"> </w:t>
      </w:r>
      <w:r w:rsidR="00997D80">
        <w:t>have us tossing</w:t>
      </w:r>
      <w:r w:rsidR="00997D80" w:rsidRPr="00997D80">
        <w:t xml:space="preserve"> between </w:t>
      </w:r>
      <w:r w:rsidR="00BE129E">
        <w:t>anxiety</w:t>
      </w:r>
      <w:r w:rsidR="00997D80" w:rsidRPr="00997D80">
        <w:t xml:space="preserve"> and hope</w:t>
      </w:r>
      <w:r w:rsidR="00997D80">
        <w:t>,</w:t>
      </w:r>
      <w:r w:rsidR="00997D80" w:rsidRPr="00997D80">
        <w:t xml:space="preserve"> are described </w:t>
      </w:r>
      <w:r w:rsidR="00997D80">
        <w:t>by</w:t>
      </w:r>
      <w:r w:rsidR="00997D80" w:rsidRPr="00997D80">
        <w:t xml:space="preserve"> Camus as</w:t>
      </w:r>
      <w:r w:rsidR="00997D80">
        <w:t xml:space="preserve"> our way of</w:t>
      </w:r>
      <w:r w:rsidR="00997D80" w:rsidRPr="00997D80">
        <w:t xml:space="preserve"> dealing with existential absurdity.</w:t>
      </w:r>
      <w:r w:rsidR="00BE129E">
        <w:rPr>
          <w:rStyle w:val="FootnoteReference"/>
        </w:rPr>
        <w:footnoteReference w:id="4"/>
      </w:r>
      <w:r w:rsidR="00997D80" w:rsidRPr="00997D80">
        <w:t xml:space="preserve"> For him, </w:t>
      </w:r>
      <w:r w:rsidR="00BE129E">
        <w:t>the sense of the absurd</w:t>
      </w:r>
      <w:r w:rsidR="00997D80" w:rsidRPr="00997D80">
        <w:t xml:space="preserve"> grows out of </w:t>
      </w:r>
      <w:r w:rsidR="00BE129E">
        <w:t xml:space="preserve">man’s </w:t>
      </w:r>
      <w:r w:rsidR="00997D80" w:rsidRPr="00997D80">
        <w:t xml:space="preserve">relationship </w:t>
      </w:r>
      <w:r w:rsidR="00BE129E">
        <w:t>with</w:t>
      </w:r>
      <w:r w:rsidR="00997D80" w:rsidRPr="00997D80">
        <w:t xml:space="preserve"> world, </w:t>
      </w:r>
      <w:r w:rsidR="008A6E79">
        <w:t>out of</w:t>
      </w:r>
      <w:r w:rsidR="00997D80" w:rsidRPr="00997D80">
        <w:t xml:space="preserve"> man</w:t>
      </w:r>
      <w:r w:rsidR="008A6E79">
        <w:t>’</w:t>
      </w:r>
      <w:r w:rsidR="00997D80" w:rsidRPr="00997D80">
        <w:t xml:space="preserve">s demand for rationality </w:t>
      </w:r>
      <w:r w:rsidR="008A6E79">
        <w:t xml:space="preserve">butting up against the world’s lack thereof. </w:t>
      </w:r>
    </w:p>
    <w:p w14:paraId="6F0E8C30" w14:textId="4E1BB693" w:rsidR="008A6E79" w:rsidRDefault="008A6E79" w:rsidP="003D6234">
      <w:pPr>
        <w:pStyle w:val="Style1"/>
      </w:pPr>
      <w:r>
        <w:t>We experience the feeling of</w:t>
      </w:r>
      <w:r w:rsidR="00634B71">
        <w:t xml:space="preserve"> an</w:t>
      </w:r>
      <w:r>
        <w:t xml:space="preserve"> impending apocalypse</w:t>
      </w:r>
      <w:r w:rsidRPr="008A6E79">
        <w:t xml:space="preserve"> mainly in </w:t>
      </w:r>
      <w:r>
        <w:t>times of crisis</w:t>
      </w:r>
      <w:r w:rsidRPr="008A6E79">
        <w:t xml:space="preserve">, </w:t>
      </w:r>
      <w:r>
        <w:t>however, at its core, the end of time is a narrative deeply rooted in the Judeo-Christian foundation underlying Western Culture.</w:t>
      </w:r>
      <w:r w:rsidRPr="008A6E79">
        <w:t xml:space="preserve"> In this article</w:t>
      </w:r>
      <w:r w:rsidR="003D6234">
        <w:t>,</w:t>
      </w:r>
      <w:r w:rsidRPr="008A6E79">
        <w:t xml:space="preserve"> we will look at the apocalyptic narrative</w:t>
      </w:r>
      <w:r>
        <w:t xml:space="preserve"> and its cultural roots, while examining </w:t>
      </w:r>
      <w:r w:rsidRPr="008A6E79">
        <w:t>the cultural</w:t>
      </w:r>
      <w:r>
        <w:t>ly codified</w:t>
      </w:r>
      <w:r w:rsidRPr="008A6E79">
        <w:t xml:space="preserve"> emotions that accompany this narrative such as anxiety and uncertainty. We will also look for the hope embedded in </w:t>
      </w:r>
      <w:r>
        <w:t>this narrative by analyzing</w:t>
      </w:r>
      <w:r w:rsidRPr="008A6E79">
        <w:t xml:space="preserve"> two texts from</w:t>
      </w:r>
      <w:r>
        <w:t xml:space="preserve"> the apocalyptic literary genre, the novels </w:t>
      </w:r>
      <w:r>
        <w:rPr>
          <w:i/>
          <w:iCs/>
        </w:rPr>
        <w:t>Blindness</w:t>
      </w:r>
      <w:r>
        <w:t xml:space="preserve"> and </w:t>
      </w:r>
      <w:r>
        <w:rPr>
          <w:i/>
          <w:iCs/>
        </w:rPr>
        <w:t>Death with Interruptions</w:t>
      </w:r>
      <w:r w:rsidRPr="008A6E79">
        <w:t xml:space="preserve"> by the Portuguese </w:t>
      </w:r>
      <w:r>
        <w:t>author</w:t>
      </w:r>
      <w:r w:rsidRPr="008A6E79">
        <w:t xml:space="preserve"> Jos</w:t>
      </w:r>
      <w:r>
        <w:t>é</w:t>
      </w:r>
      <w:r w:rsidRPr="008A6E79">
        <w:t xml:space="preserve"> Sar</w:t>
      </w:r>
      <w:r>
        <w:t>a</w:t>
      </w:r>
      <w:r w:rsidRPr="008A6E79">
        <w:t xml:space="preserve">mago. </w:t>
      </w:r>
      <w:r>
        <w:t>By delving into the idea of the end of time through</w:t>
      </w:r>
      <w:r w:rsidRPr="008A6E79">
        <w:t xml:space="preserve"> imaginary crises</w:t>
      </w:r>
      <w:r>
        <w:t>,</w:t>
      </w:r>
      <w:r w:rsidRPr="008A6E79">
        <w:t xml:space="preserve"> </w:t>
      </w:r>
      <w:r>
        <w:t>t</w:t>
      </w:r>
      <w:r w:rsidRPr="008A6E79">
        <w:t xml:space="preserve">he apocalyptic literary genre invites us to in-depth critical observation of our lives </w:t>
      </w:r>
      <w:r>
        <w:t>through a</w:t>
      </w:r>
      <w:r w:rsidRPr="008A6E79">
        <w:t xml:space="preserve"> range of political, cultural</w:t>
      </w:r>
      <w:r w:rsidR="003D6234">
        <w:t>,</w:t>
      </w:r>
      <w:r w:rsidRPr="008A6E79">
        <w:t xml:space="preserve"> and social </w:t>
      </w:r>
      <w:r>
        <w:t>lenses</w:t>
      </w:r>
      <w:r w:rsidRPr="008A6E79">
        <w:t xml:space="preserve">. </w:t>
      </w:r>
      <w:r w:rsidR="003D6234">
        <w:t>As in all great</w:t>
      </w:r>
      <w:r w:rsidRPr="008A6E79">
        <w:t xml:space="preserve"> literature, </w:t>
      </w:r>
      <w:r>
        <w:t xml:space="preserve">amidst the sense of anxiety and dread, </w:t>
      </w:r>
      <w:r w:rsidRPr="008A6E79">
        <w:t xml:space="preserve">the reader is </w:t>
      </w:r>
      <w:r>
        <w:t xml:space="preserve">also </w:t>
      </w:r>
      <w:r w:rsidRPr="008A6E79">
        <w:t xml:space="preserve">invited to </w:t>
      </w:r>
      <w:r>
        <w:t xml:space="preserve">look for hope </w:t>
      </w:r>
      <w:commentRangeStart w:id="4"/>
      <w:r>
        <w:t>glimmering between the lines</w:t>
      </w:r>
      <w:commentRangeEnd w:id="4"/>
      <w:r w:rsidR="003D6234">
        <w:rPr>
          <w:rStyle w:val="CommentReference"/>
          <w:rFonts w:asciiTheme="minorHAnsi" w:hAnsiTheme="minorHAnsi" w:cstheme="minorBidi"/>
        </w:rPr>
        <w:commentReference w:id="4"/>
      </w:r>
      <w:r w:rsidRPr="008A6E79">
        <w:t>.</w:t>
      </w:r>
    </w:p>
    <w:p w14:paraId="3D03DB46" w14:textId="77777777" w:rsidR="005D5B14" w:rsidRDefault="005D5B14" w:rsidP="00795B94">
      <w:pPr>
        <w:pStyle w:val="Style1"/>
      </w:pPr>
    </w:p>
    <w:p w14:paraId="51774579" w14:textId="4D3F930B" w:rsidR="00CA4608" w:rsidRPr="00634B71" w:rsidRDefault="00CA4608" w:rsidP="00795B94">
      <w:pPr>
        <w:pStyle w:val="Subtitle"/>
        <w:jc w:val="left"/>
      </w:pPr>
      <w:r w:rsidRPr="00634B71">
        <w:t>2. The origins of the apocalyptic narrative</w:t>
      </w:r>
    </w:p>
    <w:p w14:paraId="61C8C1D7" w14:textId="45D00485" w:rsidR="008A7357" w:rsidRPr="00227FE7" w:rsidRDefault="008A7357" w:rsidP="003D6234">
      <w:pPr>
        <w:pStyle w:val="Style1"/>
      </w:pPr>
      <w:r>
        <w:t>In Western Judeo-Christian thought, time has a beginning: “</w:t>
      </w:r>
      <w:r w:rsidRPr="00542814">
        <w:t>In the beginning God created the heaven and the earth</w:t>
      </w:r>
      <w:r w:rsidR="003D6234">
        <w:t>,</w:t>
      </w:r>
      <w:r>
        <w:t>”</w:t>
      </w:r>
      <w:r>
        <w:rPr>
          <w:rStyle w:val="FootnoteReference"/>
        </w:rPr>
        <w:footnoteReference w:id="5"/>
      </w:r>
      <w:r>
        <w:t xml:space="preserve"> and an end: “</w:t>
      </w:r>
      <w:r w:rsidRPr="00542814">
        <w:t>And it sha</w:t>
      </w:r>
      <w:r>
        <w:t>ll come to pass in the last days</w:t>
      </w:r>
      <w:r w:rsidR="003D6234">
        <w:t>.</w:t>
      </w:r>
      <w:r>
        <w:t>”</w:t>
      </w:r>
      <w:r>
        <w:rPr>
          <w:rStyle w:val="FootnoteReference"/>
        </w:rPr>
        <w:footnoteReference w:id="6"/>
      </w:r>
      <w:r w:rsidRPr="00FD3FDA">
        <w:rPr>
          <w:rFonts w:asciiTheme="minorBidi" w:hAnsiTheme="minorBidi" w:cstheme="minorBidi"/>
        </w:rPr>
        <w:t xml:space="preserve"> </w:t>
      </w:r>
      <w:r>
        <w:t xml:space="preserve">Linear </w:t>
      </w:r>
      <w:r w:rsidR="00634B71">
        <w:t>b</w:t>
      </w:r>
      <w:r>
        <w:t xml:space="preserve">iblical time is irreversible and </w:t>
      </w:r>
      <w:r w:rsidR="003D6234">
        <w:t>continues inexoriably</w:t>
      </w:r>
      <w:r>
        <w:t xml:space="preserve"> towards the final event, the establishment of the Kingdom of Heaven.</w:t>
      </w:r>
      <w:r>
        <w:rPr>
          <w:rStyle w:val="FootnoteReference"/>
        </w:rPr>
        <w:footnoteReference w:id="7"/>
      </w:r>
      <w:r w:rsidRPr="00FD3FDA">
        <w:rPr>
          <w:rStyle w:val="FootnoteReference"/>
          <w:rFonts w:asciiTheme="majorBidi" w:hAnsiTheme="majorBidi" w:cstheme="majorBidi"/>
        </w:rPr>
        <w:t xml:space="preserve"> </w:t>
      </w:r>
      <w:r>
        <w:t xml:space="preserve">The prophets promise us that we have a deciding influence on this end: “For if ye thoroughly amend your ways and your doings…Then will I </w:t>
      </w:r>
      <w:r>
        <w:lastRenderedPageBreak/>
        <w:t>cause you to dwell in this place, in the land that I gave to your fathers, for ever and ever</w:t>
      </w:r>
      <w:r w:rsidR="003D6234">
        <w:t>.</w:t>
      </w:r>
      <w:r>
        <w:t>”</w:t>
      </w:r>
      <w:r>
        <w:rPr>
          <w:rStyle w:val="FootnoteReference"/>
        </w:rPr>
        <w:footnoteReference w:id="8"/>
      </w:r>
      <w:r>
        <w:rPr>
          <w:rStyle w:val="FootnoteReference"/>
        </w:rPr>
        <w:t xml:space="preserve"> </w:t>
      </w:r>
      <w:r>
        <w:t>Man, in the Bible, finds himself within the stream of time, at any moment of which he may be subjected to the test of whether or not he succeeds to live up to God’s wil</w:t>
      </w:r>
      <w:r>
        <w:rPr>
          <w:rFonts w:asciiTheme="majorBidi" w:hAnsiTheme="majorBidi" w:cstheme="majorBidi"/>
        </w:rPr>
        <w:t>l.</w:t>
      </w:r>
      <w:r>
        <w:rPr>
          <w:rStyle w:val="FootnoteReference"/>
          <w:rFonts w:asciiTheme="majorBidi" w:hAnsiTheme="majorBidi" w:cstheme="majorBidi"/>
        </w:rPr>
        <w:footnoteReference w:id="9"/>
      </w:r>
    </w:p>
    <w:p w14:paraId="13E7B305" w14:textId="584A431F" w:rsidR="008A7357" w:rsidRDefault="008A7357" w:rsidP="003D6234">
      <w:pPr>
        <w:pStyle w:val="Style1"/>
        <w:rPr>
          <w:rStyle w:val="FootnoteReference"/>
        </w:rPr>
      </w:pPr>
      <w:r>
        <w:t>“The last days” spoken of by the prophet Isaiah mark the end of time. The first verse of Genesis lays the foundation for the end. If there is a genesis, there must be an apocalypse. The Bible’s linear perception of time leads from the creation to the end of days, and it is along this timeline that history runs its course.</w:t>
      </w:r>
      <w:r>
        <w:rPr>
          <w:rStyle w:val="FootnoteReference"/>
        </w:rPr>
        <w:footnoteReference w:id="10"/>
      </w:r>
      <w:r>
        <w:t xml:space="preserve"> The arrow of time </w:t>
      </w:r>
      <w:r w:rsidR="003D6234">
        <w:t>continues</w:t>
      </w:r>
      <w:r w:rsidR="003D6234">
        <w:t xml:space="preserve"> </w:t>
      </w:r>
      <w:r>
        <w:t>generation after generation, event after event, up until the present moment, from which there stretches a direct, continuous line towards the end point – the last days, the apocalypse.</w:t>
      </w:r>
      <w:r>
        <w:rPr>
          <w:rStyle w:val="FootnoteReference"/>
        </w:rPr>
        <w:footnoteReference w:id="11"/>
      </w:r>
      <w:r>
        <w:t xml:space="preserve"> The prophets of Israel had much to say about the end of days, and about its dependence on the conduct of the community and the nation: </w:t>
      </w:r>
      <w:r w:rsidR="00227FE7">
        <w:t>“</w:t>
      </w:r>
      <w:r w:rsidRPr="0059526B">
        <w:t>This is what the Lord says:</w:t>
      </w:r>
      <w:r>
        <w:t xml:space="preserve"> </w:t>
      </w:r>
      <w:r w:rsidRPr="0059526B">
        <w:t>Restrain your voice from weeping</w:t>
      </w:r>
      <w:r>
        <w:t xml:space="preserve"> </w:t>
      </w:r>
      <w:r w:rsidRPr="0059526B">
        <w:t>and your eyes from tears,</w:t>
      </w:r>
      <w:r>
        <w:t xml:space="preserve"> for your work will be rewarded, </w:t>
      </w:r>
      <w:r w:rsidRPr="0059526B">
        <w:t>declares the Lord.</w:t>
      </w:r>
      <w:r>
        <w:t xml:space="preserve"> </w:t>
      </w:r>
      <w:r w:rsidRPr="0059526B">
        <w:t>They will re</w:t>
      </w:r>
      <w:r>
        <w:t>t</w:t>
      </w:r>
      <w:r w:rsidR="00227FE7">
        <w:t>urn from the land of the enemy.”</w:t>
      </w:r>
      <w:r>
        <w:rPr>
          <w:rStyle w:val="FootnoteReference"/>
        </w:rPr>
        <w:footnoteReference w:id="12"/>
      </w:r>
      <w:r w:rsidRPr="0059526B">
        <w:rPr>
          <w:rStyle w:val="FootnoteReference"/>
          <w:rtl/>
        </w:rPr>
        <w:t xml:space="preserve"> </w:t>
      </w:r>
    </w:p>
    <w:p w14:paraId="1881064F" w14:textId="5491C0AB" w:rsidR="00227FE7" w:rsidRDefault="00227FE7" w:rsidP="003D6234">
      <w:pPr>
        <w:pStyle w:val="Style1"/>
      </w:pPr>
      <w:r w:rsidRPr="00227FE7">
        <w:t xml:space="preserve">This belief in the end of days penetrated Christianity mainly through the Book of Revelations, the </w:t>
      </w:r>
      <w:r w:rsidR="003D6234">
        <w:t>Apocalypse</w:t>
      </w:r>
      <w:r w:rsidR="003D6234" w:rsidRPr="00227FE7">
        <w:t xml:space="preserve"> </w:t>
      </w:r>
      <w:r w:rsidRPr="00227FE7">
        <w:t>of John. Th</w:t>
      </w:r>
      <w:r>
        <w:t>e</w:t>
      </w:r>
      <w:r w:rsidRPr="00227FE7">
        <w:t xml:space="preserve"> book was heavily influenced by the apocalyptic revelations of Daniel, which became a kind of model for all the visionary revelations that came after it: “And he said, Behold, I will make thee know what shall be in the last end of the indignation: for at the time appointed the end shall be</w:t>
      </w:r>
      <w:r w:rsidR="003D6234">
        <w:t>.</w:t>
      </w:r>
      <w:r w:rsidRPr="00227FE7">
        <w:t>”</w:t>
      </w:r>
      <w:r>
        <w:rPr>
          <w:rStyle w:val="FootnoteReference"/>
        </w:rPr>
        <w:footnoteReference w:id="13"/>
      </w:r>
      <w:r w:rsidR="004049B4">
        <w:t xml:space="preserve"> </w:t>
      </w:r>
      <w:r w:rsidRPr="00227FE7">
        <w:t xml:space="preserve">The things described in </w:t>
      </w:r>
      <w:r>
        <w:t>Daniel’s</w:t>
      </w:r>
      <w:r w:rsidRPr="00227FE7">
        <w:t xml:space="preserve"> </w:t>
      </w:r>
      <w:r>
        <w:t xml:space="preserve">revelation </w:t>
      </w:r>
      <w:r w:rsidRPr="00227FE7">
        <w:t>became cornerstone</w:t>
      </w:r>
      <w:r w:rsidR="004049B4">
        <w:t>s</w:t>
      </w:r>
      <w:r w:rsidRPr="00227FE7">
        <w:t xml:space="preserve"> of historical perception in Western culture. </w:t>
      </w:r>
      <w:r>
        <w:t>Historically, the Book of Daniel was written</w:t>
      </w:r>
      <w:r w:rsidRPr="00227FE7">
        <w:t xml:space="preserve"> </w:t>
      </w:r>
      <w:r w:rsidR="003D6234">
        <w:t>soon after</w:t>
      </w:r>
      <w:r w:rsidR="003D6234">
        <w:t xml:space="preserve"> </w:t>
      </w:r>
      <w:r w:rsidR="004049B4">
        <w:t>the</w:t>
      </w:r>
      <w:r w:rsidR="004049B4" w:rsidRPr="00227FE7">
        <w:t xml:space="preserve"> destruction </w:t>
      </w:r>
      <w:r w:rsidRPr="00227FE7">
        <w:t>of the Second Temple,</w:t>
      </w:r>
      <w:r w:rsidR="004049B4">
        <w:rPr>
          <w:rStyle w:val="FootnoteReference"/>
        </w:rPr>
        <w:footnoteReference w:id="14"/>
      </w:r>
      <w:r w:rsidRPr="00227FE7">
        <w:t xml:space="preserve"> and some believe that this literature </w:t>
      </w:r>
      <w:r w:rsidR="004049B4">
        <w:t>reflected a</w:t>
      </w:r>
      <w:r w:rsidRPr="00227FE7">
        <w:t xml:space="preserve"> desp</w:t>
      </w:r>
      <w:r w:rsidR="004049B4">
        <w:t>air</w:t>
      </w:r>
      <w:r w:rsidRPr="00227FE7">
        <w:t xml:space="preserve"> and loss of faith in</w:t>
      </w:r>
      <w:r w:rsidR="004049B4">
        <w:t xml:space="preserve"> daily religious observance </w:t>
      </w:r>
      <w:r w:rsidRPr="00227FE7">
        <w:t xml:space="preserve">as related to the redemption of the individual and the </w:t>
      </w:r>
      <w:r w:rsidR="004049B4">
        <w:t>world.</w:t>
      </w:r>
      <w:r w:rsidR="004049B4">
        <w:rPr>
          <w:rStyle w:val="FootnoteReference"/>
        </w:rPr>
        <w:footnoteReference w:id="15"/>
      </w:r>
    </w:p>
    <w:p w14:paraId="40563779" w14:textId="73453683" w:rsidR="004049B4" w:rsidRPr="00CA4608" w:rsidRDefault="004049B4" w:rsidP="00795B94">
      <w:pPr>
        <w:pStyle w:val="Style1"/>
      </w:pPr>
      <w:r>
        <w:t xml:space="preserve">Saint Augustine </w:t>
      </w:r>
      <w:r w:rsidR="00634B71">
        <w:t>was</w:t>
      </w:r>
      <w:r>
        <w:t xml:space="preserve"> the one to adjust the Judaic model of history and time to fit Christianity.</w:t>
      </w:r>
      <w:r>
        <w:rPr>
          <w:rStyle w:val="FootnoteReference"/>
        </w:rPr>
        <w:footnoteReference w:id="16"/>
      </w:r>
      <w:r>
        <w:t xml:space="preserve"> Augustine defines internal, experiential time, and identifies the past with </w:t>
      </w:r>
      <w:r>
        <w:lastRenderedPageBreak/>
        <w:t>historic memory, while the future is identified with expectation. According to him, human civilization is consistently advancing and developing.</w:t>
      </w:r>
      <w:r w:rsidRPr="004049B4">
        <w:rPr>
          <w:rStyle w:val="FootnoteReference"/>
        </w:rPr>
        <w:t xml:space="preserve"> </w:t>
      </w:r>
      <w:r>
        <w:rPr>
          <w:rStyle w:val="FootnoteReference"/>
        </w:rPr>
        <w:footnoteReference w:id="17"/>
      </w:r>
      <w:r>
        <w:t xml:space="preserve"> </w:t>
      </w:r>
      <w:r w:rsidR="009C5F11">
        <w:t>After all, the C</w:t>
      </w:r>
      <w:r w:rsidR="009C5F11" w:rsidRPr="00227FE7">
        <w:t>hristian</w:t>
      </w:r>
      <w:r w:rsidRPr="00227FE7">
        <w:t xml:space="preserve"> </w:t>
      </w:r>
      <w:r w:rsidR="009C5F11">
        <w:t>view of the history of huma</w:t>
      </w:r>
      <w:r w:rsidR="003D6234">
        <w:t>n</w:t>
      </w:r>
      <w:r w:rsidR="009C5F11">
        <w:t>kind</w:t>
      </w:r>
      <w:r w:rsidRPr="00227FE7">
        <w:t xml:space="preserve"> </w:t>
      </w:r>
      <w:r w:rsidR="00634B71">
        <w:t>sees its</w:t>
      </w:r>
      <w:r w:rsidR="009C5F11">
        <w:t xml:space="preserve"> begin</w:t>
      </w:r>
      <w:r w:rsidR="00634B71">
        <w:t>ning in</w:t>
      </w:r>
      <w:r w:rsidRPr="00227FE7">
        <w:t xml:space="preserve"> the fall, the original sin in the Garden of Eden, and </w:t>
      </w:r>
      <w:r w:rsidR="00634B71">
        <w:t xml:space="preserve">its </w:t>
      </w:r>
      <w:r>
        <w:t xml:space="preserve">end </w:t>
      </w:r>
      <w:r w:rsidR="00634B71">
        <w:t>in the final</w:t>
      </w:r>
      <w:r>
        <w:t xml:space="preserve"> </w:t>
      </w:r>
      <w:r w:rsidRPr="00227FE7">
        <w:t>salvation.</w:t>
      </w:r>
      <w:r w:rsidR="00B72073" w:rsidRPr="00B72073">
        <w:t xml:space="preserve"> </w:t>
      </w:r>
    </w:p>
    <w:p w14:paraId="6A6FDBD3" w14:textId="038761E6" w:rsidR="004049B4" w:rsidRDefault="0024498E" w:rsidP="00795B94">
      <w:pPr>
        <w:pStyle w:val="Style1"/>
      </w:pPr>
      <w:r>
        <w:t>Western history too, at least in Western liturgical writings, has a beginning and an end.</w:t>
      </w:r>
      <w:r>
        <w:rPr>
          <w:rStyle w:val="FootnoteReference"/>
        </w:rPr>
        <w:footnoteReference w:id="18"/>
      </w:r>
      <w:r>
        <w:t xml:space="preserve"> The story of humanity’s origins, as it is told in the West, assumes the existence of progress</w:t>
      </w:r>
      <w:r w:rsidR="008C3C81">
        <w:t xml:space="preserve"> </w:t>
      </w:r>
      <w:r>
        <w:t>and development, or in other words, an upwards trajectory, as expressed by the arrow of Biblical time.</w:t>
      </w:r>
      <w:r w:rsidR="008C3C81">
        <w:rPr>
          <w:rStyle w:val="FootnoteReference"/>
        </w:rPr>
        <w:footnoteReference w:id="19"/>
      </w:r>
      <w:r w:rsidR="008C3C81">
        <w:t xml:space="preserve"> </w:t>
      </w:r>
      <w:r w:rsidR="00B72073" w:rsidRPr="007E3036">
        <w:t>This linear conception of history and its division into segments, which follow one another as they get closer and closer to the end, has become dominant in all the cultural domains that rely on the Bible</w:t>
      </w:r>
      <w:r w:rsidR="00B72073">
        <w:t xml:space="preserve"> as the cornerstone of their world view.</w:t>
      </w:r>
      <w:r w:rsidR="00B72073">
        <w:rPr>
          <w:rStyle w:val="FootnoteReference"/>
        </w:rPr>
        <w:footnoteReference w:id="20"/>
      </w:r>
      <w:r w:rsidR="00B72073" w:rsidRPr="004A237D">
        <w:t>Although human existence is in fact an encounter with time and</w:t>
      </w:r>
      <w:r w:rsidR="00B72073">
        <w:t xml:space="preserve"> with</w:t>
      </w:r>
      <w:r w:rsidR="00B72073" w:rsidRPr="004A237D">
        <w:t xml:space="preserve"> human actions within time</w:t>
      </w:r>
      <w:r w:rsidR="00B72073">
        <w:t>,</w:t>
      </w:r>
      <w:r w:rsidR="00B72073" w:rsidRPr="004A237D">
        <w:t xml:space="preserve"> Western civilization, unlike other </w:t>
      </w:r>
      <w:r w:rsidR="00B72073">
        <w:t>cultures</w:t>
      </w:r>
      <w:r w:rsidR="00B72073" w:rsidRPr="004A237D">
        <w:t xml:space="preserve">, </w:t>
      </w:r>
      <w:commentRangeStart w:id="5"/>
      <w:r w:rsidR="00B72073" w:rsidRPr="004A237D">
        <w:t>has high expectations of its time</w:t>
      </w:r>
      <w:commentRangeEnd w:id="5"/>
      <w:r w:rsidR="003D6234">
        <w:rPr>
          <w:rStyle w:val="CommentReference"/>
          <w:rFonts w:asciiTheme="minorHAnsi" w:hAnsiTheme="minorHAnsi" w:cstheme="minorBidi"/>
        </w:rPr>
        <w:commentReference w:id="5"/>
      </w:r>
      <w:r w:rsidR="00B72073">
        <w:t>.</w:t>
      </w:r>
      <w:r w:rsidR="00B72073">
        <w:rPr>
          <w:rStyle w:val="FootnoteReference"/>
        </w:rPr>
        <w:footnoteReference w:id="21"/>
      </w:r>
      <w:r w:rsidR="004A237D">
        <w:t xml:space="preserve"> </w:t>
      </w:r>
    </w:p>
    <w:p w14:paraId="6A48904D" w14:textId="77777777" w:rsidR="007E3036" w:rsidRDefault="007E3036" w:rsidP="00795B94">
      <w:pPr>
        <w:pStyle w:val="Style1"/>
      </w:pPr>
    </w:p>
    <w:p w14:paraId="2C341B0F" w14:textId="55F37480" w:rsidR="007E3036" w:rsidRDefault="007E3036" w:rsidP="00795B94">
      <w:pPr>
        <w:pStyle w:val="Subtitle"/>
        <w:jc w:val="left"/>
      </w:pPr>
      <w:r>
        <w:t>3. Apocalypse now in the work of José Saramago</w:t>
      </w:r>
    </w:p>
    <w:p w14:paraId="77C92C09" w14:textId="5D367012" w:rsidR="007E3036" w:rsidRDefault="007E3036" w:rsidP="003D6234">
      <w:pPr>
        <w:pStyle w:val="Style1"/>
        <w:rPr>
          <w:rFonts w:cs="Times New Roman"/>
        </w:rPr>
      </w:pPr>
      <w:r>
        <w:t xml:space="preserve">Many literary works of the apocalyptic genre allow </w:t>
      </w:r>
      <w:r>
        <w:rPr>
          <w:rFonts w:cs="Times New Roman"/>
        </w:rPr>
        <w:t>our imaginations</w:t>
      </w:r>
      <w:r>
        <w:t xml:space="preserve"> to </w:t>
      </w:r>
      <w:r w:rsidR="00634B71">
        <w:rPr>
          <w:rFonts w:cs="Times New Roman"/>
        </w:rPr>
        <w:t>picture</w:t>
      </w:r>
      <w:r>
        <w:rPr>
          <w:rFonts w:cs="Times New Roman"/>
        </w:rPr>
        <w:t xml:space="preserve"> human life in the extreme conditions of either impending or already unfolding catastrophe. The reading experience brings us into states of anxiety that lead us to explore profound questions about our fragile existence. Alongside the anxiety, however, many such works also contain a measure of hope. </w:t>
      </w:r>
      <w:r w:rsidR="003D6234">
        <w:rPr>
          <w:rFonts w:cs="Times New Roman"/>
        </w:rPr>
        <w:t>L</w:t>
      </w:r>
      <w:r>
        <w:rPr>
          <w:rFonts w:cs="Times New Roman"/>
        </w:rPr>
        <w:t xml:space="preserve">iterature, claims Michael Keren, is </w:t>
      </w:r>
      <w:r w:rsidRPr="007E3036">
        <w:rPr>
          <w:rFonts w:cs="Times New Roman"/>
        </w:rPr>
        <w:t xml:space="preserve">not </w:t>
      </w:r>
      <w:r>
        <w:rPr>
          <w:rFonts w:cs="Times New Roman"/>
        </w:rPr>
        <w:t>beholden</w:t>
      </w:r>
      <w:r w:rsidRPr="007E3036">
        <w:rPr>
          <w:rFonts w:cs="Times New Roman"/>
        </w:rPr>
        <w:t xml:space="preserve"> to objectivity </w:t>
      </w:r>
      <w:r>
        <w:rPr>
          <w:rFonts w:cs="Times New Roman"/>
        </w:rPr>
        <w:t>or</w:t>
      </w:r>
      <w:r w:rsidRPr="007E3036">
        <w:rPr>
          <w:rFonts w:cs="Times New Roman"/>
        </w:rPr>
        <w:t xml:space="preserve"> to presenting us with </w:t>
      </w:r>
      <w:r>
        <w:rPr>
          <w:rFonts w:cs="Times New Roman"/>
        </w:rPr>
        <w:t>a thorough</w:t>
      </w:r>
      <w:r w:rsidRPr="007E3036">
        <w:rPr>
          <w:rFonts w:cs="Times New Roman"/>
        </w:rPr>
        <w:t xml:space="preserve"> and accurate </w:t>
      </w:r>
      <w:r>
        <w:rPr>
          <w:rFonts w:cs="Times New Roman"/>
        </w:rPr>
        <w:t>image of reality</w:t>
      </w:r>
      <w:r w:rsidRPr="007E3036">
        <w:rPr>
          <w:rFonts w:cs="Times New Roman"/>
        </w:rPr>
        <w:t xml:space="preserve">, </w:t>
      </w:r>
      <w:commentRangeStart w:id="6"/>
      <w:r w:rsidRPr="007E3036">
        <w:rPr>
          <w:rFonts w:cs="Times New Roman"/>
        </w:rPr>
        <w:t xml:space="preserve">but invites us to </w:t>
      </w:r>
      <w:r w:rsidR="000775DC">
        <w:rPr>
          <w:rFonts w:cs="Times New Roman"/>
        </w:rPr>
        <w:t>engage in</w:t>
      </w:r>
      <w:r w:rsidRPr="007E3036">
        <w:rPr>
          <w:rFonts w:cs="Times New Roman"/>
        </w:rPr>
        <w:t xml:space="preserve"> a fruitful dialogue between </w:t>
      </w:r>
      <w:r>
        <w:rPr>
          <w:rFonts w:cs="Times New Roman"/>
        </w:rPr>
        <w:t>itself and scholarly thought</w:t>
      </w:r>
      <w:r w:rsidRPr="007E3036">
        <w:rPr>
          <w:rFonts w:cs="Times New Roman"/>
        </w:rPr>
        <w:t xml:space="preserve"> while being aware of the limitations involved.</w:t>
      </w:r>
      <w:commentRangeEnd w:id="6"/>
      <w:r w:rsidR="003D6234">
        <w:rPr>
          <w:rStyle w:val="CommentReference"/>
          <w:rFonts w:asciiTheme="minorHAnsi" w:hAnsiTheme="minorHAnsi" w:cstheme="minorBidi"/>
        </w:rPr>
        <w:commentReference w:id="6"/>
      </w:r>
      <w:r>
        <w:rPr>
          <w:rStyle w:val="FootnoteReference"/>
          <w:rFonts w:cs="Times New Roman"/>
        </w:rPr>
        <w:footnoteReference w:id="22"/>
      </w:r>
      <w:r w:rsidR="000775DC">
        <w:rPr>
          <w:rFonts w:cs="Times New Roman"/>
        </w:rPr>
        <w:t xml:space="preserve"> </w:t>
      </w:r>
      <w:commentRangeStart w:id="7"/>
      <w:r w:rsidR="000775DC">
        <w:rPr>
          <w:rFonts w:cs="Times New Roman"/>
        </w:rPr>
        <w:t xml:space="preserve">In the present article we </w:t>
      </w:r>
      <w:r w:rsidR="003D6234">
        <w:rPr>
          <w:rFonts w:cs="Times New Roman"/>
        </w:rPr>
        <w:t>will examine</w:t>
      </w:r>
      <w:r w:rsidR="000775DC">
        <w:rPr>
          <w:rFonts w:cs="Times New Roman"/>
        </w:rPr>
        <w:t xml:space="preserve"> two novels by the Portuguese author José Saramago that posit different apocalyptic situations </w:t>
      </w:r>
      <w:r w:rsidR="00164F59">
        <w:rPr>
          <w:rFonts w:cs="Times New Roman"/>
        </w:rPr>
        <w:t xml:space="preserve">caused by and </w:t>
      </w:r>
      <w:r w:rsidR="000775DC">
        <w:rPr>
          <w:rFonts w:cs="Times New Roman"/>
        </w:rPr>
        <w:t xml:space="preserve">reflecting human anxiety, while also examining the hope they contain. </w:t>
      </w:r>
      <w:commentRangeEnd w:id="7"/>
      <w:r w:rsidR="003D6234">
        <w:rPr>
          <w:rStyle w:val="CommentReference"/>
          <w:rFonts w:asciiTheme="minorHAnsi" w:hAnsiTheme="minorHAnsi" w:cstheme="minorBidi"/>
        </w:rPr>
        <w:commentReference w:id="7"/>
      </w:r>
    </w:p>
    <w:p w14:paraId="46A46695" w14:textId="0B2FA2CE" w:rsidR="000775DC" w:rsidRDefault="000775DC" w:rsidP="00795B94">
      <w:pPr>
        <w:pStyle w:val="Subtitle"/>
        <w:jc w:val="left"/>
      </w:pPr>
      <w:r>
        <w:t xml:space="preserve">3.a </w:t>
      </w:r>
      <w:r>
        <w:rPr>
          <w:i/>
          <w:iCs/>
        </w:rPr>
        <w:t>Blindness</w:t>
      </w:r>
    </w:p>
    <w:p w14:paraId="3D8571C8" w14:textId="515A5907" w:rsidR="000775DC" w:rsidRDefault="000775DC" w:rsidP="003D6234">
      <w:pPr>
        <w:pStyle w:val="Style1"/>
      </w:pPr>
      <w:r w:rsidRPr="000775DC">
        <w:lastRenderedPageBreak/>
        <w:t>Jose Saram</w:t>
      </w:r>
      <w:r>
        <w:t>a</w:t>
      </w:r>
      <w:r w:rsidRPr="000775DC">
        <w:t xml:space="preserve">go's </w:t>
      </w:r>
      <w:r>
        <w:t xml:space="preserve">novel </w:t>
      </w:r>
      <w:r>
        <w:rPr>
          <w:i/>
          <w:iCs/>
        </w:rPr>
        <w:t>Blindness</w:t>
      </w:r>
      <w:r w:rsidR="009553AF">
        <w:t xml:space="preserve"> effectively ushers the reader into an</w:t>
      </w:r>
      <w:r w:rsidRPr="000775DC">
        <w:t xml:space="preserve"> </w:t>
      </w:r>
      <w:r w:rsidR="009553AF">
        <w:t>“</w:t>
      </w:r>
      <w:r w:rsidRPr="000775DC">
        <w:t>end of days</w:t>
      </w:r>
      <w:r w:rsidR="009553AF">
        <w:t>” atmosphere</w:t>
      </w:r>
      <w:r w:rsidRPr="000775DC">
        <w:t>.</w:t>
      </w:r>
      <w:r w:rsidR="009553AF">
        <w:rPr>
          <w:rStyle w:val="FootnoteReference"/>
        </w:rPr>
        <w:footnoteReference w:id="23"/>
      </w:r>
      <w:r w:rsidRPr="000775DC">
        <w:t xml:space="preserve"> </w:t>
      </w:r>
      <w:r w:rsidR="00614312">
        <w:t>One by one, p</w:t>
      </w:r>
      <w:r w:rsidRPr="000775DC">
        <w:t xml:space="preserve">eople </w:t>
      </w:r>
      <w:r w:rsidR="00634B71">
        <w:t xml:space="preserve">in the novel </w:t>
      </w:r>
      <w:r w:rsidR="003D6234">
        <w:t>go</w:t>
      </w:r>
      <w:r w:rsidR="009553AF">
        <w:t xml:space="preserve"> blind</w:t>
      </w:r>
      <w:r w:rsidR="00614312">
        <w:t xml:space="preserve"> </w:t>
      </w:r>
      <w:r w:rsidR="009553AF">
        <w:t>and we get the sense that humanity is being punished</w:t>
      </w:r>
      <w:r w:rsidRPr="000775DC">
        <w:t xml:space="preserve">. </w:t>
      </w:r>
      <w:r w:rsidR="009553AF">
        <w:t>And yet</w:t>
      </w:r>
      <w:r w:rsidR="00614312">
        <w:t xml:space="preserve"> no external force </w:t>
      </w:r>
      <w:r w:rsidR="003D6234">
        <w:t>is responsible for</w:t>
      </w:r>
      <w:r w:rsidR="003D6234">
        <w:t xml:space="preserve"> </w:t>
      </w:r>
      <w:r w:rsidR="00614312">
        <w:t>the punish</w:t>
      </w:r>
      <w:r w:rsidR="003D6234">
        <w:t>ment</w:t>
      </w:r>
      <w:r w:rsidRPr="000775DC">
        <w:t xml:space="preserve">, </w:t>
      </w:r>
      <w:r w:rsidR="00614312">
        <w:t>unlike the Biblical story of the flood, for example: “</w:t>
      </w:r>
      <w:r w:rsidR="00614312" w:rsidRPr="00614312">
        <w:t>The Lord saw how great the wickedness of the human race had become on the earth</w:t>
      </w:r>
      <w:r w:rsidR="00614312">
        <w:t xml:space="preserve">… </w:t>
      </w:r>
      <w:r w:rsidR="00614312" w:rsidRPr="00614312">
        <w:t>So the Lord said, “I will wipe from the face of the earth the human race I have created</w:t>
      </w:r>
      <w:r w:rsidR="00614312">
        <w:t>.”</w:t>
      </w:r>
      <w:r w:rsidR="00614312">
        <w:rPr>
          <w:rStyle w:val="FootnoteReference"/>
        </w:rPr>
        <w:footnoteReference w:id="24"/>
      </w:r>
      <w:r w:rsidRPr="000775DC">
        <w:t xml:space="preserve"> In Saramago</w:t>
      </w:r>
      <w:r w:rsidR="00634B71">
        <w:t>’s novel</w:t>
      </w:r>
      <w:r w:rsidRPr="000775DC">
        <w:t>, the disease is internal</w:t>
      </w:r>
      <w:r w:rsidR="003D6234">
        <w:t xml:space="preserve"> and contagious</w:t>
      </w:r>
      <w:r w:rsidRPr="000775DC">
        <w:t xml:space="preserve">, </w:t>
      </w:r>
      <w:r w:rsidR="00614312">
        <w:t xml:space="preserve">the product of </w:t>
      </w:r>
      <w:r w:rsidRPr="000775DC">
        <w:t>systemic failure.</w:t>
      </w:r>
    </w:p>
    <w:p w14:paraId="0B35ED47" w14:textId="7CE4EE42" w:rsidR="00580B73" w:rsidRDefault="00614312" w:rsidP="003D6234">
      <w:pPr>
        <w:pStyle w:val="Style1"/>
        <w:rPr>
          <w:rFonts w:cs="Times New Roman"/>
        </w:rPr>
      </w:pPr>
      <w:r>
        <w:t xml:space="preserve">Saramago follows the disintegration of civilization </w:t>
      </w:r>
      <w:r w:rsidR="00634B71">
        <w:t>toward a</w:t>
      </w:r>
      <w:r>
        <w:t xml:space="preserve"> “natural state,”</w:t>
      </w:r>
      <w:r>
        <w:rPr>
          <w:rStyle w:val="FootnoteReference"/>
        </w:rPr>
        <w:footnoteReference w:id="25"/>
      </w:r>
      <w:r>
        <w:t xml:space="preserve"> a state in which people lose their humanity.</w:t>
      </w:r>
      <w:r>
        <w:rPr>
          <w:rStyle w:val="FootnoteReference"/>
        </w:rPr>
        <w:footnoteReference w:id="26"/>
      </w:r>
      <w:r>
        <w:t xml:space="preserve"> The reason </w:t>
      </w:r>
      <w:r w:rsidR="003D6234">
        <w:t>behind</w:t>
      </w:r>
      <w:r w:rsidR="003D6234">
        <w:t xml:space="preserve"> </w:t>
      </w:r>
      <w:r>
        <w:t xml:space="preserve">the rapidly spreading blindness is not clear, and yet it is difficult not to attribute it to humanity’s degraded moral state. The doctor’s wife, the novel’s protagonist, chooses to pretend to be blind and </w:t>
      </w:r>
      <w:r w:rsidR="00EA6404">
        <w:t xml:space="preserve">follows her husband into a </w:t>
      </w:r>
      <w:r w:rsidR="00634B71">
        <w:t xml:space="preserve">closed </w:t>
      </w:r>
      <w:r w:rsidR="00EA6404">
        <w:t>quarantine installation. There, she becomes the leader of a group of blind people, because she feels “t</w:t>
      </w:r>
      <w:r w:rsidR="00EA6404" w:rsidRPr="00EA6404">
        <w:t>he responsibility of having my eyesight when others have lost theirs</w:t>
      </w:r>
      <w:r w:rsidR="00EA6404">
        <w:t>” (2</w:t>
      </w:r>
      <w:r w:rsidR="00634B71">
        <w:t xml:space="preserve">52). Through the metaphor of </w:t>
      </w:r>
      <w:r w:rsidR="00EA6404">
        <w:t xml:space="preserve">sight, Saramago calls upon us to </w:t>
      </w:r>
      <w:r w:rsidR="00580B73">
        <w:t xml:space="preserve">look at things </w:t>
      </w:r>
      <w:r w:rsidR="00634B71">
        <w:t>honestly</w:t>
      </w:r>
      <w:r w:rsidR="00580B73">
        <w:t xml:space="preserve"> and critically, even when we feel like the doctor’s wife: “</w:t>
      </w:r>
      <w:r w:rsidR="00580B73" w:rsidRPr="00580B73">
        <w:t>If only you could see what I am obliged to see, you would want to be blind</w:t>
      </w:r>
      <w:r w:rsidR="00580B73">
        <w:t xml:space="preserve">” (133). Those who “see” the state of humanity may suffer, but it is their moral duty to </w:t>
      </w:r>
      <w:r w:rsidR="00A81A78">
        <w:t>put their sight to use in the service of others. As Camus proclaims in his speech about the  responsibility of the writer, “</w:t>
      </w:r>
      <w:r w:rsidR="00A81A78" w:rsidRPr="00A81A78">
        <w:t>the writer’s role is not free from difficult duties</w:t>
      </w:r>
      <w:r w:rsidR="00A81A78">
        <w:t xml:space="preserve">… </w:t>
      </w:r>
      <w:r w:rsidR="00A81A78" w:rsidRPr="00A81A78">
        <w:t>he will accept to the limit of his abilities the two tasks that constitute the greatness of his craft: the service of truth and the service of liberty.</w:t>
      </w:r>
      <w:r w:rsidR="00A81A78">
        <w:t>”</w:t>
      </w:r>
      <w:r w:rsidR="00A81A78">
        <w:rPr>
          <w:rStyle w:val="FootnoteReference"/>
        </w:rPr>
        <w:footnoteReference w:id="27"/>
      </w:r>
      <w:r w:rsidR="00A81A78">
        <w:t xml:space="preserve"> Chomsky too sees critical insight as the moral duty of the </w:t>
      </w:r>
      <w:r w:rsidR="002F2D81">
        <w:t>writer</w:t>
      </w:r>
      <w:r w:rsidR="00A81A78">
        <w:t>: “</w:t>
      </w:r>
      <w:r w:rsidR="002F2D81" w:rsidRPr="002F2D81">
        <w:t>The responsibility of the writer as a moral agent is to try to bring the truth about matters of human significance to an audience that can do something about them.</w:t>
      </w:r>
      <w:r w:rsidR="002F2D81">
        <w:t>”</w:t>
      </w:r>
      <w:commentRangeStart w:id="8"/>
      <w:r w:rsidR="002F2D81" w:rsidRPr="002F2D81">
        <w:rPr>
          <w:rStyle w:val="FootnoteReference"/>
          <w:rFonts w:cs="Times New Roman"/>
          <w:rtl/>
        </w:rPr>
        <w:t xml:space="preserve"> </w:t>
      </w:r>
      <w:r w:rsidR="002F2D81" w:rsidRPr="002F2D81">
        <w:rPr>
          <w:rStyle w:val="FootnoteReference"/>
          <w:rFonts w:cs="Times New Roman"/>
          <w:rtl/>
        </w:rPr>
        <w:footnoteReference w:id="28"/>
      </w:r>
      <w:commentRangeEnd w:id="8"/>
      <w:r w:rsidR="002F2D81">
        <w:rPr>
          <w:rStyle w:val="CommentReference"/>
          <w:rFonts w:asciiTheme="minorHAnsi" w:hAnsiTheme="minorHAnsi" w:cstheme="minorBidi"/>
        </w:rPr>
        <w:commentReference w:id="8"/>
      </w:r>
      <w:r w:rsidR="002F2D81">
        <w:rPr>
          <w:rFonts w:cs="Times New Roman"/>
        </w:rPr>
        <w:t xml:space="preserve"> </w:t>
      </w:r>
    </w:p>
    <w:p w14:paraId="085AA2C8" w14:textId="0F3A8313" w:rsidR="002F2D81" w:rsidRDefault="002F2D81" w:rsidP="003D6234">
      <w:pPr>
        <w:pStyle w:val="Style1"/>
        <w:rPr>
          <w:rFonts w:cs="Times New Roman"/>
        </w:rPr>
      </w:pPr>
      <w:r>
        <w:rPr>
          <w:rFonts w:cs="Times New Roman"/>
        </w:rPr>
        <w:t xml:space="preserve">The characters in </w:t>
      </w:r>
      <w:r>
        <w:rPr>
          <w:rFonts w:cs="Times New Roman"/>
          <w:i/>
          <w:iCs/>
        </w:rPr>
        <w:t>Blindness</w:t>
      </w:r>
      <w:r>
        <w:rPr>
          <w:rFonts w:cs="Times New Roman"/>
        </w:rPr>
        <w:t xml:space="preserve"> can no longer trust the information </w:t>
      </w:r>
      <w:commentRangeStart w:id="9"/>
      <w:r>
        <w:rPr>
          <w:rFonts w:cs="Times New Roman"/>
        </w:rPr>
        <w:t>to which they have access</w:t>
      </w:r>
      <w:commentRangeEnd w:id="9"/>
      <w:r w:rsidR="003D6234">
        <w:rPr>
          <w:rStyle w:val="CommentReference"/>
          <w:rFonts w:asciiTheme="minorHAnsi" w:hAnsiTheme="minorHAnsi" w:cstheme="minorBidi"/>
        </w:rPr>
        <w:commentReference w:id="9"/>
      </w:r>
      <w:r>
        <w:rPr>
          <w:rFonts w:cs="Times New Roman"/>
        </w:rPr>
        <w:t xml:space="preserve">, however, quarantine seems to be the only way of stopping the disease from spreading. </w:t>
      </w:r>
      <w:r w:rsidR="00187EDD">
        <w:rPr>
          <w:rFonts w:cs="Times New Roman"/>
        </w:rPr>
        <w:t xml:space="preserve">The </w:t>
      </w:r>
      <w:r w:rsidR="00187EDD">
        <w:rPr>
          <w:rFonts w:cs="Times New Roman"/>
        </w:rPr>
        <w:lastRenderedPageBreak/>
        <w:t xml:space="preserve">blind are </w:t>
      </w:r>
      <w:r w:rsidR="003D6234">
        <w:rPr>
          <w:rFonts w:cs="Times New Roman"/>
        </w:rPr>
        <w:t>held</w:t>
      </w:r>
      <w:r w:rsidR="00187EDD">
        <w:rPr>
          <w:rFonts w:cs="Times New Roman"/>
        </w:rPr>
        <w:t xml:space="preserve"> in an old mental asylum, which makes us think of Foucault’s argument that the purpose of </w:t>
      </w:r>
      <w:r w:rsidR="003D6234">
        <w:rPr>
          <w:rFonts w:cs="Times New Roman"/>
        </w:rPr>
        <w:t>imprisonment</w:t>
      </w:r>
      <w:r>
        <w:rPr>
          <w:rFonts w:cs="Times New Roman"/>
        </w:rPr>
        <w:t xml:space="preserve"> </w:t>
      </w:r>
      <w:r w:rsidR="00187EDD">
        <w:rPr>
          <w:rFonts w:cs="Times New Roman"/>
        </w:rPr>
        <w:t xml:space="preserve">is to </w:t>
      </w:r>
      <w:r w:rsidR="003D6234">
        <w:rPr>
          <w:rFonts w:cs="Times New Roman"/>
        </w:rPr>
        <w:t>remove</w:t>
      </w:r>
      <w:r w:rsidR="003D6234">
        <w:rPr>
          <w:rFonts w:cs="Times New Roman"/>
        </w:rPr>
        <w:t xml:space="preserve"> </w:t>
      </w:r>
      <w:r w:rsidR="00187EDD">
        <w:rPr>
          <w:rFonts w:cs="Times New Roman"/>
        </w:rPr>
        <w:t>scandal from public view with the aim of maintaining the social order.</w:t>
      </w:r>
      <w:r w:rsidR="00187EDD">
        <w:rPr>
          <w:rStyle w:val="FootnoteReference"/>
          <w:rFonts w:cs="Times New Roman"/>
        </w:rPr>
        <w:footnoteReference w:id="29"/>
      </w:r>
      <w:r w:rsidR="00187EDD">
        <w:rPr>
          <w:rFonts w:cs="Times New Roman"/>
        </w:rPr>
        <w:t xml:space="preserve"> </w:t>
      </w:r>
      <w:r w:rsidR="00164F59">
        <w:rPr>
          <w:rFonts w:cs="Times New Roman"/>
        </w:rPr>
        <w:t>Similar claims</w:t>
      </w:r>
      <w:r w:rsidR="00187EDD">
        <w:rPr>
          <w:rFonts w:cs="Times New Roman"/>
        </w:rPr>
        <w:t xml:space="preserve"> can be found in the analysis Giorgio Agamben has written on the subject of the COVID19 pandemic.</w:t>
      </w:r>
      <w:r w:rsidR="00187EDD">
        <w:rPr>
          <w:rStyle w:val="FootnoteReference"/>
          <w:rFonts w:cs="Times New Roman"/>
        </w:rPr>
        <w:footnoteReference w:id="30"/>
      </w:r>
      <w:r w:rsidR="00187EDD">
        <w:rPr>
          <w:rFonts w:cs="Times New Roman"/>
        </w:rPr>
        <w:t xml:space="preserve"> Agamben uses biopolitical theory to describe the mandates for social distancing, data collection technology</w:t>
      </w:r>
      <w:r w:rsidR="00164F59">
        <w:rPr>
          <w:rFonts w:cs="Times New Roman"/>
        </w:rPr>
        <w:t>,</w:t>
      </w:r>
      <w:r w:rsidR="00634B71">
        <w:rPr>
          <w:rFonts w:cs="Times New Roman"/>
        </w:rPr>
        <w:t xml:space="preserve"> and lockdowns </w:t>
      </w:r>
      <w:r w:rsidR="00164F59">
        <w:rPr>
          <w:rFonts w:cs="Times New Roman"/>
        </w:rPr>
        <w:t>as means of breaching the body’s autonomy, our private spaces</w:t>
      </w:r>
      <w:r w:rsidR="003D6234">
        <w:rPr>
          <w:rFonts w:cs="Times New Roman"/>
        </w:rPr>
        <w:t>,</w:t>
      </w:r>
      <w:r w:rsidR="00164F59">
        <w:rPr>
          <w:rFonts w:cs="Times New Roman"/>
        </w:rPr>
        <w:t xml:space="preserve"> and the basic principles of democratic civil society. </w:t>
      </w:r>
    </w:p>
    <w:p w14:paraId="1DB2FBE7" w14:textId="4813FF0A" w:rsidR="00164F59" w:rsidRDefault="00164F59" w:rsidP="003D6234">
      <w:pPr>
        <w:pStyle w:val="Style1"/>
        <w:rPr>
          <w:rFonts w:cs="Times New Roman"/>
        </w:rPr>
      </w:pPr>
      <w:r>
        <w:rPr>
          <w:rFonts w:cs="Times New Roman"/>
        </w:rPr>
        <w:t>Saramago issues a scathing criticism of the political, religious</w:t>
      </w:r>
      <w:r w:rsidR="003D6234">
        <w:rPr>
          <w:rFonts w:cs="Times New Roman"/>
        </w:rPr>
        <w:t>,</w:t>
      </w:r>
      <w:r>
        <w:rPr>
          <w:rFonts w:cs="Times New Roman"/>
        </w:rPr>
        <w:t xml:space="preserve"> and media establishments. In </w:t>
      </w:r>
      <w:r>
        <w:rPr>
          <w:rFonts w:cs="Times New Roman"/>
          <w:i/>
          <w:iCs/>
        </w:rPr>
        <w:t>Blindnes</w:t>
      </w:r>
      <w:r>
        <w:rPr>
          <w:rFonts w:cs="Times New Roman"/>
        </w:rPr>
        <w:t xml:space="preserve">, the representatives of all </w:t>
      </w:r>
      <w:r w:rsidR="003D6234">
        <w:rPr>
          <w:rFonts w:cs="Times New Roman"/>
        </w:rPr>
        <w:t>these</w:t>
      </w:r>
      <w:r>
        <w:rPr>
          <w:rFonts w:cs="Times New Roman"/>
        </w:rPr>
        <w:t xml:space="preserve"> institutions do nothing but talk, without actually </w:t>
      </w:r>
      <w:r w:rsidR="003D6234">
        <w:rPr>
          <w:rFonts w:cs="Times New Roman"/>
        </w:rPr>
        <w:t>taking action</w:t>
      </w:r>
      <w:r>
        <w:rPr>
          <w:rFonts w:cs="Times New Roman"/>
        </w:rPr>
        <w:t xml:space="preserve"> to save humanity. As one character puts it, it is “</w:t>
      </w:r>
      <w:r w:rsidRPr="00164F59">
        <w:rPr>
          <w:rFonts w:cs="Times New Roman"/>
        </w:rPr>
        <w:t>a government of the blind trying to rule the blind, that is to say, nothingness trying to organize nothingness</w:t>
      </w:r>
      <w:r>
        <w:rPr>
          <w:rFonts w:cs="Times New Roman"/>
        </w:rPr>
        <w:t xml:space="preserve">” (225). Even though she is powerless to change the circumstances, the doctor’s wife, on the other hand, takes responsibility in the limited arena where she is able to </w:t>
      </w:r>
      <w:r w:rsidR="005D5B14">
        <w:rPr>
          <w:rFonts w:cs="Times New Roman"/>
        </w:rPr>
        <w:t>act</w:t>
      </w:r>
      <w:r w:rsidR="00861F74">
        <w:rPr>
          <w:rFonts w:cs="Times New Roman"/>
        </w:rPr>
        <w:t xml:space="preserve">. She </w:t>
      </w:r>
      <w:r w:rsidR="005D5B14">
        <w:rPr>
          <w:rFonts w:cs="Times New Roman"/>
        </w:rPr>
        <w:t>manages</w:t>
      </w:r>
      <w:r w:rsidR="00861F74">
        <w:rPr>
          <w:rFonts w:cs="Times New Roman"/>
        </w:rPr>
        <w:t xml:space="preserve"> to </w:t>
      </w:r>
      <w:r w:rsidR="005D5B14">
        <w:rPr>
          <w:rFonts w:cs="Times New Roman"/>
        </w:rPr>
        <w:t>maintain</w:t>
      </w:r>
      <w:r w:rsidR="00861F74">
        <w:rPr>
          <w:rFonts w:cs="Times New Roman"/>
        </w:rPr>
        <w:t xml:space="preserve"> her moral integrity throughout the book, not unlike the doctor in Camus’ </w:t>
      </w:r>
      <w:r w:rsidR="00861F74">
        <w:rPr>
          <w:rFonts w:cs="Times New Roman"/>
          <w:i/>
          <w:iCs/>
        </w:rPr>
        <w:t>The Plague</w:t>
      </w:r>
      <w:r w:rsidR="00861F74">
        <w:rPr>
          <w:rFonts w:cs="Times New Roman"/>
        </w:rPr>
        <w:t>,</w:t>
      </w:r>
      <w:r w:rsidR="00861F74">
        <w:rPr>
          <w:rStyle w:val="FootnoteReference"/>
          <w:rFonts w:cs="Times New Roman"/>
        </w:rPr>
        <w:footnoteReference w:id="31"/>
      </w:r>
      <w:r w:rsidR="00861F74">
        <w:rPr>
          <w:rFonts w:cs="Times New Roman"/>
        </w:rPr>
        <w:t xml:space="preserve"> out of a deep humanism that </w:t>
      </w:r>
      <w:r w:rsidR="005D5B14">
        <w:rPr>
          <w:rFonts w:cs="Times New Roman"/>
        </w:rPr>
        <w:t>urges</w:t>
      </w:r>
      <w:r w:rsidR="00861F74">
        <w:rPr>
          <w:rFonts w:cs="Times New Roman"/>
        </w:rPr>
        <w:t xml:space="preserve"> one </w:t>
      </w:r>
      <w:r w:rsidR="005D5B14">
        <w:rPr>
          <w:rFonts w:cs="Times New Roman"/>
        </w:rPr>
        <w:t xml:space="preserve">to </w:t>
      </w:r>
      <w:r w:rsidR="00861F74">
        <w:rPr>
          <w:rFonts w:cs="Times New Roman"/>
        </w:rPr>
        <w:t xml:space="preserve">uphold </w:t>
      </w:r>
      <w:r w:rsidR="005D5B14">
        <w:rPr>
          <w:rFonts w:cs="Times New Roman"/>
        </w:rPr>
        <w:t xml:space="preserve">one’s </w:t>
      </w:r>
      <w:r w:rsidR="00861F74">
        <w:rPr>
          <w:rFonts w:cs="Times New Roman"/>
        </w:rPr>
        <w:t>morality even in a world of wild absurdity</w:t>
      </w:r>
      <w:r w:rsidR="005D5B14">
        <w:rPr>
          <w:rFonts w:cs="Times New Roman"/>
        </w:rPr>
        <w:t>. It is a morality</w:t>
      </w:r>
      <w:r w:rsidR="00861F74">
        <w:rPr>
          <w:rFonts w:cs="Times New Roman"/>
        </w:rPr>
        <w:t xml:space="preserve"> motivated by a basic, instinctual drive, a fundamental moral decree that we must uphold even when we </w:t>
      </w:r>
      <w:r w:rsidR="005D5B14">
        <w:rPr>
          <w:rFonts w:cs="Times New Roman"/>
        </w:rPr>
        <w:t xml:space="preserve">cannot hope to effectively </w:t>
      </w:r>
      <w:r w:rsidR="00861F74">
        <w:rPr>
          <w:rFonts w:cs="Times New Roman"/>
        </w:rPr>
        <w:t>change the world.</w:t>
      </w:r>
      <w:r w:rsidR="00861F74">
        <w:rPr>
          <w:rStyle w:val="FootnoteReference"/>
          <w:rFonts w:cs="Times New Roman"/>
        </w:rPr>
        <w:footnoteReference w:id="32"/>
      </w:r>
      <w:r w:rsidR="00861F74">
        <w:rPr>
          <w:rFonts w:cs="Times New Roman"/>
        </w:rPr>
        <w:t xml:space="preserve"> </w:t>
      </w:r>
    </w:p>
    <w:p w14:paraId="1AAF9558" w14:textId="7B3C54BF" w:rsidR="00711250" w:rsidRDefault="00FA754B" w:rsidP="003D6234">
      <w:pPr>
        <w:pStyle w:val="Style1"/>
        <w:rPr>
          <w:rFonts w:cs="Times New Roman"/>
        </w:rPr>
      </w:pPr>
      <w:r>
        <w:rPr>
          <w:rFonts w:cs="Times New Roman"/>
        </w:rPr>
        <w:t xml:space="preserve">In a sense, it is possible to say that the doctor’s wife retains her sight because she is not paralyzed by anxiety. Anxiety and fear are one of the causes of blindness in the book and Saramago paints them as the root causes of humanity’s great mistakes. It is fear, for example, that causes </w:t>
      </w:r>
      <w:r w:rsidR="00FD71FE">
        <w:rPr>
          <w:rFonts w:cs="Times New Roman"/>
        </w:rPr>
        <w:t>an</w:t>
      </w:r>
      <w:r>
        <w:rPr>
          <w:rFonts w:cs="Times New Roman"/>
        </w:rPr>
        <w:t xml:space="preserve"> army soldier</w:t>
      </w:r>
      <w:r w:rsidR="00FD71FE">
        <w:rPr>
          <w:rFonts w:cs="Times New Roman"/>
        </w:rPr>
        <w:t xml:space="preserve"> </w:t>
      </w:r>
      <w:r>
        <w:rPr>
          <w:rFonts w:cs="Times New Roman"/>
        </w:rPr>
        <w:t xml:space="preserve">to open fire on </w:t>
      </w:r>
      <w:r w:rsidR="00FD71FE">
        <w:rPr>
          <w:rFonts w:cs="Times New Roman"/>
        </w:rPr>
        <w:t>a</w:t>
      </w:r>
      <w:r>
        <w:rPr>
          <w:rFonts w:cs="Times New Roman"/>
        </w:rPr>
        <w:t xml:space="preserve"> blind internee: “</w:t>
      </w:r>
      <w:r w:rsidR="00FD71FE" w:rsidRPr="00FD71FE">
        <w:rPr>
          <w:rFonts w:cs="Times New Roman"/>
        </w:rPr>
        <w:t>Fear made the soldier</w:t>
      </w:r>
      <w:r w:rsidR="003D6234">
        <w:rPr>
          <w:rFonts w:cs="Times New Roman"/>
        </w:rPr>
        <w:t>’</w:t>
      </w:r>
      <w:r w:rsidR="00FD71FE" w:rsidRPr="00FD71FE">
        <w:rPr>
          <w:rFonts w:cs="Times New Roman"/>
        </w:rPr>
        <w:t xml:space="preserve">s blood freeze, and fear drove him to aim his weapon and release a </w:t>
      </w:r>
      <w:r w:rsidR="00FD71FE">
        <w:rPr>
          <w:rFonts w:cs="Times New Roman"/>
        </w:rPr>
        <w:t xml:space="preserve">blast of gunfire at close range” (75). </w:t>
      </w:r>
      <w:r w:rsidR="00EB686D">
        <w:rPr>
          <w:rFonts w:cs="Times New Roman"/>
        </w:rPr>
        <w:t>The doctor’s wife does</w:t>
      </w:r>
      <w:r w:rsidR="005D5B14">
        <w:rPr>
          <w:rFonts w:cs="Times New Roman"/>
        </w:rPr>
        <w:t xml:space="preserve"> not </w:t>
      </w:r>
      <w:r w:rsidR="00EB686D">
        <w:rPr>
          <w:rFonts w:cs="Times New Roman"/>
        </w:rPr>
        <w:t>go blind because she is not afraid. She kills the rapist who terrorizes the women in the ward, not because it is easy but because “s</w:t>
      </w:r>
      <w:r w:rsidR="00EB686D" w:rsidRPr="00EB686D">
        <w:rPr>
          <w:rFonts w:cs="Times New Roman"/>
        </w:rPr>
        <w:t>omeone had to do it, and there was no one else</w:t>
      </w:r>
      <w:r w:rsidR="00EB686D">
        <w:rPr>
          <w:rFonts w:cs="Times New Roman"/>
        </w:rPr>
        <w:t xml:space="preserve">” (193). Anxiety is blinding, whereas the courage to look the situation in the face and </w:t>
      </w:r>
      <w:r w:rsidR="005D5B14">
        <w:rPr>
          <w:rFonts w:cs="Times New Roman"/>
        </w:rPr>
        <w:t>take action</w:t>
      </w:r>
      <w:r w:rsidR="00EB686D">
        <w:rPr>
          <w:rFonts w:cs="Times New Roman"/>
        </w:rPr>
        <w:t xml:space="preserve"> is the source of hope, otherwise “</w:t>
      </w:r>
      <w:r w:rsidR="00EB686D" w:rsidRPr="00EB686D">
        <w:rPr>
          <w:rFonts w:cs="Times New Roman"/>
        </w:rPr>
        <w:t xml:space="preserve">we are blind, </w:t>
      </w:r>
      <w:r w:rsidR="00EB686D">
        <w:rPr>
          <w:rFonts w:cs="Times New Roman"/>
        </w:rPr>
        <w:t>b</w:t>
      </w:r>
      <w:r w:rsidR="00EB686D" w:rsidRPr="00EB686D">
        <w:rPr>
          <w:rFonts w:cs="Times New Roman"/>
        </w:rPr>
        <w:t xml:space="preserve">lind but seeing, </w:t>
      </w:r>
      <w:r w:rsidR="00EB686D">
        <w:rPr>
          <w:rFonts w:cs="Times New Roman"/>
        </w:rPr>
        <w:t>b</w:t>
      </w:r>
      <w:r w:rsidR="00EB686D" w:rsidRPr="00EB686D">
        <w:rPr>
          <w:rFonts w:cs="Times New Roman"/>
        </w:rPr>
        <w:t>lind peo</w:t>
      </w:r>
      <w:r w:rsidR="00EB686D">
        <w:rPr>
          <w:rFonts w:cs="Times New Roman"/>
        </w:rPr>
        <w:t xml:space="preserve">ple who can see, but do not see” (326). </w:t>
      </w:r>
      <w:r w:rsidR="00647072">
        <w:rPr>
          <w:rFonts w:cs="Times New Roman"/>
        </w:rPr>
        <w:t xml:space="preserve">Only when the group organizes as a community </w:t>
      </w:r>
      <w:r w:rsidR="003D6234">
        <w:rPr>
          <w:rFonts w:cs="Times New Roman"/>
        </w:rPr>
        <w:t>based on</w:t>
      </w:r>
      <w:r w:rsidR="00647072">
        <w:rPr>
          <w:rFonts w:cs="Times New Roman"/>
        </w:rPr>
        <w:t xml:space="preserve"> mutual trust and cooperation does vision return. </w:t>
      </w:r>
    </w:p>
    <w:p w14:paraId="4C704D64" w14:textId="71ECEC41" w:rsidR="00B97937" w:rsidRDefault="00B97937" w:rsidP="00795B94">
      <w:pPr>
        <w:pStyle w:val="Subtitle"/>
        <w:jc w:val="left"/>
        <w:rPr>
          <w:i/>
          <w:iCs/>
        </w:rPr>
      </w:pPr>
      <w:commentRangeStart w:id="10"/>
      <w:r>
        <w:lastRenderedPageBreak/>
        <w:t xml:space="preserve">3.b </w:t>
      </w:r>
      <w:r w:rsidRPr="00B97937">
        <w:rPr>
          <w:i/>
          <w:iCs/>
        </w:rPr>
        <w:t>Death with Interruptions</w:t>
      </w:r>
      <w:commentRangeEnd w:id="10"/>
      <w:r w:rsidR="007F612B">
        <w:rPr>
          <w:rStyle w:val="CommentReference"/>
          <w:rFonts w:asciiTheme="minorHAnsi" w:eastAsiaTheme="minorHAnsi" w:hAnsiTheme="minorHAnsi" w:cstheme="minorBidi"/>
          <w:b w:val="0"/>
          <w:bCs w:val="0"/>
          <w:spacing w:val="0"/>
        </w:rPr>
        <w:commentReference w:id="10"/>
      </w:r>
    </w:p>
    <w:p w14:paraId="29306643" w14:textId="548C235D" w:rsidR="00B97937" w:rsidRDefault="00B97937" w:rsidP="003D6234">
      <w:pPr>
        <w:pStyle w:val="Style1"/>
      </w:pPr>
      <w:r>
        <w:t>It is the first of January and throughout the small country, no one has died. Not from disease, not from accidents, not even from old age. There are wounded of course, sick people, people in comas, but they remain alive, hanging on even if only by a thread. Days go by and people still refuse to die, as if “</w:t>
      </w:r>
      <w:commentRangeStart w:id="11"/>
      <w:r>
        <w:t>parca’s</w:t>
      </w:r>
      <w:commentRangeEnd w:id="11"/>
      <w:r w:rsidR="003D6234">
        <w:rPr>
          <w:rStyle w:val="CommentReference"/>
          <w:rFonts w:asciiTheme="minorHAnsi" w:hAnsiTheme="minorHAnsi" w:cstheme="minorBidi"/>
        </w:rPr>
        <w:commentReference w:id="11"/>
      </w:r>
      <w:r>
        <w:t xml:space="preserve"> creaking scissors</w:t>
      </w:r>
      <w:r w:rsidR="005D5B14">
        <w:t>,</w:t>
      </w:r>
      <w:r>
        <w:t>” which snip the thread of life</w:t>
      </w:r>
      <w:r w:rsidR="005D5B14">
        <w:t>,</w:t>
      </w:r>
      <w:r>
        <w:t xml:space="preserve"> have given up their daily task.</w:t>
      </w:r>
      <w:r>
        <w:rPr>
          <w:rStyle w:val="FootnoteReference"/>
        </w:rPr>
        <w:footnoteReference w:id="33"/>
      </w:r>
      <w:r w:rsidR="005D6768">
        <w:t xml:space="preserve"> The fear of death is considered humanity’s greatest anxiety and cause of suffering,</w:t>
      </w:r>
      <w:r w:rsidR="005D6768">
        <w:rPr>
          <w:rStyle w:val="FootnoteReference"/>
        </w:rPr>
        <w:footnoteReference w:id="34"/>
      </w:r>
      <w:r w:rsidR="005D6768">
        <w:t xml:space="preserve"> and so at the beginning of the novel, when it seems that humanity has finally achieved its greatest </w:t>
      </w:r>
      <w:r w:rsidR="005D5B14">
        <w:t>desire</w:t>
      </w:r>
      <w:r w:rsidR="005D6768">
        <w:t xml:space="preserve"> – to overcome the arbitrary tyranny of death – and immortality is available equally to all, it seems as if a great gift has been bestowed on mankind. However, the elation, of course, does not last for long. The death crisis, </w:t>
      </w:r>
      <w:r w:rsidR="005D5B14">
        <w:t>i.e.</w:t>
      </w:r>
      <w:r w:rsidR="003D6234">
        <w:t>,</w:t>
      </w:r>
      <w:r w:rsidR="005D5B14">
        <w:t xml:space="preserve"> </w:t>
      </w:r>
      <w:r w:rsidR="005D6768">
        <w:t xml:space="preserve">the </w:t>
      </w:r>
      <w:r w:rsidR="003D6234">
        <w:t>end</w:t>
      </w:r>
      <w:r w:rsidR="003D6234">
        <w:t xml:space="preserve"> </w:t>
      </w:r>
      <w:r w:rsidR="005D6768">
        <w:t xml:space="preserve">of the freedom to die, turns out to be an even worse form of tyranny. </w:t>
      </w:r>
    </w:p>
    <w:p w14:paraId="0EC3929C" w14:textId="784AC4B3" w:rsidR="00671A5D" w:rsidRDefault="005D5B14" w:rsidP="00795B94">
      <w:pPr>
        <w:pStyle w:val="Style1"/>
      </w:pPr>
      <w:r>
        <w:t>This novel</w:t>
      </w:r>
      <w:r w:rsidR="00671A5D">
        <w:t xml:space="preserve"> too is a vehicle for Saram</w:t>
      </w:r>
      <w:r>
        <w:t>a</w:t>
      </w:r>
      <w:r w:rsidR="00671A5D">
        <w:t xml:space="preserve">go to </w:t>
      </w:r>
      <w:r>
        <w:t>criticize and ridicule</w:t>
      </w:r>
      <w:r w:rsidR="00671A5D">
        <w:t xml:space="preserve"> various societal institution</w:t>
      </w:r>
      <w:r w:rsidR="003D6234">
        <w:t>s</w:t>
      </w:r>
      <w:r w:rsidR="00671A5D">
        <w:t>. He</w:t>
      </w:r>
      <w:r w:rsidR="00671A5D" w:rsidRPr="00671A5D">
        <w:t xml:space="preserve"> criticizes the church for fearing the new situation because </w:t>
      </w:r>
      <w:r w:rsidR="00671A5D">
        <w:t>“without death there is no resurrection, and without resurrection there is no church”</w:t>
      </w:r>
      <w:r w:rsidR="00671A5D" w:rsidRPr="00671A5D">
        <w:t xml:space="preserve"> (</w:t>
      </w:r>
      <w:r w:rsidR="00671A5D">
        <w:t>11</w:t>
      </w:r>
      <w:r w:rsidR="00671A5D" w:rsidRPr="00671A5D">
        <w:t xml:space="preserve">), </w:t>
      </w:r>
      <w:r>
        <w:t xml:space="preserve">and </w:t>
      </w:r>
      <w:r w:rsidR="00671A5D" w:rsidRPr="00671A5D">
        <w:t xml:space="preserve">the press </w:t>
      </w:r>
      <w:r w:rsidR="00671A5D">
        <w:t xml:space="preserve">for issuing sensational </w:t>
      </w:r>
      <w:r w:rsidR="00671A5D" w:rsidRPr="00671A5D">
        <w:t>headlines</w:t>
      </w:r>
      <w:r>
        <w:t xml:space="preserve"> –</w:t>
      </w:r>
      <w:r w:rsidR="00671A5D" w:rsidRPr="00671A5D">
        <w:t xml:space="preserve"> </w:t>
      </w:r>
      <w:r>
        <w:t xml:space="preserve">“some dramatic, some lyrical and others almost philosophical or mystical” – </w:t>
      </w:r>
      <w:r w:rsidR="00671A5D">
        <w:t xml:space="preserve">about </w:t>
      </w:r>
      <w:r>
        <w:t>the</w:t>
      </w:r>
      <w:r w:rsidR="00671A5D">
        <w:t xml:space="preserve"> </w:t>
      </w:r>
      <w:r>
        <w:t>“</w:t>
      </w:r>
      <w:r w:rsidR="00671A5D">
        <w:t>New Life</w:t>
      </w:r>
      <w:r>
        <w:t>”</w:t>
      </w:r>
      <w:r w:rsidR="00671A5D">
        <w:t xml:space="preserve"> </w:t>
      </w:r>
      <w:r w:rsidR="00671A5D" w:rsidRPr="00671A5D">
        <w:t>(</w:t>
      </w:r>
      <w:r w:rsidR="00671A5D">
        <w:t>14</w:t>
      </w:r>
      <w:r w:rsidR="00671A5D" w:rsidRPr="00671A5D">
        <w:t>)</w:t>
      </w:r>
      <w:r>
        <w:t>. Modern</w:t>
      </w:r>
      <w:r w:rsidR="00671A5D" w:rsidRPr="00671A5D">
        <w:t xml:space="preserve"> nationalism</w:t>
      </w:r>
      <w:r>
        <w:t xml:space="preserve"> is likewise ridiculed and caricaturized:</w:t>
      </w:r>
      <w:r w:rsidR="00671A5D">
        <w:t xml:space="preserve"> overcome by patriotic fervor,</w:t>
      </w:r>
      <w:r w:rsidR="00671A5D" w:rsidRPr="00671A5D">
        <w:t xml:space="preserve"> </w:t>
      </w:r>
      <w:r w:rsidR="00671A5D">
        <w:t>t</w:t>
      </w:r>
      <w:r w:rsidR="00671A5D" w:rsidRPr="00671A5D">
        <w:t xml:space="preserve">he masses </w:t>
      </w:r>
      <w:r w:rsidR="00671A5D">
        <w:t xml:space="preserve">rush to </w:t>
      </w:r>
      <w:r w:rsidR="00671A5D" w:rsidRPr="00671A5D">
        <w:t>hang</w:t>
      </w:r>
      <w:r w:rsidR="00671A5D">
        <w:t xml:space="preserve"> up</w:t>
      </w:r>
      <w:r w:rsidR="00671A5D" w:rsidRPr="00671A5D">
        <w:t xml:space="preserve"> the national flag</w:t>
      </w:r>
      <w:r w:rsidR="00671A5D">
        <w:t xml:space="preserve"> from their windows</w:t>
      </w:r>
      <w:r>
        <w:t xml:space="preserve"> because their country is the first to have defeated death</w:t>
      </w:r>
      <w:r w:rsidR="00671A5D" w:rsidRPr="00671A5D">
        <w:t xml:space="preserve"> (25). Relatives who try to help their loved ones </w:t>
      </w:r>
      <w:r>
        <w:t>pass away</w:t>
      </w:r>
      <w:r w:rsidR="00671A5D" w:rsidRPr="00671A5D">
        <w:t xml:space="preserve"> </w:t>
      </w:r>
      <w:r w:rsidR="007F612B">
        <w:t xml:space="preserve">are forced to </w:t>
      </w:r>
      <w:r w:rsidR="00671A5D" w:rsidRPr="00671A5D">
        <w:t>smuggle them across the border to die a natural death</w:t>
      </w:r>
      <w:r w:rsidR="007F612B">
        <w:t>, which</w:t>
      </w:r>
      <w:r w:rsidR="00671A5D" w:rsidRPr="00671A5D">
        <w:t xml:space="preserve"> immediately raise</w:t>
      </w:r>
      <w:r w:rsidR="007F612B">
        <w:t>s a moral question</w:t>
      </w:r>
      <w:r w:rsidR="00671A5D" w:rsidRPr="00671A5D">
        <w:t xml:space="preserve"> as to whether this is a natural phenomenon or murder (</w:t>
      </w:r>
      <w:r w:rsidR="007F612B">
        <w:t>41–42</w:t>
      </w:r>
      <w:r w:rsidR="00671A5D" w:rsidRPr="00671A5D">
        <w:t xml:space="preserve">). As always, there are those who profit </w:t>
      </w:r>
      <w:r w:rsidR="007F612B">
        <w:t xml:space="preserve">from </w:t>
      </w:r>
      <w:r w:rsidR="00671A5D" w:rsidRPr="00671A5D">
        <w:t>the situation</w:t>
      </w:r>
      <w:r w:rsidR="007F612B">
        <w:t>.</w:t>
      </w:r>
      <w:r w:rsidR="00671A5D" w:rsidRPr="00671A5D">
        <w:t xml:space="preserve"> </w:t>
      </w:r>
      <w:r w:rsidR="007F612B">
        <w:t>In this case</w:t>
      </w:r>
      <w:r w:rsidR="003D6234">
        <w:t>,</w:t>
      </w:r>
      <w:r w:rsidR="007F612B">
        <w:t xml:space="preserve"> it is the mafia (32</w:t>
      </w:r>
      <w:r w:rsidR="00671A5D" w:rsidRPr="00671A5D">
        <w:t xml:space="preserve">), and the government cooperates with </w:t>
      </w:r>
      <w:r w:rsidR="007F612B">
        <w:t>the mob</w:t>
      </w:r>
      <w:r w:rsidR="00671A5D" w:rsidRPr="00671A5D">
        <w:t xml:space="preserve"> because </w:t>
      </w:r>
      <w:r w:rsidR="007F612B">
        <w:t>they</w:t>
      </w:r>
      <w:r w:rsidR="00671A5D" w:rsidRPr="00671A5D">
        <w:t xml:space="preserve"> ha</w:t>
      </w:r>
      <w:r w:rsidR="007F612B">
        <w:t xml:space="preserve">ve no choice but to find someone </w:t>
      </w:r>
      <w:r w:rsidR="00671A5D" w:rsidRPr="00671A5D">
        <w:t xml:space="preserve">to do the </w:t>
      </w:r>
      <w:commentRangeStart w:id="12"/>
      <w:r w:rsidR="00671A5D" w:rsidRPr="00671A5D">
        <w:t>dirty</w:t>
      </w:r>
      <w:commentRangeEnd w:id="12"/>
      <w:r w:rsidR="003D6234">
        <w:rPr>
          <w:rStyle w:val="CommentReference"/>
          <w:rFonts w:asciiTheme="minorHAnsi" w:hAnsiTheme="minorHAnsi" w:cstheme="minorBidi"/>
        </w:rPr>
        <w:commentReference w:id="12"/>
      </w:r>
      <w:r w:rsidR="00671A5D" w:rsidRPr="00671A5D">
        <w:t xml:space="preserve"> work</w:t>
      </w:r>
      <w:r w:rsidR="007F612B">
        <w:t xml:space="preserve"> for them</w:t>
      </w:r>
      <w:r w:rsidR="00671A5D" w:rsidRPr="00671A5D">
        <w:t xml:space="preserve"> (</w:t>
      </w:r>
      <w:r w:rsidR="007F612B">
        <w:t>56</w:t>
      </w:r>
      <w:r w:rsidR="00671A5D" w:rsidRPr="00671A5D">
        <w:t>).</w:t>
      </w:r>
    </w:p>
    <w:p w14:paraId="2A91441A" w14:textId="68C2675B" w:rsidR="00FF33C2" w:rsidRPr="00B97937" w:rsidRDefault="00FF33C2" w:rsidP="00795B94">
      <w:pPr>
        <w:pStyle w:val="Style1"/>
      </w:pPr>
      <w:r w:rsidRPr="005D6768">
        <w:t>In this work, Sar</w:t>
      </w:r>
      <w:r w:rsidR="005D5B14">
        <w:t>a</w:t>
      </w:r>
      <w:r w:rsidRPr="005D6768">
        <w:t>mago presents existential absurdity in all its glory</w:t>
      </w:r>
      <w:r>
        <w:t>:</w:t>
      </w:r>
      <w:r w:rsidRPr="005D6768">
        <w:t xml:space="preserve"> </w:t>
      </w:r>
      <w:r>
        <w:t xml:space="preserve">people fear death as the obstacle to happiness, but happiness, as it turns out, </w:t>
      </w:r>
      <w:r w:rsidR="005D5B14">
        <w:t>is conditioned</w:t>
      </w:r>
      <w:r>
        <w:t xml:space="preserve"> on the fact that each and every one of us is certain to die. </w:t>
      </w:r>
      <w:r w:rsidRPr="005D6768">
        <w:t xml:space="preserve">When </w:t>
      </w:r>
      <w:r>
        <w:t xml:space="preserve">the </w:t>
      </w:r>
      <w:r w:rsidRPr="005D6768">
        <w:t xml:space="preserve">equilibrium is disturbed, happiness dissipates </w:t>
      </w:r>
      <w:r>
        <w:t>and we are left with the insight that</w:t>
      </w:r>
      <w:r w:rsidRPr="005D6768">
        <w:t xml:space="preserve"> death is a natural and normal part of human existence (8</w:t>
      </w:r>
      <w:r>
        <w:t>6</w:t>
      </w:r>
      <w:r w:rsidRPr="005D6768">
        <w:t>).</w:t>
      </w:r>
    </w:p>
    <w:p w14:paraId="4282C41E" w14:textId="1F3589EB" w:rsidR="007F612B" w:rsidRDefault="007F612B" w:rsidP="003D6234">
      <w:pPr>
        <w:pStyle w:val="Style1"/>
      </w:pPr>
      <w:r w:rsidRPr="007F612B">
        <w:t>Death</w:t>
      </w:r>
      <w:r>
        <w:t xml:space="preserve"> itself</w:t>
      </w:r>
      <w:r w:rsidRPr="007F612B">
        <w:t xml:space="preserve"> appears in the form of a woman who informs the CEO of</w:t>
      </w:r>
      <w:r w:rsidR="00FF33C2">
        <w:t xml:space="preserve"> the</w:t>
      </w:r>
      <w:r w:rsidRPr="007F612B">
        <w:t xml:space="preserve"> </w:t>
      </w:r>
      <w:r w:rsidR="00FF33C2">
        <w:t>n</w:t>
      </w:r>
      <w:r w:rsidRPr="007F612B">
        <w:t xml:space="preserve">ational </w:t>
      </w:r>
      <w:r w:rsidR="00FF33C2">
        <w:t>t</w:t>
      </w:r>
      <w:r w:rsidRPr="007F612B">
        <w:t xml:space="preserve">elevision </w:t>
      </w:r>
      <w:r w:rsidR="00FF33C2">
        <w:t xml:space="preserve">network </w:t>
      </w:r>
      <w:r w:rsidRPr="007F612B">
        <w:t xml:space="preserve">that she has stopped killing in order to give the people who hate her so much a small </w:t>
      </w:r>
      <w:r w:rsidR="00FF33C2">
        <w:lastRenderedPageBreak/>
        <w:t>demonstration</w:t>
      </w:r>
      <w:r w:rsidRPr="007F612B">
        <w:t xml:space="preserve"> of what will happen if they live forever. </w:t>
      </w:r>
      <w:r w:rsidR="00FF33C2">
        <w:t>Nevertheless</w:t>
      </w:r>
      <w:r w:rsidRPr="007F612B">
        <w:t xml:space="preserve">, </w:t>
      </w:r>
      <w:r w:rsidR="00FF33C2">
        <w:t>death</w:t>
      </w:r>
      <w:r w:rsidRPr="007F612B">
        <w:t xml:space="preserve"> admits that </w:t>
      </w:r>
      <w:r w:rsidR="00FF33C2">
        <w:t xml:space="preserve">she </w:t>
      </w:r>
      <w:r w:rsidR="006E495F">
        <w:t>had been going about her job</w:t>
      </w:r>
      <w:r w:rsidR="00FF33C2">
        <w:t xml:space="preserve"> </w:t>
      </w:r>
      <w:r w:rsidR="005D5B14">
        <w:t>rather crudely</w:t>
      </w:r>
      <w:r w:rsidR="00FF33C2">
        <w:t>, without giving early</w:t>
      </w:r>
      <w:r w:rsidRPr="007F612B">
        <w:t xml:space="preserve"> notice </w:t>
      </w:r>
      <w:r w:rsidR="006E495F">
        <w:t xml:space="preserve">to the dying </w:t>
      </w:r>
      <w:r w:rsidRPr="007F612B">
        <w:t xml:space="preserve">and </w:t>
      </w:r>
      <w:r w:rsidR="00FF33C2">
        <w:t>without allowing</w:t>
      </w:r>
      <w:r w:rsidRPr="007F612B">
        <w:t xml:space="preserve"> people to prepare</w:t>
      </w:r>
      <w:r w:rsidR="006E495F">
        <w:t xml:space="preserve"> for their departure</w:t>
      </w:r>
      <w:r w:rsidRPr="007F612B">
        <w:t>.</w:t>
      </w:r>
      <w:r w:rsidR="00FF33C2">
        <w:t xml:space="preserve"> </w:t>
      </w:r>
      <w:r w:rsidRPr="007F612B">
        <w:t>Although</w:t>
      </w:r>
      <w:r w:rsidR="00FF33C2">
        <w:t>,</w:t>
      </w:r>
      <w:r w:rsidRPr="007F612B">
        <w:t xml:space="preserve"> in many cases</w:t>
      </w:r>
      <w:r w:rsidR="00FF33C2">
        <w:t>,</w:t>
      </w:r>
      <w:r w:rsidRPr="007F612B">
        <w:t xml:space="preserve"> </w:t>
      </w:r>
      <w:r w:rsidR="00FF33C2">
        <w:t>disease</w:t>
      </w:r>
      <w:r w:rsidRPr="007F612B">
        <w:t xml:space="preserve"> </w:t>
      </w:r>
      <w:r w:rsidR="00FF33C2">
        <w:t xml:space="preserve">was sent to pave the way, death argues that disease never manages to extinguish hope. As much pain and anxiety as it may cause, </w:t>
      </w:r>
      <w:r w:rsidRPr="007F612B">
        <w:t>human</w:t>
      </w:r>
      <w:r w:rsidR="005D5B14">
        <w:t xml:space="preserve"> beings</w:t>
      </w:r>
      <w:r w:rsidRPr="007F612B">
        <w:t xml:space="preserve"> always hope to </w:t>
      </w:r>
      <w:r w:rsidR="003D6234">
        <w:t>survive</w:t>
      </w:r>
      <w:r w:rsidRPr="007F612B">
        <w:t xml:space="preserve">. </w:t>
      </w:r>
      <w:r w:rsidR="00FF33C2">
        <w:t>To eliminate any further misunderstandings, death</w:t>
      </w:r>
      <w:r w:rsidRPr="007F612B">
        <w:t xml:space="preserve"> decides to </w:t>
      </w:r>
      <w:r w:rsidR="00FF33C2">
        <w:t>start sending out</w:t>
      </w:r>
      <w:r w:rsidRPr="007F612B">
        <w:t xml:space="preserve"> handwritten </w:t>
      </w:r>
      <w:r w:rsidR="00FF33C2">
        <w:t>notifications of death</w:t>
      </w:r>
      <w:r w:rsidRPr="007F612B">
        <w:t xml:space="preserve"> </w:t>
      </w:r>
      <w:r w:rsidR="00FF33C2">
        <w:t xml:space="preserve">via the postal service </w:t>
      </w:r>
      <w:r w:rsidRPr="007F612B">
        <w:t>(</w:t>
      </w:r>
      <w:r w:rsidR="00FF33C2">
        <w:t>65–66</w:t>
      </w:r>
      <w:r w:rsidRPr="007F612B">
        <w:t>).</w:t>
      </w:r>
    </w:p>
    <w:p w14:paraId="66DB23AD" w14:textId="026AC659" w:rsidR="006E495F" w:rsidRDefault="006E495F" w:rsidP="00795B94">
      <w:pPr>
        <w:pStyle w:val="Style1"/>
      </w:pPr>
      <w:r>
        <w:t>Despite her promises, d</w:t>
      </w:r>
      <w:r w:rsidRPr="006E495F">
        <w:t xml:space="preserve">eath fails to deliver </w:t>
      </w:r>
      <w:r w:rsidR="005D5B14">
        <w:t>a</w:t>
      </w:r>
      <w:r w:rsidRPr="006E495F">
        <w:t xml:space="preserve"> letter announcing the </w:t>
      </w:r>
      <w:r>
        <w:t>impending demise of a cellist</w:t>
      </w:r>
      <w:r w:rsidRPr="006E495F">
        <w:t xml:space="preserve">. </w:t>
      </w:r>
      <w:r w:rsidR="005D5B14">
        <w:t>To amend the situation, s</w:t>
      </w:r>
      <w:r w:rsidRPr="006E495F">
        <w:t xml:space="preserve">he asks </w:t>
      </w:r>
      <w:r>
        <w:t>her</w:t>
      </w:r>
      <w:r w:rsidRPr="006E495F">
        <w:t xml:space="preserve"> scythe to replace her for a we</w:t>
      </w:r>
      <w:r>
        <w:t>ek and sets off on vacation in the form of</w:t>
      </w:r>
      <w:r w:rsidRPr="006E495F">
        <w:t xml:space="preserve"> a beautiful woman</w:t>
      </w:r>
      <w:r>
        <w:t>,</w:t>
      </w:r>
      <w:r w:rsidRPr="006E495F">
        <w:t xml:space="preserve"> </w:t>
      </w:r>
      <w:r>
        <w:t>“transformed into the species of which she is the enemy”</w:t>
      </w:r>
      <w:r w:rsidRPr="006E495F">
        <w:t xml:space="preserve"> (1</w:t>
      </w:r>
      <w:r>
        <w:t>21</w:t>
      </w:r>
      <w:r w:rsidRPr="006E495F">
        <w:t xml:space="preserve">). </w:t>
      </w:r>
      <w:r w:rsidR="005D5B14">
        <w:t>As things unfold, d</w:t>
      </w:r>
      <w:r w:rsidRPr="006E495F">
        <w:t xml:space="preserve">eath </w:t>
      </w:r>
      <w:r w:rsidR="005D5B14">
        <w:t>ends up falling</w:t>
      </w:r>
      <w:r w:rsidRPr="006E495F">
        <w:t xml:space="preserve"> in love with the cellist. </w:t>
      </w:r>
      <w:r>
        <w:t>Hope is to be found in love, which</w:t>
      </w:r>
      <w:r w:rsidRPr="006E495F">
        <w:t xml:space="preserve"> transcends </w:t>
      </w:r>
      <w:r>
        <w:t>time and space: “I</w:t>
      </w:r>
      <w:r w:rsidRPr="006E495F">
        <w:t>f I have the gift of prophecy and can fathom all mysteries and all knowledge, and if I have a faith that can move mountains, but do not have love, I am nothing</w:t>
      </w:r>
      <w:r>
        <w:t xml:space="preserve">… Love is patient, love is kind… </w:t>
      </w:r>
      <w:r w:rsidRPr="006E495F">
        <w:t>It always protects, always trusts, always hopes, always perseveres</w:t>
      </w:r>
      <w:r>
        <w:t xml:space="preserve">… </w:t>
      </w:r>
      <w:r w:rsidRPr="006E495F">
        <w:t>Love never fails.</w:t>
      </w:r>
      <w:r>
        <w:t>”</w:t>
      </w:r>
      <w:r>
        <w:rPr>
          <w:rStyle w:val="FootnoteReference"/>
        </w:rPr>
        <w:footnoteReference w:id="35"/>
      </w:r>
    </w:p>
    <w:p w14:paraId="554800CC" w14:textId="77777777" w:rsidR="005D5B14" w:rsidRDefault="005D5B14" w:rsidP="00795B94">
      <w:pPr>
        <w:pStyle w:val="Subtitle"/>
        <w:jc w:val="left"/>
      </w:pPr>
    </w:p>
    <w:p w14:paraId="224DF4CB" w14:textId="0CBCAB4A" w:rsidR="006E495F" w:rsidRDefault="006E495F" w:rsidP="00795B94">
      <w:pPr>
        <w:pStyle w:val="Subtitle"/>
        <w:jc w:val="left"/>
      </w:pPr>
      <w:commentRangeStart w:id="13"/>
      <w:r>
        <w:t>Epilog</w:t>
      </w:r>
      <w:r w:rsidR="005D5B14">
        <w:t>ue</w:t>
      </w:r>
      <w:commentRangeEnd w:id="13"/>
      <w:r w:rsidR="003D6234">
        <w:rPr>
          <w:rStyle w:val="CommentReference"/>
          <w:rFonts w:asciiTheme="minorHAnsi" w:eastAsiaTheme="minorHAnsi" w:hAnsiTheme="minorHAnsi" w:cstheme="minorBidi"/>
          <w:b w:val="0"/>
          <w:bCs w:val="0"/>
          <w:spacing w:val="0"/>
        </w:rPr>
        <w:commentReference w:id="13"/>
      </w:r>
      <w:r>
        <w:t xml:space="preserve"> – Saramago, Camus and the cosmic absurd</w:t>
      </w:r>
    </w:p>
    <w:p w14:paraId="2D082971" w14:textId="174BB38F" w:rsidR="006E495F" w:rsidRDefault="006E495F" w:rsidP="00795B94">
      <w:pPr>
        <w:pStyle w:val="Style1"/>
      </w:pPr>
      <w:r w:rsidRPr="006E495F">
        <w:t>Anxiety and hope are intertwined in Sar</w:t>
      </w:r>
      <w:r>
        <w:t>a</w:t>
      </w:r>
      <w:r w:rsidRPr="006E495F">
        <w:t>mago</w:t>
      </w:r>
      <w:r>
        <w:t>’</w:t>
      </w:r>
      <w:r w:rsidRPr="006E495F">
        <w:t>s two apocal</w:t>
      </w:r>
      <w:r>
        <w:t xml:space="preserve">yptic works, </w:t>
      </w:r>
      <w:r w:rsidRPr="006E495F">
        <w:rPr>
          <w:i/>
          <w:iCs/>
        </w:rPr>
        <w:t>Blindness</w:t>
      </w:r>
      <w:r w:rsidRPr="006E495F">
        <w:t xml:space="preserve"> and </w:t>
      </w:r>
      <w:r>
        <w:rPr>
          <w:i/>
          <w:iCs/>
        </w:rPr>
        <w:t>Death with Interruptions</w:t>
      </w:r>
      <w:r>
        <w:t>.</w:t>
      </w:r>
      <w:r w:rsidRPr="006E495F">
        <w:t xml:space="preserve"> This is the existentialist motif through which Sar</w:t>
      </w:r>
      <w:r>
        <w:t>a</w:t>
      </w:r>
      <w:r w:rsidRPr="006E495F">
        <w:t>mago depicts our human existence a</w:t>
      </w:r>
      <w:r>
        <w:t>s a society. Human existence,</w:t>
      </w:r>
      <w:r w:rsidRPr="006E495F">
        <w:t xml:space="preserve"> argues </w:t>
      </w:r>
      <w:r>
        <w:t xml:space="preserve">Albert Camus, </w:t>
      </w:r>
      <w:r w:rsidRPr="006E495F">
        <w:t xml:space="preserve">is </w:t>
      </w:r>
      <w:r w:rsidR="00085AFE">
        <w:t>steeped in both</w:t>
      </w:r>
      <w:r w:rsidRPr="006E495F">
        <w:t xml:space="preserve"> anxiety and hope, because the value to which man aspires is constantly in danger.</w:t>
      </w:r>
      <w:r>
        <w:rPr>
          <w:rStyle w:val="FootnoteReference"/>
        </w:rPr>
        <w:footnoteReference w:id="36"/>
      </w:r>
    </w:p>
    <w:p w14:paraId="57199A4D" w14:textId="5847F4F1" w:rsidR="00085AFE" w:rsidRDefault="00085AFE" w:rsidP="003D6234">
      <w:pPr>
        <w:pStyle w:val="Style1"/>
      </w:pPr>
      <w:r w:rsidRPr="00085AFE">
        <w:t xml:space="preserve">The awakening </w:t>
      </w:r>
      <w:r>
        <w:t xml:space="preserve">that takes place </w:t>
      </w:r>
      <w:r w:rsidRPr="00085AFE">
        <w:t>in Sar</w:t>
      </w:r>
      <w:r>
        <w:t>a</w:t>
      </w:r>
      <w:r w:rsidRPr="00085AFE">
        <w:t>mago</w:t>
      </w:r>
      <w:r>
        <w:t>’</w:t>
      </w:r>
      <w:r w:rsidRPr="00085AFE">
        <w:t>s works occurs as a result of great catastrophe</w:t>
      </w:r>
      <w:r>
        <w:t>s, of life</w:t>
      </w:r>
      <w:r w:rsidRPr="00085AFE">
        <w:t xml:space="preserve"> on the brink of the apocalypse. A blindness </w:t>
      </w:r>
      <w:r>
        <w:t>epidemic paradoxically</w:t>
      </w:r>
      <w:r w:rsidRPr="00085AFE">
        <w:t xml:space="preserve"> leads the heroes of the </w:t>
      </w:r>
      <w:r>
        <w:t>novel</w:t>
      </w:r>
      <w:r w:rsidR="001D5059">
        <w:t xml:space="preserve"> </w:t>
      </w:r>
      <w:r w:rsidR="001D5059">
        <w:rPr>
          <w:i/>
          <w:iCs/>
        </w:rPr>
        <w:t>Blindness</w:t>
      </w:r>
      <w:r w:rsidRPr="00085AFE">
        <w:t xml:space="preserve"> to true vision. A group of blind people embark on an inner journey of contemplation </w:t>
      </w:r>
      <w:r>
        <w:t>towards</w:t>
      </w:r>
      <w:r w:rsidRPr="00085AFE">
        <w:t xml:space="preserve"> the natural, moral</w:t>
      </w:r>
      <w:r w:rsidR="003D6234">
        <w:t>,</w:t>
      </w:r>
      <w:r w:rsidRPr="00085AFE">
        <w:t xml:space="preserve"> and authentic </w:t>
      </w:r>
      <w:r>
        <w:t xml:space="preserve">place </w:t>
      </w:r>
      <w:r w:rsidRPr="00085AFE">
        <w:t xml:space="preserve">where great hope for true social change </w:t>
      </w:r>
      <w:r w:rsidR="001D5059">
        <w:t>can be</w:t>
      </w:r>
      <w:r w:rsidRPr="00085AFE">
        <w:t xml:space="preserve"> born</w:t>
      </w:r>
      <w:r>
        <w:t xml:space="preserve">. This is what enables them to create a </w:t>
      </w:r>
      <w:r w:rsidRPr="00085AFE">
        <w:t xml:space="preserve">new social covenant, </w:t>
      </w:r>
      <w:r>
        <w:t>under the guidance of</w:t>
      </w:r>
      <w:r w:rsidRPr="00085AFE">
        <w:t xml:space="preserve"> compassionate and empathetic female leadership.</w:t>
      </w:r>
      <w:r>
        <w:t xml:space="preserve"> In </w:t>
      </w:r>
      <w:r>
        <w:rPr>
          <w:i/>
          <w:iCs/>
        </w:rPr>
        <w:t>Death with Interruptions</w:t>
      </w:r>
      <w:r>
        <w:t xml:space="preserve"> the </w:t>
      </w:r>
      <w:r w:rsidR="001D5059">
        <w:t xml:space="preserve">apocalypse seems at first to </w:t>
      </w:r>
      <w:r w:rsidR="003D6234">
        <w:t>be</w:t>
      </w:r>
      <w:r w:rsidR="003D6234">
        <w:t xml:space="preserve"> </w:t>
      </w:r>
      <w:r w:rsidR="001D5059">
        <w:t>salvation</w:t>
      </w:r>
      <w:r>
        <w:t xml:space="preserve">. Humanity experiences a sort of resurrection of the dead, the establishment of a heaven on earth, eternal life. However, the disruption of the </w:t>
      </w:r>
      <w:r>
        <w:lastRenderedPageBreak/>
        <w:t xml:space="preserve">natural order of life turns out to be disastrous and the population yearns to go back to the mortality they so desperately hoped to escape. </w:t>
      </w:r>
      <w:r w:rsidR="00416F5F">
        <w:t xml:space="preserve">“I come at last to death and to the attitude we have toward it… The horror comes in reality from the mathematical aspect of the event. If time frightens us, this is because it works out the problem and the solution comes afterward,” states Camus in </w:t>
      </w:r>
      <w:r w:rsidR="00416F5F">
        <w:rPr>
          <w:i/>
          <w:iCs/>
        </w:rPr>
        <w:t>The Myth of Sisyphus</w:t>
      </w:r>
      <w:r w:rsidR="00416F5F">
        <w:t>.</w:t>
      </w:r>
      <w:r w:rsidR="00416F5F">
        <w:rPr>
          <w:rStyle w:val="FootnoteReference"/>
        </w:rPr>
        <w:footnoteReference w:id="37"/>
      </w:r>
      <w:r w:rsidR="00416F5F">
        <w:t xml:space="preserve"> </w:t>
      </w:r>
      <w:commentRangeStart w:id="14"/>
      <w:r w:rsidR="00416F5F">
        <w:t>However, it is nevertheless a human being’s prerogative to determine their place in relation to time: “</w:t>
      </w:r>
      <w:r w:rsidR="00416F5F" w:rsidRPr="00416F5F">
        <w:t xml:space="preserve">He belongs to time, and by the horror that seizes him, </w:t>
      </w:r>
      <w:r w:rsidR="00416F5F">
        <w:t>he recognizes his worst enemy.”</w:t>
      </w:r>
      <w:r w:rsidR="00416F5F">
        <w:rPr>
          <w:rStyle w:val="FootnoteReference"/>
        </w:rPr>
        <w:footnoteReference w:id="38"/>
      </w:r>
      <w:commentRangeEnd w:id="14"/>
      <w:r w:rsidR="00416F5F">
        <w:rPr>
          <w:rStyle w:val="CommentReference"/>
          <w:rFonts w:asciiTheme="minorHAnsi" w:hAnsiTheme="minorHAnsi" w:cstheme="minorBidi"/>
        </w:rPr>
        <w:commentReference w:id="14"/>
      </w:r>
    </w:p>
    <w:p w14:paraId="4CC744EE" w14:textId="5B8C97DE" w:rsidR="00A67A6C" w:rsidRDefault="00A67A6C" w:rsidP="00795B94">
      <w:pPr>
        <w:pStyle w:val="Style1"/>
      </w:pPr>
      <w:r>
        <w:t>S</w:t>
      </w:r>
      <w:r w:rsidRPr="00A67A6C">
        <w:t>tand</w:t>
      </w:r>
      <w:r>
        <w:t>ing</w:t>
      </w:r>
      <w:r w:rsidRPr="00A67A6C">
        <w:t xml:space="preserve"> </w:t>
      </w:r>
      <w:r>
        <w:t>before</w:t>
      </w:r>
      <w:r w:rsidRPr="00A67A6C">
        <w:t xml:space="preserve"> the world</w:t>
      </w:r>
      <w:r>
        <w:t>, man</w:t>
      </w:r>
      <w:r w:rsidRPr="00A67A6C">
        <w:t xml:space="preserve"> seeks to understand it fully </w:t>
      </w:r>
      <w:r>
        <w:t>and is seized</w:t>
      </w:r>
      <w:r w:rsidRPr="00A67A6C">
        <w:t xml:space="preserve"> with anxiety</w:t>
      </w:r>
      <w:r>
        <w:t xml:space="preserve"> at the absurdity of existence:</w:t>
      </w:r>
      <w:r w:rsidRPr="00A67A6C">
        <w:t xml:space="preserve"> </w:t>
      </w:r>
      <w:commentRangeStart w:id="15"/>
      <w:r>
        <w:t>“That nostalgia for unity, that appetite for the absolute illustrates the essential impulse of the human drama</w:t>
      </w:r>
      <w:r w:rsidR="003D6234">
        <w:t>.</w:t>
      </w:r>
      <w:r>
        <w:t>”</w:t>
      </w:r>
      <w:r>
        <w:rPr>
          <w:rStyle w:val="FootnoteReference"/>
        </w:rPr>
        <w:footnoteReference w:id="39"/>
      </w:r>
      <w:r>
        <w:t xml:space="preserve"> </w:t>
      </w:r>
      <w:commentRangeEnd w:id="15"/>
      <w:r>
        <w:rPr>
          <w:rStyle w:val="CommentReference"/>
          <w:rFonts w:asciiTheme="minorHAnsi" w:hAnsiTheme="minorHAnsi" w:cstheme="minorBidi"/>
        </w:rPr>
        <w:commentReference w:id="15"/>
      </w:r>
      <w:r w:rsidRPr="00A67A6C">
        <w:t xml:space="preserve">Sarmago uses blindness as </w:t>
      </w:r>
      <w:commentRangeStart w:id="16"/>
      <w:r>
        <w:t>a doomed</w:t>
      </w:r>
      <w:r w:rsidRPr="00A67A6C">
        <w:t xml:space="preserve"> attempt to eliminate anxiety</w:t>
      </w:r>
      <w:r>
        <w:t>,</w:t>
      </w:r>
      <w:r w:rsidRPr="00A67A6C">
        <w:t xml:space="preserve"> </w:t>
      </w:r>
      <w:commentRangeEnd w:id="16"/>
      <w:r>
        <w:rPr>
          <w:rStyle w:val="CommentReference"/>
          <w:rFonts w:asciiTheme="minorHAnsi" w:hAnsiTheme="minorHAnsi" w:cstheme="minorBidi"/>
        </w:rPr>
        <w:commentReference w:id="16"/>
      </w:r>
      <w:r>
        <w:t>just as he does with the conceit of</w:t>
      </w:r>
      <w:r w:rsidRPr="00A67A6C">
        <w:t xml:space="preserve"> eternal life. But it is clear from these two works, as </w:t>
      </w:r>
      <w:r>
        <w:t>it stems from Camus’ understanding of the existential absurd</w:t>
      </w:r>
      <w:r w:rsidRPr="00A67A6C">
        <w:t>, that the elimination of anxiety is also the elimination of hope. Anxiety and hope are twin</w:t>
      </w:r>
      <w:r w:rsidR="00C54E45">
        <w:t>s</w:t>
      </w:r>
      <w:r>
        <w:t xml:space="preserve"> in the same way </w:t>
      </w:r>
      <w:commentRangeStart w:id="17"/>
      <w:r>
        <w:t>as</w:t>
      </w:r>
      <w:r w:rsidRPr="00A67A6C">
        <w:t xml:space="preserve"> Nietzsche describes </w:t>
      </w:r>
      <w:r>
        <w:t>happiness and suffering as twin</w:t>
      </w:r>
      <w:r w:rsidR="00C54E45">
        <w:t xml:space="preserve"> sisters</w:t>
      </w:r>
      <w:r>
        <w:t>.</w:t>
      </w:r>
      <w:r>
        <w:rPr>
          <w:rStyle w:val="FootnoteReference"/>
        </w:rPr>
        <w:footnoteReference w:id="40"/>
      </w:r>
      <w:r>
        <w:t xml:space="preserve"> </w:t>
      </w:r>
      <w:commentRangeEnd w:id="17"/>
      <w:r w:rsidR="00C54E45">
        <w:rPr>
          <w:rStyle w:val="CommentReference"/>
          <w:rFonts w:asciiTheme="minorHAnsi" w:hAnsiTheme="minorHAnsi" w:cstheme="minorBidi"/>
        </w:rPr>
        <w:commentReference w:id="17"/>
      </w:r>
      <w:r w:rsidRPr="00A67A6C">
        <w:t xml:space="preserve">They appear together, and are both by-products of the </w:t>
      </w:r>
      <w:r w:rsidR="00C54E45">
        <w:t xml:space="preserve">affirmation </w:t>
      </w:r>
      <w:r w:rsidRPr="00A67A6C">
        <w:t>of life and its activity</w:t>
      </w:r>
      <w:r w:rsidR="00C54E45">
        <w:t>.</w:t>
      </w:r>
      <w:r w:rsidR="00C54E45">
        <w:rPr>
          <w:rStyle w:val="FootnoteReference"/>
        </w:rPr>
        <w:footnoteReference w:id="41"/>
      </w:r>
    </w:p>
    <w:p w14:paraId="554A8D06" w14:textId="3BAB0314" w:rsidR="00E522B8" w:rsidRPr="00865290" w:rsidRDefault="00365407" w:rsidP="003D6234">
      <w:pPr>
        <w:pStyle w:val="Style1"/>
        <w:rPr>
          <w:rtl/>
        </w:rPr>
      </w:pPr>
      <w:r>
        <w:t>H</w:t>
      </w:r>
      <w:r w:rsidRPr="00365407">
        <w:t xml:space="preserve">uman </w:t>
      </w:r>
      <w:r>
        <w:t>thought</w:t>
      </w:r>
      <w:r w:rsidRPr="00365407">
        <w:t xml:space="preserve"> </w:t>
      </w:r>
      <w:r>
        <w:t>follows</w:t>
      </w:r>
      <w:r w:rsidRPr="00365407">
        <w:t xml:space="preserve"> </w:t>
      </w:r>
      <w:r>
        <w:t xml:space="preserve">cultural </w:t>
      </w:r>
      <w:r w:rsidRPr="00365407">
        <w:t xml:space="preserve">patterns that we have </w:t>
      </w:r>
      <w:r>
        <w:t>assimilated</w:t>
      </w:r>
      <w:r w:rsidRPr="00365407">
        <w:t xml:space="preserve"> and </w:t>
      </w:r>
      <w:r>
        <w:t xml:space="preserve">of which we </w:t>
      </w:r>
      <w:r w:rsidRPr="00365407">
        <w:t xml:space="preserve">are often </w:t>
      </w:r>
      <w:r>
        <w:t>unaware</w:t>
      </w:r>
      <w:r w:rsidRPr="00365407">
        <w:t xml:space="preserve">. These patterns include the fear of death, the fear of disease, and our </w:t>
      </w:r>
      <w:r>
        <w:t>“</w:t>
      </w:r>
      <w:r w:rsidRPr="00365407">
        <w:t>blindness</w:t>
      </w:r>
      <w:r>
        <w:t>”</w:t>
      </w:r>
      <w:r w:rsidRPr="00365407">
        <w:t xml:space="preserve"> to the many transparent means of control </w:t>
      </w:r>
      <w:r w:rsidR="003D6234">
        <w:t>by</w:t>
      </w:r>
      <w:r w:rsidR="003D6234">
        <w:t xml:space="preserve"> </w:t>
      </w:r>
      <w:r>
        <w:t>which we are subjugated. Only a</w:t>
      </w:r>
      <w:r w:rsidRPr="00365407">
        <w:t xml:space="preserve"> deep understanding </w:t>
      </w:r>
      <w:r>
        <w:t xml:space="preserve">that goes </w:t>
      </w:r>
      <w:r w:rsidRPr="00365407">
        <w:t xml:space="preserve">beyond </w:t>
      </w:r>
      <w:r>
        <w:t xml:space="preserve">the </w:t>
      </w:r>
      <w:r w:rsidRPr="00365407">
        <w:t>cultural</w:t>
      </w:r>
      <w:r>
        <w:t>ly conditioned</w:t>
      </w:r>
      <w:r w:rsidRPr="00365407">
        <w:t xml:space="preserve"> patterns </w:t>
      </w:r>
      <w:r>
        <w:t>“makes of fate a human matter, which must be settled among men.”</w:t>
      </w:r>
      <w:r>
        <w:rPr>
          <w:rStyle w:val="FootnoteReference"/>
        </w:rPr>
        <w:footnoteReference w:id="42"/>
      </w:r>
      <w:r w:rsidRPr="00365407">
        <w:t xml:space="preserve"> That is</w:t>
      </w:r>
      <w:r>
        <w:t xml:space="preserve"> to say</w:t>
      </w:r>
      <w:r w:rsidRPr="00365407">
        <w:t xml:space="preserve">, human existence is not a static </w:t>
      </w:r>
      <w:r>
        <w:t>condition</w:t>
      </w:r>
      <w:r w:rsidRPr="00365407">
        <w:t>. Man is pure activity, an indefinite event in time</w:t>
      </w:r>
      <w:r>
        <w:t>.</w:t>
      </w:r>
      <w:r>
        <w:rPr>
          <w:rStyle w:val="FootnoteReference"/>
        </w:rPr>
        <w:footnoteReference w:id="43"/>
      </w:r>
    </w:p>
    <w:sectPr w:rsidR="00E522B8" w:rsidRPr="00865290" w:rsidSect="00B460BE">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F8EEC05" w14:textId="01FECE67" w:rsidR="00795B94" w:rsidRDefault="00795B94" w:rsidP="00795B94">
      <w:pPr>
        <w:pStyle w:val="CommentText"/>
        <w:bidi w:val="0"/>
      </w:pPr>
      <w:r>
        <w:rPr>
          <w:rStyle w:val="CommentReference"/>
        </w:rPr>
        <w:annotationRef/>
      </w:r>
      <w:r>
        <w:t xml:space="preserve">You might </w:t>
      </w:r>
      <w:r w:rsidR="003D6234">
        <w:t xml:space="preserve">say otherwise: “The narrative of an impending apocalypse”, which I think is clearer. </w:t>
      </w:r>
    </w:p>
  </w:comment>
  <w:comment w:id="2" w:author="Author" w:initials="A">
    <w:p w14:paraId="779F7991" w14:textId="0A3307AF" w:rsidR="003D6234" w:rsidRDefault="003D6234" w:rsidP="003D6234">
      <w:pPr>
        <w:pStyle w:val="CommentText"/>
        <w:bidi w:val="0"/>
      </w:pPr>
      <w:r>
        <w:rPr>
          <w:rStyle w:val="CommentReference"/>
        </w:rPr>
        <w:annotationRef/>
      </w:r>
      <w:r>
        <w:t>See my note above</w:t>
      </w:r>
    </w:p>
  </w:comment>
  <w:comment w:id="3" w:author="Author" w:initials="A">
    <w:p w14:paraId="115A90DD" w14:textId="5E1CF984" w:rsidR="003D6234" w:rsidRDefault="003D6234" w:rsidP="003D6234">
      <w:pPr>
        <w:pStyle w:val="CommentText"/>
        <w:bidi w:val="0"/>
      </w:pPr>
      <w:r>
        <w:rPr>
          <w:rStyle w:val="CommentReference"/>
        </w:rPr>
        <w:annotationRef/>
      </w:r>
      <w:r>
        <w:t>I would suggest “the times we are living through are often described…”</w:t>
      </w:r>
    </w:p>
  </w:comment>
  <w:comment w:id="4" w:author="Author" w:initials="A">
    <w:p w14:paraId="3CF74A2E" w14:textId="6282D307" w:rsidR="003D6234" w:rsidRDefault="003D6234" w:rsidP="003D6234">
      <w:pPr>
        <w:pStyle w:val="CommentText"/>
        <w:bidi w:val="0"/>
      </w:pPr>
      <w:r>
        <w:rPr>
          <w:rStyle w:val="CommentReference"/>
        </w:rPr>
        <w:annotationRef/>
      </w:r>
      <w:r>
        <w:t>This is a little unclear. I would remove “glimmering”</w:t>
      </w:r>
    </w:p>
  </w:comment>
  <w:comment w:id="5" w:author="Author" w:initials="A">
    <w:p w14:paraId="3CBFDBA3" w14:textId="3C8F8798" w:rsidR="003D6234" w:rsidRDefault="003D6234" w:rsidP="003D6234">
      <w:pPr>
        <w:pStyle w:val="CommentText"/>
        <w:bidi w:val="0"/>
      </w:pPr>
      <w:r>
        <w:rPr>
          <w:rStyle w:val="CommentReference"/>
        </w:rPr>
        <w:annotationRef/>
      </w:r>
      <w:r>
        <w:t xml:space="preserve">This is not entirely clear to me. </w:t>
      </w:r>
    </w:p>
  </w:comment>
  <w:comment w:id="6" w:author="Author" w:initials="A">
    <w:p w14:paraId="7D622BB2" w14:textId="6A81E919" w:rsidR="003D6234" w:rsidRDefault="003D6234" w:rsidP="003D6234">
      <w:pPr>
        <w:pStyle w:val="CommentText"/>
        <w:bidi w:val="0"/>
      </w:pPr>
      <w:r>
        <w:rPr>
          <w:rStyle w:val="CommentReference"/>
        </w:rPr>
        <w:annotationRef/>
      </w:r>
      <w:r>
        <w:t>I’m not quite sure what this means. Can you clarify your intention?</w:t>
      </w:r>
    </w:p>
  </w:comment>
  <w:comment w:id="7" w:author="Author" w:initials="A">
    <w:p w14:paraId="1F21CD9E" w14:textId="1DA7E1BD" w:rsidR="003D6234" w:rsidRDefault="003D6234" w:rsidP="003D6234">
      <w:pPr>
        <w:pStyle w:val="CommentText"/>
        <w:bidi w:val="0"/>
      </w:pPr>
      <w:r>
        <w:rPr>
          <w:rStyle w:val="CommentReference"/>
        </w:rPr>
        <w:annotationRef/>
      </w:r>
      <w:r>
        <w:t>As you say this already above, you might rephrase here:</w:t>
      </w:r>
    </w:p>
    <w:p w14:paraId="628B8631" w14:textId="77777777" w:rsidR="003D6234" w:rsidRDefault="003D6234" w:rsidP="003D6234">
      <w:pPr>
        <w:pStyle w:val="CommentText"/>
        <w:bidi w:val="0"/>
      </w:pPr>
    </w:p>
    <w:p w14:paraId="4C8BE4A1" w14:textId="02CA3D1C" w:rsidR="003D6234" w:rsidRDefault="003D6234" w:rsidP="003D6234">
      <w:pPr>
        <w:pStyle w:val="CommentText"/>
        <w:bidi w:val="0"/>
      </w:pPr>
      <w:r>
        <w:t>The two novels by Saramago that we will examine here posit…</w:t>
      </w:r>
    </w:p>
  </w:comment>
  <w:comment w:id="8" w:author="Author" w:initials="A">
    <w:p w14:paraId="739E823F" w14:textId="115C9145" w:rsidR="005D5B14" w:rsidRDefault="005D5B14">
      <w:pPr>
        <w:pStyle w:val="CommentText"/>
      </w:pPr>
      <w:r>
        <w:rPr>
          <w:rStyle w:val="CommentReference"/>
        </w:rPr>
        <w:annotationRef/>
      </w:r>
      <w:r>
        <w:t>The original reference was wrong. I changed it, see footnote.</w:t>
      </w:r>
    </w:p>
  </w:comment>
  <w:comment w:id="9" w:author="Author" w:initials="A">
    <w:p w14:paraId="75DE761F" w14:textId="6297369A" w:rsidR="003D6234" w:rsidRDefault="003D6234" w:rsidP="003D6234">
      <w:pPr>
        <w:pStyle w:val="CommentText"/>
        <w:bidi w:val="0"/>
      </w:pPr>
      <w:r>
        <w:rPr>
          <w:rStyle w:val="CommentReference"/>
        </w:rPr>
        <w:annotationRef/>
      </w:r>
      <w:r>
        <w:t>Or “they are told” or “they receive”</w:t>
      </w:r>
    </w:p>
  </w:comment>
  <w:comment w:id="10" w:author="Author" w:initials="A">
    <w:p w14:paraId="7B79A9A4" w14:textId="604D6349" w:rsidR="005D5B14" w:rsidRDefault="005D5B14" w:rsidP="003D6234">
      <w:pPr>
        <w:pStyle w:val="CommentText"/>
        <w:bidi w:val="0"/>
      </w:pPr>
      <w:r>
        <w:rPr>
          <w:rStyle w:val="CommentReference"/>
        </w:rPr>
        <w:annotationRef/>
      </w:r>
      <w:r>
        <w:t xml:space="preserve">I </w:t>
      </w:r>
      <w:r w:rsidR="003D6234">
        <w:t>would recommend cutting</w:t>
      </w:r>
      <w:r>
        <w:t xml:space="preserve"> t</w:t>
      </w:r>
      <w:r w:rsidR="003D6234">
        <w:t>his whole section</w:t>
      </w:r>
      <w:r>
        <w:t>. There’s no real discussion of hope and anxiety, just a presentation of the novel’s plot.</w:t>
      </w:r>
    </w:p>
  </w:comment>
  <w:comment w:id="11" w:author="Author" w:initials="A">
    <w:p w14:paraId="13E6BE84" w14:textId="069C9A83" w:rsidR="003D6234" w:rsidRDefault="003D6234" w:rsidP="003D6234">
      <w:pPr>
        <w:pStyle w:val="CommentText"/>
        <w:bidi w:val="0"/>
      </w:pPr>
      <w:r>
        <w:rPr>
          <w:rStyle w:val="CommentReference"/>
        </w:rPr>
        <w:annotationRef/>
      </w:r>
      <w:r>
        <w:t xml:space="preserve">This might need some explanation. </w:t>
      </w:r>
    </w:p>
  </w:comment>
  <w:comment w:id="12" w:author="Author" w:initials="A">
    <w:p w14:paraId="67690F2C" w14:textId="20F9863B" w:rsidR="003D6234" w:rsidRDefault="003D6234">
      <w:pPr>
        <w:pStyle w:val="CommentText"/>
      </w:pPr>
      <w:r>
        <w:rPr>
          <w:rStyle w:val="CommentReference"/>
        </w:rPr>
        <w:annotationRef/>
      </w:r>
      <w:r>
        <w:t>What dirty work?</w:t>
      </w:r>
    </w:p>
  </w:comment>
  <w:comment w:id="13" w:author="Author" w:initials="A">
    <w:p w14:paraId="661C2369" w14:textId="33AC6DC1" w:rsidR="003D6234" w:rsidRDefault="003D6234" w:rsidP="003D6234">
      <w:pPr>
        <w:pStyle w:val="CommentText"/>
        <w:bidi w:val="0"/>
      </w:pPr>
      <w:r>
        <w:rPr>
          <w:rStyle w:val="CommentReference"/>
        </w:rPr>
        <w:annotationRef/>
      </w:r>
      <w:r>
        <w:t>Or conclusion?</w:t>
      </w:r>
    </w:p>
  </w:comment>
  <w:comment w:id="14" w:author="Author" w:initials="A">
    <w:p w14:paraId="641604FA" w14:textId="1D5EEDCE" w:rsidR="005D5B14" w:rsidRDefault="005D5B14">
      <w:pPr>
        <w:pStyle w:val="CommentText"/>
      </w:pPr>
      <w:r>
        <w:rPr>
          <w:rStyle w:val="CommentReference"/>
        </w:rPr>
        <w:annotationRef/>
      </w:r>
      <w:r>
        <w:t>It seems to me that this quotation means just the opposite</w:t>
      </w:r>
    </w:p>
  </w:comment>
  <w:comment w:id="15" w:author="Author" w:initials="A">
    <w:p w14:paraId="3BBF74C6" w14:textId="7BACAEC1" w:rsidR="005D5B14" w:rsidRDefault="005D5B14" w:rsidP="003D6234">
      <w:pPr>
        <w:pStyle w:val="CommentText"/>
        <w:bidi w:val="0"/>
      </w:pPr>
      <w:r>
        <w:rPr>
          <w:rStyle w:val="CommentReference"/>
        </w:rPr>
        <w:annotationRef/>
      </w:r>
      <w:r>
        <w:t>Similarly, I don’t understand how the quote is supposed to illustrate the preceding statement. It seems unrelated.</w:t>
      </w:r>
    </w:p>
  </w:comment>
  <w:comment w:id="16" w:author="Author" w:initials="A">
    <w:p w14:paraId="14A8CC53" w14:textId="10519597" w:rsidR="005D5B14" w:rsidRDefault="005D5B14" w:rsidP="003D6234">
      <w:pPr>
        <w:pStyle w:val="CommentText"/>
        <w:bidi w:val="0"/>
      </w:pPr>
      <w:r>
        <w:rPr>
          <w:rStyle w:val="CommentReference"/>
        </w:rPr>
        <w:annotationRef/>
      </w:r>
      <w:r>
        <w:t>That doesn’t seem right, if anything blindness in the novel seems to amplify anxiety</w:t>
      </w:r>
    </w:p>
  </w:comment>
  <w:comment w:id="17" w:author="Author" w:initials="A">
    <w:p w14:paraId="5A213BB3" w14:textId="5200E306" w:rsidR="005D5B14" w:rsidRDefault="005D5B14" w:rsidP="003D6234">
      <w:pPr>
        <w:pStyle w:val="CommentText"/>
        <w:bidi w:val="0"/>
      </w:pPr>
      <w:r>
        <w:rPr>
          <w:rStyle w:val="CommentReference"/>
        </w:rPr>
        <w:annotationRef/>
      </w:r>
      <w:r>
        <w:t>The quote is from the Gay Science, not the will to power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8EEC05" w15:done="0"/>
  <w15:commentEx w15:paraId="779F7991" w15:done="0"/>
  <w15:commentEx w15:paraId="115A90DD" w15:done="0"/>
  <w15:commentEx w15:paraId="3CF74A2E" w15:done="0"/>
  <w15:commentEx w15:paraId="3CBFDBA3" w15:done="0"/>
  <w15:commentEx w15:paraId="7D622BB2" w15:done="0"/>
  <w15:commentEx w15:paraId="4C8BE4A1" w15:done="0"/>
  <w15:commentEx w15:paraId="739E823F" w15:done="0"/>
  <w15:commentEx w15:paraId="75DE761F" w15:done="0"/>
  <w15:commentEx w15:paraId="7B79A9A4" w15:done="0"/>
  <w15:commentEx w15:paraId="13E6BE84" w15:done="0"/>
  <w15:commentEx w15:paraId="67690F2C" w15:done="0"/>
  <w15:commentEx w15:paraId="661C2369" w15:done="0"/>
  <w15:commentEx w15:paraId="641604FA" w15:done="0"/>
  <w15:commentEx w15:paraId="3BBF74C6" w15:done="0"/>
  <w15:commentEx w15:paraId="14A8CC53" w15:done="0"/>
  <w15:commentEx w15:paraId="5A213B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E62A" w14:textId="77777777" w:rsidR="00715984" w:rsidRDefault="00715984" w:rsidP="006C3713">
      <w:pPr>
        <w:spacing w:after="0" w:line="240" w:lineRule="auto"/>
      </w:pPr>
      <w:r>
        <w:separator/>
      </w:r>
    </w:p>
  </w:endnote>
  <w:endnote w:type="continuationSeparator" w:id="0">
    <w:p w14:paraId="491CAF7E" w14:textId="77777777" w:rsidR="00715984" w:rsidRDefault="00715984" w:rsidP="006C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63371"/>
      <w:docPartObj>
        <w:docPartGallery w:val="Page Numbers (Bottom of Page)"/>
        <w:docPartUnique/>
      </w:docPartObj>
    </w:sdtPr>
    <w:sdtEndPr>
      <w:rPr>
        <w:noProof/>
      </w:rPr>
    </w:sdtEndPr>
    <w:sdtContent>
      <w:p w14:paraId="40A95918" w14:textId="15123AD9" w:rsidR="005D5B14" w:rsidRDefault="005D5B14" w:rsidP="001D5059">
        <w:pPr>
          <w:pStyle w:val="Style1"/>
          <w:jc w:val="center"/>
        </w:pPr>
        <w:r>
          <w:fldChar w:fldCharType="begin"/>
        </w:r>
        <w:r>
          <w:instrText xml:space="preserve"> PAGE   \* MERGEFORMAT </w:instrText>
        </w:r>
        <w:r>
          <w:fldChar w:fldCharType="separate"/>
        </w:r>
        <w:r w:rsidR="009863D5">
          <w:rPr>
            <w:noProof/>
          </w:rPr>
          <w:t>1</w:t>
        </w:r>
        <w:r>
          <w:rPr>
            <w:noProof/>
          </w:rPr>
          <w:fldChar w:fldCharType="end"/>
        </w:r>
      </w:p>
    </w:sdtContent>
  </w:sdt>
  <w:p w14:paraId="7FC6A9CD" w14:textId="77777777" w:rsidR="005D5B14" w:rsidRDefault="005D5B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C0CC4" w14:textId="77777777" w:rsidR="00715984" w:rsidRDefault="00715984" w:rsidP="00574B54">
      <w:pPr>
        <w:bidi w:val="0"/>
        <w:spacing w:after="0" w:line="240" w:lineRule="auto"/>
      </w:pPr>
      <w:r>
        <w:separator/>
      </w:r>
    </w:p>
  </w:footnote>
  <w:footnote w:type="continuationSeparator" w:id="0">
    <w:p w14:paraId="5903E880" w14:textId="77777777" w:rsidR="00715984" w:rsidRDefault="00715984" w:rsidP="006C3713">
      <w:pPr>
        <w:spacing w:after="0" w:line="240" w:lineRule="auto"/>
      </w:pPr>
      <w:r>
        <w:continuationSeparator/>
      </w:r>
    </w:p>
  </w:footnote>
  <w:footnote w:id="1">
    <w:p w14:paraId="4755D003" w14:textId="2B68E173" w:rsidR="005D5B14" w:rsidRDefault="005D5B14" w:rsidP="008B193B">
      <w:pPr>
        <w:pStyle w:val="FootnoteText"/>
        <w:bidi w:val="0"/>
      </w:pPr>
      <w:r>
        <w:rPr>
          <w:rStyle w:val="FootnoteReference"/>
        </w:rPr>
        <w:footnoteRef/>
      </w:r>
      <w:r w:rsidRPr="00574B54">
        <w:t>Nitzan Lebovic</w:t>
      </w:r>
      <w:r>
        <w:t>,</w:t>
      </w:r>
      <w:r w:rsidR="003D6234">
        <w:t xml:space="preserve"> </w:t>
      </w:r>
      <w:r w:rsidRPr="00574B54">
        <w:t>“Biopolitical Times: The Plague and the Plea</w:t>
      </w:r>
      <w:r>
        <w:t>,</w:t>
      </w:r>
      <w:r w:rsidRPr="00574B54">
        <w:t xml:space="preserve">” </w:t>
      </w:r>
      <w:r w:rsidRPr="008B193B">
        <w:t>boundary2</w:t>
      </w:r>
      <w:r>
        <w:t xml:space="preserve">,  Duke University Press, </w:t>
      </w:r>
      <w:r w:rsidRPr="00574B54">
        <w:t>Mar. 30, 2020</w:t>
      </w:r>
      <w:r>
        <w:t xml:space="preserve">, </w:t>
      </w:r>
      <w:r w:rsidRPr="00574B54">
        <w:t>https://www.boundary2.org/2020/03/nitzan-lebovic-biopolitical-times-the-plague-and-the-agambens-plea/</w:t>
      </w:r>
    </w:p>
  </w:footnote>
  <w:footnote w:id="2">
    <w:p w14:paraId="09D0326B" w14:textId="67167510" w:rsidR="005D5B14" w:rsidRDefault="005D5B14" w:rsidP="00997D80">
      <w:pPr>
        <w:pStyle w:val="FootnoteText"/>
        <w:bidi w:val="0"/>
      </w:pPr>
      <w:r>
        <w:rPr>
          <w:rStyle w:val="FootnoteReference"/>
        </w:rPr>
        <w:footnoteRef/>
      </w:r>
      <w:r>
        <w:rPr>
          <w:rtl/>
        </w:rPr>
        <w:t xml:space="preserve"> </w:t>
      </w:r>
      <w:r w:rsidRPr="00997D80">
        <w:t xml:space="preserve">Paul Tillich, </w:t>
      </w:r>
      <w:r w:rsidRPr="00997D80">
        <w:rPr>
          <w:i/>
          <w:iCs/>
        </w:rPr>
        <w:t>The Courage To Be</w:t>
      </w:r>
      <w:r>
        <w:t xml:space="preserve"> (</w:t>
      </w:r>
      <w:r w:rsidRPr="00997D80">
        <w:t>New Heaven: Yale University Press, 1952</w:t>
      </w:r>
      <w:r>
        <w:t>)</w:t>
      </w:r>
      <w:r w:rsidRPr="00997D80">
        <w:t>.</w:t>
      </w:r>
      <w:r>
        <w:t xml:space="preserve"> </w:t>
      </w:r>
      <w:r w:rsidRPr="00865290">
        <w:rPr>
          <w:highlight w:val="yellow"/>
        </w:rPr>
        <w:t>Page number?</w:t>
      </w:r>
    </w:p>
  </w:footnote>
  <w:footnote w:id="3">
    <w:p w14:paraId="75608E8C" w14:textId="766EA942" w:rsidR="005D5B14" w:rsidRDefault="005D5B14" w:rsidP="00997D80">
      <w:pPr>
        <w:pStyle w:val="FootnoteText"/>
        <w:bidi w:val="0"/>
      </w:pPr>
      <w:r>
        <w:rPr>
          <w:rStyle w:val="FootnoteReference"/>
        </w:rPr>
        <w:footnoteRef/>
      </w:r>
      <w:r>
        <w:rPr>
          <w:rtl/>
        </w:rPr>
        <w:t xml:space="preserve"> </w:t>
      </w:r>
      <w:r w:rsidRPr="00997D80">
        <w:t xml:space="preserve">Albert Camus, </w:t>
      </w:r>
      <w:r w:rsidRPr="00997D80">
        <w:rPr>
          <w:i/>
          <w:iCs/>
        </w:rPr>
        <w:t>The Myth of Sisyphus</w:t>
      </w:r>
      <w:r>
        <w:t>, trans. Justin O’Brien (</w:t>
      </w:r>
      <w:r w:rsidRPr="00997D80">
        <w:t>New York: Vintage Books, 1991</w:t>
      </w:r>
      <w:r>
        <w:t>), 13.</w:t>
      </w:r>
    </w:p>
  </w:footnote>
  <w:footnote w:id="4">
    <w:p w14:paraId="56A0A3D5" w14:textId="3850E431" w:rsidR="005D5B14" w:rsidRDefault="005D5B14" w:rsidP="00BE129E">
      <w:pPr>
        <w:pStyle w:val="FootnoteText"/>
        <w:bidi w:val="0"/>
      </w:pPr>
      <w:r>
        <w:rPr>
          <w:rStyle w:val="FootnoteReference"/>
        </w:rPr>
        <w:footnoteRef/>
      </w:r>
      <w:r>
        <w:rPr>
          <w:rtl/>
        </w:rPr>
        <w:t xml:space="preserve"> </w:t>
      </w:r>
      <w:r>
        <w:t>Ibid.</w:t>
      </w:r>
    </w:p>
  </w:footnote>
  <w:footnote w:id="5">
    <w:p w14:paraId="2CF11E06" w14:textId="77777777" w:rsidR="005D5B14" w:rsidRDefault="005D5B14" w:rsidP="008A7357">
      <w:pPr>
        <w:pStyle w:val="FootnoteText"/>
        <w:bidi w:val="0"/>
      </w:pPr>
      <w:r>
        <w:rPr>
          <w:rStyle w:val="FootnoteReference"/>
        </w:rPr>
        <w:footnoteRef/>
      </w:r>
      <w:r>
        <w:rPr>
          <w:rtl/>
        </w:rPr>
        <w:t xml:space="preserve"> </w:t>
      </w:r>
      <w:r>
        <w:t>Genesis 1:1.</w:t>
      </w:r>
    </w:p>
  </w:footnote>
  <w:footnote w:id="6">
    <w:p w14:paraId="3919A5A5" w14:textId="77777777" w:rsidR="005D5B14" w:rsidRDefault="005D5B14" w:rsidP="008A7357">
      <w:pPr>
        <w:pStyle w:val="FootnoteText"/>
        <w:bidi w:val="0"/>
      </w:pPr>
      <w:r>
        <w:rPr>
          <w:rStyle w:val="FootnoteReference"/>
        </w:rPr>
        <w:footnoteRef/>
      </w:r>
      <w:r>
        <w:rPr>
          <w:rtl/>
        </w:rPr>
        <w:t xml:space="preserve"> </w:t>
      </w:r>
      <w:r>
        <w:t>Isaiah 2:2.</w:t>
      </w:r>
    </w:p>
  </w:footnote>
  <w:footnote w:id="7">
    <w:p w14:paraId="27F48023" w14:textId="2AA1F188" w:rsidR="005D5B14" w:rsidRDefault="005D5B14" w:rsidP="008A7357">
      <w:pPr>
        <w:pStyle w:val="FootnoteText"/>
        <w:bidi w:val="0"/>
      </w:pPr>
      <w:r>
        <w:rPr>
          <w:rStyle w:val="FootnoteReference"/>
        </w:rPr>
        <w:footnoteRef/>
      </w:r>
      <w:r>
        <w:rPr>
          <w:rtl/>
        </w:rPr>
        <w:t xml:space="preserve"> </w:t>
      </w:r>
      <w:r w:rsidRPr="008A7357">
        <w:t>Yeshayahu Leibowitz</w:t>
      </w:r>
      <w:r>
        <w:t>,</w:t>
      </w:r>
      <w:r w:rsidRPr="008A7357">
        <w:t xml:space="preserve"> </w:t>
      </w:r>
      <w:r w:rsidRPr="008A7357">
        <w:rPr>
          <w:i/>
          <w:iCs/>
        </w:rPr>
        <w:t>Faith, History and Values</w:t>
      </w:r>
      <w:r>
        <w:rPr>
          <w:i/>
          <w:iCs/>
        </w:rPr>
        <w:t xml:space="preserve"> </w:t>
      </w:r>
      <w:r>
        <w:t>(</w:t>
      </w:r>
      <w:r w:rsidRPr="008A7357">
        <w:t>Jerusalem: Academon, 2002 [Hebrew]</w:t>
      </w:r>
      <w:r>
        <w:t>)</w:t>
      </w:r>
    </w:p>
  </w:footnote>
  <w:footnote w:id="8">
    <w:p w14:paraId="69E48658" w14:textId="77777777" w:rsidR="005D5B14" w:rsidRDefault="005D5B14" w:rsidP="008A7357">
      <w:pPr>
        <w:pStyle w:val="FootnoteText"/>
        <w:bidi w:val="0"/>
      </w:pPr>
      <w:r>
        <w:rPr>
          <w:rStyle w:val="FootnoteReference"/>
        </w:rPr>
        <w:footnoteRef/>
      </w:r>
      <w:r>
        <w:rPr>
          <w:rtl/>
        </w:rPr>
        <w:t xml:space="preserve"> </w:t>
      </w:r>
      <w:r>
        <w:t>Jeremiah 7:5 – 7.</w:t>
      </w:r>
    </w:p>
  </w:footnote>
  <w:footnote w:id="9">
    <w:p w14:paraId="7F02D0AE" w14:textId="726C8CD6" w:rsidR="005D5B14" w:rsidRDefault="005D5B14" w:rsidP="008A7357">
      <w:pPr>
        <w:pStyle w:val="FootnoteText"/>
        <w:bidi w:val="0"/>
      </w:pPr>
      <w:r>
        <w:rPr>
          <w:rStyle w:val="FootnoteReference"/>
        </w:rPr>
        <w:footnoteRef/>
      </w:r>
      <w:r>
        <w:rPr>
          <w:rtl/>
        </w:rPr>
        <w:t xml:space="preserve"> </w:t>
      </w:r>
      <w:r w:rsidRPr="008A7357">
        <w:t>Leo Rauch,</w:t>
      </w:r>
      <w:r>
        <w:t xml:space="preserve"> </w:t>
      </w:r>
      <w:r w:rsidRPr="008A7357">
        <w:rPr>
          <w:i/>
          <w:iCs/>
        </w:rPr>
        <w:t>Faith and Revolution: The Philosophy of History</w:t>
      </w:r>
      <w:r>
        <w:t xml:space="preserve"> (Tel Aviv: Yahdav Press, 1978</w:t>
      </w:r>
      <w:r w:rsidRPr="008A7357">
        <w:t xml:space="preserve"> [Hebrew]</w:t>
      </w:r>
      <w:r>
        <w:t>), 10–11.</w:t>
      </w:r>
    </w:p>
  </w:footnote>
  <w:footnote w:id="10">
    <w:p w14:paraId="3ACB9139" w14:textId="21BBAB07" w:rsidR="005D5B14" w:rsidRDefault="005D5B14" w:rsidP="008A7357">
      <w:pPr>
        <w:pStyle w:val="FootnoteText"/>
        <w:bidi w:val="0"/>
      </w:pPr>
      <w:r>
        <w:rPr>
          <w:rStyle w:val="FootnoteReference"/>
        </w:rPr>
        <w:footnoteRef/>
      </w:r>
      <w:r>
        <w:rPr>
          <w:rtl/>
        </w:rPr>
        <w:t xml:space="preserve"> </w:t>
      </w:r>
      <w:r w:rsidRPr="008A7357">
        <w:t>Yossef Dan</w:t>
      </w:r>
      <w:r>
        <w:t>,</w:t>
      </w:r>
      <w:r w:rsidRPr="008A7357">
        <w:t xml:space="preserve"> </w:t>
      </w:r>
      <w:r w:rsidRPr="008A7357">
        <w:rPr>
          <w:i/>
          <w:iCs/>
        </w:rPr>
        <w:t>The Apocalypse Then and Now</w:t>
      </w:r>
      <w:r w:rsidRPr="008A7357">
        <w:t xml:space="preserve"> </w:t>
      </w:r>
      <w:r>
        <w:t>(</w:t>
      </w:r>
      <w:r w:rsidRPr="008A7357">
        <w:t>Herzelia: Yediot Ahronot Press and Hemed Books, 2000</w:t>
      </w:r>
      <w:r>
        <w:t xml:space="preserve"> </w:t>
      </w:r>
      <w:r w:rsidRPr="008A7357">
        <w:t>[Hebrew]</w:t>
      </w:r>
      <w:r>
        <w:t>), 19.</w:t>
      </w:r>
    </w:p>
  </w:footnote>
  <w:footnote w:id="11">
    <w:p w14:paraId="2E8EF958" w14:textId="1EC8F876" w:rsidR="005D5B14" w:rsidRDefault="005D5B14" w:rsidP="00227FE7">
      <w:pPr>
        <w:pStyle w:val="FootnoteText"/>
        <w:bidi w:val="0"/>
      </w:pPr>
      <w:r>
        <w:rPr>
          <w:rStyle w:val="FootnoteReference"/>
        </w:rPr>
        <w:footnoteRef/>
      </w:r>
      <w:r>
        <w:rPr>
          <w:rtl/>
        </w:rPr>
        <w:t xml:space="preserve"> </w:t>
      </w:r>
      <w:r w:rsidRPr="00227FE7">
        <w:t xml:space="preserve">Yitzhak Arieh Zeligman, </w:t>
      </w:r>
      <w:r w:rsidRPr="00227FE7">
        <w:rPr>
          <w:i/>
          <w:iCs/>
        </w:rPr>
        <w:t>Studies in Biblical Literature</w:t>
      </w:r>
      <w:r w:rsidRPr="00227FE7">
        <w:t xml:space="preserve"> </w:t>
      </w:r>
      <w:r>
        <w:t>(</w:t>
      </w:r>
      <w:r w:rsidRPr="00227FE7">
        <w:t>Jerusalem</w:t>
      </w:r>
      <w:r>
        <w:t>: Hebrew University Press, 1992</w:t>
      </w:r>
      <w:r w:rsidRPr="00227FE7">
        <w:t xml:space="preserve"> [Hebrew]</w:t>
      </w:r>
      <w:r>
        <w:t>), 102–103.</w:t>
      </w:r>
    </w:p>
  </w:footnote>
  <w:footnote w:id="12">
    <w:p w14:paraId="34BA151D" w14:textId="77777777" w:rsidR="005D5B14" w:rsidRDefault="005D5B14" w:rsidP="008A7357">
      <w:pPr>
        <w:pStyle w:val="FootnoteText"/>
        <w:bidi w:val="0"/>
      </w:pPr>
      <w:r>
        <w:rPr>
          <w:rStyle w:val="FootnoteReference"/>
        </w:rPr>
        <w:footnoteRef/>
      </w:r>
      <w:r>
        <w:rPr>
          <w:rtl/>
        </w:rPr>
        <w:t xml:space="preserve"> </w:t>
      </w:r>
      <w:r>
        <w:t>Jeremiah 31:16.</w:t>
      </w:r>
    </w:p>
  </w:footnote>
  <w:footnote w:id="13">
    <w:p w14:paraId="627AC999" w14:textId="17343664" w:rsidR="005D5B14" w:rsidRDefault="005D5B14" w:rsidP="00227FE7">
      <w:pPr>
        <w:pStyle w:val="FootnoteText"/>
        <w:bidi w:val="0"/>
      </w:pPr>
      <w:r>
        <w:rPr>
          <w:rStyle w:val="FootnoteReference"/>
        </w:rPr>
        <w:footnoteRef/>
      </w:r>
      <w:r>
        <w:rPr>
          <w:rtl/>
        </w:rPr>
        <w:t xml:space="preserve"> </w:t>
      </w:r>
      <w:r>
        <w:t>Daniel 8:19.</w:t>
      </w:r>
    </w:p>
  </w:footnote>
  <w:footnote w:id="14">
    <w:p w14:paraId="6D65846C" w14:textId="379CDCFF" w:rsidR="005D5B14" w:rsidRDefault="005D5B14" w:rsidP="004049B4">
      <w:pPr>
        <w:pStyle w:val="FootnoteText"/>
        <w:bidi w:val="0"/>
      </w:pPr>
      <w:r>
        <w:rPr>
          <w:rStyle w:val="FootnoteReference"/>
        </w:rPr>
        <w:footnoteRef/>
      </w:r>
      <w:r>
        <w:rPr>
          <w:rtl/>
        </w:rPr>
        <w:t xml:space="preserve"> </w:t>
      </w:r>
      <w:r w:rsidRPr="004049B4">
        <w:t xml:space="preserve">David Flusser, </w:t>
      </w:r>
      <w:r w:rsidRPr="004049B4">
        <w:rPr>
          <w:i/>
          <w:iCs/>
        </w:rPr>
        <w:t>Jesus</w:t>
      </w:r>
      <w:r w:rsidRPr="004049B4">
        <w:t xml:space="preserve"> </w:t>
      </w:r>
      <w:r>
        <w:t>(</w:t>
      </w:r>
      <w:r w:rsidRPr="004049B4">
        <w:t>Jerusalem: Magn</w:t>
      </w:r>
      <w:r>
        <w:t xml:space="preserve">es Press and Zmora Bitan, 2009 </w:t>
      </w:r>
      <w:r w:rsidRPr="004049B4">
        <w:t>[Hebrew]</w:t>
      </w:r>
      <w:r>
        <w:t>), 131–132.</w:t>
      </w:r>
    </w:p>
  </w:footnote>
  <w:footnote w:id="15">
    <w:p w14:paraId="45208A1D" w14:textId="1DD8C636" w:rsidR="005D5B14" w:rsidRPr="004049B4" w:rsidRDefault="005D5B14" w:rsidP="004049B4">
      <w:pPr>
        <w:pStyle w:val="FootnoteText"/>
        <w:bidi w:val="0"/>
      </w:pPr>
      <w:r>
        <w:rPr>
          <w:rStyle w:val="FootnoteReference"/>
        </w:rPr>
        <w:footnoteRef/>
      </w:r>
      <w:r>
        <w:rPr>
          <w:rtl/>
        </w:rPr>
        <w:t xml:space="preserve"> </w:t>
      </w:r>
      <w:r>
        <w:t xml:space="preserve">Yossef Dan, </w:t>
      </w:r>
      <w:r>
        <w:rPr>
          <w:i/>
          <w:iCs/>
        </w:rPr>
        <w:t>The Apocalypse</w:t>
      </w:r>
      <w:r>
        <w:t>, 38.</w:t>
      </w:r>
    </w:p>
  </w:footnote>
  <w:footnote w:id="16">
    <w:p w14:paraId="7F867BFF" w14:textId="2852A80E" w:rsidR="005D5B14" w:rsidRDefault="005D5B14" w:rsidP="004049B4">
      <w:pPr>
        <w:pStyle w:val="FootnoteText"/>
        <w:bidi w:val="0"/>
      </w:pPr>
      <w:r>
        <w:rPr>
          <w:rStyle w:val="FootnoteReference"/>
        </w:rPr>
        <w:footnoteRef/>
      </w:r>
      <w:r>
        <w:rPr>
          <w:rtl/>
        </w:rPr>
        <w:t xml:space="preserve"> </w:t>
      </w:r>
      <w:r w:rsidRPr="004049B4">
        <w:t>Augustine</w:t>
      </w:r>
      <w:r>
        <w:t xml:space="preserve">, </w:t>
      </w:r>
      <w:r w:rsidRPr="004049B4">
        <w:rPr>
          <w:i/>
          <w:iCs/>
        </w:rPr>
        <w:t>The Confessions of St. Augustine</w:t>
      </w:r>
      <w:r>
        <w:t>,</w:t>
      </w:r>
      <w:r w:rsidRPr="004049B4">
        <w:t xml:space="preserve"> </w:t>
      </w:r>
      <w:r>
        <w:t>t</w:t>
      </w:r>
      <w:r w:rsidRPr="004049B4">
        <w:t xml:space="preserve">rans. J. G. Pilkington </w:t>
      </w:r>
      <w:r>
        <w:t>(</w:t>
      </w:r>
      <w:r w:rsidRPr="004049B4">
        <w:t>New York: International Collectors Library, 1950</w:t>
      </w:r>
      <w:r>
        <w:t>)</w:t>
      </w:r>
      <w:r w:rsidRPr="004049B4">
        <w:t xml:space="preserve">. </w:t>
      </w:r>
    </w:p>
  </w:footnote>
  <w:footnote w:id="17">
    <w:p w14:paraId="0EE44B23" w14:textId="2E8C0939" w:rsidR="005D5B14" w:rsidRDefault="005D5B14" w:rsidP="004049B4">
      <w:pPr>
        <w:pStyle w:val="FootnoteText"/>
        <w:bidi w:val="0"/>
      </w:pPr>
      <w:r>
        <w:rPr>
          <w:rStyle w:val="FootnoteReference"/>
        </w:rPr>
        <w:footnoteRef/>
      </w:r>
      <w:r>
        <w:rPr>
          <w:rtl/>
        </w:rPr>
        <w:t xml:space="preserve"> </w:t>
      </w:r>
      <w:r w:rsidRPr="004049B4">
        <w:t>Bertrand Russell, “St</w:t>
      </w:r>
      <w:r w:rsidR="003D6234">
        <w:t>.</w:t>
      </w:r>
      <w:r w:rsidRPr="004049B4">
        <w:t xml:space="preserve"> Augu</w:t>
      </w:r>
      <w:r>
        <w:t>stine’s Philosophy and Theology,</w:t>
      </w:r>
      <w:r w:rsidRPr="004049B4">
        <w:t xml:space="preserve">” </w:t>
      </w:r>
      <w:r>
        <w:t>i</w:t>
      </w:r>
      <w:r w:rsidRPr="004049B4">
        <w:t xml:space="preserve">n </w:t>
      </w:r>
      <w:r w:rsidRPr="004049B4">
        <w:rPr>
          <w:i/>
          <w:iCs/>
        </w:rPr>
        <w:t>History of Western Philosophy</w:t>
      </w:r>
      <w:r>
        <w:t>, Book II (</w:t>
      </w:r>
      <w:r w:rsidRPr="004049B4">
        <w:t>London and New York: Routledge Classics, 2004</w:t>
      </w:r>
      <w:r>
        <w:t xml:space="preserve">), </w:t>
      </w:r>
      <w:r w:rsidRPr="001042F4">
        <w:t>353–354.</w:t>
      </w:r>
      <w:r>
        <w:t xml:space="preserve"> </w:t>
      </w:r>
    </w:p>
  </w:footnote>
  <w:footnote w:id="18">
    <w:p w14:paraId="7B5C4982" w14:textId="3EDB310A" w:rsidR="005D5B14" w:rsidRDefault="005D5B14" w:rsidP="004A237D">
      <w:pPr>
        <w:pStyle w:val="FootnoteText"/>
        <w:bidi w:val="0"/>
      </w:pPr>
      <w:r w:rsidRPr="00BE1BDA">
        <w:rPr>
          <w:rStyle w:val="FootnoteReference"/>
        </w:rPr>
        <w:footnoteRef/>
      </w:r>
      <w:r w:rsidRPr="00BE1BDA">
        <w:rPr>
          <w:rtl/>
        </w:rPr>
        <w:t xml:space="preserve"> </w:t>
      </w:r>
      <w:r w:rsidRPr="004A237D">
        <w:t>Mar</w:t>
      </w:r>
      <w:r>
        <w:t>c</w:t>
      </w:r>
      <w:r w:rsidRPr="004A237D">
        <w:t xml:space="preserve"> Bloch, </w:t>
      </w:r>
      <w:r w:rsidRPr="004A237D">
        <w:rPr>
          <w:i/>
          <w:iCs/>
        </w:rPr>
        <w:t>The Historian’s Craft</w:t>
      </w:r>
      <w:r>
        <w:t>, trans. Peter Putnam</w:t>
      </w:r>
      <w:r w:rsidRPr="004A237D">
        <w:t xml:space="preserve"> </w:t>
      </w:r>
      <w:r>
        <w:t>(</w:t>
      </w:r>
      <w:r w:rsidRPr="004A237D">
        <w:t>Manchester: Manchester University Press, 1992</w:t>
      </w:r>
      <w:r>
        <w:t>), 5–6.</w:t>
      </w:r>
    </w:p>
  </w:footnote>
  <w:footnote w:id="19">
    <w:p w14:paraId="363FA4A9" w14:textId="4D4AADD1" w:rsidR="005D5B14" w:rsidRDefault="005D5B14" w:rsidP="008C3C81">
      <w:pPr>
        <w:pStyle w:val="FootnoteText"/>
        <w:bidi w:val="0"/>
      </w:pPr>
      <w:r w:rsidRPr="00A42459">
        <w:rPr>
          <w:rStyle w:val="FootnoteReference"/>
        </w:rPr>
        <w:footnoteRef/>
      </w:r>
      <w:r w:rsidRPr="00A42459">
        <w:rPr>
          <w:rtl/>
        </w:rPr>
        <w:t xml:space="preserve"> </w:t>
      </w:r>
      <w:r w:rsidRPr="004A237D">
        <w:t xml:space="preserve">Edward Hallett Carr, </w:t>
      </w:r>
      <w:r w:rsidRPr="004A237D">
        <w:rPr>
          <w:i/>
          <w:iCs/>
        </w:rPr>
        <w:t>What is History?</w:t>
      </w:r>
      <w:r>
        <w:rPr>
          <w:i/>
          <w:iCs/>
        </w:rPr>
        <w:t xml:space="preserve"> </w:t>
      </w:r>
      <w:r w:rsidRPr="004A237D">
        <w:t>ed.</w:t>
      </w:r>
      <w:r>
        <w:t xml:space="preserve"> R. W. Davies (</w:t>
      </w:r>
      <w:r w:rsidRPr="004A237D">
        <w:t>New York, London: Penguin Books, 1987</w:t>
      </w:r>
      <w:r>
        <w:t>), 109–</w:t>
      </w:r>
      <w:r w:rsidRPr="00A42459">
        <w:t>113.</w:t>
      </w:r>
    </w:p>
  </w:footnote>
  <w:footnote w:id="20">
    <w:p w14:paraId="7BC35525" w14:textId="44FB0A29" w:rsidR="005D5B14" w:rsidRPr="00F124E4" w:rsidRDefault="005D5B14" w:rsidP="00B72073">
      <w:pPr>
        <w:pStyle w:val="FootnoteText"/>
        <w:bidi w:val="0"/>
      </w:pPr>
      <w:r w:rsidRPr="00F124E4">
        <w:rPr>
          <w:rStyle w:val="FootnoteReference"/>
        </w:rPr>
        <w:footnoteRef/>
      </w:r>
      <w:r w:rsidRPr="00F124E4">
        <w:rPr>
          <w:rtl/>
        </w:rPr>
        <w:t xml:space="preserve"> </w:t>
      </w:r>
      <w:r>
        <w:t xml:space="preserve">Yossef Dan, </w:t>
      </w:r>
      <w:r>
        <w:rPr>
          <w:i/>
          <w:iCs/>
        </w:rPr>
        <w:t>The Apocalypse</w:t>
      </w:r>
      <w:r>
        <w:t xml:space="preserve">, 265–308. </w:t>
      </w:r>
    </w:p>
  </w:footnote>
  <w:footnote w:id="21">
    <w:p w14:paraId="0EEA78A0" w14:textId="77777777" w:rsidR="005D5B14" w:rsidRDefault="005D5B14" w:rsidP="00B72073">
      <w:pPr>
        <w:pStyle w:val="FootnoteText"/>
        <w:bidi w:val="0"/>
      </w:pPr>
      <w:r>
        <w:rPr>
          <w:rStyle w:val="FootnoteReference"/>
        </w:rPr>
        <w:footnoteRef/>
      </w:r>
      <w:r>
        <w:rPr>
          <w:rtl/>
        </w:rPr>
        <w:t xml:space="preserve"> </w:t>
      </w:r>
      <w:r w:rsidRPr="004A237D">
        <w:t>Mar</w:t>
      </w:r>
      <w:r>
        <w:t>c</w:t>
      </w:r>
      <w:r w:rsidRPr="004A237D">
        <w:t xml:space="preserve"> Bloch, </w:t>
      </w:r>
      <w:r w:rsidRPr="004A237D">
        <w:rPr>
          <w:i/>
          <w:iCs/>
        </w:rPr>
        <w:t>The Historian’s Craft</w:t>
      </w:r>
      <w:r>
        <w:t>), 5–6.</w:t>
      </w:r>
    </w:p>
  </w:footnote>
  <w:footnote w:id="22">
    <w:p w14:paraId="2276024D" w14:textId="7504D0FF" w:rsidR="005D5B14" w:rsidRDefault="005D5B14" w:rsidP="000775DC">
      <w:pPr>
        <w:pStyle w:val="FootnoteText"/>
        <w:bidi w:val="0"/>
      </w:pPr>
      <w:r>
        <w:rPr>
          <w:rStyle w:val="FootnoteReference"/>
        </w:rPr>
        <w:footnoteRef/>
      </w:r>
      <w:r>
        <w:rPr>
          <w:rtl/>
        </w:rPr>
        <w:t xml:space="preserve"> </w:t>
      </w:r>
      <w:r w:rsidRPr="007E3036">
        <w:t xml:space="preserve">Michael Keren, </w:t>
      </w:r>
      <w:r w:rsidRPr="007E3036">
        <w:rPr>
          <w:i/>
          <w:iCs/>
        </w:rPr>
        <w:t>Political Literature in the Twentieth Century</w:t>
      </w:r>
      <w:r w:rsidRPr="007E3036">
        <w:t xml:space="preserve"> </w:t>
      </w:r>
      <w:r>
        <w:t>(</w:t>
      </w:r>
      <w:r w:rsidRPr="007E3036">
        <w:t>Tel Aviv: Ministry of Defense Press, 1999 [Hebrew]</w:t>
      </w:r>
      <w:r>
        <w:t>), 12–13.</w:t>
      </w:r>
    </w:p>
  </w:footnote>
  <w:footnote w:id="23">
    <w:p w14:paraId="068D8124" w14:textId="77619349" w:rsidR="005D5B14" w:rsidRPr="009553AF" w:rsidRDefault="005D5B14" w:rsidP="005D6768">
      <w:pPr>
        <w:pStyle w:val="FootnoteText"/>
        <w:bidi w:val="0"/>
      </w:pPr>
      <w:r>
        <w:rPr>
          <w:rStyle w:val="FootnoteReference"/>
        </w:rPr>
        <w:footnoteRef/>
      </w:r>
      <w:r>
        <w:rPr>
          <w:rtl/>
        </w:rPr>
        <w:t xml:space="preserve"> </w:t>
      </w:r>
      <w:r w:rsidRPr="009553AF">
        <w:t xml:space="preserve">José Saramago, </w:t>
      </w:r>
      <w:r w:rsidRPr="009553AF">
        <w:rPr>
          <w:i/>
          <w:iCs/>
        </w:rPr>
        <w:t>Blindness</w:t>
      </w:r>
      <w:r w:rsidRPr="009553AF">
        <w:t xml:space="preserve">, </w:t>
      </w:r>
      <w:r>
        <w:t>t</w:t>
      </w:r>
      <w:r w:rsidRPr="009553AF">
        <w:t>rans. Giovanni Pontiero</w:t>
      </w:r>
      <w:r>
        <w:t xml:space="preserve"> (</w:t>
      </w:r>
      <w:r w:rsidRPr="009553AF">
        <w:t>San Diego, New York, London: Harcourt Inc., 1997</w:t>
      </w:r>
      <w:r>
        <w:t>)</w:t>
      </w:r>
      <w:r w:rsidRPr="009553AF">
        <w:t>.</w:t>
      </w:r>
      <w:r>
        <w:t xml:space="preserve"> All subsequent in-text citations refer to this edition.  </w:t>
      </w:r>
    </w:p>
  </w:footnote>
  <w:footnote w:id="24">
    <w:p w14:paraId="475A7C59" w14:textId="4AB8A342" w:rsidR="005D5B14" w:rsidRDefault="005D5B14" w:rsidP="00614312">
      <w:pPr>
        <w:pStyle w:val="FootnoteText"/>
        <w:bidi w:val="0"/>
      </w:pPr>
      <w:r>
        <w:rPr>
          <w:rStyle w:val="FootnoteReference"/>
        </w:rPr>
        <w:footnoteRef/>
      </w:r>
      <w:r>
        <w:rPr>
          <w:rtl/>
        </w:rPr>
        <w:t xml:space="preserve"> </w:t>
      </w:r>
      <w:r>
        <w:t>Genesis 6:5–8.</w:t>
      </w:r>
    </w:p>
  </w:footnote>
  <w:footnote w:id="25">
    <w:p w14:paraId="52426A9B" w14:textId="4EEE13A6" w:rsidR="005D5B14" w:rsidRDefault="005D5B14" w:rsidP="00614312">
      <w:pPr>
        <w:pStyle w:val="FootnoteText"/>
        <w:bidi w:val="0"/>
      </w:pPr>
      <w:r>
        <w:rPr>
          <w:rStyle w:val="FootnoteReference"/>
        </w:rPr>
        <w:footnoteRef/>
      </w:r>
      <w:r>
        <w:rPr>
          <w:rtl/>
        </w:rPr>
        <w:t xml:space="preserve"> </w:t>
      </w:r>
      <w:r w:rsidRPr="00614312">
        <w:t xml:space="preserve">Michael Keren, </w:t>
      </w:r>
      <w:r w:rsidRPr="00614312">
        <w:rPr>
          <w:i/>
          <w:iCs/>
        </w:rPr>
        <w:t>Politics and Literature</w:t>
      </w:r>
      <w:r w:rsidRPr="00614312">
        <w:t xml:space="preserve"> </w:t>
      </w:r>
      <w:r>
        <w:t>(</w:t>
      </w:r>
      <w:r w:rsidRPr="00614312">
        <w:t>University of Calgary Press, 2015</w:t>
      </w:r>
      <w:r>
        <w:t>), 29–32</w:t>
      </w:r>
      <w:r w:rsidRPr="00614312">
        <w:t>.</w:t>
      </w:r>
    </w:p>
  </w:footnote>
  <w:footnote w:id="26">
    <w:p w14:paraId="7D8D20A2" w14:textId="44889858" w:rsidR="005D5B14" w:rsidRDefault="005D5B14" w:rsidP="00614312">
      <w:pPr>
        <w:pStyle w:val="FootnoteText"/>
        <w:bidi w:val="0"/>
      </w:pPr>
      <w:r>
        <w:rPr>
          <w:rStyle w:val="FootnoteReference"/>
        </w:rPr>
        <w:footnoteRef/>
      </w:r>
      <w:r>
        <w:rPr>
          <w:rtl/>
        </w:rPr>
        <w:t xml:space="preserve"> </w:t>
      </w:r>
      <w:r w:rsidRPr="00614312">
        <w:t xml:space="preserve">Michael Keren, </w:t>
      </w:r>
      <w:r w:rsidRPr="00614312">
        <w:rPr>
          <w:i/>
          <w:iCs/>
        </w:rPr>
        <w:t>Reality and Fiction at the Turn of the Millennium</w:t>
      </w:r>
      <w:r w:rsidRPr="00614312">
        <w:t xml:space="preserve"> </w:t>
      </w:r>
      <w:r>
        <w:t>(</w:t>
      </w:r>
      <w:r w:rsidRPr="00614312">
        <w:t xml:space="preserve">Tel Aviv: </w:t>
      </w:r>
      <w:r>
        <w:t>Ministry of Defense Press, 2007</w:t>
      </w:r>
      <w:r w:rsidRPr="00614312">
        <w:t xml:space="preserve"> [Hebrew]</w:t>
      </w:r>
      <w:r>
        <w:t>), 80–81.</w:t>
      </w:r>
    </w:p>
  </w:footnote>
  <w:footnote w:id="27">
    <w:p w14:paraId="2F45B21C" w14:textId="6DC19B90" w:rsidR="005D5B14" w:rsidRDefault="005D5B14" w:rsidP="00A81A78">
      <w:pPr>
        <w:pStyle w:val="FootnoteText"/>
        <w:bidi w:val="0"/>
      </w:pPr>
      <w:r>
        <w:rPr>
          <w:rStyle w:val="FootnoteReference"/>
        </w:rPr>
        <w:footnoteRef/>
      </w:r>
      <w:r>
        <w:rPr>
          <w:rtl/>
        </w:rPr>
        <w:t xml:space="preserve"> </w:t>
      </w:r>
      <w:r w:rsidRPr="00A81A78">
        <w:t>Albert Camus,</w:t>
      </w:r>
      <w:r w:rsidR="003D6234">
        <w:t xml:space="preserve"> </w:t>
      </w:r>
      <w:r>
        <w:t>“Camus – Nobel Banquet Speech,”</w:t>
      </w:r>
      <w:r w:rsidRPr="00A81A78">
        <w:t xml:space="preserve"> </w:t>
      </w:r>
      <w:r w:rsidRPr="00A81A78">
        <w:rPr>
          <w:i/>
          <w:iCs/>
        </w:rPr>
        <w:t>Nobel Lectures, Literature 1901-1967</w:t>
      </w:r>
      <w:r>
        <w:t>, e</w:t>
      </w:r>
      <w:r w:rsidRPr="00A81A78">
        <w:t>d. Horst Frenz</w:t>
      </w:r>
      <w:r>
        <w:t xml:space="preserve"> (</w:t>
      </w:r>
      <w:r w:rsidRPr="00A81A78">
        <w:t>Amsterdam: Elsevier Publishing Company, 1969</w:t>
      </w:r>
      <w:r>
        <w:t>)</w:t>
      </w:r>
      <w:r w:rsidRPr="00A81A78">
        <w:t xml:space="preserve">. </w:t>
      </w:r>
      <w:r>
        <w:t>[</w:t>
      </w:r>
      <w:r w:rsidRPr="00A81A78">
        <w:t>https://www.nobelprize.org/prizes/literature/1957/camus/speech/</w:t>
      </w:r>
      <w:r>
        <w:t>]</w:t>
      </w:r>
    </w:p>
  </w:footnote>
  <w:footnote w:id="28">
    <w:p w14:paraId="457CCB6B" w14:textId="77777777" w:rsidR="005D5B14" w:rsidRPr="002F2D81" w:rsidRDefault="005D5B14" w:rsidP="002F2D81">
      <w:pPr>
        <w:pStyle w:val="FootnoteText"/>
        <w:bidi w:val="0"/>
      </w:pPr>
      <w:r>
        <w:rPr>
          <w:rStyle w:val="FootnoteReference"/>
        </w:rPr>
        <w:footnoteRef/>
      </w:r>
      <w:r>
        <w:rPr>
          <w:rtl/>
        </w:rPr>
        <w:t xml:space="preserve"> </w:t>
      </w:r>
      <w:r w:rsidRPr="00A81A78">
        <w:t xml:space="preserve">Noam Chomsky, </w:t>
      </w:r>
      <w:r>
        <w:rPr>
          <w:i/>
          <w:iCs/>
        </w:rPr>
        <w:t>Power and Prospects: Reflections on Nature and the Social Order</w:t>
      </w:r>
      <w:r>
        <w:t xml:space="preserve"> (Chicago: Haymarket Books, 1996), 72.</w:t>
      </w:r>
    </w:p>
  </w:footnote>
  <w:footnote w:id="29">
    <w:p w14:paraId="276069D1" w14:textId="32C1F4DF" w:rsidR="005D5B14" w:rsidRDefault="005D5B14" w:rsidP="00187EDD">
      <w:pPr>
        <w:pStyle w:val="FootnoteText"/>
        <w:bidi w:val="0"/>
      </w:pPr>
      <w:r>
        <w:rPr>
          <w:rStyle w:val="FootnoteReference"/>
        </w:rPr>
        <w:footnoteRef/>
      </w:r>
      <w:r>
        <w:rPr>
          <w:rtl/>
        </w:rPr>
        <w:t xml:space="preserve"> </w:t>
      </w:r>
      <w:r w:rsidRPr="00187EDD">
        <w:t>Michel Foucault,</w:t>
      </w:r>
      <w:r>
        <w:t xml:space="preserve"> </w:t>
      </w:r>
      <w:r w:rsidRPr="00187EDD">
        <w:rPr>
          <w:i/>
          <w:iCs/>
        </w:rPr>
        <w:t>Madness and Civilization: A History of Insanity in the Age of Reason</w:t>
      </w:r>
      <w:r>
        <w:rPr>
          <w:i/>
          <w:iCs/>
        </w:rPr>
        <w:t>,</w:t>
      </w:r>
      <w:r>
        <w:t xml:space="preserve"> trans. Richard Howard (</w:t>
      </w:r>
      <w:r w:rsidRPr="00187EDD">
        <w:t>New York: Vintage Books, 1988 [1965]</w:t>
      </w:r>
      <w:r>
        <w:t>), 115–116</w:t>
      </w:r>
      <w:r w:rsidRPr="00187EDD">
        <w:t>.</w:t>
      </w:r>
    </w:p>
  </w:footnote>
  <w:footnote w:id="30">
    <w:p w14:paraId="2F709CF8" w14:textId="1356E967" w:rsidR="005D5B14" w:rsidRDefault="005D5B14" w:rsidP="00187EDD">
      <w:pPr>
        <w:pStyle w:val="FootnoteText"/>
        <w:bidi w:val="0"/>
      </w:pPr>
      <w:r>
        <w:rPr>
          <w:rStyle w:val="FootnoteReference"/>
        </w:rPr>
        <w:footnoteRef/>
      </w:r>
      <w:r>
        <w:rPr>
          <w:rtl/>
        </w:rPr>
        <w:t xml:space="preserve"> </w:t>
      </w:r>
      <w:r w:rsidRPr="00187EDD">
        <w:t xml:space="preserve">Giorgio Agamben, “L’invenzione di un’epidemia.” </w:t>
      </w:r>
      <w:r w:rsidRPr="00187EDD">
        <w:rPr>
          <w:i/>
          <w:iCs/>
        </w:rPr>
        <w:t>Quodlibet</w:t>
      </w:r>
      <w:r>
        <w:t xml:space="preserve"> (</w:t>
      </w:r>
      <w:r w:rsidRPr="00187EDD">
        <w:t>Feb. 26, 2020</w:t>
      </w:r>
      <w:r>
        <w:t>),</w:t>
      </w:r>
      <w:r w:rsidRPr="00187EDD">
        <w:t xml:space="preserve"> https://www.quodlibet.it/giorgio-agamben-l-invenzione-di-un-epidemia</w:t>
      </w:r>
      <w:r>
        <w:t>.</w:t>
      </w:r>
    </w:p>
  </w:footnote>
  <w:footnote w:id="31">
    <w:p w14:paraId="2C00D883" w14:textId="3779C6E5" w:rsidR="005D5B14" w:rsidRDefault="005D5B14" w:rsidP="00861F74">
      <w:pPr>
        <w:pStyle w:val="FootnoteText"/>
        <w:bidi w:val="0"/>
      </w:pPr>
      <w:r>
        <w:rPr>
          <w:rStyle w:val="FootnoteReference"/>
        </w:rPr>
        <w:footnoteRef/>
      </w:r>
      <w:r>
        <w:rPr>
          <w:rtl/>
        </w:rPr>
        <w:t xml:space="preserve"> </w:t>
      </w:r>
      <w:r w:rsidRPr="00861F74">
        <w:t>Albert Camus,</w:t>
      </w:r>
      <w:r w:rsidR="003D6234">
        <w:t xml:space="preserve"> </w:t>
      </w:r>
      <w:r w:rsidRPr="00861F74">
        <w:rPr>
          <w:i/>
          <w:iCs/>
        </w:rPr>
        <w:t>The Plague</w:t>
      </w:r>
      <w:r>
        <w:t>, trans. Stuart Gilbert (</w:t>
      </w:r>
      <w:r w:rsidRPr="00861F74">
        <w:t>New York: Modern Library, 1948</w:t>
      </w:r>
      <w:r>
        <w:t>)</w:t>
      </w:r>
      <w:r w:rsidRPr="00861F74">
        <w:t>.</w:t>
      </w:r>
    </w:p>
  </w:footnote>
  <w:footnote w:id="32">
    <w:p w14:paraId="7CA3F7BC" w14:textId="7E653DA0" w:rsidR="005D5B14" w:rsidRDefault="005D5B14" w:rsidP="00861F74">
      <w:pPr>
        <w:pStyle w:val="FootnoteText"/>
        <w:bidi w:val="0"/>
      </w:pPr>
      <w:r>
        <w:rPr>
          <w:rStyle w:val="FootnoteReference"/>
        </w:rPr>
        <w:footnoteRef/>
      </w:r>
      <w:r>
        <w:rPr>
          <w:rtl/>
        </w:rPr>
        <w:t xml:space="preserve"> </w:t>
      </w:r>
      <w:r w:rsidRPr="00861F74">
        <w:t>David Ohana,</w:t>
      </w:r>
      <w:r>
        <w:t xml:space="preserve"> </w:t>
      </w:r>
      <w:r w:rsidRPr="00861F74">
        <w:rPr>
          <w:i/>
          <w:iCs/>
        </w:rPr>
        <w:t>A Humanist in the Sun: Camus’ Mediterranean Inspiration</w:t>
      </w:r>
      <w:r>
        <w:t xml:space="preserve"> (Jerusalem: Carmel Press, 2000</w:t>
      </w:r>
      <w:r w:rsidRPr="00861F74">
        <w:t xml:space="preserve"> [Hebrew]</w:t>
      </w:r>
      <w:r>
        <w:t>), 22–53.</w:t>
      </w:r>
    </w:p>
  </w:footnote>
  <w:footnote w:id="33">
    <w:p w14:paraId="0639F5A9" w14:textId="252E2C2D" w:rsidR="005D5B14" w:rsidRDefault="005D5B14" w:rsidP="005D6768">
      <w:pPr>
        <w:pStyle w:val="FootnoteText"/>
        <w:bidi w:val="0"/>
      </w:pPr>
      <w:r>
        <w:rPr>
          <w:rStyle w:val="FootnoteReference"/>
        </w:rPr>
        <w:footnoteRef/>
      </w:r>
      <w:r>
        <w:rPr>
          <w:rtl/>
        </w:rPr>
        <w:t xml:space="preserve"> </w:t>
      </w:r>
      <w:r w:rsidRPr="00B97937">
        <w:t xml:space="preserve">José Saramago, </w:t>
      </w:r>
      <w:r w:rsidRPr="00B97937">
        <w:rPr>
          <w:i/>
          <w:iCs/>
        </w:rPr>
        <w:t>Death with Interruptions</w:t>
      </w:r>
      <w:r>
        <w:t>, trans. Margaret Jull Costa (</w:t>
      </w:r>
      <w:r w:rsidRPr="00B97937">
        <w:t xml:space="preserve">New York: </w:t>
      </w:r>
      <w:r>
        <w:t xml:space="preserve">Houghton Mifflin Harcourt, 2008), 14. All subsequent in-text citations refer to this edition. </w:t>
      </w:r>
    </w:p>
  </w:footnote>
  <w:footnote w:id="34">
    <w:p w14:paraId="03954629" w14:textId="55D0021A" w:rsidR="005D5B14" w:rsidRDefault="005D5B14" w:rsidP="005D6768">
      <w:pPr>
        <w:pStyle w:val="FootnoteText"/>
        <w:bidi w:val="0"/>
      </w:pPr>
      <w:r>
        <w:rPr>
          <w:rStyle w:val="FootnoteReference"/>
        </w:rPr>
        <w:footnoteRef/>
      </w:r>
      <w:r>
        <w:rPr>
          <w:rtl/>
        </w:rPr>
        <w:t xml:space="preserve"> </w:t>
      </w:r>
      <w:r w:rsidRPr="00997D80">
        <w:t xml:space="preserve">Paul Tillich, </w:t>
      </w:r>
      <w:r w:rsidRPr="00997D80">
        <w:rPr>
          <w:i/>
          <w:iCs/>
        </w:rPr>
        <w:t xml:space="preserve">The Courage </w:t>
      </w:r>
      <w:r w:rsidR="003D6234">
        <w:rPr>
          <w:i/>
          <w:iCs/>
        </w:rPr>
        <w:t>t</w:t>
      </w:r>
      <w:r w:rsidRPr="00997D80">
        <w:rPr>
          <w:i/>
          <w:iCs/>
        </w:rPr>
        <w:t>o Be</w:t>
      </w:r>
      <w:r>
        <w:t xml:space="preserve"> (</w:t>
      </w:r>
      <w:r w:rsidRPr="00997D80">
        <w:t>New Heaven: Yale University Press, 1952</w:t>
      </w:r>
      <w:r>
        <w:t>)</w:t>
      </w:r>
      <w:r w:rsidRPr="00997D80">
        <w:t>.</w:t>
      </w:r>
    </w:p>
  </w:footnote>
  <w:footnote w:id="35">
    <w:p w14:paraId="23EC18F6" w14:textId="0193E893" w:rsidR="005D5B14" w:rsidRDefault="005D5B14" w:rsidP="006E495F">
      <w:pPr>
        <w:pStyle w:val="FootnoteText"/>
        <w:bidi w:val="0"/>
      </w:pPr>
      <w:r>
        <w:rPr>
          <w:rStyle w:val="FootnoteReference"/>
        </w:rPr>
        <w:footnoteRef/>
      </w:r>
      <w:r>
        <w:rPr>
          <w:rtl/>
        </w:rPr>
        <w:t xml:space="preserve"> </w:t>
      </w:r>
      <w:r>
        <w:t>1 Corinthians 13:2–8.</w:t>
      </w:r>
    </w:p>
  </w:footnote>
  <w:footnote w:id="36">
    <w:p w14:paraId="2C4392C7" w14:textId="265C6122" w:rsidR="005D5B14" w:rsidRPr="006E495F" w:rsidRDefault="005D5B14" w:rsidP="006E495F">
      <w:pPr>
        <w:pStyle w:val="FootnoteText"/>
        <w:bidi w:val="0"/>
      </w:pPr>
      <w:r>
        <w:rPr>
          <w:rStyle w:val="FootnoteReference"/>
        </w:rPr>
        <w:footnoteRef/>
      </w:r>
      <w:r>
        <w:rPr>
          <w:rtl/>
        </w:rPr>
        <w:t xml:space="preserve"> </w:t>
      </w:r>
      <w:r>
        <w:t xml:space="preserve">Albert Camus, </w:t>
      </w:r>
      <w:r>
        <w:rPr>
          <w:i/>
          <w:iCs/>
        </w:rPr>
        <w:t>The Myth of Sisyphus</w:t>
      </w:r>
      <w:r>
        <w:t xml:space="preserve">. </w:t>
      </w:r>
      <w:r w:rsidRPr="00085AFE">
        <w:rPr>
          <w:highlight w:val="yellow"/>
        </w:rPr>
        <w:t>Page number?</w:t>
      </w:r>
    </w:p>
  </w:footnote>
  <w:footnote w:id="37">
    <w:p w14:paraId="0E10A43C" w14:textId="040F3FE2" w:rsidR="005D5B14" w:rsidRDefault="005D5B14" w:rsidP="00416F5F">
      <w:pPr>
        <w:pStyle w:val="FootnoteText"/>
        <w:bidi w:val="0"/>
      </w:pPr>
      <w:r>
        <w:rPr>
          <w:rStyle w:val="FootnoteReference"/>
        </w:rPr>
        <w:footnoteRef/>
      </w:r>
      <w:r>
        <w:rPr>
          <w:rtl/>
        </w:rPr>
        <w:t xml:space="preserve"> </w:t>
      </w:r>
      <w:r>
        <w:t>Ibid., 15.</w:t>
      </w:r>
    </w:p>
  </w:footnote>
  <w:footnote w:id="38">
    <w:p w14:paraId="65730C92" w14:textId="3599A30D" w:rsidR="005D5B14" w:rsidRDefault="005D5B14" w:rsidP="00416F5F">
      <w:pPr>
        <w:pStyle w:val="FootnoteText"/>
        <w:bidi w:val="0"/>
      </w:pPr>
      <w:r>
        <w:rPr>
          <w:rStyle w:val="FootnoteReference"/>
        </w:rPr>
        <w:footnoteRef/>
      </w:r>
      <w:r>
        <w:rPr>
          <w:rtl/>
        </w:rPr>
        <w:t xml:space="preserve"> </w:t>
      </w:r>
      <w:r>
        <w:t>Ibid., 13–14.</w:t>
      </w:r>
    </w:p>
  </w:footnote>
  <w:footnote w:id="39">
    <w:p w14:paraId="724135AF" w14:textId="0902B7EA" w:rsidR="005D5B14" w:rsidRDefault="005D5B14" w:rsidP="00A67A6C">
      <w:pPr>
        <w:pStyle w:val="FootnoteText"/>
        <w:bidi w:val="0"/>
      </w:pPr>
      <w:r>
        <w:rPr>
          <w:rStyle w:val="FootnoteReference"/>
        </w:rPr>
        <w:footnoteRef/>
      </w:r>
      <w:r>
        <w:rPr>
          <w:rtl/>
        </w:rPr>
        <w:t xml:space="preserve"> </w:t>
      </w:r>
      <w:r>
        <w:t>Ibid., 17.</w:t>
      </w:r>
    </w:p>
  </w:footnote>
  <w:footnote w:id="40">
    <w:p w14:paraId="64406C36" w14:textId="5C58EA4C" w:rsidR="005D5B14" w:rsidRDefault="005D5B14" w:rsidP="00C54E45">
      <w:pPr>
        <w:pStyle w:val="FootnoteText"/>
        <w:bidi w:val="0"/>
      </w:pPr>
      <w:r>
        <w:rPr>
          <w:rStyle w:val="FootnoteReference"/>
        </w:rPr>
        <w:footnoteRef/>
      </w:r>
      <w:r>
        <w:rPr>
          <w:rtl/>
        </w:rPr>
        <w:t xml:space="preserve"> </w:t>
      </w:r>
      <w:r w:rsidRPr="00A67A6C">
        <w:t xml:space="preserve">Friedrich Nietzsche, </w:t>
      </w:r>
      <w:r w:rsidRPr="00A67A6C">
        <w:rPr>
          <w:i/>
          <w:iCs/>
        </w:rPr>
        <w:t xml:space="preserve">The </w:t>
      </w:r>
      <w:r>
        <w:rPr>
          <w:i/>
          <w:iCs/>
        </w:rPr>
        <w:t>Gay Science</w:t>
      </w:r>
      <w:r>
        <w:t>, trans. Walter Kaufman</w:t>
      </w:r>
      <w:r w:rsidRPr="00A67A6C">
        <w:t xml:space="preserve"> </w:t>
      </w:r>
      <w:r>
        <w:t>(</w:t>
      </w:r>
      <w:r w:rsidRPr="00A67A6C">
        <w:t>New York: Vintage Books, 19</w:t>
      </w:r>
      <w:r>
        <w:t>74), 270.</w:t>
      </w:r>
    </w:p>
  </w:footnote>
  <w:footnote w:id="41">
    <w:p w14:paraId="3C4A9ACB" w14:textId="2D153E1E" w:rsidR="005D5B14" w:rsidRDefault="005D5B14" w:rsidP="00C54E45">
      <w:pPr>
        <w:pStyle w:val="FootnoteText"/>
        <w:bidi w:val="0"/>
      </w:pPr>
      <w:r>
        <w:rPr>
          <w:rStyle w:val="FootnoteReference"/>
        </w:rPr>
        <w:footnoteRef/>
      </w:r>
      <w:r>
        <w:rPr>
          <w:rtl/>
        </w:rPr>
        <w:t xml:space="preserve"> </w:t>
      </w:r>
      <w:r w:rsidRPr="00C54E45">
        <w:t>Eli Eylon,</w:t>
      </w:r>
      <w:r>
        <w:t xml:space="preserve"> </w:t>
      </w:r>
      <w:r w:rsidRPr="00C54E45">
        <w:rPr>
          <w:i/>
          <w:iCs/>
        </w:rPr>
        <w:t>Self-creation: Life, Man and Art According to Nietzche</w:t>
      </w:r>
      <w:r>
        <w:t>,</w:t>
      </w:r>
      <w:r w:rsidRPr="00C54E45">
        <w:t xml:space="preserve"> </w:t>
      </w:r>
      <w:r>
        <w:t>(</w:t>
      </w:r>
      <w:r w:rsidRPr="00C54E45">
        <w:t>Jerusalem: Magnes Press, 2005 [Hebrew]</w:t>
      </w:r>
      <w:r>
        <w:t>), 170.</w:t>
      </w:r>
    </w:p>
  </w:footnote>
  <w:footnote w:id="42">
    <w:p w14:paraId="196E5ACD" w14:textId="087C270B" w:rsidR="005D5B14" w:rsidRPr="00365407" w:rsidRDefault="005D5B14" w:rsidP="00365407">
      <w:pPr>
        <w:pStyle w:val="FootnoteText"/>
        <w:bidi w:val="0"/>
      </w:pPr>
      <w:r>
        <w:rPr>
          <w:rStyle w:val="FootnoteReference"/>
        </w:rPr>
        <w:footnoteRef/>
      </w:r>
      <w:r>
        <w:rPr>
          <w:rtl/>
        </w:rPr>
        <w:t xml:space="preserve"> </w:t>
      </w:r>
      <w:r>
        <w:t xml:space="preserve">Albert Camus, </w:t>
      </w:r>
      <w:r>
        <w:rPr>
          <w:i/>
          <w:iCs/>
        </w:rPr>
        <w:t>The Myth of Sisyphus</w:t>
      </w:r>
      <w:r>
        <w:t>, 122.</w:t>
      </w:r>
    </w:p>
  </w:footnote>
  <w:footnote w:id="43">
    <w:p w14:paraId="10C34AEF" w14:textId="27772759" w:rsidR="005D5B14" w:rsidRDefault="005D5B14" w:rsidP="00365407">
      <w:pPr>
        <w:pStyle w:val="FootnoteText"/>
        <w:bidi w:val="0"/>
      </w:pPr>
      <w:r>
        <w:rPr>
          <w:rStyle w:val="FootnoteReference"/>
        </w:rPr>
        <w:footnoteRef/>
      </w:r>
      <w:r>
        <w:rPr>
          <w:rtl/>
        </w:rPr>
        <w:t xml:space="preserve"> </w:t>
      </w:r>
      <w:r w:rsidRPr="00365407">
        <w:t>Jacob Golomb,</w:t>
      </w:r>
      <w:r>
        <w:t xml:space="preserve"> </w:t>
      </w:r>
      <w:r w:rsidRPr="00365407">
        <w:rPr>
          <w:i/>
          <w:iCs/>
        </w:rPr>
        <w:t>Introduction to Existentialist Philosophy</w:t>
      </w:r>
      <w:r w:rsidRPr="00365407">
        <w:t xml:space="preserve"> </w:t>
      </w:r>
      <w:r>
        <w:t>(</w:t>
      </w:r>
      <w:r w:rsidRPr="00365407">
        <w:t xml:space="preserve">Tel Aviv: </w:t>
      </w:r>
      <w:r>
        <w:t>Ministry of Defense Press, 1990</w:t>
      </w:r>
      <w:r w:rsidRPr="00365407">
        <w:t xml:space="preserve"> [Hebrew]</w:t>
      </w:r>
      <w:r>
        <w:t>), 46.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D88"/>
    <w:multiLevelType w:val="hybridMultilevel"/>
    <w:tmpl w:val="92DC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9596B"/>
    <w:multiLevelType w:val="hybridMultilevel"/>
    <w:tmpl w:val="92DC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D3"/>
    <w:rsid w:val="00014637"/>
    <w:rsid w:val="0004148C"/>
    <w:rsid w:val="00051533"/>
    <w:rsid w:val="00056A56"/>
    <w:rsid w:val="000736C0"/>
    <w:rsid w:val="000775DC"/>
    <w:rsid w:val="000847AC"/>
    <w:rsid w:val="00085AFE"/>
    <w:rsid w:val="00085FA9"/>
    <w:rsid w:val="00091122"/>
    <w:rsid w:val="000915DE"/>
    <w:rsid w:val="0009488B"/>
    <w:rsid w:val="000C0D40"/>
    <w:rsid w:val="000C33F7"/>
    <w:rsid w:val="000F7B33"/>
    <w:rsid w:val="001144BD"/>
    <w:rsid w:val="00115CFC"/>
    <w:rsid w:val="0013038C"/>
    <w:rsid w:val="0015114E"/>
    <w:rsid w:val="00162B74"/>
    <w:rsid w:val="00164F59"/>
    <w:rsid w:val="001769B9"/>
    <w:rsid w:val="001769D3"/>
    <w:rsid w:val="00187EDD"/>
    <w:rsid w:val="00190CC2"/>
    <w:rsid w:val="00191EC8"/>
    <w:rsid w:val="0019268E"/>
    <w:rsid w:val="001A3246"/>
    <w:rsid w:val="001A5CE9"/>
    <w:rsid w:val="001D43F1"/>
    <w:rsid w:val="001D4519"/>
    <w:rsid w:val="001D5059"/>
    <w:rsid w:val="002157EA"/>
    <w:rsid w:val="0022231D"/>
    <w:rsid w:val="00227FE7"/>
    <w:rsid w:val="00240B8B"/>
    <w:rsid w:val="0024498E"/>
    <w:rsid w:val="0027077A"/>
    <w:rsid w:val="002809B7"/>
    <w:rsid w:val="002932A2"/>
    <w:rsid w:val="002A2F9E"/>
    <w:rsid w:val="002A4B8F"/>
    <w:rsid w:val="002A7F55"/>
    <w:rsid w:val="002C3D4E"/>
    <w:rsid w:val="002F153F"/>
    <w:rsid w:val="002F2D81"/>
    <w:rsid w:val="002F4C30"/>
    <w:rsid w:val="002F7366"/>
    <w:rsid w:val="00317449"/>
    <w:rsid w:val="003410B2"/>
    <w:rsid w:val="00365407"/>
    <w:rsid w:val="00366E3F"/>
    <w:rsid w:val="00385209"/>
    <w:rsid w:val="003A0812"/>
    <w:rsid w:val="003C1ED8"/>
    <w:rsid w:val="003D6234"/>
    <w:rsid w:val="00402105"/>
    <w:rsid w:val="004049B4"/>
    <w:rsid w:val="00415A24"/>
    <w:rsid w:val="00416F5F"/>
    <w:rsid w:val="00417ED3"/>
    <w:rsid w:val="00437DAE"/>
    <w:rsid w:val="004735BE"/>
    <w:rsid w:val="00490DAE"/>
    <w:rsid w:val="00493FA4"/>
    <w:rsid w:val="0049794B"/>
    <w:rsid w:val="004A10D5"/>
    <w:rsid w:val="004A237D"/>
    <w:rsid w:val="004A5200"/>
    <w:rsid w:val="004B44C2"/>
    <w:rsid w:val="004C032F"/>
    <w:rsid w:val="004D5D16"/>
    <w:rsid w:val="004F4A49"/>
    <w:rsid w:val="00525A7B"/>
    <w:rsid w:val="00557189"/>
    <w:rsid w:val="00574B54"/>
    <w:rsid w:val="00580B73"/>
    <w:rsid w:val="0058797B"/>
    <w:rsid w:val="00595DFA"/>
    <w:rsid w:val="005A1E94"/>
    <w:rsid w:val="005B43FB"/>
    <w:rsid w:val="005B4E01"/>
    <w:rsid w:val="005B6B3B"/>
    <w:rsid w:val="005C2E7F"/>
    <w:rsid w:val="005D052E"/>
    <w:rsid w:val="005D5B14"/>
    <w:rsid w:val="005D6768"/>
    <w:rsid w:val="005E6760"/>
    <w:rsid w:val="00614312"/>
    <w:rsid w:val="00624F1F"/>
    <w:rsid w:val="00634B71"/>
    <w:rsid w:val="00643568"/>
    <w:rsid w:val="00647072"/>
    <w:rsid w:val="0065550E"/>
    <w:rsid w:val="00657FE8"/>
    <w:rsid w:val="0066680E"/>
    <w:rsid w:val="00671A5D"/>
    <w:rsid w:val="00693D34"/>
    <w:rsid w:val="006A4953"/>
    <w:rsid w:val="006B1ADE"/>
    <w:rsid w:val="006B3DCB"/>
    <w:rsid w:val="006C3713"/>
    <w:rsid w:val="006D4ED1"/>
    <w:rsid w:val="006E495F"/>
    <w:rsid w:val="00711250"/>
    <w:rsid w:val="00715984"/>
    <w:rsid w:val="00723B66"/>
    <w:rsid w:val="00783BF1"/>
    <w:rsid w:val="007853D6"/>
    <w:rsid w:val="0079487D"/>
    <w:rsid w:val="00795B94"/>
    <w:rsid w:val="00796147"/>
    <w:rsid w:val="007B4888"/>
    <w:rsid w:val="007C0CB6"/>
    <w:rsid w:val="007C561C"/>
    <w:rsid w:val="007D6066"/>
    <w:rsid w:val="007E3036"/>
    <w:rsid w:val="007E5B3E"/>
    <w:rsid w:val="007F52C6"/>
    <w:rsid w:val="007F612B"/>
    <w:rsid w:val="007F77C8"/>
    <w:rsid w:val="008035B5"/>
    <w:rsid w:val="00823E86"/>
    <w:rsid w:val="008361FF"/>
    <w:rsid w:val="008507C2"/>
    <w:rsid w:val="00854678"/>
    <w:rsid w:val="00861F74"/>
    <w:rsid w:val="00865290"/>
    <w:rsid w:val="0089405C"/>
    <w:rsid w:val="008A6E79"/>
    <w:rsid w:val="008A7357"/>
    <w:rsid w:val="008B193B"/>
    <w:rsid w:val="008C1761"/>
    <w:rsid w:val="008C3C81"/>
    <w:rsid w:val="008D5232"/>
    <w:rsid w:val="008E654C"/>
    <w:rsid w:val="00917E47"/>
    <w:rsid w:val="00940186"/>
    <w:rsid w:val="009553AF"/>
    <w:rsid w:val="00982B5E"/>
    <w:rsid w:val="0098333A"/>
    <w:rsid w:val="009863D5"/>
    <w:rsid w:val="009879C4"/>
    <w:rsid w:val="00996159"/>
    <w:rsid w:val="00997D80"/>
    <w:rsid w:val="009A33CE"/>
    <w:rsid w:val="009B116C"/>
    <w:rsid w:val="009C1093"/>
    <w:rsid w:val="009C5F11"/>
    <w:rsid w:val="009C63EB"/>
    <w:rsid w:val="009D34B4"/>
    <w:rsid w:val="009E18D5"/>
    <w:rsid w:val="00A43B4C"/>
    <w:rsid w:val="00A4438F"/>
    <w:rsid w:val="00A614C8"/>
    <w:rsid w:val="00A67A6C"/>
    <w:rsid w:val="00A70CF9"/>
    <w:rsid w:val="00A81A78"/>
    <w:rsid w:val="00A92C9D"/>
    <w:rsid w:val="00A97B6D"/>
    <w:rsid w:val="00AB061A"/>
    <w:rsid w:val="00AF64DA"/>
    <w:rsid w:val="00B17DCA"/>
    <w:rsid w:val="00B45ADD"/>
    <w:rsid w:val="00B460BE"/>
    <w:rsid w:val="00B55960"/>
    <w:rsid w:val="00B57E83"/>
    <w:rsid w:val="00B57F2A"/>
    <w:rsid w:val="00B72073"/>
    <w:rsid w:val="00B97937"/>
    <w:rsid w:val="00BA7530"/>
    <w:rsid w:val="00BE129E"/>
    <w:rsid w:val="00C06031"/>
    <w:rsid w:val="00C070A3"/>
    <w:rsid w:val="00C1006F"/>
    <w:rsid w:val="00C1502E"/>
    <w:rsid w:val="00C17C23"/>
    <w:rsid w:val="00C22FC0"/>
    <w:rsid w:val="00C54E45"/>
    <w:rsid w:val="00C62F89"/>
    <w:rsid w:val="00C64FEC"/>
    <w:rsid w:val="00C73D71"/>
    <w:rsid w:val="00C809A4"/>
    <w:rsid w:val="00C846D0"/>
    <w:rsid w:val="00C964CA"/>
    <w:rsid w:val="00CA4608"/>
    <w:rsid w:val="00CC320B"/>
    <w:rsid w:val="00CC74DB"/>
    <w:rsid w:val="00CD1466"/>
    <w:rsid w:val="00CE4217"/>
    <w:rsid w:val="00CF55D4"/>
    <w:rsid w:val="00CF6942"/>
    <w:rsid w:val="00D142B4"/>
    <w:rsid w:val="00D179FE"/>
    <w:rsid w:val="00D27258"/>
    <w:rsid w:val="00D32000"/>
    <w:rsid w:val="00D55E30"/>
    <w:rsid w:val="00D6563E"/>
    <w:rsid w:val="00D832A2"/>
    <w:rsid w:val="00D90681"/>
    <w:rsid w:val="00D93FE9"/>
    <w:rsid w:val="00DC45CC"/>
    <w:rsid w:val="00DE0FD9"/>
    <w:rsid w:val="00DE5AD7"/>
    <w:rsid w:val="00DE724A"/>
    <w:rsid w:val="00DF372D"/>
    <w:rsid w:val="00E201AB"/>
    <w:rsid w:val="00E40DDC"/>
    <w:rsid w:val="00E429C1"/>
    <w:rsid w:val="00E522B8"/>
    <w:rsid w:val="00E54865"/>
    <w:rsid w:val="00E65E4B"/>
    <w:rsid w:val="00E81E03"/>
    <w:rsid w:val="00E840FF"/>
    <w:rsid w:val="00E92B2C"/>
    <w:rsid w:val="00EA439B"/>
    <w:rsid w:val="00EA6404"/>
    <w:rsid w:val="00EB14B2"/>
    <w:rsid w:val="00EB686D"/>
    <w:rsid w:val="00EC003C"/>
    <w:rsid w:val="00ED16DB"/>
    <w:rsid w:val="00ED2BFF"/>
    <w:rsid w:val="00EE639A"/>
    <w:rsid w:val="00F0273D"/>
    <w:rsid w:val="00F02753"/>
    <w:rsid w:val="00F036BF"/>
    <w:rsid w:val="00F3033C"/>
    <w:rsid w:val="00F33F57"/>
    <w:rsid w:val="00F37CC3"/>
    <w:rsid w:val="00F443B9"/>
    <w:rsid w:val="00F74BEB"/>
    <w:rsid w:val="00F850A5"/>
    <w:rsid w:val="00FA2ED2"/>
    <w:rsid w:val="00FA754B"/>
    <w:rsid w:val="00FB0429"/>
    <w:rsid w:val="00FD71FE"/>
    <w:rsid w:val="00FE042D"/>
    <w:rsid w:val="00FF33C2"/>
    <w:rsid w:val="00FF51B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60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ED1"/>
    <w:pPr>
      <w:ind w:left="720"/>
      <w:contextualSpacing/>
    </w:pPr>
  </w:style>
  <w:style w:type="paragraph" w:styleId="FootnoteText">
    <w:name w:val="footnote text"/>
    <w:basedOn w:val="Normal"/>
    <w:link w:val="FootnoteTextChar"/>
    <w:semiHidden/>
    <w:rsid w:val="006C37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C3713"/>
    <w:rPr>
      <w:rFonts w:ascii="Times New Roman" w:eastAsia="Times New Roman" w:hAnsi="Times New Roman" w:cs="Times New Roman"/>
      <w:sz w:val="20"/>
      <w:szCs w:val="20"/>
    </w:rPr>
  </w:style>
  <w:style w:type="character" w:styleId="FootnoteReference">
    <w:name w:val="footnote reference"/>
    <w:basedOn w:val="DefaultParagraphFont"/>
    <w:semiHidden/>
    <w:rsid w:val="006C3713"/>
    <w:rPr>
      <w:vertAlign w:val="superscript"/>
    </w:rPr>
  </w:style>
  <w:style w:type="character" w:styleId="Hyperlink">
    <w:name w:val="Hyperlink"/>
    <w:basedOn w:val="DefaultParagraphFont"/>
    <w:uiPriority w:val="99"/>
    <w:unhideWhenUsed/>
    <w:rsid w:val="00F0273D"/>
    <w:rPr>
      <w:color w:val="0000FF"/>
      <w:u w:val="single"/>
    </w:rPr>
  </w:style>
  <w:style w:type="paragraph" w:styleId="Header">
    <w:name w:val="header"/>
    <w:basedOn w:val="Normal"/>
    <w:link w:val="HeaderChar"/>
    <w:uiPriority w:val="99"/>
    <w:unhideWhenUsed/>
    <w:rsid w:val="00C0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0A3"/>
  </w:style>
  <w:style w:type="paragraph" w:styleId="Footer">
    <w:name w:val="footer"/>
    <w:basedOn w:val="Normal"/>
    <w:link w:val="FooterChar"/>
    <w:uiPriority w:val="99"/>
    <w:unhideWhenUsed/>
    <w:rsid w:val="00C0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0A3"/>
  </w:style>
  <w:style w:type="character" w:customStyle="1" w:styleId="UnresolvedMention">
    <w:name w:val="Unresolved Mention"/>
    <w:basedOn w:val="DefaultParagraphFont"/>
    <w:uiPriority w:val="99"/>
    <w:semiHidden/>
    <w:unhideWhenUsed/>
    <w:rsid w:val="0013038C"/>
    <w:rPr>
      <w:color w:val="605E5C"/>
      <w:shd w:val="clear" w:color="auto" w:fill="E1DFDD"/>
    </w:rPr>
  </w:style>
  <w:style w:type="paragraph" w:styleId="BalloonText">
    <w:name w:val="Balloon Text"/>
    <w:basedOn w:val="Normal"/>
    <w:link w:val="BalloonTextChar"/>
    <w:uiPriority w:val="99"/>
    <w:semiHidden/>
    <w:unhideWhenUsed/>
    <w:rsid w:val="009D34B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34B4"/>
    <w:rPr>
      <w:rFonts w:ascii="Tahoma" w:hAnsi="Tahoma" w:cs="Tahoma"/>
      <w:sz w:val="18"/>
      <w:szCs w:val="18"/>
    </w:rPr>
  </w:style>
  <w:style w:type="paragraph" w:styleId="NoSpacing">
    <w:name w:val="No Spacing"/>
    <w:uiPriority w:val="1"/>
    <w:qFormat/>
    <w:rsid w:val="00CD1466"/>
    <w:pPr>
      <w:bidi/>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7E3036"/>
    <w:pPr>
      <w:bidi w:val="0"/>
      <w:spacing w:line="360" w:lineRule="auto"/>
    </w:pPr>
    <w:rPr>
      <w:rFonts w:ascii="Times New Roman" w:hAnsi="Times New Roman" w:cs="David"/>
      <w:sz w:val="24"/>
      <w:szCs w:val="24"/>
    </w:rPr>
  </w:style>
  <w:style w:type="character" w:customStyle="1" w:styleId="Style1Char">
    <w:name w:val="Style1 Char"/>
    <w:basedOn w:val="DefaultParagraphFont"/>
    <w:link w:val="Style1"/>
    <w:rsid w:val="007E3036"/>
    <w:rPr>
      <w:rFonts w:ascii="Times New Roman" w:hAnsi="Times New Roman" w:cs="David"/>
      <w:sz w:val="24"/>
      <w:szCs w:val="24"/>
    </w:rPr>
  </w:style>
  <w:style w:type="character" w:styleId="FollowedHyperlink">
    <w:name w:val="FollowedHyperlink"/>
    <w:basedOn w:val="DefaultParagraphFont"/>
    <w:uiPriority w:val="99"/>
    <w:semiHidden/>
    <w:unhideWhenUsed/>
    <w:rsid w:val="002A4B8F"/>
    <w:rPr>
      <w:color w:val="800080" w:themeColor="followedHyperlink"/>
      <w:u w:val="single"/>
    </w:rPr>
  </w:style>
  <w:style w:type="paragraph" w:styleId="Subtitle">
    <w:name w:val="Subtitle"/>
    <w:basedOn w:val="Normal"/>
    <w:next w:val="Normal"/>
    <w:link w:val="SubtitleChar"/>
    <w:uiPriority w:val="11"/>
    <w:qFormat/>
    <w:rsid w:val="009B116C"/>
    <w:pPr>
      <w:numPr>
        <w:ilvl w:val="1"/>
      </w:numPr>
      <w:bidi w:val="0"/>
      <w:ind w:left="360"/>
      <w:jc w:val="both"/>
    </w:pPr>
    <w:rPr>
      <w:rFonts w:asciiTheme="majorBidi" w:eastAsiaTheme="majorEastAsia" w:hAnsiTheme="majorBidi" w:cstheme="majorBidi"/>
      <w:b/>
      <w:bCs/>
      <w:spacing w:val="15"/>
      <w:sz w:val="24"/>
      <w:szCs w:val="24"/>
    </w:rPr>
  </w:style>
  <w:style w:type="character" w:customStyle="1" w:styleId="SubtitleChar">
    <w:name w:val="Subtitle Char"/>
    <w:basedOn w:val="DefaultParagraphFont"/>
    <w:link w:val="Subtitle"/>
    <w:uiPriority w:val="11"/>
    <w:rsid w:val="009B116C"/>
    <w:rPr>
      <w:rFonts w:asciiTheme="majorBidi" w:eastAsiaTheme="majorEastAsia" w:hAnsiTheme="majorBidi" w:cstheme="majorBidi"/>
      <w:b/>
      <w:bCs/>
      <w:spacing w:val="15"/>
      <w:sz w:val="24"/>
      <w:szCs w:val="24"/>
    </w:rPr>
  </w:style>
  <w:style w:type="character" w:styleId="CommentReference">
    <w:name w:val="annotation reference"/>
    <w:basedOn w:val="DefaultParagraphFont"/>
    <w:uiPriority w:val="99"/>
    <w:semiHidden/>
    <w:unhideWhenUsed/>
    <w:rsid w:val="002F2D81"/>
    <w:rPr>
      <w:sz w:val="16"/>
      <w:szCs w:val="16"/>
    </w:rPr>
  </w:style>
  <w:style w:type="paragraph" w:styleId="CommentText">
    <w:name w:val="annotation text"/>
    <w:basedOn w:val="Normal"/>
    <w:link w:val="CommentTextChar"/>
    <w:uiPriority w:val="99"/>
    <w:semiHidden/>
    <w:unhideWhenUsed/>
    <w:rsid w:val="002F2D81"/>
    <w:pPr>
      <w:spacing w:line="240" w:lineRule="auto"/>
    </w:pPr>
    <w:rPr>
      <w:sz w:val="20"/>
      <w:szCs w:val="20"/>
    </w:rPr>
  </w:style>
  <w:style w:type="character" w:customStyle="1" w:styleId="CommentTextChar">
    <w:name w:val="Comment Text Char"/>
    <w:basedOn w:val="DefaultParagraphFont"/>
    <w:link w:val="CommentText"/>
    <w:uiPriority w:val="99"/>
    <w:semiHidden/>
    <w:rsid w:val="002F2D81"/>
    <w:rPr>
      <w:sz w:val="20"/>
      <w:szCs w:val="20"/>
    </w:rPr>
  </w:style>
  <w:style w:type="paragraph" w:styleId="CommentSubject">
    <w:name w:val="annotation subject"/>
    <w:basedOn w:val="CommentText"/>
    <w:next w:val="CommentText"/>
    <w:link w:val="CommentSubjectChar"/>
    <w:uiPriority w:val="99"/>
    <w:semiHidden/>
    <w:unhideWhenUsed/>
    <w:rsid w:val="002F2D81"/>
    <w:rPr>
      <w:b/>
      <w:bCs/>
    </w:rPr>
  </w:style>
  <w:style w:type="character" w:customStyle="1" w:styleId="CommentSubjectChar">
    <w:name w:val="Comment Subject Char"/>
    <w:basedOn w:val="CommentTextChar"/>
    <w:link w:val="CommentSubject"/>
    <w:uiPriority w:val="99"/>
    <w:semiHidden/>
    <w:rsid w:val="002F2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91197">
      <w:bodyDiv w:val="1"/>
      <w:marLeft w:val="0"/>
      <w:marRight w:val="0"/>
      <w:marTop w:val="0"/>
      <w:marBottom w:val="0"/>
      <w:divBdr>
        <w:top w:val="none" w:sz="0" w:space="0" w:color="auto"/>
        <w:left w:val="none" w:sz="0" w:space="0" w:color="auto"/>
        <w:bottom w:val="none" w:sz="0" w:space="0" w:color="auto"/>
        <w:right w:val="none" w:sz="0" w:space="0" w:color="auto"/>
      </w:divBdr>
    </w:div>
    <w:div w:id="15689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5FBE-9A1F-A643-9FAA-79066F59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2943</Words>
  <Characters>16776</Characters>
  <Application>Microsoft Macintosh Word</Application>
  <DocSecurity>0</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4</cp:revision>
  <cp:lastPrinted>2020-08-23T20:11:00Z</cp:lastPrinted>
  <dcterms:created xsi:type="dcterms:W3CDTF">2020-09-13T06:32:00Z</dcterms:created>
  <dcterms:modified xsi:type="dcterms:W3CDTF">2020-09-13T07:32:00Z</dcterms:modified>
</cp:coreProperties>
</file>