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8A80" w14:textId="707B3195" w:rsidR="00707D7B" w:rsidRPr="002B4D6F" w:rsidRDefault="00801909" w:rsidP="00801909">
      <w:pPr>
        <w:jc w:val="center"/>
        <w:rPr>
          <w:b/>
          <w:bCs/>
        </w:rPr>
      </w:pPr>
      <w:r w:rsidRPr="002B4D6F">
        <w:rPr>
          <w:b/>
          <w:bCs/>
        </w:rPr>
        <w:t>The Feminine Voice: The Jerusalem Women’s Protest against their Husbands</w:t>
      </w:r>
      <w:r w:rsidR="002E2F86">
        <w:rPr>
          <w:b/>
          <w:bCs/>
        </w:rPr>
        <w:t>’</w:t>
      </w:r>
      <w:r w:rsidRPr="002B4D6F">
        <w:rPr>
          <w:b/>
          <w:bCs/>
        </w:rPr>
        <w:t xml:space="preserve"> Mobilization into the Ottoman Military</w:t>
      </w:r>
      <w:r w:rsidR="00781568" w:rsidRPr="002B4D6F">
        <w:rPr>
          <w:rStyle w:val="FootnoteReference"/>
          <w:b/>
          <w:bCs/>
        </w:rPr>
        <w:footnoteReference w:id="1"/>
      </w:r>
    </w:p>
    <w:p w14:paraId="1A5D86A7" w14:textId="0357C1C0" w:rsidR="00801909" w:rsidRPr="002B4D6F" w:rsidRDefault="00801909" w:rsidP="00801909">
      <w:pPr>
        <w:jc w:val="center"/>
      </w:pPr>
      <w:proofErr w:type="spellStart"/>
      <w:r w:rsidRPr="002B4D6F">
        <w:t>Yaron</w:t>
      </w:r>
      <w:proofErr w:type="spellEnd"/>
      <w:r w:rsidRPr="002B4D6F">
        <w:t xml:space="preserve"> </w:t>
      </w:r>
      <w:proofErr w:type="spellStart"/>
      <w:r w:rsidRPr="002B4D6F">
        <w:t>Harel</w:t>
      </w:r>
      <w:proofErr w:type="spellEnd"/>
    </w:p>
    <w:p w14:paraId="58B0872A" w14:textId="073E3ABE" w:rsidR="00801909" w:rsidRPr="002B4D6F" w:rsidRDefault="00801909" w:rsidP="00801909">
      <w:pPr>
        <w:jc w:val="center"/>
      </w:pPr>
    </w:p>
    <w:p w14:paraId="79602E63" w14:textId="79E3CECE" w:rsidR="00801909" w:rsidRPr="002B4D6F" w:rsidRDefault="00801909" w:rsidP="00801909">
      <w:pPr>
        <w:rPr>
          <w:b/>
          <w:bCs/>
        </w:rPr>
      </w:pPr>
      <w:r w:rsidRPr="002B4D6F">
        <w:rPr>
          <w:b/>
          <w:bCs/>
        </w:rPr>
        <w:t>Prologue</w:t>
      </w:r>
    </w:p>
    <w:p w14:paraId="0BFD3202" w14:textId="77777777" w:rsidR="000E4192" w:rsidRPr="002B4D6F" w:rsidRDefault="000E4192" w:rsidP="00801909">
      <w:pPr>
        <w:rPr>
          <w:b/>
          <w:bCs/>
        </w:rPr>
      </w:pPr>
    </w:p>
    <w:p w14:paraId="31D36162" w14:textId="1BAB2668" w:rsidR="007744BF" w:rsidRPr="002B4D6F" w:rsidRDefault="000E4192" w:rsidP="007744BF">
      <w:pPr>
        <w:ind w:left="720" w:right="720"/>
      </w:pPr>
      <w:commentRangeStart w:id="0"/>
      <w:r>
        <w:t>When Ibrahim Pasha, the son of Mehemet Ali</w:t>
      </w:r>
      <w:commentRangeEnd w:id="0"/>
      <w:r>
        <w:rPr>
          <w:rStyle w:val="CommentReference"/>
        </w:rPr>
        <w:commentReference w:id="0"/>
      </w:r>
      <w:r>
        <w:t xml:space="preserve">, ruled in Palestine, he sent men into all the towns and villages to gather together a large army. </w:t>
      </w:r>
      <w:r w:rsidR="007744BF" w:rsidRPr="002B4D6F">
        <w:t xml:space="preserve">Then a certain woman of </w:t>
      </w:r>
      <w:proofErr w:type="spellStart"/>
      <w:r w:rsidR="007744BF" w:rsidRPr="002B4D6F">
        <w:t>Sefurieh</w:t>
      </w:r>
      <w:proofErr w:type="spellEnd"/>
      <w:r w:rsidR="007744BF" w:rsidRPr="002B4D6F">
        <w:t xml:space="preserve"> (</w:t>
      </w:r>
      <w:proofErr w:type="spellStart"/>
      <w:r w:rsidR="007744BF" w:rsidRPr="002B4D6F">
        <w:t>Safuriyya</w:t>
      </w:r>
      <w:proofErr w:type="spellEnd"/>
      <w:r w:rsidR="007744BF" w:rsidRPr="002B4D6F">
        <w:t xml:space="preserve">) sought Ibrahim Pasha at </w:t>
      </w:r>
      <w:proofErr w:type="spellStart"/>
      <w:r w:rsidR="007744BF" w:rsidRPr="002B4D6F">
        <w:t>Akka</w:t>
      </w:r>
      <w:proofErr w:type="spellEnd"/>
      <w:r w:rsidR="007744BF" w:rsidRPr="002B4D6F">
        <w:t xml:space="preserve"> (Acre), and came into his presence, bowing herself before him, and said, ‘O my lord, look with pity on thy servant, and hear my prayer. A little while ago there were three men in my house, my husband, my brother, and my eldest son. But now, behold, they all have been carried away to serve in your army, and I am left with my little ones without a protector; I pray you grant liberty to one of these men, that he may remain at home.’</w:t>
      </w:r>
    </w:p>
    <w:p w14:paraId="266D8A5A" w14:textId="0871EF40" w:rsidR="007744BF" w:rsidRPr="002B4D6F" w:rsidRDefault="007744BF" w:rsidP="007744BF">
      <w:pPr>
        <w:ind w:left="720" w:right="720"/>
      </w:pPr>
      <w:r w:rsidRPr="002B4D6F">
        <w:tab/>
        <w:t xml:space="preserve">“And Ibrahim had pity on her, and said, ‘O woman! </w:t>
      </w:r>
      <w:bookmarkStart w:id="1" w:name="_GoBack"/>
      <w:bookmarkEnd w:id="1"/>
      <w:r w:rsidRPr="002B4D6F">
        <w:t>Do you ask for your husband, for your son, or for your brother?’</w:t>
      </w:r>
    </w:p>
    <w:p w14:paraId="15F4316F" w14:textId="535707B4" w:rsidR="007744BF" w:rsidRPr="002B4D6F" w:rsidRDefault="007744BF" w:rsidP="007744BF">
      <w:pPr>
        <w:ind w:left="720" w:right="720"/>
      </w:pPr>
      <w:r w:rsidRPr="002B4D6F">
        <w:tab/>
        <w:t>“The woman, who was renowned for her wit and readiness of speech, replied in an impromptu rhyme:</w:t>
      </w:r>
    </w:p>
    <w:p w14:paraId="4CCF65CC" w14:textId="0745EB6A" w:rsidR="007744BF" w:rsidRPr="002B4D6F" w:rsidRDefault="007744BF" w:rsidP="007744BF">
      <w:pPr>
        <w:ind w:left="720" w:right="720"/>
      </w:pPr>
      <w:r w:rsidRPr="002B4D6F">
        <w:tab/>
        <w:t xml:space="preserve">“‘If it be God’s will that my husband </w:t>
      </w:r>
      <w:proofErr w:type="gramStart"/>
      <w:r w:rsidRPr="002B4D6F">
        <w:t>perish</w:t>
      </w:r>
      <w:proofErr w:type="gramEnd"/>
      <w:r w:rsidRPr="002B4D6F">
        <w:t xml:space="preserve"> in your service,</w:t>
      </w:r>
    </w:p>
    <w:p w14:paraId="2065077E" w14:textId="1A4B5A7B" w:rsidR="007744BF" w:rsidRPr="002B4D6F" w:rsidRDefault="007744BF" w:rsidP="007744BF">
      <w:pPr>
        <w:ind w:left="720" w:right="720"/>
      </w:pPr>
      <w:r w:rsidRPr="002B4D6F">
        <w:tab/>
        <w:t>I am still a woman, and God may lead me to another husband.</w:t>
      </w:r>
    </w:p>
    <w:p w14:paraId="57DAE89D" w14:textId="209761E4" w:rsidR="007744BF" w:rsidRPr="002B4D6F" w:rsidRDefault="007744BF" w:rsidP="007744BF">
      <w:pPr>
        <w:ind w:left="720" w:right="720"/>
      </w:pPr>
      <w:r w:rsidRPr="002B4D6F">
        <w:tab/>
        <w:t>If on the battle-filed my first-born son should fall,</w:t>
      </w:r>
    </w:p>
    <w:p w14:paraId="6A9331C8" w14:textId="06728C67" w:rsidR="007744BF" w:rsidRPr="002B4D6F" w:rsidRDefault="007744BF" w:rsidP="007744BF">
      <w:pPr>
        <w:ind w:left="720" w:right="720"/>
      </w:pPr>
      <w:r w:rsidRPr="002B4D6F">
        <w:tab/>
        <w:t>I have still my younger ones who will in God’s time be like unto him.</w:t>
      </w:r>
    </w:p>
    <w:p w14:paraId="7380F9CC" w14:textId="206EA067" w:rsidR="007744BF" w:rsidRPr="002B4D6F" w:rsidRDefault="007744BF" w:rsidP="007744BF">
      <w:pPr>
        <w:ind w:left="720" w:right="720"/>
      </w:pPr>
      <w:r w:rsidRPr="002B4D6F">
        <w:tab/>
        <w:t>But, O my lord, if my only brother should be slain,</w:t>
      </w:r>
    </w:p>
    <w:p w14:paraId="4F0C48BD" w14:textId="462D9E02" w:rsidR="007744BF" w:rsidRPr="002B4D6F" w:rsidRDefault="007744BF" w:rsidP="007744BF">
      <w:pPr>
        <w:ind w:left="720" w:right="720"/>
      </w:pPr>
      <w:r w:rsidRPr="002B4D6F">
        <w:tab/>
        <w:t>I am without remedy-for my father is dead and my mother is old’</w:t>
      </w:r>
    </w:p>
    <w:p w14:paraId="5F138572" w14:textId="44618D2D" w:rsidR="007744BF" w:rsidRPr="002B4D6F" w:rsidRDefault="007744BF" w:rsidP="007744BF">
      <w:pPr>
        <w:ind w:left="720" w:right="720"/>
      </w:pPr>
      <w:r w:rsidRPr="002B4D6F">
        <w:tab/>
        <w:t xml:space="preserve">And where should I </w:t>
      </w:r>
      <w:r w:rsidR="007245E0" w:rsidRPr="002B4D6F">
        <w:t>look for another brother?’</w:t>
      </w:r>
    </w:p>
    <w:p w14:paraId="6D71CBCA" w14:textId="0D84D279" w:rsidR="007245E0" w:rsidRPr="002B4D6F" w:rsidRDefault="007245E0" w:rsidP="007744BF">
      <w:pPr>
        <w:ind w:left="720" w:right="720"/>
      </w:pPr>
      <w:r w:rsidRPr="002B4D6F">
        <w:tab/>
        <w:t>“And Ibrahim was much pleased with the words of the woman, and said, ‘O woman! Happy above many is thy brother; he shall be free for thy word’s sake, and thy husband and son shall be free also.”</w:t>
      </w:r>
      <w:r w:rsidRPr="002B4D6F">
        <w:rPr>
          <w:rStyle w:val="FootnoteReference"/>
        </w:rPr>
        <w:footnoteReference w:id="2"/>
      </w:r>
    </w:p>
    <w:p w14:paraId="3B8B2D98" w14:textId="77777777" w:rsidR="007245E0" w:rsidRPr="002B4D6F" w:rsidRDefault="007245E0" w:rsidP="007245E0"/>
    <w:p w14:paraId="4261DB21" w14:textId="77777777" w:rsidR="007245E0" w:rsidRPr="002B4D6F" w:rsidRDefault="007245E0" w:rsidP="007245E0">
      <w:pPr>
        <w:ind w:right="720"/>
        <w:rPr>
          <w:b/>
          <w:bCs/>
        </w:rPr>
      </w:pPr>
      <w:r w:rsidRPr="002B4D6F">
        <w:rPr>
          <w:b/>
          <w:bCs/>
        </w:rPr>
        <w:t>Women and Revolution</w:t>
      </w:r>
    </w:p>
    <w:p w14:paraId="580F9FC3" w14:textId="77777777" w:rsidR="007245E0" w:rsidRPr="002B4D6F" w:rsidRDefault="007245E0" w:rsidP="007245E0">
      <w:pPr>
        <w:ind w:right="720"/>
        <w:rPr>
          <w:b/>
          <w:bCs/>
        </w:rPr>
      </w:pPr>
    </w:p>
    <w:p w14:paraId="16925FCD" w14:textId="3A676435" w:rsidR="007744BF" w:rsidRPr="002B4D6F" w:rsidRDefault="007245E0" w:rsidP="002E2F86">
      <w:pPr>
        <w:spacing w:line="480" w:lineRule="auto"/>
        <w:ind w:right="720"/>
      </w:pPr>
      <w:r w:rsidRPr="002B4D6F">
        <w:t xml:space="preserve">Recent </w:t>
      </w:r>
      <w:r w:rsidR="00FB0BA1" w:rsidRPr="002B4D6F">
        <w:t>studies</w:t>
      </w:r>
      <w:r w:rsidRPr="002B4D6F">
        <w:t xml:space="preserve"> on women and gender in the Middle East ha</w:t>
      </w:r>
      <w:r w:rsidR="00FB0BA1" w:rsidRPr="002B4D6F">
        <w:t>ve</w:t>
      </w:r>
      <w:r w:rsidRPr="002B4D6F">
        <w:t xml:space="preserve"> proceeded </w:t>
      </w:r>
      <w:r w:rsidR="00FB0BA1" w:rsidRPr="002B4D6F">
        <w:t xml:space="preserve">in varied and diverse ways. </w:t>
      </w:r>
      <w:r w:rsidRPr="002B4D6F">
        <w:t xml:space="preserve">Some of them continue to develop existing </w:t>
      </w:r>
      <w:r w:rsidR="00B0595F" w:rsidRPr="002B4D6F">
        <w:t xml:space="preserve">scholarly approaches </w:t>
      </w:r>
      <w:r w:rsidR="00FB0BA1" w:rsidRPr="002B4D6F">
        <w:t>to the topic</w:t>
      </w:r>
      <w:r w:rsidR="002E2F86">
        <w:t>,</w:t>
      </w:r>
      <w:r w:rsidR="00FB0BA1" w:rsidRPr="002B4D6F">
        <w:t xml:space="preserve"> </w:t>
      </w:r>
      <w:r w:rsidR="00B0595F" w:rsidRPr="002B4D6F">
        <w:t>while others</w:t>
      </w:r>
      <w:r w:rsidR="00FB0BA1" w:rsidRPr="002B4D6F">
        <w:t xml:space="preserve"> are grounded in new theories and methods that were developed specifically for the study of women. More than a decade ago, research on women in Middle Eastern history freed itself from disciplinary compartmentalization and became more and more interdisciplinary. Many studies challenged the myth that Muslim women were passive and isolated in </w:t>
      </w:r>
      <w:r w:rsidR="00BF3890" w:rsidRPr="002B4D6F">
        <w:t xml:space="preserve">a separate </w:t>
      </w:r>
      <w:commentRangeStart w:id="2"/>
      <w:r w:rsidR="00BF3890" w:rsidRPr="002B4D6F">
        <w:t>sphere</w:t>
      </w:r>
      <w:commentRangeEnd w:id="2"/>
      <w:r w:rsidR="00BF3890" w:rsidRPr="002B4D6F">
        <w:rPr>
          <w:rStyle w:val="CommentReference"/>
          <w:sz w:val="24"/>
          <w:szCs w:val="24"/>
        </w:rPr>
        <w:commentReference w:id="2"/>
      </w:r>
      <w:r w:rsidR="00BF3890" w:rsidRPr="002B4D6F">
        <w:t xml:space="preserve"> that was both traditional and unchanging.</w:t>
      </w:r>
      <w:r w:rsidR="00BF3890" w:rsidRPr="002B4D6F">
        <w:rPr>
          <w:rStyle w:val="FootnoteReference"/>
        </w:rPr>
        <w:footnoteReference w:id="3"/>
      </w:r>
      <w:r w:rsidR="00BF3890" w:rsidRPr="002B4D6F">
        <w:t xml:space="preserve"> Similarly, </w:t>
      </w:r>
      <w:r w:rsidR="00611F6B" w:rsidRPr="002B4D6F">
        <w:t xml:space="preserve">in the last few decades, </w:t>
      </w:r>
      <w:r w:rsidR="00BF3890" w:rsidRPr="002B4D6F">
        <w:t xml:space="preserve">research on Jewish women and their exclusion from the public sphere has </w:t>
      </w:r>
      <w:r w:rsidR="00B87160" w:rsidRPr="002B4D6F">
        <w:t>assumed</w:t>
      </w:r>
      <w:r w:rsidR="00BF3890" w:rsidRPr="002B4D6F">
        <w:t xml:space="preserve"> an interdisciplinary character.</w:t>
      </w:r>
      <w:r w:rsidR="00654EE5" w:rsidRPr="002B4D6F">
        <w:rPr>
          <w:rStyle w:val="FootnoteReference"/>
        </w:rPr>
        <w:footnoteReference w:id="4"/>
      </w:r>
      <w:r w:rsidR="00B87160" w:rsidRPr="002B4D6F">
        <w:t xml:space="preserve"> </w:t>
      </w:r>
      <w:proofErr w:type="spellStart"/>
      <w:r w:rsidR="00611F6B" w:rsidRPr="002B4D6F">
        <w:t>Margalit</w:t>
      </w:r>
      <w:proofErr w:type="spellEnd"/>
      <w:r w:rsidR="00611F6B" w:rsidRPr="002B4D6F">
        <w:t xml:space="preserve"> </w:t>
      </w:r>
      <w:proofErr w:type="spellStart"/>
      <w:r w:rsidR="00611F6B" w:rsidRPr="002B4D6F">
        <w:t>Shilo</w:t>
      </w:r>
      <w:r w:rsidR="00B87160" w:rsidRPr="002B4D6F">
        <w:t>’s</w:t>
      </w:r>
      <w:proofErr w:type="spellEnd"/>
      <w:r w:rsidR="00B87160" w:rsidRPr="002B4D6F">
        <w:t xml:space="preserve"> book </w:t>
      </w:r>
      <w:r w:rsidR="00B87160" w:rsidRPr="002B4D6F">
        <w:rPr>
          <w:i/>
          <w:iCs/>
        </w:rPr>
        <w:t>Prisoner or Princess? Jewish Women in Jerusalem, 1840-1914</w:t>
      </w:r>
      <w:r w:rsidR="00611F6B" w:rsidRPr="002B4D6F">
        <w:t xml:space="preserve"> </w:t>
      </w:r>
      <w:r w:rsidR="00B87160" w:rsidRPr="002B4D6F">
        <w:t xml:space="preserve">advanced </w:t>
      </w:r>
      <w:r w:rsidR="00611F6B" w:rsidRPr="002B4D6F">
        <w:t xml:space="preserve">new </w:t>
      </w:r>
      <w:r w:rsidR="00B87160" w:rsidRPr="002B4D6F">
        <w:t>directions</w:t>
      </w:r>
      <w:r w:rsidR="00611F6B" w:rsidRPr="002B4D6F">
        <w:t xml:space="preserve"> in gender </w:t>
      </w:r>
      <w:r w:rsidR="002E2F86">
        <w:t xml:space="preserve">studies </w:t>
      </w:r>
      <w:r w:rsidR="00611F6B" w:rsidRPr="002B4D6F">
        <w:t>research.</w:t>
      </w:r>
      <w:r w:rsidR="00611F6B" w:rsidRPr="002B4D6F">
        <w:rPr>
          <w:rStyle w:val="FootnoteReference"/>
        </w:rPr>
        <w:footnoteReference w:id="5"/>
      </w:r>
      <w:r w:rsidR="00B87160" w:rsidRPr="002B4D6F">
        <w:t xml:space="preserve"> As she characterized it, </w:t>
      </w:r>
      <w:r w:rsidR="00FB5765" w:rsidRPr="002B4D6F">
        <w:t xml:space="preserve">the challenge she faced was how to present a reality that had been almost completely absent from historical </w:t>
      </w:r>
      <w:r w:rsidR="00FB5765" w:rsidRPr="002B4D6F">
        <w:lastRenderedPageBreak/>
        <w:t xml:space="preserve">research: women and gender in the nineteenth century Jewish community of Jerusalem. The wealth of </w:t>
      </w:r>
      <w:r w:rsidR="00A356B3" w:rsidRPr="002B4D6F">
        <w:t xml:space="preserve">the </w:t>
      </w:r>
      <w:r w:rsidR="00FB5765" w:rsidRPr="002B4D6F">
        <w:t>sources that she</w:t>
      </w:r>
      <w:r w:rsidR="00A356B3" w:rsidRPr="002B4D6F">
        <w:t xml:space="preserve"> relied upon is truly impressive. Nonetheless, she found </w:t>
      </w:r>
      <w:r w:rsidR="001B4A79" w:rsidRPr="002B4D6F">
        <w:t xml:space="preserve">relatively few sources </w:t>
      </w:r>
      <w:r w:rsidR="00A356B3" w:rsidRPr="002B4D6F">
        <w:t>directly expressing Jerusalem women’s voices in real time</w:t>
      </w:r>
      <w:r w:rsidR="001B4A79" w:rsidRPr="002B4D6F">
        <w:t xml:space="preserve">; even these usually deal with private matters related to social problems </w:t>
      </w:r>
      <w:r w:rsidR="002E2F86">
        <w:t>limited to</w:t>
      </w:r>
      <w:r w:rsidR="001B4A79" w:rsidRPr="002B4D6F">
        <w:t xml:space="preserve"> specific </w:t>
      </w:r>
      <w:r w:rsidR="002E2F86">
        <w:t>groups</w:t>
      </w:r>
      <w:r w:rsidR="002E2F86" w:rsidRPr="002B4D6F">
        <w:t xml:space="preserve"> </w:t>
      </w:r>
      <w:r w:rsidR="001B4A79" w:rsidRPr="002B4D6F">
        <w:t xml:space="preserve">of women, such as widows, </w:t>
      </w:r>
      <w:proofErr w:type="spellStart"/>
      <w:r w:rsidR="001B4A79" w:rsidRPr="00E9403B">
        <w:t>agunah</w:t>
      </w:r>
      <w:r w:rsidR="001B4A79" w:rsidRPr="002B4D6F">
        <w:t>s</w:t>
      </w:r>
      <w:proofErr w:type="spellEnd"/>
      <w:r w:rsidR="00E9403B">
        <w:t xml:space="preserve">, </w:t>
      </w:r>
      <w:r w:rsidR="001B4A79" w:rsidRPr="002B4D6F">
        <w:t xml:space="preserve">and prostitutes, rather than familial or public matters. </w:t>
      </w:r>
      <w:proofErr w:type="spellStart"/>
      <w:r w:rsidR="001B4A79" w:rsidRPr="002B4D6F">
        <w:t>Shilo</w:t>
      </w:r>
      <w:proofErr w:type="spellEnd"/>
      <w:r w:rsidR="001B4A79" w:rsidRPr="002B4D6F">
        <w:t xml:space="preserve"> talks about </w:t>
      </w:r>
      <w:r w:rsidR="0036459E" w:rsidRPr="002B4D6F">
        <w:t>the</w:t>
      </w:r>
      <w:r w:rsidR="001B4A79" w:rsidRPr="002B4D6F">
        <w:t xml:space="preserve"> silen</w:t>
      </w:r>
      <w:r w:rsidR="0036459E" w:rsidRPr="002B4D6F">
        <w:t xml:space="preserve">ce, even the absence, of documentation, </w:t>
      </w:r>
      <w:commentRangeStart w:id="3"/>
      <w:r w:rsidR="0036459E" w:rsidRPr="002B4D6F">
        <w:t>and how the great wealth of documents allowed her to “listen to the feminine voice, the heartbeats and the silences</w:t>
      </w:r>
      <w:commentRangeEnd w:id="3"/>
      <w:r w:rsidR="002E2F86">
        <w:rPr>
          <w:rStyle w:val="CommentReference"/>
        </w:rPr>
        <w:commentReference w:id="3"/>
      </w:r>
      <w:r w:rsidR="0036459E" w:rsidRPr="002B4D6F">
        <w:t>.”</w:t>
      </w:r>
      <w:r w:rsidR="0036459E" w:rsidRPr="002B4D6F">
        <w:rPr>
          <w:rStyle w:val="FootnoteReference"/>
        </w:rPr>
        <w:footnoteReference w:id="6"/>
      </w:r>
      <w:r w:rsidR="006E4AC6" w:rsidRPr="002B4D6F">
        <w:t xml:space="preserve"> Consequently, a document</w:t>
      </w:r>
      <w:r w:rsidR="00ED4E28" w:rsidRPr="002B4D6F">
        <w:t xml:space="preserve"> written by married Jerusalemite women towards the end of the twentieth century’s first decade and addressing a significant public matter, the conscription of Jewish men into the Ottoman military, </w:t>
      </w:r>
      <w:r w:rsidR="006E4AC6" w:rsidRPr="002B4D6F">
        <w:t>like th</w:t>
      </w:r>
      <w:r w:rsidR="00ED4E28" w:rsidRPr="002B4D6F">
        <w:t>e</w:t>
      </w:r>
      <w:r w:rsidR="006E4AC6" w:rsidRPr="002B4D6F">
        <w:t xml:space="preserve"> one that</w:t>
      </w:r>
      <w:r w:rsidR="00ED4E28" w:rsidRPr="002B4D6F">
        <w:t xml:space="preserve"> </w:t>
      </w:r>
      <w:r w:rsidR="006E4AC6" w:rsidRPr="002B4D6F">
        <w:t xml:space="preserve">will </w:t>
      </w:r>
      <w:r w:rsidR="00ED4E28" w:rsidRPr="002B4D6F">
        <w:t xml:space="preserve">subsequently be explored in this article, </w:t>
      </w:r>
      <w:r w:rsidR="002E2F86">
        <w:t>unquestionably</w:t>
      </w:r>
      <w:r w:rsidR="002E2F86" w:rsidRPr="002B4D6F">
        <w:t xml:space="preserve"> </w:t>
      </w:r>
      <w:r w:rsidR="00ED4E28" w:rsidRPr="002B4D6F">
        <w:t>constitutes an important contribution to understanding how women perceived the changes taking place in the life of Old Yishuv foll</w:t>
      </w:r>
      <w:r w:rsidR="008E04BA" w:rsidRPr="002B4D6F">
        <w:t>ow</w:t>
      </w:r>
      <w:r w:rsidR="00ED4E28" w:rsidRPr="002B4D6F">
        <w:t>ing the Young Turk Revolution.</w:t>
      </w:r>
    </w:p>
    <w:p w14:paraId="6E40BA9D" w14:textId="58B7FF43" w:rsidR="00BD2381" w:rsidRDefault="00640599" w:rsidP="002E2F86">
      <w:pPr>
        <w:spacing w:line="480" w:lineRule="auto"/>
        <w:rPr>
          <w:rFonts w:eastAsia="Times New Roman" w:cs="Arial"/>
          <w:color w:val="202122"/>
          <w:shd w:val="clear" w:color="auto" w:fill="FFFFFF"/>
        </w:rPr>
      </w:pPr>
      <w:r w:rsidRPr="002B4D6F">
        <w:tab/>
        <w:t xml:space="preserve">Soon after the Young Turk Revolution took place in 1908, every aspect of girls’ education underwent significant change throughout the Ottoman Empire. These changes found expression in the establishment of governmental and professional high schools for girls, and were undergirded by the belief that girls should be educated by the community for the benefit of the nation. The education of future mothers would give them the ability to educate their </w:t>
      </w:r>
      <w:r w:rsidRPr="002B4D6F">
        <w:lastRenderedPageBreak/>
        <w:t>children.</w:t>
      </w:r>
      <w:r w:rsidRPr="002B4D6F">
        <w:rPr>
          <w:rStyle w:val="FootnoteReference"/>
        </w:rPr>
        <w:footnoteReference w:id="7"/>
      </w:r>
      <w:r w:rsidR="00263111" w:rsidRPr="002B4D6F">
        <w:t xml:space="preserve"> At the beginning of the twentieth century, enlightened women</w:t>
      </w:r>
      <w:r w:rsidR="009C197C" w:rsidRPr="002B4D6F">
        <w:t xml:space="preserve"> in cities like Cairo, Istanbul</w:t>
      </w:r>
      <w:r w:rsidR="002E2F86">
        <w:t>,</w:t>
      </w:r>
      <w:r w:rsidR="009C197C" w:rsidRPr="002B4D6F">
        <w:t xml:space="preserve"> and Beirut published journals that enabled them to express their opinions and positions concerning all topics </w:t>
      </w:r>
      <w:r w:rsidR="00100915" w:rsidRPr="002B4D6F">
        <w:t xml:space="preserve">on the public agenda. These journals vigorously advocated for women’s rights to pursue educational opportunities and to organize to </w:t>
      </w:r>
      <w:commentRangeStart w:id="4"/>
      <w:r w:rsidR="00100915" w:rsidRPr="002B4D6F">
        <w:t>fight</w:t>
      </w:r>
      <w:commentRangeEnd w:id="4"/>
      <w:r w:rsidR="00100915" w:rsidRPr="002B4D6F">
        <w:rPr>
          <w:rStyle w:val="CommentReference"/>
          <w:sz w:val="24"/>
          <w:szCs w:val="24"/>
        </w:rPr>
        <w:commentReference w:id="4"/>
      </w:r>
      <w:r w:rsidR="00100915" w:rsidRPr="002B4D6F">
        <w:t xml:space="preserve"> for their rights. </w:t>
      </w:r>
      <w:r w:rsidR="00A110E8" w:rsidRPr="002B4D6F">
        <w:t xml:space="preserve">In these cities, women’s societies </w:t>
      </w:r>
      <w:r w:rsidR="00E71174" w:rsidRPr="002B4D6F">
        <w:t xml:space="preserve">whose stated goal was the improvement of women’s status also arose. Jewish women took part in such activities. Beirut-born Esther </w:t>
      </w:r>
      <w:proofErr w:type="spellStart"/>
      <w:r w:rsidR="00E71174" w:rsidRPr="002B4D6F">
        <w:t>Moyal</w:t>
      </w:r>
      <w:proofErr w:type="spellEnd"/>
      <w:r w:rsidR="00E71174" w:rsidRPr="002B4D6F">
        <w:t xml:space="preserve"> was the most prominent </w:t>
      </w:r>
      <w:r w:rsidR="002E2F86">
        <w:t>among</w:t>
      </w:r>
      <w:r w:rsidR="002E2F86" w:rsidRPr="002B4D6F">
        <w:t xml:space="preserve"> </w:t>
      </w:r>
      <w:r w:rsidR="00E71174" w:rsidRPr="002B4D6F">
        <w:t xml:space="preserve">them. </w:t>
      </w:r>
      <w:r w:rsidR="00BD2381" w:rsidRPr="002B4D6F">
        <w:t>After</w:t>
      </w:r>
      <w:r w:rsidR="00E71174" w:rsidRPr="002B4D6F">
        <w:t xml:space="preserve"> she moved to live with her husband Simon </w:t>
      </w:r>
      <w:proofErr w:type="spellStart"/>
      <w:r w:rsidR="00E71174" w:rsidRPr="002B4D6F">
        <w:t>Moyal</w:t>
      </w:r>
      <w:proofErr w:type="spellEnd"/>
      <w:r w:rsidR="00E71174" w:rsidRPr="002B4D6F">
        <w:t xml:space="preserve"> </w:t>
      </w:r>
      <w:r w:rsidR="00BD2381" w:rsidRPr="002B4D6F">
        <w:t xml:space="preserve">in Cairo, she founded the journal </w:t>
      </w:r>
      <w:r w:rsidR="00BD2381" w:rsidRPr="002B4D6F">
        <w:rPr>
          <w:rFonts w:eastAsia="Times New Roman" w:cs="Arial"/>
          <w:i/>
          <w:iCs/>
          <w:color w:val="202122"/>
          <w:shd w:val="clear" w:color="auto" w:fill="FFFFFF"/>
        </w:rPr>
        <w:t>al-</w:t>
      </w:r>
      <w:proofErr w:type="spellStart"/>
      <w:r w:rsidR="00BD2381" w:rsidRPr="002B4D6F">
        <w:rPr>
          <w:rFonts w:eastAsia="Times New Roman" w:cs="Arial"/>
          <w:i/>
          <w:iCs/>
          <w:color w:val="202122"/>
          <w:shd w:val="clear" w:color="auto" w:fill="FFFFFF"/>
        </w:rPr>
        <w:t>ʿĀʾila</w:t>
      </w:r>
      <w:proofErr w:type="spellEnd"/>
      <w:r w:rsidR="00BD2381" w:rsidRPr="002B4D6F">
        <w:rPr>
          <w:rFonts w:eastAsia="Times New Roman" w:cs="Arial"/>
          <w:i/>
          <w:iCs/>
          <w:color w:val="202122"/>
          <w:shd w:val="clear" w:color="auto" w:fill="FFFFFF"/>
        </w:rPr>
        <w:t xml:space="preserve"> </w:t>
      </w:r>
      <w:r w:rsidR="00BD2381" w:rsidRPr="002B4D6F">
        <w:rPr>
          <w:rFonts w:eastAsia="Times New Roman" w:cs="Arial"/>
          <w:color w:val="202122"/>
          <w:shd w:val="clear" w:color="auto" w:fill="FFFFFF"/>
        </w:rPr>
        <w:t xml:space="preserve">(The Family) on May 1, 1899 and dedicated the monthly to “advancing the liberation of the Eastern woman and the improvement of her life.” </w:t>
      </w:r>
      <w:r w:rsidR="00BB2857" w:rsidRPr="002B4D6F">
        <w:rPr>
          <w:rFonts w:eastAsia="Times New Roman" w:cs="Arial"/>
          <w:color w:val="202122"/>
          <w:shd w:val="clear" w:color="auto" w:fill="FFFFFF"/>
        </w:rPr>
        <w:t xml:space="preserve">In the journal’s opening article, she wrote that women are cultured </w:t>
      </w:r>
      <w:r w:rsidR="002E2F86">
        <w:rPr>
          <w:rFonts w:eastAsia="Times New Roman" w:cs="Arial"/>
          <w:color w:val="202122"/>
          <w:shd w:val="clear" w:color="auto" w:fill="FFFFFF"/>
        </w:rPr>
        <w:t>beings</w:t>
      </w:r>
      <w:r w:rsidR="002E2F86" w:rsidRPr="002B4D6F">
        <w:rPr>
          <w:rFonts w:eastAsia="Times New Roman" w:cs="Arial"/>
          <w:color w:val="202122"/>
          <w:shd w:val="clear" w:color="auto" w:fill="FFFFFF"/>
        </w:rPr>
        <w:t xml:space="preserve"> </w:t>
      </w:r>
      <w:r w:rsidR="00BB2857" w:rsidRPr="002B4D6F">
        <w:rPr>
          <w:rFonts w:eastAsia="Times New Roman" w:cs="Arial"/>
          <w:color w:val="202122"/>
          <w:shd w:val="clear" w:color="auto" w:fill="FFFFFF"/>
        </w:rPr>
        <w:t xml:space="preserve">possessing free will and </w:t>
      </w:r>
      <w:r w:rsidR="002B4D6F" w:rsidRPr="002B4D6F">
        <w:rPr>
          <w:rFonts w:eastAsia="Times New Roman" w:cs="Arial"/>
          <w:color w:val="202122"/>
          <w:shd w:val="clear" w:color="auto" w:fill="FFFFFF"/>
        </w:rPr>
        <w:t>an active conscience whose status is equal to that of men.</w:t>
      </w:r>
      <w:r w:rsidR="002B4D6F" w:rsidRPr="002B4D6F">
        <w:rPr>
          <w:rStyle w:val="FootnoteReference"/>
          <w:rFonts w:eastAsia="Times New Roman" w:cs="Arial"/>
          <w:color w:val="202122"/>
          <w:shd w:val="clear" w:color="auto" w:fill="FFFFFF"/>
        </w:rPr>
        <w:footnoteReference w:id="8"/>
      </w:r>
    </w:p>
    <w:p w14:paraId="67D8E101" w14:textId="18FC6D35" w:rsidR="00204947" w:rsidRDefault="00817652" w:rsidP="006B0FD6">
      <w:pPr>
        <w:spacing w:line="480" w:lineRule="auto"/>
        <w:rPr>
          <w:rFonts w:eastAsia="Times New Roman" w:cs="Arial"/>
          <w:color w:val="202122"/>
          <w:shd w:val="clear" w:color="auto" w:fill="FFFFFF"/>
        </w:rPr>
      </w:pPr>
      <w:r>
        <w:rPr>
          <w:rFonts w:eastAsia="Times New Roman" w:cs="Arial"/>
          <w:color w:val="202122"/>
          <w:shd w:val="clear" w:color="auto" w:fill="FFFFFF"/>
        </w:rPr>
        <w:lastRenderedPageBreak/>
        <w:tab/>
        <w:t xml:space="preserve">Similar phenomena were not observed amongst women in Jerusalem in the years preceding the First World War. </w:t>
      </w:r>
      <w:r w:rsidR="004E0E40">
        <w:rPr>
          <w:rFonts w:eastAsia="Times New Roman" w:cs="Arial"/>
          <w:color w:val="202122"/>
          <w:shd w:val="clear" w:color="auto" w:fill="FFFFFF"/>
        </w:rPr>
        <w:t xml:space="preserve">The </w:t>
      </w:r>
      <w:r w:rsidR="004E0E40" w:rsidRPr="004E0E40">
        <w:rPr>
          <w:rFonts w:eastAsia="Times New Roman" w:cs="Arial"/>
          <w:color w:val="202122"/>
          <w:shd w:val="clear" w:color="auto" w:fill="FFFFFF"/>
        </w:rPr>
        <w:t xml:space="preserve">Alliance </w:t>
      </w:r>
      <w:proofErr w:type="spellStart"/>
      <w:r w:rsidR="004E0E40">
        <w:rPr>
          <w:rFonts w:eastAsia="Times New Roman" w:cs="Arial"/>
          <w:color w:val="202122"/>
          <w:shd w:val="clear" w:color="auto" w:fill="FFFFFF"/>
        </w:rPr>
        <w:t>I</w:t>
      </w:r>
      <w:r w:rsidR="004E0E40" w:rsidRPr="004E0E40">
        <w:rPr>
          <w:rFonts w:eastAsia="Times New Roman" w:cs="Arial"/>
          <w:color w:val="202122"/>
          <w:shd w:val="clear" w:color="auto" w:fill="FFFFFF"/>
        </w:rPr>
        <w:t>sraélite</w:t>
      </w:r>
      <w:proofErr w:type="spellEnd"/>
      <w:r w:rsidR="004E0E40" w:rsidRPr="004E0E40">
        <w:rPr>
          <w:rFonts w:eastAsia="Times New Roman" w:cs="Arial"/>
          <w:color w:val="202122"/>
          <w:shd w:val="clear" w:color="auto" w:fill="FFFFFF"/>
        </w:rPr>
        <w:t xml:space="preserve"> </w:t>
      </w:r>
      <w:proofErr w:type="spellStart"/>
      <w:r w:rsidR="004E0E40">
        <w:rPr>
          <w:rFonts w:eastAsia="Times New Roman" w:cs="Arial"/>
          <w:color w:val="202122"/>
          <w:shd w:val="clear" w:color="auto" w:fill="FFFFFF"/>
        </w:rPr>
        <w:t>U</w:t>
      </w:r>
      <w:r w:rsidR="004E0E40" w:rsidRPr="004E0E40">
        <w:rPr>
          <w:rFonts w:eastAsia="Times New Roman" w:cs="Arial"/>
          <w:color w:val="202122"/>
          <w:shd w:val="clear" w:color="auto" w:fill="FFFFFF"/>
        </w:rPr>
        <w:t>niverselle</w:t>
      </w:r>
      <w:proofErr w:type="spellEnd"/>
      <w:r w:rsidR="004E0E40">
        <w:rPr>
          <w:rFonts w:eastAsia="Times New Roman" w:cs="Arial"/>
          <w:color w:val="202122"/>
          <w:shd w:val="clear" w:color="auto" w:fill="FFFFFF"/>
        </w:rPr>
        <w:t xml:space="preserve"> organization, a pioneer in the area of women’s education in the Ottoman Empire that had already established a school for Jewish girls in Adrianople in 1870, only established a school for girls in Jerusalem in 19</w:t>
      </w:r>
      <w:r w:rsidR="00F06A8C">
        <w:rPr>
          <w:rFonts w:eastAsia="Times New Roman" w:cs="Arial"/>
          <w:color w:val="202122"/>
          <w:shd w:val="clear" w:color="auto" w:fill="FFFFFF"/>
        </w:rPr>
        <w:t>06.</w:t>
      </w:r>
      <w:r w:rsidR="00F06A8C">
        <w:rPr>
          <w:rStyle w:val="FootnoteReference"/>
          <w:rFonts w:eastAsia="Times New Roman" w:cs="Arial"/>
          <w:color w:val="202122"/>
          <w:shd w:val="clear" w:color="auto" w:fill="FFFFFF"/>
        </w:rPr>
        <w:footnoteReference w:id="9"/>
      </w:r>
      <w:r w:rsidR="00F06A8C">
        <w:rPr>
          <w:rFonts w:eastAsia="Times New Roman" w:cs="Arial"/>
          <w:color w:val="202122"/>
          <w:shd w:val="clear" w:color="auto" w:fill="FFFFFF"/>
        </w:rPr>
        <w:t xml:space="preserve"> Indeed, the Evelina de Rothschild Girls’ School that had been established earlier had clear intentions and aspirations to remodel Jewish society in the holy city. Yet these aspirations were directed towards ethnic integration, the raising of the married age, improvement of sanitation and medicine in the city</w:t>
      </w:r>
      <w:r w:rsidR="009B5EEF">
        <w:rPr>
          <w:rFonts w:eastAsia="Times New Roman" w:cs="Arial"/>
          <w:color w:val="202122"/>
          <w:shd w:val="clear" w:color="auto" w:fill="FFFFFF"/>
        </w:rPr>
        <w:t>, cultivation of spiritual values, and the like. There is no clear-cut answer as to whether it is possible to categorize this school as a feminist institution.</w:t>
      </w:r>
      <w:r w:rsidR="009B5EEF">
        <w:rPr>
          <w:rStyle w:val="FootnoteReference"/>
          <w:rFonts w:eastAsia="Times New Roman" w:cs="Arial"/>
          <w:color w:val="202122"/>
          <w:shd w:val="clear" w:color="auto" w:fill="FFFFFF"/>
        </w:rPr>
        <w:footnoteReference w:id="10"/>
      </w:r>
      <w:r w:rsidR="009B5EEF">
        <w:rPr>
          <w:rFonts w:eastAsia="Times New Roman" w:cs="Arial"/>
          <w:color w:val="202122"/>
          <w:shd w:val="clear" w:color="auto" w:fill="FFFFFF"/>
        </w:rPr>
        <w:t xml:space="preserve"> If Jewish women’s societies arose in Jerusalem, they focused on acts of charity.</w:t>
      </w:r>
      <w:r w:rsidR="005F6973">
        <w:rPr>
          <w:rFonts w:eastAsia="Times New Roman" w:cs="Arial"/>
          <w:color w:val="202122"/>
          <w:shd w:val="clear" w:color="auto" w:fill="FFFFFF"/>
        </w:rPr>
        <w:t xml:space="preserve"> If women’s decision</w:t>
      </w:r>
      <w:r w:rsidR="002E2F86">
        <w:rPr>
          <w:rFonts w:eastAsia="Times New Roman" w:cs="Arial"/>
          <w:color w:val="202122"/>
          <w:shd w:val="clear" w:color="auto" w:fill="FFFFFF"/>
        </w:rPr>
        <w:t>s</w:t>
      </w:r>
      <w:r w:rsidR="005F6973">
        <w:rPr>
          <w:rFonts w:eastAsia="Times New Roman" w:cs="Arial"/>
          <w:color w:val="202122"/>
          <w:shd w:val="clear" w:color="auto" w:fill="FFFFFF"/>
        </w:rPr>
        <w:t xml:space="preserve"> to participate in philanthropic activity was considered a challenge to the Victorian feminine image in the United States and Europe, that was not how it was perceived in Jerusalem. </w:t>
      </w:r>
      <w:r w:rsidR="007B7398">
        <w:rPr>
          <w:rFonts w:eastAsia="Times New Roman" w:cs="Arial"/>
          <w:color w:val="202122"/>
          <w:shd w:val="clear" w:color="auto" w:fill="FFFFFF"/>
        </w:rPr>
        <w:t>Even in the first decade of the twentieth century,</w:t>
      </w:r>
      <w:r w:rsidR="006D0717">
        <w:rPr>
          <w:rFonts w:eastAsia="Times New Roman" w:cs="Arial"/>
          <w:color w:val="202122"/>
          <w:shd w:val="clear" w:color="auto" w:fill="FFFFFF"/>
        </w:rPr>
        <w:t xml:space="preserve"> </w:t>
      </w:r>
      <w:r w:rsidR="002E2F86">
        <w:rPr>
          <w:rFonts w:eastAsia="Times New Roman" w:cs="Arial"/>
          <w:color w:val="202122"/>
          <w:shd w:val="clear" w:color="auto" w:fill="FFFFFF"/>
        </w:rPr>
        <w:t xml:space="preserve">the </w:t>
      </w:r>
      <w:r w:rsidR="006D0717">
        <w:rPr>
          <w:rFonts w:eastAsia="Times New Roman" w:cs="Arial"/>
          <w:color w:val="202122"/>
          <w:shd w:val="clear" w:color="auto" w:fill="FFFFFF"/>
        </w:rPr>
        <w:t>mobilization of</w:t>
      </w:r>
      <w:r w:rsidR="007B7398">
        <w:rPr>
          <w:rFonts w:eastAsia="Times New Roman" w:cs="Arial"/>
          <w:color w:val="202122"/>
          <w:shd w:val="clear" w:color="auto" w:fill="FFFFFF"/>
        </w:rPr>
        <w:t xml:space="preserve"> the city’s women</w:t>
      </w:r>
      <w:r w:rsidR="006D0717">
        <w:rPr>
          <w:rFonts w:eastAsia="Times New Roman" w:cs="Arial"/>
          <w:color w:val="202122"/>
          <w:shd w:val="clear" w:color="auto" w:fill="FFFFFF"/>
        </w:rPr>
        <w:t xml:space="preserve"> to </w:t>
      </w:r>
      <w:r w:rsidR="0017396E">
        <w:rPr>
          <w:rFonts w:eastAsia="Times New Roman" w:cs="Arial"/>
          <w:color w:val="202122"/>
          <w:shd w:val="clear" w:color="auto" w:fill="FFFFFF"/>
        </w:rPr>
        <w:t xml:space="preserve">perform charitable acts </w:t>
      </w:r>
      <w:r w:rsidR="006D0717">
        <w:rPr>
          <w:rFonts w:eastAsia="Times New Roman" w:cs="Arial"/>
          <w:color w:val="202122"/>
          <w:shd w:val="clear" w:color="auto" w:fill="FFFFFF"/>
        </w:rPr>
        <w:t xml:space="preserve">was achieved </w:t>
      </w:r>
      <w:r w:rsidR="0017396E">
        <w:rPr>
          <w:rFonts w:eastAsia="Times New Roman" w:cs="Arial"/>
          <w:color w:val="202122"/>
          <w:shd w:val="clear" w:color="auto" w:fill="FFFFFF"/>
        </w:rPr>
        <w:t xml:space="preserve">primarily </w:t>
      </w:r>
      <w:r w:rsidR="002E2F86">
        <w:rPr>
          <w:rFonts w:eastAsia="Times New Roman" w:cs="Arial"/>
          <w:color w:val="202122"/>
          <w:shd w:val="clear" w:color="auto" w:fill="FFFFFF"/>
        </w:rPr>
        <w:t>by appealing</w:t>
      </w:r>
      <w:r w:rsidR="006D0717">
        <w:rPr>
          <w:rFonts w:eastAsia="Times New Roman" w:cs="Arial"/>
          <w:color w:val="202122"/>
          <w:shd w:val="clear" w:color="auto" w:fill="FFFFFF"/>
        </w:rPr>
        <w:t xml:space="preserve"> to these women’s desire to express their social and religious feelings</w:t>
      </w:r>
      <w:r w:rsidR="002E2F86">
        <w:rPr>
          <w:rFonts w:eastAsia="Times New Roman" w:cs="Arial"/>
          <w:color w:val="202122"/>
          <w:shd w:val="clear" w:color="auto" w:fill="FFFFFF"/>
        </w:rPr>
        <w:t>,</w:t>
      </w:r>
      <w:r w:rsidR="006D0717">
        <w:rPr>
          <w:rFonts w:eastAsia="Times New Roman" w:cs="Arial"/>
          <w:color w:val="202122"/>
          <w:shd w:val="clear" w:color="auto" w:fill="FFFFFF"/>
        </w:rPr>
        <w:t xml:space="preserve"> </w:t>
      </w:r>
      <w:r w:rsidR="0017396E">
        <w:rPr>
          <w:rFonts w:eastAsia="Times New Roman" w:cs="Arial"/>
          <w:color w:val="202122"/>
          <w:shd w:val="clear" w:color="auto" w:fill="FFFFFF"/>
        </w:rPr>
        <w:t xml:space="preserve">rather than </w:t>
      </w:r>
      <w:r w:rsidR="002E2F86">
        <w:rPr>
          <w:rFonts w:eastAsia="Times New Roman" w:cs="Arial"/>
          <w:color w:val="202122"/>
          <w:shd w:val="clear" w:color="auto" w:fill="FFFFFF"/>
        </w:rPr>
        <w:t xml:space="preserve">a </w:t>
      </w:r>
      <w:r w:rsidR="0017396E">
        <w:rPr>
          <w:rFonts w:eastAsia="Times New Roman" w:cs="Arial"/>
          <w:color w:val="202122"/>
          <w:shd w:val="clear" w:color="auto" w:fill="FFFFFF"/>
        </w:rPr>
        <w:t>desire to</w:t>
      </w:r>
      <w:r w:rsidR="006D0717">
        <w:rPr>
          <w:rFonts w:eastAsia="Times New Roman" w:cs="Arial"/>
          <w:color w:val="202122"/>
          <w:shd w:val="clear" w:color="auto" w:fill="FFFFFF"/>
        </w:rPr>
        <w:t xml:space="preserve"> bring about a revolution in the way that </w:t>
      </w:r>
      <w:r w:rsidR="006D0717">
        <w:rPr>
          <w:rFonts w:eastAsia="Times New Roman" w:cs="Arial"/>
          <w:color w:val="202122"/>
          <w:shd w:val="clear" w:color="auto" w:fill="FFFFFF"/>
        </w:rPr>
        <w:lastRenderedPageBreak/>
        <w:t>traditional women were viewed.</w:t>
      </w:r>
      <w:r w:rsidR="006D0717">
        <w:rPr>
          <w:rStyle w:val="FootnoteReference"/>
          <w:rFonts w:eastAsia="Times New Roman" w:cs="Arial"/>
          <w:color w:val="202122"/>
          <w:shd w:val="clear" w:color="auto" w:fill="FFFFFF"/>
        </w:rPr>
        <w:footnoteReference w:id="11"/>
      </w:r>
      <w:r w:rsidR="00413443">
        <w:rPr>
          <w:rFonts w:eastAsia="Times New Roman" w:cs="Arial"/>
          <w:color w:val="202122"/>
          <w:shd w:val="clear" w:color="auto" w:fill="FFFFFF"/>
        </w:rPr>
        <w:t xml:space="preserve"> In any case, despite the education given to many </w:t>
      </w:r>
      <w:r w:rsidR="00204947">
        <w:rPr>
          <w:rFonts w:eastAsia="Times New Roman" w:cs="Arial"/>
          <w:color w:val="202122"/>
          <w:shd w:val="clear" w:color="auto" w:fill="FFFFFF"/>
        </w:rPr>
        <w:t xml:space="preserve">Jerusalem </w:t>
      </w:r>
      <w:r w:rsidR="00413443">
        <w:rPr>
          <w:rFonts w:eastAsia="Times New Roman" w:cs="Arial"/>
          <w:color w:val="202122"/>
          <w:shd w:val="clear" w:color="auto" w:fill="FFFFFF"/>
        </w:rPr>
        <w:t xml:space="preserve">women, </w:t>
      </w:r>
      <w:r w:rsidR="004B28B7">
        <w:rPr>
          <w:rFonts w:eastAsia="Times New Roman" w:cs="Arial"/>
          <w:color w:val="202122"/>
          <w:shd w:val="clear" w:color="auto" w:fill="FFFFFF"/>
        </w:rPr>
        <w:t xml:space="preserve">the </w:t>
      </w:r>
      <w:r w:rsidR="00413443">
        <w:rPr>
          <w:rFonts w:eastAsia="Times New Roman" w:cs="Arial"/>
          <w:color w:val="202122"/>
          <w:shd w:val="clear" w:color="auto" w:fill="FFFFFF"/>
        </w:rPr>
        <w:t>patriarchal</w:t>
      </w:r>
      <w:r w:rsidR="00413443" w:rsidRPr="00413443">
        <w:rPr>
          <w:rFonts w:eastAsia="Times New Roman" w:cs="Arial"/>
          <w:color w:val="202122"/>
          <w:shd w:val="clear" w:color="auto" w:fill="FFFFFF"/>
        </w:rPr>
        <w:t xml:space="preserve"> </w:t>
      </w:r>
      <w:r w:rsidR="004B28B7">
        <w:rPr>
          <w:rFonts w:eastAsia="Times New Roman" w:cs="Arial"/>
          <w:color w:val="202122"/>
          <w:shd w:val="clear" w:color="auto" w:fill="FFFFFF"/>
        </w:rPr>
        <w:t xml:space="preserve">attitude of </w:t>
      </w:r>
      <w:r w:rsidR="00413443">
        <w:rPr>
          <w:rFonts w:eastAsia="Times New Roman" w:cs="Arial"/>
          <w:color w:val="202122"/>
          <w:shd w:val="clear" w:color="auto" w:fill="FFFFFF"/>
        </w:rPr>
        <w:t xml:space="preserve">Old Yishuv men </w:t>
      </w:r>
      <w:r w:rsidR="004B28B7">
        <w:rPr>
          <w:rFonts w:eastAsia="Times New Roman" w:cs="Arial"/>
          <w:color w:val="202122"/>
          <w:shd w:val="clear" w:color="auto" w:fill="FFFFFF"/>
        </w:rPr>
        <w:t>and</w:t>
      </w:r>
      <w:r w:rsidR="00413443">
        <w:rPr>
          <w:rFonts w:eastAsia="Times New Roman" w:cs="Arial"/>
          <w:color w:val="202122"/>
          <w:shd w:val="clear" w:color="auto" w:fill="FFFFFF"/>
        </w:rPr>
        <w:t xml:space="preserve"> their </w:t>
      </w:r>
      <w:r w:rsidR="004B28B7">
        <w:rPr>
          <w:rFonts w:eastAsia="Times New Roman" w:cs="Arial"/>
          <w:color w:val="202122"/>
          <w:shd w:val="clear" w:color="auto" w:fill="FFFFFF"/>
        </w:rPr>
        <w:t>faith in</w:t>
      </w:r>
      <w:r w:rsidR="00413443">
        <w:rPr>
          <w:rFonts w:eastAsia="Times New Roman" w:cs="Arial"/>
          <w:color w:val="202122"/>
          <w:shd w:val="clear" w:color="auto" w:fill="FFFFFF"/>
        </w:rPr>
        <w:t xml:space="preserve"> men’s superiority </w:t>
      </w:r>
      <w:r w:rsidR="004B28B7">
        <w:rPr>
          <w:rFonts w:eastAsia="Times New Roman" w:cs="Arial"/>
          <w:color w:val="202122"/>
          <w:shd w:val="clear" w:color="auto" w:fill="FFFFFF"/>
        </w:rPr>
        <w:t>remained unaltered</w:t>
      </w:r>
      <w:r w:rsidR="00413443">
        <w:rPr>
          <w:rFonts w:eastAsia="Times New Roman" w:cs="Arial"/>
          <w:color w:val="202122"/>
          <w:shd w:val="clear" w:color="auto" w:fill="FFFFFF"/>
        </w:rPr>
        <w:t xml:space="preserve">. </w:t>
      </w:r>
      <w:r w:rsidR="0017396E">
        <w:rPr>
          <w:rFonts w:eastAsia="Times New Roman" w:cs="Arial"/>
          <w:color w:val="202122"/>
          <w:shd w:val="clear" w:color="auto" w:fill="FFFFFF"/>
        </w:rPr>
        <w:t>Conservative Jewish socie</w:t>
      </w:r>
      <w:r w:rsidR="004B28B7">
        <w:rPr>
          <w:rFonts w:eastAsia="Times New Roman" w:cs="Arial"/>
          <w:color w:val="202122"/>
          <w:shd w:val="clear" w:color="auto" w:fill="FFFFFF"/>
        </w:rPr>
        <w:t>ty</w:t>
      </w:r>
      <w:r w:rsidR="0017396E">
        <w:rPr>
          <w:rFonts w:eastAsia="Times New Roman" w:cs="Arial"/>
          <w:color w:val="202122"/>
          <w:shd w:val="clear" w:color="auto" w:fill="FFFFFF"/>
        </w:rPr>
        <w:t xml:space="preserve"> </w:t>
      </w:r>
      <w:r w:rsidR="00204947">
        <w:rPr>
          <w:rFonts w:eastAsia="Times New Roman" w:cs="Arial"/>
          <w:color w:val="202122"/>
          <w:shd w:val="clear" w:color="auto" w:fill="FFFFFF"/>
        </w:rPr>
        <w:t>maintained</w:t>
      </w:r>
      <w:r w:rsidR="0017396E">
        <w:rPr>
          <w:rFonts w:eastAsia="Times New Roman" w:cs="Arial"/>
          <w:color w:val="202122"/>
          <w:shd w:val="clear" w:color="auto" w:fill="FFFFFF"/>
        </w:rPr>
        <w:t xml:space="preserve"> its </w:t>
      </w:r>
      <w:r w:rsidR="00FA557B">
        <w:rPr>
          <w:rFonts w:eastAsia="Times New Roman" w:cs="Arial"/>
          <w:color w:val="202122"/>
          <w:shd w:val="clear" w:color="auto" w:fill="FFFFFF"/>
        </w:rPr>
        <w:t>fundamental</w:t>
      </w:r>
      <w:r w:rsidR="004B28B7">
        <w:rPr>
          <w:rFonts w:eastAsia="Times New Roman" w:cs="Arial"/>
          <w:color w:val="202122"/>
          <w:shd w:val="clear" w:color="auto" w:fill="FFFFFF"/>
        </w:rPr>
        <w:t xml:space="preserve"> view</w:t>
      </w:r>
      <w:r w:rsidR="00FA557B">
        <w:rPr>
          <w:rFonts w:eastAsia="Times New Roman" w:cs="Arial"/>
          <w:color w:val="202122"/>
          <w:shd w:val="clear" w:color="auto" w:fill="FFFFFF"/>
        </w:rPr>
        <w:t xml:space="preserve"> of gender </w:t>
      </w:r>
      <w:r w:rsidR="0017396E">
        <w:rPr>
          <w:rFonts w:eastAsia="Times New Roman" w:cs="Arial"/>
          <w:color w:val="202122"/>
          <w:shd w:val="clear" w:color="auto" w:fill="FFFFFF"/>
        </w:rPr>
        <w:t>a</w:t>
      </w:r>
      <w:r w:rsidR="00204947">
        <w:rPr>
          <w:rFonts w:eastAsia="Times New Roman" w:cs="Arial"/>
          <w:color w:val="202122"/>
          <w:shd w:val="clear" w:color="auto" w:fill="FFFFFF"/>
        </w:rPr>
        <w:t>nd its</w:t>
      </w:r>
      <w:r w:rsidR="00FA557B">
        <w:rPr>
          <w:rFonts w:eastAsia="Times New Roman" w:cs="Arial"/>
          <w:color w:val="202122"/>
          <w:shd w:val="clear" w:color="auto" w:fill="FFFFFF"/>
        </w:rPr>
        <w:t xml:space="preserve"> belief in man’s superio</w:t>
      </w:r>
      <w:r w:rsidR="004B28B7">
        <w:rPr>
          <w:rFonts w:eastAsia="Times New Roman" w:cs="Arial"/>
          <w:color w:val="202122"/>
          <w:shd w:val="clear" w:color="auto" w:fill="FFFFFF"/>
        </w:rPr>
        <w:t>rity.</w:t>
      </w:r>
      <w:r w:rsidR="005F1CB0">
        <w:rPr>
          <w:rStyle w:val="FootnoteReference"/>
          <w:rFonts w:eastAsia="Times New Roman" w:cs="Arial"/>
          <w:color w:val="202122"/>
          <w:shd w:val="clear" w:color="auto" w:fill="FFFFFF"/>
        </w:rPr>
        <w:footnoteReference w:id="12"/>
      </w:r>
      <w:r w:rsidR="00FA557B">
        <w:rPr>
          <w:rFonts w:eastAsia="Times New Roman" w:cs="Arial"/>
          <w:color w:val="202122"/>
          <w:shd w:val="clear" w:color="auto" w:fill="FFFFFF"/>
        </w:rPr>
        <w:t xml:space="preserve"> </w:t>
      </w:r>
      <w:r w:rsidR="004B28B7">
        <w:rPr>
          <w:rFonts w:eastAsia="Times New Roman" w:cs="Arial"/>
          <w:color w:val="202122"/>
          <w:shd w:val="clear" w:color="auto" w:fill="FFFFFF"/>
        </w:rPr>
        <w:t xml:space="preserve"> </w:t>
      </w:r>
    </w:p>
    <w:p w14:paraId="0A4B205A" w14:textId="2CB1D733" w:rsidR="00B9568F" w:rsidRDefault="002E2F86" w:rsidP="002E2F86">
      <w:pPr>
        <w:spacing w:line="480" w:lineRule="auto"/>
        <w:ind w:firstLine="720"/>
        <w:rPr>
          <w:rFonts w:eastAsia="Times New Roman" w:cs="Arial"/>
          <w:color w:val="202122"/>
          <w:shd w:val="clear" w:color="auto" w:fill="FFFFFF"/>
        </w:rPr>
      </w:pPr>
      <w:r>
        <w:rPr>
          <w:rFonts w:eastAsia="Times New Roman" w:cs="Arial"/>
          <w:color w:val="202122"/>
          <w:shd w:val="clear" w:color="auto" w:fill="FFFFFF"/>
        </w:rPr>
        <w:t>T</w:t>
      </w:r>
      <w:r w:rsidR="00204947">
        <w:rPr>
          <w:rFonts w:eastAsia="Times New Roman" w:cs="Arial"/>
          <w:color w:val="202122"/>
          <w:shd w:val="clear" w:color="auto" w:fill="FFFFFF"/>
        </w:rPr>
        <w:t>his article</w:t>
      </w:r>
      <w:r>
        <w:rPr>
          <w:rFonts w:eastAsia="Times New Roman" w:cs="Arial"/>
          <w:color w:val="202122"/>
          <w:shd w:val="clear" w:color="auto" w:fill="FFFFFF"/>
        </w:rPr>
        <w:t xml:space="preserve"> analyzes </w:t>
      </w:r>
      <w:r w:rsidR="008A2341">
        <w:rPr>
          <w:rFonts w:eastAsia="Times New Roman" w:cs="Arial"/>
          <w:color w:val="202122"/>
          <w:shd w:val="clear" w:color="auto" w:fill="FFFFFF"/>
        </w:rPr>
        <w:t xml:space="preserve">a </w:t>
      </w:r>
      <w:r w:rsidR="008F2D99">
        <w:rPr>
          <w:rFonts w:eastAsia="Times New Roman" w:cs="Arial"/>
          <w:color w:val="202122"/>
          <w:shd w:val="clear" w:color="auto" w:fill="FFFFFF"/>
        </w:rPr>
        <w:t>unique document</w:t>
      </w:r>
      <w:r w:rsidR="008A2341">
        <w:rPr>
          <w:rFonts w:eastAsia="Times New Roman" w:cs="Arial"/>
          <w:color w:val="202122"/>
          <w:shd w:val="clear" w:color="auto" w:fill="FFFFFF"/>
        </w:rPr>
        <w:t xml:space="preserve"> </w:t>
      </w:r>
      <w:r w:rsidR="00076C01">
        <w:rPr>
          <w:rFonts w:eastAsia="Times New Roman" w:cs="Arial"/>
          <w:color w:val="202122"/>
          <w:shd w:val="clear" w:color="auto" w:fill="FFFFFF"/>
        </w:rPr>
        <w:t xml:space="preserve">illustrating the active involvement of </w:t>
      </w:r>
      <w:r w:rsidR="008A2341">
        <w:rPr>
          <w:rFonts w:eastAsia="Times New Roman" w:cs="Arial"/>
          <w:color w:val="202122"/>
          <w:shd w:val="clear" w:color="auto" w:fill="FFFFFF"/>
        </w:rPr>
        <w:t>women</w:t>
      </w:r>
      <w:r w:rsidR="00076C01">
        <w:rPr>
          <w:rFonts w:eastAsia="Times New Roman" w:cs="Arial"/>
          <w:color w:val="202122"/>
          <w:shd w:val="clear" w:color="auto" w:fill="FFFFFF"/>
        </w:rPr>
        <w:t xml:space="preserve"> in </w:t>
      </w:r>
      <w:r w:rsidR="008F2D99">
        <w:rPr>
          <w:rFonts w:eastAsia="Times New Roman" w:cs="Arial"/>
          <w:color w:val="202122"/>
          <w:shd w:val="clear" w:color="auto" w:fill="FFFFFF"/>
        </w:rPr>
        <w:t xml:space="preserve">what was </w:t>
      </w:r>
      <w:r w:rsidR="00076C01">
        <w:rPr>
          <w:rFonts w:eastAsia="Times New Roman" w:cs="Arial"/>
          <w:color w:val="202122"/>
          <w:shd w:val="clear" w:color="auto" w:fill="FFFFFF"/>
        </w:rPr>
        <w:t xml:space="preserve">considered at the time to be a wholly masculine </w:t>
      </w:r>
      <w:r w:rsidR="008F2D99">
        <w:rPr>
          <w:rFonts w:eastAsia="Times New Roman" w:cs="Arial"/>
          <w:color w:val="202122"/>
          <w:shd w:val="clear" w:color="auto" w:fill="FFFFFF"/>
        </w:rPr>
        <w:t>matter</w:t>
      </w:r>
      <w:r w:rsidR="00204947">
        <w:rPr>
          <w:rFonts w:eastAsia="Times New Roman" w:cs="Arial"/>
          <w:color w:val="202122"/>
          <w:shd w:val="clear" w:color="auto" w:fill="FFFFFF"/>
        </w:rPr>
        <w:t xml:space="preserve">. </w:t>
      </w:r>
      <w:r w:rsidR="008F2D99">
        <w:rPr>
          <w:rFonts w:eastAsia="Times New Roman" w:cs="Arial"/>
          <w:color w:val="202122"/>
          <w:shd w:val="clear" w:color="auto" w:fill="FFFFFF"/>
        </w:rPr>
        <w:t xml:space="preserve">It was a letter written by a group of married Jerusalemite women to the </w:t>
      </w:r>
      <w:proofErr w:type="spellStart"/>
      <w:r w:rsidR="008F2D99">
        <w:rPr>
          <w:rFonts w:eastAsia="Times New Roman" w:cs="Arial"/>
          <w:color w:val="202122"/>
          <w:shd w:val="clear" w:color="auto" w:fill="FFFFFF"/>
        </w:rPr>
        <w:t>Hakham</w:t>
      </w:r>
      <w:proofErr w:type="spellEnd"/>
      <w:r w:rsidR="008F2D99">
        <w:rPr>
          <w:rFonts w:eastAsia="Times New Roman" w:cs="Arial"/>
          <w:color w:val="202122"/>
          <w:shd w:val="clear" w:color="auto" w:fill="FFFFFF"/>
        </w:rPr>
        <w:t xml:space="preserve"> </w:t>
      </w:r>
      <w:proofErr w:type="spellStart"/>
      <w:r w:rsidR="008F2D99">
        <w:rPr>
          <w:rFonts w:eastAsia="Times New Roman" w:cs="Arial"/>
          <w:color w:val="202122"/>
          <w:shd w:val="clear" w:color="auto" w:fill="FFFFFF"/>
        </w:rPr>
        <w:t>Bashi</w:t>
      </w:r>
      <w:proofErr w:type="spellEnd"/>
      <w:r w:rsidR="008F2D99">
        <w:rPr>
          <w:rFonts w:eastAsia="Times New Roman" w:cs="Arial"/>
          <w:color w:val="202122"/>
          <w:shd w:val="clear" w:color="auto" w:fill="FFFFFF"/>
        </w:rPr>
        <w:t xml:space="preserve"> Haim </w:t>
      </w:r>
      <w:proofErr w:type="spellStart"/>
      <w:r w:rsidR="008F2D99">
        <w:rPr>
          <w:rFonts w:eastAsia="Times New Roman" w:cs="Arial"/>
          <w:color w:val="202122"/>
          <w:shd w:val="clear" w:color="auto" w:fill="FFFFFF"/>
        </w:rPr>
        <w:t>Nachum</w:t>
      </w:r>
      <w:proofErr w:type="spellEnd"/>
      <w:r w:rsidR="008F2D99">
        <w:rPr>
          <w:rFonts w:eastAsia="Times New Roman" w:cs="Arial"/>
          <w:color w:val="202122"/>
          <w:shd w:val="clear" w:color="auto" w:fill="FFFFFF"/>
        </w:rPr>
        <w:t xml:space="preserve"> in Istanbul; in it, these women, who</w:t>
      </w:r>
      <w:r w:rsidR="008A2341">
        <w:rPr>
          <w:rFonts w:eastAsia="Times New Roman" w:cs="Arial"/>
          <w:color w:val="202122"/>
          <w:shd w:val="clear" w:color="auto" w:fill="FFFFFF"/>
        </w:rPr>
        <w:t xml:space="preserve"> were neither </w:t>
      </w:r>
      <w:r w:rsidR="008F2D99">
        <w:rPr>
          <w:rFonts w:eastAsia="Times New Roman" w:cs="Arial"/>
          <w:color w:val="202122"/>
          <w:shd w:val="clear" w:color="auto" w:fill="FFFFFF"/>
        </w:rPr>
        <w:t xml:space="preserve">members of the </w:t>
      </w:r>
      <w:r w:rsidR="008A2341">
        <w:rPr>
          <w:rFonts w:eastAsia="Times New Roman" w:cs="Arial"/>
          <w:color w:val="202122"/>
          <w:shd w:val="clear" w:color="auto" w:fill="FFFFFF"/>
        </w:rPr>
        <w:t xml:space="preserve">upper class </w:t>
      </w:r>
      <w:r w:rsidR="008F2D99">
        <w:rPr>
          <w:rFonts w:eastAsia="Times New Roman" w:cs="Arial"/>
          <w:color w:val="202122"/>
          <w:shd w:val="clear" w:color="auto" w:fill="FFFFFF"/>
        </w:rPr>
        <w:t>nor</w:t>
      </w:r>
      <w:r w:rsidR="008A2341">
        <w:rPr>
          <w:rFonts w:eastAsia="Times New Roman" w:cs="Arial"/>
          <w:color w:val="202122"/>
          <w:shd w:val="clear" w:color="auto" w:fill="FFFFFF"/>
        </w:rPr>
        <w:t xml:space="preserve"> </w:t>
      </w:r>
      <w:r w:rsidR="008F2D99">
        <w:rPr>
          <w:rFonts w:eastAsia="Times New Roman" w:cs="Arial"/>
          <w:color w:val="202122"/>
          <w:shd w:val="clear" w:color="auto" w:fill="FFFFFF"/>
        </w:rPr>
        <w:t xml:space="preserve">the </w:t>
      </w:r>
      <w:r w:rsidR="008A2341">
        <w:rPr>
          <w:rFonts w:eastAsia="Times New Roman" w:cs="Arial"/>
          <w:color w:val="202122"/>
          <w:shd w:val="clear" w:color="auto" w:fill="FFFFFF"/>
        </w:rPr>
        <w:t>upper middle class</w:t>
      </w:r>
      <w:r w:rsidR="008F2D99">
        <w:rPr>
          <w:rFonts w:eastAsia="Times New Roman" w:cs="Arial"/>
          <w:color w:val="202122"/>
          <w:shd w:val="clear" w:color="auto" w:fill="FFFFFF"/>
        </w:rPr>
        <w:t xml:space="preserve"> but rather women of much more humble standing, begged him to see to it that their husband</w:t>
      </w:r>
      <w:r>
        <w:rPr>
          <w:rFonts w:eastAsia="Times New Roman" w:cs="Arial"/>
          <w:color w:val="202122"/>
          <w:shd w:val="clear" w:color="auto" w:fill="FFFFFF"/>
        </w:rPr>
        <w:t>s</w:t>
      </w:r>
      <w:r w:rsidR="008F2D99">
        <w:rPr>
          <w:rFonts w:eastAsia="Times New Roman" w:cs="Arial"/>
          <w:color w:val="202122"/>
          <w:shd w:val="clear" w:color="auto" w:fill="FFFFFF"/>
        </w:rPr>
        <w:t xml:space="preserve"> w</w:t>
      </w:r>
      <w:r w:rsidR="002C2E93">
        <w:rPr>
          <w:rFonts w:eastAsia="Times New Roman" w:cs="Arial"/>
          <w:color w:val="202122"/>
          <w:shd w:val="clear" w:color="auto" w:fill="FFFFFF"/>
        </w:rPr>
        <w:t xml:space="preserve">ould be able to forgo the obligation to mobilize for the army, as they were required to do by the new draft law. From the letter, it is clear that they had </w:t>
      </w:r>
      <w:r>
        <w:rPr>
          <w:rFonts w:eastAsia="Times New Roman" w:cs="Arial"/>
          <w:color w:val="202122"/>
          <w:shd w:val="clear" w:color="auto" w:fill="FFFFFF"/>
        </w:rPr>
        <w:t xml:space="preserve">earlier </w:t>
      </w:r>
      <w:r w:rsidR="002C2E93">
        <w:rPr>
          <w:rFonts w:eastAsia="Times New Roman" w:cs="Arial"/>
          <w:color w:val="202122"/>
          <w:shd w:val="clear" w:color="auto" w:fill="FFFFFF"/>
        </w:rPr>
        <w:t xml:space="preserve">also requested the same from ministers in the Ottoman government. Against the background of the </w:t>
      </w:r>
      <w:r w:rsidR="00483C20">
        <w:rPr>
          <w:rFonts w:eastAsia="Times New Roman" w:cs="Arial"/>
          <w:color w:val="202122"/>
          <w:shd w:val="clear" w:color="auto" w:fill="FFFFFF"/>
        </w:rPr>
        <w:t xml:space="preserve">extended </w:t>
      </w:r>
      <w:r w:rsidR="002C2E93">
        <w:rPr>
          <w:rFonts w:eastAsia="Times New Roman" w:cs="Arial"/>
          <w:color w:val="202122"/>
          <w:shd w:val="clear" w:color="auto" w:fill="FFFFFF"/>
        </w:rPr>
        <w:t xml:space="preserve">crisis that the Yishuv had faced in the decade prior to the First World War, I argue that that this petition is </w:t>
      </w:r>
      <w:r>
        <w:rPr>
          <w:rFonts w:eastAsia="Times New Roman" w:cs="Arial"/>
          <w:color w:val="202122"/>
          <w:shd w:val="clear" w:color="auto" w:fill="FFFFFF"/>
        </w:rPr>
        <w:t>a</w:t>
      </w:r>
      <w:r w:rsidR="00483C20">
        <w:rPr>
          <w:rFonts w:eastAsia="Times New Roman" w:cs="Arial"/>
          <w:color w:val="202122"/>
          <w:shd w:val="clear" w:color="auto" w:fill="FFFFFF"/>
        </w:rPr>
        <w:t xml:space="preserve"> preliminary</w:t>
      </w:r>
      <w:r w:rsidR="002C2E93">
        <w:rPr>
          <w:rFonts w:eastAsia="Times New Roman" w:cs="Arial"/>
          <w:color w:val="202122"/>
          <w:shd w:val="clear" w:color="auto" w:fill="FFFFFF"/>
        </w:rPr>
        <w:t xml:space="preserve"> step heralding the increasing involvement of women in Jerusalem’s public sphere in the years </w:t>
      </w:r>
      <w:r>
        <w:rPr>
          <w:rFonts w:eastAsia="Times New Roman" w:cs="Arial"/>
          <w:color w:val="202122"/>
          <w:shd w:val="clear" w:color="auto" w:fill="FFFFFF"/>
        </w:rPr>
        <w:t>that followed</w:t>
      </w:r>
      <w:r w:rsidR="002C2E93">
        <w:rPr>
          <w:rFonts w:eastAsia="Times New Roman" w:cs="Arial"/>
          <w:color w:val="202122"/>
          <w:shd w:val="clear" w:color="auto" w:fill="FFFFFF"/>
        </w:rPr>
        <w:t xml:space="preserve">. </w:t>
      </w:r>
    </w:p>
    <w:p w14:paraId="4156050A" w14:textId="77777777" w:rsidR="00B9568F" w:rsidRDefault="00B9568F" w:rsidP="00B9568F">
      <w:pPr>
        <w:spacing w:line="480" w:lineRule="auto"/>
        <w:rPr>
          <w:rFonts w:eastAsia="Times New Roman" w:cs="Arial"/>
          <w:color w:val="202122"/>
          <w:shd w:val="clear" w:color="auto" w:fill="FFFFFF"/>
        </w:rPr>
      </w:pPr>
    </w:p>
    <w:p w14:paraId="764F5434" w14:textId="77777777" w:rsidR="00B9568F" w:rsidRDefault="00B9568F" w:rsidP="00B9568F">
      <w:pPr>
        <w:spacing w:line="480" w:lineRule="auto"/>
        <w:rPr>
          <w:rFonts w:eastAsia="Times New Roman" w:cs="Arial"/>
          <w:b/>
          <w:bCs/>
          <w:color w:val="202122"/>
          <w:shd w:val="clear" w:color="auto" w:fill="FFFFFF"/>
        </w:rPr>
      </w:pPr>
      <w:r>
        <w:rPr>
          <w:rFonts w:eastAsia="Times New Roman" w:cs="Arial"/>
          <w:b/>
          <w:bCs/>
          <w:color w:val="202122"/>
          <w:shd w:val="clear" w:color="auto" w:fill="FFFFFF"/>
        </w:rPr>
        <w:t>The Conscription Law—The Dimension of Surprise</w:t>
      </w:r>
    </w:p>
    <w:p w14:paraId="0753FB24" w14:textId="725E23A1" w:rsidR="00E45F14" w:rsidRDefault="00B9568F" w:rsidP="002E2F86">
      <w:pPr>
        <w:spacing w:line="480" w:lineRule="auto"/>
        <w:rPr>
          <w:rFonts w:eastAsia="Times New Roman" w:cs="Arial"/>
          <w:color w:val="202122"/>
          <w:shd w:val="clear" w:color="auto" w:fill="FFFFFF"/>
        </w:rPr>
      </w:pPr>
      <w:r>
        <w:rPr>
          <w:rFonts w:eastAsia="Times New Roman" w:cs="Arial"/>
          <w:color w:val="202122"/>
          <w:shd w:val="clear" w:color="auto" w:fill="FFFFFF"/>
        </w:rPr>
        <w:t>On Wednesday, July 2, 1909, the Ottoman Parliament in Istanb</w:t>
      </w:r>
      <w:r w:rsidR="003F2F65">
        <w:rPr>
          <w:rFonts w:eastAsia="Times New Roman" w:cs="Arial"/>
          <w:color w:val="202122"/>
          <w:shd w:val="clear" w:color="auto" w:fill="FFFFFF"/>
        </w:rPr>
        <w:t xml:space="preserve">ul </w:t>
      </w:r>
      <w:commentRangeStart w:id="5"/>
      <w:r w:rsidR="003F2F65">
        <w:rPr>
          <w:rFonts w:eastAsia="Times New Roman" w:cs="Arial"/>
          <w:color w:val="202122"/>
          <w:shd w:val="clear" w:color="auto" w:fill="FFFFFF"/>
        </w:rPr>
        <w:t>passed</w:t>
      </w:r>
      <w:commentRangeEnd w:id="5"/>
      <w:r w:rsidR="003F2F65">
        <w:rPr>
          <w:rStyle w:val="CommentReference"/>
        </w:rPr>
        <w:commentReference w:id="5"/>
      </w:r>
      <w:r w:rsidR="003F2F65">
        <w:rPr>
          <w:rFonts w:eastAsia="Times New Roman" w:cs="Arial"/>
          <w:color w:val="202122"/>
          <w:shd w:val="clear" w:color="auto" w:fill="FFFFFF"/>
        </w:rPr>
        <w:t xml:space="preserve"> a new law </w:t>
      </w:r>
      <w:commentRangeStart w:id="6"/>
      <w:r w:rsidR="003F2F65">
        <w:rPr>
          <w:rFonts w:eastAsia="Times New Roman" w:cs="Arial"/>
          <w:color w:val="202122"/>
          <w:shd w:val="clear" w:color="auto" w:fill="FFFFFF"/>
        </w:rPr>
        <w:t>possessing</w:t>
      </w:r>
      <w:commentRangeEnd w:id="6"/>
      <w:r w:rsidR="003F2F65">
        <w:rPr>
          <w:rStyle w:val="CommentReference"/>
        </w:rPr>
        <w:commentReference w:id="6"/>
      </w:r>
      <w:r w:rsidR="003F2F65">
        <w:rPr>
          <w:rFonts w:eastAsia="Times New Roman" w:cs="Arial"/>
          <w:color w:val="202122"/>
          <w:shd w:val="clear" w:color="auto" w:fill="FFFFFF"/>
        </w:rPr>
        <w:t xml:space="preserve"> two clauses that </w:t>
      </w:r>
      <w:r w:rsidR="002E2F86">
        <w:rPr>
          <w:rFonts w:eastAsia="Times New Roman" w:cs="Arial"/>
          <w:color w:val="202122"/>
          <w:shd w:val="clear" w:color="auto" w:fill="FFFFFF"/>
        </w:rPr>
        <w:t>had a tremendous impact on</w:t>
      </w:r>
      <w:r w:rsidR="003F2F65">
        <w:rPr>
          <w:rFonts w:eastAsia="Times New Roman" w:cs="Arial"/>
          <w:color w:val="202122"/>
          <w:shd w:val="clear" w:color="auto" w:fill="FFFFFF"/>
        </w:rPr>
        <w:t xml:space="preserve"> the Ottoman Empire </w:t>
      </w:r>
      <w:r w:rsidR="002E2F86">
        <w:rPr>
          <w:rFonts w:eastAsia="Times New Roman" w:cs="Arial"/>
          <w:color w:val="202122"/>
          <w:shd w:val="clear" w:color="auto" w:fill="FFFFFF"/>
        </w:rPr>
        <w:t xml:space="preserve">as a whole </w:t>
      </w:r>
      <w:r w:rsidR="003F2F65">
        <w:rPr>
          <w:rFonts w:eastAsia="Times New Roman" w:cs="Arial"/>
          <w:color w:val="202122"/>
          <w:shd w:val="clear" w:color="auto" w:fill="FFFFFF"/>
        </w:rPr>
        <w:t>and its non-Muslim minorities in particular</w:t>
      </w:r>
      <w:r w:rsidR="009F5DCD">
        <w:rPr>
          <w:rFonts w:eastAsia="Times New Roman" w:cs="Arial"/>
          <w:color w:val="202122"/>
          <w:shd w:val="clear" w:color="auto" w:fill="FFFFFF"/>
        </w:rPr>
        <w:t>. The first clause officially abolished</w:t>
      </w:r>
      <w:r w:rsidR="003F2F65">
        <w:rPr>
          <w:rFonts w:eastAsia="Times New Roman" w:cs="Arial"/>
          <w:color w:val="202122"/>
          <w:shd w:val="clear" w:color="auto" w:fill="FFFFFF"/>
        </w:rPr>
        <w:t xml:space="preserve"> </w:t>
      </w:r>
      <w:r>
        <w:rPr>
          <w:rFonts w:eastAsia="Times New Roman" w:cs="Arial"/>
          <w:color w:val="202122"/>
          <w:shd w:val="clear" w:color="auto" w:fill="FFFFFF"/>
        </w:rPr>
        <w:t>the</w:t>
      </w:r>
      <w:r w:rsidR="007E39B5">
        <w:rPr>
          <w:rFonts w:eastAsia="Times New Roman" w:cs="Arial"/>
          <w:color w:val="202122"/>
          <w:shd w:val="clear" w:color="auto" w:fill="FFFFFF"/>
        </w:rPr>
        <w:t xml:space="preserve"> </w:t>
      </w:r>
      <w:proofErr w:type="spellStart"/>
      <w:r w:rsidRPr="00232097">
        <w:rPr>
          <w:rFonts w:eastAsia="Times New Roman" w:cs="Arial"/>
          <w:i/>
          <w:iCs/>
          <w:color w:val="202122"/>
          <w:shd w:val="clear" w:color="auto" w:fill="FFFFFF"/>
        </w:rPr>
        <w:t>bed</w:t>
      </w:r>
      <w:r w:rsidR="000B399E" w:rsidRPr="00232097">
        <w:rPr>
          <w:rFonts w:eastAsia="Times New Roman" w:cs="Arial"/>
          <w:i/>
          <w:iCs/>
          <w:color w:val="202122"/>
          <w:shd w:val="clear" w:color="auto" w:fill="FFFFFF"/>
        </w:rPr>
        <w:t>e</w:t>
      </w:r>
      <w:r w:rsidRPr="00232097">
        <w:rPr>
          <w:rFonts w:eastAsia="Times New Roman" w:cs="Arial"/>
          <w:i/>
          <w:iCs/>
          <w:color w:val="202122"/>
          <w:shd w:val="clear" w:color="auto" w:fill="FFFFFF"/>
        </w:rPr>
        <w:t>l</w:t>
      </w:r>
      <w:r w:rsidR="002E2F86">
        <w:rPr>
          <w:rFonts w:eastAsia="Times New Roman" w:cs="Arial"/>
          <w:i/>
          <w:iCs/>
          <w:color w:val="202122"/>
          <w:shd w:val="clear" w:color="auto" w:fill="FFFFFF"/>
        </w:rPr>
        <w:t>-i</w:t>
      </w:r>
      <w:proofErr w:type="spellEnd"/>
      <w:r w:rsidRPr="00232097">
        <w:rPr>
          <w:rFonts w:eastAsia="Times New Roman" w:cs="Arial"/>
          <w:i/>
          <w:iCs/>
          <w:color w:val="202122"/>
          <w:shd w:val="clear" w:color="auto" w:fill="FFFFFF"/>
        </w:rPr>
        <w:t xml:space="preserve"> </w:t>
      </w:r>
      <w:proofErr w:type="spellStart"/>
      <w:r w:rsidRPr="00232097">
        <w:rPr>
          <w:rFonts w:eastAsia="Times New Roman" w:cs="Arial"/>
          <w:i/>
          <w:iCs/>
          <w:color w:val="202122"/>
          <w:shd w:val="clear" w:color="auto" w:fill="FFFFFF"/>
        </w:rPr>
        <w:t>askeri</w:t>
      </w:r>
      <w:proofErr w:type="spellEnd"/>
      <w:r w:rsidR="002E2F86">
        <w:rPr>
          <w:rFonts w:eastAsia="Times New Roman" w:cs="Arial"/>
          <w:color w:val="202122"/>
          <w:shd w:val="clear" w:color="auto" w:fill="FFFFFF"/>
        </w:rPr>
        <w:t xml:space="preserve">, which </w:t>
      </w:r>
      <w:r w:rsidR="009F5DCD">
        <w:rPr>
          <w:rFonts w:eastAsia="Times New Roman" w:cs="Arial"/>
          <w:color w:val="202122"/>
          <w:shd w:val="clear" w:color="auto" w:fill="FFFFFF"/>
        </w:rPr>
        <w:t xml:space="preserve">was </w:t>
      </w:r>
      <w:r w:rsidR="009F5DCD">
        <w:rPr>
          <w:rFonts w:eastAsia="Times New Roman" w:cs="Arial"/>
          <w:color w:val="202122"/>
          <w:shd w:val="clear" w:color="auto" w:fill="FFFFFF"/>
        </w:rPr>
        <w:lastRenderedPageBreak/>
        <w:t>paid by</w:t>
      </w:r>
      <w:r>
        <w:rPr>
          <w:rFonts w:eastAsia="Times New Roman" w:cs="Arial"/>
          <w:color w:val="202122"/>
          <w:shd w:val="clear" w:color="auto" w:fill="FFFFFF"/>
        </w:rPr>
        <w:t xml:space="preserve"> Jews and Christians in lieu of military</w:t>
      </w:r>
      <w:r w:rsidR="000B399E">
        <w:rPr>
          <w:rFonts w:eastAsia="Times New Roman" w:cs="Arial"/>
          <w:color w:val="202122"/>
          <w:shd w:val="clear" w:color="auto" w:fill="FFFFFF"/>
        </w:rPr>
        <w:t xml:space="preserve"> service</w:t>
      </w:r>
      <w:r w:rsidR="002E2F86">
        <w:rPr>
          <w:rFonts w:eastAsia="Times New Roman" w:cs="Arial"/>
          <w:color w:val="202122"/>
          <w:shd w:val="clear" w:color="auto" w:fill="FFFFFF"/>
        </w:rPr>
        <w:t>—a duty previously incumbent only on</w:t>
      </w:r>
      <w:r w:rsidR="003F2F65">
        <w:rPr>
          <w:rFonts w:eastAsia="Times New Roman" w:cs="Arial"/>
          <w:color w:val="202122"/>
          <w:shd w:val="clear" w:color="auto" w:fill="FFFFFF"/>
        </w:rPr>
        <w:t xml:space="preserve"> Muslims</w:t>
      </w:r>
      <w:r w:rsidR="009F5DCD">
        <w:rPr>
          <w:rFonts w:eastAsia="Times New Roman" w:cs="Arial"/>
          <w:color w:val="202122"/>
          <w:shd w:val="clear" w:color="auto" w:fill="FFFFFF"/>
        </w:rPr>
        <w:t>.</w:t>
      </w:r>
      <w:r w:rsidR="003F2F65">
        <w:rPr>
          <w:rStyle w:val="FootnoteReference"/>
          <w:rFonts w:eastAsia="Times New Roman" w:cs="Arial"/>
          <w:color w:val="202122"/>
          <w:shd w:val="clear" w:color="auto" w:fill="FFFFFF"/>
        </w:rPr>
        <w:footnoteReference w:id="13"/>
      </w:r>
      <w:r w:rsidR="000B399E">
        <w:rPr>
          <w:rFonts w:eastAsia="Times New Roman" w:cs="Arial"/>
          <w:color w:val="202122"/>
          <w:shd w:val="clear" w:color="auto" w:fill="FFFFFF"/>
        </w:rPr>
        <w:t xml:space="preserve"> </w:t>
      </w:r>
      <w:r w:rsidR="009F5DCD">
        <w:rPr>
          <w:rFonts w:eastAsia="Times New Roman" w:cs="Arial"/>
          <w:color w:val="202122"/>
          <w:shd w:val="clear" w:color="auto" w:fill="FFFFFF"/>
        </w:rPr>
        <w:t xml:space="preserve"> This paved the way for full military conscription of</w:t>
      </w:r>
      <w:r w:rsidR="00232097" w:rsidRPr="00232097">
        <w:rPr>
          <w:rFonts w:eastAsia="Times New Roman" w:cs="Arial"/>
          <w:color w:val="202122"/>
          <w:shd w:val="clear" w:color="auto" w:fill="FFFFFF"/>
        </w:rPr>
        <w:t xml:space="preserve"> </w:t>
      </w:r>
      <w:r w:rsidR="00232097">
        <w:rPr>
          <w:rFonts w:eastAsia="Times New Roman" w:cs="Arial"/>
          <w:color w:val="202122"/>
          <w:shd w:val="clear" w:color="auto" w:fill="FFFFFF"/>
        </w:rPr>
        <w:t>these two religious minorities’</w:t>
      </w:r>
      <w:r w:rsidR="009F5DCD">
        <w:rPr>
          <w:rFonts w:eastAsia="Times New Roman" w:cs="Arial"/>
          <w:color w:val="202122"/>
          <w:shd w:val="clear" w:color="auto" w:fill="FFFFFF"/>
        </w:rPr>
        <w:t xml:space="preserve"> men </w:t>
      </w:r>
      <w:r w:rsidR="00232097">
        <w:rPr>
          <w:rFonts w:eastAsia="Times New Roman" w:cs="Arial"/>
          <w:color w:val="202122"/>
          <w:shd w:val="clear" w:color="auto" w:fill="FFFFFF"/>
        </w:rPr>
        <w:t xml:space="preserve">to commence </w:t>
      </w:r>
      <w:r w:rsidR="009F5DCD">
        <w:rPr>
          <w:rFonts w:eastAsia="Times New Roman" w:cs="Arial"/>
          <w:color w:val="202122"/>
          <w:shd w:val="clear" w:color="auto" w:fill="FFFFFF"/>
        </w:rPr>
        <w:t xml:space="preserve">at the beginning of the next Muslim year. </w:t>
      </w:r>
      <w:r w:rsidR="00D33044">
        <w:rPr>
          <w:rFonts w:eastAsia="Times New Roman" w:cs="Arial"/>
          <w:color w:val="202122"/>
          <w:shd w:val="clear" w:color="auto" w:fill="FFFFFF"/>
        </w:rPr>
        <w:t xml:space="preserve">The second clause granted </w:t>
      </w:r>
      <w:r w:rsidR="00232097">
        <w:rPr>
          <w:rFonts w:eastAsia="Times New Roman" w:cs="Arial"/>
          <w:color w:val="202122"/>
          <w:shd w:val="clear" w:color="auto" w:fill="FFFFFF"/>
        </w:rPr>
        <w:t xml:space="preserve">military service </w:t>
      </w:r>
      <w:r w:rsidR="00D33044">
        <w:rPr>
          <w:rFonts w:eastAsia="Times New Roman" w:cs="Arial"/>
          <w:color w:val="202122"/>
          <w:shd w:val="clear" w:color="auto" w:fill="FFFFFF"/>
        </w:rPr>
        <w:t xml:space="preserve">exemptions to </w:t>
      </w:r>
      <w:r w:rsidR="00232097">
        <w:rPr>
          <w:rFonts w:eastAsia="Times New Roman" w:cs="Arial"/>
          <w:color w:val="202122"/>
          <w:shd w:val="clear" w:color="auto" w:fill="FFFFFF"/>
        </w:rPr>
        <w:t>the devout</w:t>
      </w:r>
      <w:r w:rsidR="00D33044">
        <w:rPr>
          <w:rFonts w:eastAsia="Times New Roman" w:cs="Arial"/>
          <w:color w:val="202122"/>
          <w:shd w:val="clear" w:color="auto" w:fill="FFFFFF"/>
        </w:rPr>
        <w:t xml:space="preserve"> of all </w:t>
      </w:r>
      <w:r w:rsidR="00232097">
        <w:rPr>
          <w:rFonts w:eastAsia="Times New Roman" w:cs="Arial"/>
          <w:color w:val="202122"/>
          <w:shd w:val="clear" w:color="auto" w:fill="FFFFFF"/>
        </w:rPr>
        <w:t>religions</w:t>
      </w:r>
      <w:r w:rsidR="00D33044">
        <w:rPr>
          <w:rFonts w:eastAsia="Times New Roman" w:cs="Arial"/>
          <w:color w:val="202122"/>
          <w:shd w:val="clear" w:color="auto" w:fill="FFFFFF"/>
        </w:rPr>
        <w:t xml:space="preserve">; this exemption applied to rabbis, learned men, rabbinical seminary students, principals of officially recognized schools, head schoolteachers and even their assistants. </w:t>
      </w:r>
      <w:r w:rsidR="00232097">
        <w:rPr>
          <w:rFonts w:eastAsia="Times New Roman" w:cs="Arial"/>
          <w:color w:val="202122"/>
          <w:shd w:val="clear" w:color="auto" w:fill="FFFFFF"/>
        </w:rPr>
        <w:t>On Monday, August 2, 1909, o</w:t>
      </w:r>
      <w:r w:rsidR="00DF633C">
        <w:rPr>
          <w:rFonts w:eastAsia="Times New Roman" w:cs="Arial"/>
          <w:color w:val="202122"/>
          <w:shd w:val="clear" w:color="auto" w:fill="FFFFFF"/>
        </w:rPr>
        <w:t>ne of the</w:t>
      </w:r>
      <w:r w:rsidR="00D33044">
        <w:rPr>
          <w:rFonts w:eastAsia="Times New Roman" w:cs="Arial"/>
          <w:color w:val="202122"/>
          <w:shd w:val="clear" w:color="auto" w:fill="FFFFFF"/>
        </w:rPr>
        <w:t xml:space="preserve"> first report</w:t>
      </w:r>
      <w:r w:rsidR="00232097">
        <w:rPr>
          <w:rFonts w:eastAsia="Times New Roman" w:cs="Arial"/>
          <w:color w:val="202122"/>
          <w:shd w:val="clear" w:color="auto" w:fill="FFFFFF"/>
        </w:rPr>
        <w:t xml:space="preserve">s about </w:t>
      </w:r>
      <w:r w:rsidR="002E2F86">
        <w:rPr>
          <w:rFonts w:eastAsia="Times New Roman" w:cs="Arial"/>
          <w:color w:val="202122"/>
          <w:shd w:val="clear" w:color="auto" w:fill="FFFFFF"/>
        </w:rPr>
        <w:t xml:space="preserve">the </w:t>
      </w:r>
      <w:r w:rsidR="00232097">
        <w:rPr>
          <w:rFonts w:eastAsia="Times New Roman" w:cs="Arial"/>
          <w:color w:val="202122"/>
          <w:shd w:val="clear" w:color="auto" w:fill="FFFFFF"/>
        </w:rPr>
        <w:t>law</w:t>
      </w:r>
      <w:r w:rsidR="00D33044">
        <w:rPr>
          <w:rFonts w:eastAsia="Times New Roman" w:cs="Arial"/>
          <w:color w:val="202122"/>
          <w:shd w:val="clear" w:color="auto" w:fill="FFFFFF"/>
        </w:rPr>
        <w:t xml:space="preserve"> </w:t>
      </w:r>
      <w:r w:rsidR="00232097">
        <w:rPr>
          <w:rFonts w:eastAsia="Times New Roman" w:cs="Arial"/>
          <w:color w:val="202122"/>
          <w:shd w:val="clear" w:color="auto" w:fill="FFFFFF"/>
        </w:rPr>
        <w:t xml:space="preserve">was published in the newspaper </w:t>
      </w:r>
      <w:r w:rsidR="00232097">
        <w:rPr>
          <w:rFonts w:eastAsia="Times New Roman" w:cs="Arial"/>
          <w:i/>
          <w:iCs/>
          <w:color w:val="202122"/>
          <w:shd w:val="clear" w:color="auto" w:fill="FFFFFF"/>
        </w:rPr>
        <w:t>ha-</w:t>
      </w:r>
      <w:proofErr w:type="spellStart"/>
      <w:r w:rsidR="00232097">
        <w:rPr>
          <w:rFonts w:eastAsia="Times New Roman" w:cs="Arial"/>
          <w:i/>
          <w:iCs/>
          <w:color w:val="202122"/>
          <w:shd w:val="clear" w:color="auto" w:fill="FFFFFF"/>
        </w:rPr>
        <w:t>Herut</w:t>
      </w:r>
      <w:proofErr w:type="spellEnd"/>
      <w:r w:rsidR="00232097">
        <w:rPr>
          <w:rFonts w:eastAsia="Times New Roman" w:cs="Arial"/>
          <w:i/>
          <w:iCs/>
          <w:color w:val="202122"/>
          <w:shd w:val="clear" w:color="auto" w:fill="FFFFFF"/>
        </w:rPr>
        <w:t xml:space="preserve"> </w:t>
      </w:r>
      <w:r w:rsidR="00232097">
        <w:rPr>
          <w:rFonts w:eastAsia="Times New Roman" w:cs="Arial"/>
          <w:color w:val="202122"/>
          <w:shd w:val="clear" w:color="auto" w:fill="FFFFFF"/>
        </w:rPr>
        <w:t xml:space="preserve">(Freedom) and it spread the news </w:t>
      </w:r>
      <w:r w:rsidR="00DF633C">
        <w:rPr>
          <w:rFonts w:eastAsia="Times New Roman" w:cs="Arial"/>
          <w:color w:val="202122"/>
          <w:shd w:val="clear" w:color="auto" w:fill="FFFFFF"/>
        </w:rPr>
        <w:t xml:space="preserve">in Jerusalem. </w:t>
      </w:r>
      <w:r w:rsidR="00232097">
        <w:rPr>
          <w:rFonts w:eastAsia="Times New Roman" w:cs="Arial"/>
          <w:color w:val="202122"/>
          <w:shd w:val="clear" w:color="auto" w:fill="FFFFFF"/>
        </w:rPr>
        <w:t>A</w:t>
      </w:r>
      <w:r w:rsidR="00DF633C">
        <w:rPr>
          <w:rFonts w:eastAsia="Times New Roman" w:cs="Arial"/>
          <w:color w:val="202122"/>
          <w:shd w:val="clear" w:color="auto" w:fill="FFFFFF"/>
        </w:rPr>
        <w:t xml:space="preserve"> more detailed news item about the new law was published </w:t>
      </w:r>
      <w:r w:rsidR="002E2F86">
        <w:rPr>
          <w:rFonts w:eastAsia="Times New Roman" w:cs="Arial"/>
          <w:color w:val="202122"/>
          <w:shd w:val="clear" w:color="auto" w:fill="FFFFFF"/>
        </w:rPr>
        <w:t>a</w:t>
      </w:r>
      <w:r w:rsidR="00232097">
        <w:rPr>
          <w:rFonts w:eastAsia="Times New Roman" w:cs="Arial"/>
          <w:color w:val="202122"/>
          <w:shd w:val="clear" w:color="auto" w:fill="FFFFFF"/>
        </w:rPr>
        <w:t xml:space="preserve"> week later; </w:t>
      </w:r>
      <w:r w:rsidR="00DF633C">
        <w:rPr>
          <w:rFonts w:eastAsia="Times New Roman" w:cs="Arial"/>
          <w:color w:val="202122"/>
          <w:shd w:val="clear" w:color="auto" w:fill="FFFFFF"/>
        </w:rPr>
        <w:t xml:space="preserve">it was preceded by the following introduction: “Our readers were certainly surprised to read the short news item about general military service that appeared in Monday’s edition of </w:t>
      </w:r>
      <w:r w:rsidR="00DF633C">
        <w:rPr>
          <w:rFonts w:eastAsia="Times New Roman" w:cs="Arial"/>
          <w:i/>
          <w:iCs/>
          <w:color w:val="202122"/>
          <w:shd w:val="clear" w:color="auto" w:fill="FFFFFF"/>
        </w:rPr>
        <w:t>ha-</w:t>
      </w:r>
      <w:proofErr w:type="spellStart"/>
      <w:r w:rsidR="00DF633C">
        <w:rPr>
          <w:rFonts w:eastAsia="Times New Roman" w:cs="Arial"/>
          <w:i/>
          <w:iCs/>
          <w:color w:val="202122"/>
          <w:shd w:val="clear" w:color="auto" w:fill="FFFFFF"/>
        </w:rPr>
        <w:t>Herut</w:t>
      </w:r>
      <w:proofErr w:type="spellEnd"/>
      <w:r w:rsidR="00DF633C">
        <w:rPr>
          <w:rFonts w:eastAsia="Times New Roman" w:cs="Arial"/>
          <w:color w:val="202122"/>
          <w:shd w:val="clear" w:color="auto" w:fill="FFFFFF"/>
        </w:rPr>
        <w:t>, and</w:t>
      </w:r>
      <w:r w:rsidR="00232097">
        <w:rPr>
          <w:rFonts w:eastAsia="Times New Roman" w:cs="Arial"/>
          <w:color w:val="202122"/>
          <w:shd w:val="clear" w:color="auto" w:fill="FFFFFF"/>
        </w:rPr>
        <w:t xml:space="preserve"> most people likely</w:t>
      </w:r>
      <w:r w:rsidR="00DF633C">
        <w:rPr>
          <w:rFonts w:eastAsia="Times New Roman" w:cs="Arial"/>
          <w:color w:val="202122"/>
          <w:shd w:val="clear" w:color="auto" w:fill="FFFFFF"/>
        </w:rPr>
        <w:t xml:space="preserve"> did not want to believe it.”</w:t>
      </w:r>
      <w:r w:rsidR="006262A7">
        <w:rPr>
          <w:rStyle w:val="FootnoteReference"/>
          <w:rFonts w:eastAsia="Times New Roman" w:cs="Arial"/>
          <w:color w:val="202122"/>
          <w:shd w:val="clear" w:color="auto" w:fill="FFFFFF"/>
        </w:rPr>
        <w:footnoteReference w:id="14"/>
      </w:r>
      <w:r w:rsidR="00DF633C">
        <w:rPr>
          <w:rFonts w:eastAsia="Times New Roman" w:cs="Arial"/>
          <w:color w:val="202122"/>
          <w:shd w:val="clear" w:color="auto" w:fill="FFFFFF"/>
        </w:rPr>
        <w:t xml:space="preserve"> </w:t>
      </w:r>
      <w:r w:rsidR="00263A3B">
        <w:rPr>
          <w:rFonts w:eastAsia="Times New Roman" w:cs="Arial"/>
          <w:color w:val="202122"/>
          <w:shd w:val="clear" w:color="auto" w:fill="FFFFFF"/>
        </w:rPr>
        <w:t xml:space="preserve">The press also reported on the decision to </w:t>
      </w:r>
      <w:r w:rsidR="00232097">
        <w:rPr>
          <w:rFonts w:eastAsia="Times New Roman" w:cs="Arial"/>
          <w:color w:val="202122"/>
          <w:shd w:val="clear" w:color="auto" w:fill="FFFFFF"/>
        </w:rPr>
        <w:t>interpret</w:t>
      </w:r>
      <w:r w:rsidR="00263A3B">
        <w:rPr>
          <w:rFonts w:eastAsia="Times New Roman" w:cs="Arial"/>
          <w:color w:val="202122"/>
          <w:shd w:val="clear" w:color="auto" w:fill="FFFFFF"/>
        </w:rPr>
        <w:t xml:space="preserve"> the conscription law </w:t>
      </w:r>
      <w:r w:rsidR="00232097">
        <w:rPr>
          <w:rFonts w:eastAsia="Times New Roman" w:cs="Arial"/>
          <w:color w:val="202122"/>
          <w:shd w:val="clear" w:color="auto" w:fill="FFFFFF"/>
        </w:rPr>
        <w:t xml:space="preserve">as </w:t>
      </w:r>
      <w:r w:rsidR="00263A3B">
        <w:rPr>
          <w:rFonts w:eastAsia="Times New Roman" w:cs="Arial"/>
          <w:color w:val="202122"/>
          <w:shd w:val="clear" w:color="auto" w:fill="FFFFFF"/>
        </w:rPr>
        <w:t>appl</w:t>
      </w:r>
      <w:r w:rsidR="00232097">
        <w:rPr>
          <w:rFonts w:eastAsia="Times New Roman" w:cs="Arial"/>
          <w:color w:val="202122"/>
          <w:shd w:val="clear" w:color="auto" w:fill="FFFFFF"/>
        </w:rPr>
        <w:t>icable</w:t>
      </w:r>
      <w:r w:rsidR="00263A3B">
        <w:rPr>
          <w:rFonts w:eastAsia="Times New Roman" w:cs="Arial"/>
          <w:color w:val="202122"/>
          <w:shd w:val="clear" w:color="auto" w:fill="FFFFFF"/>
        </w:rPr>
        <w:t xml:space="preserve"> to foreign subjects</w:t>
      </w:r>
      <w:r w:rsidR="00D909E3">
        <w:rPr>
          <w:rFonts w:eastAsia="Times New Roman" w:cs="Arial"/>
          <w:color w:val="202122"/>
          <w:shd w:val="clear" w:color="auto" w:fill="FFFFFF"/>
        </w:rPr>
        <w:t xml:space="preserve"> who had</w:t>
      </w:r>
      <w:r w:rsidR="00263A3B">
        <w:rPr>
          <w:rFonts w:eastAsia="Times New Roman" w:cs="Arial"/>
          <w:color w:val="202122"/>
          <w:shd w:val="clear" w:color="auto" w:fill="FFFFFF"/>
        </w:rPr>
        <w:t xml:space="preserve"> dwell</w:t>
      </w:r>
      <w:r w:rsidR="00D909E3">
        <w:rPr>
          <w:rFonts w:eastAsia="Times New Roman" w:cs="Arial"/>
          <w:color w:val="202122"/>
          <w:shd w:val="clear" w:color="auto" w:fill="FFFFFF"/>
        </w:rPr>
        <w:t>ed</w:t>
      </w:r>
      <w:r w:rsidR="00263A3B">
        <w:rPr>
          <w:rFonts w:eastAsia="Times New Roman" w:cs="Arial"/>
          <w:color w:val="202122"/>
          <w:shd w:val="clear" w:color="auto" w:fill="FFFFFF"/>
        </w:rPr>
        <w:t xml:space="preserve"> in the Ottoman Empire for more than ten years </w:t>
      </w:r>
      <w:r w:rsidR="00D909E3">
        <w:rPr>
          <w:rFonts w:eastAsia="Times New Roman" w:cs="Arial"/>
          <w:color w:val="202122"/>
          <w:shd w:val="clear" w:color="auto" w:fill="FFFFFF"/>
        </w:rPr>
        <w:t>and</w:t>
      </w:r>
      <w:r w:rsidR="00263A3B">
        <w:rPr>
          <w:rFonts w:eastAsia="Times New Roman" w:cs="Arial"/>
          <w:color w:val="202122"/>
          <w:shd w:val="clear" w:color="auto" w:fill="FFFFFF"/>
        </w:rPr>
        <w:t xml:space="preserve"> had </w:t>
      </w:r>
      <w:r w:rsidR="00D909E3">
        <w:rPr>
          <w:rFonts w:eastAsia="Times New Roman" w:cs="Arial"/>
          <w:color w:val="202122"/>
          <w:shd w:val="clear" w:color="auto" w:fill="FFFFFF"/>
        </w:rPr>
        <w:t xml:space="preserve">also </w:t>
      </w:r>
      <w:r w:rsidR="00263A3B">
        <w:rPr>
          <w:rFonts w:eastAsia="Times New Roman" w:cs="Arial"/>
          <w:color w:val="202122"/>
          <w:shd w:val="clear" w:color="auto" w:fill="FFFFFF"/>
        </w:rPr>
        <w:t>fathered sons.</w:t>
      </w:r>
      <w:r w:rsidR="00263A3B">
        <w:rPr>
          <w:rStyle w:val="FootnoteReference"/>
          <w:rFonts w:eastAsia="Times New Roman" w:cs="Arial"/>
          <w:color w:val="202122"/>
          <w:shd w:val="clear" w:color="auto" w:fill="FFFFFF"/>
        </w:rPr>
        <w:footnoteReference w:id="15"/>
      </w:r>
      <w:r w:rsidR="008A2341">
        <w:rPr>
          <w:rFonts w:eastAsia="Times New Roman" w:cs="Arial"/>
          <w:color w:val="202122"/>
          <w:shd w:val="clear" w:color="auto" w:fill="FFFFFF"/>
        </w:rPr>
        <w:t xml:space="preserve"> </w:t>
      </w:r>
      <w:commentRangeStart w:id="7"/>
      <w:r w:rsidR="000A7A18">
        <w:rPr>
          <w:rFonts w:eastAsia="Times New Roman" w:cs="Arial"/>
          <w:color w:val="202122"/>
          <w:shd w:val="clear" w:color="auto" w:fill="FFFFFF"/>
        </w:rPr>
        <w:t xml:space="preserve">These were not things </w:t>
      </w:r>
      <w:commentRangeEnd w:id="7"/>
      <w:r w:rsidR="000A7A18">
        <w:rPr>
          <w:rStyle w:val="CommentReference"/>
        </w:rPr>
        <w:commentReference w:id="7"/>
      </w:r>
      <w:r w:rsidR="000A7A18">
        <w:rPr>
          <w:rFonts w:eastAsia="Times New Roman" w:cs="Arial"/>
          <w:color w:val="202122"/>
          <w:shd w:val="clear" w:color="auto" w:fill="FFFFFF"/>
        </w:rPr>
        <w:t>that the Jews of Jerusalem, especially members of the Old Yishuv,</w:t>
      </w:r>
      <w:r w:rsidR="00D909E3">
        <w:rPr>
          <w:rFonts w:eastAsia="Times New Roman" w:cs="Arial"/>
          <w:color w:val="202122"/>
          <w:shd w:val="clear" w:color="auto" w:fill="FFFFFF"/>
        </w:rPr>
        <w:t xml:space="preserve"> </w:t>
      </w:r>
      <w:commentRangeStart w:id="8"/>
      <w:r w:rsidR="000A7A18">
        <w:rPr>
          <w:rFonts w:eastAsia="Times New Roman" w:cs="Arial"/>
          <w:color w:val="202122"/>
          <w:shd w:val="clear" w:color="auto" w:fill="FFFFFF"/>
        </w:rPr>
        <w:t xml:space="preserve">had been expecting, and it would </w:t>
      </w:r>
      <w:r w:rsidR="00D909E3">
        <w:rPr>
          <w:rFonts w:eastAsia="Times New Roman" w:cs="Arial"/>
          <w:color w:val="202122"/>
          <w:shd w:val="clear" w:color="auto" w:fill="FFFFFF"/>
        </w:rPr>
        <w:t xml:space="preserve">not be </w:t>
      </w:r>
      <w:commentRangeEnd w:id="8"/>
      <w:r w:rsidR="000A7A18">
        <w:rPr>
          <w:rStyle w:val="CommentReference"/>
        </w:rPr>
        <w:commentReference w:id="8"/>
      </w:r>
      <w:r w:rsidR="00D909E3">
        <w:rPr>
          <w:rFonts w:eastAsia="Times New Roman" w:cs="Arial"/>
          <w:color w:val="202122"/>
          <w:shd w:val="clear" w:color="auto" w:fill="FFFFFF"/>
        </w:rPr>
        <w:t xml:space="preserve">an exaggeration to say that the news about the tremendous change </w:t>
      </w:r>
      <w:r w:rsidR="003842D2">
        <w:rPr>
          <w:rFonts w:eastAsia="Times New Roman" w:cs="Arial"/>
          <w:color w:val="202122"/>
          <w:shd w:val="clear" w:color="auto" w:fill="FFFFFF"/>
        </w:rPr>
        <w:t>in</w:t>
      </w:r>
      <w:r w:rsidR="00D909E3">
        <w:rPr>
          <w:rFonts w:eastAsia="Times New Roman" w:cs="Arial"/>
          <w:color w:val="202122"/>
          <w:shd w:val="clear" w:color="auto" w:fill="FFFFFF"/>
        </w:rPr>
        <w:t xml:space="preserve"> </w:t>
      </w:r>
      <w:r w:rsidR="002E2F86">
        <w:rPr>
          <w:rFonts w:eastAsia="Times New Roman" w:cs="Arial"/>
          <w:color w:val="202122"/>
          <w:shd w:val="clear" w:color="auto" w:fill="FFFFFF"/>
        </w:rPr>
        <w:t>approach to</w:t>
      </w:r>
      <w:r w:rsidR="00D909E3">
        <w:rPr>
          <w:rFonts w:eastAsia="Times New Roman" w:cs="Arial"/>
          <w:color w:val="202122"/>
          <w:shd w:val="clear" w:color="auto" w:fill="FFFFFF"/>
        </w:rPr>
        <w:t xml:space="preserve"> the </w:t>
      </w:r>
      <w:r w:rsidR="00D909E3">
        <w:rPr>
          <w:rFonts w:eastAsia="Times New Roman" w:cs="Arial"/>
          <w:color w:val="202122"/>
          <w:shd w:val="clear" w:color="auto" w:fill="FFFFFF"/>
        </w:rPr>
        <w:lastRenderedPageBreak/>
        <w:t>mobilization of non-Muslim minority men into the army</w:t>
      </w:r>
      <w:r w:rsidR="008A2341">
        <w:rPr>
          <w:rFonts w:eastAsia="Times New Roman" w:cs="Arial"/>
          <w:color w:val="202122"/>
          <w:shd w:val="clear" w:color="auto" w:fill="FFFFFF"/>
        </w:rPr>
        <w:t xml:space="preserve"> </w:t>
      </w:r>
      <w:r w:rsidR="00D909E3">
        <w:rPr>
          <w:rFonts w:eastAsia="Times New Roman" w:cs="Arial"/>
          <w:color w:val="202122"/>
          <w:shd w:val="clear" w:color="auto" w:fill="FFFFFF"/>
        </w:rPr>
        <w:t xml:space="preserve">hit </w:t>
      </w:r>
      <w:r w:rsidR="000A7A18">
        <w:rPr>
          <w:rFonts w:eastAsia="Times New Roman" w:cs="Arial"/>
          <w:color w:val="202122"/>
          <w:shd w:val="clear" w:color="auto" w:fill="FFFFFF"/>
        </w:rPr>
        <w:t xml:space="preserve">them </w:t>
      </w:r>
      <w:r w:rsidR="00D909E3">
        <w:rPr>
          <w:rFonts w:eastAsia="Times New Roman" w:cs="Arial"/>
          <w:color w:val="202122"/>
          <w:shd w:val="clear" w:color="auto" w:fill="FFFFFF"/>
        </w:rPr>
        <w:t>like lightning on a clear day.</w:t>
      </w:r>
      <w:r w:rsidR="000A7A18">
        <w:rPr>
          <w:rFonts w:eastAsia="Times New Roman" w:cs="Arial"/>
          <w:color w:val="202122"/>
          <w:shd w:val="clear" w:color="auto" w:fill="FFFFFF"/>
        </w:rPr>
        <w:t xml:space="preserve"> </w:t>
      </w:r>
      <w:r w:rsidR="00A513C0">
        <w:rPr>
          <w:rFonts w:eastAsia="Times New Roman" w:cs="Arial"/>
          <w:color w:val="202122"/>
          <w:shd w:val="clear" w:color="auto" w:fill="FFFFFF"/>
        </w:rPr>
        <w:t xml:space="preserve">This was the case </w:t>
      </w:r>
      <w:r w:rsidR="002E2F86">
        <w:rPr>
          <w:rFonts w:eastAsia="Times New Roman" w:cs="Arial"/>
          <w:color w:val="202122"/>
          <w:shd w:val="clear" w:color="auto" w:fill="FFFFFF"/>
        </w:rPr>
        <w:t>despite the fact that</w:t>
      </w:r>
      <w:r w:rsidR="00A513C0">
        <w:rPr>
          <w:rFonts w:eastAsia="Times New Roman" w:cs="Arial"/>
          <w:color w:val="202122"/>
          <w:shd w:val="clear" w:color="auto" w:fill="FFFFFF"/>
        </w:rPr>
        <w:t xml:space="preserve"> when</w:t>
      </w:r>
      <w:r w:rsidR="002E2F86">
        <w:rPr>
          <w:rFonts w:eastAsia="Times New Roman" w:cs="Arial"/>
          <w:color w:val="202122"/>
          <w:shd w:val="clear" w:color="auto" w:fill="FFFFFF"/>
        </w:rPr>
        <w:t xml:space="preserve"> a year earlier</w:t>
      </w:r>
      <w:r w:rsidR="00A513C0">
        <w:rPr>
          <w:rFonts w:eastAsia="Times New Roman" w:cs="Arial"/>
          <w:color w:val="202122"/>
          <w:shd w:val="clear" w:color="auto" w:fill="FFFFFF"/>
        </w:rPr>
        <w:t xml:space="preserve"> the </w:t>
      </w:r>
      <w:r w:rsidR="002E2F86">
        <w:rPr>
          <w:rFonts w:eastAsia="Times New Roman" w:cs="Arial"/>
          <w:color w:val="202122"/>
          <w:shd w:val="clear" w:color="auto" w:fill="FFFFFF"/>
        </w:rPr>
        <w:t xml:space="preserve">new </w:t>
      </w:r>
      <w:r w:rsidR="00A513C0">
        <w:rPr>
          <w:rFonts w:eastAsia="Times New Roman" w:cs="Arial"/>
          <w:color w:val="202122"/>
          <w:shd w:val="clear" w:color="auto" w:fill="FFFFFF"/>
        </w:rPr>
        <w:t xml:space="preserve">Ottoman constitution </w:t>
      </w:r>
      <w:r w:rsidR="002E2F86">
        <w:rPr>
          <w:rFonts w:eastAsia="Times New Roman" w:cs="Arial"/>
          <w:color w:val="202122"/>
          <w:shd w:val="clear" w:color="auto" w:fill="FFFFFF"/>
        </w:rPr>
        <w:t>enshrining</w:t>
      </w:r>
      <w:r w:rsidR="00A513C0">
        <w:rPr>
          <w:rFonts w:eastAsia="Times New Roman" w:cs="Arial"/>
          <w:color w:val="202122"/>
          <w:shd w:val="clear" w:color="auto" w:fill="FFFFFF"/>
        </w:rPr>
        <w:t xml:space="preserve"> full equality for all subjects regardless of religion was proclaimed following the Young Turk Revolution, it was clear that </w:t>
      </w:r>
      <w:r w:rsidR="002E2F86">
        <w:rPr>
          <w:rFonts w:eastAsia="Times New Roman" w:cs="Arial"/>
          <w:color w:val="202122"/>
          <w:shd w:val="clear" w:color="auto" w:fill="FFFFFF"/>
        </w:rPr>
        <w:t xml:space="preserve">adopting </w:t>
      </w:r>
      <w:r w:rsidR="00A513C0">
        <w:rPr>
          <w:rFonts w:eastAsia="Times New Roman" w:cs="Arial"/>
          <w:color w:val="202122"/>
          <w:shd w:val="clear" w:color="auto" w:fill="FFFFFF"/>
        </w:rPr>
        <w:t>universal male conscription was just a matter of time.</w:t>
      </w:r>
      <w:r w:rsidR="00A513C0">
        <w:rPr>
          <w:rStyle w:val="FootnoteReference"/>
          <w:rFonts w:eastAsia="Times New Roman" w:cs="Arial"/>
          <w:color w:val="202122"/>
          <w:shd w:val="clear" w:color="auto" w:fill="FFFFFF"/>
        </w:rPr>
        <w:footnoteReference w:id="16"/>
      </w:r>
      <w:r w:rsidR="00D909E3">
        <w:rPr>
          <w:rFonts w:eastAsia="Times New Roman" w:cs="Arial"/>
          <w:color w:val="202122"/>
          <w:shd w:val="clear" w:color="auto" w:fill="FFFFFF"/>
        </w:rPr>
        <w:t xml:space="preserve"> </w:t>
      </w:r>
      <w:r w:rsidR="008A2341">
        <w:rPr>
          <w:rFonts w:eastAsia="Times New Roman" w:cs="Arial"/>
          <w:color w:val="202122"/>
          <w:shd w:val="clear" w:color="auto" w:fill="FFFFFF"/>
        </w:rPr>
        <w:t xml:space="preserve"> </w:t>
      </w:r>
      <w:r w:rsidR="00A513C0">
        <w:rPr>
          <w:rFonts w:eastAsia="Times New Roman" w:cs="Arial"/>
          <w:color w:val="202122"/>
          <w:shd w:val="clear" w:color="auto" w:fill="FFFFFF"/>
        </w:rPr>
        <w:t xml:space="preserve">The sense that reality had changed was reinforced two weeks later when the governor of Jerusalem received </w:t>
      </w:r>
      <w:r w:rsidR="00E45F14">
        <w:rPr>
          <w:rFonts w:eastAsia="Times New Roman" w:cs="Arial"/>
          <w:color w:val="202122"/>
          <w:shd w:val="clear" w:color="auto" w:fill="FFFFFF"/>
        </w:rPr>
        <w:t xml:space="preserve">an </w:t>
      </w:r>
      <w:r w:rsidR="00A513C0">
        <w:rPr>
          <w:rFonts w:eastAsia="Times New Roman" w:cs="Arial"/>
          <w:color w:val="202122"/>
          <w:shd w:val="clear" w:color="auto" w:fill="FFFFFF"/>
        </w:rPr>
        <w:t xml:space="preserve">official </w:t>
      </w:r>
      <w:r w:rsidR="00E45F14">
        <w:rPr>
          <w:rFonts w:eastAsia="Times New Roman" w:cs="Arial"/>
          <w:color w:val="202122"/>
          <w:shd w:val="clear" w:color="auto" w:fill="FFFFFF"/>
        </w:rPr>
        <w:t xml:space="preserve">directive from the </w:t>
      </w:r>
      <w:r w:rsidR="002E2F86">
        <w:rPr>
          <w:rFonts w:eastAsia="Times New Roman" w:cs="Arial"/>
          <w:color w:val="202122"/>
          <w:shd w:val="clear" w:color="auto" w:fill="FFFFFF"/>
        </w:rPr>
        <w:t>I</w:t>
      </w:r>
      <w:r w:rsidR="00E45F14">
        <w:rPr>
          <w:rFonts w:eastAsia="Times New Roman" w:cs="Arial"/>
          <w:color w:val="202122"/>
          <w:shd w:val="clear" w:color="auto" w:fill="FFFFFF"/>
        </w:rPr>
        <w:t xml:space="preserve">nterior </w:t>
      </w:r>
      <w:r w:rsidR="002E2F86">
        <w:rPr>
          <w:rFonts w:eastAsia="Times New Roman" w:cs="Arial"/>
          <w:color w:val="202122"/>
          <w:shd w:val="clear" w:color="auto" w:fill="FFFFFF"/>
        </w:rPr>
        <w:t>M</w:t>
      </w:r>
      <w:r w:rsidR="00E45F14">
        <w:rPr>
          <w:rFonts w:eastAsia="Times New Roman" w:cs="Arial"/>
          <w:color w:val="202122"/>
          <w:shd w:val="clear" w:color="auto" w:fill="FFFFFF"/>
        </w:rPr>
        <w:t>inistry to add</w:t>
      </w:r>
      <w:r w:rsidR="008A2341">
        <w:rPr>
          <w:rFonts w:eastAsia="Times New Roman" w:cs="Arial"/>
          <w:color w:val="202122"/>
          <w:shd w:val="clear" w:color="auto" w:fill="FFFFFF"/>
        </w:rPr>
        <w:t xml:space="preserve"> </w:t>
      </w:r>
      <w:r w:rsidR="00E45F14">
        <w:rPr>
          <w:rFonts w:eastAsia="Times New Roman" w:cs="Arial"/>
          <w:color w:val="202122"/>
          <w:shd w:val="clear" w:color="auto" w:fill="FFFFFF"/>
        </w:rPr>
        <w:t>the names of Jews and Christians who met the eligibility requirements to the list of those required to mobilize for military service that year</w:t>
      </w:r>
      <w:r w:rsidR="002E2F86">
        <w:rPr>
          <w:rFonts w:eastAsia="Times New Roman" w:cs="Arial"/>
          <w:color w:val="202122"/>
          <w:shd w:val="clear" w:color="auto" w:fill="FFFFFF"/>
        </w:rPr>
        <w:t>,</w:t>
      </w:r>
      <w:r w:rsidR="00E45F14">
        <w:rPr>
          <w:rFonts w:eastAsia="Times New Roman" w:cs="Arial"/>
          <w:color w:val="202122"/>
          <w:shd w:val="clear" w:color="auto" w:fill="FFFFFF"/>
        </w:rPr>
        <w:t xml:space="preserve"> and it became known that the new draft procedure would go into effect that month.</w:t>
      </w:r>
      <w:r w:rsidR="00E45F14">
        <w:rPr>
          <w:rStyle w:val="FootnoteReference"/>
          <w:rFonts w:eastAsia="Times New Roman" w:cs="Arial"/>
          <w:color w:val="202122"/>
          <w:shd w:val="clear" w:color="auto" w:fill="FFFFFF"/>
        </w:rPr>
        <w:footnoteReference w:id="17"/>
      </w:r>
      <w:r w:rsidR="008A2341">
        <w:rPr>
          <w:rFonts w:eastAsia="Times New Roman" w:cs="Arial"/>
          <w:color w:val="202122"/>
          <w:shd w:val="clear" w:color="auto" w:fill="FFFFFF"/>
        </w:rPr>
        <w:t xml:space="preserve">  </w:t>
      </w:r>
    </w:p>
    <w:p w14:paraId="7E2A8480" w14:textId="2BE83C09" w:rsidR="00FA557B" w:rsidRPr="004B28B7" w:rsidRDefault="008A2341" w:rsidP="003F2F65">
      <w:pPr>
        <w:spacing w:line="480" w:lineRule="auto"/>
        <w:rPr>
          <w:rFonts w:eastAsia="Times New Roman" w:cs="Arial"/>
          <w:color w:val="202122"/>
          <w:shd w:val="clear" w:color="auto" w:fill="FFFFFF"/>
        </w:rPr>
      </w:pPr>
      <w:r>
        <w:rPr>
          <w:rFonts w:eastAsia="Times New Roman" w:cs="Arial"/>
          <w:color w:val="202122"/>
          <w:shd w:val="clear" w:color="auto" w:fill="FFFFFF"/>
        </w:rPr>
        <w:t xml:space="preserve">                                                                                                                                                                                                                                                                                                                                                                                                                                                                                                           </w:t>
      </w:r>
    </w:p>
    <w:p w14:paraId="276F99A8" w14:textId="2089D4B2" w:rsidR="00E45F14" w:rsidRDefault="00E45F14" w:rsidP="002E2F86">
      <w:pPr>
        <w:spacing w:line="480" w:lineRule="auto"/>
        <w:ind w:right="720"/>
        <w:rPr>
          <w:b/>
          <w:bCs/>
        </w:rPr>
      </w:pPr>
      <w:r>
        <w:rPr>
          <w:b/>
          <w:bCs/>
        </w:rPr>
        <w:t xml:space="preserve">The </w:t>
      </w:r>
      <w:r w:rsidR="002E2F86">
        <w:rPr>
          <w:b/>
          <w:bCs/>
        </w:rPr>
        <w:t>Fearsome Rumor</w:t>
      </w:r>
    </w:p>
    <w:p w14:paraId="2DCED30E" w14:textId="21333A2B" w:rsidR="00E45F14" w:rsidRPr="00E45F14" w:rsidRDefault="00E45F14" w:rsidP="007C35DF">
      <w:pPr>
        <w:spacing w:line="480" w:lineRule="auto"/>
        <w:ind w:right="720"/>
      </w:pPr>
      <w:r>
        <w:t>Several day later</w:t>
      </w:r>
      <w:r w:rsidR="002E2F86">
        <w:t>,</w:t>
      </w:r>
      <w:r>
        <w:t xml:space="preserve"> Ottoman governmental guidelines </w:t>
      </w:r>
      <w:r w:rsidR="00426A06">
        <w:t xml:space="preserve">began to appear in the Jerusalem press under the headline “General Military Service.” It was made clear that all Ottoman subject twenty years old and above, regardless of their religious affiliation, who lived anywhere within or outside the empire, were required to perform military service </w:t>
      </w:r>
      <w:commentRangeStart w:id="9"/>
      <w:r w:rsidR="00426A06">
        <w:t>directly</w:t>
      </w:r>
      <w:commentRangeEnd w:id="9"/>
      <w:r w:rsidR="00426A06">
        <w:rPr>
          <w:rStyle w:val="CommentReference"/>
        </w:rPr>
        <w:commentReference w:id="9"/>
      </w:r>
      <w:r w:rsidR="00426A06">
        <w:t xml:space="preserve">. According to the provisions of the </w:t>
      </w:r>
      <w:r w:rsidR="00AE4BBD">
        <w:t>new conscription law</w:t>
      </w:r>
      <w:r w:rsidR="00AA166F">
        <w:t xml:space="preserve">, </w:t>
      </w:r>
      <w:commentRangeStart w:id="10"/>
      <w:r w:rsidR="00AA166F">
        <w:t>military</w:t>
      </w:r>
      <w:commentRangeEnd w:id="10"/>
      <w:r w:rsidR="00AA166F">
        <w:rPr>
          <w:rStyle w:val="CommentReference"/>
        </w:rPr>
        <w:commentReference w:id="10"/>
      </w:r>
      <w:r w:rsidR="00AA166F">
        <w:t xml:space="preserve"> service was supposed to last for twenty years, from the time that conscripts were 21 until they turned 40, with a small portion of this being active military service and the remainder being reserve service. Since the army’s needs did not require the mobilization of all </w:t>
      </w:r>
      <w:r w:rsidR="00AA166F">
        <w:lastRenderedPageBreak/>
        <w:t xml:space="preserve">young men, those obligated to perform military service were divided into two groups: those actively serving and those yet to be fully mobilized who were required to participate in annual military training and needed to wait in reserve for mobilization to active service in accordance with the needs of the army. </w:t>
      </w:r>
      <w:r w:rsidR="005F1CB0">
        <w:t>Assignment to one of these groups</w:t>
      </w:r>
      <w:r w:rsidR="00AA166F">
        <w:t xml:space="preserve"> </w:t>
      </w:r>
      <w:r w:rsidR="005F1CB0">
        <w:t>was determined by lottery.</w:t>
      </w:r>
      <w:r w:rsidR="005F1CB0">
        <w:rPr>
          <w:rStyle w:val="FootnoteReference"/>
        </w:rPr>
        <w:footnoteReference w:id="18"/>
      </w:r>
    </w:p>
    <w:p w14:paraId="3BD6AC47" w14:textId="42A43A4C" w:rsidR="00E45F14" w:rsidRPr="007C35DF" w:rsidRDefault="007C35DF" w:rsidP="002E2F86">
      <w:pPr>
        <w:spacing w:line="480" w:lineRule="auto"/>
        <w:ind w:right="720"/>
      </w:pPr>
      <w:r>
        <w:rPr>
          <w:b/>
          <w:bCs/>
        </w:rPr>
        <w:tab/>
      </w:r>
      <w:r>
        <w:t>At the beginning of September, the number of young Ashkenazi men who would be conscripted into the army was estimated to be two hundred fifty souls</w:t>
      </w:r>
      <w:r w:rsidR="00B1003F">
        <w:t>, and it was estimated that the number of Sephardic youth, Maghrebi Jews</w:t>
      </w:r>
      <w:r w:rsidR="007C4155">
        <w:t xml:space="preserve">, primarily Moroccans, who would be mobilized would come close to three hundred and fifty. Since those with </w:t>
      </w:r>
      <w:r w:rsidR="002E2F86">
        <w:t xml:space="preserve">poor </w:t>
      </w:r>
      <w:r w:rsidR="007C4155">
        <w:t xml:space="preserve">health, as well as those with families and scholars, were included in these </w:t>
      </w:r>
      <w:commentRangeStart w:id="11"/>
      <w:r w:rsidR="007C4155">
        <w:t>numbers</w:t>
      </w:r>
      <w:commentRangeEnd w:id="11"/>
      <w:r w:rsidR="007C4155">
        <w:rPr>
          <w:rStyle w:val="CommentReference"/>
        </w:rPr>
        <w:commentReference w:id="11"/>
      </w:r>
      <w:r w:rsidR="007C4155">
        <w:t xml:space="preserve">, calls were already being made for the immediate establishment of a general aid committee that would oversee </w:t>
      </w:r>
      <w:r w:rsidR="005D6A97">
        <w:t xml:space="preserve">the provision of economic </w:t>
      </w:r>
      <w:r w:rsidR="002E2F86">
        <w:t xml:space="preserve">aid </w:t>
      </w:r>
      <w:r w:rsidR="005D6A97">
        <w:t xml:space="preserve">and educational assistance to households whose heads would be conscripted.  </w:t>
      </w:r>
    </w:p>
    <w:sectPr w:rsidR="00E45F14" w:rsidRPr="007C35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351EDAFC" w14:textId="6D392CB2" w:rsidR="000E4192" w:rsidRDefault="000E4192" w:rsidP="006B0FD6">
      <w:pPr>
        <w:pStyle w:val="CommentText"/>
      </w:pPr>
      <w:r>
        <w:rPr>
          <w:rStyle w:val="CommentReference"/>
        </w:rPr>
        <w:annotationRef/>
      </w:r>
      <w:r w:rsidR="006B0FD6">
        <w:t>This is the original English-language text.</w:t>
      </w:r>
    </w:p>
  </w:comment>
  <w:comment w:id="2" w:author="Author" w:initials="A">
    <w:p w14:paraId="67E5BCF1" w14:textId="25052A4A" w:rsidR="00BF3890" w:rsidRDefault="00BF3890">
      <w:pPr>
        <w:pStyle w:val="CommentText"/>
      </w:pPr>
      <w:r>
        <w:rPr>
          <w:rStyle w:val="CommentReference"/>
        </w:rPr>
        <w:annotationRef/>
      </w:r>
      <w:r>
        <w:t xml:space="preserve">I have used sphere rather than world as a translation for </w:t>
      </w:r>
      <w:proofErr w:type="spellStart"/>
      <w:r>
        <w:t>olam</w:t>
      </w:r>
      <w:proofErr w:type="spellEnd"/>
      <w:r>
        <w:t>. I feel it fits the English language discourse on this topic.</w:t>
      </w:r>
    </w:p>
  </w:comment>
  <w:comment w:id="3" w:author="Author" w:initials="A">
    <w:p w14:paraId="3717166A" w14:textId="0531BCE1" w:rsidR="002E2F86" w:rsidRDefault="002E2F86">
      <w:pPr>
        <w:pStyle w:val="CommentText"/>
      </w:pPr>
      <w:r>
        <w:rPr>
          <w:rStyle w:val="CommentReference"/>
        </w:rPr>
        <w:annotationRef/>
      </w:r>
      <w:r>
        <w:t>Note for author: if there is a lack of documents, how is there also a great wealth of documents? This seems to be a contradiction.</w:t>
      </w:r>
    </w:p>
  </w:comment>
  <w:comment w:id="4" w:author="Author" w:initials="A">
    <w:p w14:paraId="5C9F939A" w14:textId="70493C2C" w:rsidR="00100915" w:rsidRDefault="00100915">
      <w:pPr>
        <w:pStyle w:val="CommentText"/>
      </w:pPr>
      <w:r>
        <w:rPr>
          <w:rStyle w:val="CommentReference"/>
        </w:rPr>
        <w:annotationRef/>
      </w:r>
      <w:r>
        <w:t>Struggle would be a more literal translation.</w:t>
      </w:r>
    </w:p>
  </w:comment>
  <w:comment w:id="5" w:author="Author" w:initials="A">
    <w:p w14:paraId="42D3A974" w14:textId="329C7856" w:rsidR="003F2F65" w:rsidRDefault="003F2F65">
      <w:pPr>
        <w:pStyle w:val="CommentText"/>
      </w:pPr>
      <w:r>
        <w:rPr>
          <w:rStyle w:val="CommentReference"/>
        </w:rPr>
        <w:annotationRef/>
      </w:r>
      <w:r>
        <w:t xml:space="preserve">The Hebrew is </w:t>
      </w:r>
      <w:r>
        <w:rPr>
          <w:rFonts w:hint="cs"/>
          <w:rtl/>
        </w:rPr>
        <w:t>קיבל</w:t>
      </w:r>
      <w:r>
        <w:t>that means received. I have translated liberally to try to come up with something coherent to me.</w:t>
      </w:r>
    </w:p>
  </w:comment>
  <w:comment w:id="6" w:author="Author" w:initials="A">
    <w:p w14:paraId="37C14798" w14:textId="3EDE1CA8" w:rsidR="003F2F65" w:rsidRDefault="003F2F65">
      <w:pPr>
        <w:pStyle w:val="CommentText"/>
      </w:pPr>
      <w:r>
        <w:rPr>
          <w:rStyle w:val="CommentReference"/>
        </w:rPr>
        <w:annotationRef/>
      </w:r>
      <w:r>
        <w:t xml:space="preserve">Text actually reads as </w:t>
      </w:r>
      <w:r>
        <w:rPr>
          <w:rFonts w:hint="cs"/>
          <w:rtl/>
        </w:rPr>
        <w:t xml:space="preserve">בין </w:t>
      </w:r>
      <w:r>
        <w:t xml:space="preserve">that does not make sense. I have interpreted it as </w:t>
      </w:r>
      <w:r>
        <w:rPr>
          <w:rFonts w:hint="cs"/>
          <w:rtl/>
        </w:rPr>
        <w:t>בן</w:t>
      </w:r>
      <w:r>
        <w:t xml:space="preserve"> that I have translated as possessing.</w:t>
      </w:r>
    </w:p>
  </w:comment>
  <w:comment w:id="7" w:author="Author" w:initials="A">
    <w:p w14:paraId="6C01C688" w14:textId="78AFEF15" w:rsidR="000A7A18" w:rsidRDefault="000A7A18">
      <w:pPr>
        <w:pStyle w:val="CommentText"/>
      </w:pPr>
      <w:r>
        <w:rPr>
          <w:rStyle w:val="CommentReference"/>
        </w:rPr>
        <w:annotationRef/>
      </w:r>
      <w:r>
        <w:t>Added to make a more viable sentence</w:t>
      </w:r>
    </w:p>
  </w:comment>
  <w:comment w:id="8" w:author="Author" w:initials="A">
    <w:p w14:paraId="3A0E9A8F" w14:textId="292904C3" w:rsidR="000A7A18" w:rsidRDefault="000A7A18">
      <w:pPr>
        <w:pStyle w:val="CommentText"/>
      </w:pPr>
      <w:r>
        <w:rPr>
          <w:rStyle w:val="CommentReference"/>
        </w:rPr>
        <w:annotationRef/>
      </w:r>
      <w:r>
        <w:t>added</w:t>
      </w:r>
    </w:p>
  </w:comment>
  <w:comment w:id="9" w:author="Author" w:initials="A">
    <w:p w14:paraId="348D3C04" w14:textId="6875ACCC" w:rsidR="00426A06" w:rsidRDefault="00426A06">
      <w:pPr>
        <w:pStyle w:val="CommentText"/>
      </w:pPr>
      <w:r>
        <w:rPr>
          <w:rStyle w:val="CommentReference"/>
        </w:rPr>
        <w:annotationRef/>
      </w:r>
      <w:r>
        <w:rPr>
          <w:rFonts w:hint="cs"/>
          <w:rtl/>
        </w:rPr>
        <w:t>בגופם</w:t>
      </w:r>
      <w:r>
        <w:t xml:space="preserve"> this means with their bodies.  I have tied to communicate the idea a bit more subtly with “directly.”</w:t>
      </w:r>
    </w:p>
  </w:comment>
  <w:comment w:id="10" w:author="Author" w:initials="A">
    <w:p w14:paraId="0E63F541" w14:textId="75EA1345" w:rsidR="00AA166F" w:rsidRDefault="00AA166F">
      <w:pPr>
        <w:pStyle w:val="CommentText"/>
      </w:pPr>
      <w:r>
        <w:rPr>
          <w:rStyle w:val="CommentReference"/>
        </w:rPr>
        <w:annotationRef/>
      </w:r>
      <w:r>
        <w:t>Added for clarity</w:t>
      </w:r>
    </w:p>
  </w:comment>
  <w:comment w:id="11" w:author="Author" w:initials="A">
    <w:p w14:paraId="1F5FC4AB" w14:textId="525D5E8D" w:rsidR="007C4155" w:rsidRDefault="007C4155">
      <w:pPr>
        <w:pStyle w:val="CommentText"/>
      </w:pPr>
      <w:r>
        <w:rPr>
          <w:rStyle w:val="CommentReference"/>
        </w:rPr>
        <w:annotationRef/>
      </w:r>
      <w:r>
        <w:t xml:space="preserve">Original says only number, but I believe that the numbers of potential conscripts in each community </w:t>
      </w:r>
      <w:r w:rsidR="002E2F86">
        <w:t>a</w:t>
      </w:r>
      <w:r>
        <w:t xml:space="preserve">re being addressed here.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EDAFC" w15:done="0"/>
  <w15:commentEx w15:paraId="67E5BCF1" w15:done="0"/>
  <w15:commentEx w15:paraId="3717166A" w15:done="0"/>
  <w15:commentEx w15:paraId="5C9F939A" w15:done="0"/>
  <w15:commentEx w15:paraId="42D3A974" w15:done="0"/>
  <w15:commentEx w15:paraId="37C14798" w15:done="0"/>
  <w15:commentEx w15:paraId="6C01C688" w15:done="0"/>
  <w15:commentEx w15:paraId="3A0E9A8F" w15:done="0"/>
  <w15:commentEx w15:paraId="348D3C04" w15:done="0"/>
  <w15:commentEx w15:paraId="0E63F541" w15:done="0"/>
  <w15:commentEx w15:paraId="1F5FC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D0B9" w16cex:dateUtc="2020-10-14T23:32:00Z"/>
  <w16cex:commentExtensible w16cex:durableId="2324133C" w16cex:dateUtc="2020-10-04T13:24:00Z"/>
  <w16cex:commentExtensible w16cex:durableId="2331C1E1" w16cex:dateUtc="2020-10-14T22:28:00Z"/>
  <w16cex:commentExtensible w16cex:durableId="2324CC98" w16cex:dateUtc="2020-10-05T02:35:00Z"/>
  <w16cex:commentExtensible w16cex:durableId="2331C516" w16cex:dateUtc="2020-10-14T22:42:00Z"/>
  <w16cex:commentExtensible w16cex:durableId="232777E9" w16cex:dateUtc="2020-10-07T03:10:00Z"/>
  <w16cex:commentExtensible w16cex:durableId="23277829" w16cex:dateUtc="2020-10-07T03:11:00Z"/>
  <w16cex:commentExtensible w16cex:durableId="23287284" w16cex:dateUtc="2020-10-07T20:59:00Z"/>
  <w16cex:commentExtensible w16cex:durableId="232872DB" w16cex:dateUtc="2020-10-07T21:01:00Z"/>
  <w16cex:commentExtensible w16cex:durableId="232A4072" w16cex:dateUtc="2020-10-09T05:50:00Z"/>
  <w16cex:commentExtensible w16cex:durableId="232A41E5" w16cex:dateUtc="2020-10-09T05:56:00Z"/>
  <w16cex:commentExtensible w16cex:durableId="232A4A57" w16cex:dateUtc="2020-10-09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EDAFC" w16cid:durableId="2331D0B9"/>
  <w16cid:commentId w16cid:paraId="67E5BCF1" w16cid:durableId="2324133C"/>
  <w16cid:commentId w16cid:paraId="3E1591A1" w16cid:durableId="2331C1E1"/>
  <w16cid:commentId w16cid:paraId="3717166A" w16cid:durableId="2331BCA9"/>
  <w16cid:commentId w16cid:paraId="5C9F939A" w16cid:durableId="2324CC98"/>
  <w16cid:commentId w16cid:paraId="25C8853C" w16cid:durableId="2331C516"/>
  <w16cid:commentId w16cid:paraId="42D3A974" w16cid:durableId="232777E9"/>
  <w16cid:commentId w16cid:paraId="37C14798" w16cid:durableId="23277829"/>
  <w16cid:commentId w16cid:paraId="6C01C688" w16cid:durableId="23287284"/>
  <w16cid:commentId w16cid:paraId="3A0E9A8F" w16cid:durableId="232872DB"/>
  <w16cid:commentId w16cid:paraId="348D3C04" w16cid:durableId="232A4072"/>
  <w16cid:commentId w16cid:paraId="0E63F541" w16cid:durableId="232A41E5"/>
  <w16cid:commentId w16cid:paraId="1F5FC4AB" w16cid:durableId="232A4A5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04CC" w14:textId="77777777" w:rsidR="00653A76" w:rsidRDefault="00653A76" w:rsidP="00781568">
      <w:r>
        <w:separator/>
      </w:r>
    </w:p>
  </w:endnote>
  <w:endnote w:type="continuationSeparator" w:id="0">
    <w:p w14:paraId="32460A04" w14:textId="77777777" w:rsidR="00653A76" w:rsidRDefault="00653A76" w:rsidP="007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riam">
    <w:altName w:val="Tahoma"/>
    <w:charset w:val="B1"/>
    <w:family w:val="swiss"/>
    <w:pitch w:val="variable"/>
    <w:sig w:usb0="00000801" w:usb1="00000000" w:usb2="00000000" w:usb3="00000000" w:csb0="0000002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09B9C" w14:textId="77777777" w:rsidR="00653A76" w:rsidRDefault="00653A76" w:rsidP="00781568">
      <w:r>
        <w:separator/>
      </w:r>
    </w:p>
  </w:footnote>
  <w:footnote w:type="continuationSeparator" w:id="0">
    <w:p w14:paraId="6F480077" w14:textId="77777777" w:rsidR="00653A76" w:rsidRDefault="00653A76" w:rsidP="00781568">
      <w:r>
        <w:continuationSeparator/>
      </w:r>
    </w:p>
  </w:footnote>
  <w:footnote w:id="1">
    <w:p w14:paraId="60DCAC9C" w14:textId="736123B2" w:rsidR="00781568" w:rsidRPr="002B4D6F" w:rsidRDefault="00781568" w:rsidP="002E2F86">
      <w:pPr>
        <w:pStyle w:val="FootnoteText"/>
        <w:spacing w:line="480" w:lineRule="auto"/>
        <w:rPr>
          <w:sz w:val="24"/>
          <w:szCs w:val="24"/>
          <w:rtl/>
        </w:rPr>
      </w:pPr>
      <w:r w:rsidRPr="002B4D6F">
        <w:rPr>
          <w:rStyle w:val="FootnoteReference"/>
          <w:sz w:val="24"/>
          <w:szCs w:val="24"/>
        </w:rPr>
        <w:footnoteRef/>
      </w:r>
      <w:r w:rsidRPr="002B4D6F">
        <w:rPr>
          <w:sz w:val="24"/>
          <w:szCs w:val="24"/>
        </w:rPr>
        <w:t xml:space="preserve"> </w:t>
      </w:r>
      <w:r w:rsidR="002921F9" w:rsidRPr="002B4D6F">
        <w:rPr>
          <w:sz w:val="24"/>
          <w:szCs w:val="24"/>
        </w:rPr>
        <w:t xml:space="preserve">I did not have regular access to books and libraries during the COVID-19 </w:t>
      </w:r>
      <w:r w:rsidR="002E2F86">
        <w:rPr>
          <w:sz w:val="24"/>
          <w:szCs w:val="24"/>
        </w:rPr>
        <w:t>lockdown,</w:t>
      </w:r>
      <w:r w:rsidR="002E2F86" w:rsidRPr="002B4D6F">
        <w:rPr>
          <w:sz w:val="24"/>
          <w:szCs w:val="24"/>
        </w:rPr>
        <w:t xml:space="preserve"> </w:t>
      </w:r>
      <w:r w:rsidR="002921F9" w:rsidRPr="002B4D6F">
        <w:rPr>
          <w:sz w:val="24"/>
          <w:szCs w:val="24"/>
        </w:rPr>
        <w:t xml:space="preserve">and </w:t>
      </w:r>
      <w:r w:rsidRPr="002B4D6F">
        <w:rPr>
          <w:sz w:val="24"/>
          <w:szCs w:val="24"/>
        </w:rPr>
        <w:t xml:space="preserve">I would like to thank Professor </w:t>
      </w:r>
      <w:proofErr w:type="spellStart"/>
      <w:r w:rsidRPr="002B4D6F">
        <w:rPr>
          <w:sz w:val="24"/>
          <w:szCs w:val="24"/>
        </w:rPr>
        <w:t>Margalit</w:t>
      </w:r>
      <w:proofErr w:type="spellEnd"/>
      <w:r w:rsidRPr="002B4D6F">
        <w:rPr>
          <w:sz w:val="24"/>
          <w:szCs w:val="24"/>
        </w:rPr>
        <w:t xml:space="preserve"> </w:t>
      </w:r>
      <w:proofErr w:type="spellStart"/>
      <w:r w:rsidRPr="002B4D6F">
        <w:rPr>
          <w:sz w:val="24"/>
          <w:szCs w:val="24"/>
        </w:rPr>
        <w:t>Shilo</w:t>
      </w:r>
      <w:proofErr w:type="spellEnd"/>
      <w:r w:rsidRPr="002B4D6F">
        <w:rPr>
          <w:sz w:val="24"/>
          <w:szCs w:val="24"/>
        </w:rPr>
        <w:t xml:space="preserve"> and Professor </w:t>
      </w:r>
      <w:proofErr w:type="spellStart"/>
      <w:r w:rsidRPr="002B4D6F">
        <w:rPr>
          <w:sz w:val="24"/>
          <w:szCs w:val="24"/>
        </w:rPr>
        <w:t>Yaron</w:t>
      </w:r>
      <w:proofErr w:type="spellEnd"/>
      <w:r w:rsidRPr="002B4D6F">
        <w:rPr>
          <w:sz w:val="24"/>
          <w:szCs w:val="24"/>
        </w:rPr>
        <w:t xml:space="preserve"> Ben-</w:t>
      </w:r>
      <w:proofErr w:type="spellStart"/>
      <w:r w:rsidRPr="002B4D6F">
        <w:rPr>
          <w:sz w:val="24"/>
          <w:szCs w:val="24"/>
        </w:rPr>
        <w:t>Naeh</w:t>
      </w:r>
      <w:proofErr w:type="spellEnd"/>
      <w:r w:rsidRPr="002B4D6F">
        <w:rPr>
          <w:sz w:val="24"/>
          <w:szCs w:val="24"/>
        </w:rPr>
        <w:t xml:space="preserve"> for their research assistan</w:t>
      </w:r>
      <w:r w:rsidR="002921F9" w:rsidRPr="002B4D6F">
        <w:rPr>
          <w:sz w:val="24"/>
          <w:szCs w:val="24"/>
        </w:rPr>
        <w:t xml:space="preserve">ce. Margalit generously sent me a copy of her book </w:t>
      </w:r>
      <w:r w:rsidR="002921F9" w:rsidRPr="002B4D6F">
        <w:rPr>
          <w:i/>
          <w:iCs/>
          <w:sz w:val="24"/>
          <w:szCs w:val="24"/>
        </w:rPr>
        <w:t>Prisoner or Princess? Jewish Women in Jerusalem, 1840-1914</w:t>
      </w:r>
      <w:r w:rsidR="002921F9" w:rsidRPr="002B4D6F">
        <w:rPr>
          <w:sz w:val="24"/>
          <w:szCs w:val="24"/>
        </w:rPr>
        <w:t xml:space="preserve">, and she and </w:t>
      </w:r>
      <w:proofErr w:type="spellStart"/>
      <w:r w:rsidR="002921F9" w:rsidRPr="002B4D6F">
        <w:rPr>
          <w:sz w:val="24"/>
          <w:szCs w:val="24"/>
        </w:rPr>
        <w:t>Yaron</w:t>
      </w:r>
      <w:proofErr w:type="spellEnd"/>
      <w:r w:rsidR="002921F9" w:rsidRPr="002B4D6F">
        <w:rPr>
          <w:sz w:val="24"/>
          <w:szCs w:val="24"/>
        </w:rPr>
        <w:t xml:space="preserve"> sent me digital copies of several of their articles that aided my </w:t>
      </w:r>
      <w:r w:rsidR="002E2F86">
        <w:rPr>
          <w:sz w:val="24"/>
          <w:szCs w:val="24"/>
        </w:rPr>
        <w:t>writing</w:t>
      </w:r>
      <w:r w:rsidR="002E2F86" w:rsidRPr="002B4D6F">
        <w:rPr>
          <w:sz w:val="24"/>
          <w:szCs w:val="24"/>
        </w:rPr>
        <w:t xml:space="preserve"> </w:t>
      </w:r>
      <w:r w:rsidR="002921F9" w:rsidRPr="002B4D6F">
        <w:rPr>
          <w:sz w:val="24"/>
          <w:szCs w:val="24"/>
        </w:rPr>
        <w:t>of this article</w:t>
      </w:r>
      <w:r w:rsidR="002B4D6F" w:rsidRPr="002B4D6F">
        <w:rPr>
          <w:sz w:val="24"/>
          <w:szCs w:val="24"/>
        </w:rPr>
        <w:t>.</w:t>
      </w:r>
    </w:p>
  </w:footnote>
  <w:footnote w:id="2">
    <w:p w14:paraId="0DB6F885" w14:textId="1EB30B46" w:rsidR="007245E0" w:rsidRPr="002B4D6F" w:rsidRDefault="007245E0" w:rsidP="002B4D6F">
      <w:pPr>
        <w:pStyle w:val="FootnoteText"/>
        <w:spacing w:line="480" w:lineRule="auto"/>
        <w:rPr>
          <w:sz w:val="24"/>
          <w:szCs w:val="24"/>
        </w:rPr>
      </w:pPr>
      <w:r w:rsidRPr="002B4D6F">
        <w:rPr>
          <w:rStyle w:val="FootnoteReference"/>
          <w:sz w:val="24"/>
          <w:szCs w:val="24"/>
        </w:rPr>
        <w:footnoteRef/>
      </w:r>
      <w:r w:rsidRPr="002B4D6F">
        <w:rPr>
          <w:sz w:val="24"/>
          <w:szCs w:val="24"/>
        </w:rPr>
        <w:t xml:space="preserve"> Mary Rogers, </w:t>
      </w:r>
      <w:r w:rsidRPr="002B4D6F">
        <w:rPr>
          <w:i/>
          <w:iCs/>
          <w:sz w:val="24"/>
          <w:szCs w:val="24"/>
        </w:rPr>
        <w:t>Domestic Life in Palestine</w:t>
      </w:r>
      <w:r w:rsidRPr="002B4D6F">
        <w:rPr>
          <w:sz w:val="24"/>
          <w:szCs w:val="24"/>
        </w:rPr>
        <w:t xml:space="preserve"> (Cincinnati: Poe &amp; Hitchcock, 1865), 29</w:t>
      </w:r>
      <w:r w:rsidR="000E4192">
        <w:rPr>
          <w:sz w:val="24"/>
          <w:szCs w:val="24"/>
        </w:rPr>
        <w:t>3-29</w:t>
      </w:r>
      <w:r w:rsidRPr="002B4D6F">
        <w:rPr>
          <w:sz w:val="24"/>
          <w:szCs w:val="24"/>
        </w:rPr>
        <w:t>4.</w:t>
      </w:r>
    </w:p>
  </w:footnote>
  <w:footnote w:id="3">
    <w:p w14:paraId="163B8AEE" w14:textId="3410E5AB" w:rsidR="00BF3890" w:rsidRPr="002B4D6F" w:rsidRDefault="00BF3890" w:rsidP="002B4D6F">
      <w:pPr>
        <w:pStyle w:val="FootnoteText"/>
        <w:spacing w:line="480" w:lineRule="auto"/>
        <w:rPr>
          <w:sz w:val="24"/>
          <w:szCs w:val="24"/>
          <w:rtl/>
        </w:rPr>
      </w:pPr>
      <w:r w:rsidRPr="002B4D6F">
        <w:rPr>
          <w:rStyle w:val="FootnoteReference"/>
          <w:sz w:val="24"/>
          <w:szCs w:val="24"/>
        </w:rPr>
        <w:footnoteRef/>
      </w:r>
      <w:r w:rsidRPr="002B4D6F">
        <w:rPr>
          <w:sz w:val="24"/>
          <w:szCs w:val="24"/>
        </w:rPr>
        <w:t xml:space="preserve"> See Ruth </w:t>
      </w:r>
      <w:proofErr w:type="spellStart"/>
      <w:r w:rsidRPr="002B4D6F">
        <w:rPr>
          <w:sz w:val="24"/>
          <w:szCs w:val="24"/>
        </w:rPr>
        <w:t>Roded</w:t>
      </w:r>
      <w:proofErr w:type="spellEnd"/>
      <w:r w:rsidRPr="002B4D6F">
        <w:rPr>
          <w:sz w:val="24"/>
          <w:szCs w:val="24"/>
        </w:rPr>
        <w:t xml:space="preserve"> and </w:t>
      </w:r>
      <w:proofErr w:type="spellStart"/>
      <w:r w:rsidRPr="002B4D6F">
        <w:rPr>
          <w:sz w:val="24"/>
          <w:szCs w:val="24"/>
        </w:rPr>
        <w:t>Noga</w:t>
      </w:r>
      <w:proofErr w:type="spellEnd"/>
      <w:r w:rsidRPr="002B4D6F">
        <w:rPr>
          <w:sz w:val="24"/>
          <w:szCs w:val="24"/>
        </w:rPr>
        <w:t xml:space="preserve"> </w:t>
      </w:r>
      <w:proofErr w:type="spellStart"/>
      <w:r w:rsidRPr="002B4D6F">
        <w:rPr>
          <w:sz w:val="24"/>
          <w:szCs w:val="24"/>
        </w:rPr>
        <w:t>Efrati</w:t>
      </w:r>
      <w:proofErr w:type="spellEnd"/>
      <w:r w:rsidRPr="002B4D6F">
        <w:rPr>
          <w:sz w:val="24"/>
          <w:szCs w:val="24"/>
        </w:rPr>
        <w:t>, eds.</w:t>
      </w:r>
      <w:r w:rsidR="00234D15">
        <w:rPr>
          <w:sz w:val="24"/>
          <w:szCs w:val="24"/>
        </w:rPr>
        <w:t xml:space="preserve">, </w:t>
      </w:r>
      <w:r w:rsidRPr="002B4D6F">
        <w:rPr>
          <w:i/>
          <w:iCs/>
          <w:sz w:val="24"/>
          <w:szCs w:val="24"/>
        </w:rPr>
        <w:t>Women and Gender in the Twentieth Century Middle East</w:t>
      </w:r>
      <w:r w:rsidRPr="002B4D6F">
        <w:rPr>
          <w:sz w:val="24"/>
          <w:szCs w:val="24"/>
        </w:rPr>
        <w:t xml:space="preserve"> (Jerusalem: </w:t>
      </w:r>
      <w:proofErr w:type="spellStart"/>
      <w:r w:rsidRPr="002B4D6F">
        <w:rPr>
          <w:sz w:val="24"/>
          <w:szCs w:val="24"/>
        </w:rPr>
        <w:t>Magnes</w:t>
      </w:r>
      <w:proofErr w:type="spellEnd"/>
      <w:r w:rsidRPr="002B4D6F">
        <w:rPr>
          <w:sz w:val="24"/>
          <w:szCs w:val="24"/>
        </w:rPr>
        <w:t xml:space="preserve"> Press, 2009), 1-4 </w:t>
      </w:r>
      <w:r w:rsidR="00234D15">
        <w:rPr>
          <w:sz w:val="24"/>
          <w:szCs w:val="24"/>
        </w:rPr>
        <w:t>[</w:t>
      </w:r>
      <w:r w:rsidRPr="002B4D6F">
        <w:rPr>
          <w:sz w:val="24"/>
          <w:szCs w:val="24"/>
        </w:rPr>
        <w:t>Hebrew</w:t>
      </w:r>
      <w:r w:rsidR="00234D15">
        <w:rPr>
          <w:sz w:val="24"/>
          <w:szCs w:val="24"/>
        </w:rPr>
        <w:t>]</w:t>
      </w:r>
      <w:r w:rsidR="002E2F86">
        <w:rPr>
          <w:sz w:val="24"/>
          <w:szCs w:val="24"/>
        </w:rPr>
        <w:t>.</w:t>
      </w:r>
    </w:p>
  </w:footnote>
  <w:footnote w:id="4">
    <w:p w14:paraId="646D2646" w14:textId="3ABF6739" w:rsidR="00654EE5" w:rsidRPr="002B4D6F" w:rsidRDefault="00654EE5" w:rsidP="002E2F86">
      <w:pPr>
        <w:pStyle w:val="FootnoteText"/>
        <w:spacing w:line="480" w:lineRule="auto"/>
        <w:rPr>
          <w:sz w:val="24"/>
          <w:szCs w:val="24"/>
          <w:rtl/>
        </w:rPr>
      </w:pPr>
      <w:r w:rsidRPr="002B4D6F">
        <w:rPr>
          <w:rStyle w:val="FootnoteReference"/>
          <w:sz w:val="24"/>
          <w:szCs w:val="24"/>
        </w:rPr>
        <w:footnoteRef/>
      </w:r>
      <w:r w:rsidRPr="002B4D6F">
        <w:rPr>
          <w:sz w:val="24"/>
          <w:szCs w:val="24"/>
        </w:rPr>
        <w:t xml:space="preserve"> </w:t>
      </w:r>
      <w:r w:rsidR="00234D15">
        <w:rPr>
          <w:sz w:val="24"/>
          <w:szCs w:val="24"/>
        </w:rPr>
        <w:t>For</w:t>
      </w:r>
      <w:r w:rsidR="00234D15" w:rsidRPr="002B4D6F">
        <w:rPr>
          <w:sz w:val="24"/>
          <w:szCs w:val="24"/>
        </w:rPr>
        <w:t xml:space="preserve"> a </w:t>
      </w:r>
      <w:r w:rsidR="00234D15">
        <w:rPr>
          <w:sz w:val="24"/>
          <w:szCs w:val="24"/>
        </w:rPr>
        <w:t xml:space="preserve">research </w:t>
      </w:r>
      <w:r w:rsidR="00234D15" w:rsidRPr="002B4D6F">
        <w:rPr>
          <w:sz w:val="24"/>
          <w:szCs w:val="24"/>
        </w:rPr>
        <w:t xml:space="preserve">milestone in this </w:t>
      </w:r>
      <w:r w:rsidR="00234D15">
        <w:rPr>
          <w:sz w:val="24"/>
          <w:szCs w:val="24"/>
        </w:rPr>
        <w:t xml:space="preserve">field, see </w:t>
      </w:r>
      <w:r w:rsidRPr="002B4D6F">
        <w:rPr>
          <w:sz w:val="24"/>
          <w:szCs w:val="24"/>
        </w:rPr>
        <w:t xml:space="preserve">Yael </w:t>
      </w:r>
      <w:proofErr w:type="spellStart"/>
      <w:r w:rsidR="00486E63" w:rsidRPr="002B4D6F">
        <w:rPr>
          <w:sz w:val="24"/>
          <w:szCs w:val="24"/>
        </w:rPr>
        <w:t>Azmon</w:t>
      </w:r>
      <w:proofErr w:type="spellEnd"/>
      <w:r w:rsidR="00234D15">
        <w:rPr>
          <w:sz w:val="24"/>
          <w:szCs w:val="24"/>
        </w:rPr>
        <w:t xml:space="preserve">, ed., </w:t>
      </w:r>
      <w:r w:rsidR="00486E63" w:rsidRPr="002B4D6F">
        <w:rPr>
          <w:i/>
          <w:iCs/>
          <w:sz w:val="24"/>
          <w:szCs w:val="24"/>
        </w:rPr>
        <w:t>A Window into Women’s Lives in Jewish Societies: An Interdisciplinary Collection</w:t>
      </w:r>
      <w:r w:rsidR="00486E63" w:rsidRPr="002B4D6F">
        <w:rPr>
          <w:sz w:val="24"/>
          <w:szCs w:val="24"/>
        </w:rPr>
        <w:t xml:space="preserve"> (Jerusalem: </w:t>
      </w:r>
      <w:proofErr w:type="spellStart"/>
      <w:r w:rsidR="00486E63" w:rsidRPr="002B4D6F">
        <w:rPr>
          <w:sz w:val="24"/>
          <w:szCs w:val="24"/>
        </w:rPr>
        <w:t>Zalman</w:t>
      </w:r>
      <w:proofErr w:type="spellEnd"/>
      <w:r w:rsidR="00486E63" w:rsidRPr="002B4D6F">
        <w:rPr>
          <w:sz w:val="24"/>
          <w:szCs w:val="24"/>
        </w:rPr>
        <w:t xml:space="preserve"> </w:t>
      </w:r>
      <w:proofErr w:type="spellStart"/>
      <w:r w:rsidR="00486E63" w:rsidRPr="002B4D6F">
        <w:rPr>
          <w:sz w:val="24"/>
          <w:szCs w:val="24"/>
        </w:rPr>
        <w:t>Shazar</w:t>
      </w:r>
      <w:proofErr w:type="spellEnd"/>
      <w:r w:rsidR="00486E63" w:rsidRPr="002B4D6F">
        <w:rPr>
          <w:sz w:val="24"/>
          <w:szCs w:val="24"/>
        </w:rPr>
        <w:t xml:space="preserve"> Center, 1995)</w:t>
      </w:r>
      <w:r w:rsidR="002E2F86">
        <w:rPr>
          <w:sz w:val="24"/>
          <w:szCs w:val="24"/>
        </w:rPr>
        <w:t xml:space="preserve"> </w:t>
      </w:r>
      <w:r w:rsidR="00234D15">
        <w:rPr>
          <w:sz w:val="24"/>
          <w:szCs w:val="24"/>
        </w:rPr>
        <w:t>[</w:t>
      </w:r>
      <w:r w:rsidR="00611F6B" w:rsidRPr="002B4D6F">
        <w:rPr>
          <w:sz w:val="24"/>
          <w:szCs w:val="24"/>
        </w:rPr>
        <w:t>Hebrew</w:t>
      </w:r>
      <w:r w:rsidR="00234D15">
        <w:rPr>
          <w:sz w:val="24"/>
          <w:szCs w:val="24"/>
        </w:rPr>
        <w:t xml:space="preserve">]. </w:t>
      </w:r>
    </w:p>
  </w:footnote>
  <w:footnote w:id="5">
    <w:p w14:paraId="1EA123D3" w14:textId="1A59576A" w:rsidR="00611F6B" w:rsidRPr="002B4D6F" w:rsidRDefault="00611F6B" w:rsidP="002B4D6F">
      <w:pPr>
        <w:pStyle w:val="FootnoteText"/>
        <w:spacing w:line="480" w:lineRule="auto"/>
        <w:rPr>
          <w:sz w:val="24"/>
          <w:szCs w:val="24"/>
        </w:rPr>
      </w:pPr>
      <w:r w:rsidRPr="002B4D6F">
        <w:rPr>
          <w:rStyle w:val="FootnoteReference"/>
          <w:sz w:val="24"/>
          <w:szCs w:val="24"/>
        </w:rPr>
        <w:footnoteRef/>
      </w:r>
      <w:r w:rsidRPr="002B4D6F">
        <w:rPr>
          <w:sz w:val="24"/>
          <w:szCs w:val="24"/>
        </w:rPr>
        <w:t xml:space="preserve"> </w:t>
      </w:r>
      <w:proofErr w:type="spellStart"/>
      <w:r w:rsidRPr="002B4D6F">
        <w:rPr>
          <w:sz w:val="24"/>
          <w:szCs w:val="24"/>
        </w:rPr>
        <w:t>Margalit</w:t>
      </w:r>
      <w:proofErr w:type="spellEnd"/>
      <w:r w:rsidRPr="002B4D6F">
        <w:rPr>
          <w:sz w:val="24"/>
          <w:szCs w:val="24"/>
        </w:rPr>
        <w:t xml:space="preserve"> </w:t>
      </w:r>
      <w:proofErr w:type="spellStart"/>
      <w:r w:rsidRPr="002B4D6F">
        <w:rPr>
          <w:sz w:val="24"/>
          <w:szCs w:val="24"/>
        </w:rPr>
        <w:t>Shilo</w:t>
      </w:r>
      <w:proofErr w:type="spellEnd"/>
      <w:r w:rsidRPr="002B4D6F">
        <w:rPr>
          <w:sz w:val="24"/>
          <w:szCs w:val="24"/>
        </w:rPr>
        <w:t xml:space="preserve">, </w:t>
      </w:r>
      <w:r w:rsidRPr="002B4D6F">
        <w:rPr>
          <w:i/>
          <w:iCs/>
          <w:sz w:val="24"/>
          <w:szCs w:val="24"/>
        </w:rPr>
        <w:t>Prisoner or Princess</w:t>
      </w:r>
      <w:r w:rsidR="00B87160" w:rsidRPr="002B4D6F">
        <w:rPr>
          <w:i/>
          <w:iCs/>
          <w:sz w:val="24"/>
          <w:szCs w:val="24"/>
        </w:rPr>
        <w:t>?</w:t>
      </w:r>
      <w:r w:rsidRPr="002B4D6F">
        <w:rPr>
          <w:i/>
          <w:iCs/>
          <w:sz w:val="24"/>
          <w:szCs w:val="24"/>
        </w:rPr>
        <w:t xml:space="preserve"> </w:t>
      </w:r>
      <w:r w:rsidR="006E4AC6" w:rsidRPr="002B4D6F">
        <w:rPr>
          <w:i/>
          <w:iCs/>
          <w:sz w:val="24"/>
          <w:szCs w:val="24"/>
        </w:rPr>
        <w:t>The Feminine Experience in Old Yishuv</w:t>
      </w:r>
      <w:r w:rsidRPr="002B4D6F">
        <w:rPr>
          <w:i/>
          <w:iCs/>
          <w:sz w:val="24"/>
          <w:szCs w:val="24"/>
        </w:rPr>
        <w:t xml:space="preserve"> Jerusalem, 1840-1914</w:t>
      </w:r>
      <w:r w:rsidR="00B87160" w:rsidRPr="002B4D6F">
        <w:rPr>
          <w:sz w:val="24"/>
          <w:szCs w:val="24"/>
        </w:rPr>
        <w:t xml:space="preserve"> (</w:t>
      </w:r>
      <w:r w:rsidR="006E4AC6" w:rsidRPr="002B4D6F">
        <w:rPr>
          <w:sz w:val="24"/>
          <w:szCs w:val="24"/>
        </w:rPr>
        <w:t>Haifa</w:t>
      </w:r>
      <w:r w:rsidR="00B87160" w:rsidRPr="002B4D6F">
        <w:rPr>
          <w:sz w:val="24"/>
          <w:szCs w:val="24"/>
        </w:rPr>
        <w:t xml:space="preserve">: </w:t>
      </w:r>
      <w:r w:rsidR="006E4AC6" w:rsidRPr="002B4D6F">
        <w:rPr>
          <w:sz w:val="24"/>
          <w:szCs w:val="24"/>
        </w:rPr>
        <w:t>Haifa</w:t>
      </w:r>
      <w:r w:rsidR="00B87160" w:rsidRPr="002B4D6F">
        <w:rPr>
          <w:sz w:val="24"/>
          <w:szCs w:val="24"/>
        </w:rPr>
        <w:t xml:space="preserve"> University Press, 200</w:t>
      </w:r>
      <w:r w:rsidR="006E4AC6" w:rsidRPr="002B4D6F">
        <w:rPr>
          <w:sz w:val="24"/>
          <w:szCs w:val="24"/>
        </w:rPr>
        <w:t>1</w:t>
      </w:r>
      <w:r w:rsidR="00B87160" w:rsidRPr="002B4D6F">
        <w:rPr>
          <w:sz w:val="24"/>
          <w:szCs w:val="24"/>
        </w:rPr>
        <w:t>)</w:t>
      </w:r>
      <w:r w:rsidR="00E9403B">
        <w:rPr>
          <w:sz w:val="24"/>
          <w:szCs w:val="24"/>
        </w:rPr>
        <w:t xml:space="preserve"> [</w:t>
      </w:r>
      <w:r w:rsidR="006E4AC6" w:rsidRPr="002B4D6F">
        <w:rPr>
          <w:sz w:val="24"/>
          <w:szCs w:val="24"/>
        </w:rPr>
        <w:t>Hebrew</w:t>
      </w:r>
      <w:r w:rsidR="00E9403B">
        <w:rPr>
          <w:sz w:val="24"/>
          <w:szCs w:val="24"/>
        </w:rPr>
        <w:t>]</w:t>
      </w:r>
      <w:r w:rsidR="002E2F86">
        <w:rPr>
          <w:sz w:val="24"/>
          <w:szCs w:val="24"/>
        </w:rPr>
        <w:t>.</w:t>
      </w:r>
      <w:r w:rsidR="006E4AC6" w:rsidRPr="002B4D6F">
        <w:rPr>
          <w:sz w:val="24"/>
          <w:szCs w:val="24"/>
        </w:rPr>
        <w:t xml:space="preserve"> </w:t>
      </w:r>
      <w:r w:rsidR="00B87160" w:rsidRPr="002B4D6F">
        <w:rPr>
          <w:sz w:val="24"/>
          <w:szCs w:val="24"/>
        </w:rPr>
        <w:t xml:space="preserve">For more on women in Jerusalem in this period, see </w:t>
      </w:r>
      <w:proofErr w:type="spellStart"/>
      <w:r w:rsidR="00B87160" w:rsidRPr="002B4D6F">
        <w:rPr>
          <w:sz w:val="24"/>
          <w:szCs w:val="24"/>
        </w:rPr>
        <w:t>Yaron</w:t>
      </w:r>
      <w:proofErr w:type="spellEnd"/>
      <w:r w:rsidR="00B87160" w:rsidRPr="002B4D6F">
        <w:rPr>
          <w:sz w:val="24"/>
          <w:szCs w:val="24"/>
        </w:rPr>
        <w:t xml:space="preserve"> Ben-</w:t>
      </w:r>
      <w:proofErr w:type="spellStart"/>
      <w:r w:rsidR="00B87160" w:rsidRPr="002B4D6F">
        <w:rPr>
          <w:sz w:val="24"/>
          <w:szCs w:val="24"/>
        </w:rPr>
        <w:t>Naeh</w:t>
      </w:r>
      <w:proofErr w:type="spellEnd"/>
      <w:r w:rsidR="00B87160" w:rsidRPr="002B4D6F">
        <w:rPr>
          <w:sz w:val="24"/>
          <w:szCs w:val="24"/>
        </w:rPr>
        <w:t xml:space="preserve">, “The Lives of Jewish Women in Nineteenth Century Ottoman Jerusalem,” </w:t>
      </w:r>
      <w:r w:rsidR="00B87160" w:rsidRPr="002B4D6F">
        <w:rPr>
          <w:i/>
          <w:iCs/>
          <w:sz w:val="24"/>
          <w:szCs w:val="24"/>
        </w:rPr>
        <w:t xml:space="preserve">mi-Kan </w:t>
      </w:r>
      <w:r w:rsidR="00B87160" w:rsidRPr="002B4D6F">
        <w:rPr>
          <w:sz w:val="24"/>
          <w:szCs w:val="24"/>
        </w:rPr>
        <w:t>8 (2007): 179-192</w:t>
      </w:r>
      <w:r w:rsidR="00E9403B">
        <w:rPr>
          <w:sz w:val="24"/>
          <w:szCs w:val="24"/>
        </w:rPr>
        <w:t xml:space="preserve"> [</w:t>
      </w:r>
      <w:r w:rsidR="00B87160" w:rsidRPr="002B4D6F">
        <w:rPr>
          <w:sz w:val="24"/>
          <w:szCs w:val="24"/>
        </w:rPr>
        <w:t>Hebrew</w:t>
      </w:r>
      <w:r w:rsidR="00E9403B">
        <w:rPr>
          <w:sz w:val="24"/>
          <w:szCs w:val="24"/>
        </w:rPr>
        <w:t>]</w:t>
      </w:r>
      <w:r w:rsidR="002E2F86">
        <w:rPr>
          <w:sz w:val="24"/>
          <w:szCs w:val="24"/>
        </w:rPr>
        <w:t>.</w:t>
      </w:r>
    </w:p>
  </w:footnote>
  <w:footnote w:id="6">
    <w:p w14:paraId="2F5B3799" w14:textId="087415F6" w:rsidR="0036459E" w:rsidRPr="002B4D6F" w:rsidRDefault="0036459E" w:rsidP="002B4D6F">
      <w:pPr>
        <w:pStyle w:val="FootnoteText"/>
        <w:spacing w:line="480" w:lineRule="auto"/>
        <w:rPr>
          <w:sz w:val="24"/>
          <w:szCs w:val="24"/>
        </w:rPr>
      </w:pPr>
      <w:r w:rsidRPr="002B4D6F">
        <w:rPr>
          <w:rStyle w:val="FootnoteReference"/>
          <w:sz w:val="24"/>
          <w:szCs w:val="24"/>
        </w:rPr>
        <w:footnoteRef/>
      </w:r>
      <w:r w:rsidRPr="002B4D6F">
        <w:rPr>
          <w:sz w:val="24"/>
          <w:szCs w:val="24"/>
        </w:rPr>
        <w:t xml:space="preserve"> </w:t>
      </w:r>
      <w:proofErr w:type="spellStart"/>
      <w:r w:rsidR="006E4AC6" w:rsidRPr="002B4D6F">
        <w:rPr>
          <w:sz w:val="24"/>
          <w:szCs w:val="24"/>
        </w:rPr>
        <w:t>Shilo</w:t>
      </w:r>
      <w:proofErr w:type="spellEnd"/>
      <w:r w:rsidR="006E4AC6" w:rsidRPr="002B4D6F">
        <w:rPr>
          <w:sz w:val="24"/>
          <w:szCs w:val="24"/>
        </w:rPr>
        <w:t xml:space="preserve">, </w:t>
      </w:r>
      <w:r w:rsidR="006E4AC6" w:rsidRPr="002B4D6F">
        <w:rPr>
          <w:i/>
          <w:iCs/>
          <w:sz w:val="24"/>
          <w:szCs w:val="24"/>
        </w:rPr>
        <w:t>Prisoner or Princess</w:t>
      </w:r>
      <w:r w:rsidR="006E4AC6" w:rsidRPr="002B4D6F">
        <w:rPr>
          <w:sz w:val="24"/>
          <w:szCs w:val="24"/>
        </w:rPr>
        <w:t xml:space="preserve">, 19-20. Also see </w:t>
      </w:r>
      <w:proofErr w:type="spellStart"/>
      <w:r w:rsidR="006E4AC6" w:rsidRPr="002B4D6F">
        <w:rPr>
          <w:sz w:val="24"/>
          <w:szCs w:val="24"/>
        </w:rPr>
        <w:t>Margalit</w:t>
      </w:r>
      <w:proofErr w:type="spellEnd"/>
      <w:r w:rsidR="006E4AC6" w:rsidRPr="002B4D6F">
        <w:rPr>
          <w:sz w:val="24"/>
          <w:szCs w:val="24"/>
        </w:rPr>
        <w:t xml:space="preserve"> </w:t>
      </w:r>
      <w:proofErr w:type="spellStart"/>
      <w:r w:rsidR="006E4AC6" w:rsidRPr="002B4D6F">
        <w:rPr>
          <w:sz w:val="24"/>
          <w:szCs w:val="24"/>
        </w:rPr>
        <w:t>Shilo</w:t>
      </w:r>
      <w:proofErr w:type="spellEnd"/>
      <w:r w:rsidR="006E4AC6" w:rsidRPr="002B4D6F">
        <w:rPr>
          <w:sz w:val="24"/>
          <w:szCs w:val="24"/>
        </w:rPr>
        <w:t xml:space="preserve">, “Philanthropy as a Feminine Path to the Public Sphere,” </w:t>
      </w:r>
      <w:r w:rsidR="006E4AC6" w:rsidRPr="002B4D6F">
        <w:rPr>
          <w:i/>
          <w:iCs/>
          <w:sz w:val="24"/>
          <w:szCs w:val="24"/>
        </w:rPr>
        <w:t>ha-’</w:t>
      </w:r>
      <w:proofErr w:type="spellStart"/>
      <w:r w:rsidR="006E4AC6" w:rsidRPr="002B4D6F">
        <w:rPr>
          <w:i/>
          <w:iCs/>
          <w:sz w:val="24"/>
          <w:szCs w:val="24"/>
        </w:rPr>
        <w:t>Ishah</w:t>
      </w:r>
      <w:proofErr w:type="spellEnd"/>
      <w:r w:rsidR="006E4AC6" w:rsidRPr="002B4D6F">
        <w:rPr>
          <w:i/>
          <w:iCs/>
          <w:sz w:val="24"/>
          <w:szCs w:val="24"/>
        </w:rPr>
        <w:t xml:space="preserve"> be-</w:t>
      </w:r>
      <w:proofErr w:type="spellStart"/>
      <w:r w:rsidR="006E4AC6" w:rsidRPr="002B4D6F">
        <w:rPr>
          <w:i/>
          <w:iCs/>
          <w:sz w:val="24"/>
          <w:szCs w:val="24"/>
        </w:rPr>
        <w:t>yehadut</w:t>
      </w:r>
      <w:proofErr w:type="spellEnd"/>
      <w:r w:rsidR="006E4AC6" w:rsidRPr="002B4D6F">
        <w:rPr>
          <w:i/>
          <w:iCs/>
          <w:sz w:val="24"/>
          <w:szCs w:val="24"/>
        </w:rPr>
        <w:t xml:space="preserve">: </w:t>
      </w:r>
      <w:proofErr w:type="spellStart"/>
      <w:r w:rsidR="006E4AC6" w:rsidRPr="002B4D6F">
        <w:rPr>
          <w:i/>
          <w:iCs/>
          <w:sz w:val="24"/>
          <w:szCs w:val="24"/>
        </w:rPr>
        <w:t>sidrat</w:t>
      </w:r>
      <w:proofErr w:type="spellEnd"/>
      <w:r w:rsidR="006E4AC6" w:rsidRPr="002B4D6F">
        <w:rPr>
          <w:i/>
          <w:iCs/>
          <w:sz w:val="24"/>
          <w:szCs w:val="24"/>
        </w:rPr>
        <w:t xml:space="preserve"> </w:t>
      </w:r>
      <w:proofErr w:type="spellStart"/>
      <w:r w:rsidR="006E4AC6" w:rsidRPr="002B4D6F">
        <w:rPr>
          <w:i/>
          <w:iCs/>
          <w:sz w:val="24"/>
          <w:szCs w:val="24"/>
        </w:rPr>
        <w:t>diyunim</w:t>
      </w:r>
      <w:proofErr w:type="spellEnd"/>
      <w:r w:rsidR="006E4AC6" w:rsidRPr="002B4D6F">
        <w:rPr>
          <w:i/>
          <w:iCs/>
          <w:sz w:val="24"/>
          <w:szCs w:val="24"/>
        </w:rPr>
        <w:t xml:space="preserve"> </w:t>
      </w:r>
      <w:r w:rsidR="006E4AC6" w:rsidRPr="002B4D6F">
        <w:rPr>
          <w:sz w:val="24"/>
          <w:szCs w:val="24"/>
        </w:rPr>
        <w:t xml:space="preserve">7 (2001): 17-26 </w:t>
      </w:r>
      <w:r w:rsidR="00E9403B">
        <w:rPr>
          <w:sz w:val="24"/>
          <w:szCs w:val="24"/>
        </w:rPr>
        <w:t>[</w:t>
      </w:r>
      <w:r w:rsidR="006E4AC6" w:rsidRPr="002B4D6F">
        <w:rPr>
          <w:sz w:val="24"/>
          <w:szCs w:val="24"/>
        </w:rPr>
        <w:t>Hebrew</w:t>
      </w:r>
      <w:r w:rsidR="00E9403B">
        <w:rPr>
          <w:sz w:val="24"/>
          <w:szCs w:val="24"/>
        </w:rPr>
        <w:t>]</w:t>
      </w:r>
      <w:r w:rsidR="002E2F86">
        <w:rPr>
          <w:sz w:val="24"/>
          <w:szCs w:val="24"/>
        </w:rPr>
        <w:t>.</w:t>
      </w:r>
    </w:p>
  </w:footnote>
  <w:footnote w:id="7">
    <w:p w14:paraId="4152AD66" w14:textId="67F57314" w:rsidR="00640599" w:rsidRPr="002B4D6F" w:rsidRDefault="00640599" w:rsidP="002B4D6F">
      <w:pPr>
        <w:pStyle w:val="FootnoteText"/>
        <w:spacing w:line="480" w:lineRule="auto"/>
        <w:rPr>
          <w:sz w:val="24"/>
          <w:szCs w:val="24"/>
        </w:rPr>
      </w:pPr>
      <w:r w:rsidRPr="002B4D6F">
        <w:rPr>
          <w:rStyle w:val="FootnoteReference"/>
          <w:sz w:val="24"/>
          <w:szCs w:val="24"/>
        </w:rPr>
        <w:footnoteRef/>
      </w:r>
      <w:r w:rsidRPr="002B4D6F">
        <w:rPr>
          <w:sz w:val="24"/>
          <w:szCs w:val="24"/>
        </w:rPr>
        <w:t xml:space="preserve"> Se</w:t>
      </w:r>
      <w:r w:rsidR="00263111" w:rsidRPr="002B4D6F">
        <w:rPr>
          <w:sz w:val="24"/>
          <w:szCs w:val="24"/>
        </w:rPr>
        <w:t xml:space="preserve">e Ela Greenberg, “Women’s Education Between Cairo and Istanbul at the End of the Nineteenth Century and the Beginning of the Twentieth Century,” in </w:t>
      </w:r>
      <w:r w:rsidR="00263111" w:rsidRPr="002B4D6F">
        <w:rPr>
          <w:i/>
          <w:iCs/>
          <w:sz w:val="24"/>
          <w:szCs w:val="24"/>
        </w:rPr>
        <w:t>Women and Gender in the Twentieth Century Middle East</w:t>
      </w:r>
      <w:r w:rsidR="00263111" w:rsidRPr="002B4D6F">
        <w:rPr>
          <w:sz w:val="24"/>
          <w:szCs w:val="24"/>
        </w:rPr>
        <w:t xml:space="preserve">, ed. Ruth </w:t>
      </w:r>
      <w:proofErr w:type="spellStart"/>
      <w:r w:rsidR="00263111" w:rsidRPr="002B4D6F">
        <w:rPr>
          <w:sz w:val="24"/>
          <w:szCs w:val="24"/>
        </w:rPr>
        <w:t>Roded</w:t>
      </w:r>
      <w:proofErr w:type="spellEnd"/>
      <w:r w:rsidR="00263111" w:rsidRPr="002B4D6F">
        <w:rPr>
          <w:sz w:val="24"/>
          <w:szCs w:val="24"/>
        </w:rPr>
        <w:t xml:space="preserve"> and </w:t>
      </w:r>
      <w:proofErr w:type="spellStart"/>
      <w:r w:rsidR="00263111" w:rsidRPr="002B4D6F">
        <w:rPr>
          <w:sz w:val="24"/>
          <w:szCs w:val="24"/>
        </w:rPr>
        <w:t>Noga</w:t>
      </w:r>
      <w:proofErr w:type="spellEnd"/>
      <w:r w:rsidR="00263111" w:rsidRPr="002B4D6F">
        <w:rPr>
          <w:sz w:val="24"/>
          <w:szCs w:val="24"/>
        </w:rPr>
        <w:t xml:space="preserve"> </w:t>
      </w:r>
      <w:proofErr w:type="spellStart"/>
      <w:r w:rsidR="00263111" w:rsidRPr="002B4D6F">
        <w:rPr>
          <w:sz w:val="24"/>
          <w:szCs w:val="24"/>
        </w:rPr>
        <w:t>Efrati</w:t>
      </w:r>
      <w:proofErr w:type="spellEnd"/>
      <w:r w:rsidR="00263111" w:rsidRPr="002B4D6F">
        <w:rPr>
          <w:sz w:val="24"/>
          <w:szCs w:val="24"/>
        </w:rPr>
        <w:t xml:space="preserve"> (Jerusalem: </w:t>
      </w:r>
      <w:proofErr w:type="spellStart"/>
      <w:r w:rsidR="00263111" w:rsidRPr="002B4D6F">
        <w:rPr>
          <w:sz w:val="24"/>
          <w:szCs w:val="24"/>
        </w:rPr>
        <w:t>Magnes</w:t>
      </w:r>
      <w:proofErr w:type="spellEnd"/>
      <w:r w:rsidR="00263111" w:rsidRPr="002B4D6F">
        <w:rPr>
          <w:sz w:val="24"/>
          <w:szCs w:val="24"/>
        </w:rPr>
        <w:t xml:space="preserve"> Press, 2009), 13 </w:t>
      </w:r>
      <w:r w:rsidR="00483C20">
        <w:rPr>
          <w:sz w:val="24"/>
          <w:szCs w:val="24"/>
        </w:rPr>
        <w:t>[</w:t>
      </w:r>
      <w:r w:rsidR="00263111" w:rsidRPr="002B4D6F">
        <w:rPr>
          <w:sz w:val="24"/>
          <w:szCs w:val="24"/>
        </w:rPr>
        <w:t>Hebrew</w:t>
      </w:r>
      <w:r w:rsidR="00483C20">
        <w:rPr>
          <w:sz w:val="24"/>
          <w:szCs w:val="24"/>
        </w:rPr>
        <w:t>]</w:t>
      </w:r>
      <w:r w:rsidR="002E2F86">
        <w:rPr>
          <w:sz w:val="24"/>
          <w:szCs w:val="24"/>
        </w:rPr>
        <w:t>.</w:t>
      </w:r>
    </w:p>
  </w:footnote>
  <w:footnote w:id="8">
    <w:p w14:paraId="091F050F" w14:textId="0F473D9C" w:rsidR="002B4D6F" w:rsidRPr="004836C1" w:rsidRDefault="002B4D6F" w:rsidP="00F06A8C">
      <w:pPr>
        <w:pStyle w:val="FootnoteText"/>
        <w:spacing w:line="480" w:lineRule="auto"/>
        <w:rPr>
          <w:sz w:val="24"/>
          <w:szCs w:val="24"/>
        </w:rPr>
      </w:pPr>
      <w:r w:rsidRPr="002B4D6F">
        <w:rPr>
          <w:rStyle w:val="FootnoteReference"/>
          <w:sz w:val="24"/>
          <w:szCs w:val="24"/>
        </w:rPr>
        <w:footnoteRef/>
      </w:r>
      <w:r w:rsidRPr="002B4D6F">
        <w:rPr>
          <w:sz w:val="24"/>
          <w:szCs w:val="24"/>
        </w:rPr>
        <w:t xml:space="preserve"> On Esther </w:t>
      </w:r>
      <w:proofErr w:type="spellStart"/>
      <w:r w:rsidRPr="002B4D6F">
        <w:rPr>
          <w:sz w:val="24"/>
          <w:szCs w:val="24"/>
        </w:rPr>
        <w:t>Moyal</w:t>
      </w:r>
      <w:proofErr w:type="spellEnd"/>
      <w:r w:rsidRPr="002B4D6F">
        <w:rPr>
          <w:sz w:val="24"/>
          <w:szCs w:val="24"/>
        </w:rPr>
        <w:t xml:space="preserve">, see Yaakov </w:t>
      </w:r>
      <w:proofErr w:type="spellStart"/>
      <w:r w:rsidRPr="002B4D6F">
        <w:rPr>
          <w:sz w:val="24"/>
          <w:szCs w:val="24"/>
        </w:rPr>
        <w:t>Yehoshua</w:t>
      </w:r>
      <w:proofErr w:type="spellEnd"/>
      <w:r w:rsidRPr="002B4D6F">
        <w:rPr>
          <w:sz w:val="24"/>
          <w:szCs w:val="24"/>
        </w:rPr>
        <w:t xml:space="preserve">, </w:t>
      </w:r>
      <w:r w:rsidRPr="002B4D6F">
        <w:rPr>
          <w:i/>
          <w:iCs/>
          <w:sz w:val="24"/>
          <w:szCs w:val="24"/>
        </w:rPr>
        <w:t xml:space="preserve">Notes of an Effendi Without Royalties </w:t>
      </w:r>
      <w:r w:rsidRPr="002B4D6F">
        <w:rPr>
          <w:sz w:val="24"/>
          <w:szCs w:val="24"/>
        </w:rPr>
        <w:t>(Tel Aviv: ha-Kibbutz ha-</w:t>
      </w:r>
      <w:proofErr w:type="spellStart"/>
      <w:r w:rsidRPr="002B4D6F">
        <w:rPr>
          <w:sz w:val="24"/>
          <w:szCs w:val="24"/>
        </w:rPr>
        <w:t>me’uhad</w:t>
      </w:r>
      <w:proofErr w:type="spellEnd"/>
      <w:r w:rsidRPr="002B4D6F">
        <w:rPr>
          <w:sz w:val="24"/>
          <w:szCs w:val="24"/>
        </w:rPr>
        <w:t xml:space="preserve">, 2016) </w:t>
      </w:r>
      <w:r w:rsidR="00483C20">
        <w:rPr>
          <w:sz w:val="24"/>
          <w:szCs w:val="24"/>
        </w:rPr>
        <w:t>[</w:t>
      </w:r>
      <w:r w:rsidRPr="002B4D6F">
        <w:rPr>
          <w:sz w:val="24"/>
          <w:szCs w:val="24"/>
        </w:rPr>
        <w:t>Hebrew</w:t>
      </w:r>
      <w:r w:rsidR="00483C20">
        <w:rPr>
          <w:sz w:val="24"/>
          <w:szCs w:val="24"/>
        </w:rPr>
        <w:t>]</w:t>
      </w:r>
      <w:r w:rsidRPr="002B4D6F">
        <w:rPr>
          <w:sz w:val="24"/>
          <w:szCs w:val="24"/>
        </w:rPr>
        <w:t xml:space="preserve">; </w:t>
      </w:r>
      <w:proofErr w:type="spellStart"/>
      <w:r w:rsidR="00CB5B59" w:rsidRPr="00761B6B">
        <w:rPr>
          <w:rFonts w:cs="Miriam"/>
          <w:sz w:val="24"/>
          <w:szCs w:val="24"/>
        </w:rPr>
        <w:t>L</w:t>
      </w:r>
      <w:r w:rsidR="00CB5B59">
        <w:rPr>
          <w:rFonts w:cs="Miriam"/>
          <w:sz w:val="24"/>
          <w:szCs w:val="24"/>
        </w:rPr>
        <w:t>ital</w:t>
      </w:r>
      <w:proofErr w:type="spellEnd"/>
      <w:r w:rsidR="00CB5B59" w:rsidRPr="00761B6B">
        <w:rPr>
          <w:rFonts w:cs="Miriam"/>
          <w:sz w:val="24"/>
          <w:szCs w:val="24"/>
        </w:rPr>
        <w:t xml:space="preserve"> Levi, </w:t>
      </w:r>
      <w:r w:rsidR="00CB5B59">
        <w:rPr>
          <w:rFonts w:cs="Miriam"/>
          <w:sz w:val="24"/>
          <w:szCs w:val="24"/>
        </w:rPr>
        <w:t>“</w:t>
      </w:r>
      <w:r w:rsidR="00CB5B59" w:rsidRPr="00761B6B">
        <w:rPr>
          <w:rFonts w:cs="Miriam"/>
          <w:sz w:val="24"/>
          <w:szCs w:val="24"/>
        </w:rPr>
        <w:t xml:space="preserve">Partitioned Pasts: Arab Jewish Intellectuals and the Case of Esther </w:t>
      </w:r>
      <w:proofErr w:type="spellStart"/>
      <w:r w:rsidR="00CB5B59" w:rsidRPr="00761B6B">
        <w:rPr>
          <w:rFonts w:cs="Miriam"/>
          <w:sz w:val="24"/>
          <w:szCs w:val="24"/>
        </w:rPr>
        <w:t>Azhar</w:t>
      </w:r>
      <w:proofErr w:type="spellEnd"/>
      <w:r w:rsidR="00CB5B59">
        <w:rPr>
          <w:rFonts w:cs="Miriam"/>
          <w:sz w:val="24"/>
          <w:szCs w:val="24"/>
        </w:rPr>
        <w:t>/</w:t>
      </w:r>
      <w:r w:rsidR="00CB5B59" w:rsidRPr="00761B6B">
        <w:rPr>
          <w:rFonts w:cs="Miriam"/>
          <w:sz w:val="24"/>
          <w:szCs w:val="24"/>
        </w:rPr>
        <w:t xml:space="preserve"> </w:t>
      </w:r>
      <w:proofErr w:type="spellStart"/>
      <w:r w:rsidR="00CB5B59" w:rsidRPr="00761B6B">
        <w:rPr>
          <w:rFonts w:cs="Miriam"/>
          <w:sz w:val="24"/>
          <w:szCs w:val="24"/>
        </w:rPr>
        <w:t>Moyal</w:t>
      </w:r>
      <w:proofErr w:type="spellEnd"/>
      <w:r w:rsidR="00CB5B59" w:rsidRPr="00761B6B">
        <w:rPr>
          <w:rFonts w:cs="Miriam"/>
          <w:sz w:val="24"/>
          <w:szCs w:val="24"/>
        </w:rPr>
        <w:t xml:space="preserve"> (1873-1948),</w:t>
      </w:r>
      <w:r w:rsidR="00CB5B59">
        <w:rPr>
          <w:rFonts w:cs="Miriam"/>
          <w:sz w:val="24"/>
          <w:szCs w:val="24"/>
        </w:rPr>
        <w:t>” in</w:t>
      </w:r>
      <w:r w:rsidRPr="002B4D6F">
        <w:rPr>
          <w:rFonts w:cs="Miriam"/>
          <w:sz w:val="24"/>
          <w:szCs w:val="24"/>
        </w:rPr>
        <w:t xml:space="preserve"> </w:t>
      </w:r>
      <w:r w:rsidRPr="00CB5B59">
        <w:rPr>
          <w:rFonts w:cs="Miriam"/>
          <w:i/>
          <w:iCs/>
          <w:sz w:val="24"/>
          <w:szCs w:val="24"/>
        </w:rPr>
        <w:t>The Making of the Arab Intellectual (1880-1960): Empire, Public Sphere, and the Colonial Coordinates of Selfhood</w:t>
      </w:r>
      <w:r w:rsidRPr="002B4D6F">
        <w:rPr>
          <w:rFonts w:cs="Miriam"/>
          <w:sz w:val="24"/>
          <w:szCs w:val="24"/>
        </w:rPr>
        <w:t xml:space="preserve">, </w:t>
      </w:r>
      <w:r w:rsidR="00CB5B59">
        <w:rPr>
          <w:rFonts w:cs="Miriam"/>
          <w:sz w:val="24"/>
          <w:szCs w:val="24"/>
        </w:rPr>
        <w:t xml:space="preserve">ed. </w:t>
      </w:r>
      <w:proofErr w:type="spellStart"/>
      <w:r w:rsidR="00CB5B59">
        <w:rPr>
          <w:rFonts w:cs="Miriam"/>
          <w:sz w:val="24"/>
          <w:szCs w:val="24"/>
        </w:rPr>
        <w:t>Dyala</w:t>
      </w:r>
      <w:proofErr w:type="spellEnd"/>
      <w:r w:rsidR="00CB5B59">
        <w:rPr>
          <w:rFonts w:cs="Miriam"/>
          <w:sz w:val="24"/>
          <w:szCs w:val="24"/>
        </w:rPr>
        <w:t xml:space="preserve"> </w:t>
      </w:r>
      <w:proofErr w:type="spellStart"/>
      <w:r w:rsidR="00CB5B59">
        <w:rPr>
          <w:rFonts w:cs="Miriam"/>
          <w:sz w:val="24"/>
          <w:szCs w:val="24"/>
        </w:rPr>
        <w:t>Hamzah</w:t>
      </w:r>
      <w:proofErr w:type="spellEnd"/>
      <w:r w:rsidR="00CB5B59">
        <w:rPr>
          <w:rFonts w:cs="Miriam"/>
          <w:sz w:val="24"/>
          <w:szCs w:val="24"/>
        </w:rPr>
        <w:t xml:space="preserve"> (</w:t>
      </w:r>
      <w:r w:rsidRPr="002B4D6F">
        <w:rPr>
          <w:rFonts w:cs="Miriam"/>
          <w:sz w:val="24"/>
          <w:szCs w:val="24"/>
        </w:rPr>
        <w:t>London</w:t>
      </w:r>
      <w:r w:rsidR="00CB5B59">
        <w:rPr>
          <w:rFonts w:cs="Miriam"/>
          <w:sz w:val="24"/>
          <w:szCs w:val="24"/>
        </w:rPr>
        <w:t>: Routledge,</w:t>
      </w:r>
      <w:r w:rsidRPr="002B4D6F">
        <w:rPr>
          <w:rFonts w:cs="Miriam"/>
          <w:sz w:val="24"/>
          <w:szCs w:val="24"/>
        </w:rPr>
        <w:t xml:space="preserve"> 2012</w:t>
      </w:r>
      <w:r w:rsidR="00CB5B59">
        <w:rPr>
          <w:rFonts w:cs="Miriam"/>
          <w:sz w:val="24"/>
          <w:szCs w:val="24"/>
        </w:rPr>
        <w:t>)</w:t>
      </w:r>
      <w:r w:rsidRPr="002B4D6F">
        <w:rPr>
          <w:rFonts w:cs="Miriam"/>
          <w:sz w:val="24"/>
          <w:szCs w:val="24"/>
        </w:rPr>
        <w:t>, 128-163</w:t>
      </w:r>
      <w:r w:rsidR="00CB5B59">
        <w:rPr>
          <w:rFonts w:cs="Miriam"/>
          <w:sz w:val="24"/>
          <w:szCs w:val="24"/>
        </w:rPr>
        <w:t>; Moshe Behar and</w:t>
      </w:r>
      <w:r w:rsidR="00CB5B59" w:rsidRPr="004836C1">
        <w:rPr>
          <w:rFonts w:cs="Miriam"/>
          <w:sz w:val="24"/>
          <w:szCs w:val="24"/>
        </w:rPr>
        <w:t xml:space="preserve"> </w:t>
      </w:r>
      <w:proofErr w:type="spellStart"/>
      <w:r w:rsidR="00CB5B59" w:rsidRPr="004836C1">
        <w:rPr>
          <w:rFonts w:cs="Miriam"/>
          <w:sz w:val="24"/>
          <w:szCs w:val="24"/>
        </w:rPr>
        <w:t>Zvi</w:t>
      </w:r>
      <w:proofErr w:type="spellEnd"/>
      <w:r w:rsidR="00CB5B59" w:rsidRPr="004836C1">
        <w:rPr>
          <w:rFonts w:cs="Miriam"/>
          <w:sz w:val="24"/>
          <w:szCs w:val="24"/>
        </w:rPr>
        <w:t xml:space="preserve"> Ben-</w:t>
      </w:r>
      <w:proofErr w:type="spellStart"/>
      <w:r w:rsidR="00CB5B59" w:rsidRPr="004836C1">
        <w:rPr>
          <w:rFonts w:cs="Miriam"/>
          <w:sz w:val="24"/>
          <w:szCs w:val="24"/>
        </w:rPr>
        <w:t>Dor</w:t>
      </w:r>
      <w:proofErr w:type="spellEnd"/>
      <w:r w:rsidR="00CB5B59" w:rsidRPr="004836C1">
        <w:rPr>
          <w:rFonts w:cs="Miriam"/>
          <w:sz w:val="24"/>
          <w:szCs w:val="24"/>
        </w:rPr>
        <w:t xml:space="preserve"> </w:t>
      </w:r>
      <w:proofErr w:type="spellStart"/>
      <w:r w:rsidR="00CB5B59" w:rsidRPr="004836C1">
        <w:rPr>
          <w:rFonts w:cs="Miriam"/>
          <w:sz w:val="24"/>
          <w:szCs w:val="24"/>
        </w:rPr>
        <w:t>Benite</w:t>
      </w:r>
      <w:proofErr w:type="spellEnd"/>
      <w:r w:rsidR="00CB5B59" w:rsidRPr="004836C1">
        <w:rPr>
          <w:rFonts w:cs="Miriam"/>
          <w:sz w:val="24"/>
          <w:szCs w:val="24"/>
        </w:rPr>
        <w:t xml:space="preserve">, eds., </w:t>
      </w:r>
      <w:r w:rsidR="00CB5B59" w:rsidRPr="004836C1">
        <w:rPr>
          <w:rFonts w:cs="Miriam"/>
          <w:i/>
          <w:iCs/>
          <w:sz w:val="24"/>
          <w:szCs w:val="24"/>
        </w:rPr>
        <w:t xml:space="preserve">Modern Middle Eastern Jewish Thought: Writings on Identity, Politics, and Culture 1893-1958 </w:t>
      </w:r>
      <w:r w:rsidR="00CB5B59" w:rsidRPr="004836C1">
        <w:rPr>
          <w:rFonts w:cs="Miriam"/>
          <w:sz w:val="24"/>
          <w:szCs w:val="24"/>
        </w:rPr>
        <w:t>(Waltham, MA: Brandeis University Press, 2013), 31-47.</w:t>
      </w:r>
    </w:p>
  </w:footnote>
  <w:footnote w:id="9">
    <w:p w14:paraId="031EBB8A" w14:textId="73A9C2B0" w:rsidR="00F06A8C" w:rsidRPr="004836C1" w:rsidRDefault="00F06A8C" w:rsidP="00413443">
      <w:pPr>
        <w:spacing w:line="480" w:lineRule="auto"/>
        <w:rPr>
          <w:rFonts w:ascii="Times New Roman" w:eastAsia="Times New Roman" w:hAnsi="Times New Roman" w:cs="Times New Roman"/>
        </w:rPr>
      </w:pPr>
      <w:r w:rsidRPr="004836C1">
        <w:rPr>
          <w:rStyle w:val="FootnoteReference"/>
        </w:rPr>
        <w:footnoteRef/>
      </w:r>
      <w:r w:rsidRPr="004836C1">
        <w:t xml:space="preserve"> </w:t>
      </w:r>
      <w:r w:rsidRPr="004836C1">
        <w:rPr>
          <w:rFonts w:cs="Miriam"/>
        </w:rPr>
        <w:t xml:space="preserve">See Aron Rodrigue, </w:t>
      </w:r>
      <w:r w:rsidRPr="004836C1">
        <w:rPr>
          <w:rFonts w:cs="Miriam"/>
          <w:i/>
          <w:iCs/>
        </w:rPr>
        <w:t xml:space="preserve">De </w:t>
      </w:r>
      <w:proofErr w:type="spellStart"/>
      <w:r w:rsidRPr="004836C1">
        <w:rPr>
          <w:rFonts w:cs="Miriam"/>
          <w:i/>
          <w:iCs/>
        </w:rPr>
        <w:t>l'instruction</w:t>
      </w:r>
      <w:proofErr w:type="spellEnd"/>
      <w:r w:rsidRPr="004836C1">
        <w:rPr>
          <w:rFonts w:cs="Miriam"/>
          <w:i/>
          <w:iCs/>
        </w:rPr>
        <w:t xml:space="preserve"> à </w:t>
      </w:r>
      <w:proofErr w:type="spellStart"/>
      <w:r w:rsidRPr="004836C1">
        <w:rPr>
          <w:rFonts w:cs="Miriam"/>
          <w:i/>
          <w:iCs/>
        </w:rPr>
        <w:t>l'émancipation</w:t>
      </w:r>
      <w:proofErr w:type="spellEnd"/>
      <w:r w:rsidR="002E2F86">
        <w:rPr>
          <w:rFonts w:cs="Miriam"/>
          <w:i/>
          <w:iCs/>
        </w:rPr>
        <w:t>:</w:t>
      </w:r>
      <w:r w:rsidRPr="004836C1">
        <w:rPr>
          <w:rFonts w:cs="Miriam"/>
          <w:i/>
          <w:iCs/>
        </w:rPr>
        <w:t xml:space="preserve"> Les </w:t>
      </w:r>
      <w:proofErr w:type="spellStart"/>
      <w:r w:rsidRPr="004836C1">
        <w:rPr>
          <w:rFonts w:cs="Miriam"/>
          <w:i/>
          <w:iCs/>
        </w:rPr>
        <w:t>enseignants</w:t>
      </w:r>
      <w:proofErr w:type="spellEnd"/>
      <w:r w:rsidRPr="004836C1">
        <w:rPr>
          <w:rFonts w:cs="Miriam"/>
          <w:i/>
          <w:iCs/>
        </w:rPr>
        <w:t xml:space="preserve"> de </w:t>
      </w:r>
      <w:proofErr w:type="spellStart"/>
      <w:r w:rsidRPr="004836C1">
        <w:rPr>
          <w:rFonts w:cs="Miriam"/>
          <w:i/>
          <w:iCs/>
        </w:rPr>
        <w:t>l'Alliance</w:t>
      </w:r>
      <w:proofErr w:type="spellEnd"/>
      <w:r w:rsidRPr="004836C1">
        <w:rPr>
          <w:rFonts w:cs="Miriam"/>
          <w:i/>
          <w:iCs/>
        </w:rPr>
        <w:t xml:space="preserve"> </w:t>
      </w:r>
      <w:proofErr w:type="spellStart"/>
      <w:r w:rsidRPr="004836C1">
        <w:rPr>
          <w:rFonts w:cs="Miriam"/>
          <w:i/>
          <w:iCs/>
        </w:rPr>
        <w:t>Israélite</w:t>
      </w:r>
      <w:proofErr w:type="spellEnd"/>
      <w:r w:rsidRPr="004836C1">
        <w:rPr>
          <w:rFonts w:cs="Miriam"/>
          <w:i/>
          <w:iCs/>
        </w:rPr>
        <w:t xml:space="preserve"> </w:t>
      </w:r>
      <w:proofErr w:type="spellStart"/>
      <w:r w:rsidRPr="004836C1">
        <w:rPr>
          <w:rFonts w:cs="Miriam"/>
          <w:i/>
          <w:iCs/>
        </w:rPr>
        <w:t>universelle</w:t>
      </w:r>
      <w:proofErr w:type="spellEnd"/>
      <w:r w:rsidRPr="004836C1">
        <w:rPr>
          <w:rFonts w:cs="Miriam"/>
          <w:i/>
          <w:iCs/>
        </w:rPr>
        <w:t xml:space="preserve"> et les </w:t>
      </w:r>
      <w:proofErr w:type="spellStart"/>
      <w:r w:rsidRPr="004836C1">
        <w:rPr>
          <w:rFonts w:cs="Miriam"/>
          <w:i/>
          <w:iCs/>
        </w:rPr>
        <w:t>Juifs</w:t>
      </w:r>
      <w:proofErr w:type="spellEnd"/>
      <w:r w:rsidRPr="004836C1">
        <w:rPr>
          <w:rFonts w:cs="Miriam"/>
          <w:i/>
          <w:iCs/>
        </w:rPr>
        <w:t xml:space="preserve"> </w:t>
      </w:r>
      <w:proofErr w:type="spellStart"/>
      <w:r w:rsidRPr="004836C1">
        <w:rPr>
          <w:rFonts w:cs="Miriam"/>
          <w:i/>
          <w:iCs/>
        </w:rPr>
        <w:t>d'Orient</w:t>
      </w:r>
      <w:proofErr w:type="spellEnd"/>
      <w:r w:rsidRPr="004836C1">
        <w:rPr>
          <w:rFonts w:cs="Miriam"/>
          <w:i/>
          <w:iCs/>
        </w:rPr>
        <w:t xml:space="preserve"> 1860-1939</w:t>
      </w:r>
      <w:r w:rsidRPr="004836C1">
        <w:rPr>
          <w:rFonts w:cs="Miriam"/>
        </w:rPr>
        <w:t xml:space="preserve"> (Paris: </w:t>
      </w:r>
      <w:proofErr w:type="spellStart"/>
      <w:r w:rsidRPr="004836C1">
        <w:rPr>
          <w:rFonts w:eastAsia="Arial Unicode MS" w:cs="Arial Unicode MS"/>
          <w:color w:val="000000"/>
          <w:shd w:val="clear" w:color="auto" w:fill="FFFFFF"/>
        </w:rPr>
        <w:t>Calmann-Lévy</w:t>
      </w:r>
      <w:proofErr w:type="spellEnd"/>
      <w:r w:rsidRPr="004836C1">
        <w:rPr>
          <w:rFonts w:eastAsia="Arial Unicode MS" w:cs="Arial Unicode MS"/>
          <w:color w:val="000000"/>
          <w:shd w:val="clear" w:color="auto" w:fill="FFFFFF"/>
        </w:rPr>
        <w:t xml:space="preserve">, </w:t>
      </w:r>
      <w:r w:rsidRPr="004836C1">
        <w:rPr>
          <w:rFonts w:cs="Miriam"/>
        </w:rPr>
        <w:t>1989), 29.</w:t>
      </w:r>
    </w:p>
  </w:footnote>
  <w:footnote w:id="10">
    <w:p w14:paraId="5CBD918E" w14:textId="76EAA6D0" w:rsidR="009B5EEF" w:rsidRPr="004836C1" w:rsidRDefault="009B5EEF" w:rsidP="00413443">
      <w:pPr>
        <w:pStyle w:val="FootnoteText"/>
        <w:spacing w:line="480" w:lineRule="auto"/>
        <w:rPr>
          <w:sz w:val="24"/>
          <w:szCs w:val="24"/>
        </w:rPr>
      </w:pPr>
      <w:r w:rsidRPr="004836C1">
        <w:rPr>
          <w:rStyle w:val="FootnoteReference"/>
          <w:sz w:val="24"/>
          <w:szCs w:val="24"/>
        </w:rPr>
        <w:footnoteRef/>
      </w:r>
      <w:r w:rsidRPr="004836C1">
        <w:rPr>
          <w:sz w:val="24"/>
          <w:szCs w:val="24"/>
        </w:rPr>
        <w:t xml:space="preserve"> </w:t>
      </w:r>
      <w:proofErr w:type="spellStart"/>
      <w:r w:rsidRPr="004836C1">
        <w:rPr>
          <w:rFonts w:cs="Miriam"/>
          <w:sz w:val="24"/>
          <w:szCs w:val="24"/>
        </w:rPr>
        <w:t>Shilo</w:t>
      </w:r>
      <w:proofErr w:type="spellEnd"/>
      <w:r w:rsidRPr="004836C1">
        <w:rPr>
          <w:rFonts w:cs="Miriam"/>
          <w:sz w:val="24"/>
          <w:szCs w:val="24"/>
        </w:rPr>
        <w:t xml:space="preserve">, </w:t>
      </w:r>
      <w:r w:rsidRPr="004836C1">
        <w:rPr>
          <w:rFonts w:cs="Miriam"/>
          <w:i/>
          <w:iCs/>
          <w:sz w:val="24"/>
          <w:szCs w:val="24"/>
        </w:rPr>
        <w:t xml:space="preserve">Prisoner or </w:t>
      </w:r>
      <w:proofErr w:type="gramStart"/>
      <w:r w:rsidRPr="004836C1">
        <w:rPr>
          <w:rFonts w:cs="Miriam"/>
          <w:i/>
          <w:iCs/>
          <w:sz w:val="24"/>
          <w:szCs w:val="24"/>
        </w:rPr>
        <w:t>Princess?,</w:t>
      </w:r>
      <w:proofErr w:type="gramEnd"/>
      <w:r w:rsidRPr="004836C1">
        <w:rPr>
          <w:rFonts w:cs="Miriam"/>
          <w:sz w:val="24"/>
          <w:szCs w:val="24"/>
        </w:rPr>
        <w:t xml:space="preserve"> 202. </w:t>
      </w:r>
    </w:p>
  </w:footnote>
  <w:footnote w:id="11">
    <w:p w14:paraId="499C6985" w14:textId="64F17AD7" w:rsidR="006D0717" w:rsidRDefault="006D0717" w:rsidP="00413443">
      <w:pPr>
        <w:pStyle w:val="FootnoteText"/>
        <w:spacing w:line="480" w:lineRule="auto"/>
      </w:pPr>
      <w:r w:rsidRPr="004836C1">
        <w:rPr>
          <w:rStyle w:val="FootnoteReference"/>
          <w:sz w:val="24"/>
          <w:szCs w:val="24"/>
        </w:rPr>
        <w:footnoteRef/>
      </w:r>
      <w:r w:rsidRPr="004836C1">
        <w:rPr>
          <w:sz w:val="24"/>
          <w:szCs w:val="24"/>
        </w:rPr>
        <w:t xml:space="preserve"> </w:t>
      </w:r>
      <w:proofErr w:type="spellStart"/>
      <w:r w:rsidRPr="004836C1">
        <w:rPr>
          <w:rFonts w:cs="Miriam"/>
          <w:sz w:val="24"/>
          <w:szCs w:val="24"/>
        </w:rPr>
        <w:t>Shilo</w:t>
      </w:r>
      <w:proofErr w:type="spellEnd"/>
      <w:r w:rsidRPr="004836C1">
        <w:rPr>
          <w:rFonts w:cs="Miriam"/>
          <w:sz w:val="24"/>
          <w:szCs w:val="24"/>
        </w:rPr>
        <w:t xml:space="preserve">, </w:t>
      </w:r>
      <w:r w:rsidRPr="004836C1">
        <w:rPr>
          <w:rFonts w:cs="Miriam"/>
          <w:i/>
          <w:iCs/>
          <w:sz w:val="24"/>
          <w:szCs w:val="24"/>
        </w:rPr>
        <w:t xml:space="preserve">Prisoner or </w:t>
      </w:r>
      <w:proofErr w:type="gramStart"/>
      <w:r w:rsidRPr="004836C1">
        <w:rPr>
          <w:rFonts w:cs="Miriam"/>
          <w:i/>
          <w:iCs/>
          <w:sz w:val="24"/>
          <w:szCs w:val="24"/>
        </w:rPr>
        <w:t>Princess?,</w:t>
      </w:r>
      <w:proofErr w:type="gramEnd"/>
      <w:r w:rsidRPr="004836C1">
        <w:rPr>
          <w:rFonts w:cs="Miriam"/>
          <w:sz w:val="24"/>
          <w:szCs w:val="24"/>
        </w:rPr>
        <w:t xml:space="preserve"> 152-153</w:t>
      </w:r>
      <w:r w:rsidR="004836C1" w:rsidRPr="004836C1">
        <w:rPr>
          <w:rFonts w:cs="Miriam"/>
          <w:sz w:val="24"/>
          <w:szCs w:val="24"/>
        </w:rPr>
        <w:t>,169.</w:t>
      </w:r>
    </w:p>
  </w:footnote>
  <w:footnote w:id="12">
    <w:p w14:paraId="076FDE1E" w14:textId="29DE58C9" w:rsidR="005F1CB0" w:rsidRPr="005F1CB0" w:rsidRDefault="005F1CB0">
      <w:pPr>
        <w:pStyle w:val="FootnoteText"/>
      </w:pPr>
      <w:r>
        <w:rPr>
          <w:rStyle w:val="FootnoteReference"/>
        </w:rPr>
        <w:footnoteRef/>
      </w:r>
      <w:r>
        <w:t xml:space="preserve"> </w:t>
      </w:r>
      <w:proofErr w:type="spellStart"/>
      <w:r w:rsidRPr="004836C1">
        <w:rPr>
          <w:rFonts w:cs="Miriam"/>
          <w:sz w:val="24"/>
          <w:szCs w:val="24"/>
        </w:rPr>
        <w:t>Shilo</w:t>
      </w:r>
      <w:proofErr w:type="spellEnd"/>
      <w:r w:rsidRPr="004836C1">
        <w:rPr>
          <w:rFonts w:cs="Miriam"/>
          <w:sz w:val="24"/>
          <w:szCs w:val="24"/>
        </w:rPr>
        <w:t xml:space="preserve">, </w:t>
      </w:r>
      <w:r w:rsidRPr="004836C1">
        <w:rPr>
          <w:rFonts w:cs="Miriam"/>
          <w:i/>
          <w:iCs/>
          <w:sz w:val="24"/>
          <w:szCs w:val="24"/>
        </w:rPr>
        <w:t xml:space="preserve">Prisoner or </w:t>
      </w:r>
      <w:proofErr w:type="gramStart"/>
      <w:r w:rsidRPr="004836C1">
        <w:rPr>
          <w:rFonts w:cs="Miriam"/>
          <w:i/>
          <w:iCs/>
          <w:sz w:val="24"/>
          <w:szCs w:val="24"/>
        </w:rPr>
        <w:t>Princess?,</w:t>
      </w:r>
      <w:proofErr w:type="gramEnd"/>
      <w:r>
        <w:rPr>
          <w:rFonts w:cs="Miriam"/>
          <w:i/>
          <w:iCs/>
          <w:sz w:val="24"/>
          <w:szCs w:val="24"/>
        </w:rPr>
        <w:t xml:space="preserve"> </w:t>
      </w:r>
      <w:r>
        <w:rPr>
          <w:rFonts w:cs="Miriam"/>
          <w:sz w:val="24"/>
          <w:szCs w:val="24"/>
        </w:rPr>
        <w:t>210.</w:t>
      </w:r>
    </w:p>
  </w:footnote>
  <w:footnote w:id="13">
    <w:p w14:paraId="22718034" w14:textId="4BED74D0" w:rsidR="003F2F65" w:rsidRDefault="003F2F65" w:rsidP="009F5DCD">
      <w:pPr>
        <w:pStyle w:val="FootnoteText"/>
        <w:spacing w:line="480" w:lineRule="auto"/>
      </w:pPr>
      <w:r>
        <w:rPr>
          <w:rStyle w:val="FootnoteReference"/>
        </w:rPr>
        <w:footnoteRef/>
      </w:r>
      <w:r>
        <w:t xml:space="preserve"> </w:t>
      </w:r>
      <w:r>
        <w:rPr>
          <w:rFonts w:cs="Miriam"/>
          <w:sz w:val="24"/>
          <w:szCs w:val="24"/>
        </w:rPr>
        <w:t>See</w:t>
      </w:r>
      <w:r w:rsidRPr="00761B6B">
        <w:rPr>
          <w:rFonts w:cs="Miriam" w:hint="cs"/>
          <w:sz w:val="24"/>
          <w:szCs w:val="24"/>
          <w:rtl/>
        </w:rPr>
        <w:t xml:space="preserve"> </w:t>
      </w:r>
      <w:proofErr w:type="spellStart"/>
      <w:r w:rsidRPr="00761B6B">
        <w:rPr>
          <w:rFonts w:cs="Miriam"/>
          <w:sz w:val="24"/>
          <w:szCs w:val="24"/>
        </w:rPr>
        <w:t>Auguste</w:t>
      </w:r>
      <w:proofErr w:type="spellEnd"/>
      <w:r w:rsidRPr="00761B6B">
        <w:rPr>
          <w:rFonts w:cs="Miriam"/>
          <w:sz w:val="24"/>
          <w:szCs w:val="24"/>
        </w:rPr>
        <w:t xml:space="preserve"> </w:t>
      </w:r>
      <w:proofErr w:type="spellStart"/>
      <w:r w:rsidRPr="00761B6B">
        <w:rPr>
          <w:rFonts w:cs="Miriam"/>
          <w:sz w:val="24"/>
          <w:szCs w:val="24"/>
        </w:rPr>
        <w:t>Sarrou</w:t>
      </w:r>
      <w:proofErr w:type="spellEnd"/>
      <w:r w:rsidRPr="00761B6B">
        <w:rPr>
          <w:rFonts w:cs="Miriam"/>
          <w:sz w:val="24"/>
          <w:szCs w:val="24"/>
        </w:rPr>
        <w:t>, “The Young Turks</w:t>
      </w:r>
      <w:r>
        <w:rPr>
          <w:rFonts w:cs="Miriam"/>
          <w:sz w:val="24"/>
          <w:szCs w:val="24"/>
        </w:rPr>
        <w:t>,</w:t>
      </w:r>
      <w:r w:rsidRPr="00761B6B">
        <w:rPr>
          <w:rFonts w:cs="Miriam"/>
          <w:sz w:val="24"/>
          <w:szCs w:val="24"/>
        </w:rPr>
        <w:t>”</w:t>
      </w:r>
      <w:r>
        <w:rPr>
          <w:rFonts w:cs="Miriam"/>
          <w:sz w:val="24"/>
          <w:szCs w:val="24"/>
        </w:rPr>
        <w:t xml:space="preserve"> in </w:t>
      </w:r>
      <w:r w:rsidRPr="003F2F65">
        <w:rPr>
          <w:rFonts w:cs="Miriam"/>
          <w:i/>
          <w:iCs/>
          <w:sz w:val="24"/>
          <w:szCs w:val="24"/>
        </w:rPr>
        <w:t>Civilization since Waterloo: A Book of Source Readings</w:t>
      </w:r>
      <w:r w:rsidRPr="00761B6B">
        <w:rPr>
          <w:rFonts w:cs="Miriam"/>
          <w:sz w:val="24"/>
          <w:szCs w:val="24"/>
        </w:rPr>
        <w:t>,</w:t>
      </w:r>
      <w:r>
        <w:rPr>
          <w:rFonts w:cs="Miriam"/>
          <w:sz w:val="24"/>
          <w:szCs w:val="24"/>
        </w:rPr>
        <w:t xml:space="preserve"> ed. </w:t>
      </w:r>
      <w:r w:rsidRPr="00761B6B">
        <w:rPr>
          <w:rFonts w:cs="Miriam"/>
          <w:sz w:val="24"/>
          <w:szCs w:val="24"/>
        </w:rPr>
        <w:t>R</w:t>
      </w:r>
      <w:r>
        <w:rPr>
          <w:rFonts w:cs="Miriam"/>
          <w:sz w:val="24"/>
          <w:szCs w:val="24"/>
        </w:rPr>
        <w:t>ondo</w:t>
      </w:r>
      <w:r w:rsidRPr="00761B6B">
        <w:rPr>
          <w:rFonts w:cs="Miriam"/>
          <w:sz w:val="24"/>
          <w:szCs w:val="24"/>
        </w:rPr>
        <w:t xml:space="preserve"> Cameron</w:t>
      </w:r>
      <w:r>
        <w:rPr>
          <w:rFonts w:cs="Miriam"/>
          <w:sz w:val="24"/>
          <w:szCs w:val="24"/>
        </w:rPr>
        <w:t xml:space="preserve"> (Itasca, Illinois</w:t>
      </w:r>
      <w:r w:rsidR="009F5DCD">
        <w:rPr>
          <w:rFonts w:cs="Miriam"/>
          <w:sz w:val="24"/>
          <w:szCs w:val="24"/>
        </w:rPr>
        <w:t xml:space="preserve">: F. E Peacock, </w:t>
      </w:r>
      <w:r w:rsidRPr="00761B6B">
        <w:rPr>
          <w:rFonts w:cs="Miriam"/>
          <w:sz w:val="24"/>
          <w:szCs w:val="24"/>
        </w:rPr>
        <w:t>19</w:t>
      </w:r>
      <w:r w:rsidR="009F5DCD">
        <w:rPr>
          <w:rFonts w:cs="Miriam"/>
          <w:sz w:val="24"/>
          <w:szCs w:val="24"/>
        </w:rPr>
        <w:t>71)</w:t>
      </w:r>
      <w:r w:rsidRPr="00761B6B">
        <w:rPr>
          <w:rFonts w:cs="Miriam"/>
          <w:sz w:val="24"/>
          <w:szCs w:val="24"/>
        </w:rPr>
        <w:t>, 4</w:t>
      </w:r>
      <w:r>
        <w:rPr>
          <w:rFonts w:cs="Miriam"/>
          <w:sz w:val="24"/>
          <w:szCs w:val="24"/>
        </w:rPr>
        <w:t>0-42.</w:t>
      </w:r>
    </w:p>
  </w:footnote>
  <w:footnote w:id="14">
    <w:p w14:paraId="3994914C" w14:textId="70071E7D" w:rsidR="006262A7" w:rsidRPr="00263A3B" w:rsidRDefault="006262A7" w:rsidP="002E2F86">
      <w:pPr>
        <w:pStyle w:val="FootnoteText"/>
        <w:spacing w:line="480" w:lineRule="auto"/>
        <w:rPr>
          <w:i/>
          <w:iCs/>
          <w:sz w:val="24"/>
          <w:szCs w:val="24"/>
        </w:rPr>
      </w:pPr>
      <w:r>
        <w:rPr>
          <w:rStyle w:val="FootnoteReference"/>
        </w:rPr>
        <w:footnoteRef/>
      </w:r>
      <w:r>
        <w:t xml:space="preserve"> </w:t>
      </w:r>
      <w:r w:rsidR="00263A3B">
        <w:rPr>
          <w:i/>
          <w:iCs/>
          <w:sz w:val="24"/>
          <w:szCs w:val="24"/>
        </w:rPr>
        <w:t>h</w:t>
      </w:r>
      <w:r>
        <w:rPr>
          <w:i/>
          <w:iCs/>
          <w:sz w:val="24"/>
          <w:szCs w:val="24"/>
        </w:rPr>
        <w:t>a-</w:t>
      </w:r>
      <w:proofErr w:type="spellStart"/>
      <w:r>
        <w:rPr>
          <w:i/>
          <w:iCs/>
          <w:sz w:val="24"/>
          <w:szCs w:val="24"/>
        </w:rPr>
        <w:t>Herut</w:t>
      </w:r>
      <w:proofErr w:type="spellEnd"/>
      <w:r>
        <w:rPr>
          <w:i/>
          <w:iCs/>
          <w:sz w:val="24"/>
          <w:szCs w:val="24"/>
        </w:rPr>
        <w:t xml:space="preserve">, </w:t>
      </w:r>
      <w:r>
        <w:rPr>
          <w:sz w:val="24"/>
          <w:szCs w:val="24"/>
        </w:rPr>
        <w:t>August, 4, 1909</w:t>
      </w:r>
      <w:r w:rsidR="00263A3B">
        <w:rPr>
          <w:sz w:val="24"/>
          <w:szCs w:val="24"/>
        </w:rPr>
        <w:t>, 2</w:t>
      </w:r>
      <w:r>
        <w:rPr>
          <w:sz w:val="24"/>
          <w:szCs w:val="24"/>
        </w:rPr>
        <w:t xml:space="preserve">. For an historical overview of </w:t>
      </w:r>
      <w:r w:rsidR="00316D63">
        <w:rPr>
          <w:sz w:val="24"/>
          <w:szCs w:val="24"/>
        </w:rPr>
        <w:t xml:space="preserve">the changing attitudes towards </w:t>
      </w:r>
      <w:r w:rsidR="002E2F86">
        <w:rPr>
          <w:sz w:val="24"/>
          <w:szCs w:val="24"/>
        </w:rPr>
        <w:t xml:space="preserve">the </w:t>
      </w:r>
      <w:r w:rsidR="00316D63">
        <w:rPr>
          <w:sz w:val="24"/>
          <w:szCs w:val="24"/>
        </w:rPr>
        <w:t>service of non-Muslim minorities in the Ottoman military and the reception of the conscription law, see David Ashkenazi, “Jewish Conscription in Istanbul 1909-1910</w:t>
      </w:r>
      <w:r w:rsidR="00841E62">
        <w:rPr>
          <w:sz w:val="24"/>
          <w:szCs w:val="24"/>
        </w:rPr>
        <w:t xml:space="preserve"> as Reflected in</w:t>
      </w:r>
      <w:r w:rsidR="00263A3B">
        <w:rPr>
          <w:sz w:val="24"/>
          <w:szCs w:val="24"/>
        </w:rPr>
        <w:t xml:space="preserve"> the Newspaper </w:t>
      </w:r>
      <w:r w:rsidR="00263A3B">
        <w:rPr>
          <w:i/>
          <w:iCs/>
          <w:sz w:val="24"/>
          <w:szCs w:val="24"/>
        </w:rPr>
        <w:t>El</w:t>
      </w:r>
      <w:r w:rsidR="00841E62">
        <w:rPr>
          <w:i/>
          <w:iCs/>
          <w:sz w:val="24"/>
          <w:szCs w:val="24"/>
        </w:rPr>
        <w:t xml:space="preserve"> </w:t>
      </w:r>
      <w:proofErr w:type="spellStart"/>
      <w:r w:rsidR="00841E62">
        <w:rPr>
          <w:i/>
          <w:iCs/>
          <w:sz w:val="24"/>
          <w:szCs w:val="24"/>
        </w:rPr>
        <w:t>Tiemp</w:t>
      </w:r>
      <w:r w:rsidR="00263A3B">
        <w:rPr>
          <w:i/>
          <w:iCs/>
          <w:sz w:val="24"/>
          <w:szCs w:val="24"/>
        </w:rPr>
        <w:t>o</w:t>
      </w:r>
      <w:proofErr w:type="spellEnd"/>
      <w:r w:rsidR="00263A3B">
        <w:rPr>
          <w:i/>
          <w:iCs/>
          <w:sz w:val="24"/>
          <w:szCs w:val="24"/>
        </w:rPr>
        <w:t>,”</w:t>
      </w:r>
      <w:r w:rsidR="002E2F86">
        <w:rPr>
          <w:i/>
          <w:iCs/>
          <w:sz w:val="24"/>
          <w:szCs w:val="24"/>
        </w:rPr>
        <w:t xml:space="preserve"> </w:t>
      </w:r>
      <w:proofErr w:type="spellStart"/>
      <w:r w:rsidR="002E2F86">
        <w:rPr>
          <w:i/>
          <w:iCs/>
          <w:sz w:val="24"/>
          <w:szCs w:val="24"/>
        </w:rPr>
        <w:t>Pe</w:t>
      </w:r>
      <w:r w:rsidR="001E14DB">
        <w:rPr>
          <w:i/>
          <w:iCs/>
          <w:sz w:val="24"/>
          <w:szCs w:val="24"/>
        </w:rPr>
        <w:t>‘</w:t>
      </w:r>
      <w:r w:rsidR="002E2F86">
        <w:rPr>
          <w:i/>
          <w:iCs/>
          <w:sz w:val="24"/>
          <w:szCs w:val="24"/>
        </w:rPr>
        <w:t>amim</w:t>
      </w:r>
      <w:proofErr w:type="spellEnd"/>
      <w:r w:rsidR="002E2F86">
        <w:rPr>
          <w:i/>
          <w:iCs/>
          <w:sz w:val="24"/>
          <w:szCs w:val="24"/>
        </w:rPr>
        <w:t xml:space="preserve"> </w:t>
      </w:r>
      <w:r w:rsidR="001E14DB">
        <w:rPr>
          <w:sz w:val="24"/>
          <w:szCs w:val="24"/>
        </w:rPr>
        <w:t xml:space="preserve">105-106 </w:t>
      </w:r>
      <w:r w:rsidR="002E2F86">
        <w:rPr>
          <w:sz w:val="24"/>
          <w:szCs w:val="24"/>
        </w:rPr>
        <w:t>(2006): 183-187, 191-192</w:t>
      </w:r>
      <w:r w:rsidR="001E14DB">
        <w:rPr>
          <w:sz w:val="24"/>
          <w:szCs w:val="24"/>
        </w:rPr>
        <w:t xml:space="preserve"> [</w:t>
      </w:r>
      <w:r w:rsidR="002E2F86">
        <w:rPr>
          <w:sz w:val="24"/>
          <w:szCs w:val="24"/>
        </w:rPr>
        <w:t>Hebrew</w:t>
      </w:r>
      <w:r w:rsidR="001E14DB">
        <w:rPr>
          <w:sz w:val="24"/>
          <w:szCs w:val="24"/>
        </w:rPr>
        <w:t>]</w:t>
      </w:r>
      <w:r w:rsidR="002E2F86">
        <w:rPr>
          <w:sz w:val="24"/>
          <w:szCs w:val="24"/>
        </w:rPr>
        <w:t>.</w:t>
      </w:r>
      <w:r w:rsidR="00263A3B">
        <w:rPr>
          <w:i/>
          <w:iCs/>
          <w:sz w:val="24"/>
          <w:szCs w:val="24"/>
        </w:rPr>
        <w:t xml:space="preserve"> </w:t>
      </w:r>
      <w:r w:rsidR="001E14DB">
        <w:rPr>
          <w:i/>
          <w:iCs/>
          <w:sz w:val="24"/>
          <w:szCs w:val="24"/>
        </w:rPr>
        <w:t xml:space="preserve"> </w:t>
      </w:r>
    </w:p>
  </w:footnote>
  <w:footnote w:id="15">
    <w:p w14:paraId="4B850775" w14:textId="24A1EC18" w:rsidR="00263A3B" w:rsidRPr="00263A3B" w:rsidRDefault="00263A3B">
      <w:pPr>
        <w:pStyle w:val="FootnoteText"/>
        <w:rPr>
          <w:sz w:val="24"/>
          <w:szCs w:val="24"/>
        </w:rPr>
      </w:pPr>
      <w:r>
        <w:rPr>
          <w:rStyle w:val="FootnoteReference"/>
        </w:rPr>
        <w:footnoteRef/>
      </w:r>
      <w:r>
        <w:t xml:space="preserve"> </w:t>
      </w:r>
      <w:r>
        <w:rPr>
          <w:i/>
          <w:iCs/>
          <w:sz w:val="24"/>
          <w:szCs w:val="24"/>
        </w:rPr>
        <w:t>ha-</w:t>
      </w:r>
      <w:proofErr w:type="spellStart"/>
      <w:r>
        <w:rPr>
          <w:i/>
          <w:iCs/>
          <w:sz w:val="24"/>
          <w:szCs w:val="24"/>
        </w:rPr>
        <w:t>Herut</w:t>
      </w:r>
      <w:proofErr w:type="spellEnd"/>
      <w:r>
        <w:rPr>
          <w:sz w:val="24"/>
          <w:szCs w:val="24"/>
        </w:rPr>
        <w:t xml:space="preserve">, </w:t>
      </w:r>
      <w:r w:rsidR="00A513C0">
        <w:rPr>
          <w:sz w:val="24"/>
          <w:szCs w:val="24"/>
        </w:rPr>
        <w:t>August</w:t>
      </w:r>
      <w:r>
        <w:rPr>
          <w:sz w:val="24"/>
          <w:szCs w:val="24"/>
        </w:rPr>
        <w:t xml:space="preserve"> </w:t>
      </w:r>
      <w:r w:rsidR="00A513C0">
        <w:rPr>
          <w:sz w:val="24"/>
          <w:szCs w:val="24"/>
        </w:rPr>
        <w:t>1</w:t>
      </w:r>
      <w:r>
        <w:rPr>
          <w:sz w:val="24"/>
          <w:szCs w:val="24"/>
        </w:rPr>
        <w:t>3, 1909, 4.</w:t>
      </w:r>
    </w:p>
  </w:footnote>
  <w:footnote w:id="16">
    <w:p w14:paraId="77DA875F" w14:textId="2C1A6730" w:rsidR="00A513C0" w:rsidRDefault="00A513C0" w:rsidP="00E45F14">
      <w:pPr>
        <w:pStyle w:val="FootnoteText"/>
        <w:spacing w:line="480" w:lineRule="auto"/>
      </w:pPr>
      <w:r>
        <w:rPr>
          <w:rStyle w:val="FootnoteReference"/>
        </w:rPr>
        <w:footnoteRef/>
      </w:r>
      <w:r>
        <w:t xml:space="preserve"> </w:t>
      </w:r>
      <w:r>
        <w:rPr>
          <w:i/>
          <w:iCs/>
          <w:sz w:val="24"/>
          <w:szCs w:val="24"/>
        </w:rPr>
        <w:t>ha-</w:t>
      </w:r>
      <w:proofErr w:type="spellStart"/>
      <w:r>
        <w:rPr>
          <w:i/>
          <w:iCs/>
          <w:sz w:val="24"/>
          <w:szCs w:val="24"/>
        </w:rPr>
        <w:t>Herut</w:t>
      </w:r>
      <w:proofErr w:type="spellEnd"/>
      <w:r>
        <w:rPr>
          <w:sz w:val="24"/>
          <w:szCs w:val="24"/>
        </w:rPr>
        <w:t>, September 3, 1909, 4.</w:t>
      </w:r>
    </w:p>
  </w:footnote>
  <w:footnote w:id="17">
    <w:p w14:paraId="50D9288D" w14:textId="522AAA29" w:rsidR="00E45F14" w:rsidRDefault="00E45F14" w:rsidP="00E45F14">
      <w:pPr>
        <w:pStyle w:val="FootnoteText"/>
        <w:spacing w:line="480" w:lineRule="auto"/>
      </w:pPr>
      <w:r>
        <w:rPr>
          <w:rStyle w:val="FootnoteReference"/>
        </w:rPr>
        <w:footnoteRef/>
      </w:r>
      <w:r>
        <w:t xml:space="preserve"> </w:t>
      </w:r>
      <w:r>
        <w:rPr>
          <w:i/>
          <w:iCs/>
          <w:sz w:val="24"/>
          <w:szCs w:val="24"/>
        </w:rPr>
        <w:t>ha-</w:t>
      </w:r>
      <w:proofErr w:type="spellStart"/>
      <w:r>
        <w:rPr>
          <w:i/>
          <w:iCs/>
          <w:sz w:val="24"/>
          <w:szCs w:val="24"/>
        </w:rPr>
        <w:t>Herut</w:t>
      </w:r>
      <w:proofErr w:type="spellEnd"/>
      <w:r>
        <w:rPr>
          <w:sz w:val="24"/>
          <w:szCs w:val="24"/>
        </w:rPr>
        <w:t>, August 18, 1909, 2 &amp; 4.</w:t>
      </w:r>
    </w:p>
  </w:footnote>
  <w:footnote w:id="18">
    <w:p w14:paraId="4528490A" w14:textId="414CDED7" w:rsidR="005F1CB0" w:rsidRDefault="005F1CB0" w:rsidP="005F1CB0">
      <w:pPr>
        <w:pStyle w:val="FootnoteText"/>
        <w:spacing w:line="480" w:lineRule="auto"/>
      </w:pPr>
      <w:r>
        <w:rPr>
          <w:rStyle w:val="FootnoteReference"/>
        </w:rPr>
        <w:footnoteRef/>
      </w:r>
      <w:r>
        <w:t xml:space="preserve"> </w:t>
      </w:r>
      <w:r w:rsidRPr="005F1CB0">
        <w:rPr>
          <w:sz w:val="24"/>
          <w:szCs w:val="24"/>
        </w:rPr>
        <w:t xml:space="preserve">For further details, see </w:t>
      </w:r>
      <w:r w:rsidRPr="005F1CB0">
        <w:rPr>
          <w:rFonts w:cs="Miriam"/>
          <w:sz w:val="24"/>
          <w:szCs w:val="24"/>
        </w:rPr>
        <w:t>E</w:t>
      </w:r>
      <w:r>
        <w:rPr>
          <w:rFonts w:cs="Miriam"/>
          <w:sz w:val="24"/>
          <w:szCs w:val="24"/>
        </w:rPr>
        <w:t>rik-Jan</w:t>
      </w:r>
      <w:r w:rsidRPr="005F1CB0">
        <w:rPr>
          <w:rFonts w:cs="Miriam"/>
          <w:sz w:val="24"/>
          <w:szCs w:val="24"/>
        </w:rPr>
        <w:t xml:space="preserve"> </w:t>
      </w:r>
      <w:proofErr w:type="spellStart"/>
      <w:r w:rsidRPr="005F1CB0">
        <w:rPr>
          <w:rFonts w:cs="Miriam"/>
          <w:sz w:val="24"/>
          <w:szCs w:val="24"/>
        </w:rPr>
        <w:t>Zürcher</w:t>
      </w:r>
      <w:proofErr w:type="spellEnd"/>
      <w:r w:rsidRPr="005F1CB0">
        <w:rPr>
          <w:rFonts w:cs="Miriam"/>
          <w:sz w:val="24"/>
          <w:szCs w:val="24"/>
        </w:rPr>
        <w:t>, “The Ottoman Conscription System in Theory and Practice, 1844-1918</w:t>
      </w:r>
      <w:r>
        <w:rPr>
          <w:rFonts w:cs="Miriam"/>
          <w:sz w:val="24"/>
          <w:szCs w:val="24"/>
        </w:rPr>
        <w:t>,</w:t>
      </w:r>
      <w:r w:rsidRPr="005F1CB0">
        <w:rPr>
          <w:rFonts w:cs="Miriam"/>
          <w:sz w:val="24"/>
          <w:szCs w:val="24"/>
        </w:rPr>
        <w:t>”</w:t>
      </w:r>
      <w:r>
        <w:rPr>
          <w:rFonts w:cs="Miriam"/>
          <w:sz w:val="24"/>
          <w:szCs w:val="24"/>
        </w:rPr>
        <w:t xml:space="preserve"> </w:t>
      </w:r>
      <w:r w:rsidRPr="005F1CB0">
        <w:rPr>
          <w:rFonts w:cs="Miriam"/>
          <w:i/>
          <w:iCs/>
          <w:sz w:val="24"/>
          <w:szCs w:val="24"/>
        </w:rPr>
        <w:t>International Review of Social History</w:t>
      </w:r>
      <w:r w:rsidRPr="005F1CB0">
        <w:rPr>
          <w:rFonts w:cs="Miriam"/>
          <w:sz w:val="24"/>
          <w:szCs w:val="24"/>
        </w:rPr>
        <w:t xml:space="preserve"> 43, </w:t>
      </w:r>
      <w:r>
        <w:rPr>
          <w:rFonts w:cs="Miriam"/>
          <w:sz w:val="24"/>
          <w:szCs w:val="24"/>
        </w:rPr>
        <w:t xml:space="preserve">no. </w:t>
      </w:r>
      <w:r w:rsidRPr="005F1CB0">
        <w:rPr>
          <w:rFonts w:cs="Miriam"/>
          <w:sz w:val="24"/>
          <w:szCs w:val="24"/>
        </w:rPr>
        <w:t>3 (1998)</w:t>
      </w:r>
      <w:r>
        <w:rPr>
          <w:rFonts w:cs="Miriam"/>
          <w:sz w:val="24"/>
          <w:szCs w:val="24"/>
        </w:rPr>
        <w:t xml:space="preserve">: </w:t>
      </w:r>
      <w:r w:rsidRPr="005F1CB0">
        <w:rPr>
          <w:rFonts w:cs="Miriam"/>
          <w:sz w:val="24"/>
          <w:szCs w:val="24"/>
        </w:rPr>
        <w:t>437-449.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EA"/>
    <w:rsid w:val="00076C01"/>
    <w:rsid w:val="000A7A18"/>
    <w:rsid w:val="000B399E"/>
    <w:rsid w:val="000E4192"/>
    <w:rsid w:val="00100915"/>
    <w:rsid w:val="00134BFF"/>
    <w:rsid w:val="0017396E"/>
    <w:rsid w:val="001A550E"/>
    <w:rsid w:val="001B4A79"/>
    <w:rsid w:val="001D4A44"/>
    <w:rsid w:val="001E14DB"/>
    <w:rsid w:val="00204947"/>
    <w:rsid w:val="00232097"/>
    <w:rsid w:val="00234D15"/>
    <w:rsid w:val="00263111"/>
    <w:rsid w:val="00263A3B"/>
    <w:rsid w:val="0028371D"/>
    <w:rsid w:val="002921F9"/>
    <w:rsid w:val="002B4D6F"/>
    <w:rsid w:val="002C2E93"/>
    <w:rsid w:val="002E2F86"/>
    <w:rsid w:val="00316D63"/>
    <w:rsid w:val="003457B5"/>
    <w:rsid w:val="0036459E"/>
    <w:rsid w:val="003842D2"/>
    <w:rsid w:val="003F2F65"/>
    <w:rsid w:val="00413443"/>
    <w:rsid w:val="00426A06"/>
    <w:rsid w:val="004836C1"/>
    <w:rsid w:val="00483C20"/>
    <w:rsid w:val="00486E63"/>
    <w:rsid w:val="004B28B7"/>
    <w:rsid w:val="004E0575"/>
    <w:rsid w:val="004E0E40"/>
    <w:rsid w:val="004F16CE"/>
    <w:rsid w:val="005D6A97"/>
    <w:rsid w:val="005F1CB0"/>
    <w:rsid w:val="005F6973"/>
    <w:rsid w:val="00611F6B"/>
    <w:rsid w:val="006262A7"/>
    <w:rsid w:val="00640599"/>
    <w:rsid w:val="00653A76"/>
    <w:rsid w:val="00654EE5"/>
    <w:rsid w:val="006B0FD6"/>
    <w:rsid w:val="006D0717"/>
    <w:rsid w:val="006E02EE"/>
    <w:rsid w:val="006E4AC6"/>
    <w:rsid w:val="00703125"/>
    <w:rsid w:val="00707D7B"/>
    <w:rsid w:val="007245E0"/>
    <w:rsid w:val="007744BF"/>
    <w:rsid w:val="00781568"/>
    <w:rsid w:val="007B7398"/>
    <w:rsid w:val="007C35DF"/>
    <w:rsid w:val="007C4155"/>
    <w:rsid w:val="007E39B5"/>
    <w:rsid w:val="00801909"/>
    <w:rsid w:val="00817652"/>
    <w:rsid w:val="00832706"/>
    <w:rsid w:val="00841E62"/>
    <w:rsid w:val="008A2341"/>
    <w:rsid w:val="008E04BA"/>
    <w:rsid w:val="008F2D99"/>
    <w:rsid w:val="009310EA"/>
    <w:rsid w:val="009B5EEF"/>
    <w:rsid w:val="009C197C"/>
    <w:rsid w:val="009F5DCD"/>
    <w:rsid w:val="00A110E8"/>
    <w:rsid w:val="00A356B3"/>
    <w:rsid w:val="00A513C0"/>
    <w:rsid w:val="00AA166F"/>
    <w:rsid w:val="00AE4BBD"/>
    <w:rsid w:val="00B0595F"/>
    <w:rsid w:val="00B1003F"/>
    <w:rsid w:val="00B27F46"/>
    <w:rsid w:val="00B63F7E"/>
    <w:rsid w:val="00B87160"/>
    <w:rsid w:val="00B9568F"/>
    <w:rsid w:val="00BB2857"/>
    <w:rsid w:val="00BD2381"/>
    <w:rsid w:val="00BF3890"/>
    <w:rsid w:val="00CB5B59"/>
    <w:rsid w:val="00D33044"/>
    <w:rsid w:val="00D909E3"/>
    <w:rsid w:val="00DF633C"/>
    <w:rsid w:val="00E23118"/>
    <w:rsid w:val="00E45F14"/>
    <w:rsid w:val="00E5178C"/>
    <w:rsid w:val="00E71174"/>
    <w:rsid w:val="00E776A9"/>
    <w:rsid w:val="00E9403B"/>
    <w:rsid w:val="00ED4E28"/>
    <w:rsid w:val="00F06A8C"/>
    <w:rsid w:val="00F43A85"/>
    <w:rsid w:val="00FA557B"/>
    <w:rsid w:val="00FB0BA1"/>
    <w:rsid w:val="00FB576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345CC94E"/>
  <w15:chartTrackingRefBased/>
  <w15:docId w15:val="{9359CAB9-2128-4D48-8904-F4B493C4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F46"/>
    <w:rPr>
      <w:sz w:val="16"/>
      <w:szCs w:val="16"/>
    </w:rPr>
  </w:style>
  <w:style w:type="paragraph" w:styleId="CommentText">
    <w:name w:val="annotation text"/>
    <w:basedOn w:val="Normal"/>
    <w:link w:val="CommentTextChar"/>
    <w:uiPriority w:val="99"/>
    <w:unhideWhenUsed/>
    <w:rsid w:val="00B27F46"/>
    <w:rPr>
      <w:sz w:val="20"/>
      <w:szCs w:val="20"/>
    </w:rPr>
  </w:style>
  <w:style w:type="character" w:customStyle="1" w:styleId="CommentTextChar">
    <w:name w:val="Comment Text Char"/>
    <w:basedOn w:val="DefaultParagraphFont"/>
    <w:link w:val="CommentText"/>
    <w:uiPriority w:val="99"/>
    <w:rsid w:val="00B27F46"/>
    <w:rPr>
      <w:sz w:val="20"/>
      <w:szCs w:val="20"/>
    </w:rPr>
  </w:style>
  <w:style w:type="paragraph" w:styleId="CommentSubject">
    <w:name w:val="annotation subject"/>
    <w:basedOn w:val="CommentText"/>
    <w:next w:val="CommentText"/>
    <w:link w:val="CommentSubjectChar"/>
    <w:uiPriority w:val="99"/>
    <w:semiHidden/>
    <w:unhideWhenUsed/>
    <w:rsid w:val="00B27F46"/>
    <w:rPr>
      <w:b/>
      <w:bCs/>
    </w:rPr>
  </w:style>
  <w:style w:type="character" w:customStyle="1" w:styleId="CommentSubjectChar">
    <w:name w:val="Comment Subject Char"/>
    <w:basedOn w:val="CommentTextChar"/>
    <w:link w:val="CommentSubject"/>
    <w:uiPriority w:val="99"/>
    <w:semiHidden/>
    <w:rsid w:val="00B27F46"/>
    <w:rPr>
      <w:b/>
      <w:bCs/>
      <w:sz w:val="20"/>
      <w:szCs w:val="20"/>
    </w:rPr>
  </w:style>
  <w:style w:type="paragraph" w:styleId="BalloonText">
    <w:name w:val="Balloon Text"/>
    <w:basedOn w:val="Normal"/>
    <w:link w:val="BalloonTextChar"/>
    <w:uiPriority w:val="99"/>
    <w:semiHidden/>
    <w:unhideWhenUsed/>
    <w:rsid w:val="00B27F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F4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81568"/>
    <w:rPr>
      <w:sz w:val="20"/>
      <w:szCs w:val="20"/>
    </w:rPr>
  </w:style>
  <w:style w:type="character" w:customStyle="1" w:styleId="FootnoteTextChar">
    <w:name w:val="Footnote Text Char"/>
    <w:basedOn w:val="DefaultParagraphFont"/>
    <w:link w:val="FootnoteText"/>
    <w:uiPriority w:val="99"/>
    <w:semiHidden/>
    <w:rsid w:val="00781568"/>
    <w:rPr>
      <w:sz w:val="20"/>
      <w:szCs w:val="20"/>
    </w:rPr>
  </w:style>
  <w:style w:type="character" w:styleId="FootnoteReference">
    <w:name w:val="footnote reference"/>
    <w:basedOn w:val="DefaultParagraphFont"/>
    <w:uiPriority w:val="99"/>
    <w:semiHidden/>
    <w:unhideWhenUsed/>
    <w:rsid w:val="00781568"/>
    <w:rPr>
      <w:vertAlign w:val="superscript"/>
    </w:rPr>
  </w:style>
  <w:style w:type="paragraph" w:styleId="Revision">
    <w:name w:val="Revision"/>
    <w:hidden/>
    <w:uiPriority w:val="99"/>
    <w:semiHidden/>
    <w:rsid w:val="001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0398">
      <w:bodyDiv w:val="1"/>
      <w:marLeft w:val="0"/>
      <w:marRight w:val="0"/>
      <w:marTop w:val="0"/>
      <w:marBottom w:val="0"/>
      <w:divBdr>
        <w:top w:val="none" w:sz="0" w:space="0" w:color="auto"/>
        <w:left w:val="none" w:sz="0" w:space="0" w:color="auto"/>
        <w:bottom w:val="none" w:sz="0" w:space="0" w:color="auto"/>
        <w:right w:val="none" w:sz="0" w:space="0" w:color="auto"/>
      </w:divBdr>
    </w:div>
    <w:div w:id="99377584">
      <w:bodyDiv w:val="1"/>
      <w:marLeft w:val="0"/>
      <w:marRight w:val="0"/>
      <w:marTop w:val="0"/>
      <w:marBottom w:val="0"/>
      <w:divBdr>
        <w:top w:val="none" w:sz="0" w:space="0" w:color="auto"/>
        <w:left w:val="none" w:sz="0" w:space="0" w:color="auto"/>
        <w:bottom w:val="none" w:sz="0" w:space="0" w:color="auto"/>
        <w:right w:val="none" w:sz="0" w:space="0" w:color="auto"/>
      </w:divBdr>
    </w:div>
    <w:div w:id="900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5575-3EA3-EE43-A4E6-EF610359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10266</Characters>
  <Application>Microsoft Macintosh Word</Application>
  <DocSecurity>0</DocSecurity>
  <Lines>205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dcterms:created xsi:type="dcterms:W3CDTF">2020-10-15T04:40:00Z</dcterms:created>
  <dcterms:modified xsi:type="dcterms:W3CDTF">2020-10-15T04:40:00Z</dcterms:modified>
</cp:coreProperties>
</file>