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CA" w:rsidRDefault="004901CA" w:rsidP="004901CA">
      <w:pPr>
        <w:bidi/>
        <w:spacing w:line="480" w:lineRule="auto"/>
        <w:rPr>
          <w:rFonts w:ascii="David" w:hAnsi="David" w:cs="David"/>
          <w:sz w:val="22"/>
          <w:szCs w:val="22"/>
          <w:rtl/>
          <w:lang w:bidi="he-IL"/>
        </w:rPr>
      </w:pPr>
      <w:r w:rsidRPr="000349DA">
        <w:rPr>
          <w:rFonts w:ascii="David" w:hAnsi="David" w:cs="David"/>
          <w:sz w:val="22"/>
          <w:szCs w:val="22"/>
          <w:rtl/>
          <w:lang w:bidi="he-IL"/>
        </w:rPr>
        <w:t xml:space="preserve">באחד בשבת, </w:t>
      </w:r>
      <w:commentRangeStart w:id="0"/>
      <w:r w:rsidRPr="000349DA">
        <w:rPr>
          <w:rFonts w:ascii="David" w:hAnsi="David" w:cs="David"/>
          <w:sz w:val="22"/>
          <w:szCs w:val="22"/>
          <w:rtl/>
          <w:lang w:bidi="he-IL"/>
        </w:rPr>
        <w:t>יום שלושים לחודש אב שהוא ראש חודש אלול</w:t>
      </w:r>
      <w:commentRangeEnd w:id="0"/>
      <w:r>
        <w:rPr>
          <w:rStyle w:val="CommentReference"/>
        </w:rPr>
        <w:commentReference w:id="0"/>
      </w:r>
      <w:r w:rsidRPr="000349DA">
        <w:rPr>
          <w:rFonts w:ascii="David" w:hAnsi="David" w:cs="David"/>
          <w:sz w:val="22"/>
          <w:szCs w:val="22"/>
          <w:rtl/>
          <w:lang w:bidi="he-IL"/>
        </w:rPr>
        <w:t>, שנת חמשת אלפים ושבע מאות ושבעים ותשע לבריאת עולם, המקביל לתאריך האחד בחודש ספטמבר</w:t>
      </w:r>
      <w:r>
        <w:rPr>
          <w:rFonts w:ascii="David" w:hAnsi="David" w:cs="David" w:hint="cs"/>
          <w:sz w:val="22"/>
          <w:szCs w:val="22"/>
          <w:rtl/>
          <w:lang w:bidi="he-IL"/>
        </w:rPr>
        <w:t>,</w:t>
      </w:r>
      <w:r w:rsidRPr="000349DA">
        <w:rPr>
          <w:rFonts w:ascii="David" w:hAnsi="David" w:cs="David"/>
          <w:sz w:val="22"/>
          <w:szCs w:val="22"/>
          <w:rtl/>
          <w:lang w:bidi="he-IL"/>
        </w:rPr>
        <w:t xml:space="preserve"> שנת </w:t>
      </w:r>
      <w:r>
        <w:rPr>
          <w:rFonts w:ascii="David" w:hAnsi="David" w:cs="David"/>
          <w:sz w:val="22"/>
          <w:szCs w:val="22"/>
          <w:rtl/>
          <w:lang w:bidi="he-IL"/>
        </w:rPr>
        <w:t>אלפי</w:t>
      </w:r>
      <w:r>
        <w:rPr>
          <w:rFonts w:ascii="David" w:hAnsi="David" w:cs="David" w:hint="cs"/>
          <w:sz w:val="22"/>
          <w:szCs w:val="22"/>
          <w:rtl/>
          <w:lang w:bidi="he-IL"/>
        </w:rPr>
        <w:t>י</w:t>
      </w:r>
      <w:r w:rsidRPr="000349DA">
        <w:rPr>
          <w:rFonts w:ascii="David" w:hAnsi="David" w:cs="David"/>
          <w:sz w:val="22"/>
          <w:szCs w:val="22"/>
          <w:rtl/>
          <w:lang w:bidi="he-IL"/>
        </w:rPr>
        <w:t xml:space="preserve">ם ותשע-עשרה בלוח השנה האזרחי, </w:t>
      </w:r>
      <w:r>
        <w:rPr>
          <w:rFonts w:ascii="David" w:hAnsi="David" w:cs="David" w:hint="cs"/>
          <w:sz w:val="22"/>
          <w:szCs w:val="22"/>
          <w:rtl/>
          <w:lang w:bidi="he-IL"/>
        </w:rPr>
        <w:t xml:space="preserve">למנין שאנו מונים כאן, בעיר מונטריאול אשר בקנדה, החתן, __________, בן __________, והכלה, __________, בת __________, ניצבו יחד בפני משפחותיהם וחבריהם על מנת להיכנס בברית הנישואין המקודשת. בעומדם תחת החופה, הכלה והחתן אמרו זו לזה: </w:t>
      </w:r>
      <w:commentRangeStart w:id="1"/>
      <w:r>
        <w:rPr>
          <w:rFonts w:ascii="David" w:hAnsi="David" w:cs="David" w:hint="cs"/>
          <w:sz w:val="22"/>
          <w:szCs w:val="22"/>
          <w:rtl/>
          <w:lang w:bidi="he-IL"/>
        </w:rPr>
        <w:t xml:space="preserve">"אנו מקודשים זה לזו בטבעות אלו כבעל ואישה, כדת משה וישראל". </w:t>
      </w:r>
      <w:commentRangeEnd w:id="1"/>
      <w:r>
        <w:rPr>
          <w:rStyle w:val="CommentReference"/>
          <w:rtl/>
          <w:lang w:val="en-US"/>
        </w:rPr>
        <w:commentReference w:id="1"/>
      </w:r>
    </w:p>
    <w:p w:rsidR="00D7676F" w:rsidRDefault="00D7676F" w:rsidP="00413E95">
      <w:pPr>
        <w:bidi/>
        <w:spacing w:line="480" w:lineRule="auto"/>
        <w:rPr>
          <w:rFonts w:ascii="David" w:hAnsi="David" w:cs="David"/>
          <w:sz w:val="22"/>
          <w:szCs w:val="22"/>
          <w:rtl/>
          <w:lang w:bidi="he-IL"/>
        </w:rPr>
      </w:pPr>
      <w:r>
        <w:rPr>
          <w:rFonts w:ascii="David" w:hAnsi="David" w:cs="David" w:hint="cs"/>
          <w:sz w:val="22"/>
          <w:szCs w:val="22"/>
          <w:rtl/>
          <w:lang w:bidi="he-IL"/>
        </w:rPr>
        <w:t>החתן והכלה מתחייבים בזאת: הם בחרו זה בזו כחברים, כהוראת אבותינו אשר אמרו, "קנה לך חבר אשר איתו תלמד, לצידו תישן, ובו תיתן את אמונך". הם מקדישים עצמם זה לזו</w:t>
      </w:r>
      <w:bookmarkStart w:id="2" w:name="_GoBack"/>
      <w:bookmarkEnd w:id="2"/>
      <w:r w:rsidR="008B156E">
        <w:rPr>
          <w:rFonts w:ascii="David" w:hAnsi="David" w:cs="David" w:hint="cs"/>
          <w:sz w:val="22"/>
          <w:szCs w:val="22"/>
          <w:rtl/>
          <w:lang w:bidi="he-IL"/>
        </w:rPr>
        <w:t xml:space="preserve"> </w:t>
      </w:r>
      <w:r>
        <w:rPr>
          <w:rFonts w:ascii="David" w:hAnsi="David" w:cs="David" w:hint="cs"/>
          <w:sz w:val="22"/>
          <w:szCs w:val="22"/>
          <w:rtl/>
          <w:lang w:bidi="he-IL"/>
        </w:rPr>
        <w:t>במטרה להישאר תמיד נאמנים האחד לשנייה. הם מקבלים</w:t>
      </w:r>
      <w:r w:rsidR="008B156E">
        <w:rPr>
          <w:rFonts w:ascii="David" w:hAnsi="David" w:cs="David" w:hint="cs"/>
          <w:sz w:val="22"/>
          <w:szCs w:val="22"/>
          <w:rtl/>
          <w:lang w:bidi="he-IL"/>
        </w:rPr>
        <w:t xml:space="preserve"> על עצמם</w:t>
      </w:r>
      <w:r>
        <w:rPr>
          <w:rFonts w:ascii="David" w:hAnsi="David" w:cs="David" w:hint="cs"/>
          <w:sz w:val="22"/>
          <w:szCs w:val="22"/>
          <w:rtl/>
          <w:lang w:bidi="he-IL"/>
        </w:rPr>
        <w:t xml:space="preserve"> את כל השמחות והחובות הכרוכות במשפחה </w:t>
      </w:r>
      <w:commentRangeStart w:id="3"/>
      <w:r>
        <w:rPr>
          <w:rFonts w:ascii="David" w:hAnsi="David" w:cs="David" w:hint="cs"/>
          <w:sz w:val="22"/>
          <w:szCs w:val="22"/>
          <w:rtl/>
          <w:lang w:bidi="he-IL"/>
        </w:rPr>
        <w:t>ו</w:t>
      </w:r>
      <w:r w:rsidR="006C66B3">
        <w:rPr>
          <w:rFonts w:ascii="David" w:hAnsi="David" w:cs="David" w:hint="cs"/>
          <w:sz w:val="22"/>
          <w:szCs w:val="22"/>
          <w:rtl/>
          <w:lang w:bidi="he-IL"/>
        </w:rPr>
        <w:t>ב</w:t>
      </w:r>
      <w:r>
        <w:rPr>
          <w:rFonts w:ascii="David" w:hAnsi="David" w:cs="David" w:hint="cs"/>
          <w:sz w:val="22"/>
          <w:szCs w:val="22"/>
          <w:rtl/>
          <w:lang w:bidi="he-IL"/>
        </w:rPr>
        <w:t xml:space="preserve">תחושת שותפות וקרבה </w:t>
      </w:r>
      <w:commentRangeEnd w:id="3"/>
      <w:r>
        <w:rPr>
          <w:rStyle w:val="CommentReference"/>
          <w:rtl/>
          <w:lang w:val="en-US"/>
        </w:rPr>
        <w:commentReference w:id="3"/>
      </w:r>
      <w:r>
        <w:rPr>
          <w:rFonts w:ascii="David" w:hAnsi="David" w:cs="David" w:hint="cs"/>
          <w:sz w:val="22"/>
          <w:szCs w:val="22"/>
          <w:rtl/>
          <w:lang w:bidi="he-IL"/>
        </w:rPr>
        <w:t xml:space="preserve">זה עם זו. הם מבטיחים לנהל חיים של אדיבות אוהבת, צדק ויושרה במשפחתם ובקהילתם. הם מתחייבים להזכיר לעצמם, והאחד לשנייה, את האושר הגלום בדברים הפשוטים, את ההנאות של חיים ביחד, את הקרבה המבוססת על נצחונות ועל רגעי צער משותפים, ואת היופי הקיים באידיאלים משותפים ובדרך משותפת. </w:t>
      </w:r>
      <w:r w:rsidR="00413E95">
        <w:rPr>
          <w:rFonts w:ascii="David" w:hAnsi="David" w:cs="David" w:hint="cs"/>
          <w:sz w:val="22"/>
          <w:szCs w:val="22"/>
          <w:rtl/>
          <w:lang w:bidi="he-IL"/>
        </w:rPr>
        <w:t>הכלה והחתן מאשרים את הזכויות והמחויבויות של ברית זו, ומקבלים על עצמם את חובותיה ההדדיות.</w:t>
      </w:r>
    </w:p>
    <w:p w:rsidR="00413E95" w:rsidRDefault="00413E95" w:rsidP="00413E95">
      <w:pPr>
        <w:bidi/>
        <w:spacing w:line="480" w:lineRule="auto"/>
        <w:rPr>
          <w:rFonts w:ascii="David" w:hAnsi="David" w:cs="David"/>
          <w:sz w:val="22"/>
          <w:szCs w:val="22"/>
          <w:rtl/>
          <w:lang w:bidi="he-IL"/>
        </w:rPr>
      </w:pPr>
      <w:r>
        <w:rPr>
          <w:rFonts w:ascii="David" w:hAnsi="David" w:cs="David" w:hint="cs"/>
          <w:sz w:val="22"/>
          <w:szCs w:val="22"/>
          <w:rtl/>
          <w:lang w:bidi="he-IL"/>
        </w:rPr>
        <w:t xml:space="preserve">והכל שריר וקיים. </w:t>
      </w:r>
    </w:p>
    <w:p w:rsidR="00413E95" w:rsidRDefault="00413E95" w:rsidP="00413E95">
      <w:pPr>
        <w:bidi/>
        <w:spacing w:line="480" w:lineRule="auto"/>
        <w:rPr>
          <w:rFonts w:ascii="David" w:hAnsi="David" w:cs="David"/>
          <w:sz w:val="22"/>
          <w:szCs w:val="22"/>
          <w:rtl/>
          <w:lang w:bidi="he-I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2121"/>
        <w:gridCol w:w="2071"/>
        <w:gridCol w:w="2612"/>
        <w:gridCol w:w="406"/>
        <w:gridCol w:w="585"/>
      </w:tblGrid>
      <w:tr w:rsidR="00413E95" w:rsidTr="00A47406">
        <w:tc>
          <w:tcPr>
            <w:tcW w:w="1418" w:type="dxa"/>
          </w:tcPr>
          <w:p w:rsidR="00413E95" w:rsidRDefault="00413E95" w:rsidP="00413E95">
            <w:pPr>
              <w:bidi/>
            </w:pPr>
            <w:r>
              <w:t>Witness</w:t>
            </w:r>
          </w:p>
        </w:tc>
        <w:tc>
          <w:tcPr>
            <w:tcW w:w="2121" w:type="dxa"/>
            <w:tcBorders>
              <w:bottom w:val="single" w:sz="4" w:space="0" w:color="auto"/>
            </w:tcBorders>
          </w:tcPr>
          <w:p w:rsidR="00413E95" w:rsidRDefault="00413E95" w:rsidP="00413E95">
            <w:pPr>
              <w:bidi/>
            </w:pPr>
          </w:p>
        </w:tc>
        <w:tc>
          <w:tcPr>
            <w:tcW w:w="2071" w:type="dxa"/>
            <w:tcBorders>
              <w:bottom w:val="single" w:sz="4" w:space="0" w:color="auto"/>
            </w:tcBorders>
          </w:tcPr>
          <w:p w:rsidR="00413E95" w:rsidRDefault="00413E95" w:rsidP="00413E95">
            <w:pPr>
              <w:bidi/>
            </w:pPr>
          </w:p>
        </w:tc>
        <w:tc>
          <w:tcPr>
            <w:tcW w:w="2612" w:type="dxa"/>
            <w:tcBorders>
              <w:bottom w:val="single" w:sz="4" w:space="0" w:color="auto"/>
            </w:tcBorders>
          </w:tcPr>
          <w:p w:rsidR="00413E95" w:rsidRDefault="00413E95" w:rsidP="00413E95">
            <w:pPr>
              <w:bidi/>
            </w:pPr>
          </w:p>
        </w:tc>
        <w:tc>
          <w:tcPr>
            <w:tcW w:w="406" w:type="dxa"/>
          </w:tcPr>
          <w:p w:rsidR="00413E95" w:rsidRDefault="00413E95" w:rsidP="00413E95">
            <w:pPr>
              <w:bidi/>
            </w:pPr>
          </w:p>
        </w:tc>
        <w:tc>
          <w:tcPr>
            <w:tcW w:w="585" w:type="dxa"/>
          </w:tcPr>
          <w:p w:rsidR="00413E95" w:rsidRDefault="00413E95" w:rsidP="00413E95">
            <w:pPr>
              <w:bidi/>
            </w:pPr>
            <w:r>
              <w:rPr>
                <w:rFonts w:cs="Calibri"/>
                <w:rtl/>
                <w:lang w:bidi="he-IL"/>
              </w:rPr>
              <w:t>עד</w:t>
            </w:r>
          </w:p>
        </w:tc>
      </w:tr>
      <w:tr w:rsidR="00413E95" w:rsidTr="00A47406">
        <w:tc>
          <w:tcPr>
            <w:tcW w:w="1418" w:type="dxa"/>
          </w:tcPr>
          <w:p w:rsidR="00413E95" w:rsidRDefault="00413E95" w:rsidP="00413E95">
            <w:pPr>
              <w:bidi/>
            </w:pPr>
            <w:r>
              <w:t>Witness</w:t>
            </w:r>
          </w:p>
        </w:tc>
        <w:tc>
          <w:tcPr>
            <w:tcW w:w="2121" w:type="dxa"/>
            <w:tcBorders>
              <w:top w:val="single" w:sz="4" w:space="0" w:color="auto"/>
              <w:bottom w:val="single" w:sz="4" w:space="0" w:color="auto"/>
            </w:tcBorders>
          </w:tcPr>
          <w:p w:rsidR="00413E95" w:rsidRDefault="00413E95" w:rsidP="00413E95">
            <w:pPr>
              <w:bidi/>
            </w:pPr>
          </w:p>
        </w:tc>
        <w:tc>
          <w:tcPr>
            <w:tcW w:w="2071" w:type="dxa"/>
            <w:tcBorders>
              <w:top w:val="single" w:sz="4" w:space="0" w:color="auto"/>
              <w:bottom w:val="single" w:sz="4" w:space="0" w:color="auto"/>
            </w:tcBorders>
          </w:tcPr>
          <w:p w:rsidR="00413E95" w:rsidRDefault="00413E95" w:rsidP="00413E95">
            <w:pPr>
              <w:bidi/>
            </w:pPr>
          </w:p>
        </w:tc>
        <w:tc>
          <w:tcPr>
            <w:tcW w:w="2612" w:type="dxa"/>
            <w:tcBorders>
              <w:top w:val="single" w:sz="4" w:space="0" w:color="auto"/>
              <w:bottom w:val="single" w:sz="4" w:space="0" w:color="auto"/>
            </w:tcBorders>
          </w:tcPr>
          <w:p w:rsidR="00413E95" w:rsidRDefault="00413E95" w:rsidP="00413E95">
            <w:pPr>
              <w:bidi/>
            </w:pPr>
          </w:p>
        </w:tc>
        <w:tc>
          <w:tcPr>
            <w:tcW w:w="406" w:type="dxa"/>
          </w:tcPr>
          <w:p w:rsidR="00413E95" w:rsidRDefault="00413E95" w:rsidP="00413E95">
            <w:pPr>
              <w:bidi/>
            </w:pPr>
          </w:p>
        </w:tc>
        <w:tc>
          <w:tcPr>
            <w:tcW w:w="585" w:type="dxa"/>
          </w:tcPr>
          <w:p w:rsidR="00413E95" w:rsidRDefault="00413E95" w:rsidP="00413E95">
            <w:pPr>
              <w:bidi/>
            </w:pPr>
            <w:r>
              <w:rPr>
                <w:rFonts w:cs="Calibri"/>
                <w:rtl/>
                <w:lang w:bidi="he-IL"/>
              </w:rPr>
              <w:t>עד</w:t>
            </w:r>
          </w:p>
        </w:tc>
      </w:tr>
      <w:tr w:rsidR="00413E95" w:rsidTr="00A47406">
        <w:tc>
          <w:tcPr>
            <w:tcW w:w="1418" w:type="dxa"/>
          </w:tcPr>
          <w:p w:rsidR="00413E95" w:rsidRDefault="00413E95" w:rsidP="00413E95">
            <w:pPr>
              <w:bidi/>
            </w:pPr>
            <w:r>
              <w:t>Bride</w:t>
            </w:r>
          </w:p>
        </w:tc>
        <w:tc>
          <w:tcPr>
            <w:tcW w:w="2121" w:type="dxa"/>
            <w:tcBorders>
              <w:top w:val="single" w:sz="4" w:space="0" w:color="auto"/>
              <w:bottom w:val="single" w:sz="4" w:space="0" w:color="auto"/>
            </w:tcBorders>
          </w:tcPr>
          <w:p w:rsidR="00413E95" w:rsidRDefault="00413E95" w:rsidP="00413E95">
            <w:pPr>
              <w:bidi/>
            </w:pPr>
          </w:p>
        </w:tc>
        <w:tc>
          <w:tcPr>
            <w:tcW w:w="2071" w:type="dxa"/>
            <w:tcBorders>
              <w:top w:val="single" w:sz="4" w:space="0" w:color="auto"/>
              <w:bottom w:val="single" w:sz="4" w:space="0" w:color="auto"/>
            </w:tcBorders>
          </w:tcPr>
          <w:p w:rsidR="00413E95" w:rsidRDefault="00413E95" w:rsidP="00413E95">
            <w:pPr>
              <w:bidi/>
            </w:pPr>
          </w:p>
        </w:tc>
        <w:tc>
          <w:tcPr>
            <w:tcW w:w="2612" w:type="dxa"/>
            <w:tcBorders>
              <w:top w:val="single" w:sz="4" w:space="0" w:color="auto"/>
              <w:bottom w:val="single" w:sz="4" w:space="0" w:color="auto"/>
            </w:tcBorders>
          </w:tcPr>
          <w:p w:rsidR="00413E95" w:rsidRDefault="00413E95" w:rsidP="00413E95">
            <w:pPr>
              <w:bidi/>
            </w:pPr>
          </w:p>
        </w:tc>
        <w:tc>
          <w:tcPr>
            <w:tcW w:w="406" w:type="dxa"/>
          </w:tcPr>
          <w:p w:rsidR="00413E95" w:rsidRDefault="00413E95" w:rsidP="00413E95">
            <w:pPr>
              <w:bidi/>
            </w:pPr>
          </w:p>
        </w:tc>
        <w:tc>
          <w:tcPr>
            <w:tcW w:w="585" w:type="dxa"/>
          </w:tcPr>
          <w:p w:rsidR="00413E95" w:rsidRDefault="00413E95" w:rsidP="00413E95">
            <w:pPr>
              <w:bidi/>
            </w:pPr>
            <w:r>
              <w:rPr>
                <w:rFonts w:cs="Calibri"/>
                <w:rtl/>
                <w:lang w:bidi="he-IL"/>
              </w:rPr>
              <w:t>כלה</w:t>
            </w:r>
          </w:p>
        </w:tc>
      </w:tr>
      <w:tr w:rsidR="00413E95" w:rsidTr="00A47406">
        <w:tc>
          <w:tcPr>
            <w:tcW w:w="1418" w:type="dxa"/>
          </w:tcPr>
          <w:p w:rsidR="00413E95" w:rsidRDefault="00413E95" w:rsidP="00413E95">
            <w:pPr>
              <w:bidi/>
            </w:pPr>
            <w:r>
              <w:t>Groom</w:t>
            </w:r>
          </w:p>
        </w:tc>
        <w:tc>
          <w:tcPr>
            <w:tcW w:w="2121" w:type="dxa"/>
            <w:tcBorders>
              <w:top w:val="single" w:sz="4" w:space="0" w:color="auto"/>
              <w:bottom w:val="single" w:sz="4" w:space="0" w:color="auto"/>
            </w:tcBorders>
          </w:tcPr>
          <w:p w:rsidR="00413E95" w:rsidRDefault="00413E95" w:rsidP="00413E95">
            <w:pPr>
              <w:bidi/>
            </w:pPr>
          </w:p>
        </w:tc>
        <w:tc>
          <w:tcPr>
            <w:tcW w:w="2071" w:type="dxa"/>
            <w:tcBorders>
              <w:top w:val="single" w:sz="4" w:space="0" w:color="auto"/>
              <w:bottom w:val="single" w:sz="4" w:space="0" w:color="auto"/>
            </w:tcBorders>
          </w:tcPr>
          <w:p w:rsidR="00413E95" w:rsidRDefault="00413E95" w:rsidP="00413E95">
            <w:pPr>
              <w:bidi/>
            </w:pPr>
          </w:p>
        </w:tc>
        <w:tc>
          <w:tcPr>
            <w:tcW w:w="2612" w:type="dxa"/>
            <w:tcBorders>
              <w:top w:val="single" w:sz="4" w:space="0" w:color="auto"/>
              <w:bottom w:val="single" w:sz="4" w:space="0" w:color="auto"/>
            </w:tcBorders>
          </w:tcPr>
          <w:p w:rsidR="00413E95" w:rsidRDefault="00413E95" w:rsidP="00413E95">
            <w:pPr>
              <w:bidi/>
            </w:pPr>
          </w:p>
        </w:tc>
        <w:tc>
          <w:tcPr>
            <w:tcW w:w="406" w:type="dxa"/>
          </w:tcPr>
          <w:p w:rsidR="00413E95" w:rsidRDefault="00413E95" w:rsidP="00413E95">
            <w:pPr>
              <w:bidi/>
            </w:pPr>
          </w:p>
        </w:tc>
        <w:tc>
          <w:tcPr>
            <w:tcW w:w="585" w:type="dxa"/>
          </w:tcPr>
          <w:p w:rsidR="00413E95" w:rsidRDefault="00413E95" w:rsidP="00413E95">
            <w:pPr>
              <w:bidi/>
            </w:pPr>
            <w:r>
              <w:rPr>
                <w:rFonts w:cs="Calibri"/>
                <w:rtl/>
                <w:lang w:bidi="he-IL"/>
              </w:rPr>
              <w:t>חתן</w:t>
            </w:r>
          </w:p>
        </w:tc>
      </w:tr>
      <w:tr w:rsidR="00413E95" w:rsidTr="00A47406">
        <w:tc>
          <w:tcPr>
            <w:tcW w:w="1418" w:type="dxa"/>
          </w:tcPr>
          <w:p w:rsidR="00413E95" w:rsidRDefault="00413E95" w:rsidP="00413E95">
            <w:pPr>
              <w:bidi/>
            </w:pPr>
            <w:r>
              <w:t>Rabbi</w:t>
            </w:r>
          </w:p>
        </w:tc>
        <w:tc>
          <w:tcPr>
            <w:tcW w:w="2121" w:type="dxa"/>
            <w:tcBorders>
              <w:top w:val="single" w:sz="4" w:space="0" w:color="auto"/>
              <w:bottom w:val="single" w:sz="4" w:space="0" w:color="auto"/>
            </w:tcBorders>
          </w:tcPr>
          <w:p w:rsidR="00413E95" w:rsidRDefault="00413E95" w:rsidP="00413E95">
            <w:pPr>
              <w:bidi/>
            </w:pPr>
          </w:p>
        </w:tc>
        <w:tc>
          <w:tcPr>
            <w:tcW w:w="2071" w:type="dxa"/>
            <w:tcBorders>
              <w:top w:val="single" w:sz="4" w:space="0" w:color="auto"/>
              <w:bottom w:val="single" w:sz="4" w:space="0" w:color="auto"/>
            </w:tcBorders>
          </w:tcPr>
          <w:p w:rsidR="00413E95" w:rsidRDefault="00413E95" w:rsidP="00413E95">
            <w:pPr>
              <w:bidi/>
            </w:pPr>
          </w:p>
        </w:tc>
        <w:tc>
          <w:tcPr>
            <w:tcW w:w="2612" w:type="dxa"/>
            <w:tcBorders>
              <w:top w:val="single" w:sz="4" w:space="0" w:color="auto"/>
              <w:bottom w:val="single" w:sz="4" w:space="0" w:color="auto"/>
            </w:tcBorders>
          </w:tcPr>
          <w:p w:rsidR="00413E95" w:rsidRDefault="00413E95" w:rsidP="00413E95">
            <w:pPr>
              <w:bidi/>
            </w:pPr>
          </w:p>
        </w:tc>
        <w:tc>
          <w:tcPr>
            <w:tcW w:w="406" w:type="dxa"/>
          </w:tcPr>
          <w:p w:rsidR="00413E95" w:rsidRDefault="00413E95" w:rsidP="00413E95">
            <w:pPr>
              <w:bidi/>
            </w:pPr>
          </w:p>
        </w:tc>
        <w:tc>
          <w:tcPr>
            <w:tcW w:w="585" w:type="dxa"/>
          </w:tcPr>
          <w:p w:rsidR="00413E95" w:rsidRDefault="00413E95" w:rsidP="00413E95">
            <w:pPr>
              <w:bidi/>
            </w:pPr>
            <w:r>
              <w:rPr>
                <w:rFonts w:cs="Calibri"/>
                <w:rtl/>
                <w:lang w:bidi="he-IL"/>
              </w:rPr>
              <w:t>הרב</w:t>
            </w:r>
          </w:p>
        </w:tc>
      </w:tr>
    </w:tbl>
    <w:p w:rsidR="00413E95" w:rsidRDefault="00413E95" w:rsidP="00413E95"/>
    <w:p w:rsidR="00413E95" w:rsidRPr="000349DA" w:rsidRDefault="00413E95" w:rsidP="00413E95">
      <w:pPr>
        <w:bidi/>
        <w:spacing w:line="480" w:lineRule="auto"/>
        <w:rPr>
          <w:rFonts w:ascii="David" w:hAnsi="David" w:cs="David"/>
          <w:sz w:val="22"/>
          <w:szCs w:val="22"/>
          <w:rtl/>
          <w:lang w:bidi="he-IL"/>
        </w:rPr>
      </w:pPr>
    </w:p>
    <w:p w:rsidR="00ED06DB" w:rsidRDefault="00ED06DB" w:rsidP="004901CA">
      <w:pPr>
        <w:bidi/>
        <w:rPr>
          <w:rtl/>
          <w:lang w:bidi="he-IL"/>
        </w:rPr>
      </w:pPr>
    </w:p>
    <w:p w:rsidR="004901CA" w:rsidRDefault="004901CA"/>
    <w:p w:rsidR="004901CA" w:rsidRDefault="004901CA"/>
    <w:sectPr w:rsidR="004901CA" w:rsidSect="004A43BB">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nufkin" w:date="2019-07-28T20:56:00Z" w:initials="S">
    <w:p w:rsidR="004901CA" w:rsidRDefault="004901CA" w:rsidP="004901CA">
      <w:pPr>
        <w:pStyle w:val="CommentText"/>
        <w:rPr>
          <w:lang w:bidi="he-IL"/>
        </w:rPr>
      </w:pPr>
      <w:r>
        <w:rPr>
          <w:rStyle w:val="CommentReference"/>
        </w:rPr>
        <w:annotationRef/>
      </w:r>
      <w:r>
        <w:t xml:space="preserve">According to traditional </w:t>
      </w:r>
      <w:proofErr w:type="spellStart"/>
      <w:r>
        <w:t>ketubah</w:t>
      </w:r>
      <w:r>
        <w:rPr>
          <w:lang w:bidi="he-IL"/>
        </w:rPr>
        <w:t>formula</w:t>
      </w:r>
      <w:proofErr w:type="spellEnd"/>
      <w:r>
        <w:rPr>
          <w:lang w:bidi="he-IL"/>
        </w:rPr>
        <w:t xml:space="preserve">, when the first day of the week is the first day of the month – it should be written in this manner. </w:t>
      </w:r>
    </w:p>
  </w:comment>
  <w:comment w:id="1" w:author="Snufkin" w:date="2019-08-12T18:14:00Z" w:initials="S">
    <w:p w:rsidR="004901CA" w:rsidRPr="002D0A4C" w:rsidRDefault="004901CA" w:rsidP="006C66B3">
      <w:pPr>
        <w:jc w:val="both"/>
        <w:rPr>
          <w:rFonts w:ascii="Arial" w:eastAsia="Times New Roman" w:hAnsi="Arial" w:cs="Arial"/>
          <w:color w:val="222222"/>
          <w:sz w:val="20"/>
          <w:szCs w:val="20"/>
        </w:rPr>
      </w:pPr>
      <w:r>
        <w:rPr>
          <w:rStyle w:val="CommentReference"/>
        </w:rPr>
        <w:annotationRef/>
      </w:r>
      <w:r w:rsidR="006C66B3">
        <w:rPr>
          <w:rFonts w:ascii="Roboto" w:eastAsia="Times New Roman" w:hAnsi="Roboto" w:cs="Arial"/>
          <w:color w:val="000000"/>
          <w:sz w:val="22"/>
          <w:szCs w:val="22"/>
        </w:rPr>
        <w:t xml:space="preserve">I used the plural form in the translation so this phrase could apply to both bride and groom (gender wise) in Hebrew. </w:t>
      </w:r>
    </w:p>
    <w:p w:rsidR="004901CA" w:rsidRPr="004901CA" w:rsidRDefault="004901CA">
      <w:pPr>
        <w:pStyle w:val="CommentText"/>
        <w:rPr>
          <w:lang w:val="en-CA"/>
        </w:rPr>
      </w:pPr>
    </w:p>
  </w:comment>
  <w:comment w:id="3" w:author="Snufkin" w:date="2019-08-12T18:20:00Z" w:initials="S">
    <w:p w:rsidR="00D7676F" w:rsidRPr="006C66B3" w:rsidRDefault="00D7676F">
      <w:pPr>
        <w:pStyle w:val="CommentText"/>
        <w:rPr>
          <w:rtl/>
          <w:lang w:bidi="he-IL"/>
        </w:rPr>
      </w:pPr>
      <w:r>
        <w:rPr>
          <w:rStyle w:val="CommentReference"/>
        </w:rPr>
        <w:annotationRef/>
      </w:r>
      <w:r w:rsidR="006C66B3">
        <w:rPr>
          <w:rFonts w:ascii="Roboto" w:eastAsia="Times New Roman" w:hAnsi="Roboto" w:cs="Arial"/>
          <w:color w:val="000000"/>
          <w:sz w:val="22"/>
          <w:szCs w:val="22"/>
        </w:rPr>
        <w:t xml:space="preserve">The word </w:t>
      </w:r>
      <w:r w:rsidRPr="006C66B3">
        <w:rPr>
          <w:rFonts w:ascii="Roboto" w:eastAsia="Times New Roman" w:hAnsi="Roboto" w:cs="Arial"/>
          <w:i/>
          <w:iCs/>
          <w:color w:val="000000"/>
          <w:sz w:val="22"/>
          <w:szCs w:val="22"/>
        </w:rPr>
        <w:t>togetherness</w:t>
      </w:r>
      <w:r w:rsidR="006C66B3">
        <w:rPr>
          <w:rFonts w:ascii="Roboto" w:eastAsia="Times New Roman" w:hAnsi="Roboto" w:cs="Arial"/>
          <w:color w:val="000000"/>
          <w:sz w:val="22"/>
          <w:szCs w:val="22"/>
        </w:rPr>
        <w:t>does not have a</w:t>
      </w:r>
      <w:r w:rsidR="006C66B3">
        <w:rPr>
          <w:rFonts w:ascii="Roboto" w:eastAsia="Times New Roman" w:hAnsi="Roboto" w:cs="Arial"/>
          <w:color w:val="000000"/>
          <w:sz w:val="22"/>
          <w:szCs w:val="22"/>
          <w:lang w:bidi="he-IL"/>
        </w:rPr>
        <w:t xml:space="preserve"> literal translation in Hebrew; I believe these words do reflect the same meaning.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549EEB" w15:done="0"/>
  <w15:commentEx w15:paraId="32AC37E4" w15:done="0"/>
  <w15:commentEx w15:paraId="3FFA530C"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Roboto">
    <w:altName w:val="Arial"/>
    <w:charset w:val="00"/>
    <w:family w:val="auto"/>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70B45"/>
    <w:rsid w:val="00413E95"/>
    <w:rsid w:val="004901CA"/>
    <w:rsid w:val="004A43BB"/>
    <w:rsid w:val="00570B45"/>
    <w:rsid w:val="006C66B3"/>
    <w:rsid w:val="008B156E"/>
    <w:rsid w:val="009A47F4"/>
    <w:rsid w:val="00D7676F"/>
    <w:rsid w:val="00ED06DB"/>
    <w:rsid w:val="00FC58A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CA"/>
    <w:pPr>
      <w:spacing w:after="0" w:line="240" w:lineRule="auto"/>
    </w:pPr>
    <w:rPr>
      <w:sz w:val="24"/>
      <w:szCs w:val="24"/>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901CA"/>
    <w:rPr>
      <w:sz w:val="16"/>
      <w:szCs w:val="16"/>
    </w:rPr>
  </w:style>
  <w:style w:type="paragraph" w:styleId="CommentText">
    <w:name w:val="annotation text"/>
    <w:basedOn w:val="Normal"/>
    <w:link w:val="CommentTextChar"/>
    <w:uiPriority w:val="99"/>
    <w:semiHidden/>
    <w:unhideWhenUsed/>
    <w:rsid w:val="004901CA"/>
    <w:rPr>
      <w:sz w:val="20"/>
      <w:szCs w:val="20"/>
      <w:lang w:val="en-US"/>
    </w:rPr>
  </w:style>
  <w:style w:type="character" w:customStyle="1" w:styleId="CommentTextChar">
    <w:name w:val="Comment Text Char"/>
    <w:basedOn w:val="DefaultParagraphFont"/>
    <w:link w:val="CommentText"/>
    <w:uiPriority w:val="99"/>
    <w:semiHidden/>
    <w:rsid w:val="004901CA"/>
    <w:rPr>
      <w:sz w:val="20"/>
      <w:szCs w:val="20"/>
      <w:lang w:bidi="ar-SA"/>
    </w:rPr>
  </w:style>
  <w:style w:type="paragraph" w:styleId="BalloonText">
    <w:name w:val="Balloon Text"/>
    <w:basedOn w:val="Normal"/>
    <w:link w:val="BalloonTextChar"/>
    <w:uiPriority w:val="99"/>
    <w:semiHidden/>
    <w:unhideWhenUsed/>
    <w:rsid w:val="004901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1CA"/>
    <w:rPr>
      <w:rFonts w:ascii="Segoe UI" w:hAnsi="Segoe UI" w:cs="Segoe UI"/>
      <w:sz w:val="18"/>
      <w:szCs w:val="18"/>
      <w:lang w:val="en-CA" w:bidi="ar-SA"/>
    </w:rPr>
  </w:style>
  <w:style w:type="paragraph" w:styleId="CommentSubject">
    <w:name w:val="annotation subject"/>
    <w:basedOn w:val="CommentText"/>
    <w:next w:val="CommentText"/>
    <w:link w:val="CommentSubjectChar"/>
    <w:uiPriority w:val="99"/>
    <w:semiHidden/>
    <w:unhideWhenUsed/>
    <w:rsid w:val="004901CA"/>
    <w:rPr>
      <w:b/>
      <w:bCs/>
      <w:lang w:val="en-CA"/>
    </w:rPr>
  </w:style>
  <w:style w:type="character" w:customStyle="1" w:styleId="CommentSubjectChar">
    <w:name w:val="Comment Subject Char"/>
    <w:basedOn w:val="CommentTextChar"/>
    <w:link w:val="CommentSubject"/>
    <w:uiPriority w:val="99"/>
    <w:semiHidden/>
    <w:rsid w:val="004901CA"/>
    <w:rPr>
      <w:b/>
      <w:bCs/>
      <w:sz w:val="20"/>
      <w:szCs w:val="20"/>
      <w:lang w:val="en-CA" w:bidi="ar-SA"/>
    </w:rPr>
  </w:style>
  <w:style w:type="table" w:styleId="TableGrid">
    <w:name w:val="Table Grid"/>
    <w:basedOn w:val="TableNormal"/>
    <w:uiPriority w:val="39"/>
    <w:rsid w:val="00413E95"/>
    <w:pPr>
      <w:spacing w:after="0" w:line="240" w:lineRule="auto"/>
    </w:pPr>
    <w:rPr>
      <w:sz w:val="24"/>
      <w:szCs w:val="24"/>
      <w:lang w:val="en-C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199</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Hila Adler</cp:lastModifiedBy>
  <cp:revision>5</cp:revision>
  <dcterms:created xsi:type="dcterms:W3CDTF">2019-08-12T15:06:00Z</dcterms:created>
  <dcterms:modified xsi:type="dcterms:W3CDTF">2019-08-13T06:33:00Z</dcterms:modified>
</cp:coreProperties>
</file>