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9915F" w14:textId="76E02F90" w:rsidR="00E76492" w:rsidRPr="00E76492" w:rsidRDefault="00E76492" w:rsidP="00E76492">
      <w:pPr>
        <w:jc w:val="center"/>
        <w:rPr>
          <w:b/>
          <w:bCs/>
          <w:u w:val="single"/>
        </w:rPr>
      </w:pPr>
      <w:r w:rsidRPr="00E76492">
        <w:rPr>
          <w:b/>
          <w:bCs/>
          <w:u w:val="single"/>
        </w:rPr>
        <w:t xml:space="preserve">New </w:t>
      </w:r>
      <w:r w:rsidR="00DD4996">
        <w:rPr>
          <w:b/>
          <w:bCs/>
          <w:u w:val="single"/>
        </w:rPr>
        <w:t>T</w:t>
      </w:r>
      <w:r w:rsidRPr="00E76492">
        <w:rPr>
          <w:b/>
          <w:bCs/>
          <w:u w:val="single"/>
        </w:rPr>
        <w:t xml:space="preserve">ools </w:t>
      </w:r>
      <w:r w:rsidR="00DD4996">
        <w:rPr>
          <w:b/>
          <w:bCs/>
          <w:u w:val="single"/>
        </w:rPr>
        <w:t xml:space="preserve">in </w:t>
      </w:r>
      <w:r w:rsidRPr="00E76492">
        <w:rPr>
          <w:b/>
          <w:bCs/>
          <w:u w:val="single"/>
        </w:rPr>
        <w:t>the Fight Against Terrorism</w:t>
      </w:r>
    </w:p>
    <w:p w14:paraId="3E5AB08B" w14:textId="28F710D2" w:rsidR="00E76492" w:rsidRPr="00E76492" w:rsidRDefault="00084990" w:rsidP="00E76492">
      <w:pPr>
        <w:ind w:left="1134" w:right="1134"/>
        <w:jc w:val="both"/>
        <w:rPr>
          <w:i/>
          <w:iCs/>
        </w:rPr>
      </w:pPr>
      <w:r>
        <w:rPr>
          <w:i/>
          <w:iCs/>
        </w:rPr>
        <w:t>“</w:t>
      </w:r>
      <w:r w:rsidR="00E76492" w:rsidRPr="00E76492">
        <w:rPr>
          <w:i/>
          <w:iCs/>
        </w:rPr>
        <w:t xml:space="preserve">The well-known laws according to which the nations of the world </w:t>
      </w:r>
      <w:r>
        <w:rPr>
          <w:i/>
          <w:iCs/>
        </w:rPr>
        <w:t xml:space="preserve">behave, </w:t>
      </w:r>
      <w:r w:rsidR="00E76492" w:rsidRPr="00E76492">
        <w:rPr>
          <w:i/>
          <w:iCs/>
        </w:rPr>
        <w:t>are largely adapted to the old and familiar model of war</w:t>
      </w:r>
      <w:r w:rsidR="00DD4996">
        <w:rPr>
          <w:i/>
          <w:iCs/>
        </w:rPr>
        <w:t>s</w:t>
      </w:r>
      <w:r w:rsidR="00E76492" w:rsidRPr="00E76492">
        <w:rPr>
          <w:i/>
          <w:iCs/>
        </w:rPr>
        <w:t xml:space="preserve"> between armies, while the new and terrible reality created in Israel and around the world by various terrorist organizations and individuals carrying out terrorist </w:t>
      </w:r>
      <w:r w:rsidR="00DD4996">
        <w:rPr>
          <w:i/>
          <w:iCs/>
        </w:rPr>
        <w:t xml:space="preserve">attacks </w:t>
      </w:r>
      <w:r w:rsidR="00E76492" w:rsidRPr="00E76492">
        <w:rPr>
          <w:i/>
          <w:iCs/>
        </w:rPr>
        <w:t>does not take into account territorial boundaries</w:t>
      </w:r>
      <w:r>
        <w:rPr>
          <w:i/>
          <w:iCs/>
        </w:rPr>
        <w:t>,</w:t>
      </w:r>
      <w:r w:rsidR="00E76492" w:rsidRPr="00E76492">
        <w:rPr>
          <w:i/>
          <w:iCs/>
        </w:rPr>
        <w:t xml:space="preserve"> </w:t>
      </w:r>
      <w:r>
        <w:rPr>
          <w:i/>
          <w:iCs/>
        </w:rPr>
        <w:t>does not distinguish between times of war and times of peace, and every hour is a good hour to</w:t>
      </w:r>
      <w:r w:rsidR="00E76492" w:rsidRPr="00E76492">
        <w:rPr>
          <w:i/>
          <w:iCs/>
        </w:rPr>
        <w:t xml:space="preserve"> sow destruction, violence</w:t>
      </w:r>
      <w:r w:rsidR="00DD4996">
        <w:rPr>
          <w:i/>
          <w:iCs/>
        </w:rPr>
        <w:t>,</w:t>
      </w:r>
      <w:r w:rsidR="00E76492" w:rsidRPr="00E76492">
        <w:rPr>
          <w:i/>
          <w:iCs/>
        </w:rPr>
        <w:t xml:space="preserve"> and fear in most cases without distinction between civilians and soldiers. Terrorism does not in fact respect any of the rules of the game set by the Old World in the laws of war, and this reality requires </w:t>
      </w:r>
      <w:r>
        <w:rPr>
          <w:i/>
          <w:iCs/>
        </w:rPr>
        <w:t xml:space="preserve">that also the </w:t>
      </w:r>
      <w:r w:rsidR="00E76492" w:rsidRPr="00E76492">
        <w:rPr>
          <w:i/>
          <w:iCs/>
        </w:rPr>
        <w:t xml:space="preserve">jurists and not only the security forces rethink </w:t>
      </w:r>
      <w:r>
        <w:rPr>
          <w:i/>
          <w:iCs/>
        </w:rPr>
        <w:t xml:space="preserve">and </w:t>
      </w:r>
      <w:r w:rsidR="00E76492" w:rsidRPr="00E76492">
        <w:rPr>
          <w:i/>
          <w:iCs/>
        </w:rPr>
        <w:t>update these laws in a</w:t>
      </w:r>
      <w:r>
        <w:rPr>
          <w:i/>
          <w:iCs/>
        </w:rPr>
        <w:t xml:space="preserve"> current manner </w:t>
      </w:r>
      <w:r w:rsidR="00E76492" w:rsidRPr="00084990">
        <w:rPr>
          <w:b/>
          <w:bCs/>
          <w:i/>
          <w:iCs/>
        </w:rPr>
        <w:t>and adapt them to the new reality</w:t>
      </w:r>
      <w:r w:rsidR="00E76492">
        <w:rPr>
          <w:rStyle w:val="FootnoteReference"/>
          <w:i/>
          <w:iCs/>
        </w:rPr>
        <w:footnoteReference w:id="1"/>
      </w:r>
      <w:r w:rsidR="00E76492" w:rsidRPr="00E76492">
        <w:rPr>
          <w:i/>
          <w:iCs/>
        </w:rPr>
        <w:t xml:space="preserve">. </w:t>
      </w:r>
      <w:r>
        <w:rPr>
          <w:i/>
          <w:iCs/>
        </w:rPr>
        <w:t>[</w:t>
      </w:r>
      <w:r w:rsidRPr="00084990">
        <w:rPr>
          <w:b/>
          <w:bCs/>
          <w:i/>
          <w:iCs/>
        </w:rPr>
        <w:t>Throughout the paper, emphases are added, unless stated otherwise M.Y</w:t>
      </w:r>
      <w:r w:rsidR="00E76492" w:rsidRPr="00084990">
        <w:rPr>
          <w:b/>
          <w:bCs/>
          <w:i/>
          <w:iCs/>
        </w:rPr>
        <w:t>.</w:t>
      </w:r>
      <w:r w:rsidR="00E76492" w:rsidRPr="00E76492">
        <w:rPr>
          <w:i/>
          <w:iCs/>
        </w:rPr>
        <w:t>]</w:t>
      </w:r>
      <w:r>
        <w:rPr>
          <w:i/>
          <w:iCs/>
        </w:rPr>
        <w:t xml:space="preserve">” </w:t>
      </w:r>
      <w:r w:rsidR="00E76492" w:rsidRPr="00E76492">
        <w:rPr>
          <w:i/>
          <w:iCs/>
        </w:rPr>
        <w:t xml:space="preserve">(HCJ 8091/14 </w:t>
      </w:r>
      <w:r w:rsidR="00DC3E36">
        <w:rPr>
          <w:i/>
          <w:iCs/>
        </w:rPr>
        <w:t xml:space="preserve">The </w:t>
      </w:r>
      <w:r>
        <w:rPr>
          <w:i/>
          <w:iCs/>
        </w:rPr>
        <w:t xml:space="preserve">Centre for the Protection of the Individual v. </w:t>
      </w:r>
      <w:r w:rsidR="00E76492" w:rsidRPr="00E76492">
        <w:rPr>
          <w:i/>
          <w:iCs/>
        </w:rPr>
        <w:t xml:space="preserve">The Minister of </w:t>
      </w:r>
      <w:r w:rsidR="00EE7E13" w:rsidRPr="00E76492">
        <w:rPr>
          <w:i/>
          <w:iCs/>
        </w:rPr>
        <w:t>Defence</w:t>
      </w:r>
      <w:r w:rsidR="00E76492" w:rsidRPr="00E76492">
        <w:rPr>
          <w:i/>
          <w:iCs/>
        </w:rPr>
        <w:t xml:space="preserve"> [Published in Nevo], paragraph 2 of my opinion (</w:t>
      </w:r>
      <w:r>
        <w:rPr>
          <w:i/>
          <w:iCs/>
        </w:rPr>
        <w:t xml:space="preserve">December </w:t>
      </w:r>
      <w:r w:rsidR="00E76492" w:rsidRPr="00E76492">
        <w:rPr>
          <w:i/>
          <w:iCs/>
        </w:rPr>
        <w:t>31</w:t>
      </w:r>
      <w:r>
        <w:rPr>
          <w:i/>
          <w:iCs/>
        </w:rPr>
        <w:t xml:space="preserve">, </w:t>
      </w:r>
      <w:r w:rsidR="00E76492" w:rsidRPr="00E76492">
        <w:rPr>
          <w:i/>
          <w:iCs/>
        </w:rPr>
        <w:t>2014).</w:t>
      </w:r>
    </w:p>
    <w:p w14:paraId="3833A5D4" w14:textId="0D938FA4" w:rsidR="00E76492" w:rsidRDefault="00E76492" w:rsidP="001B31A3">
      <w:pPr>
        <w:spacing w:line="360" w:lineRule="auto"/>
        <w:jc w:val="both"/>
      </w:pPr>
      <w:r>
        <w:t xml:space="preserve">On January 1, 2017, two decisions were made </w:t>
      </w:r>
      <w:r w:rsidR="00084990">
        <w:t xml:space="preserve">by </w:t>
      </w:r>
      <w:r>
        <w:t>the Ministerial Committee on National Security (</w:t>
      </w:r>
      <w:r w:rsidR="00DC3E36">
        <w:t xml:space="preserve">The </w:t>
      </w:r>
      <w:r>
        <w:t xml:space="preserve">Political-Security Cabinet) (hereinafter: the </w:t>
      </w:r>
      <w:r w:rsidR="00DC3E36">
        <w:t>“</w:t>
      </w:r>
      <w:r w:rsidRPr="00DC3E36">
        <w:rPr>
          <w:b/>
          <w:bCs/>
        </w:rPr>
        <w:t>Cabinet</w:t>
      </w:r>
      <w:r w:rsidR="00DC3E36">
        <w:rPr>
          <w:i/>
          <w:iCs/>
        </w:rPr>
        <w:t>”</w:t>
      </w:r>
      <w:r>
        <w:t>), which aim to produce new tools for exerting pressure on the Hamas movement</w:t>
      </w:r>
      <w:r w:rsidR="00DC3E36">
        <w:t>,</w:t>
      </w:r>
      <w:r>
        <w:t xml:space="preserve"> and tackling terrorism. One</w:t>
      </w:r>
      <w:r>
        <w:rPr>
          <w:rStyle w:val="FootnoteReference"/>
        </w:rPr>
        <w:footnoteReference w:id="2"/>
      </w:r>
      <w:r>
        <w:t xml:space="preserve"> </w:t>
      </w:r>
      <w:r w:rsidR="00DC3E36">
        <w:t xml:space="preserve">stipulates, </w:t>
      </w:r>
      <w:r>
        <w:t xml:space="preserve">that the State of Israel will not </w:t>
      </w:r>
      <w:r w:rsidR="00DC3E36">
        <w:t xml:space="preserve">hand over </w:t>
      </w:r>
      <w:r>
        <w:t>terrorists</w:t>
      </w:r>
      <w:r w:rsidR="00DC3E36">
        <w:t>’ corpses</w:t>
      </w:r>
      <w:r>
        <w:t>.</w:t>
      </w:r>
      <w:r>
        <w:rPr>
          <w:rStyle w:val="FootnoteReference"/>
        </w:rPr>
        <w:footnoteReference w:id="3"/>
      </w:r>
      <w:r>
        <w:t xml:space="preserve"> The second</w:t>
      </w:r>
      <w:r>
        <w:rPr>
          <w:rStyle w:val="FootnoteReference"/>
        </w:rPr>
        <w:footnoteReference w:id="4"/>
      </w:r>
      <w:r>
        <w:t xml:space="preserve"> stipulates</w:t>
      </w:r>
      <w:r w:rsidR="00DC3E36">
        <w:t>,</w:t>
      </w:r>
      <w:r>
        <w:t xml:space="preserve"> that </w:t>
      </w:r>
      <w:r w:rsidR="00DC3E36">
        <w:t xml:space="preserve">residents of Gaza will not longer be able to </w:t>
      </w:r>
      <w:r>
        <w:t>visit</w:t>
      </w:r>
      <w:r w:rsidR="00DC3E36">
        <w:t xml:space="preserve"> </w:t>
      </w:r>
      <w:r>
        <w:t xml:space="preserve">the Temple Mount, and that family members of Hamas operatives will no longer be admitted to Israel for medical treatment. The following is the wording of the first </w:t>
      </w:r>
      <w:r w:rsidR="00DD4996">
        <w:t>D</w:t>
      </w:r>
      <w:r>
        <w:t>ecision as permitted for publication:</w:t>
      </w:r>
    </w:p>
    <w:p w14:paraId="306D8DFC" w14:textId="3453826D" w:rsidR="00E76492" w:rsidRPr="00DC3E36" w:rsidRDefault="00DD4996" w:rsidP="00DC3E36">
      <w:pPr>
        <w:ind w:left="1134"/>
        <w:jc w:val="both"/>
        <w:rPr>
          <w:rFonts w:asciiTheme="minorBidi" w:hAnsiTheme="minorBidi"/>
        </w:rPr>
      </w:pPr>
      <w:r>
        <w:rPr>
          <w:rFonts w:asciiTheme="minorBidi" w:hAnsiTheme="minorBidi"/>
        </w:rPr>
        <w:t>“</w:t>
      </w:r>
      <w:r w:rsidR="00DC3E36" w:rsidRPr="00DC3E36">
        <w:rPr>
          <w:rFonts w:asciiTheme="minorBidi" w:hAnsiTheme="minorBidi"/>
        </w:rPr>
        <w:t xml:space="preserve">We </w:t>
      </w:r>
      <w:r w:rsidR="00E76492" w:rsidRPr="00DC3E36">
        <w:rPr>
          <w:rFonts w:asciiTheme="minorBidi" w:hAnsiTheme="minorBidi"/>
        </w:rPr>
        <w:t>Decide:</w:t>
      </w:r>
    </w:p>
    <w:p w14:paraId="75ECB976" w14:textId="3BC2F5EC" w:rsidR="00E76492" w:rsidRPr="00DC3E36" w:rsidRDefault="00E76492" w:rsidP="00DC3E36">
      <w:pPr>
        <w:ind w:left="1134"/>
        <w:jc w:val="both"/>
        <w:rPr>
          <w:rFonts w:asciiTheme="minorBidi" w:hAnsiTheme="minorBidi"/>
        </w:rPr>
      </w:pPr>
      <w:r w:rsidRPr="00DC3E36">
        <w:rPr>
          <w:rFonts w:asciiTheme="minorBidi" w:hAnsiTheme="minorBidi"/>
        </w:rPr>
        <w:t xml:space="preserve">A. </w:t>
      </w:r>
      <w:r w:rsidR="00DC3E36">
        <w:rPr>
          <w:rFonts w:asciiTheme="minorBidi" w:hAnsiTheme="minorBidi"/>
        </w:rPr>
        <w:t>T</w:t>
      </w:r>
      <w:r w:rsidRPr="00DC3E36">
        <w:rPr>
          <w:rFonts w:asciiTheme="minorBidi" w:hAnsiTheme="minorBidi"/>
        </w:rPr>
        <w:t>errorists</w:t>
      </w:r>
      <w:r w:rsidR="00DC3E36">
        <w:rPr>
          <w:rFonts w:asciiTheme="minorBidi" w:hAnsiTheme="minorBidi"/>
        </w:rPr>
        <w:t xml:space="preserve">’ corpses will be </w:t>
      </w:r>
      <w:r w:rsidRPr="00DC3E36">
        <w:rPr>
          <w:rFonts w:asciiTheme="minorBidi" w:hAnsiTheme="minorBidi"/>
        </w:rPr>
        <w:t>returned under restrictive conditions set by security officials.</w:t>
      </w:r>
    </w:p>
    <w:p w14:paraId="1593D78F" w14:textId="4141825A" w:rsidR="00E76492" w:rsidRPr="00DC3E36" w:rsidRDefault="00E76492" w:rsidP="00DC3E36">
      <w:pPr>
        <w:ind w:left="1134"/>
        <w:jc w:val="both"/>
        <w:rPr>
          <w:rFonts w:asciiTheme="minorBidi" w:hAnsiTheme="minorBidi"/>
        </w:rPr>
      </w:pPr>
      <w:r w:rsidRPr="00DC3E36">
        <w:rPr>
          <w:rFonts w:asciiTheme="minorBidi" w:hAnsiTheme="minorBidi"/>
        </w:rPr>
        <w:t xml:space="preserve">B. The </w:t>
      </w:r>
      <w:r w:rsidR="00DC3E36">
        <w:rPr>
          <w:rFonts w:asciiTheme="minorBidi" w:hAnsiTheme="minorBidi"/>
        </w:rPr>
        <w:t xml:space="preserve">corpses </w:t>
      </w:r>
      <w:r w:rsidRPr="00DC3E36">
        <w:rPr>
          <w:rFonts w:asciiTheme="minorBidi" w:hAnsiTheme="minorBidi"/>
        </w:rPr>
        <w:t>of Hamas-affiliated terrorists will be held by Israel.</w:t>
      </w:r>
    </w:p>
    <w:p w14:paraId="63C14DCE" w14:textId="26159502" w:rsidR="00E76492" w:rsidRDefault="00DC3E36" w:rsidP="00DC3E36">
      <w:pPr>
        <w:ind w:left="1134"/>
        <w:jc w:val="both"/>
      </w:pPr>
      <w:r w:rsidRPr="00DC3E36">
        <w:rPr>
          <w:rFonts w:asciiTheme="minorBidi" w:hAnsiTheme="minorBidi"/>
        </w:rPr>
        <w:t>C</w:t>
      </w:r>
      <w:r w:rsidR="00E76492" w:rsidRPr="00DC3E36">
        <w:rPr>
          <w:rFonts w:asciiTheme="minorBidi" w:hAnsiTheme="minorBidi"/>
        </w:rPr>
        <w:t xml:space="preserve">. The </w:t>
      </w:r>
      <w:r>
        <w:rPr>
          <w:rFonts w:asciiTheme="minorBidi" w:hAnsiTheme="minorBidi"/>
        </w:rPr>
        <w:t xml:space="preserve">corpses </w:t>
      </w:r>
      <w:r w:rsidR="00E76492" w:rsidRPr="00DC3E36">
        <w:rPr>
          <w:rFonts w:asciiTheme="minorBidi" w:hAnsiTheme="minorBidi"/>
        </w:rPr>
        <w:t>of terrorists who committed a particularly unusual terrorist incident will be held by Israel.</w:t>
      </w:r>
      <w:r w:rsidR="00DD4996">
        <w:rPr>
          <w:rFonts w:asciiTheme="minorBidi" w:hAnsiTheme="minorBidi"/>
        </w:rPr>
        <w:t>”</w:t>
      </w:r>
    </w:p>
    <w:p w14:paraId="09D2D545" w14:textId="563A6F6F" w:rsidR="00E76492" w:rsidRDefault="00E76492" w:rsidP="00E76492">
      <w:pPr>
        <w:jc w:val="both"/>
      </w:pPr>
    </w:p>
    <w:p w14:paraId="784C6E16" w14:textId="64490628" w:rsidR="00E76492" w:rsidRDefault="00E76492" w:rsidP="001B31A3">
      <w:pPr>
        <w:spacing w:line="360" w:lineRule="auto"/>
        <w:jc w:val="both"/>
      </w:pPr>
      <w:r>
        <w:lastRenderedPageBreak/>
        <w:t xml:space="preserve">On July 12, 2018, it was announced that the IDF was </w:t>
      </w:r>
      <w:r w:rsidR="00DC3E36">
        <w:t xml:space="preserve">exploring </w:t>
      </w:r>
      <w:r>
        <w:t xml:space="preserve">the </w:t>
      </w:r>
      <w:r w:rsidR="00DD4996">
        <w:t xml:space="preserve">idea of </w:t>
      </w:r>
      <w:r>
        <w:t xml:space="preserve">burning fields </w:t>
      </w:r>
      <w:r w:rsidR="00DC3E36">
        <w:t xml:space="preserve">belonging to </w:t>
      </w:r>
      <w:r>
        <w:t xml:space="preserve">Hamas operatives from Gaza </w:t>
      </w:r>
      <w:r w:rsidR="00DC3E36">
        <w:t xml:space="preserve">who were </w:t>
      </w:r>
      <w:r>
        <w:t xml:space="preserve">leading the </w:t>
      </w:r>
      <w:r w:rsidR="00DC3E36">
        <w:t>“</w:t>
      </w:r>
      <w:r>
        <w:t>kite terror</w:t>
      </w:r>
      <w:r w:rsidR="00DC3E36">
        <w:t>”</w:t>
      </w:r>
      <w:r w:rsidR="00DC5C39">
        <w:rPr>
          <w:rStyle w:val="FootnoteReference"/>
        </w:rPr>
        <w:footnoteReference w:id="5"/>
      </w:r>
      <w:r>
        <w:t>, in order to create pressure to end the launch</w:t>
      </w:r>
      <w:r w:rsidR="00DD4996">
        <w:t>ing</w:t>
      </w:r>
      <w:r>
        <w:t xml:space="preserve"> of the kites.</w:t>
      </w:r>
      <w:r w:rsidR="00DC5C39">
        <w:rPr>
          <w:rStyle w:val="FootnoteReference"/>
        </w:rPr>
        <w:footnoteReference w:id="6"/>
      </w:r>
    </w:p>
    <w:p w14:paraId="272840C6" w14:textId="7173D402" w:rsidR="00E76492" w:rsidRDefault="00E76492" w:rsidP="001B31A3">
      <w:pPr>
        <w:spacing w:line="360" w:lineRule="auto"/>
        <w:jc w:val="both"/>
      </w:pPr>
      <w:r>
        <w:t xml:space="preserve">On December 25, 2018, the </w:t>
      </w:r>
      <w:r w:rsidR="00EE7E13" w:rsidRPr="00EE7E13">
        <w:rPr>
          <w:i/>
          <w:iCs/>
        </w:rPr>
        <w:t>Knesset</w:t>
      </w:r>
      <w:r>
        <w:t xml:space="preserve"> </w:t>
      </w:r>
      <w:r w:rsidR="00DC3E36">
        <w:t>passed</w:t>
      </w:r>
      <w:r w:rsidR="00DD4996">
        <w:t>,</w:t>
      </w:r>
      <w:r w:rsidR="00DC3E36">
        <w:t xml:space="preserve"> </w:t>
      </w:r>
      <w:r w:rsidR="00DD4996">
        <w:t xml:space="preserve">by </w:t>
      </w:r>
      <w:r>
        <w:t>second and third reading</w:t>
      </w:r>
      <w:r w:rsidR="00DD4996">
        <w:t xml:space="preserve">, </w:t>
      </w:r>
      <w:r>
        <w:t xml:space="preserve">the </w:t>
      </w:r>
      <w:r w:rsidR="00DC3E36">
        <w:t>A</w:t>
      </w:r>
      <w:r>
        <w:t xml:space="preserve">mendment to the Anti-Terrorism </w:t>
      </w:r>
      <w:r w:rsidR="00DC5C39">
        <w:t>Act</w:t>
      </w:r>
      <w:r>
        <w:t>,</w:t>
      </w:r>
      <w:r w:rsidR="00DC5C39">
        <w:rPr>
          <w:rStyle w:val="FootnoteReference"/>
        </w:rPr>
        <w:footnoteReference w:id="7"/>
      </w:r>
      <w:r>
        <w:t xml:space="preserve"> which stipulates that terrorists convicted of certain offenses will not be able to receive early release on parole.</w:t>
      </w:r>
      <w:r w:rsidR="00DC5C39">
        <w:rPr>
          <w:rStyle w:val="FootnoteReference"/>
        </w:rPr>
        <w:footnoteReference w:id="8"/>
      </w:r>
      <w:r>
        <w:t xml:space="preserve"> The explanatory </w:t>
      </w:r>
      <w:r w:rsidR="00DC3E36">
        <w:t xml:space="preserve">remarks attached to the Bill </w:t>
      </w:r>
      <w:r>
        <w:t xml:space="preserve">state that the </w:t>
      </w:r>
      <w:r w:rsidR="00DC3E36">
        <w:t>A</w:t>
      </w:r>
      <w:r>
        <w:t xml:space="preserve">mendment was made for the purposes of </w:t>
      </w:r>
      <w:r w:rsidR="00EE7E13" w:rsidRPr="00EE7E13">
        <w:rPr>
          <w:i/>
          <w:iCs/>
        </w:rPr>
        <w:t>“</w:t>
      </w:r>
      <w:r>
        <w:t>retribution and deterrence</w:t>
      </w:r>
      <w:r w:rsidR="00EE7E13" w:rsidRPr="00EE7E13">
        <w:rPr>
          <w:i/>
          <w:iCs/>
        </w:rPr>
        <w:t>”</w:t>
      </w:r>
      <w:r w:rsidR="00DC5C39">
        <w:rPr>
          <w:rStyle w:val="FootnoteReference"/>
        </w:rPr>
        <w:footnoteReference w:id="9"/>
      </w:r>
      <w:r>
        <w:t xml:space="preserve"> and in other words, the purpose of the amendment </w:t>
      </w:r>
      <w:r w:rsidR="00F600E6">
        <w:t xml:space="preserve">of </w:t>
      </w:r>
      <w:r>
        <w:t xml:space="preserve">the law is to create another tool to combat terrorism, and to create additional deterrence </w:t>
      </w:r>
      <w:r w:rsidR="00F600E6">
        <w:t>–</w:t>
      </w:r>
      <w:r>
        <w:t xml:space="preserve"> apparently emphasi</w:t>
      </w:r>
      <w:r w:rsidR="00F600E6">
        <w:t>s</w:t>
      </w:r>
      <w:r>
        <w:t xml:space="preserve">ing </w:t>
      </w:r>
      <w:r w:rsidR="00DD4996">
        <w:t xml:space="preserve">acts of </w:t>
      </w:r>
      <w:r>
        <w:t>terrorism</w:t>
      </w:r>
      <w:r w:rsidR="00DD4996" w:rsidRPr="00DD4996">
        <w:t xml:space="preserve"> </w:t>
      </w:r>
      <w:r w:rsidR="00DD4996">
        <w:t xml:space="preserve">committed by </w:t>
      </w:r>
      <w:r w:rsidR="00DD4996">
        <w:t>individual</w:t>
      </w:r>
      <w:r w:rsidR="00DD4996">
        <w:t>s</w:t>
      </w:r>
      <w:r>
        <w:t>, which is difficult to thwart.</w:t>
      </w:r>
    </w:p>
    <w:p w14:paraId="4E49AC4B" w14:textId="7ED35430" w:rsidR="00E76492" w:rsidRDefault="00E76492" w:rsidP="001B31A3">
      <w:pPr>
        <w:spacing w:line="360" w:lineRule="auto"/>
        <w:jc w:val="both"/>
      </w:pPr>
      <w:r>
        <w:t>On June 4, 2019, the Supreme Court ruled</w:t>
      </w:r>
      <w:r w:rsidR="00DC5C39">
        <w:rPr>
          <w:rStyle w:val="FootnoteReference"/>
        </w:rPr>
        <w:footnoteReference w:id="10"/>
      </w:r>
      <w:r>
        <w:t xml:space="preserve"> in </w:t>
      </w:r>
      <w:r w:rsidR="00F600E6">
        <w:t xml:space="preserve">the Namnam </w:t>
      </w:r>
      <w:r>
        <w:t>case</w:t>
      </w:r>
      <w:r w:rsidR="00DC5C39">
        <w:t>,</w:t>
      </w:r>
      <w:r w:rsidR="00DC5C39">
        <w:rPr>
          <w:rStyle w:val="FootnoteReference"/>
        </w:rPr>
        <w:footnoteReference w:id="11"/>
      </w:r>
      <w:r>
        <w:t xml:space="preserve"> that there is nothing wrong with the Minister of Internal Security</w:t>
      </w:r>
      <w:r w:rsidR="00EE7E13" w:rsidRPr="00EE7E13">
        <w:rPr>
          <w:i/>
          <w:iCs/>
        </w:rPr>
        <w:t>’</w:t>
      </w:r>
      <w:r>
        <w:t>s decision</w:t>
      </w:r>
      <w:r w:rsidR="00F600E6">
        <w:t>,</w:t>
      </w:r>
      <w:r>
        <w:t xml:space="preserve"> and the conduct of the prison service</w:t>
      </w:r>
      <w:r w:rsidR="00F600E6">
        <w:t>,</w:t>
      </w:r>
      <w:r>
        <w:t xml:space="preserve"> prevent</w:t>
      </w:r>
      <w:r w:rsidR="00F600E6">
        <w:t>ing</w:t>
      </w:r>
      <w:r>
        <w:t xml:space="preserve"> Hamas</w:t>
      </w:r>
      <w:r w:rsidR="00F600E6">
        <w:t>-affiliated</w:t>
      </w:r>
      <w:r>
        <w:t xml:space="preserve"> prisoners from receiving prison visits. The Supreme Court allowed the denial of the visits, while opinin</w:t>
      </w:r>
      <w:r w:rsidR="00F600E6">
        <w:t>g</w:t>
      </w:r>
      <w:r>
        <w:t xml:space="preserve"> that this is </w:t>
      </w:r>
      <w:r w:rsidR="00EE7E13" w:rsidRPr="00EE7E13">
        <w:rPr>
          <w:i/>
          <w:iCs/>
        </w:rPr>
        <w:t>“</w:t>
      </w:r>
      <w:r w:rsidR="00F600E6">
        <w:t xml:space="preserve">means </w:t>
      </w:r>
      <w:r>
        <w:t>of pressure</w:t>
      </w:r>
      <w:r w:rsidR="00EE7E13" w:rsidRPr="00EE7E13">
        <w:rPr>
          <w:i/>
          <w:iCs/>
        </w:rPr>
        <w:t>”</w:t>
      </w:r>
      <w:r>
        <w:t xml:space="preserve"> on </w:t>
      </w:r>
      <w:r w:rsidR="00A5597F">
        <w:t>Hamas,</w:t>
      </w:r>
      <w:r>
        <w:t xml:space="preserve"> and it is not a decision that results from the </w:t>
      </w:r>
      <w:r w:rsidR="00EE7E13">
        <w:t>behaviour</w:t>
      </w:r>
      <w:r>
        <w:t xml:space="preserve"> of the prisoners themselves.</w:t>
      </w:r>
      <w:r w:rsidR="00DC5C39">
        <w:rPr>
          <w:rStyle w:val="FootnoteReference"/>
        </w:rPr>
        <w:footnoteReference w:id="12"/>
      </w:r>
    </w:p>
    <w:p w14:paraId="7B639435" w14:textId="5F8472FB" w:rsidR="00E76492" w:rsidRDefault="00E76492" w:rsidP="001B31A3">
      <w:pPr>
        <w:spacing w:line="360" w:lineRule="auto"/>
        <w:jc w:val="both"/>
      </w:pPr>
      <w:r>
        <w:t xml:space="preserve">On September 9, 2019, the Supreme Court ruled, in </w:t>
      </w:r>
      <w:r w:rsidR="00DD4996">
        <w:t>re-</w:t>
      </w:r>
      <w:r>
        <w:t>hearing</w:t>
      </w:r>
      <w:r w:rsidR="00DD4996">
        <w:t xml:space="preserve"> </w:t>
      </w:r>
      <w:r w:rsidR="00F600E6">
        <w:t xml:space="preserve">with </w:t>
      </w:r>
      <w:r>
        <w:t xml:space="preserve">an expanded panel of seven judges, </w:t>
      </w:r>
      <w:r w:rsidR="00DD4996">
        <w:t>o</w:t>
      </w:r>
      <w:r>
        <w:t>n the Ali</w:t>
      </w:r>
      <w:r w:rsidR="009E7823">
        <w:t>y</w:t>
      </w:r>
      <w:r>
        <w:t>an case.</w:t>
      </w:r>
      <w:r w:rsidR="00DC5C39">
        <w:rPr>
          <w:rStyle w:val="FootnoteReference"/>
        </w:rPr>
        <w:footnoteReference w:id="13"/>
      </w:r>
      <w:r>
        <w:t xml:space="preserve"> In its judgment, the </w:t>
      </w:r>
      <w:r w:rsidR="00DD4996">
        <w:t>C</w:t>
      </w:r>
      <w:r>
        <w:t xml:space="preserve">ourt reversed, </w:t>
      </w:r>
      <w:r w:rsidR="00F600E6">
        <w:t xml:space="preserve">by </w:t>
      </w:r>
      <w:r>
        <w:t>majority opinion,</w:t>
      </w:r>
      <w:r w:rsidR="00DC5C39">
        <w:rPr>
          <w:rStyle w:val="FootnoteReference"/>
        </w:rPr>
        <w:footnoteReference w:id="14"/>
      </w:r>
      <w:r>
        <w:t xml:space="preserve"> the judgment of Justices Danziger and </w:t>
      </w:r>
      <w:r w:rsidR="00F600E6">
        <w:t>Kar</w:t>
      </w:r>
      <w:r w:rsidR="001B31A3">
        <w:t>r</w:t>
      </w:r>
      <w:r w:rsidR="00F600E6">
        <w:t>a</w:t>
      </w:r>
      <w:r>
        <w:t>.</w:t>
      </w:r>
      <w:r w:rsidR="00DC5C39">
        <w:rPr>
          <w:rStyle w:val="FootnoteReference"/>
        </w:rPr>
        <w:footnoteReference w:id="15"/>
      </w:r>
      <w:r>
        <w:t xml:space="preserve"> The </w:t>
      </w:r>
      <w:r w:rsidR="00F600E6">
        <w:t>C</w:t>
      </w:r>
      <w:r>
        <w:t xml:space="preserve">ourt ruled that the military commander, the </w:t>
      </w:r>
      <w:r w:rsidR="00F600E6">
        <w:t>C</w:t>
      </w:r>
      <w:r>
        <w:t>ommander-in-</w:t>
      </w:r>
      <w:r w:rsidR="00F600E6">
        <w:t>C</w:t>
      </w:r>
      <w:r>
        <w:t>hief of the Central Command, has the authority to order the temporary burial of terrorists for the purpose of negotiations with Hamas.</w:t>
      </w:r>
      <w:r w:rsidR="00DC5C39">
        <w:rPr>
          <w:rStyle w:val="FootnoteReference"/>
        </w:rPr>
        <w:footnoteReference w:id="16"/>
      </w:r>
    </w:p>
    <w:p w14:paraId="3639A2BA" w14:textId="5BD36AF8" w:rsidR="00E76492" w:rsidRDefault="00E76492" w:rsidP="001B31A3">
      <w:pPr>
        <w:spacing w:line="360" w:lineRule="auto"/>
        <w:jc w:val="both"/>
        <w:rPr>
          <w:rtl/>
        </w:rPr>
      </w:pPr>
      <w:r>
        <w:lastRenderedPageBreak/>
        <w:t xml:space="preserve">The </w:t>
      </w:r>
      <w:r w:rsidR="00F600E6">
        <w:t xml:space="preserve">foregoing </w:t>
      </w:r>
      <w:r>
        <w:t>is only a partial list,</w:t>
      </w:r>
      <w:r w:rsidR="00DC5C39">
        <w:rPr>
          <w:rStyle w:val="FootnoteReference"/>
        </w:rPr>
        <w:footnoteReference w:id="17"/>
      </w:r>
      <w:r>
        <w:t xml:space="preserve"> of new and different tools that the State of Israel has begun to use in order to eradicate terrorism</w:t>
      </w:r>
      <w:r w:rsidR="00804A31">
        <w:t>,</w:t>
      </w:r>
      <w:r>
        <w:t xml:space="preserve"> and put pressure on the </w:t>
      </w:r>
      <w:r w:rsidR="00F600E6">
        <w:t xml:space="preserve">lone </w:t>
      </w:r>
      <w:r>
        <w:t xml:space="preserve">terrorists, as well as on terrorist organizations. The new tools, once again raise the question of the relationship between regular armies and terrorist organizations. The dilemma regarding the legal differences </w:t>
      </w:r>
      <w:r w:rsidR="00F600E6">
        <w:t>o</w:t>
      </w:r>
      <w:r>
        <w:t xml:space="preserve">n this </w:t>
      </w:r>
      <w:r w:rsidR="00F600E6">
        <w:t xml:space="preserve">point </w:t>
      </w:r>
      <w:r>
        <w:t>also arises again. I would like to begin with the remarks of the Attorney General, Dr. Avichai Mandelblit, who g</w:t>
      </w:r>
      <w:r w:rsidR="00804A31">
        <w:t>a</w:t>
      </w:r>
      <w:r>
        <w:t>ve</w:t>
      </w:r>
      <w:r w:rsidR="00804A31">
        <w:t xml:space="preserve"> </w:t>
      </w:r>
      <w:r>
        <w:t>his opinion on this issue:</w:t>
      </w:r>
      <w:r w:rsidR="00DC5C39">
        <w:rPr>
          <w:rStyle w:val="FootnoteReference"/>
        </w:rPr>
        <w:footnoteReference w:id="18"/>
      </w:r>
    </w:p>
    <w:p w14:paraId="299C1EEC" w14:textId="242AE7D6" w:rsidR="00CC611D" w:rsidRPr="00DC5C39" w:rsidRDefault="00781BF6" w:rsidP="00DC5C39">
      <w:pPr>
        <w:ind w:left="1134" w:right="1134"/>
        <w:jc w:val="both"/>
        <w:rPr>
          <w:i/>
          <w:iCs/>
        </w:rPr>
      </w:pPr>
      <w:r>
        <w:rPr>
          <w:i/>
          <w:iCs/>
        </w:rPr>
        <w:t>“</w:t>
      </w:r>
      <w:r w:rsidR="00E76492" w:rsidRPr="00781BF6">
        <w:rPr>
          <w:i/>
          <w:iCs/>
        </w:rPr>
        <w:t>In addition, as part of th</w:t>
      </w:r>
      <w:r>
        <w:rPr>
          <w:i/>
          <w:iCs/>
        </w:rPr>
        <w:t>at</w:t>
      </w:r>
      <w:r w:rsidR="00E76492" w:rsidRPr="00781BF6">
        <w:rPr>
          <w:i/>
          <w:iCs/>
        </w:rPr>
        <w:t xml:space="preserve"> same legal front, there is currently a worldwide battle over </w:t>
      </w:r>
      <w:r>
        <w:rPr>
          <w:i/>
          <w:iCs/>
        </w:rPr>
        <w:t xml:space="preserve">the </w:t>
      </w:r>
      <w:r w:rsidR="00E76492" w:rsidRPr="00781BF6">
        <w:rPr>
          <w:i/>
          <w:iCs/>
        </w:rPr>
        <w:t>law</w:t>
      </w:r>
      <w:r>
        <w:rPr>
          <w:i/>
          <w:iCs/>
        </w:rPr>
        <w:t>s of warfare</w:t>
      </w:r>
      <w:r w:rsidR="00E76492" w:rsidRPr="00781BF6">
        <w:rPr>
          <w:i/>
          <w:iCs/>
        </w:rPr>
        <w:t xml:space="preserve">. </w:t>
      </w:r>
      <w:r>
        <w:rPr>
          <w:i/>
          <w:iCs/>
        </w:rPr>
        <w:t>In the setting</w:t>
      </w:r>
      <w:r w:rsidR="00E76492" w:rsidRPr="00781BF6">
        <w:rPr>
          <w:i/>
          <w:iCs/>
        </w:rPr>
        <w:t xml:space="preserve">, some argue that more power should be given to regular armies in the face of terrorist organizations </w:t>
      </w:r>
      <w:r w:rsidR="00E76492" w:rsidRPr="00781BF6">
        <w:rPr>
          <w:b/>
          <w:bCs/>
          <w:i/>
          <w:iCs/>
        </w:rPr>
        <w:t>and that traditional law</w:t>
      </w:r>
      <w:r>
        <w:rPr>
          <w:b/>
          <w:bCs/>
          <w:i/>
          <w:iCs/>
        </w:rPr>
        <w:t>s of war</w:t>
      </w:r>
      <w:r w:rsidR="00E76492" w:rsidRPr="00781BF6">
        <w:rPr>
          <w:b/>
          <w:bCs/>
          <w:i/>
          <w:iCs/>
        </w:rPr>
        <w:t xml:space="preserve"> should be changed </w:t>
      </w:r>
      <w:r w:rsidR="00804A31">
        <w:rPr>
          <w:b/>
          <w:bCs/>
          <w:i/>
          <w:iCs/>
        </w:rPr>
        <w:t xml:space="preserve">as </w:t>
      </w:r>
      <w:r>
        <w:rPr>
          <w:b/>
          <w:bCs/>
          <w:i/>
          <w:iCs/>
        </w:rPr>
        <w:t>they are un</w:t>
      </w:r>
      <w:r w:rsidR="00E76492" w:rsidRPr="00781BF6">
        <w:rPr>
          <w:b/>
          <w:bCs/>
          <w:i/>
          <w:iCs/>
        </w:rPr>
        <w:t>suit</w:t>
      </w:r>
      <w:r>
        <w:rPr>
          <w:b/>
          <w:bCs/>
          <w:i/>
          <w:iCs/>
        </w:rPr>
        <w:t>ed to</w:t>
      </w:r>
      <w:r w:rsidR="00E76492" w:rsidRPr="00781BF6">
        <w:rPr>
          <w:b/>
          <w:bCs/>
          <w:i/>
          <w:iCs/>
        </w:rPr>
        <w:t xml:space="preserve"> the new asymmetric combat challenges</w:t>
      </w:r>
      <w:r w:rsidR="00E76492" w:rsidRPr="00781BF6">
        <w:rPr>
          <w:i/>
          <w:iCs/>
        </w:rPr>
        <w:t xml:space="preserve">. These are not the main voices. In the world today, </w:t>
      </w:r>
      <w:r>
        <w:rPr>
          <w:i/>
          <w:iCs/>
        </w:rPr>
        <w:t xml:space="preserve">it is actually </w:t>
      </w:r>
      <w:r w:rsidR="00E76492" w:rsidRPr="00781BF6">
        <w:rPr>
          <w:i/>
          <w:iCs/>
        </w:rPr>
        <w:t xml:space="preserve">the opposite process </w:t>
      </w:r>
      <w:r>
        <w:rPr>
          <w:i/>
          <w:iCs/>
        </w:rPr>
        <w:t xml:space="preserve">that </w:t>
      </w:r>
      <w:r w:rsidR="00E76492" w:rsidRPr="00781BF6">
        <w:rPr>
          <w:i/>
          <w:iCs/>
        </w:rPr>
        <w:t>is taking place, limit</w:t>
      </w:r>
      <w:r>
        <w:rPr>
          <w:i/>
          <w:iCs/>
        </w:rPr>
        <w:t>ing</w:t>
      </w:r>
      <w:r w:rsidR="00E76492" w:rsidRPr="00781BF6">
        <w:rPr>
          <w:i/>
          <w:iCs/>
        </w:rPr>
        <w:t xml:space="preserve"> the abilities of regular </w:t>
      </w:r>
      <w:r w:rsidR="00804A31">
        <w:rPr>
          <w:i/>
          <w:iCs/>
        </w:rPr>
        <w:t>armies</w:t>
      </w:r>
      <w:r>
        <w:rPr>
          <w:i/>
          <w:iCs/>
        </w:rPr>
        <w:t>,</w:t>
      </w:r>
      <w:r w:rsidR="00E76492" w:rsidRPr="00781BF6">
        <w:rPr>
          <w:i/>
          <w:iCs/>
        </w:rPr>
        <w:t xml:space="preserve"> and giv</w:t>
      </w:r>
      <w:r>
        <w:rPr>
          <w:i/>
          <w:iCs/>
        </w:rPr>
        <w:t xml:space="preserve">ing </w:t>
      </w:r>
      <w:r w:rsidR="00E76492" w:rsidRPr="00781BF6">
        <w:rPr>
          <w:i/>
          <w:iCs/>
        </w:rPr>
        <w:t xml:space="preserve">more power and protections to </w:t>
      </w:r>
      <w:r w:rsidR="00EE7E13" w:rsidRPr="00781BF6">
        <w:rPr>
          <w:i/>
          <w:iCs/>
        </w:rPr>
        <w:t>“</w:t>
      </w:r>
      <w:r>
        <w:rPr>
          <w:i/>
          <w:iCs/>
        </w:rPr>
        <w:t>freedom fighters</w:t>
      </w:r>
      <w:r w:rsidR="00EE7E13" w:rsidRPr="00781BF6">
        <w:rPr>
          <w:i/>
          <w:iCs/>
        </w:rPr>
        <w:t>”</w:t>
      </w:r>
      <w:r w:rsidR="00E76492" w:rsidRPr="00781BF6">
        <w:rPr>
          <w:i/>
          <w:iCs/>
        </w:rPr>
        <w:t>. Thus, there is an intention in the world to significantly limit the ability to use cluster munitions ...</w:t>
      </w:r>
    </w:p>
    <w:p w14:paraId="3DFE0F8B" w14:textId="46EFD2A6" w:rsidR="00E76492" w:rsidRDefault="00E76492" w:rsidP="00DC5C39">
      <w:pPr>
        <w:ind w:left="1134" w:right="1134"/>
        <w:jc w:val="both"/>
      </w:pPr>
      <w:r w:rsidRPr="00DC5C39">
        <w:rPr>
          <w:i/>
          <w:iCs/>
        </w:rPr>
        <w:t xml:space="preserve">The biggest threat, however, is an attempt to import norms from the field of human rights law into </w:t>
      </w:r>
      <w:r w:rsidR="00804A31">
        <w:rPr>
          <w:i/>
          <w:iCs/>
        </w:rPr>
        <w:t xml:space="preserve">clear </w:t>
      </w:r>
      <w:r w:rsidRPr="00DC5C39">
        <w:rPr>
          <w:i/>
          <w:iCs/>
        </w:rPr>
        <w:t xml:space="preserve">situations of combat. These norms </w:t>
      </w:r>
      <w:r w:rsidR="00781BF6">
        <w:rPr>
          <w:i/>
          <w:iCs/>
        </w:rPr>
        <w:t xml:space="preserve">are </w:t>
      </w:r>
      <w:r w:rsidRPr="00DC5C39">
        <w:rPr>
          <w:i/>
          <w:iCs/>
        </w:rPr>
        <w:t xml:space="preserve">not at all </w:t>
      </w:r>
      <w:r w:rsidR="00804A31">
        <w:rPr>
          <w:i/>
          <w:iCs/>
        </w:rPr>
        <w:t>suited</w:t>
      </w:r>
      <w:r w:rsidR="00804A31" w:rsidRPr="00DC5C39">
        <w:rPr>
          <w:i/>
          <w:iCs/>
        </w:rPr>
        <w:t xml:space="preserve"> </w:t>
      </w:r>
      <w:r w:rsidRPr="00DC5C39">
        <w:rPr>
          <w:i/>
          <w:iCs/>
        </w:rPr>
        <w:t xml:space="preserve">to a situation of armed conflict in territory </w:t>
      </w:r>
      <w:r w:rsidR="00804A31">
        <w:rPr>
          <w:i/>
          <w:iCs/>
        </w:rPr>
        <w:t xml:space="preserve">which is </w:t>
      </w:r>
      <w:r w:rsidRPr="00DC5C39">
        <w:rPr>
          <w:i/>
          <w:iCs/>
        </w:rPr>
        <w:t xml:space="preserve">not under </w:t>
      </w:r>
      <w:r w:rsidR="00804A31">
        <w:rPr>
          <w:i/>
          <w:iCs/>
        </w:rPr>
        <w:t xml:space="preserve">the </w:t>
      </w:r>
      <w:r w:rsidR="00804A31" w:rsidRPr="00DC5C39">
        <w:rPr>
          <w:i/>
          <w:iCs/>
        </w:rPr>
        <w:t>military</w:t>
      </w:r>
      <w:r w:rsidR="00804A31">
        <w:rPr>
          <w:i/>
          <w:iCs/>
        </w:rPr>
        <w:t>’s</w:t>
      </w:r>
      <w:r w:rsidR="00804A31" w:rsidRPr="00DC5C39">
        <w:rPr>
          <w:i/>
          <w:iCs/>
        </w:rPr>
        <w:t xml:space="preserve"> </w:t>
      </w:r>
      <w:r w:rsidR="00781BF6" w:rsidRPr="00DC5C39">
        <w:rPr>
          <w:i/>
          <w:iCs/>
        </w:rPr>
        <w:t>control</w:t>
      </w:r>
      <w:r w:rsidRPr="00DC5C39">
        <w:rPr>
          <w:i/>
          <w:iCs/>
        </w:rPr>
        <w:t xml:space="preserve">; Even the European Court of Human Rights in Strasbourg does not believe it is right to apply them </w:t>
      </w:r>
      <w:r w:rsidR="00804A31">
        <w:rPr>
          <w:i/>
          <w:iCs/>
        </w:rPr>
        <w:t xml:space="preserve">to unequivocal </w:t>
      </w:r>
      <w:r w:rsidRPr="00DC5C39">
        <w:rPr>
          <w:i/>
          <w:iCs/>
        </w:rPr>
        <w:t xml:space="preserve">combat situations. This </w:t>
      </w:r>
      <w:r w:rsidR="00781BF6">
        <w:rPr>
          <w:i/>
          <w:iCs/>
        </w:rPr>
        <w:t xml:space="preserve">attempt </w:t>
      </w:r>
      <w:r w:rsidRPr="00DC5C39">
        <w:rPr>
          <w:i/>
          <w:iCs/>
        </w:rPr>
        <w:t xml:space="preserve">is also </w:t>
      </w:r>
      <w:r w:rsidR="00A5597F" w:rsidRPr="00DC5C39">
        <w:rPr>
          <w:i/>
          <w:iCs/>
        </w:rPr>
        <w:t>extremely dangerous</w:t>
      </w:r>
      <w:r w:rsidRPr="00DC5C39">
        <w:rPr>
          <w:i/>
          <w:iCs/>
        </w:rPr>
        <w:t xml:space="preserve">, and in fact all the regular armies of the </w:t>
      </w:r>
      <w:r w:rsidR="00781BF6">
        <w:rPr>
          <w:i/>
          <w:iCs/>
        </w:rPr>
        <w:t xml:space="preserve">civilized nations have to </w:t>
      </w:r>
      <w:r w:rsidRPr="00DC5C39">
        <w:rPr>
          <w:i/>
          <w:iCs/>
        </w:rPr>
        <w:t xml:space="preserve">deal with it. The </w:t>
      </w:r>
      <w:r w:rsidR="00781BF6">
        <w:rPr>
          <w:i/>
          <w:iCs/>
        </w:rPr>
        <w:t xml:space="preserve">demand </w:t>
      </w:r>
      <w:r w:rsidRPr="00DC5C39">
        <w:rPr>
          <w:i/>
          <w:iCs/>
        </w:rPr>
        <w:t xml:space="preserve">to abide by the laws of warfare is logical and self-evident, but in no way is there any justification for changing them so that additional </w:t>
      </w:r>
      <w:r w:rsidR="00781BF6">
        <w:rPr>
          <w:i/>
          <w:iCs/>
        </w:rPr>
        <w:t xml:space="preserve">restraints </w:t>
      </w:r>
      <w:r w:rsidRPr="00DC5C39">
        <w:rPr>
          <w:i/>
          <w:iCs/>
        </w:rPr>
        <w:t xml:space="preserve">are </w:t>
      </w:r>
      <w:r w:rsidR="00781BF6">
        <w:rPr>
          <w:i/>
          <w:iCs/>
        </w:rPr>
        <w:t xml:space="preserve">placed on </w:t>
      </w:r>
      <w:r w:rsidRPr="00DC5C39">
        <w:rPr>
          <w:i/>
          <w:iCs/>
        </w:rPr>
        <w:t xml:space="preserve">regular armies, </w:t>
      </w:r>
      <w:r w:rsidR="00781BF6">
        <w:rPr>
          <w:i/>
          <w:iCs/>
        </w:rPr>
        <w:t xml:space="preserve">who already </w:t>
      </w:r>
      <w:r w:rsidRPr="00DC5C39">
        <w:rPr>
          <w:i/>
          <w:iCs/>
        </w:rPr>
        <w:t xml:space="preserve">operate in a complex warfare environment in light of the changes </w:t>
      </w:r>
      <w:r w:rsidR="00804A31">
        <w:rPr>
          <w:i/>
          <w:iCs/>
        </w:rPr>
        <w:t xml:space="preserve">to the </w:t>
      </w:r>
      <w:r w:rsidR="00781BF6" w:rsidRPr="00DC5C39">
        <w:rPr>
          <w:i/>
          <w:iCs/>
        </w:rPr>
        <w:t xml:space="preserve">nature </w:t>
      </w:r>
      <w:r w:rsidR="00781BF6">
        <w:rPr>
          <w:i/>
          <w:iCs/>
        </w:rPr>
        <w:t xml:space="preserve">of </w:t>
      </w:r>
      <w:r w:rsidRPr="00DC5C39">
        <w:rPr>
          <w:i/>
          <w:iCs/>
        </w:rPr>
        <w:t xml:space="preserve">combat discussed above. Attempting to make extreme demands on regular armies may eventually lead to an undesirable result </w:t>
      </w:r>
      <w:r w:rsidR="00781BF6">
        <w:rPr>
          <w:i/>
          <w:iCs/>
        </w:rPr>
        <w:t>–</w:t>
      </w:r>
      <w:r w:rsidRPr="00DC5C39">
        <w:rPr>
          <w:i/>
          <w:iCs/>
        </w:rPr>
        <w:t xml:space="preserve"> a </w:t>
      </w:r>
      <w:r w:rsidR="00781BF6">
        <w:rPr>
          <w:i/>
          <w:iCs/>
        </w:rPr>
        <w:t xml:space="preserve">renunciation of </w:t>
      </w:r>
      <w:r w:rsidRPr="00DC5C39">
        <w:rPr>
          <w:i/>
          <w:iCs/>
        </w:rPr>
        <w:t xml:space="preserve">the rules. </w:t>
      </w:r>
      <w:r w:rsidRPr="00DC5C39">
        <w:rPr>
          <w:b/>
          <w:bCs/>
          <w:i/>
          <w:iCs/>
        </w:rPr>
        <w:t xml:space="preserve">Therefore, the traditional existing rules of </w:t>
      </w:r>
      <w:r w:rsidR="00781BF6">
        <w:rPr>
          <w:b/>
          <w:bCs/>
          <w:i/>
          <w:iCs/>
        </w:rPr>
        <w:t xml:space="preserve">the </w:t>
      </w:r>
      <w:r w:rsidRPr="00781BF6">
        <w:rPr>
          <w:b/>
          <w:bCs/>
          <w:i/>
          <w:iCs/>
        </w:rPr>
        <w:t>law</w:t>
      </w:r>
      <w:r w:rsidR="00781BF6" w:rsidRPr="00781BF6">
        <w:rPr>
          <w:b/>
          <w:bCs/>
          <w:i/>
          <w:iCs/>
        </w:rPr>
        <w:t>s of war</w:t>
      </w:r>
      <w:r w:rsidRPr="00DC5C39">
        <w:rPr>
          <w:b/>
          <w:bCs/>
          <w:i/>
          <w:iCs/>
        </w:rPr>
        <w:t xml:space="preserve"> must be preserved and carefully applied giving appropriate interpretation to the challenges of asymmetric warfare</w:t>
      </w:r>
      <w:r w:rsidRPr="00DC5C39">
        <w:rPr>
          <w:i/>
          <w:iCs/>
        </w:rPr>
        <w:t>.</w:t>
      </w:r>
      <w:r w:rsidR="00804A31" w:rsidRPr="00804A31">
        <w:t>”</w:t>
      </w:r>
      <w:r w:rsidR="00DC5C39">
        <w:rPr>
          <w:rStyle w:val="FootnoteReference"/>
          <w:i/>
          <w:iCs/>
        </w:rPr>
        <w:footnoteReference w:id="19"/>
      </w:r>
    </w:p>
    <w:p w14:paraId="56A723CF" w14:textId="7970FC0C" w:rsidR="00E76492" w:rsidRDefault="00E76492" w:rsidP="00781BF6">
      <w:pPr>
        <w:spacing w:line="360" w:lineRule="auto"/>
        <w:jc w:val="both"/>
      </w:pPr>
      <w:r>
        <w:t>The complexity noted by Dr. Mandelblit, and the question of whether the new tools are indeed in line with international law</w:t>
      </w:r>
      <w:r w:rsidR="00804A31">
        <w:t>,</w:t>
      </w:r>
      <w:r>
        <w:t xml:space="preserve"> or whether there is another appropriate interpretation </w:t>
      </w:r>
      <w:r w:rsidR="00781BF6">
        <w:t>for the purposes of</w:t>
      </w:r>
      <w:r>
        <w:t xml:space="preserve"> the fight against terrorism,</w:t>
      </w:r>
      <w:r w:rsidR="00CF2FEB">
        <w:rPr>
          <w:rStyle w:val="FootnoteReference"/>
        </w:rPr>
        <w:footnoteReference w:id="20"/>
      </w:r>
      <w:r>
        <w:t xml:space="preserve"> is the purpose of this chapter.</w:t>
      </w:r>
    </w:p>
    <w:p w14:paraId="65158DA5" w14:textId="32320C2F" w:rsidR="00E76492" w:rsidRDefault="00E76492" w:rsidP="00EA26F5">
      <w:pPr>
        <w:spacing w:line="360" w:lineRule="auto"/>
        <w:jc w:val="both"/>
      </w:pPr>
      <w:r>
        <w:lastRenderedPageBreak/>
        <w:t xml:space="preserve">As mentioned, the </w:t>
      </w:r>
      <w:bookmarkStart w:id="1" w:name="_Hlk73333127"/>
      <w:r>
        <w:t xml:space="preserve">security </w:t>
      </w:r>
      <w:r w:rsidR="00EA26F5">
        <w:t>apparatus</w:t>
      </w:r>
      <w:bookmarkEnd w:id="1"/>
      <w:r w:rsidR="00EA26F5">
        <w:t xml:space="preserve"> is employing </w:t>
      </w:r>
      <w:r>
        <w:t xml:space="preserve">a </w:t>
      </w:r>
      <w:r w:rsidR="00EA26F5">
        <w:t xml:space="preserve">high degree </w:t>
      </w:r>
      <w:r>
        <w:t xml:space="preserve">of creativity. On the one hand, it must deal with growing terrorist threats, and on the other, it must not deviate from the </w:t>
      </w:r>
      <w:r w:rsidR="00804A31">
        <w:t xml:space="preserve">demands </w:t>
      </w:r>
      <w:r>
        <w:t xml:space="preserve">of the law. Known </w:t>
      </w:r>
      <w:r w:rsidR="00EA26F5">
        <w:t xml:space="preserve">to </w:t>
      </w:r>
      <w:r>
        <w:t xml:space="preserve">all </w:t>
      </w:r>
      <w:r w:rsidR="00EA26F5">
        <w:t xml:space="preserve">is the </w:t>
      </w:r>
      <w:r>
        <w:t xml:space="preserve">famous statement of President (retired) Barak in the High Court </w:t>
      </w:r>
      <w:r w:rsidR="00EA26F5">
        <w:t xml:space="preserve">Justice case </w:t>
      </w:r>
      <w:r>
        <w:t>of the Public Committee Against Torture in Israel:</w:t>
      </w:r>
      <w:r w:rsidR="00CF2FEB">
        <w:rPr>
          <w:rStyle w:val="FootnoteReference"/>
        </w:rPr>
        <w:footnoteReference w:id="21"/>
      </w:r>
    </w:p>
    <w:p w14:paraId="06E7DDCB" w14:textId="450A3141" w:rsidR="00E76492" w:rsidRPr="00CF2FEB" w:rsidRDefault="00EA26F5" w:rsidP="00CF2FEB">
      <w:pPr>
        <w:ind w:left="1134" w:right="1134"/>
        <w:jc w:val="both"/>
        <w:rPr>
          <w:i/>
          <w:iCs/>
        </w:rPr>
      </w:pPr>
      <w:r>
        <w:rPr>
          <w:i/>
          <w:iCs/>
        </w:rPr>
        <w:t>“</w:t>
      </w:r>
      <w:r w:rsidR="00E76492" w:rsidRPr="00CF2FEB">
        <w:rPr>
          <w:i/>
          <w:iCs/>
        </w:rPr>
        <w:t xml:space="preserve">This is the fate of a democracy, in which not all means are kosher, and not all methods </w:t>
      </w:r>
      <w:r>
        <w:rPr>
          <w:i/>
          <w:iCs/>
        </w:rPr>
        <w:t xml:space="preserve">employed </w:t>
      </w:r>
      <w:r w:rsidR="00E76492" w:rsidRPr="00CF2FEB">
        <w:rPr>
          <w:i/>
          <w:iCs/>
        </w:rPr>
        <w:t xml:space="preserve">by its enemies are </w:t>
      </w:r>
      <w:r>
        <w:rPr>
          <w:i/>
          <w:iCs/>
        </w:rPr>
        <w:t xml:space="preserve">avenues </w:t>
      </w:r>
      <w:r w:rsidR="00E76492" w:rsidRPr="00CF2FEB">
        <w:rPr>
          <w:i/>
          <w:iCs/>
        </w:rPr>
        <w:t xml:space="preserve">open to it. </w:t>
      </w:r>
      <w:r>
        <w:rPr>
          <w:i/>
          <w:iCs/>
        </w:rPr>
        <w:t>A d</w:t>
      </w:r>
      <w:r w:rsidR="00E76492" w:rsidRPr="00CF2FEB">
        <w:rPr>
          <w:i/>
          <w:iCs/>
        </w:rPr>
        <w:t xml:space="preserve">emocracy often fights </w:t>
      </w:r>
      <w:r>
        <w:rPr>
          <w:i/>
          <w:iCs/>
        </w:rPr>
        <w:t xml:space="preserve">with </w:t>
      </w:r>
      <w:r w:rsidR="00E76492" w:rsidRPr="00CF2FEB">
        <w:rPr>
          <w:i/>
          <w:iCs/>
        </w:rPr>
        <w:t xml:space="preserve">one of its hands tied </w:t>
      </w:r>
      <w:r>
        <w:rPr>
          <w:i/>
          <w:iCs/>
        </w:rPr>
        <w:t xml:space="preserve">behind its </w:t>
      </w:r>
      <w:r w:rsidR="00E76492" w:rsidRPr="00CF2FEB">
        <w:rPr>
          <w:i/>
          <w:iCs/>
        </w:rPr>
        <w:t xml:space="preserve">back. Nonetheless, </w:t>
      </w:r>
      <w:r>
        <w:rPr>
          <w:i/>
          <w:iCs/>
        </w:rPr>
        <w:t xml:space="preserve">the </w:t>
      </w:r>
      <w:r w:rsidR="00E76492" w:rsidRPr="00CF2FEB">
        <w:rPr>
          <w:i/>
          <w:iCs/>
        </w:rPr>
        <w:t xml:space="preserve">democracy has the upper hand, since </w:t>
      </w:r>
      <w:r>
        <w:rPr>
          <w:i/>
          <w:iCs/>
        </w:rPr>
        <w:t xml:space="preserve">protecting </w:t>
      </w:r>
      <w:r w:rsidR="00E76492" w:rsidRPr="00CF2FEB">
        <w:rPr>
          <w:i/>
          <w:iCs/>
        </w:rPr>
        <w:t>the rule of law</w:t>
      </w:r>
      <w:r>
        <w:rPr>
          <w:i/>
          <w:iCs/>
        </w:rPr>
        <w:t>,</w:t>
      </w:r>
      <w:r w:rsidR="00E76492" w:rsidRPr="00CF2FEB">
        <w:rPr>
          <w:i/>
          <w:iCs/>
        </w:rPr>
        <w:t xml:space="preserve"> and the recognition of individual freedoms are important component</w:t>
      </w:r>
      <w:r>
        <w:rPr>
          <w:i/>
          <w:iCs/>
        </w:rPr>
        <w:t>s</w:t>
      </w:r>
      <w:r w:rsidR="00E76492" w:rsidRPr="00CF2FEB">
        <w:rPr>
          <w:i/>
          <w:iCs/>
        </w:rPr>
        <w:t xml:space="preserve"> </w:t>
      </w:r>
      <w:r>
        <w:rPr>
          <w:i/>
          <w:iCs/>
        </w:rPr>
        <w:t xml:space="preserve">in </w:t>
      </w:r>
      <w:r w:rsidR="00E76492" w:rsidRPr="00CF2FEB">
        <w:rPr>
          <w:i/>
          <w:iCs/>
        </w:rPr>
        <w:t>its concept of security.</w:t>
      </w:r>
      <w:r w:rsidRPr="00EA26F5">
        <w:t>”</w:t>
      </w:r>
      <w:r w:rsidR="00CF2FEB">
        <w:rPr>
          <w:rStyle w:val="FootnoteReference"/>
          <w:i/>
          <w:iCs/>
        </w:rPr>
        <w:footnoteReference w:id="22"/>
      </w:r>
    </w:p>
    <w:p w14:paraId="083468FA" w14:textId="1BA88A70" w:rsidR="00E76492" w:rsidRDefault="00EA26F5" w:rsidP="00EA26F5">
      <w:pPr>
        <w:spacing w:line="360" w:lineRule="auto"/>
        <w:jc w:val="both"/>
      </w:pPr>
      <w:r>
        <w:t>Thus</w:t>
      </w:r>
      <w:r w:rsidR="00E76492">
        <w:t xml:space="preserve">, we would now like to examine the </w:t>
      </w:r>
      <w:r>
        <w:t xml:space="preserve">propriety </w:t>
      </w:r>
      <w:r w:rsidR="00E76492">
        <w:t xml:space="preserve">of a number of new creative tools, which are </w:t>
      </w:r>
      <w:r>
        <w:t xml:space="preserve">employed by </w:t>
      </w:r>
      <w:r w:rsidR="00E76492">
        <w:t xml:space="preserve">the </w:t>
      </w:r>
      <w:r>
        <w:t xml:space="preserve">security apparatus, </w:t>
      </w:r>
      <w:r w:rsidR="00E76492">
        <w:t xml:space="preserve">and their </w:t>
      </w:r>
      <w:r>
        <w:t xml:space="preserve">correlation to </w:t>
      </w:r>
      <w:r w:rsidR="00E76492">
        <w:t xml:space="preserve">international law (and the principles </w:t>
      </w:r>
      <w:r>
        <w:t xml:space="preserve">stated </w:t>
      </w:r>
      <w:r w:rsidR="00E76492">
        <w:t xml:space="preserve">by President Barak and Justice Cohen cited above). </w:t>
      </w:r>
      <w:r w:rsidR="00A5597F">
        <w:t>Naturally,</w:t>
      </w:r>
      <w:r w:rsidR="00E76492">
        <w:t xml:space="preserve"> each new tool has its own law, and th</w:t>
      </w:r>
      <w:r w:rsidR="00804A31">
        <w:t>e</w:t>
      </w:r>
      <w:r w:rsidR="00E76492">
        <w:t xml:space="preserve"> question cannot be discussed as theoretical, without a case study. In addition, it is clear that in this context, it is not possible to discuss all the existing new tools.</w:t>
      </w:r>
      <w:r w:rsidR="00CF2FEB">
        <w:rPr>
          <w:rStyle w:val="FootnoteReference"/>
        </w:rPr>
        <w:footnoteReference w:id="23"/>
      </w:r>
      <w:r w:rsidR="00E76492">
        <w:t xml:space="preserve"> Therefore, I would like to introduce a number of issues of principle, and then </w:t>
      </w:r>
      <w:r w:rsidR="00EE7E13">
        <w:t>analyse</w:t>
      </w:r>
      <w:r w:rsidR="00E76492">
        <w:t xml:space="preserve"> one of the tools as a case study. After much thought, I chose to examine the issue of </w:t>
      </w:r>
      <w:r w:rsidR="00804A31">
        <w:t xml:space="preserve">holding </w:t>
      </w:r>
      <w:r w:rsidR="00E76492">
        <w:t xml:space="preserve">the </w:t>
      </w:r>
      <w:r>
        <w:t>corpses</w:t>
      </w:r>
      <w:r w:rsidR="00E76492">
        <w:t xml:space="preserve">, </w:t>
      </w:r>
      <w:r w:rsidRPr="00A10D4B">
        <w:rPr>
          <w:i/>
          <w:iCs/>
        </w:rPr>
        <w:t>inter alia</w:t>
      </w:r>
      <w:r w:rsidR="00E76492">
        <w:t xml:space="preserve">, in light of the recent ruling </w:t>
      </w:r>
      <w:r>
        <w:t>o</w:t>
      </w:r>
      <w:r w:rsidR="00E76492">
        <w:t xml:space="preserve">n this </w:t>
      </w:r>
      <w:r>
        <w:t xml:space="preserve">point </w:t>
      </w:r>
      <w:r w:rsidR="00E76492">
        <w:t xml:space="preserve">in the </w:t>
      </w:r>
      <w:r>
        <w:t>Re</w:t>
      </w:r>
      <w:r w:rsidR="00E76492">
        <w:t xml:space="preserve">hearing </w:t>
      </w:r>
      <w:r>
        <w:t xml:space="preserve">of </w:t>
      </w:r>
      <w:r w:rsidR="00E76492">
        <w:t>the Ali</w:t>
      </w:r>
      <w:r>
        <w:t>y</w:t>
      </w:r>
      <w:r w:rsidR="00E76492">
        <w:t xml:space="preserve">an case. Before I discuss the </w:t>
      </w:r>
      <w:r>
        <w:t xml:space="preserve">tool of </w:t>
      </w:r>
      <w:r w:rsidR="00BE3C38">
        <w:t xml:space="preserve">holding </w:t>
      </w:r>
      <w:r>
        <w:t xml:space="preserve">the </w:t>
      </w:r>
      <w:r w:rsidR="00E76492">
        <w:t>corpses, I would like to point out two particularly problematic characteristics, which, on the face of it, may exist in the new tools I presented in the previous chapters:</w:t>
      </w:r>
    </w:p>
    <w:p w14:paraId="5DABE316" w14:textId="1BD4ED55" w:rsidR="00E76492" w:rsidRPr="003E7C29" w:rsidRDefault="00E76492" w:rsidP="00EA26F5">
      <w:pPr>
        <w:spacing w:line="360" w:lineRule="auto"/>
        <w:ind w:left="720"/>
        <w:jc w:val="both"/>
        <w:rPr>
          <w:b/>
          <w:bCs/>
          <w:u w:val="single"/>
        </w:rPr>
      </w:pPr>
      <w:r w:rsidRPr="003E7C29">
        <w:rPr>
          <w:b/>
          <w:bCs/>
          <w:u w:val="single"/>
        </w:rPr>
        <w:t xml:space="preserve">A. Collective </w:t>
      </w:r>
      <w:r w:rsidR="00EA26F5" w:rsidRPr="003E7C29">
        <w:rPr>
          <w:b/>
          <w:bCs/>
          <w:u w:val="single"/>
        </w:rPr>
        <w:t>P</w:t>
      </w:r>
      <w:r w:rsidRPr="003E7C29">
        <w:rPr>
          <w:b/>
          <w:bCs/>
          <w:u w:val="single"/>
        </w:rPr>
        <w:t>unishment</w:t>
      </w:r>
    </w:p>
    <w:p w14:paraId="26339989" w14:textId="5E7DB67C" w:rsidR="00E76492" w:rsidRDefault="003E7C29" w:rsidP="003E7C29">
      <w:pPr>
        <w:spacing w:line="360" w:lineRule="auto"/>
        <w:ind w:left="720"/>
        <w:jc w:val="both"/>
      </w:pPr>
      <w:r w:rsidRPr="003E7C29">
        <w:t xml:space="preserve">It is no secret </w:t>
      </w:r>
      <w:r w:rsidR="00E76492" w:rsidRPr="003E7C29">
        <w:t xml:space="preserve">that international law prohibits collective punishment. The difficulty </w:t>
      </w:r>
      <w:r w:rsidR="00BE3C38">
        <w:t xml:space="preserve">inherent in </w:t>
      </w:r>
      <w:r w:rsidR="00E76492" w:rsidRPr="003E7C29">
        <w:t>collective punishment and the sweeping opposition to its use, are not matter</w:t>
      </w:r>
      <w:r>
        <w:t>s</w:t>
      </w:r>
      <w:r w:rsidR="00E76492" w:rsidRPr="003E7C29">
        <w:t xml:space="preserve"> </w:t>
      </w:r>
      <w:r>
        <w:t xml:space="preserve">that arose </w:t>
      </w:r>
      <w:r w:rsidR="00E76492" w:rsidRPr="003E7C29">
        <w:t>only recent</w:t>
      </w:r>
      <w:r>
        <w:t>ly</w:t>
      </w:r>
      <w:r w:rsidR="00E76492" w:rsidRPr="003E7C29">
        <w:t xml:space="preserve">. From ancient times, one can find ancient objections to collective punishment. For example, in the famous story of the city of Sodom, which was known as a city of the wicked destined for destruction. According to the </w:t>
      </w:r>
      <w:r>
        <w:t xml:space="preserve">story </w:t>
      </w:r>
      <w:r w:rsidR="00E76492" w:rsidRPr="003E7C29">
        <w:t>in the book of Genesis, Abraham</w:t>
      </w:r>
      <w:r w:rsidR="00BE3C38">
        <w:t>,</w:t>
      </w:r>
      <w:r w:rsidR="00E76492" w:rsidRPr="003E7C29">
        <w:t xml:space="preserve"> our </w:t>
      </w:r>
      <w:r>
        <w:t>fore</w:t>
      </w:r>
      <w:r w:rsidR="00E76492" w:rsidRPr="003E7C29">
        <w:t>father</w:t>
      </w:r>
      <w:r w:rsidR="00BE3C38">
        <w:t>,</w:t>
      </w:r>
      <w:r w:rsidR="00E76492" w:rsidRPr="003E7C29">
        <w:t xml:space="preserve"> turns to </w:t>
      </w:r>
      <w:r w:rsidR="00A5597F" w:rsidRPr="003E7C29">
        <w:t>God</w:t>
      </w:r>
      <w:r>
        <w:t xml:space="preserve"> and pleads with Him:</w:t>
      </w:r>
    </w:p>
    <w:p w14:paraId="2495EEBE" w14:textId="346D8767" w:rsidR="00E76492" w:rsidRDefault="003E7C29" w:rsidP="009F0ABD">
      <w:pPr>
        <w:pStyle w:val="NormalWeb"/>
        <w:ind w:left="1440"/>
        <w:jc w:val="both"/>
      </w:pPr>
      <w:bookmarkStart w:id="2" w:name="top"/>
      <w:r w:rsidRPr="003E7C29">
        <w:t>“</w:t>
      </w:r>
      <w:r w:rsidRPr="003E7C29">
        <w:rPr>
          <w:rFonts w:asciiTheme="minorBidi" w:hAnsiTheme="minorBidi" w:cstheme="minorBidi"/>
        </w:rPr>
        <w:t>Far be it from you to do such a thing, to slay the righteous with the wicked, so that the righteous fare as the wicked! Far be that from you! Shall not the Judge of all the earth do what is just?</w:t>
      </w:r>
      <w:bookmarkEnd w:id="2"/>
      <w:r>
        <w:t>”</w:t>
      </w:r>
      <w:r w:rsidR="00CF2FEB">
        <w:rPr>
          <w:rStyle w:val="FootnoteReference"/>
        </w:rPr>
        <w:footnoteReference w:id="24"/>
      </w:r>
    </w:p>
    <w:p w14:paraId="26F4BDED" w14:textId="1899BEA0" w:rsidR="00E76492" w:rsidRDefault="003E7C29" w:rsidP="003E7C29">
      <w:pPr>
        <w:spacing w:line="360" w:lineRule="auto"/>
        <w:ind w:left="720"/>
        <w:jc w:val="both"/>
      </w:pPr>
      <w:r>
        <w:lastRenderedPageBreak/>
        <w:t xml:space="preserve">Words to </w:t>
      </w:r>
      <w:r w:rsidR="00E76492">
        <w:t xml:space="preserve">similar </w:t>
      </w:r>
      <w:r>
        <w:t xml:space="preserve">effect </w:t>
      </w:r>
      <w:r w:rsidR="00E76492">
        <w:t xml:space="preserve">were said by the leaders of the nation, </w:t>
      </w:r>
      <w:r w:rsidR="00A5597F">
        <w:t>Moses</w:t>
      </w:r>
      <w:r>
        <w:t xml:space="preserve"> </w:t>
      </w:r>
      <w:r w:rsidR="00E76492">
        <w:t>and Aaron, to G</w:t>
      </w:r>
      <w:r>
        <w:t>o</w:t>
      </w:r>
      <w:r w:rsidR="00E76492">
        <w:t xml:space="preserve">d, during the crisis that befell the people in the affair of </w:t>
      </w:r>
      <w:proofErr w:type="spellStart"/>
      <w:r w:rsidR="00E76492">
        <w:t>Korach</w:t>
      </w:r>
      <w:proofErr w:type="spellEnd"/>
      <w:r w:rsidR="00E76492">
        <w:t xml:space="preserve"> and his </w:t>
      </w:r>
      <w:r>
        <w:t>community</w:t>
      </w:r>
      <w:r w:rsidR="00E76492">
        <w:t>:</w:t>
      </w:r>
    </w:p>
    <w:p w14:paraId="1626EAD7" w14:textId="16D0A309" w:rsidR="00E76492" w:rsidRDefault="00EE7E13" w:rsidP="009F0ABD">
      <w:pPr>
        <w:ind w:left="720" w:firstLine="720"/>
        <w:jc w:val="both"/>
      </w:pPr>
      <w:r w:rsidRPr="00EE7E13">
        <w:rPr>
          <w:i/>
          <w:iCs/>
        </w:rPr>
        <w:t>“</w:t>
      </w:r>
      <w:r w:rsidR="003E7C29">
        <w:rPr>
          <w:rFonts w:asciiTheme="minorBidi" w:hAnsiTheme="minorBidi"/>
          <w:color w:val="000000"/>
          <w:shd w:val="clear" w:color="auto" w:fill="FFFFFF"/>
        </w:rPr>
        <w:t>W</w:t>
      </w:r>
      <w:r w:rsidR="003E7C29" w:rsidRPr="003E7C29">
        <w:rPr>
          <w:rFonts w:asciiTheme="minorBidi" w:hAnsiTheme="minorBidi"/>
          <w:color w:val="000000"/>
          <w:shd w:val="clear" w:color="auto" w:fill="FFFFFF"/>
        </w:rPr>
        <w:t>ill you be angry with the entire assembly when only one man sins?</w:t>
      </w:r>
      <w:r w:rsidRPr="00EE7E13">
        <w:rPr>
          <w:i/>
          <w:iCs/>
        </w:rPr>
        <w:t>”</w:t>
      </w:r>
      <w:r w:rsidR="00CF2FEB">
        <w:rPr>
          <w:rStyle w:val="FootnoteReference"/>
        </w:rPr>
        <w:footnoteReference w:id="25"/>
      </w:r>
    </w:p>
    <w:p w14:paraId="6E0C075B" w14:textId="7143B8DC" w:rsidR="00E76492" w:rsidRDefault="00E76492" w:rsidP="003E7C29">
      <w:pPr>
        <w:spacing w:line="360" w:lineRule="auto"/>
        <w:ind w:left="720"/>
        <w:jc w:val="both"/>
      </w:pPr>
      <w:r>
        <w:t xml:space="preserve">As stated, the prohibition </w:t>
      </w:r>
      <w:r w:rsidR="003E7C29">
        <w:t xml:space="preserve">against </w:t>
      </w:r>
      <w:r>
        <w:t xml:space="preserve">collective punishment is repeated in many sources </w:t>
      </w:r>
      <w:r w:rsidR="003E7C29">
        <w:t xml:space="preserve">of </w:t>
      </w:r>
      <w:r>
        <w:t xml:space="preserve">international law. </w:t>
      </w:r>
      <w:r w:rsidR="003E7C29">
        <w:t>Amongst which is</w:t>
      </w:r>
      <w:r>
        <w:t>:</w:t>
      </w:r>
    </w:p>
    <w:p w14:paraId="5E831250" w14:textId="77777777" w:rsidR="00E76492" w:rsidRDefault="00E76492" w:rsidP="003E7C29">
      <w:pPr>
        <w:spacing w:line="360" w:lineRule="auto"/>
        <w:ind w:left="720"/>
        <w:jc w:val="both"/>
      </w:pPr>
      <w:r>
        <w:t>Article 33 of the Fourth Geneva Convention states that:</w:t>
      </w:r>
    </w:p>
    <w:p w14:paraId="65626266" w14:textId="1A992054" w:rsidR="00E76492" w:rsidRPr="00CF2FEB" w:rsidRDefault="003E7C29" w:rsidP="00EA26F5">
      <w:pPr>
        <w:ind w:left="1854" w:right="1134"/>
        <w:jc w:val="both"/>
        <w:rPr>
          <w:i/>
          <w:iCs/>
        </w:rPr>
      </w:pPr>
      <w:r>
        <w:rPr>
          <w:i/>
          <w:iCs/>
        </w:rPr>
        <w:t>“</w:t>
      </w:r>
      <w:r w:rsidR="00E76492" w:rsidRPr="00CF2FEB">
        <w:rPr>
          <w:i/>
          <w:iCs/>
        </w:rPr>
        <w:t>No protected person may be punished for an offense he or she has not personally committed. Collective penalties and likewise all measures of intimidation or of terrorism are prohibited.</w:t>
      </w:r>
      <w:r>
        <w:rPr>
          <w:i/>
          <w:iCs/>
        </w:rPr>
        <w:t>”</w:t>
      </w:r>
      <w:r w:rsidR="00CF2FEB">
        <w:rPr>
          <w:rStyle w:val="FootnoteReference"/>
          <w:i/>
          <w:iCs/>
        </w:rPr>
        <w:footnoteReference w:id="26"/>
      </w:r>
    </w:p>
    <w:p w14:paraId="0A65CD02" w14:textId="283317D8" w:rsidR="00E76492" w:rsidRDefault="00E76492" w:rsidP="003E7C29">
      <w:pPr>
        <w:spacing w:line="360" w:lineRule="auto"/>
        <w:ind w:left="720"/>
        <w:jc w:val="both"/>
      </w:pPr>
      <w:r>
        <w:t>Article 50 of the Hague Regulations:</w:t>
      </w:r>
      <w:r w:rsidR="00CF2FEB">
        <w:rPr>
          <w:rStyle w:val="FootnoteReference"/>
        </w:rPr>
        <w:footnoteReference w:id="27"/>
      </w:r>
    </w:p>
    <w:p w14:paraId="7E76730E" w14:textId="6D3FDE23" w:rsidR="00E76492" w:rsidRPr="00CF2FEB" w:rsidRDefault="003E7C29" w:rsidP="00EA26F5">
      <w:pPr>
        <w:ind w:left="1854" w:right="1134"/>
        <w:jc w:val="both"/>
        <w:rPr>
          <w:i/>
          <w:iCs/>
        </w:rPr>
      </w:pPr>
      <w:r>
        <w:rPr>
          <w:i/>
          <w:iCs/>
        </w:rPr>
        <w:t>“</w:t>
      </w:r>
      <w:r w:rsidR="00E76492" w:rsidRPr="00CF2FEB">
        <w:rPr>
          <w:i/>
          <w:iCs/>
        </w:rPr>
        <w:t>No general penalty, pecuniary or otherwise, shall be inflicted upon the population on account of the acts of individuals for which they cannot be regarded as jointly and severally responsible.</w:t>
      </w:r>
      <w:r>
        <w:rPr>
          <w:i/>
          <w:iCs/>
        </w:rPr>
        <w:t>”</w:t>
      </w:r>
    </w:p>
    <w:p w14:paraId="2128DC2B" w14:textId="538511D9" w:rsidR="00E76492" w:rsidRDefault="00E76492" w:rsidP="003E7C29">
      <w:pPr>
        <w:spacing w:line="360" w:lineRule="auto"/>
        <w:ind w:left="720"/>
        <w:jc w:val="both"/>
      </w:pPr>
      <w:r>
        <w:t xml:space="preserve">Rules 102 and 103, to the </w:t>
      </w:r>
      <w:r w:rsidR="003E7C29">
        <w:t>R</w:t>
      </w:r>
      <w:r>
        <w:t xml:space="preserve">ules of </w:t>
      </w:r>
      <w:r w:rsidR="00BE3C38">
        <w:t>Customary International Humanitarian Law</w:t>
      </w:r>
      <w:r w:rsidR="00BE3C38">
        <w:t xml:space="preserve"> </w:t>
      </w:r>
      <w:r>
        <w:t xml:space="preserve">of the </w:t>
      </w:r>
      <w:r w:rsidR="00BE3C38">
        <w:t>ICRC</w:t>
      </w:r>
      <w:r>
        <w:t>:</w:t>
      </w:r>
      <w:r w:rsidR="00CF2FEB">
        <w:rPr>
          <w:rStyle w:val="FootnoteReference"/>
        </w:rPr>
        <w:footnoteReference w:id="28"/>
      </w:r>
    </w:p>
    <w:p w14:paraId="249888FE" w14:textId="46143DFF" w:rsidR="00E76492" w:rsidRPr="00CF2FEB" w:rsidRDefault="003E7C29" w:rsidP="00EA26F5">
      <w:pPr>
        <w:ind w:left="1854" w:right="1134"/>
        <w:jc w:val="both"/>
        <w:rPr>
          <w:i/>
          <w:iCs/>
        </w:rPr>
      </w:pPr>
      <w:r>
        <w:rPr>
          <w:i/>
          <w:iCs/>
        </w:rPr>
        <w:t>“</w:t>
      </w:r>
      <w:r w:rsidR="00E76492" w:rsidRPr="00CF2FEB">
        <w:rPr>
          <w:i/>
          <w:iCs/>
        </w:rPr>
        <w:t>No one may be convicted of an offense except on the basis of</w:t>
      </w:r>
      <w:r w:rsidR="00CF2FEB" w:rsidRPr="00CF2FEB">
        <w:rPr>
          <w:i/>
          <w:iCs/>
        </w:rPr>
        <w:t xml:space="preserve"> </w:t>
      </w:r>
      <w:r w:rsidR="00E76492" w:rsidRPr="00CF2FEB">
        <w:rPr>
          <w:i/>
          <w:iCs/>
        </w:rPr>
        <w:t>individual criminal responsibility.</w:t>
      </w:r>
      <w:r>
        <w:rPr>
          <w:i/>
          <w:iCs/>
        </w:rPr>
        <w:t>”</w:t>
      </w:r>
      <w:r w:rsidR="00CF2FEB">
        <w:rPr>
          <w:rStyle w:val="FootnoteReference"/>
          <w:i/>
          <w:iCs/>
        </w:rPr>
        <w:footnoteReference w:id="29"/>
      </w:r>
    </w:p>
    <w:p w14:paraId="0ACC31E6" w14:textId="68F269B0" w:rsidR="00E76492" w:rsidRDefault="00EE7E13" w:rsidP="00EA26F5">
      <w:pPr>
        <w:ind w:left="1854"/>
        <w:jc w:val="both"/>
      </w:pPr>
      <w:r w:rsidRPr="00EE7E13">
        <w:rPr>
          <w:i/>
          <w:iCs/>
        </w:rPr>
        <w:t>“</w:t>
      </w:r>
      <w:r w:rsidR="00E76492" w:rsidRPr="00BE3C38">
        <w:rPr>
          <w:i/>
          <w:iCs/>
        </w:rPr>
        <w:t>Collective punishments are prohibited</w:t>
      </w:r>
      <w:r w:rsidR="00E76492">
        <w:t>.</w:t>
      </w:r>
      <w:r w:rsidR="009F0ABD">
        <w:t>”</w:t>
      </w:r>
      <w:r w:rsidR="00CF2FEB">
        <w:rPr>
          <w:rStyle w:val="FootnoteReference"/>
        </w:rPr>
        <w:footnoteReference w:id="30"/>
      </w:r>
    </w:p>
    <w:p w14:paraId="08CD8440" w14:textId="330A9078" w:rsidR="00E76492" w:rsidRDefault="00E76492" w:rsidP="003E7C29">
      <w:pPr>
        <w:spacing w:line="360" w:lineRule="auto"/>
        <w:ind w:left="720"/>
        <w:jc w:val="both"/>
      </w:pPr>
      <w:r>
        <w:t xml:space="preserve">Also, the prohibition </w:t>
      </w:r>
      <w:r w:rsidR="009F0ABD">
        <w:t xml:space="preserve">against </w:t>
      </w:r>
      <w:r>
        <w:t>collective punishment can be found as part of the domestic law of most countries of the world, in legislation</w:t>
      </w:r>
      <w:r w:rsidR="009F0ABD">
        <w:t>,</w:t>
      </w:r>
      <w:r>
        <w:t xml:space="preserve"> or in military guides.</w:t>
      </w:r>
      <w:r w:rsidR="00CF2FEB">
        <w:rPr>
          <w:rStyle w:val="FootnoteReference"/>
        </w:rPr>
        <w:footnoteReference w:id="31"/>
      </w:r>
      <w:r>
        <w:t xml:space="preserve"> The ban on collective punishment did not </w:t>
      </w:r>
      <w:r w:rsidR="009F0ABD">
        <w:t xml:space="preserve">pass by </w:t>
      </w:r>
      <w:r>
        <w:t>Israeli law</w:t>
      </w:r>
      <w:r w:rsidR="009F0ABD">
        <w:t>,</w:t>
      </w:r>
      <w:r>
        <w:t xml:space="preserve"> and was ruled invalid, time and again, by the Supreme Court.</w:t>
      </w:r>
      <w:r w:rsidR="00CF2FEB">
        <w:rPr>
          <w:rStyle w:val="FootnoteReference"/>
        </w:rPr>
        <w:footnoteReference w:id="32"/>
      </w:r>
    </w:p>
    <w:p w14:paraId="78776CC7" w14:textId="67FE9078" w:rsidR="00E76492" w:rsidRDefault="00E76492" w:rsidP="009F0ABD">
      <w:pPr>
        <w:spacing w:line="360" w:lineRule="auto"/>
        <w:ind w:left="720"/>
        <w:jc w:val="both"/>
      </w:pPr>
      <w:r>
        <w:lastRenderedPageBreak/>
        <w:t xml:space="preserve">As </w:t>
      </w:r>
      <w:r w:rsidR="00BE3C38">
        <w:t xml:space="preserve">I </w:t>
      </w:r>
      <w:r>
        <w:t>will explain</w:t>
      </w:r>
      <w:r w:rsidR="00BE3C38">
        <w:t xml:space="preserve"> </w:t>
      </w:r>
      <w:r>
        <w:t>below, collective punishment is one of the most significant challenges fac</w:t>
      </w:r>
      <w:r w:rsidR="009F0ABD">
        <w:t xml:space="preserve">ing </w:t>
      </w:r>
      <w:r>
        <w:t xml:space="preserve">the </w:t>
      </w:r>
      <w:r w:rsidR="009F0ABD">
        <w:t>C</w:t>
      </w:r>
      <w:r>
        <w:t xml:space="preserve">ourts, with regard to the new tools. Moreover, as time goes </w:t>
      </w:r>
      <w:r w:rsidR="00BE3C38">
        <w:t>by</w:t>
      </w:r>
      <w:r>
        <w:t xml:space="preserve">, I believe that there is an increasing use of </w:t>
      </w:r>
      <w:r w:rsidR="009F0ABD">
        <w:t xml:space="preserve">applying </w:t>
      </w:r>
      <w:r>
        <w:t xml:space="preserve">pressure </w:t>
      </w:r>
      <w:r w:rsidR="00BE3C38">
        <w:t xml:space="preserve">on </w:t>
      </w:r>
      <w:r>
        <w:t xml:space="preserve">third parties, who have </w:t>
      </w:r>
      <w:r w:rsidR="009F0ABD">
        <w:t xml:space="preserve">committed </w:t>
      </w:r>
      <w:r>
        <w:t>no</w:t>
      </w:r>
      <w:r w:rsidR="009F0ABD">
        <w:t xml:space="preserve"> </w:t>
      </w:r>
      <w:r>
        <w:t xml:space="preserve">crime, to </w:t>
      </w:r>
      <w:r w:rsidR="009F0ABD">
        <w:t xml:space="preserve">achieve certain </w:t>
      </w:r>
      <w:r>
        <w:t>goals</w:t>
      </w:r>
      <w:r w:rsidR="009F0ABD">
        <w:t>,</w:t>
      </w:r>
      <w:r>
        <w:t xml:space="preserve"> and as a result</w:t>
      </w:r>
      <w:r w:rsidR="009F0ABD">
        <w:t>,</w:t>
      </w:r>
      <w:r>
        <w:t xml:space="preserve"> the practice of collective punishment is increasing.</w:t>
      </w:r>
    </w:p>
    <w:p w14:paraId="274627E3" w14:textId="64C0859E" w:rsidR="00E76492" w:rsidRDefault="00E76492" w:rsidP="009F0ABD">
      <w:pPr>
        <w:spacing w:line="360" w:lineRule="auto"/>
        <w:ind w:left="720"/>
        <w:jc w:val="both"/>
      </w:pPr>
      <w:r>
        <w:t>It can be said</w:t>
      </w:r>
      <w:r w:rsidR="009F0ABD">
        <w:t>,</w:t>
      </w:r>
      <w:r>
        <w:t xml:space="preserve"> that each tool</w:t>
      </w:r>
      <w:r w:rsidR="00BE3C38">
        <w:t xml:space="preserve"> </w:t>
      </w:r>
      <w:r>
        <w:t xml:space="preserve">I mentioned seems to be a </w:t>
      </w:r>
      <w:r w:rsidR="009F0ABD">
        <w:t xml:space="preserve">form of </w:t>
      </w:r>
      <w:r>
        <w:t xml:space="preserve">collective punishment on </w:t>
      </w:r>
      <w:r w:rsidR="009F0ABD">
        <w:t xml:space="preserve">its </w:t>
      </w:r>
      <w:r>
        <w:t>face. Violation of prisoners</w:t>
      </w:r>
      <w:r w:rsidR="00EE7E13" w:rsidRPr="00EE7E13">
        <w:rPr>
          <w:i/>
          <w:iCs/>
        </w:rPr>
        <w:t>’</w:t>
      </w:r>
      <w:r>
        <w:t xml:space="preserve"> rights</w:t>
      </w:r>
      <w:r w:rsidR="00BE3C38">
        <w:t>,</w:t>
      </w:r>
      <w:r>
        <w:t xml:space="preserve"> harms all prisoners, usually due to acts committed by Hamas in Gaza.</w:t>
      </w:r>
      <w:r w:rsidR="00CF2FEB">
        <w:rPr>
          <w:rStyle w:val="FootnoteReference"/>
        </w:rPr>
        <w:footnoteReference w:id="33"/>
      </w:r>
      <w:r>
        <w:t xml:space="preserve"> The possession of the </w:t>
      </w:r>
      <w:r w:rsidR="009F0ABD">
        <w:t xml:space="preserve">corpses </w:t>
      </w:r>
      <w:r>
        <w:t>of terrorists</w:t>
      </w:r>
      <w:r w:rsidR="00BE3C38">
        <w:t xml:space="preserve"> </w:t>
      </w:r>
      <w:r>
        <w:t>harms the</w:t>
      </w:r>
      <w:r w:rsidR="009F0ABD">
        <w:t>ir</w:t>
      </w:r>
      <w:r>
        <w:t xml:space="preserve"> families, for the crime of the terrorist himself</w:t>
      </w:r>
      <w:r w:rsidR="009F0ABD">
        <w:t>,</w:t>
      </w:r>
      <w:r>
        <w:t xml:space="preserve"> or for </w:t>
      </w:r>
      <w:r w:rsidR="009F0ABD">
        <w:t xml:space="preserve">Hamas’ </w:t>
      </w:r>
      <w:r>
        <w:t>crime</w:t>
      </w:r>
      <w:r w:rsidR="009F0ABD">
        <w:t xml:space="preserve"> of </w:t>
      </w:r>
      <w:r>
        <w:t>hold</w:t>
      </w:r>
      <w:r w:rsidR="009F0ABD">
        <w:t xml:space="preserve">ing </w:t>
      </w:r>
      <w:r>
        <w:t xml:space="preserve">the </w:t>
      </w:r>
      <w:r w:rsidR="009F0ABD">
        <w:t xml:space="preserve">corpses </w:t>
      </w:r>
      <w:r>
        <w:t xml:space="preserve">of </w:t>
      </w:r>
      <w:r w:rsidR="009F0ABD">
        <w:t xml:space="preserve">Israeli </w:t>
      </w:r>
      <w:r>
        <w:t>soldiers. Perhaps the most notable case in this regard is the denial of medical treatment to family members of Hamas operatives, which, on the face of it, constitutes severe collective punishment.</w:t>
      </w:r>
    </w:p>
    <w:p w14:paraId="4974EB8F" w14:textId="77777777" w:rsidR="00E76492" w:rsidRDefault="00E76492" w:rsidP="009F0ABD">
      <w:pPr>
        <w:spacing w:line="360" w:lineRule="auto"/>
        <w:ind w:left="720"/>
        <w:jc w:val="both"/>
      </w:pPr>
    </w:p>
    <w:p w14:paraId="257D9A5A" w14:textId="3F22698E" w:rsidR="00E76492" w:rsidRDefault="00E76492" w:rsidP="009F0ABD">
      <w:pPr>
        <w:spacing w:line="360" w:lineRule="auto"/>
        <w:ind w:left="720"/>
        <w:jc w:val="both"/>
      </w:pPr>
      <w:r w:rsidRPr="009F0ABD">
        <w:rPr>
          <w:b/>
          <w:bCs/>
          <w:u w:val="single"/>
        </w:rPr>
        <w:t>B.</w:t>
      </w:r>
      <w:r w:rsidRPr="009F0ABD">
        <w:rPr>
          <w:u w:val="single"/>
        </w:rPr>
        <w:t xml:space="preserve"> </w:t>
      </w:r>
      <w:r w:rsidR="00CF2FEB" w:rsidRPr="00CF2FEB">
        <w:rPr>
          <w:b/>
          <w:bCs/>
          <w:u w:val="single"/>
        </w:rPr>
        <w:t>R</w:t>
      </w:r>
      <w:r w:rsidRPr="00CF2FEB">
        <w:rPr>
          <w:b/>
          <w:bCs/>
          <w:u w:val="single"/>
        </w:rPr>
        <w:t>etroactivity</w:t>
      </w:r>
    </w:p>
    <w:p w14:paraId="5E973A85" w14:textId="73CEF770" w:rsidR="00E76492" w:rsidRDefault="00E76492" w:rsidP="009F0ABD">
      <w:pPr>
        <w:spacing w:line="360" w:lineRule="auto"/>
        <w:ind w:left="720"/>
        <w:jc w:val="both"/>
      </w:pPr>
      <w:r>
        <w:t>International law unequivocally prohibits retroactive punishment. The ban can be found in a variety of places and in different contexts:</w:t>
      </w:r>
    </w:p>
    <w:p w14:paraId="6AACF99F" w14:textId="26383D5C" w:rsidR="00E76492" w:rsidRDefault="00E76492" w:rsidP="009F0ABD">
      <w:pPr>
        <w:spacing w:line="360" w:lineRule="auto"/>
        <w:ind w:left="720"/>
        <w:jc w:val="both"/>
      </w:pPr>
      <w:r>
        <w:t>Article 11 (2) of the Universal Declaration of Human Rights:</w:t>
      </w:r>
      <w:r w:rsidR="00CF2FEB">
        <w:rPr>
          <w:rStyle w:val="FootnoteReference"/>
        </w:rPr>
        <w:footnoteReference w:id="34"/>
      </w:r>
    </w:p>
    <w:p w14:paraId="08F14BE4" w14:textId="7C17BB45" w:rsidR="00E76492" w:rsidRPr="00CF2FEB" w:rsidRDefault="009F0ABD" w:rsidP="00EA26F5">
      <w:pPr>
        <w:ind w:left="1854" w:right="1134"/>
        <w:jc w:val="both"/>
        <w:rPr>
          <w:i/>
          <w:iCs/>
        </w:rPr>
      </w:pPr>
      <w:r>
        <w:rPr>
          <w:i/>
          <w:iCs/>
        </w:rPr>
        <w:t>“</w:t>
      </w:r>
      <w:r w:rsidR="00E76492" w:rsidRPr="00CF2FEB">
        <w:rPr>
          <w:i/>
          <w:iCs/>
        </w:rPr>
        <w:t>No one shall be held guilty of any penal offense on account of any act or omission which did not constitute a penal offense, under national or international law, at the time when it was committed. Nor shall a heavier penalty be imposed than the one that was applicable at the time the penal offense was committed</w:t>
      </w:r>
      <w:r>
        <w:rPr>
          <w:i/>
          <w:iCs/>
        </w:rPr>
        <w:t>.”</w:t>
      </w:r>
    </w:p>
    <w:p w14:paraId="2BF9185C" w14:textId="12B5DD1E" w:rsidR="00E76492" w:rsidRDefault="00E76492" w:rsidP="00EA26F5">
      <w:pPr>
        <w:ind w:left="720"/>
        <w:jc w:val="both"/>
      </w:pPr>
      <w:r>
        <w:t>Article 24 of the Treaty of Rome:</w:t>
      </w:r>
      <w:r w:rsidR="00CF2FEB">
        <w:rPr>
          <w:rStyle w:val="FootnoteReference"/>
        </w:rPr>
        <w:footnoteReference w:id="35"/>
      </w:r>
    </w:p>
    <w:p w14:paraId="0E28538C" w14:textId="76D59B29" w:rsidR="00E76492" w:rsidRPr="0084279E" w:rsidRDefault="009F0ABD" w:rsidP="00EA26F5">
      <w:pPr>
        <w:ind w:left="1854" w:right="1134"/>
        <w:jc w:val="both"/>
        <w:rPr>
          <w:i/>
          <w:iCs/>
        </w:rPr>
      </w:pPr>
      <w:r>
        <w:rPr>
          <w:i/>
          <w:iCs/>
        </w:rPr>
        <w:t>“</w:t>
      </w:r>
      <w:r w:rsidR="00E76492" w:rsidRPr="0084279E">
        <w:rPr>
          <w:i/>
          <w:iCs/>
        </w:rPr>
        <w:t>No person shall be criminally responsible under this Statute for conduct prior to entry into force of the Statute</w:t>
      </w:r>
      <w:r>
        <w:rPr>
          <w:i/>
          <w:iCs/>
        </w:rPr>
        <w:t>.”</w:t>
      </w:r>
    </w:p>
    <w:p w14:paraId="468D10BE" w14:textId="7FD24F4D" w:rsidR="00E76492" w:rsidRDefault="00E76492" w:rsidP="00EA26F5">
      <w:pPr>
        <w:ind w:left="720"/>
        <w:jc w:val="both"/>
      </w:pPr>
      <w:r>
        <w:t>Article 15 (2) of the Convention on Civil and Political Rights:</w:t>
      </w:r>
      <w:r w:rsidR="0084279E">
        <w:rPr>
          <w:rStyle w:val="FootnoteReference"/>
        </w:rPr>
        <w:footnoteReference w:id="36"/>
      </w:r>
    </w:p>
    <w:p w14:paraId="2CC81706" w14:textId="0F4F4959" w:rsidR="00E76492" w:rsidRPr="0084279E" w:rsidRDefault="009F0ABD" w:rsidP="00EA26F5">
      <w:pPr>
        <w:ind w:left="1854" w:right="1134"/>
        <w:jc w:val="both"/>
        <w:rPr>
          <w:i/>
          <w:iCs/>
        </w:rPr>
      </w:pPr>
      <w:r>
        <w:rPr>
          <w:i/>
          <w:iCs/>
        </w:rPr>
        <w:t>“</w:t>
      </w:r>
      <w:r w:rsidR="00E76492" w:rsidRPr="0084279E">
        <w:rPr>
          <w:i/>
          <w:iCs/>
        </w:rPr>
        <w:t xml:space="preserve">Nothing in this article shall prejudice the trial and punishment of any person for any act or omission which, at the time when it was </w:t>
      </w:r>
      <w:r w:rsidR="00E76492" w:rsidRPr="0084279E">
        <w:rPr>
          <w:i/>
          <w:iCs/>
        </w:rPr>
        <w:lastRenderedPageBreak/>
        <w:t>committed, was criminal according to the general principles of law recognized by the community of nations.</w:t>
      </w:r>
      <w:r>
        <w:rPr>
          <w:i/>
          <w:iCs/>
        </w:rPr>
        <w:t>”</w:t>
      </w:r>
    </w:p>
    <w:p w14:paraId="0522BAAC" w14:textId="3E563673" w:rsidR="00E76492" w:rsidRDefault="00E76492" w:rsidP="00EA26F5">
      <w:pPr>
        <w:ind w:left="720"/>
        <w:jc w:val="both"/>
      </w:pPr>
      <w:r>
        <w:t>Article 65 of the Fourth Geneva Convention:</w:t>
      </w:r>
      <w:r w:rsidR="0084279E">
        <w:rPr>
          <w:rStyle w:val="FootnoteReference"/>
        </w:rPr>
        <w:footnoteReference w:id="37"/>
      </w:r>
    </w:p>
    <w:p w14:paraId="206011E2" w14:textId="29A36448" w:rsidR="00E76492" w:rsidRPr="0084279E" w:rsidRDefault="009F0ABD" w:rsidP="00EA26F5">
      <w:pPr>
        <w:ind w:left="1854" w:right="1134"/>
        <w:jc w:val="both"/>
        <w:rPr>
          <w:i/>
          <w:iCs/>
        </w:rPr>
      </w:pPr>
      <w:r>
        <w:rPr>
          <w:i/>
          <w:iCs/>
        </w:rPr>
        <w:t>“</w:t>
      </w:r>
      <w:r w:rsidR="00E76492" w:rsidRPr="0084279E">
        <w:rPr>
          <w:i/>
          <w:iCs/>
        </w:rPr>
        <w:t>The penal provisions enacted by the Occupying Power shall not come into force before they have been published and brought to the knowledge of the inhabitants in their own language. The effect of these penal provisions shall not be retroactive.</w:t>
      </w:r>
      <w:r>
        <w:rPr>
          <w:i/>
          <w:iCs/>
        </w:rPr>
        <w:t>”</w:t>
      </w:r>
    </w:p>
    <w:p w14:paraId="209AC3D3" w14:textId="77777777" w:rsidR="00E76492" w:rsidRDefault="00E76492" w:rsidP="00EA26F5">
      <w:pPr>
        <w:ind w:left="720"/>
        <w:jc w:val="both"/>
      </w:pPr>
    </w:p>
    <w:p w14:paraId="6C573C62" w14:textId="235D4A97" w:rsidR="00E76492" w:rsidRDefault="00E76492" w:rsidP="009F0ABD">
      <w:pPr>
        <w:spacing w:line="360" w:lineRule="auto"/>
        <w:ind w:left="720"/>
        <w:jc w:val="both"/>
      </w:pPr>
      <w:r>
        <w:t xml:space="preserve">Alongside international law, the ban on retroactive punishment can be found in countless legal </w:t>
      </w:r>
      <w:r w:rsidR="00BE3C38">
        <w:t xml:space="preserve">systems </w:t>
      </w:r>
      <w:r>
        <w:t>around the world. For example</w:t>
      </w:r>
      <w:r w:rsidR="00BE3C38">
        <w:t>:</w:t>
      </w:r>
      <w:r>
        <w:t xml:space="preserve"> Italy,</w:t>
      </w:r>
      <w:r w:rsidR="0084279E">
        <w:rPr>
          <w:rStyle w:val="FootnoteReference"/>
        </w:rPr>
        <w:footnoteReference w:id="38"/>
      </w:r>
      <w:r>
        <w:t xml:space="preserve"> South Africa,</w:t>
      </w:r>
      <w:r w:rsidR="0084279E">
        <w:rPr>
          <w:rStyle w:val="FootnoteReference"/>
        </w:rPr>
        <w:footnoteReference w:id="39"/>
      </w:r>
      <w:r>
        <w:t xml:space="preserve"> India,</w:t>
      </w:r>
      <w:r w:rsidR="0084279E">
        <w:rPr>
          <w:rStyle w:val="FootnoteReference"/>
        </w:rPr>
        <w:footnoteReference w:id="40"/>
      </w:r>
      <w:r>
        <w:t xml:space="preserve"> Brazil,</w:t>
      </w:r>
      <w:r w:rsidR="0084279E">
        <w:rPr>
          <w:rStyle w:val="FootnoteReference"/>
        </w:rPr>
        <w:footnoteReference w:id="41"/>
      </w:r>
      <w:r>
        <w:t xml:space="preserve"> the United States,</w:t>
      </w:r>
      <w:r w:rsidR="0084279E">
        <w:rPr>
          <w:rStyle w:val="FootnoteReference"/>
        </w:rPr>
        <w:footnoteReference w:id="42"/>
      </w:r>
      <w:r>
        <w:t xml:space="preserve"> Russia</w:t>
      </w:r>
      <w:r w:rsidR="0084279E">
        <w:rPr>
          <w:rStyle w:val="FootnoteReference"/>
        </w:rPr>
        <w:footnoteReference w:id="43"/>
      </w:r>
      <w:r>
        <w:t xml:space="preserve"> and more.</w:t>
      </w:r>
      <w:r w:rsidR="0084279E">
        <w:rPr>
          <w:rStyle w:val="FootnoteReference"/>
        </w:rPr>
        <w:footnoteReference w:id="44"/>
      </w:r>
    </w:p>
    <w:p w14:paraId="69B4676C" w14:textId="4910DCED" w:rsidR="00E76492" w:rsidRDefault="00E76492" w:rsidP="009F0ABD">
      <w:pPr>
        <w:spacing w:line="360" w:lineRule="auto"/>
        <w:ind w:left="720"/>
        <w:jc w:val="both"/>
      </w:pPr>
      <w:r>
        <w:t>The prohibition also applies by virtue of basic constitutional principles. For example, in Israel, along</w:t>
      </w:r>
      <w:r w:rsidR="00BE3C38">
        <w:t xml:space="preserve">side </w:t>
      </w:r>
      <w:r>
        <w:t xml:space="preserve">the explicit </w:t>
      </w:r>
      <w:r w:rsidR="00BE3C38">
        <w:t xml:space="preserve">prescription by </w:t>
      </w:r>
      <w:r>
        <w:t>law,</w:t>
      </w:r>
      <w:r w:rsidR="005C7609">
        <w:rPr>
          <w:rStyle w:val="FootnoteReference"/>
        </w:rPr>
        <w:footnoteReference w:id="45"/>
      </w:r>
      <w:r>
        <w:t xml:space="preserve"> the prohibition </w:t>
      </w:r>
      <w:r w:rsidR="00247705">
        <w:t>against</w:t>
      </w:r>
      <w:r>
        <w:t xml:space="preserve"> retroactive punishment is </w:t>
      </w:r>
      <w:r w:rsidR="00BE3C38">
        <w:t xml:space="preserve">also </w:t>
      </w:r>
      <w:r>
        <w:t xml:space="preserve">part of the </w:t>
      </w:r>
      <w:r w:rsidR="00247705">
        <w:t>S</w:t>
      </w:r>
      <w:r>
        <w:t>tate</w:t>
      </w:r>
      <w:r w:rsidR="00EE7E13" w:rsidRPr="00EE7E13">
        <w:rPr>
          <w:i/>
          <w:iCs/>
        </w:rPr>
        <w:t>’</w:t>
      </w:r>
      <w:r>
        <w:t>s basic constitutional principles</w:t>
      </w:r>
      <w:r w:rsidR="00BE3C38">
        <w:t xml:space="preserve"> </w:t>
      </w:r>
      <w:r>
        <w:t>within the framework of the principle of the rule of law.</w:t>
      </w:r>
      <w:r w:rsidR="005C7609">
        <w:rPr>
          <w:rStyle w:val="FootnoteReference"/>
        </w:rPr>
        <w:footnoteReference w:id="46"/>
      </w:r>
      <w:r>
        <w:t xml:space="preserve"> In the examples mentioned, the problematic nature of retroactive punishment is very prominent.</w:t>
      </w:r>
      <w:r w:rsidR="005C7609">
        <w:rPr>
          <w:rStyle w:val="FootnoteReference"/>
        </w:rPr>
        <w:footnoteReference w:id="47"/>
      </w:r>
      <w:r>
        <w:t xml:space="preserve"> Imposing new sanctions on prisoners or their families, after they have already committed the offense</w:t>
      </w:r>
      <w:r w:rsidR="00247705">
        <w:t>,</w:t>
      </w:r>
      <w:r>
        <w:t xml:space="preserve"> and they are already in prison, or imposing sanctions on terrorists after their death (as stated, after they have already committed the act), creates real inconvenience and raises serious questions about the legality of the actions.</w:t>
      </w:r>
    </w:p>
    <w:p w14:paraId="2C09C6FB" w14:textId="128269FB" w:rsidR="00E76492" w:rsidRDefault="00E76492" w:rsidP="009F0ABD">
      <w:pPr>
        <w:spacing w:line="360" w:lineRule="auto"/>
        <w:jc w:val="both"/>
      </w:pPr>
      <w:r>
        <w:t>It follows, therefore, that alongside additional challenges that will be discussed later</w:t>
      </w:r>
      <w:r w:rsidR="00247705">
        <w:t>,</w:t>
      </w:r>
      <w:r>
        <w:t xml:space="preserve"> in our </w:t>
      </w:r>
      <w:r w:rsidR="00247705">
        <w:t xml:space="preserve">treatment of </w:t>
      </w:r>
      <w:r>
        <w:t xml:space="preserve">the test case, there are </w:t>
      </w:r>
      <w:r w:rsidR="00A5597F">
        <w:t>two major issues</w:t>
      </w:r>
      <w:r>
        <w:t xml:space="preserve"> of weighty significance, both under international law and under </w:t>
      </w:r>
      <w:r>
        <w:lastRenderedPageBreak/>
        <w:t xml:space="preserve">domestic law, which the new tools will have to deal with, and </w:t>
      </w:r>
      <w:r w:rsidR="00BE3C38">
        <w:t xml:space="preserve">provide </w:t>
      </w:r>
      <w:r>
        <w:t xml:space="preserve">them </w:t>
      </w:r>
      <w:r w:rsidR="00BE3C38">
        <w:t xml:space="preserve">with, </w:t>
      </w:r>
      <w:r w:rsidR="00BE3C38">
        <w:t>as far as possible</w:t>
      </w:r>
      <w:r w:rsidR="009B4DB2">
        <w:t>,</w:t>
      </w:r>
      <w:r w:rsidR="00BE3C38">
        <w:t xml:space="preserve"> </w:t>
      </w:r>
      <w:r>
        <w:t xml:space="preserve">an appropriate legal solution. </w:t>
      </w:r>
      <w:r w:rsidR="00247705">
        <w:t>T</w:t>
      </w:r>
      <w:r>
        <w:t xml:space="preserve">o discuss the </w:t>
      </w:r>
      <w:r w:rsidR="00247705">
        <w:t xml:space="preserve">aforementioned </w:t>
      </w:r>
      <w:r>
        <w:t xml:space="preserve">questions and other issues, I would like to discuss the matter of returning the </w:t>
      </w:r>
      <w:r w:rsidR="00247705">
        <w:t xml:space="preserve">corpses </w:t>
      </w:r>
      <w:r>
        <w:t>as a test case.</w:t>
      </w:r>
    </w:p>
    <w:p w14:paraId="4A35B86A" w14:textId="77777777" w:rsidR="005C7609" w:rsidRDefault="005C7609" w:rsidP="00E76492">
      <w:pPr>
        <w:jc w:val="both"/>
      </w:pPr>
    </w:p>
    <w:p w14:paraId="4A48AD10" w14:textId="77777777" w:rsidR="00247705" w:rsidRDefault="00247705">
      <w:pPr>
        <w:rPr>
          <w:b/>
          <w:bCs/>
          <w:u w:val="single"/>
        </w:rPr>
      </w:pPr>
      <w:r>
        <w:rPr>
          <w:b/>
          <w:bCs/>
          <w:u w:val="single"/>
        </w:rPr>
        <w:br w:type="page"/>
      </w:r>
    </w:p>
    <w:p w14:paraId="2621F55B" w14:textId="1712E0D9" w:rsidR="00E76492" w:rsidRPr="005C7609" w:rsidRDefault="005C7609" w:rsidP="00410ADC">
      <w:pPr>
        <w:spacing w:line="360" w:lineRule="auto"/>
        <w:jc w:val="both"/>
        <w:rPr>
          <w:b/>
          <w:bCs/>
          <w:u w:val="single"/>
        </w:rPr>
      </w:pPr>
      <w:r w:rsidRPr="005C7609">
        <w:rPr>
          <w:b/>
          <w:bCs/>
          <w:u w:val="single"/>
        </w:rPr>
        <w:lastRenderedPageBreak/>
        <w:t>Prescriptive Law</w:t>
      </w:r>
    </w:p>
    <w:p w14:paraId="7FCE73EE" w14:textId="384B523C" w:rsidR="00E76492" w:rsidRDefault="00E76492" w:rsidP="00410ADC">
      <w:pPr>
        <w:spacing w:line="360" w:lineRule="auto"/>
        <w:jc w:val="both"/>
      </w:pPr>
      <w:r w:rsidRPr="00C264C9">
        <w:t xml:space="preserve">Another issue that </w:t>
      </w:r>
      <w:r w:rsidR="00C264C9">
        <w:t xml:space="preserve">must </w:t>
      </w:r>
      <w:r w:rsidRPr="00C264C9">
        <w:t xml:space="preserve">be examined as a threshold condition </w:t>
      </w:r>
      <w:r w:rsidR="009B4DB2">
        <w:t xml:space="preserve">of </w:t>
      </w:r>
      <w:r w:rsidR="00C264C9">
        <w:t xml:space="preserve">the </w:t>
      </w:r>
      <w:r w:rsidRPr="00C264C9">
        <w:t>tools for combating terrorism</w:t>
      </w:r>
      <w:r w:rsidR="00C264C9">
        <w:t>,</w:t>
      </w:r>
      <w:r w:rsidRPr="00C264C9">
        <w:t xml:space="preserve"> is whether the use of the tool will cause a prohibited violation of </w:t>
      </w:r>
      <w:r w:rsidR="00C264C9">
        <w:t xml:space="preserve">prescriptive </w:t>
      </w:r>
      <w:r w:rsidRPr="00C264C9">
        <w:t>law (</w:t>
      </w:r>
      <w:r w:rsidRPr="00C264C9">
        <w:rPr>
          <w:i/>
          <w:iCs/>
        </w:rPr>
        <w:t>jus cogens</w:t>
      </w:r>
      <w:r w:rsidRPr="00C264C9">
        <w:t>). There is widespread agreement</w:t>
      </w:r>
      <w:r w:rsidR="00C264C9">
        <w:t>,</w:t>
      </w:r>
      <w:r w:rsidRPr="00C264C9">
        <w:t xml:space="preserve"> that some of the rules </w:t>
      </w:r>
      <w:r w:rsidR="00C264C9">
        <w:t xml:space="preserve">of </w:t>
      </w:r>
      <w:r w:rsidRPr="00C264C9">
        <w:t xml:space="preserve">international law are </w:t>
      </w:r>
      <w:r w:rsidR="00C264C9">
        <w:t>compelling</w:t>
      </w:r>
      <w:r w:rsidRPr="00C264C9">
        <w:t xml:space="preserve"> </w:t>
      </w:r>
      <w:r w:rsidR="00C264C9">
        <w:t>–</w:t>
      </w:r>
      <w:r w:rsidRPr="00C264C9">
        <w:t xml:space="preserve"> that is, cannot be deviated from or conditioned.</w:t>
      </w:r>
      <w:r w:rsidR="005C7609" w:rsidRPr="00C264C9">
        <w:rPr>
          <w:rStyle w:val="FootnoteReference"/>
        </w:rPr>
        <w:footnoteReference w:id="48"/>
      </w:r>
      <w:r w:rsidRPr="00C264C9">
        <w:t xml:space="preserve"> Although today, no consensus has yet been reached regarding the rules that are considered </w:t>
      </w:r>
      <w:r w:rsidR="00C264C9">
        <w:t>prescriptive</w:t>
      </w:r>
      <w:r w:rsidRPr="00C264C9">
        <w:t xml:space="preserve">, there is agreement on some of them. For example, </w:t>
      </w:r>
      <w:r w:rsidR="00C264C9">
        <w:t>the</w:t>
      </w:r>
      <w:r w:rsidRPr="00C264C9">
        <w:t xml:space="preserve"> ban on genocide, </w:t>
      </w:r>
      <w:r w:rsidR="00C264C9">
        <w:t xml:space="preserve">the </w:t>
      </w:r>
      <w:r w:rsidR="009B4DB2" w:rsidRPr="00C264C9">
        <w:t>slave trade</w:t>
      </w:r>
      <w:r w:rsidR="009B4DB2" w:rsidRPr="00C264C9">
        <w:t xml:space="preserve"> </w:t>
      </w:r>
      <w:r w:rsidRPr="00C264C9">
        <w:t xml:space="preserve">ban, </w:t>
      </w:r>
      <w:r w:rsidR="00C264C9">
        <w:t>the</w:t>
      </w:r>
      <w:r w:rsidRPr="00C264C9">
        <w:t xml:space="preserve"> ban on torture and serious violations of basic human rights.</w:t>
      </w:r>
      <w:r w:rsidR="005C7609" w:rsidRPr="00C264C9">
        <w:rPr>
          <w:rStyle w:val="FootnoteReference"/>
        </w:rPr>
        <w:footnoteReference w:id="49"/>
      </w:r>
      <w:r w:rsidRPr="00C264C9">
        <w:t xml:space="preserve"> In light of this, each case must be examined on its own merits</w:t>
      </w:r>
      <w:r w:rsidR="00C264C9">
        <w:t>,</w:t>
      </w:r>
      <w:r w:rsidRPr="00C264C9">
        <w:t xml:space="preserve"> to </w:t>
      </w:r>
      <w:r w:rsidR="00C264C9">
        <w:t xml:space="preserve">review </w:t>
      </w:r>
      <w:r w:rsidRPr="00C264C9">
        <w:t>the type and intensity of the injury.</w:t>
      </w:r>
      <w:r w:rsidR="005C7609" w:rsidRPr="00C264C9">
        <w:rPr>
          <w:rStyle w:val="FootnoteReference"/>
        </w:rPr>
        <w:footnoteReference w:id="50"/>
      </w:r>
      <w:r w:rsidRPr="00C264C9">
        <w:t xml:space="preserve"> As will be explained below, on the face of it, there is no explicit prohibition on the possession of </w:t>
      </w:r>
      <w:r w:rsidR="00C264C9">
        <w:t>corpses</w:t>
      </w:r>
      <w:r w:rsidRPr="00C264C9">
        <w:t>, however there is a violation of fundamental rights</w:t>
      </w:r>
      <w:r w:rsidR="00C264C9">
        <w:t>,</w:t>
      </w:r>
      <w:r w:rsidRPr="00C264C9">
        <w:t xml:space="preserve"> and </w:t>
      </w:r>
      <w:r w:rsidR="00C264C9">
        <w:t xml:space="preserve">harm to </w:t>
      </w:r>
      <w:r w:rsidRPr="00C264C9">
        <w:t xml:space="preserve">third parties. Despite the harm and complexity presented below, it does not appear to be a </w:t>
      </w:r>
      <w:r w:rsidR="00C264C9">
        <w:t xml:space="preserve">significant </w:t>
      </w:r>
      <w:r w:rsidRPr="00C264C9">
        <w:t xml:space="preserve">violation of the core of human rights. However, </w:t>
      </w:r>
      <w:r w:rsidR="00C264C9">
        <w:t>we are referring</w:t>
      </w:r>
      <w:r w:rsidRPr="00C264C9">
        <w:t xml:space="preserve"> to the possession of the </w:t>
      </w:r>
      <w:r w:rsidR="00C264C9">
        <w:t xml:space="preserve">corpses </w:t>
      </w:r>
      <w:r w:rsidRPr="00C264C9">
        <w:t>as a test case</w:t>
      </w:r>
      <w:r w:rsidR="00C264C9">
        <w:t>,</w:t>
      </w:r>
      <w:r w:rsidRPr="00C264C9">
        <w:t xml:space="preserve"> and not to all the tools </w:t>
      </w:r>
      <w:r w:rsidR="00C264C9">
        <w:t xml:space="preserve">in </w:t>
      </w:r>
      <w:r w:rsidRPr="00C264C9">
        <w:t xml:space="preserve">the war </w:t>
      </w:r>
      <w:r w:rsidR="00C264C9">
        <w:t xml:space="preserve">against </w:t>
      </w:r>
      <w:r w:rsidRPr="00C264C9">
        <w:t>terror</w:t>
      </w:r>
      <w:r w:rsidR="00C264C9">
        <w:t>ism</w:t>
      </w:r>
      <w:r w:rsidRPr="00C264C9">
        <w:t xml:space="preserve">, which </w:t>
      </w:r>
      <w:r w:rsidR="00C264C9">
        <w:t>must be substantively reviewed</w:t>
      </w:r>
      <w:r w:rsidR="009B4DB2">
        <w:t>,</w:t>
      </w:r>
      <w:r w:rsidR="00C264C9">
        <w:t xml:space="preserve"> </w:t>
      </w:r>
      <w:r w:rsidRPr="00C264C9">
        <w:t>each tool individually.</w:t>
      </w:r>
    </w:p>
    <w:p w14:paraId="2E427A6E" w14:textId="77777777" w:rsidR="00E76492" w:rsidRDefault="00E76492" w:rsidP="00410ADC">
      <w:pPr>
        <w:spacing w:line="360" w:lineRule="auto"/>
        <w:jc w:val="both"/>
      </w:pPr>
    </w:p>
    <w:p w14:paraId="475FA94C" w14:textId="41C7D3A1" w:rsidR="00E76492" w:rsidRPr="005C7609" w:rsidRDefault="00E76492" w:rsidP="00410ADC">
      <w:pPr>
        <w:spacing w:line="360" w:lineRule="auto"/>
        <w:jc w:val="both"/>
        <w:rPr>
          <w:b/>
          <w:bCs/>
          <w:u w:val="single"/>
        </w:rPr>
      </w:pPr>
      <w:r w:rsidRPr="005C7609">
        <w:rPr>
          <w:b/>
          <w:bCs/>
          <w:u w:val="single"/>
        </w:rPr>
        <w:t xml:space="preserve">Possession of </w:t>
      </w:r>
      <w:r w:rsidR="00C264C9" w:rsidRPr="005C7609">
        <w:rPr>
          <w:b/>
          <w:bCs/>
          <w:u w:val="single"/>
        </w:rPr>
        <w:t xml:space="preserve">Terrorist </w:t>
      </w:r>
      <w:r w:rsidR="00C264C9">
        <w:rPr>
          <w:b/>
          <w:bCs/>
          <w:u w:val="single"/>
        </w:rPr>
        <w:t xml:space="preserve">Corpses </w:t>
      </w:r>
      <w:r w:rsidRPr="005C7609">
        <w:rPr>
          <w:b/>
          <w:bCs/>
          <w:u w:val="single"/>
        </w:rPr>
        <w:t xml:space="preserve">for </w:t>
      </w:r>
      <w:r w:rsidR="00C264C9">
        <w:rPr>
          <w:b/>
          <w:bCs/>
          <w:u w:val="single"/>
        </w:rPr>
        <w:t>S</w:t>
      </w:r>
      <w:r w:rsidRPr="005C7609">
        <w:rPr>
          <w:b/>
          <w:bCs/>
          <w:u w:val="single"/>
        </w:rPr>
        <w:t xml:space="preserve">ecurity and </w:t>
      </w:r>
      <w:r w:rsidR="00DC4CF9" w:rsidRPr="005C7609">
        <w:rPr>
          <w:b/>
          <w:bCs/>
          <w:u w:val="single"/>
        </w:rPr>
        <w:t>Negotiation Purposes</w:t>
      </w:r>
    </w:p>
    <w:p w14:paraId="3BEEB28F" w14:textId="531294F2" w:rsidR="00E76492" w:rsidRDefault="00E76492" w:rsidP="00410ADC">
      <w:pPr>
        <w:spacing w:line="360" w:lineRule="auto"/>
        <w:jc w:val="both"/>
      </w:pPr>
      <w:r>
        <w:t>As stated above, on January 1, 2017, the Cabinet decided</w:t>
      </w:r>
      <w:r w:rsidR="005C7609">
        <w:rPr>
          <w:rStyle w:val="FootnoteReference"/>
        </w:rPr>
        <w:footnoteReference w:id="51"/>
      </w:r>
      <w:r>
        <w:t xml:space="preserve"> that the State of Israel will not return the bodies of terrorists who belong to the Hamas organization</w:t>
      </w:r>
      <w:r w:rsidR="00DC4CF9">
        <w:t>,</w:t>
      </w:r>
      <w:r>
        <w:t xml:space="preserve"> or who were involved in an </w:t>
      </w:r>
      <w:r w:rsidR="00EE7E13" w:rsidRPr="00EE7E13">
        <w:rPr>
          <w:i/>
          <w:iCs/>
        </w:rPr>
        <w:t>“</w:t>
      </w:r>
      <w:r>
        <w:t>exceptional terrorist incident.</w:t>
      </w:r>
      <w:r w:rsidR="00EE7E13" w:rsidRPr="00EE7E13">
        <w:rPr>
          <w:i/>
          <w:iCs/>
        </w:rPr>
        <w:t>”</w:t>
      </w:r>
      <w:r w:rsidR="005C7609">
        <w:rPr>
          <w:rStyle w:val="FootnoteReference"/>
        </w:rPr>
        <w:footnoteReference w:id="52"/>
      </w:r>
      <w:r>
        <w:t xml:space="preserve"> This decision stemmed, </w:t>
      </w:r>
      <w:r w:rsidR="00DC4CF9" w:rsidRPr="00A10D4B">
        <w:rPr>
          <w:i/>
          <w:iCs/>
        </w:rPr>
        <w:t>inter alia</w:t>
      </w:r>
      <w:r>
        <w:t>, from the desire to create leverage</w:t>
      </w:r>
      <w:r w:rsidR="005C7609">
        <w:rPr>
          <w:rStyle w:val="FootnoteReference"/>
        </w:rPr>
        <w:footnoteReference w:id="53"/>
      </w:r>
      <w:r>
        <w:t xml:space="preserve"> on Hamas</w:t>
      </w:r>
      <w:r w:rsidR="00DC4CF9">
        <w:t>,</w:t>
      </w:r>
      <w:r>
        <w:t xml:space="preserve"> and tools for future negotiations, for the return of the bodies of the late Captain </w:t>
      </w:r>
      <w:proofErr w:type="spellStart"/>
      <w:r>
        <w:t>Hadar</w:t>
      </w:r>
      <w:proofErr w:type="spellEnd"/>
      <w:r>
        <w:t xml:space="preserve"> Goldin and the late </w:t>
      </w:r>
      <w:proofErr w:type="spellStart"/>
      <w:r>
        <w:t>Sgt.</w:t>
      </w:r>
      <w:proofErr w:type="spellEnd"/>
      <w:r>
        <w:t xml:space="preserve"> </w:t>
      </w:r>
      <w:proofErr w:type="spellStart"/>
      <w:r>
        <w:t>Oron</w:t>
      </w:r>
      <w:proofErr w:type="spellEnd"/>
      <w:r>
        <w:t xml:space="preserve"> </w:t>
      </w:r>
      <w:proofErr w:type="spellStart"/>
      <w:r>
        <w:t>Shaul</w:t>
      </w:r>
      <w:proofErr w:type="spellEnd"/>
      <w:r>
        <w:t xml:space="preserve">, along with </w:t>
      </w:r>
      <w:r w:rsidR="00DC4CF9">
        <w:t xml:space="preserve">the civilians </w:t>
      </w:r>
      <w:proofErr w:type="spellStart"/>
      <w:r>
        <w:t>Avra</w:t>
      </w:r>
      <w:proofErr w:type="spellEnd"/>
      <w:r>
        <w:t xml:space="preserve"> ​​Mengistu and Hisham al-Sayyid.</w:t>
      </w:r>
      <w:r w:rsidR="005C7609">
        <w:rPr>
          <w:rStyle w:val="FootnoteReference"/>
        </w:rPr>
        <w:footnoteReference w:id="54"/>
      </w:r>
      <w:r>
        <w:t xml:space="preserve"> The </w:t>
      </w:r>
      <w:r w:rsidR="00DC4CF9">
        <w:t xml:space="preserve">Decision was passed following receipt of the 2004 opinion </w:t>
      </w:r>
      <w:r>
        <w:t>Attorney General</w:t>
      </w:r>
      <w:r w:rsidR="00DC4CF9">
        <w:t xml:space="preserve"> at the time</w:t>
      </w:r>
      <w:r>
        <w:t xml:space="preserve">, </w:t>
      </w:r>
      <w:proofErr w:type="spellStart"/>
      <w:r>
        <w:t>Men</w:t>
      </w:r>
      <w:r w:rsidR="00DC4CF9">
        <w:t>ny</w:t>
      </w:r>
      <w:proofErr w:type="spellEnd"/>
      <w:r>
        <w:t xml:space="preserve"> </w:t>
      </w:r>
      <w:proofErr w:type="spellStart"/>
      <w:r>
        <w:t>Mazuz</w:t>
      </w:r>
      <w:proofErr w:type="spellEnd"/>
      <w:r>
        <w:t>, presented to the Cabinet, stating that the terrorists</w:t>
      </w:r>
      <w:r w:rsidR="00DC4CF9">
        <w:t>’ corpses</w:t>
      </w:r>
      <w:r>
        <w:t xml:space="preserve"> should not be held as bargaining chips for future negotiations, except when there is a concrete </w:t>
      </w:r>
      <w:r w:rsidR="00DC4CF9">
        <w:t xml:space="preserve">prisoner </w:t>
      </w:r>
      <w:r>
        <w:t>exchange deal</w:t>
      </w:r>
      <w:r w:rsidR="00DC4CF9">
        <w:t>,</w:t>
      </w:r>
      <w:r>
        <w:t xml:space="preserve"> or a real concern for public safety.</w:t>
      </w:r>
    </w:p>
    <w:p w14:paraId="4F44EBA5" w14:textId="16B7EDC7" w:rsidR="00E76492" w:rsidRDefault="00E76492" w:rsidP="00410ADC">
      <w:pPr>
        <w:spacing w:line="360" w:lineRule="auto"/>
        <w:jc w:val="both"/>
      </w:pPr>
      <w:r>
        <w:lastRenderedPageBreak/>
        <w:t xml:space="preserve">Against this </w:t>
      </w:r>
      <w:r w:rsidR="00DC4CF9">
        <w:t>D</w:t>
      </w:r>
      <w:r>
        <w:t>ecision</w:t>
      </w:r>
      <w:r w:rsidR="00DC4CF9">
        <w:t>,</w:t>
      </w:r>
      <w:r>
        <w:t xml:space="preserve"> and against its actual implementation, a petition was submitted to the High Court</w:t>
      </w:r>
      <w:r w:rsidR="00DC4CF9">
        <w:t xml:space="preserve"> of Justice</w:t>
      </w:r>
      <w:r>
        <w:t>.</w:t>
      </w:r>
      <w:r w:rsidR="005C7609">
        <w:rPr>
          <w:rStyle w:val="FootnoteReference"/>
        </w:rPr>
        <w:footnoteReference w:id="55"/>
      </w:r>
      <w:r>
        <w:t xml:space="preserve"> In their ruling, the High Court </w:t>
      </w:r>
      <w:r w:rsidR="008F5B14">
        <w:t>justices</w:t>
      </w:r>
      <w:r>
        <w:t xml:space="preserve"> accepted the petition</w:t>
      </w:r>
      <w:r w:rsidR="008F5B14">
        <w:t>,</w:t>
      </w:r>
      <w:r>
        <w:t xml:space="preserve"> by a majority, but dealt, in my opinion, mainly with the </w:t>
      </w:r>
      <w:r w:rsidR="00EE7E13" w:rsidRPr="00EE7E13">
        <w:rPr>
          <w:i/>
          <w:iCs/>
        </w:rPr>
        <w:t>“</w:t>
      </w:r>
      <w:r>
        <w:t>technical</w:t>
      </w:r>
      <w:r w:rsidR="00EE7E13" w:rsidRPr="00EE7E13">
        <w:rPr>
          <w:i/>
          <w:iCs/>
        </w:rPr>
        <w:t>”</w:t>
      </w:r>
      <w:r>
        <w:t xml:space="preserve"> question of the military commander</w:t>
      </w:r>
      <w:r w:rsidR="00EE7E13" w:rsidRPr="00EE7E13">
        <w:rPr>
          <w:i/>
          <w:iCs/>
        </w:rPr>
        <w:t>’</w:t>
      </w:r>
      <w:r>
        <w:t xml:space="preserve">s authority to order burial, and not the substantive questions </w:t>
      </w:r>
      <w:r w:rsidR="00DC4CF9">
        <w:t>e</w:t>
      </w:r>
      <w:r>
        <w:t>merging</w:t>
      </w:r>
      <w:r w:rsidR="00DC4CF9">
        <w:t xml:space="preserve"> </w:t>
      </w:r>
      <w:r>
        <w:t xml:space="preserve">both from domestic and international law, on this important issue. </w:t>
      </w:r>
      <w:r w:rsidR="00DC4CF9">
        <w:t xml:space="preserve">With respect to </w:t>
      </w:r>
      <w:r>
        <w:t>this judgment</w:t>
      </w:r>
      <w:r w:rsidR="00DC4CF9">
        <w:t>,</w:t>
      </w:r>
      <w:r>
        <w:t xml:space="preserve"> a</w:t>
      </w:r>
      <w:r w:rsidR="00DC4CF9">
        <w:t>n</w:t>
      </w:r>
      <w:r>
        <w:t xml:space="preserve"> </w:t>
      </w:r>
      <w:r w:rsidR="00DC4CF9">
        <w:t xml:space="preserve">application </w:t>
      </w:r>
      <w:r>
        <w:t xml:space="preserve">was filed by the State for </w:t>
      </w:r>
      <w:r w:rsidR="00DC4CF9">
        <w:t>a re-</w:t>
      </w:r>
      <w:r>
        <w:t xml:space="preserve">hearing </w:t>
      </w:r>
      <w:r w:rsidR="00DC4CF9">
        <w:t xml:space="preserve">by </w:t>
      </w:r>
      <w:r>
        <w:t>an ex</w:t>
      </w:r>
      <w:r w:rsidR="00DC4CF9">
        <w:t>pa</w:t>
      </w:r>
      <w:r>
        <w:t xml:space="preserve">nded panel. As stated, this </w:t>
      </w:r>
      <w:r w:rsidR="00DC4CF9">
        <w:t xml:space="preserve">application </w:t>
      </w:r>
      <w:r>
        <w:t xml:space="preserve">was approved, and indeed the majority opinion </w:t>
      </w:r>
      <w:r w:rsidR="00DC4CF9">
        <w:t xml:space="preserve">overturned </w:t>
      </w:r>
      <w:r>
        <w:t>the previous decision of the</w:t>
      </w:r>
      <w:r w:rsidR="008F5B14">
        <w:t xml:space="preserve"> C</w:t>
      </w:r>
      <w:r>
        <w:t>ourt</w:t>
      </w:r>
      <w:r w:rsidR="00DC4CF9">
        <w:t xml:space="preserve">, </w:t>
      </w:r>
      <w:r>
        <w:t xml:space="preserve">and the </w:t>
      </w:r>
      <w:r w:rsidR="00DC4CF9">
        <w:t xml:space="preserve">State’s </w:t>
      </w:r>
      <w:r>
        <w:t>conduct was approved. Now that the law in the State of Israel states that the bodies of terrorists can be held for negotiation purposes, I will seek to examine the issue in accordance with issues that arise</w:t>
      </w:r>
      <w:r w:rsidR="008F5B14">
        <w:t>,</w:t>
      </w:r>
      <w:r>
        <w:t xml:space="preserve"> in my humble opinion</w:t>
      </w:r>
      <w:r w:rsidR="008F5B14">
        <w:t>,</w:t>
      </w:r>
      <w:r>
        <w:t xml:space="preserve"> from international law</w:t>
      </w:r>
      <w:r w:rsidR="00DC4CF9">
        <w:t>,</w:t>
      </w:r>
      <w:r w:rsidR="005C7609">
        <w:rPr>
          <w:rStyle w:val="FootnoteReference"/>
        </w:rPr>
        <w:footnoteReference w:id="56"/>
      </w:r>
      <w:r>
        <w:t xml:space="preserve"> </w:t>
      </w:r>
      <w:r w:rsidR="00DC4CF9">
        <w:t xml:space="preserve">which are: </w:t>
      </w:r>
      <w:r w:rsidR="005C7609">
        <w:t>C</w:t>
      </w:r>
      <w:r>
        <w:t xml:space="preserve">ollective punishment, retroactive </w:t>
      </w:r>
      <w:r w:rsidR="00A5597F">
        <w:t>punishment,</w:t>
      </w:r>
      <w:r>
        <w:t xml:space="preserve"> and the very legality of </w:t>
      </w:r>
      <w:r w:rsidR="008F5B14">
        <w:t xml:space="preserve">the </w:t>
      </w:r>
      <w:r w:rsidR="00DC4CF9">
        <w:t xml:space="preserve">possession of </w:t>
      </w:r>
      <w:r>
        <w:t xml:space="preserve">a </w:t>
      </w:r>
      <w:r w:rsidR="00DC4CF9">
        <w:t>corpse</w:t>
      </w:r>
      <w:r>
        <w:t>.</w:t>
      </w:r>
    </w:p>
    <w:p w14:paraId="62181620" w14:textId="77777777" w:rsidR="00DC4CF9" w:rsidRDefault="00DC4CF9" w:rsidP="00410ADC">
      <w:pPr>
        <w:spacing w:line="360" w:lineRule="auto"/>
        <w:jc w:val="both"/>
        <w:rPr>
          <w:b/>
          <w:bCs/>
          <w:u w:val="single"/>
        </w:rPr>
      </w:pPr>
    </w:p>
    <w:p w14:paraId="2210EEA9" w14:textId="0A0517C2" w:rsidR="00E76492" w:rsidRPr="005C7609" w:rsidRDefault="00DC4CF9" w:rsidP="00410ADC">
      <w:pPr>
        <w:spacing w:line="360" w:lineRule="auto"/>
        <w:jc w:val="both"/>
        <w:rPr>
          <w:b/>
          <w:bCs/>
          <w:u w:val="single"/>
        </w:rPr>
      </w:pPr>
      <w:r>
        <w:rPr>
          <w:b/>
          <w:bCs/>
          <w:u w:val="single"/>
        </w:rPr>
        <w:t xml:space="preserve">Highlights </w:t>
      </w:r>
      <w:r w:rsidR="00E76492" w:rsidRPr="005C7609">
        <w:rPr>
          <w:b/>
          <w:bCs/>
          <w:u w:val="single"/>
        </w:rPr>
        <w:t xml:space="preserve">of </w:t>
      </w:r>
      <w:r>
        <w:rPr>
          <w:b/>
          <w:bCs/>
          <w:u w:val="single"/>
        </w:rPr>
        <w:t xml:space="preserve">the </w:t>
      </w:r>
      <w:r w:rsidRPr="005C7609">
        <w:rPr>
          <w:b/>
          <w:bCs/>
          <w:u w:val="single"/>
        </w:rPr>
        <w:t>Relevant Facts</w:t>
      </w:r>
      <w:r w:rsidR="005C7609">
        <w:rPr>
          <w:rStyle w:val="FootnoteReference"/>
          <w:b/>
          <w:bCs/>
          <w:u w:val="single"/>
        </w:rPr>
        <w:footnoteReference w:id="57"/>
      </w:r>
    </w:p>
    <w:p w14:paraId="7EA09B70" w14:textId="6F1D78C0" w:rsidR="00E76492" w:rsidRDefault="00E76492" w:rsidP="00A24607">
      <w:pPr>
        <w:spacing w:line="360" w:lineRule="auto"/>
        <w:jc w:val="both"/>
      </w:pPr>
      <w:r>
        <w:t xml:space="preserve">Since the </w:t>
      </w:r>
      <w:r w:rsidR="00DC4CF9">
        <w:t>Cabinet Decision</w:t>
      </w:r>
      <w:r>
        <w:t xml:space="preserve">, the State of Israel has held dozens of bodies, most of which have been returned. </w:t>
      </w:r>
      <w:r w:rsidR="00A24607">
        <w:t xml:space="preserve">On </w:t>
      </w:r>
      <w:r>
        <w:t xml:space="preserve">the date of the </w:t>
      </w:r>
      <w:r w:rsidR="00A24607">
        <w:t>judgement</w:t>
      </w:r>
      <w:r>
        <w:t xml:space="preserve">, the State of Israel had nine bodies. Seven of the bodies were temporarily buried by virtue of orders issued by the military commander. Two of the bodies </w:t>
      </w:r>
      <w:r w:rsidR="00A24607">
        <w:t xml:space="preserve">had </w:t>
      </w:r>
      <w:r>
        <w:t xml:space="preserve">not yet been buried, </w:t>
      </w:r>
      <w:r w:rsidR="00A24607">
        <w:t xml:space="preserve">following interlocutory </w:t>
      </w:r>
      <w:r>
        <w:t xml:space="preserve">orders issued in legal proceedings in their </w:t>
      </w:r>
      <w:r w:rsidR="00A24607">
        <w:t xml:space="preserve">matter </w:t>
      </w:r>
      <w:r>
        <w:t>preventing the</w:t>
      </w:r>
      <w:r w:rsidR="00A24607">
        <w:t>ir</w:t>
      </w:r>
      <w:r>
        <w:t xml:space="preserve"> buri</w:t>
      </w:r>
      <w:r w:rsidR="00A24607">
        <w:t>al</w:t>
      </w:r>
      <w:r>
        <w:t xml:space="preserve">. Among the bodies held were: </w:t>
      </w:r>
      <w:proofErr w:type="spellStart"/>
      <w:r>
        <w:t>Fadi</w:t>
      </w:r>
      <w:proofErr w:type="spellEnd"/>
      <w:r>
        <w:t xml:space="preserve"> Ahmad Hamdan </w:t>
      </w:r>
      <w:proofErr w:type="spellStart"/>
      <w:r>
        <w:t>Conver</w:t>
      </w:r>
      <w:proofErr w:type="spellEnd"/>
      <w:r>
        <w:t xml:space="preserve">, who on January 8, 2017 carried out an attack on the Armon </w:t>
      </w:r>
      <w:proofErr w:type="spellStart"/>
      <w:r>
        <w:t>Hanatziv</w:t>
      </w:r>
      <w:proofErr w:type="spellEnd"/>
      <w:r>
        <w:t xml:space="preserve"> promenade in Jerusalem in which Israel </w:t>
      </w:r>
      <w:r w:rsidR="00EE7E13">
        <w:t>Defence</w:t>
      </w:r>
      <w:r>
        <w:t xml:space="preserve"> Forces soldiers Shira </w:t>
      </w:r>
      <w:proofErr w:type="spellStart"/>
      <w:r>
        <w:t>Tzur</w:t>
      </w:r>
      <w:proofErr w:type="spellEnd"/>
      <w:r>
        <w:t xml:space="preserve">, Yael </w:t>
      </w:r>
      <w:proofErr w:type="spellStart"/>
      <w:r>
        <w:t>Yekutiel</w:t>
      </w:r>
      <w:proofErr w:type="spellEnd"/>
      <w:r>
        <w:t xml:space="preserve">, Shir </w:t>
      </w:r>
      <w:proofErr w:type="spellStart"/>
      <w:r>
        <w:t>Hajaj</w:t>
      </w:r>
      <w:proofErr w:type="spellEnd"/>
      <w:r>
        <w:t xml:space="preserve"> and Erez Orbach were killed, and 18 others were injured; </w:t>
      </w:r>
      <w:proofErr w:type="spellStart"/>
      <w:r w:rsidR="00A24607">
        <w:t>Mahmad</w:t>
      </w:r>
      <w:proofErr w:type="spellEnd"/>
      <w:r w:rsidR="00A24607">
        <w:t xml:space="preserve"> </w:t>
      </w:r>
      <w:proofErr w:type="spellStart"/>
      <w:r w:rsidR="00A24607">
        <w:t>Traira</w:t>
      </w:r>
      <w:proofErr w:type="spellEnd"/>
      <w:r>
        <w:t xml:space="preserve">, </w:t>
      </w:r>
      <w:r w:rsidR="00A24607">
        <w:t>w</w:t>
      </w:r>
      <w:r>
        <w:t xml:space="preserve">ho on June 30, 2016 carried out an attack in Kiryat </w:t>
      </w:r>
      <w:proofErr w:type="spellStart"/>
      <w:r>
        <w:t>Arba</w:t>
      </w:r>
      <w:proofErr w:type="spellEnd"/>
      <w:r>
        <w:t xml:space="preserve"> in which the </w:t>
      </w:r>
      <w:r w:rsidR="00A24607">
        <w:t xml:space="preserve">teenage girl </w:t>
      </w:r>
      <w:r>
        <w:t xml:space="preserve">Hillel </w:t>
      </w:r>
      <w:proofErr w:type="spellStart"/>
      <w:r>
        <w:t>Yaffe</w:t>
      </w:r>
      <w:proofErr w:type="spellEnd"/>
      <w:r>
        <w:t xml:space="preserve"> Ariel was murdered; Muhammad </w:t>
      </w:r>
      <w:proofErr w:type="spellStart"/>
      <w:r>
        <w:t>Alfakia</w:t>
      </w:r>
      <w:proofErr w:type="spellEnd"/>
      <w:r>
        <w:t xml:space="preserve">, who participated on July 1, 2016 in carrying out an attack in which the late Rabbi Michael Mark was murdered and his family members were injured; </w:t>
      </w:r>
      <w:proofErr w:type="spellStart"/>
      <w:r w:rsidR="00A24607">
        <w:t>Matzbakh</w:t>
      </w:r>
      <w:proofErr w:type="spellEnd"/>
      <w:r w:rsidR="00A24607">
        <w:t xml:space="preserve"> Abu </w:t>
      </w:r>
      <w:proofErr w:type="spellStart"/>
      <w:r w:rsidR="00A24607">
        <w:t>Sabikh</w:t>
      </w:r>
      <w:proofErr w:type="spellEnd"/>
      <w:r w:rsidR="00A24607">
        <w:t xml:space="preserve">, who on October 9, 2016, carried out a shooting attack in which Ms. Levana </w:t>
      </w:r>
      <w:proofErr w:type="spellStart"/>
      <w:r w:rsidR="00A24607">
        <w:t>Malikhi</w:t>
      </w:r>
      <w:proofErr w:type="spellEnd"/>
      <w:r w:rsidR="00A24607">
        <w:t xml:space="preserve"> and the police officer </w:t>
      </w:r>
      <w:r w:rsidR="00A24607" w:rsidRPr="00A24607">
        <w:t>sergeant major</w:t>
      </w:r>
      <w:r w:rsidR="00A24607">
        <w:t xml:space="preserve"> Joseph </w:t>
      </w:r>
      <w:proofErr w:type="spellStart"/>
      <w:r w:rsidR="00A24607">
        <w:t>Kirma</w:t>
      </w:r>
      <w:proofErr w:type="spellEnd"/>
      <w:r w:rsidR="00A24607">
        <w:t xml:space="preserve"> were murdered and several others injured;</w:t>
      </w:r>
      <w:r>
        <w:t xml:space="preserve"> Abd al-Hamid Abu </w:t>
      </w:r>
      <w:proofErr w:type="spellStart"/>
      <w:r>
        <w:t>Srur</w:t>
      </w:r>
      <w:proofErr w:type="spellEnd"/>
      <w:r>
        <w:t xml:space="preserve">, who on </w:t>
      </w:r>
      <w:r w:rsidR="00A24607">
        <w:t xml:space="preserve">April </w:t>
      </w:r>
      <w:r>
        <w:t>18</w:t>
      </w:r>
      <w:r w:rsidR="00A24607">
        <w:t xml:space="preserve">, </w:t>
      </w:r>
      <w:r>
        <w:t xml:space="preserve">2016 carried out an attack on a bus in the city of Jerusalem in which dozens of people were injured; and Rami </w:t>
      </w:r>
      <w:proofErr w:type="spellStart"/>
      <w:r>
        <w:t>Elaurthani</w:t>
      </w:r>
      <w:proofErr w:type="spellEnd"/>
      <w:r>
        <w:t xml:space="preserve">, who was involved in an </w:t>
      </w:r>
      <w:r w:rsidR="00A24607">
        <w:t xml:space="preserve">attempted </w:t>
      </w:r>
      <w:r>
        <w:t xml:space="preserve">attack on </w:t>
      </w:r>
      <w:r w:rsidR="00A24607">
        <w:t xml:space="preserve">July </w:t>
      </w:r>
      <w:r>
        <w:t>31</w:t>
      </w:r>
      <w:r w:rsidR="00A24607">
        <w:t xml:space="preserve">, </w:t>
      </w:r>
      <w:r>
        <w:t>2016.</w:t>
      </w:r>
    </w:p>
    <w:p w14:paraId="727813EA" w14:textId="6CBCCEEC" w:rsidR="00E76492" w:rsidRDefault="00E76492" w:rsidP="00410ADC">
      <w:pPr>
        <w:spacing w:line="360" w:lineRule="auto"/>
        <w:jc w:val="both"/>
      </w:pPr>
      <w:r>
        <w:lastRenderedPageBreak/>
        <w:t xml:space="preserve">As stated, the issue of </w:t>
      </w:r>
      <w:r w:rsidR="00A24607">
        <w:t>corpse</w:t>
      </w:r>
      <w:r>
        <w:t xml:space="preserve"> possession raises many questions (moral, </w:t>
      </w:r>
      <w:r w:rsidR="00A5597F">
        <w:t>halakhic,</w:t>
      </w:r>
      <w:r>
        <w:t xml:space="preserve"> and legal), but I would like to focus the discussion</w:t>
      </w:r>
      <w:r w:rsidR="00A24607">
        <w:t xml:space="preserve"> on </w:t>
      </w:r>
      <w:r>
        <w:t xml:space="preserve">the questions </w:t>
      </w:r>
      <w:r w:rsidR="00A24607">
        <w:t xml:space="preserve">raised </w:t>
      </w:r>
      <w:r>
        <w:t>above.</w:t>
      </w:r>
    </w:p>
    <w:p w14:paraId="1CF8F190" w14:textId="77777777" w:rsidR="00A24607" w:rsidRDefault="00A24607" w:rsidP="00410ADC">
      <w:pPr>
        <w:spacing w:line="360" w:lineRule="auto"/>
        <w:jc w:val="both"/>
        <w:rPr>
          <w:b/>
          <w:bCs/>
          <w:u w:val="single"/>
        </w:rPr>
      </w:pPr>
    </w:p>
    <w:p w14:paraId="03A0FE82" w14:textId="661DB475" w:rsidR="00E76492" w:rsidRPr="005C7609" w:rsidRDefault="00E76492" w:rsidP="00410ADC">
      <w:pPr>
        <w:spacing w:line="360" w:lineRule="auto"/>
        <w:jc w:val="both"/>
        <w:rPr>
          <w:b/>
          <w:bCs/>
          <w:u w:val="single"/>
        </w:rPr>
      </w:pPr>
      <w:r w:rsidRPr="005C7609">
        <w:rPr>
          <w:b/>
          <w:bCs/>
          <w:u w:val="single"/>
        </w:rPr>
        <w:t xml:space="preserve">Possession of </w:t>
      </w:r>
      <w:r w:rsidR="00A24607" w:rsidRPr="005C7609">
        <w:rPr>
          <w:b/>
          <w:bCs/>
          <w:u w:val="single"/>
        </w:rPr>
        <w:t>Corpses Under International Law</w:t>
      </w:r>
      <w:r w:rsidR="005C7609">
        <w:rPr>
          <w:rStyle w:val="FootnoteReference"/>
          <w:b/>
          <w:bCs/>
          <w:u w:val="single"/>
        </w:rPr>
        <w:footnoteReference w:id="58"/>
      </w:r>
    </w:p>
    <w:p w14:paraId="52507680" w14:textId="0153CB2B" w:rsidR="00E76492" w:rsidRDefault="00E76492" w:rsidP="00410ADC">
      <w:pPr>
        <w:spacing w:line="360" w:lineRule="auto"/>
        <w:jc w:val="both"/>
      </w:pPr>
      <w:r>
        <w:t>International law imposes many obligations on a party holding the other party</w:t>
      </w:r>
      <w:r w:rsidR="00EE7E13" w:rsidRPr="00EE7E13">
        <w:rPr>
          <w:i/>
          <w:iCs/>
        </w:rPr>
        <w:t>’</w:t>
      </w:r>
      <w:r>
        <w:t xml:space="preserve">s </w:t>
      </w:r>
      <w:r w:rsidR="00A24607">
        <w:t>corpses</w:t>
      </w:r>
      <w:r>
        <w:t>.</w:t>
      </w:r>
      <w:r w:rsidR="005C7609">
        <w:rPr>
          <w:rStyle w:val="FootnoteReference"/>
        </w:rPr>
        <w:footnoteReference w:id="59"/>
      </w:r>
      <w:r>
        <w:t xml:space="preserve"> The question arises as to whether one of these obligations is immediate restitution</w:t>
      </w:r>
      <w:r w:rsidR="00A24607">
        <w:t>,</w:t>
      </w:r>
      <w:r>
        <w:t xml:space="preserve"> or alternatively</w:t>
      </w:r>
      <w:r w:rsidR="00A24607">
        <w:t>,</w:t>
      </w:r>
      <w:r>
        <w:t xml:space="preserve"> a prohibition on possession? The answer is compl</w:t>
      </w:r>
      <w:r w:rsidR="00A24607">
        <w:t>icated</w:t>
      </w:r>
      <w:r>
        <w:t xml:space="preserve">. A simplistic look at the various sources of international law reveals a number of references to the issue of corpses. The First Geneva Convention established a duty </w:t>
      </w:r>
      <w:r w:rsidR="00A24607">
        <w:t xml:space="preserve">to document, and </w:t>
      </w:r>
      <w:r w:rsidR="00554E38">
        <w:t xml:space="preserve">conduct a </w:t>
      </w:r>
      <w:r>
        <w:t xml:space="preserve">proper and dignified burial, along with the exchange of information regarding the exact location of </w:t>
      </w:r>
      <w:r w:rsidR="008F5B14">
        <w:t xml:space="preserve">the </w:t>
      </w:r>
      <w:r>
        <w:t xml:space="preserve">burial, </w:t>
      </w:r>
      <w:r w:rsidR="008F5B14">
        <w:t xml:space="preserve">to </w:t>
      </w:r>
      <w:r>
        <w:t>take place after the end of the conflict.</w:t>
      </w:r>
      <w:r w:rsidR="005C7609">
        <w:rPr>
          <w:rStyle w:val="FootnoteReference"/>
        </w:rPr>
        <w:footnoteReference w:id="60"/>
      </w:r>
    </w:p>
    <w:p w14:paraId="73DEEBF5" w14:textId="518F0308" w:rsidR="00E76492" w:rsidRDefault="00E76492" w:rsidP="00410ADC">
      <w:pPr>
        <w:spacing w:line="360" w:lineRule="auto"/>
        <w:jc w:val="both"/>
      </w:pPr>
      <w:r>
        <w:t xml:space="preserve">Similar </w:t>
      </w:r>
      <w:r w:rsidR="00554E38">
        <w:t xml:space="preserve">issues </w:t>
      </w:r>
      <w:r>
        <w:t>can be found in the Second,</w:t>
      </w:r>
      <w:r w:rsidR="005C7609">
        <w:rPr>
          <w:rStyle w:val="FootnoteReference"/>
        </w:rPr>
        <w:footnoteReference w:id="61"/>
      </w:r>
      <w:r>
        <w:t xml:space="preserve"> Third</w:t>
      </w:r>
      <w:r w:rsidR="005C7609">
        <w:rPr>
          <w:rStyle w:val="FootnoteReference"/>
        </w:rPr>
        <w:footnoteReference w:id="62"/>
      </w:r>
      <w:r>
        <w:t xml:space="preserve"> and Fourth</w:t>
      </w:r>
      <w:r w:rsidR="005C7609">
        <w:rPr>
          <w:rStyle w:val="FootnoteReference"/>
        </w:rPr>
        <w:footnoteReference w:id="63"/>
      </w:r>
      <w:r>
        <w:t xml:space="preserve"> Geneva Conventions. As well as in Rules 11</w:t>
      </w:r>
      <w:r w:rsidR="00554E38">
        <w:t xml:space="preserve">2 </w:t>
      </w:r>
      <w:r>
        <w:t>-</w:t>
      </w:r>
      <w:r w:rsidR="00554E38">
        <w:t xml:space="preserve"> </w:t>
      </w:r>
      <w:r>
        <w:t>11</w:t>
      </w:r>
      <w:r w:rsidR="00554E38">
        <w:t>6</w:t>
      </w:r>
      <w:r w:rsidR="005C7609">
        <w:rPr>
          <w:rStyle w:val="FootnoteReference"/>
        </w:rPr>
        <w:footnoteReference w:id="64"/>
      </w:r>
      <w:r>
        <w:t xml:space="preserve"> </w:t>
      </w:r>
      <w:r w:rsidR="00554E38">
        <w:t xml:space="preserve">of </w:t>
      </w:r>
      <w:r>
        <w:t xml:space="preserve">the </w:t>
      </w:r>
      <w:r w:rsidR="00554E38">
        <w:t>International Committee of the Red Cross (“</w:t>
      </w:r>
      <w:r w:rsidR="00554E38" w:rsidRPr="00554E38">
        <w:rPr>
          <w:b/>
          <w:bCs/>
        </w:rPr>
        <w:t>ICRC</w:t>
      </w:r>
      <w:r w:rsidR="00554E38">
        <w:t xml:space="preserve">”) </w:t>
      </w:r>
      <w:r>
        <w:t xml:space="preserve">Rules of Customary International </w:t>
      </w:r>
      <w:r w:rsidR="00554E38">
        <w:t xml:space="preserve">Humanitarian </w:t>
      </w:r>
      <w:r>
        <w:t>Law.</w:t>
      </w:r>
      <w:r w:rsidR="005C7609">
        <w:rPr>
          <w:rStyle w:val="FootnoteReference"/>
        </w:rPr>
        <w:footnoteReference w:id="65"/>
      </w:r>
      <w:r>
        <w:t xml:space="preserve"> Unlike the other conventions, Article 130 of the Fourth </w:t>
      </w:r>
      <w:r w:rsidR="00554E38">
        <w:t xml:space="preserve">Convention </w:t>
      </w:r>
      <w:r>
        <w:t xml:space="preserve">stipulates an obligation to return the ashes of the dead to </w:t>
      </w:r>
      <w:r w:rsidR="00554E38">
        <w:t xml:space="preserve">his (or her) </w:t>
      </w:r>
      <w:r>
        <w:t xml:space="preserve">relatives. However, this </w:t>
      </w:r>
      <w:r w:rsidR="00554E38">
        <w:t>duty</w:t>
      </w:r>
      <w:r>
        <w:t>, according to the section, applies only to ashes</w:t>
      </w:r>
      <w:r w:rsidR="00554E38">
        <w:t>,</w:t>
      </w:r>
      <w:r>
        <w:t xml:space="preserve"> and not </w:t>
      </w:r>
      <w:r w:rsidR="00554E38">
        <w:t xml:space="preserve">to the event </w:t>
      </w:r>
      <w:r>
        <w:t xml:space="preserve">of a </w:t>
      </w:r>
      <w:r w:rsidR="00554E38">
        <w:t>corpse</w:t>
      </w:r>
      <w:r>
        <w:t>.</w:t>
      </w:r>
    </w:p>
    <w:p w14:paraId="0767C95E" w14:textId="1AB83451" w:rsidR="00E76492" w:rsidRDefault="00E76492" w:rsidP="00410ADC">
      <w:pPr>
        <w:spacing w:line="360" w:lineRule="auto"/>
        <w:jc w:val="both"/>
      </w:pPr>
      <w:r>
        <w:t xml:space="preserve">From this it can be </w:t>
      </w:r>
      <w:r w:rsidR="008F5B14">
        <w:t xml:space="preserve">ostensibly </w:t>
      </w:r>
      <w:r>
        <w:t xml:space="preserve">assumed that a study of </w:t>
      </w:r>
      <w:r w:rsidR="00554E38">
        <w:t xml:space="preserve">the </w:t>
      </w:r>
      <w:r>
        <w:t xml:space="preserve">art not only does not anchor the obligation to return </w:t>
      </w:r>
      <w:r w:rsidR="00554E38">
        <w:t>corpses</w:t>
      </w:r>
      <w:r w:rsidR="008F5B14">
        <w:t>,</w:t>
      </w:r>
      <w:r w:rsidR="00554E38">
        <w:t xml:space="preserve"> </w:t>
      </w:r>
      <w:r>
        <w:t>and prohibit</w:t>
      </w:r>
      <w:r w:rsidR="008F5B14">
        <w:t xml:space="preserve"> </w:t>
      </w:r>
      <w:r w:rsidR="00554E38">
        <w:t>hold</w:t>
      </w:r>
      <w:r w:rsidR="008F5B14">
        <w:t>ing</w:t>
      </w:r>
      <w:r w:rsidR="00554E38">
        <w:t xml:space="preserve"> </w:t>
      </w:r>
      <w:r>
        <w:t>them for negotiation purposes, but perhaps the opposite is true. The very obligation to document, preserve</w:t>
      </w:r>
      <w:r w:rsidR="00554E38">
        <w:t>,</w:t>
      </w:r>
      <w:r>
        <w:t xml:space="preserve"> and maintain, indicates the premise that the bodies will not return to their country of origin, but will remain buried in the country where the</w:t>
      </w:r>
      <w:r w:rsidR="00554E38">
        <w:t>y died</w:t>
      </w:r>
      <w:r>
        <w:t xml:space="preserve">. The first </w:t>
      </w:r>
      <w:r w:rsidR="00554E38">
        <w:t xml:space="preserve">shoot </w:t>
      </w:r>
      <w:r>
        <w:t>to contradict this assumption</w:t>
      </w:r>
      <w:r w:rsidR="00554E38">
        <w:t>,</w:t>
      </w:r>
      <w:r>
        <w:t xml:space="preserve"> appears in Article 34(2)(c) of the First Protocol to the Fourth Geneva </w:t>
      </w:r>
      <w:r>
        <w:lastRenderedPageBreak/>
        <w:t xml:space="preserve">Convention. This section stipulates that when circumstances allow, relatives must be allowed to return the remains of the </w:t>
      </w:r>
      <w:r w:rsidR="00554E38">
        <w:t xml:space="preserve">fallen </w:t>
      </w:r>
      <w:r>
        <w:t>to the country of origin.</w:t>
      </w:r>
    </w:p>
    <w:p w14:paraId="54B93081" w14:textId="5CF958BB" w:rsidR="00E76492" w:rsidRDefault="00E76492" w:rsidP="00410ADC">
      <w:pPr>
        <w:spacing w:line="360" w:lineRule="auto"/>
        <w:jc w:val="both"/>
      </w:pPr>
      <w:r>
        <w:t xml:space="preserve">The problematic nature of this section is reflected in the fact that the return of the body involves the </w:t>
      </w:r>
      <w:r w:rsidR="00554E38">
        <w:t xml:space="preserve">end </w:t>
      </w:r>
      <w:r>
        <w:t xml:space="preserve">of the conflict or other circumstances that </w:t>
      </w:r>
      <w:r w:rsidR="00554E38">
        <w:t xml:space="preserve">permit </w:t>
      </w:r>
      <w:r>
        <w:t xml:space="preserve">it. Such circumstances are not common during a conflict, let alone the Israeli-Palestinian conflict. </w:t>
      </w:r>
      <w:r w:rsidR="00554E38">
        <w:t>Thus</w:t>
      </w:r>
      <w:r>
        <w:t>, it can be said</w:t>
      </w:r>
      <w:r w:rsidR="00554E38">
        <w:t>,</w:t>
      </w:r>
      <w:r>
        <w:t xml:space="preserve"> that in practice th</w:t>
      </w:r>
      <w:r w:rsidR="00554E38">
        <w:t xml:space="preserve">e issue </w:t>
      </w:r>
      <w:r>
        <w:t xml:space="preserve">remains at the discretion of the </w:t>
      </w:r>
      <w:r w:rsidR="00655BF6">
        <w:t xml:space="preserve">party </w:t>
      </w:r>
      <w:r>
        <w:t>hold</w:t>
      </w:r>
      <w:r w:rsidR="00655BF6">
        <w:t>ing the corpse</w:t>
      </w:r>
      <w:r>
        <w:t xml:space="preserve">. Another source that </w:t>
      </w:r>
      <w:r w:rsidR="00655BF6">
        <w:t xml:space="preserve">highlights </w:t>
      </w:r>
      <w:r>
        <w:t>the desire to return bodies</w:t>
      </w:r>
      <w:r w:rsidR="00655BF6">
        <w:t>,</w:t>
      </w:r>
      <w:r>
        <w:t xml:space="preserve"> and which does not </w:t>
      </w:r>
      <w:r w:rsidR="00655BF6">
        <w:t xml:space="preserve">make </w:t>
      </w:r>
      <w:r>
        <w:t xml:space="preserve">their return </w:t>
      </w:r>
      <w:r w:rsidR="00655BF6">
        <w:t xml:space="preserve">conditional on </w:t>
      </w:r>
      <w:r>
        <w:t>certain conditions</w:t>
      </w:r>
      <w:r w:rsidR="008F5B14">
        <w:t>,</w:t>
      </w:r>
      <w:r>
        <w:t xml:space="preserve"> is </w:t>
      </w:r>
      <w:r w:rsidR="00655BF6">
        <w:t>R</w:t>
      </w:r>
      <w:r>
        <w:t>ule 114</w:t>
      </w:r>
      <w:r w:rsidR="00655BF6">
        <w:t xml:space="preserve"> of </w:t>
      </w:r>
      <w:r>
        <w:t xml:space="preserve">the </w:t>
      </w:r>
      <w:r w:rsidR="00655BF6">
        <w:t>R</w:t>
      </w:r>
      <w:r>
        <w:t xml:space="preserve">ules of </w:t>
      </w:r>
      <w:r w:rsidR="00655BF6">
        <w:t>C</w:t>
      </w:r>
      <w:r>
        <w:t xml:space="preserve">ustomary </w:t>
      </w:r>
      <w:r w:rsidR="00655BF6">
        <w:t>I</w:t>
      </w:r>
      <w:r>
        <w:t xml:space="preserve">nternational </w:t>
      </w:r>
      <w:r w:rsidR="00655BF6">
        <w:t>Humanitarian L</w:t>
      </w:r>
      <w:r>
        <w:t xml:space="preserve">aw of the </w:t>
      </w:r>
      <w:r w:rsidR="00655BF6">
        <w:t>ICRC</w:t>
      </w:r>
      <w:r>
        <w:t xml:space="preserve">. This </w:t>
      </w:r>
      <w:r w:rsidR="00655BF6">
        <w:t>R</w:t>
      </w:r>
      <w:r>
        <w:t xml:space="preserve">ule requires the parties to </w:t>
      </w:r>
      <w:r w:rsidR="00EE7E13" w:rsidRPr="00EE7E13">
        <w:rPr>
          <w:i/>
          <w:iCs/>
        </w:rPr>
        <w:t>“</w:t>
      </w:r>
      <w:r w:rsidR="008F5B14">
        <w:t>endeavour</w:t>
      </w:r>
      <w:r w:rsidR="00EE7E13" w:rsidRPr="00EE7E13">
        <w:rPr>
          <w:i/>
          <w:iCs/>
        </w:rPr>
        <w:t>”</w:t>
      </w:r>
      <w:r>
        <w:t xml:space="preserve"> to facilitate the return of </w:t>
      </w:r>
      <w:r w:rsidR="00655BF6">
        <w:t>corpses</w:t>
      </w:r>
      <w:r>
        <w:t>.</w:t>
      </w:r>
      <w:r w:rsidR="005C7609">
        <w:rPr>
          <w:rStyle w:val="FootnoteReference"/>
        </w:rPr>
        <w:footnoteReference w:id="66"/>
      </w:r>
      <w:r>
        <w:t xml:space="preserve"> The Red Cross</w:t>
      </w:r>
      <w:r w:rsidR="00EE7E13" w:rsidRPr="00EE7E13">
        <w:rPr>
          <w:i/>
          <w:iCs/>
        </w:rPr>
        <w:t>’</w:t>
      </w:r>
      <w:r>
        <w:t xml:space="preserve"> interpretation of the First Geneva Convention also indicates a </w:t>
      </w:r>
      <w:r w:rsidR="00655BF6">
        <w:t xml:space="preserve">preference for </w:t>
      </w:r>
      <w:r>
        <w:t xml:space="preserve">returning the bodies to </w:t>
      </w:r>
      <w:r w:rsidR="00655BF6">
        <w:t>the de</w:t>
      </w:r>
      <w:r w:rsidR="008F5B14">
        <w:t>ceased</w:t>
      </w:r>
      <w:r w:rsidR="00655BF6">
        <w:t xml:space="preserve">’s </w:t>
      </w:r>
      <w:r>
        <w:t>relatives.</w:t>
      </w:r>
      <w:r w:rsidR="005C7609">
        <w:rPr>
          <w:rStyle w:val="FootnoteReference"/>
        </w:rPr>
        <w:footnoteReference w:id="67"/>
      </w:r>
    </w:p>
    <w:p w14:paraId="5F869675" w14:textId="1B05DA6F" w:rsidR="00E76492" w:rsidRDefault="00E76492" w:rsidP="00410ADC">
      <w:pPr>
        <w:spacing w:line="360" w:lineRule="auto"/>
        <w:jc w:val="both"/>
      </w:pPr>
      <w:r>
        <w:t xml:space="preserve">To sum up </w:t>
      </w:r>
      <w:r w:rsidR="00655BF6">
        <w:t xml:space="preserve">thus </w:t>
      </w:r>
      <w:r>
        <w:t xml:space="preserve">far, we can say that the </w:t>
      </w:r>
      <w:r w:rsidR="00EE7E13" w:rsidRPr="00EE7E13">
        <w:rPr>
          <w:i/>
          <w:iCs/>
        </w:rPr>
        <w:t>“</w:t>
      </w:r>
      <w:r>
        <w:t>dry</w:t>
      </w:r>
      <w:r w:rsidR="00EE7E13" w:rsidRPr="00EE7E13">
        <w:rPr>
          <w:i/>
          <w:iCs/>
        </w:rPr>
        <w:t>”</w:t>
      </w:r>
      <w:r>
        <w:t xml:space="preserve"> law does not introduce an obligation to return </w:t>
      </w:r>
      <w:r w:rsidR="008F5B14">
        <w:t>corpses</w:t>
      </w:r>
      <w:r>
        <w:t xml:space="preserve">, but does include a request from the parties to </w:t>
      </w:r>
      <w:r w:rsidR="00EE7E13" w:rsidRPr="00EE7E13">
        <w:rPr>
          <w:i/>
          <w:iCs/>
        </w:rPr>
        <w:t>“</w:t>
      </w:r>
      <w:r>
        <w:t>consider</w:t>
      </w:r>
      <w:r w:rsidR="00EE7E13" w:rsidRPr="00EE7E13">
        <w:rPr>
          <w:i/>
          <w:iCs/>
        </w:rPr>
        <w:t>”</w:t>
      </w:r>
      <w:r>
        <w:t xml:space="preserve"> and </w:t>
      </w:r>
      <w:r w:rsidR="00EE7E13" w:rsidRPr="00EE7E13">
        <w:rPr>
          <w:i/>
          <w:iCs/>
        </w:rPr>
        <w:t>“</w:t>
      </w:r>
      <w:r>
        <w:t>try</w:t>
      </w:r>
      <w:r w:rsidR="00EE7E13" w:rsidRPr="00EE7E13">
        <w:rPr>
          <w:i/>
          <w:iCs/>
        </w:rPr>
        <w:t>”</w:t>
      </w:r>
      <w:r>
        <w:t xml:space="preserve"> to </w:t>
      </w:r>
      <w:r w:rsidR="008F5B14">
        <w:t xml:space="preserve">permit </w:t>
      </w:r>
      <w:r>
        <w:t xml:space="preserve">their return. However, this examination of international law is incomplete. It is not possible to draw one conclusion or another regarding the legality of the operation without also considering the violation of human dignity </w:t>
      </w:r>
      <w:r w:rsidR="008F5B14">
        <w:t xml:space="preserve">inherent in </w:t>
      </w:r>
      <w:r>
        <w:t xml:space="preserve">the possession of </w:t>
      </w:r>
      <w:r w:rsidR="008F5B14">
        <w:t xml:space="preserve">the </w:t>
      </w:r>
      <w:r>
        <w:t xml:space="preserve">corpses. A discussion of </w:t>
      </w:r>
      <w:r w:rsidR="00655BF6">
        <w:t xml:space="preserve">the </w:t>
      </w:r>
      <w:r>
        <w:t xml:space="preserve">issue without reference to human dignity is partial </w:t>
      </w:r>
      <w:r w:rsidR="00655BF6">
        <w:t xml:space="preserve">at best, </w:t>
      </w:r>
      <w:r>
        <w:t xml:space="preserve">and </w:t>
      </w:r>
      <w:r w:rsidR="00655BF6">
        <w:t xml:space="preserve">not sufficiently </w:t>
      </w:r>
      <w:r>
        <w:t>exhaustive.</w:t>
      </w:r>
    </w:p>
    <w:p w14:paraId="41B49EF8" w14:textId="77777777" w:rsidR="00655BF6" w:rsidRDefault="00655BF6" w:rsidP="00410ADC">
      <w:pPr>
        <w:spacing w:line="360" w:lineRule="auto"/>
        <w:jc w:val="both"/>
        <w:rPr>
          <w:b/>
          <w:bCs/>
          <w:u w:val="single"/>
        </w:rPr>
      </w:pPr>
    </w:p>
    <w:p w14:paraId="4946FF4A" w14:textId="14BC0BE3" w:rsidR="00E76492" w:rsidRPr="005C7609" w:rsidRDefault="00E76492" w:rsidP="00410ADC">
      <w:pPr>
        <w:spacing w:line="360" w:lineRule="auto"/>
        <w:jc w:val="both"/>
        <w:rPr>
          <w:b/>
          <w:bCs/>
          <w:u w:val="single"/>
        </w:rPr>
      </w:pPr>
      <w:r w:rsidRPr="005C7609">
        <w:rPr>
          <w:b/>
          <w:bCs/>
          <w:u w:val="single"/>
        </w:rPr>
        <w:t xml:space="preserve">Possession of </w:t>
      </w:r>
      <w:r w:rsidR="00735079">
        <w:rPr>
          <w:b/>
          <w:bCs/>
          <w:u w:val="single"/>
        </w:rPr>
        <w:t>C</w:t>
      </w:r>
      <w:r w:rsidRPr="005C7609">
        <w:rPr>
          <w:b/>
          <w:bCs/>
          <w:u w:val="single"/>
        </w:rPr>
        <w:t xml:space="preserve">orpses </w:t>
      </w:r>
      <w:r w:rsidR="00735079" w:rsidRPr="005C7609">
        <w:rPr>
          <w:b/>
          <w:bCs/>
          <w:u w:val="single"/>
        </w:rPr>
        <w:t xml:space="preserve">Under International Law </w:t>
      </w:r>
      <w:r w:rsidR="00735079">
        <w:rPr>
          <w:b/>
          <w:bCs/>
          <w:u w:val="single"/>
        </w:rPr>
        <w:t>–</w:t>
      </w:r>
      <w:r w:rsidR="00735079" w:rsidRPr="005C7609">
        <w:rPr>
          <w:b/>
          <w:bCs/>
          <w:u w:val="single"/>
        </w:rPr>
        <w:t xml:space="preserve"> The Right </w:t>
      </w:r>
      <w:r w:rsidRPr="005C7609">
        <w:rPr>
          <w:b/>
          <w:bCs/>
          <w:u w:val="single"/>
        </w:rPr>
        <w:t xml:space="preserve">to </w:t>
      </w:r>
      <w:r w:rsidR="00735079">
        <w:rPr>
          <w:b/>
          <w:bCs/>
          <w:u w:val="single"/>
        </w:rPr>
        <w:t>D</w:t>
      </w:r>
      <w:r w:rsidRPr="005C7609">
        <w:rPr>
          <w:b/>
          <w:bCs/>
          <w:u w:val="single"/>
        </w:rPr>
        <w:t>ignity</w:t>
      </w:r>
    </w:p>
    <w:p w14:paraId="43BC8C3B" w14:textId="57982A1B" w:rsidR="00E76492" w:rsidRDefault="00E76492" w:rsidP="00410ADC">
      <w:pPr>
        <w:spacing w:line="360" w:lineRule="auto"/>
        <w:jc w:val="both"/>
      </w:pPr>
      <w:r>
        <w:t xml:space="preserve">The right to dignity is an integral part of international human rights </w:t>
      </w:r>
      <w:r w:rsidR="00735079">
        <w:t>law</w:t>
      </w:r>
      <w:r>
        <w:t xml:space="preserve">. Many </w:t>
      </w:r>
      <w:r w:rsidR="00735079">
        <w:t xml:space="preserve">references </w:t>
      </w:r>
      <w:r w:rsidR="00E948BC">
        <w:t>can be found</w:t>
      </w:r>
      <w:r w:rsidR="00E948BC">
        <w:t xml:space="preserve"> </w:t>
      </w:r>
      <w:r w:rsidR="00735079">
        <w:t xml:space="preserve">in international law </w:t>
      </w:r>
      <w:r w:rsidR="00E948BC">
        <w:t xml:space="preserve">to </w:t>
      </w:r>
      <w:r w:rsidR="00735079">
        <w:t xml:space="preserve">protecting </w:t>
      </w:r>
      <w:r>
        <w:t>a person</w:t>
      </w:r>
      <w:r w:rsidR="00EE7E13" w:rsidRPr="00EE7E13">
        <w:rPr>
          <w:i/>
          <w:iCs/>
        </w:rPr>
        <w:t>’</w:t>
      </w:r>
      <w:r>
        <w:t>s dignity. Let us turn to a few notable examples:</w:t>
      </w:r>
      <w:r w:rsidR="005C7609">
        <w:rPr>
          <w:rStyle w:val="FootnoteReference"/>
        </w:rPr>
        <w:footnoteReference w:id="68"/>
      </w:r>
    </w:p>
    <w:p w14:paraId="335C7ED0" w14:textId="4459646D" w:rsidR="00E76492" w:rsidRDefault="00E76492" w:rsidP="00410ADC">
      <w:pPr>
        <w:spacing w:line="360" w:lineRule="auto"/>
        <w:jc w:val="both"/>
      </w:pPr>
      <w:r>
        <w:t>Article 1</w:t>
      </w:r>
      <w:r w:rsidR="005C7609">
        <w:rPr>
          <w:rStyle w:val="FootnoteReference"/>
        </w:rPr>
        <w:footnoteReference w:id="69"/>
      </w:r>
      <w:r>
        <w:t xml:space="preserve"> of the Universal Declaration of Human Rights:</w:t>
      </w:r>
    </w:p>
    <w:p w14:paraId="7E79C10F" w14:textId="1AC00615" w:rsidR="00E76492" w:rsidRPr="005C7609" w:rsidRDefault="00735079" w:rsidP="005C7609">
      <w:pPr>
        <w:ind w:left="1134" w:right="1134"/>
        <w:jc w:val="both"/>
        <w:rPr>
          <w:i/>
          <w:iCs/>
        </w:rPr>
      </w:pPr>
      <w:r w:rsidRPr="00735079">
        <w:lastRenderedPageBreak/>
        <w:t>“</w:t>
      </w:r>
      <w:r w:rsidR="00E76492" w:rsidRPr="005C7609">
        <w:rPr>
          <w:i/>
          <w:iCs/>
        </w:rPr>
        <w:t>All human beings are born free and equal in dignity and rights. They are endowed with reason and conscience and should act towards one another in a spirit of brotherhood.</w:t>
      </w:r>
      <w:r w:rsidRPr="00735079">
        <w:t>”</w:t>
      </w:r>
      <w:r w:rsidR="005C7609" w:rsidRPr="00735079">
        <w:rPr>
          <w:rStyle w:val="FootnoteReference"/>
        </w:rPr>
        <w:footnoteReference w:id="70"/>
      </w:r>
    </w:p>
    <w:p w14:paraId="1FF051F0" w14:textId="4E5FD402" w:rsidR="00E76492" w:rsidRDefault="00E76492" w:rsidP="00735079">
      <w:pPr>
        <w:spacing w:line="360" w:lineRule="auto"/>
        <w:jc w:val="both"/>
      </w:pPr>
      <w:r>
        <w:t>Article 10 of the Convention on Civil and Political Rights:</w:t>
      </w:r>
      <w:r w:rsidR="005C7609">
        <w:rPr>
          <w:rStyle w:val="FootnoteReference"/>
        </w:rPr>
        <w:footnoteReference w:id="71"/>
      </w:r>
    </w:p>
    <w:p w14:paraId="618436D5" w14:textId="08135058" w:rsidR="00E76492" w:rsidRPr="005C7609" w:rsidRDefault="00735079" w:rsidP="005C7609">
      <w:pPr>
        <w:ind w:left="1134" w:right="1134"/>
        <w:jc w:val="both"/>
        <w:rPr>
          <w:i/>
          <w:iCs/>
        </w:rPr>
      </w:pPr>
      <w:r w:rsidRPr="00735079">
        <w:t>“</w:t>
      </w:r>
      <w:r w:rsidR="00E76492" w:rsidRPr="005C7609">
        <w:rPr>
          <w:i/>
          <w:iCs/>
        </w:rPr>
        <w:t>All persons deprived of their liberty shall be treated with humanity and with respect for the inherent dignity of the human person.</w:t>
      </w:r>
      <w:r w:rsidRPr="00735079">
        <w:t>”</w:t>
      </w:r>
    </w:p>
    <w:p w14:paraId="283870A2" w14:textId="77777777" w:rsidR="00E76492" w:rsidRDefault="00E76492" w:rsidP="00735079">
      <w:pPr>
        <w:spacing w:line="360" w:lineRule="auto"/>
        <w:jc w:val="both"/>
      </w:pPr>
      <w:r>
        <w:t xml:space="preserve"> Common Article 3 of the Geneva Conventions:</w:t>
      </w:r>
    </w:p>
    <w:p w14:paraId="1845B5DE" w14:textId="7FD25DA3" w:rsidR="00E76492" w:rsidRPr="005C7609" w:rsidRDefault="00735079" w:rsidP="005C7609">
      <w:pPr>
        <w:ind w:left="1134" w:right="1134"/>
        <w:jc w:val="both"/>
        <w:rPr>
          <w:i/>
          <w:iCs/>
        </w:rPr>
      </w:pPr>
      <w:r w:rsidRPr="00735079">
        <w:t>“</w:t>
      </w:r>
      <w:r w:rsidR="00E76492" w:rsidRPr="005C7609">
        <w:rPr>
          <w:i/>
          <w:iCs/>
        </w:rPr>
        <w:t>In the case of armed conflict not of an international character occurring in the territory of one of the High Contracting Parties, each Party to the conflict shall be bound to apply, as a minimum, the following provisions:</w:t>
      </w:r>
    </w:p>
    <w:p w14:paraId="455ED645" w14:textId="77777777" w:rsidR="00E76492" w:rsidRPr="005C7609" w:rsidRDefault="00E76492" w:rsidP="005C7609">
      <w:pPr>
        <w:ind w:left="1134" w:right="1134"/>
        <w:jc w:val="both"/>
        <w:rPr>
          <w:i/>
          <w:iCs/>
        </w:rPr>
      </w:pPr>
      <w:r w:rsidRPr="005C7609">
        <w:rPr>
          <w:i/>
          <w:iCs/>
        </w:rPr>
        <w:t>…</w:t>
      </w:r>
    </w:p>
    <w:p w14:paraId="624EFFFD" w14:textId="78612418" w:rsidR="00E76492" w:rsidRPr="005C7609" w:rsidRDefault="00E76492" w:rsidP="005C7609">
      <w:pPr>
        <w:ind w:left="1134" w:right="1134"/>
        <w:jc w:val="both"/>
        <w:rPr>
          <w:i/>
          <w:iCs/>
        </w:rPr>
      </w:pPr>
      <w:r w:rsidRPr="005C7609">
        <w:rPr>
          <w:i/>
          <w:iCs/>
        </w:rPr>
        <w:t>outrages upon personal dignity, in particular, humiliating and degrading treatment;</w:t>
      </w:r>
      <w:r w:rsidR="00735079" w:rsidRPr="00735079">
        <w:t>”</w:t>
      </w:r>
      <w:r w:rsidR="005C7609" w:rsidRPr="00735079">
        <w:rPr>
          <w:rStyle w:val="FootnoteReference"/>
        </w:rPr>
        <w:footnoteReference w:id="72"/>
      </w:r>
    </w:p>
    <w:p w14:paraId="0BBF6E78" w14:textId="77777777" w:rsidR="00E76492" w:rsidRDefault="00E76492" w:rsidP="00E76492">
      <w:pPr>
        <w:jc w:val="both"/>
      </w:pPr>
    </w:p>
    <w:p w14:paraId="49FDB81A" w14:textId="6AE65939" w:rsidR="00E76492" w:rsidRDefault="00735079" w:rsidP="00735079">
      <w:pPr>
        <w:spacing w:line="360" w:lineRule="auto"/>
        <w:jc w:val="both"/>
      </w:pPr>
      <w:r>
        <w:t xml:space="preserve">The </w:t>
      </w:r>
      <w:r w:rsidR="00E76492">
        <w:t xml:space="preserve">Introduction to the Convention against Torture and </w:t>
      </w:r>
      <w:r>
        <w:t xml:space="preserve">Other </w:t>
      </w:r>
      <w:r w:rsidR="00E76492">
        <w:t>Cruel, Inhuman</w:t>
      </w:r>
      <w:r>
        <w:t>,</w:t>
      </w:r>
      <w:r w:rsidR="00E76492">
        <w:t xml:space="preserve"> or Degrading Treatment or Punishment:</w:t>
      </w:r>
      <w:r w:rsidR="005C7609">
        <w:rPr>
          <w:rStyle w:val="FootnoteReference"/>
        </w:rPr>
        <w:footnoteReference w:id="73"/>
      </w:r>
    </w:p>
    <w:p w14:paraId="258C945D" w14:textId="439E61E5" w:rsidR="00E76492" w:rsidRDefault="00735079" w:rsidP="00735079">
      <w:pPr>
        <w:ind w:left="1134" w:right="1134"/>
        <w:jc w:val="both"/>
      </w:pPr>
      <w:r>
        <w:t>“</w:t>
      </w:r>
      <w:r w:rsidR="00E76492" w:rsidRPr="00735079">
        <w:rPr>
          <w:i/>
          <w:iCs/>
        </w:rPr>
        <w:t xml:space="preserve">Recognizing that those rights derive from the inherent dignity of the human </w:t>
      </w:r>
      <w:r w:rsidR="00A5597F" w:rsidRPr="00735079">
        <w:rPr>
          <w:i/>
          <w:iCs/>
        </w:rPr>
        <w:t>person.</w:t>
      </w:r>
      <w:r>
        <w:t>”</w:t>
      </w:r>
    </w:p>
    <w:p w14:paraId="1D24823D" w14:textId="3D3DDB05" w:rsidR="00E76492" w:rsidRDefault="00E76492" w:rsidP="00735079">
      <w:pPr>
        <w:spacing w:line="360" w:lineRule="auto"/>
        <w:jc w:val="both"/>
      </w:pPr>
      <w:r>
        <w:t>These sources are just a few of the examples of international law</w:t>
      </w:r>
      <w:r w:rsidR="00EE7E13" w:rsidRPr="00EE7E13">
        <w:rPr>
          <w:i/>
          <w:iCs/>
        </w:rPr>
        <w:t>’</w:t>
      </w:r>
      <w:r>
        <w:t>s treatment of human rights in general and dignity in particular. It is undisputed</w:t>
      </w:r>
      <w:r w:rsidR="00735079">
        <w:t>,</w:t>
      </w:r>
      <w:r>
        <w:t xml:space="preserve"> that the right to dignity is a fundamental right, an integral and significant right</w:t>
      </w:r>
      <w:r w:rsidR="00735079">
        <w:t>,</w:t>
      </w:r>
      <w:r>
        <w:t xml:space="preserve"> </w:t>
      </w:r>
      <w:r w:rsidR="00735079">
        <w:t xml:space="preserve">with numerous protections </w:t>
      </w:r>
      <w:r>
        <w:t>in international law. This is of course also true of domestic law in many countries.</w:t>
      </w:r>
      <w:r w:rsidR="00480D12">
        <w:rPr>
          <w:rStyle w:val="FootnoteReference"/>
        </w:rPr>
        <w:footnoteReference w:id="74"/>
      </w:r>
      <w:r>
        <w:t xml:space="preserve"> </w:t>
      </w:r>
      <w:r w:rsidR="00735079">
        <w:t>Thus</w:t>
      </w:r>
      <w:r>
        <w:t xml:space="preserve">, then the question that </w:t>
      </w:r>
      <w:r w:rsidR="00735079">
        <w:t xml:space="preserve">must be </w:t>
      </w:r>
      <w:r>
        <w:t xml:space="preserve">asked is whether the very act of becoming a tool for negotiation, that is, a bargaining chip, causes a violation of human dignity. This question has been discussed and decided </w:t>
      </w:r>
      <w:r w:rsidR="00735079">
        <w:t>by</w:t>
      </w:r>
      <w:r>
        <w:t xml:space="preserve"> various courts, both in Israel and in international courts.</w:t>
      </w:r>
    </w:p>
    <w:p w14:paraId="1CA51875" w14:textId="65F2BAC7" w:rsidR="00E76492" w:rsidRDefault="00E76492" w:rsidP="00735079">
      <w:pPr>
        <w:spacing w:line="360" w:lineRule="auto"/>
        <w:jc w:val="both"/>
      </w:pPr>
      <w:r>
        <w:t xml:space="preserve">On October 16, 1986, the Israeli navigator Ron Arad fell </w:t>
      </w:r>
      <w:r w:rsidR="00735079">
        <w:t xml:space="preserve">into the hands of </w:t>
      </w:r>
      <w:r>
        <w:t xml:space="preserve">the terrorist organization </w:t>
      </w:r>
      <w:r w:rsidR="00735079">
        <w:t>“</w:t>
      </w:r>
      <w:r>
        <w:t>Amal</w:t>
      </w:r>
      <w:r w:rsidR="00735079">
        <w:t>”</w:t>
      </w:r>
      <w:r>
        <w:t xml:space="preserve"> in Lebanon. The issue of the fate of Ron Arad preoccupied the State of Israel, which used many different </w:t>
      </w:r>
      <w:r>
        <w:lastRenderedPageBreak/>
        <w:t xml:space="preserve">tools to </w:t>
      </w:r>
      <w:r w:rsidR="00735079">
        <w:t xml:space="preserve">inquire after </w:t>
      </w:r>
      <w:r>
        <w:t>his fate and locate him. One of those tools was the capture of Sheikh</w:t>
      </w:r>
      <w:r w:rsidR="00735079">
        <w:t>s</w:t>
      </w:r>
      <w:r>
        <w:t xml:space="preserve"> Abd al-Karim Obeid and Mustafa </w:t>
      </w:r>
      <w:proofErr w:type="spellStart"/>
      <w:r w:rsidR="00E948BC">
        <w:t>Dirani</w:t>
      </w:r>
      <w:proofErr w:type="spellEnd"/>
      <w:r>
        <w:t xml:space="preserve">, in the hope that the two would serve as </w:t>
      </w:r>
      <w:r w:rsidR="00AA6316">
        <w:t xml:space="preserve">bargaining chips in </w:t>
      </w:r>
      <w:r>
        <w:t xml:space="preserve">negotiations for the release of Ron Arad. </w:t>
      </w:r>
      <w:r w:rsidR="00AA6316">
        <w:t>A petition was filed with the High Court of Justice a</w:t>
      </w:r>
      <w:r>
        <w:t xml:space="preserve">gainst </w:t>
      </w:r>
      <w:r w:rsidR="00AA6316">
        <w:t xml:space="preserve">turning them into </w:t>
      </w:r>
      <w:r>
        <w:t>bargaining chip</w:t>
      </w:r>
      <w:r w:rsidR="00AA6316">
        <w:t>s.</w:t>
      </w:r>
      <w:r w:rsidR="00480D12">
        <w:rPr>
          <w:rStyle w:val="FootnoteReference"/>
        </w:rPr>
        <w:footnoteReference w:id="75"/>
      </w:r>
      <w:r>
        <w:t xml:space="preserve"> </w:t>
      </w:r>
      <w:r w:rsidR="00AA6316">
        <w:t xml:space="preserve">The High Court </w:t>
      </w:r>
      <w:r>
        <w:t xml:space="preserve">ruled the </w:t>
      </w:r>
      <w:r w:rsidR="00AA6316">
        <w:t xml:space="preserve">action </w:t>
      </w:r>
      <w:r>
        <w:t xml:space="preserve">legal. This ruling was further </w:t>
      </w:r>
      <w:r w:rsidR="00AA6316">
        <w:t xml:space="preserve">deliberated in the setting of </w:t>
      </w:r>
      <w:r>
        <w:t>an expanded panel of nine judges</w:t>
      </w:r>
      <w:r w:rsidR="00E60DDD">
        <w:rPr>
          <w:rStyle w:val="FootnoteReference"/>
        </w:rPr>
        <w:footnoteReference w:id="76"/>
      </w:r>
      <w:r>
        <w:t xml:space="preserve"> who ruled that:</w:t>
      </w:r>
    </w:p>
    <w:p w14:paraId="04A8001F" w14:textId="2F1A9AAA" w:rsidR="00E76492" w:rsidRPr="00E60DDD" w:rsidRDefault="00AA6316" w:rsidP="00E60DDD">
      <w:pPr>
        <w:jc w:val="center"/>
        <w:rPr>
          <w:b/>
          <w:bCs/>
        </w:rPr>
      </w:pPr>
      <w:r w:rsidRPr="00AA6316">
        <w:t>“</w:t>
      </w:r>
      <w:r w:rsidRPr="00AA6316">
        <w:rPr>
          <w:b/>
          <w:bCs/>
          <w:i/>
          <w:iCs/>
        </w:rPr>
        <w:t>H</w:t>
      </w:r>
      <w:r w:rsidR="00E76492" w:rsidRPr="00AA6316">
        <w:rPr>
          <w:b/>
          <w:bCs/>
          <w:i/>
          <w:iCs/>
        </w:rPr>
        <w:t xml:space="preserve">olding human beings as </w:t>
      </w:r>
      <w:r w:rsidR="00EE7E13" w:rsidRPr="00AA6316">
        <w:rPr>
          <w:b/>
          <w:bCs/>
          <w:i/>
          <w:iCs/>
        </w:rPr>
        <w:t>“</w:t>
      </w:r>
      <w:r w:rsidR="00E76492" w:rsidRPr="00AA6316">
        <w:rPr>
          <w:b/>
          <w:bCs/>
          <w:i/>
          <w:iCs/>
        </w:rPr>
        <w:t>bargaining chips</w:t>
      </w:r>
      <w:r w:rsidR="00EE7E13" w:rsidRPr="00AA6316">
        <w:rPr>
          <w:b/>
          <w:bCs/>
          <w:i/>
          <w:iCs/>
        </w:rPr>
        <w:t>”</w:t>
      </w:r>
      <w:r w:rsidR="00E76492" w:rsidRPr="00AA6316">
        <w:rPr>
          <w:b/>
          <w:bCs/>
          <w:i/>
          <w:iCs/>
        </w:rPr>
        <w:t xml:space="preserve"> is prohibited under international law</w:t>
      </w:r>
      <w:r w:rsidR="00E76492" w:rsidRPr="00E60DDD">
        <w:rPr>
          <w:b/>
          <w:bCs/>
        </w:rPr>
        <w:t>.</w:t>
      </w:r>
      <w:r w:rsidRPr="00AA6316">
        <w:t>”</w:t>
      </w:r>
      <w:r w:rsidR="00E60DDD" w:rsidRPr="00AA6316">
        <w:rPr>
          <w:rStyle w:val="FootnoteReference"/>
        </w:rPr>
        <w:footnoteReference w:id="77"/>
      </w:r>
    </w:p>
    <w:p w14:paraId="3C1960E8" w14:textId="1BD95F7F" w:rsidR="00E76492" w:rsidRDefault="00E76492" w:rsidP="00E76492">
      <w:pPr>
        <w:jc w:val="both"/>
      </w:pPr>
      <w:r>
        <w:t xml:space="preserve">The </w:t>
      </w:r>
      <w:r w:rsidR="00AA6316">
        <w:t>C</w:t>
      </w:r>
      <w:r>
        <w:t>ourt further concluded in this matter that:</w:t>
      </w:r>
    </w:p>
    <w:p w14:paraId="34A76E3D" w14:textId="2AF75730" w:rsidR="00E76492" w:rsidRDefault="00AA6316" w:rsidP="00E60DDD">
      <w:pPr>
        <w:ind w:left="1134" w:right="1134"/>
        <w:jc w:val="both"/>
      </w:pPr>
      <w:r>
        <w:t>“</w:t>
      </w:r>
      <w:r w:rsidR="00E76492" w:rsidRPr="00AA6316">
        <w:rPr>
          <w:i/>
          <w:iCs/>
        </w:rPr>
        <w:t xml:space="preserve">A person who has committed </w:t>
      </w:r>
      <w:r>
        <w:rPr>
          <w:i/>
          <w:iCs/>
        </w:rPr>
        <w:t>no crime</w:t>
      </w:r>
      <w:r w:rsidR="00E76492" w:rsidRPr="00AA6316">
        <w:rPr>
          <w:i/>
          <w:iCs/>
        </w:rPr>
        <w:t xml:space="preserve">, and from whom there is no danger, </w:t>
      </w:r>
      <w:r>
        <w:rPr>
          <w:i/>
          <w:iCs/>
        </w:rPr>
        <w:t xml:space="preserve">whose only </w:t>
      </w:r>
      <w:r w:rsidR="00EE7E13" w:rsidRPr="00AA6316">
        <w:rPr>
          <w:i/>
          <w:iCs/>
        </w:rPr>
        <w:t>“</w:t>
      </w:r>
      <w:r w:rsidR="00E76492" w:rsidRPr="00AA6316">
        <w:rPr>
          <w:i/>
          <w:iCs/>
        </w:rPr>
        <w:t>sin</w:t>
      </w:r>
      <w:r w:rsidR="00EE7E13" w:rsidRPr="00AA6316">
        <w:rPr>
          <w:i/>
          <w:iCs/>
        </w:rPr>
        <w:t>”</w:t>
      </w:r>
      <w:r w:rsidR="00E76492" w:rsidRPr="00AA6316">
        <w:rPr>
          <w:i/>
          <w:iCs/>
        </w:rPr>
        <w:t xml:space="preserve"> </w:t>
      </w:r>
      <w:r>
        <w:rPr>
          <w:i/>
          <w:iCs/>
        </w:rPr>
        <w:t>–</w:t>
      </w:r>
      <w:r w:rsidR="00E76492" w:rsidRPr="00AA6316">
        <w:rPr>
          <w:i/>
          <w:iCs/>
        </w:rPr>
        <w:t xml:space="preserve"> </w:t>
      </w:r>
      <w:r>
        <w:rPr>
          <w:i/>
          <w:iCs/>
        </w:rPr>
        <w:t xml:space="preserve">is </w:t>
      </w:r>
      <w:r w:rsidR="00E76492" w:rsidRPr="00AA6316">
        <w:rPr>
          <w:i/>
          <w:iCs/>
        </w:rPr>
        <w:t xml:space="preserve">being a </w:t>
      </w:r>
      <w:r w:rsidR="00EE7E13" w:rsidRPr="00AA6316">
        <w:rPr>
          <w:i/>
          <w:iCs/>
        </w:rPr>
        <w:t>“</w:t>
      </w:r>
      <w:r w:rsidR="00E76492" w:rsidRPr="00AA6316">
        <w:rPr>
          <w:i/>
          <w:iCs/>
        </w:rPr>
        <w:t>bargaining chip</w:t>
      </w:r>
      <w:r w:rsidR="00EE7E13" w:rsidRPr="00AA6316">
        <w:rPr>
          <w:i/>
          <w:iCs/>
        </w:rPr>
        <w:t>”</w:t>
      </w:r>
      <w:r w:rsidR="00E76492" w:rsidRPr="00AA6316">
        <w:rPr>
          <w:i/>
          <w:iCs/>
        </w:rPr>
        <w:t xml:space="preserve">. </w:t>
      </w:r>
      <w:r w:rsidR="00E76492" w:rsidRPr="00AA6316">
        <w:rPr>
          <w:b/>
          <w:bCs/>
          <w:i/>
          <w:iCs/>
        </w:rPr>
        <w:t xml:space="preserve">The violation of </w:t>
      </w:r>
      <w:r>
        <w:rPr>
          <w:b/>
          <w:bCs/>
          <w:i/>
          <w:iCs/>
        </w:rPr>
        <w:t xml:space="preserve">liberty </w:t>
      </w:r>
      <w:r w:rsidR="00E76492" w:rsidRPr="00AA6316">
        <w:rPr>
          <w:b/>
          <w:bCs/>
          <w:i/>
          <w:iCs/>
        </w:rPr>
        <w:t xml:space="preserve">and </w:t>
      </w:r>
      <w:r w:rsidR="00E76492" w:rsidRPr="00AA6316">
        <w:rPr>
          <w:b/>
          <w:bCs/>
          <w:i/>
          <w:iCs/>
          <w:u w:val="single"/>
        </w:rPr>
        <w:t>dignity</w:t>
      </w:r>
      <w:r w:rsidR="00E76492" w:rsidRPr="00AA6316">
        <w:rPr>
          <w:b/>
          <w:bCs/>
          <w:i/>
          <w:iCs/>
        </w:rPr>
        <w:t xml:space="preserve"> is so substantial and profound</w:t>
      </w:r>
      <w:r>
        <w:rPr>
          <w:b/>
          <w:bCs/>
          <w:i/>
          <w:iCs/>
        </w:rPr>
        <w:t>,</w:t>
      </w:r>
      <w:r w:rsidR="00E76492" w:rsidRPr="00AA6316">
        <w:rPr>
          <w:b/>
          <w:bCs/>
          <w:i/>
          <w:iCs/>
        </w:rPr>
        <w:t xml:space="preserve"> that it cannot be tolerated in a country that seeks </w:t>
      </w:r>
      <w:r>
        <w:rPr>
          <w:b/>
          <w:bCs/>
          <w:i/>
          <w:iCs/>
        </w:rPr>
        <w:t xml:space="preserve">liberty </w:t>
      </w:r>
      <w:r w:rsidR="00E76492" w:rsidRPr="00AA6316">
        <w:rPr>
          <w:b/>
          <w:bCs/>
          <w:i/>
          <w:iCs/>
        </w:rPr>
        <w:t xml:space="preserve">and </w:t>
      </w:r>
      <w:r w:rsidR="00E76492" w:rsidRPr="00AA6316">
        <w:rPr>
          <w:b/>
          <w:bCs/>
          <w:i/>
          <w:iCs/>
          <w:u w:val="single"/>
        </w:rPr>
        <w:t>dignity</w:t>
      </w:r>
      <w:r w:rsidR="00E76492" w:rsidRPr="00AA6316">
        <w:rPr>
          <w:b/>
          <w:bCs/>
          <w:i/>
          <w:iCs/>
        </w:rPr>
        <w:t xml:space="preserve">, even if reasons of state security </w:t>
      </w:r>
      <w:r>
        <w:rPr>
          <w:b/>
          <w:bCs/>
          <w:i/>
          <w:iCs/>
        </w:rPr>
        <w:t xml:space="preserve">propel </w:t>
      </w:r>
      <w:r w:rsidR="00E76492" w:rsidRPr="00AA6316">
        <w:rPr>
          <w:b/>
          <w:bCs/>
          <w:i/>
          <w:iCs/>
        </w:rPr>
        <w:t xml:space="preserve">taking this </w:t>
      </w:r>
      <w:r w:rsidR="00E948BC">
        <w:rPr>
          <w:b/>
          <w:bCs/>
          <w:i/>
          <w:iCs/>
        </w:rPr>
        <w:t>action</w:t>
      </w:r>
      <w:r w:rsidR="00E76492" w:rsidRPr="00AA6316">
        <w:rPr>
          <w:i/>
          <w:iCs/>
        </w:rPr>
        <w:t>.</w:t>
      </w:r>
      <w:r w:rsidRPr="00AA6316">
        <w:t>”</w:t>
      </w:r>
      <w:r w:rsidR="00E60DDD">
        <w:rPr>
          <w:rStyle w:val="FootnoteReference"/>
        </w:rPr>
        <w:footnoteReference w:id="78"/>
      </w:r>
    </w:p>
    <w:p w14:paraId="163CD85B" w14:textId="058D87C8" w:rsidR="00E76492" w:rsidRDefault="00AA6316" w:rsidP="00AA6316">
      <w:pPr>
        <w:spacing w:line="360" w:lineRule="auto"/>
        <w:jc w:val="both"/>
      </w:pPr>
      <w:r>
        <w:t xml:space="preserve">Words to similar effect </w:t>
      </w:r>
      <w:r w:rsidR="00E76492">
        <w:t xml:space="preserve">were heard in a completely different </w:t>
      </w:r>
      <w:r w:rsidR="00A5597F">
        <w:t>context</w:t>
      </w:r>
      <w:r>
        <w:t xml:space="preserve"> </w:t>
      </w:r>
      <w:r w:rsidR="00A5597F">
        <w:t>when</w:t>
      </w:r>
      <w:r w:rsidR="00E76492">
        <w:t xml:space="preserve"> the Supreme Court discussed the question of the privatization of prisons in Israel. In th</w:t>
      </w:r>
      <w:r>
        <w:t>at</w:t>
      </w:r>
      <w:r w:rsidR="00E76492">
        <w:t xml:space="preserve"> judgment, the Supreme Court ruled that turning a person (a prisoner in th</w:t>
      </w:r>
      <w:r w:rsidR="00E948BC">
        <w:t>at</w:t>
      </w:r>
      <w:r w:rsidR="00E76492">
        <w:t xml:space="preserve"> case) into a profit-making tool</w:t>
      </w:r>
      <w:r>
        <w:t>,</w:t>
      </w:r>
      <w:r w:rsidR="00E76492">
        <w:t xml:space="preserve"> severely harms his dignity as a person.</w:t>
      </w:r>
      <w:r w:rsidR="00E60DDD">
        <w:rPr>
          <w:rStyle w:val="FootnoteReference"/>
        </w:rPr>
        <w:footnoteReference w:id="79"/>
      </w:r>
      <w:r w:rsidR="00E76492">
        <w:t xml:space="preserve"> In other words, actually using a person as a tool </w:t>
      </w:r>
      <w:r>
        <w:t>–</w:t>
      </w:r>
      <w:r w:rsidR="00E76492">
        <w:t xml:space="preserve"> </w:t>
      </w:r>
      <w:r>
        <w:t xml:space="preserve">a </w:t>
      </w:r>
      <w:r w:rsidR="00E76492">
        <w:t xml:space="preserve">bargaining </w:t>
      </w:r>
      <w:r>
        <w:t xml:space="preserve">chip </w:t>
      </w:r>
      <w:r w:rsidR="00E76492">
        <w:t xml:space="preserve">or </w:t>
      </w:r>
      <w:r w:rsidR="00E948BC">
        <w:t xml:space="preserve">an </w:t>
      </w:r>
      <w:r w:rsidR="00E76492">
        <w:t xml:space="preserve">economic </w:t>
      </w:r>
      <w:r w:rsidR="00E948BC">
        <w:t xml:space="preserve">tool </w:t>
      </w:r>
      <w:r>
        <w:t>–</w:t>
      </w:r>
      <w:r w:rsidR="00E76492">
        <w:t xml:space="preserve"> </w:t>
      </w:r>
      <w:r>
        <w:t>i</w:t>
      </w:r>
      <w:r w:rsidR="00E76492">
        <w:t xml:space="preserve">s a serious </w:t>
      </w:r>
      <w:r>
        <w:t xml:space="preserve">affront to </w:t>
      </w:r>
      <w:r w:rsidR="00E76492">
        <w:t>his dignity.</w:t>
      </w:r>
    </w:p>
    <w:p w14:paraId="228F1261" w14:textId="219EB629" w:rsidR="00E76492" w:rsidRDefault="00E76492" w:rsidP="00AA6316">
      <w:pPr>
        <w:spacing w:line="360" w:lineRule="auto"/>
        <w:jc w:val="both"/>
      </w:pPr>
      <w:r>
        <w:t xml:space="preserve">The </w:t>
      </w:r>
      <w:r w:rsidR="00AA6316">
        <w:t xml:space="preserve">harm </w:t>
      </w:r>
      <w:r>
        <w:t>is so severe</w:t>
      </w:r>
      <w:r w:rsidR="00AA6316">
        <w:t>,</w:t>
      </w:r>
      <w:r>
        <w:t xml:space="preserve"> that the Supreme Court banned it. Naturally, there is a difference between a living person and a deceased person. However, upon his death, the deceased does not lose his right to dignity.</w:t>
      </w:r>
      <w:r w:rsidR="00E60DDD">
        <w:rPr>
          <w:rStyle w:val="FootnoteReference"/>
        </w:rPr>
        <w:footnoteReference w:id="80"/>
      </w:r>
      <w:r>
        <w:t xml:space="preserve"> In addition, along</w:t>
      </w:r>
      <w:r w:rsidR="00AA6316">
        <w:t xml:space="preserve">side </w:t>
      </w:r>
      <w:r>
        <w:t xml:space="preserve">the dignity of the deceased, </w:t>
      </w:r>
      <w:r w:rsidR="00AA6316">
        <w:t xml:space="preserve">one must take account of </w:t>
      </w:r>
      <w:r>
        <w:t>the right</w:t>
      </w:r>
      <w:r w:rsidR="00AA6316">
        <w:t>s</w:t>
      </w:r>
      <w:r>
        <w:t xml:space="preserve"> of his family members,</w:t>
      </w:r>
      <w:r w:rsidR="00E60DDD">
        <w:rPr>
          <w:rStyle w:val="FootnoteReference"/>
        </w:rPr>
        <w:footnoteReference w:id="81"/>
      </w:r>
      <w:r>
        <w:t xml:space="preserve"> who are also harmed by their inability to go to the grave</w:t>
      </w:r>
      <w:r w:rsidR="00AA6316">
        <w:t>,</w:t>
      </w:r>
      <w:r>
        <w:t xml:space="preserve"> or hold a funeral </w:t>
      </w:r>
      <w:r w:rsidR="00AA6316">
        <w:t xml:space="preserve">in accordance with </w:t>
      </w:r>
      <w:r>
        <w:t>their custom. The</w:t>
      </w:r>
      <w:r w:rsidR="00AA6316">
        <w:t>se</w:t>
      </w:r>
      <w:r>
        <w:t xml:space="preserve"> </w:t>
      </w:r>
      <w:r w:rsidR="00AA6316">
        <w:t xml:space="preserve">matters were </w:t>
      </w:r>
      <w:r>
        <w:t xml:space="preserve">even </w:t>
      </w:r>
      <w:r w:rsidR="00AA6316">
        <w:t xml:space="preserve">raised by </w:t>
      </w:r>
      <w:r>
        <w:t>the Supreme Court</w:t>
      </w:r>
      <w:r w:rsidR="00AA6316">
        <w:t xml:space="preserve"> in the Aliyan case</w:t>
      </w:r>
      <w:r>
        <w:t>,</w:t>
      </w:r>
      <w:r w:rsidR="00E60DDD">
        <w:rPr>
          <w:rStyle w:val="FootnoteReference"/>
        </w:rPr>
        <w:footnoteReference w:id="82"/>
      </w:r>
      <w:r>
        <w:t xml:space="preserve"> despite the determination that the possession of the </w:t>
      </w:r>
      <w:r w:rsidR="00AA6316">
        <w:t xml:space="preserve">corpses </w:t>
      </w:r>
      <w:r>
        <w:t xml:space="preserve">is </w:t>
      </w:r>
      <w:r w:rsidR="00DC0410">
        <w:t>permissible</w:t>
      </w:r>
      <w:r>
        <w:t>:</w:t>
      </w:r>
    </w:p>
    <w:p w14:paraId="05A2769D" w14:textId="068BED52" w:rsidR="00E76492" w:rsidRDefault="00DC0410" w:rsidP="00DC0410">
      <w:pPr>
        <w:ind w:left="1134" w:right="1134"/>
        <w:jc w:val="both"/>
      </w:pPr>
      <w:r>
        <w:lastRenderedPageBreak/>
        <w:t>“</w:t>
      </w:r>
      <w:r w:rsidR="00E76492" w:rsidRPr="00DC0410">
        <w:rPr>
          <w:i/>
          <w:iCs/>
        </w:rPr>
        <w:t xml:space="preserve">The starting point for the debate which the state does not </w:t>
      </w:r>
      <w:r>
        <w:rPr>
          <w:i/>
          <w:iCs/>
        </w:rPr>
        <w:t xml:space="preserve">dispute, </w:t>
      </w:r>
      <w:r w:rsidR="00E76492" w:rsidRPr="00DC0410">
        <w:rPr>
          <w:i/>
          <w:iCs/>
        </w:rPr>
        <w:t xml:space="preserve">is that </w:t>
      </w:r>
      <w:r w:rsidR="00EE7E13" w:rsidRPr="00DC0410">
        <w:rPr>
          <w:i/>
          <w:iCs/>
        </w:rPr>
        <w:t>“</w:t>
      </w:r>
      <w:r w:rsidR="00E76492" w:rsidRPr="00DC0410">
        <w:rPr>
          <w:i/>
          <w:iCs/>
        </w:rPr>
        <w:t xml:space="preserve">preventing the return of terrorist </w:t>
      </w:r>
      <w:r>
        <w:rPr>
          <w:i/>
          <w:iCs/>
        </w:rPr>
        <w:t xml:space="preserve">corpses </w:t>
      </w:r>
      <w:r w:rsidR="00E76492" w:rsidRPr="00DC0410">
        <w:rPr>
          <w:i/>
          <w:iCs/>
        </w:rPr>
        <w:t xml:space="preserve">for burial by their families involves a certain violation of the </w:t>
      </w:r>
      <w:r w:rsidR="00E76492" w:rsidRPr="00DC0410">
        <w:rPr>
          <w:b/>
          <w:bCs/>
          <w:i/>
          <w:iCs/>
          <w:u w:val="single"/>
        </w:rPr>
        <w:t>dignity of the deceased and his family</w:t>
      </w:r>
      <w:r w:rsidR="00E76492" w:rsidRPr="00DC0410">
        <w:rPr>
          <w:i/>
          <w:iCs/>
        </w:rPr>
        <w:t>.</w:t>
      </w:r>
      <w:r>
        <w:t>”</w:t>
      </w:r>
      <w:r w:rsidR="00E60DDD">
        <w:rPr>
          <w:rStyle w:val="FootnoteReference"/>
        </w:rPr>
        <w:footnoteReference w:id="83"/>
      </w:r>
    </w:p>
    <w:p w14:paraId="44AD1750" w14:textId="6A9A2599" w:rsidR="00E76492" w:rsidRDefault="00E76492" w:rsidP="00DC0410">
      <w:pPr>
        <w:spacing w:line="360" w:lineRule="auto"/>
        <w:jc w:val="both"/>
      </w:pPr>
      <w:r>
        <w:t xml:space="preserve">As stated, the Supreme Court of Israel is not alone in this position. Other significant </w:t>
      </w:r>
      <w:r w:rsidR="00E948BC">
        <w:t xml:space="preserve">parties hold </w:t>
      </w:r>
      <w:r>
        <w:t>similar view</w:t>
      </w:r>
      <w:r w:rsidR="00E948BC">
        <w:t xml:space="preserve">s, like </w:t>
      </w:r>
      <w:r>
        <w:t>the Inter-American Court of Human Rights,</w:t>
      </w:r>
      <w:r w:rsidR="00E60DDD">
        <w:rPr>
          <w:rStyle w:val="FootnoteReference"/>
        </w:rPr>
        <w:footnoteReference w:id="84"/>
      </w:r>
      <w:r>
        <w:t xml:space="preserve"> the European Court of Human Rights</w:t>
      </w:r>
      <w:r w:rsidR="00E60DDD">
        <w:rPr>
          <w:rStyle w:val="FootnoteReference"/>
        </w:rPr>
        <w:footnoteReference w:id="85"/>
      </w:r>
      <w:r>
        <w:t xml:space="preserve"> and the UN Commission on Human Rights.</w:t>
      </w:r>
      <w:r w:rsidR="00E60DDD">
        <w:rPr>
          <w:rStyle w:val="FootnoteReference"/>
        </w:rPr>
        <w:footnoteReference w:id="86"/>
      </w:r>
    </w:p>
    <w:p w14:paraId="3F642D55" w14:textId="6128A17F" w:rsidR="00E76492" w:rsidRDefault="00E76492" w:rsidP="00DC0410">
      <w:pPr>
        <w:spacing w:line="360" w:lineRule="auto"/>
        <w:jc w:val="both"/>
      </w:pPr>
      <w:r>
        <w:t xml:space="preserve">In conclusion, it seems that in terms of international law there is no explicit prohibition on the possession of a </w:t>
      </w:r>
      <w:r w:rsidR="00DC0410">
        <w:t>corpse</w:t>
      </w:r>
      <w:r>
        <w:t xml:space="preserve">, but </w:t>
      </w:r>
      <w:r w:rsidR="00DC0410">
        <w:t xml:space="preserve">it involves </w:t>
      </w:r>
      <w:r>
        <w:t xml:space="preserve">a real difficulty as it is a serious violation of fundamental rights, both of the </w:t>
      </w:r>
      <w:r w:rsidR="00DC0410">
        <w:t xml:space="preserve">deceased, </w:t>
      </w:r>
      <w:r>
        <w:t xml:space="preserve">and of </w:t>
      </w:r>
      <w:r w:rsidR="00DC0410">
        <w:t xml:space="preserve">his </w:t>
      </w:r>
      <w:r>
        <w:t xml:space="preserve">family. In general, constitutional infringement is permissible in certain circumstances and subject to certain conditions, chief among them </w:t>
      </w:r>
      <w:r w:rsidR="00DC0410">
        <w:t xml:space="preserve">is </w:t>
      </w:r>
      <w:r>
        <w:t xml:space="preserve">the principle of proportionality. This principle is a general principle </w:t>
      </w:r>
      <w:r w:rsidR="00E948BC">
        <w:t xml:space="preserve">of </w:t>
      </w:r>
      <w:r>
        <w:t>international law</w:t>
      </w:r>
      <w:r w:rsidR="00E60DDD">
        <w:rPr>
          <w:rStyle w:val="FootnoteReference"/>
        </w:rPr>
        <w:footnoteReference w:id="87"/>
      </w:r>
      <w:r>
        <w:t xml:space="preserve"> and is common in many sources.</w:t>
      </w:r>
      <w:r w:rsidR="00E60DDD">
        <w:rPr>
          <w:rStyle w:val="FootnoteReference"/>
        </w:rPr>
        <w:footnoteReference w:id="88"/>
      </w:r>
      <w:r>
        <w:t xml:space="preserve"> Although there is no general agreement on </w:t>
      </w:r>
      <w:r w:rsidR="00E948BC">
        <w:t xml:space="preserve">how to test </w:t>
      </w:r>
      <w:r>
        <w:t>proportionality, I would like to adopt Prof. Yuval Shani</w:t>
      </w:r>
      <w:r w:rsidR="00EE7E13" w:rsidRPr="00EE7E13">
        <w:rPr>
          <w:i/>
          <w:iCs/>
        </w:rPr>
        <w:t>’</w:t>
      </w:r>
      <w:r>
        <w:t xml:space="preserve">s position, and make use of the sub-tests </w:t>
      </w:r>
      <w:r w:rsidR="00E948BC">
        <w:t xml:space="preserve">that </w:t>
      </w:r>
      <w:r w:rsidR="00E948BC">
        <w:t>exist</w:t>
      </w:r>
      <w:r w:rsidR="00E948BC">
        <w:t xml:space="preserve"> </w:t>
      </w:r>
      <w:r>
        <w:t>in the Israeli legal system</w:t>
      </w:r>
      <w:r w:rsidR="00E948BC">
        <w:t xml:space="preserve"> </w:t>
      </w:r>
      <w:r>
        <w:t>and in other countries.</w:t>
      </w:r>
      <w:r w:rsidR="00E60DDD">
        <w:rPr>
          <w:rStyle w:val="FootnoteReference"/>
        </w:rPr>
        <w:footnoteReference w:id="89"/>
      </w:r>
      <w:r>
        <w:t xml:space="preserve"> In Israeli law,</w:t>
      </w:r>
      <w:r w:rsidR="00E60DDD">
        <w:rPr>
          <w:rStyle w:val="FootnoteReference"/>
        </w:rPr>
        <w:footnoteReference w:id="90"/>
      </w:r>
      <w:r>
        <w:t xml:space="preserve"> the test of proportionality is a test that was born by virtue of the </w:t>
      </w:r>
      <w:r w:rsidR="00E948BC" w:rsidRPr="00E948BC">
        <w:rPr>
          <w:i/>
          <w:iCs/>
        </w:rPr>
        <w:t>S</w:t>
      </w:r>
      <w:r w:rsidR="00B1514F" w:rsidRPr="00E948BC">
        <w:rPr>
          <w:i/>
          <w:iCs/>
        </w:rPr>
        <w:t xml:space="preserve">upremacy </w:t>
      </w:r>
      <w:r w:rsidR="00E948BC" w:rsidRPr="00E948BC">
        <w:rPr>
          <w:i/>
          <w:iCs/>
        </w:rPr>
        <w:t>and Restriction Clause</w:t>
      </w:r>
      <w:r w:rsidR="00E948BC">
        <w:rPr>
          <w:i/>
          <w:iCs/>
        </w:rPr>
        <w:t>s</w:t>
      </w:r>
      <w:r>
        <w:t xml:space="preserve"> in the Basic Laws of Human Dignity and Liberty</w:t>
      </w:r>
      <w:r w:rsidR="00B1514F">
        <w:t>,</w:t>
      </w:r>
      <w:r>
        <w:t xml:space="preserve"> and Freedom of Occupation. According to the test of proportionality, in order to test the suitability of a violation of basic rights, three cumulative tests must be met:</w:t>
      </w:r>
      <w:r w:rsidR="00E60DDD">
        <w:rPr>
          <w:rStyle w:val="FootnoteReference"/>
        </w:rPr>
        <w:footnoteReference w:id="91"/>
      </w:r>
    </w:p>
    <w:p w14:paraId="012BE47C" w14:textId="75272FC7" w:rsidR="00E76492" w:rsidRDefault="00E76492" w:rsidP="00B1514F">
      <w:pPr>
        <w:pStyle w:val="ListParagraph"/>
        <w:numPr>
          <w:ilvl w:val="0"/>
          <w:numId w:val="1"/>
        </w:numPr>
        <w:spacing w:line="360" w:lineRule="auto"/>
        <w:ind w:left="714" w:hanging="357"/>
        <w:contextualSpacing w:val="0"/>
        <w:jc w:val="both"/>
      </w:pPr>
      <w:r w:rsidRPr="00A82281">
        <w:rPr>
          <w:b/>
          <w:bCs/>
        </w:rPr>
        <w:t>The rational connection test</w:t>
      </w:r>
      <w:r>
        <w:t xml:space="preserve"> </w:t>
      </w:r>
      <w:r w:rsidR="00B1514F">
        <w:t>–</w:t>
      </w:r>
      <w:r>
        <w:t xml:space="preserve"> </w:t>
      </w:r>
      <w:r w:rsidR="00B1514F">
        <w:t xml:space="preserve">Is </w:t>
      </w:r>
      <w:r>
        <w:t>there a connection between the goal</w:t>
      </w:r>
      <w:r w:rsidR="00B1514F">
        <w:t>s</w:t>
      </w:r>
      <w:r>
        <w:t xml:space="preserve"> and the means</w:t>
      </w:r>
      <w:r w:rsidR="0084542B">
        <w:t>?</w:t>
      </w:r>
      <w:r>
        <w:t xml:space="preserve"> That is, </w:t>
      </w:r>
      <w:r w:rsidR="0084542B">
        <w:t xml:space="preserve">does </w:t>
      </w:r>
      <w:r>
        <w:t>the violation of the right</w:t>
      </w:r>
      <w:r w:rsidR="0084542B">
        <w:t xml:space="preserve"> </w:t>
      </w:r>
      <w:r>
        <w:t xml:space="preserve">lead to the </w:t>
      </w:r>
      <w:r w:rsidR="00B1514F">
        <w:t xml:space="preserve">goal </w:t>
      </w:r>
      <w:r>
        <w:t xml:space="preserve">for which the violation is performed. In this case, will the violation of the dignity of the </w:t>
      </w:r>
      <w:r w:rsidR="00B1514F">
        <w:t xml:space="preserve">deceased indeed </w:t>
      </w:r>
      <w:r>
        <w:t xml:space="preserve">lead to the achievement of the goal of </w:t>
      </w:r>
      <w:r w:rsidR="00B1514F">
        <w:t xml:space="preserve">obtaining </w:t>
      </w:r>
      <w:r>
        <w:t xml:space="preserve">the </w:t>
      </w:r>
      <w:r w:rsidR="00B1514F">
        <w:t xml:space="preserve">corpses </w:t>
      </w:r>
      <w:r>
        <w:t xml:space="preserve">of </w:t>
      </w:r>
      <w:r w:rsidR="0084542B">
        <w:t>deceased</w:t>
      </w:r>
      <w:r w:rsidR="0084542B">
        <w:t xml:space="preserve"> </w:t>
      </w:r>
      <w:r>
        <w:t xml:space="preserve">IDF </w:t>
      </w:r>
      <w:r w:rsidR="00B1514F">
        <w:t>soldiers</w:t>
      </w:r>
      <w:r>
        <w:t>?</w:t>
      </w:r>
    </w:p>
    <w:p w14:paraId="0BE90AEB" w14:textId="61CC200B" w:rsidR="00E76492" w:rsidRDefault="00E76492" w:rsidP="00B1514F">
      <w:pPr>
        <w:pStyle w:val="ListParagraph"/>
        <w:numPr>
          <w:ilvl w:val="0"/>
          <w:numId w:val="1"/>
        </w:numPr>
        <w:spacing w:line="360" w:lineRule="auto"/>
        <w:ind w:left="714" w:hanging="357"/>
        <w:contextualSpacing w:val="0"/>
        <w:jc w:val="both"/>
      </w:pPr>
      <w:r w:rsidRPr="00A82281">
        <w:rPr>
          <w:b/>
          <w:bCs/>
        </w:rPr>
        <w:lastRenderedPageBreak/>
        <w:t>The least injury test</w:t>
      </w:r>
      <w:r>
        <w:t xml:space="preserve"> </w:t>
      </w:r>
      <w:r w:rsidR="00B1514F">
        <w:t>–</w:t>
      </w:r>
      <w:r>
        <w:t xml:space="preserve"> Is it possible to achieve the same goal with </w:t>
      </w:r>
      <w:r w:rsidR="0084542B">
        <w:t>less severe</w:t>
      </w:r>
      <w:r w:rsidR="0084542B">
        <w:t xml:space="preserve"> harm?</w:t>
      </w:r>
      <w:r>
        <w:t xml:space="preserve"> To m</w:t>
      </w:r>
      <w:r w:rsidR="00B1514F">
        <w:t>y mind</w:t>
      </w:r>
      <w:r>
        <w:t xml:space="preserve">, this is the most important test of proportionality that seeks to minimize the violation of fundamental rights as much as possible </w:t>
      </w:r>
      <w:r w:rsidR="00B1514F">
        <w:t>–</w:t>
      </w:r>
      <w:r>
        <w:t xml:space="preserve"> even if the violation is for a legitimate purpose.</w:t>
      </w:r>
    </w:p>
    <w:p w14:paraId="065490C0" w14:textId="247761FF" w:rsidR="00E76492" w:rsidRDefault="00E76492" w:rsidP="00B1514F">
      <w:pPr>
        <w:pStyle w:val="ListParagraph"/>
        <w:numPr>
          <w:ilvl w:val="0"/>
          <w:numId w:val="1"/>
        </w:numPr>
        <w:spacing w:line="360" w:lineRule="auto"/>
        <w:ind w:left="714" w:hanging="357"/>
        <w:contextualSpacing w:val="0"/>
        <w:jc w:val="both"/>
      </w:pPr>
      <w:r w:rsidRPr="00A82281">
        <w:rPr>
          <w:b/>
          <w:bCs/>
        </w:rPr>
        <w:t>The test of proportionality in the narrow sense</w:t>
      </w:r>
      <w:r>
        <w:t xml:space="preserve"> </w:t>
      </w:r>
      <w:r w:rsidR="00B1514F">
        <w:t>–</w:t>
      </w:r>
      <w:r>
        <w:t xml:space="preserve"> whether the benefit of achieving the goal outweighs the damage caused by the violation of </w:t>
      </w:r>
      <w:r w:rsidR="00B1514F">
        <w:t xml:space="preserve">the </w:t>
      </w:r>
      <w:r>
        <w:t>rights.</w:t>
      </w:r>
    </w:p>
    <w:p w14:paraId="752116B6" w14:textId="3AFE73FC" w:rsidR="00E76492" w:rsidRDefault="00E76492" w:rsidP="00B1514F">
      <w:pPr>
        <w:spacing w:line="360" w:lineRule="auto"/>
        <w:jc w:val="both"/>
      </w:pPr>
      <w:r>
        <w:t xml:space="preserve">In addition, and as an integral part of the proportionality tests, the effectiveness of </w:t>
      </w:r>
      <w:r w:rsidR="0084542B">
        <w:t xml:space="preserve">the </w:t>
      </w:r>
      <w:r>
        <w:t xml:space="preserve">counter-terrorism tools must </w:t>
      </w:r>
      <w:r w:rsidR="00B1514F">
        <w:t xml:space="preserve">also </w:t>
      </w:r>
      <w:r>
        <w:t>be examined. Proportionality, as stated, is what balances the achievement of the goal and the harm.</w:t>
      </w:r>
      <w:r w:rsidR="00A82281">
        <w:rPr>
          <w:rStyle w:val="FootnoteReference"/>
        </w:rPr>
        <w:footnoteReference w:id="92"/>
      </w:r>
      <w:r>
        <w:t xml:space="preserve"> </w:t>
      </w:r>
      <w:r w:rsidR="00B1514F">
        <w:t xml:space="preserve">If </w:t>
      </w:r>
      <w:r>
        <w:t>the goal is not achieved, the means is certainly not usable. The importance of efficiency ris</w:t>
      </w:r>
      <w:r w:rsidR="00D017A7">
        <w:t xml:space="preserve">es </w:t>
      </w:r>
      <w:r>
        <w:t>time and time again in Supreme Court rulings that discuss the war on terror.</w:t>
      </w:r>
      <w:r w:rsidR="00A82281">
        <w:rPr>
          <w:rStyle w:val="FootnoteReference"/>
        </w:rPr>
        <w:footnoteReference w:id="93"/>
      </w:r>
      <w:r>
        <w:t xml:space="preserve"> However, there is considerable difficulty in applying the efficiency test. This difficulty lies in the fact that there are no objective tests for examining effectiveness, and the only way to decide the issue is based on the stated position of the security bodies.</w:t>
      </w:r>
      <w:r w:rsidR="00A82281">
        <w:rPr>
          <w:rStyle w:val="FootnoteReference"/>
        </w:rPr>
        <w:footnoteReference w:id="94"/>
      </w:r>
      <w:r>
        <w:t xml:space="preserve"> Although in the past doubts have arisen among</w:t>
      </w:r>
      <w:r w:rsidR="00D017A7">
        <w:t>st</w:t>
      </w:r>
      <w:r>
        <w:t xml:space="preserve"> judges as to the effectiveness in question </w:t>
      </w:r>
      <w:r w:rsidR="00D017A7">
        <w:t xml:space="preserve">notwithstanding </w:t>
      </w:r>
      <w:r>
        <w:t xml:space="preserve">the position of the security bodies, as a rule, the </w:t>
      </w:r>
      <w:r w:rsidR="00D017A7">
        <w:t>C</w:t>
      </w:r>
      <w:r>
        <w:t xml:space="preserve">ourt will accept the position without </w:t>
      </w:r>
      <w:r w:rsidR="00D017A7">
        <w:t>contesting it</w:t>
      </w:r>
      <w:r>
        <w:t>. Naturally, there is a difficulty in this situation</w:t>
      </w:r>
      <w:r w:rsidR="0084542B">
        <w:t>,</w:t>
      </w:r>
      <w:r>
        <w:t xml:space="preserve"> even a fear of a conflict of interest, since the authority that seeks to use the tool is the same authority that has an opinion regarding its effectiveness.</w:t>
      </w:r>
    </w:p>
    <w:p w14:paraId="11714CB7" w14:textId="4EB44B0F" w:rsidR="00E76492" w:rsidRDefault="00E76492" w:rsidP="00B1514F">
      <w:pPr>
        <w:spacing w:line="360" w:lineRule="auto"/>
        <w:jc w:val="both"/>
      </w:pPr>
      <w:r>
        <w:t xml:space="preserve">In my humble opinion, applying the Israeli tests of proportionality in this case can provide a proper and correct answer for the purpose of examining the exceptional situations in which </w:t>
      </w:r>
      <w:r w:rsidR="00D017A7">
        <w:t xml:space="preserve">a corpse </w:t>
      </w:r>
      <w:r>
        <w:t xml:space="preserve">can be held. It seems that as long as there is a rational connection between the possession of the </w:t>
      </w:r>
      <w:r w:rsidR="00D017A7">
        <w:t xml:space="preserve">corpse </w:t>
      </w:r>
      <w:r>
        <w:t xml:space="preserve">and the </w:t>
      </w:r>
      <w:r w:rsidR="00D017A7">
        <w:t>goal</w:t>
      </w:r>
      <w:r>
        <w:t>, the aforesaid difficulty</w:t>
      </w:r>
      <w:r w:rsidR="00D017A7">
        <w:t xml:space="preserve"> notwithstanding</w:t>
      </w:r>
      <w:r>
        <w:t xml:space="preserve">, </w:t>
      </w:r>
      <w:r w:rsidR="00D017A7">
        <w:t xml:space="preserve">and if there is no </w:t>
      </w:r>
      <w:r>
        <w:t>less</w:t>
      </w:r>
      <w:r w:rsidR="00D017A7">
        <w:t>er</w:t>
      </w:r>
      <w:r>
        <w:t xml:space="preserve"> </w:t>
      </w:r>
      <w:r w:rsidR="00D017A7">
        <w:t xml:space="preserve">harmful means </w:t>
      </w:r>
      <w:r>
        <w:t>to achieve the same goal</w:t>
      </w:r>
      <w:r w:rsidR="00D017A7">
        <w:t>,</w:t>
      </w:r>
      <w:r>
        <w:t xml:space="preserve"> and the more the benefit outweighs the damage, possession of </w:t>
      </w:r>
      <w:r w:rsidR="00D017A7">
        <w:t xml:space="preserve">corpses </w:t>
      </w:r>
      <w:r>
        <w:t>should be considered.</w:t>
      </w:r>
    </w:p>
    <w:p w14:paraId="4298C10D" w14:textId="77777777" w:rsidR="00E76492" w:rsidRDefault="00E76492" w:rsidP="00E76492">
      <w:pPr>
        <w:jc w:val="both"/>
      </w:pPr>
    </w:p>
    <w:p w14:paraId="021DDB71" w14:textId="77777777" w:rsidR="00D017A7" w:rsidRDefault="00D017A7" w:rsidP="00E76492">
      <w:pPr>
        <w:jc w:val="both"/>
        <w:rPr>
          <w:b/>
          <w:bCs/>
          <w:u w:val="single"/>
        </w:rPr>
      </w:pPr>
    </w:p>
    <w:p w14:paraId="7932EEE1" w14:textId="4E78301A" w:rsidR="00E76492" w:rsidRPr="00A82281" w:rsidRDefault="00E76492" w:rsidP="00E76492">
      <w:pPr>
        <w:jc w:val="both"/>
        <w:rPr>
          <w:b/>
          <w:bCs/>
          <w:u w:val="single"/>
        </w:rPr>
      </w:pPr>
      <w:r w:rsidRPr="00A82281">
        <w:rPr>
          <w:b/>
          <w:bCs/>
          <w:u w:val="single"/>
        </w:rPr>
        <w:lastRenderedPageBreak/>
        <w:t xml:space="preserve">Collective </w:t>
      </w:r>
      <w:r w:rsidR="00A82281">
        <w:rPr>
          <w:b/>
          <w:bCs/>
          <w:u w:val="single"/>
        </w:rPr>
        <w:t>P</w:t>
      </w:r>
      <w:r w:rsidRPr="00A82281">
        <w:rPr>
          <w:b/>
          <w:bCs/>
          <w:u w:val="single"/>
        </w:rPr>
        <w:t>unishment</w:t>
      </w:r>
    </w:p>
    <w:p w14:paraId="320321CE" w14:textId="5905AD0A" w:rsidR="00E76492" w:rsidRDefault="00E76492" w:rsidP="00997F8B">
      <w:pPr>
        <w:spacing w:line="360" w:lineRule="auto"/>
        <w:jc w:val="both"/>
      </w:pPr>
      <w:r w:rsidRPr="00F707D5">
        <w:t xml:space="preserve">As stated above, collective punishment is strictly prohibited. However, is every act that results in harm to third parties necessarily considered collective punishment? The answer seems to be no. Liron A. </w:t>
      </w:r>
      <w:r w:rsidR="00A82281" w:rsidRPr="00F707D5">
        <w:t>Liebman</w:t>
      </w:r>
      <w:r w:rsidR="0084542B">
        <w:t>,</w:t>
      </w:r>
      <w:r w:rsidR="00A82281" w:rsidRPr="00F707D5">
        <w:t xml:space="preserve"> i</w:t>
      </w:r>
      <w:r w:rsidRPr="00F707D5">
        <w:t xml:space="preserve">n </w:t>
      </w:r>
      <w:r w:rsidR="00A82281" w:rsidRPr="00F707D5">
        <w:t xml:space="preserve">a </w:t>
      </w:r>
      <w:r w:rsidRPr="00F707D5">
        <w:t>comprehensive article,</w:t>
      </w:r>
      <w:r w:rsidR="00A82281" w:rsidRPr="00F707D5">
        <w:rPr>
          <w:rStyle w:val="FootnoteReference"/>
        </w:rPr>
        <w:footnoteReference w:id="95"/>
      </w:r>
      <w:r w:rsidRPr="00F707D5">
        <w:t xml:space="preserve"> reviewed collective punishment, its definition</w:t>
      </w:r>
      <w:r w:rsidR="00F707D5">
        <w:t>,</w:t>
      </w:r>
      <w:r w:rsidRPr="00F707D5">
        <w:t xml:space="preserve"> and the differences between it</w:t>
      </w:r>
      <w:r w:rsidR="00F707D5">
        <w:t>,</w:t>
      </w:r>
      <w:r w:rsidRPr="00F707D5">
        <w:t xml:space="preserve"> collective harm</w:t>
      </w:r>
      <w:r w:rsidR="00F707D5">
        <w:t>,</w:t>
      </w:r>
      <w:r w:rsidRPr="00F707D5">
        <w:t xml:space="preserve"> and secondary harm.</w:t>
      </w:r>
    </w:p>
    <w:p w14:paraId="3D349D40" w14:textId="2750EB05" w:rsidR="00E76492" w:rsidRDefault="00E76492" w:rsidP="00997F8B">
      <w:pPr>
        <w:spacing w:line="360" w:lineRule="auto"/>
        <w:jc w:val="both"/>
      </w:pPr>
      <w:r>
        <w:t>Liebman defined three different terms:</w:t>
      </w:r>
      <w:r w:rsidR="00A82281">
        <w:rPr>
          <w:rStyle w:val="FootnoteReference"/>
        </w:rPr>
        <w:footnoteReference w:id="96"/>
      </w:r>
      <w:r>
        <w:t xml:space="preserve"> </w:t>
      </w:r>
      <w:r w:rsidR="00A82281">
        <w:t>C</w:t>
      </w:r>
      <w:r>
        <w:t xml:space="preserve">ollective </w:t>
      </w:r>
      <w:r w:rsidRPr="00A82281">
        <w:rPr>
          <w:b/>
          <w:bCs/>
        </w:rPr>
        <w:t>punishment</w:t>
      </w:r>
      <w:r>
        <w:t xml:space="preserve">, collective </w:t>
      </w:r>
      <w:r w:rsidR="00A5597F" w:rsidRPr="00A82281">
        <w:rPr>
          <w:b/>
          <w:bCs/>
        </w:rPr>
        <w:t>harm,</w:t>
      </w:r>
      <w:r>
        <w:t xml:space="preserve"> and </w:t>
      </w:r>
      <w:r w:rsidRPr="00A82281">
        <w:rPr>
          <w:b/>
          <w:bCs/>
        </w:rPr>
        <w:t>secondary harm</w:t>
      </w:r>
      <w:r>
        <w:t>. In his view, a view I seek to adopt, collective punishment is:</w:t>
      </w:r>
    </w:p>
    <w:p w14:paraId="268169AE" w14:textId="49CC47AD" w:rsidR="00E76492" w:rsidRDefault="00F707D5" w:rsidP="00A82281">
      <w:pPr>
        <w:ind w:left="1134" w:right="1134"/>
        <w:jc w:val="both"/>
      </w:pPr>
      <w:r>
        <w:t>“</w:t>
      </w:r>
      <w:r w:rsidR="00E76492" w:rsidRPr="00F707D5">
        <w:rPr>
          <w:i/>
          <w:iCs/>
        </w:rPr>
        <w:t xml:space="preserve">Taking action that </w:t>
      </w:r>
      <w:r w:rsidR="00E76492" w:rsidRPr="00F707D5">
        <w:rPr>
          <w:b/>
          <w:bCs/>
          <w:i/>
          <w:iCs/>
        </w:rPr>
        <w:t>directly</w:t>
      </w:r>
      <w:r w:rsidR="00E76492" w:rsidRPr="00F707D5">
        <w:rPr>
          <w:i/>
          <w:iCs/>
        </w:rPr>
        <w:t xml:space="preserve"> infringes on a person</w:t>
      </w:r>
      <w:r w:rsidR="00EE7E13" w:rsidRPr="00F707D5">
        <w:rPr>
          <w:i/>
          <w:iCs/>
        </w:rPr>
        <w:t>’</w:t>
      </w:r>
      <w:r w:rsidR="00E76492" w:rsidRPr="00F707D5">
        <w:rPr>
          <w:i/>
          <w:iCs/>
        </w:rPr>
        <w:t>s right</w:t>
      </w:r>
      <w:r w:rsidR="0084542B">
        <w:rPr>
          <w:i/>
          <w:iCs/>
        </w:rPr>
        <w:t>,</w:t>
      </w:r>
      <w:r w:rsidR="00E76492" w:rsidRPr="00F707D5">
        <w:rPr>
          <w:i/>
          <w:iCs/>
        </w:rPr>
        <w:t xml:space="preserve"> </w:t>
      </w:r>
      <w:r w:rsidRPr="00F707D5">
        <w:rPr>
          <w:i/>
          <w:iCs/>
        </w:rPr>
        <w:t xml:space="preserve">on account of </w:t>
      </w:r>
      <w:r w:rsidR="00E76492" w:rsidRPr="00F707D5">
        <w:rPr>
          <w:i/>
          <w:iCs/>
        </w:rPr>
        <w:t xml:space="preserve">an act for which </w:t>
      </w:r>
      <w:r w:rsidR="00E76492" w:rsidRPr="00F707D5">
        <w:rPr>
          <w:b/>
          <w:bCs/>
          <w:i/>
          <w:iCs/>
        </w:rPr>
        <w:t>he cannot be held responsible</w:t>
      </w:r>
      <w:r w:rsidR="00E76492" w:rsidRPr="00F707D5">
        <w:rPr>
          <w:i/>
          <w:iCs/>
        </w:rPr>
        <w:t xml:space="preserve">, and the harm to him is </w:t>
      </w:r>
      <w:r w:rsidR="00E76492" w:rsidRPr="00F707D5">
        <w:rPr>
          <w:b/>
          <w:bCs/>
          <w:i/>
          <w:iCs/>
        </w:rPr>
        <w:t>only</w:t>
      </w:r>
      <w:r w:rsidR="00E76492" w:rsidRPr="00F707D5">
        <w:rPr>
          <w:i/>
          <w:iCs/>
        </w:rPr>
        <w:t xml:space="preserve"> due to his belonging to the collective.</w:t>
      </w:r>
      <w:r>
        <w:t>”</w:t>
      </w:r>
    </w:p>
    <w:p w14:paraId="4DC01259" w14:textId="5BF27876" w:rsidR="00E76492" w:rsidRDefault="00E76492" w:rsidP="00997F8B">
      <w:pPr>
        <w:spacing w:line="360" w:lineRule="auto"/>
        <w:jc w:val="both"/>
      </w:pPr>
      <w:r>
        <w:t>In other words, Liebman condition</w:t>
      </w:r>
      <w:r w:rsidR="00F707D5">
        <w:t>s</w:t>
      </w:r>
      <w:r>
        <w:t xml:space="preserve"> collective punishment on three cumulative conditions: </w:t>
      </w:r>
      <w:r w:rsidR="00F707D5">
        <w:t>D</w:t>
      </w:r>
      <w:r>
        <w:t xml:space="preserve">irect harm, lack of responsibility </w:t>
      </w:r>
      <w:r w:rsidR="00F707D5">
        <w:t xml:space="preserve">on behalf of </w:t>
      </w:r>
      <w:r>
        <w:t>the victim, and harm only due to being part of the collective. In contrast to collective punishment, collective harm is defined by him in situations where the harm:</w:t>
      </w:r>
    </w:p>
    <w:p w14:paraId="5C8CCDE0" w14:textId="5E22708D" w:rsidR="00E76492" w:rsidRDefault="00F707D5" w:rsidP="00A82281">
      <w:pPr>
        <w:ind w:left="1134" w:right="1134"/>
        <w:jc w:val="both"/>
      </w:pPr>
      <w:r>
        <w:t>“</w:t>
      </w:r>
      <w:r w:rsidR="00E76492" w:rsidRPr="00F707D5">
        <w:rPr>
          <w:i/>
          <w:iCs/>
        </w:rPr>
        <w:t xml:space="preserve">Is done when all the elements of the definition of collective punishment are </w:t>
      </w:r>
      <w:r>
        <w:rPr>
          <w:i/>
          <w:iCs/>
        </w:rPr>
        <w:t>satisfied</w:t>
      </w:r>
      <w:r w:rsidR="00E76492" w:rsidRPr="00F707D5">
        <w:rPr>
          <w:i/>
          <w:iCs/>
        </w:rPr>
        <w:t xml:space="preserve">, except the violation of the right. </w:t>
      </w:r>
      <w:r w:rsidR="00E76492" w:rsidRPr="00F707D5">
        <w:rPr>
          <w:b/>
          <w:bCs/>
          <w:i/>
          <w:iCs/>
        </w:rPr>
        <w:t xml:space="preserve">Instead of a right a privilege or </w:t>
      </w:r>
      <w:r>
        <w:rPr>
          <w:b/>
          <w:bCs/>
          <w:i/>
          <w:iCs/>
        </w:rPr>
        <w:t xml:space="preserve">a </w:t>
      </w:r>
      <w:r w:rsidR="00E76492" w:rsidRPr="00F707D5">
        <w:rPr>
          <w:b/>
          <w:bCs/>
          <w:i/>
          <w:iCs/>
        </w:rPr>
        <w:t xml:space="preserve">benefit is </w:t>
      </w:r>
      <w:r>
        <w:rPr>
          <w:b/>
          <w:bCs/>
          <w:i/>
          <w:iCs/>
        </w:rPr>
        <w:t>harmed</w:t>
      </w:r>
      <w:r w:rsidR="00E76492" w:rsidRPr="00F707D5">
        <w:rPr>
          <w:i/>
          <w:iCs/>
        </w:rPr>
        <w:t>.</w:t>
      </w:r>
      <w:r>
        <w:t>”</w:t>
      </w:r>
    </w:p>
    <w:p w14:paraId="3EFE64C8" w14:textId="7F35E5F6" w:rsidR="00E76492" w:rsidRDefault="00E76492" w:rsidP="00997F8B">
      <w:pPr>
        <w:spacing w:line="360" w:lineRule="auto"/>
        <w:jc w:val="both"/>
      </w:pPr>
      <w:r>
        <w:t xml:space="preserve">The only difference between </w:t>
      </w:r>
      <w:r w:rsidR="00F707D5">
        <w:t xml:space="preserve">harm </w:t>
      </w:r>
      <w:r>
        <w:t>and punishment is the right</w:t>
      </w:r>
      <w:r w:rsidR="00F707D5">
        <w:t xml:space="preserve"> being infringed</w:t>
      </w:r>
      <w:r>
        <w:t>. To the extent that a</w:t>
      </w:r>
      <w:r w:rsidR="00C36CD9">
        <w:t xml:space="preserve"> </w:t>
      </w:r>
      <w:r>
        <w:t xml:space="preserve">right is violated, </w:t>
      </w:r>
      <w:r w:rsidR="00C36CD9">
        <w:t xml:space="preserve">it is </w:t>
      </w:r>
      <w:r>
        <w:t xml:space="preserve">collective punishment. But </w:t>
      </w:r>
      <w:r w:rsidR="00F707D5">
        <w:t xml:space="preserve">if </w:t>
      </w:r>
      <w:r>
        <w:t xml:space="preserve">it is a benefit or </w:t>
      </w:r>
      <w:r w:rsidR="00F707D5">
        <w:t xml:space="preserve">a </w:t>
      </w:r>
      <w:r>
        <w:t>privilege,</w:t>
      </w:r>
      <w:r w:rsidR="00A82281">
        <w:rPr>
          <w:rStyle w:val="FootnoteReference"/>
        </w:rPr>
        <w:footnoteReference w:id="97"/>
      </w:r>
      <w:r>
        <w:t xml:space="preserve"> it is </w:t>
      </w:r>
      <w:r w:rsidR="00F707D5">
        <w:t>harm</w:t>
      </w:r>
      <w:r>
        <w:t xml:space="preserve">. This subtle distinction between punishment and harm is a critical distinction, as </w:t>
      </w:r>
      <w:r w:rsidR="00A82281">
        <w:t xml:space="preserve">with respect to </w:t>
      </w:r>
      <w:r>
        <w:t>collective punishment</w:t>
      </w:r>
      <w:r w:rsidR="00C36CD9">
        <w:t xml:space="preserve"> </w:t>
      </w:r>
      <w:r w:rsidR="00C36CD9">
        <w:t>it is presumed</w:t>
      </w:r>
      <w:r w:rsidR="00C36CD9">
        <w:rPr>
          <w:rStyle w:val="FootnoteReference"/>
        </w:rPr>
        <w:footnoteReference w:id="98"/>
      </w:r>
      <w:r w:rsidR="00C36CD9">
        <w:t xml:space="preserve"> to be </w:t>
      </w:r>
      <w:r>
        <w:t xml:space="preserve">prohibited, while harm is sometimes allowed </w:t>
      </w:r>
      <w:r w:rsidR="00F707D5">
        <w:t>–</w:t>
      </w:r>
      <w:r>
        <w:t xml:space="preserve"> depending on the circumstances.</w:t>
      </w:r>
      <w:r w:rsidR="00A82281">
        <w:rPr>
          <w:rStyle w:val="FootnoteReference"/>
        </w:rPr>
        <w:footnoteReference w:id="99"/>
      </w:r>
      <w:r>
        <w:t xml:space="preserve"> Finally, Liebman uses the concept of secondary damage:</w:t>
      </w:r>
    </w:p>
    <w:p w14:paraId="1EC3EDE3" w14:textId="088F4F6B" w:rsidR="00E76492" w:rsidRDefault="00F707D5" w:rsidP="00A82281">
      <w:pPr>
        <w:ind w:left="1134" w:right="1134"/>
        <w:jc w:val="both"/>
      </w:pPr>
      <w:r>
        <w:t>“</w:t>
      </w:r>
      <w:r w:rsidR="00E76492" w:rsidRPr="00F707D5">
        <w:rPr>
          <w:i/>
          <w:iCs/>
        </w:rPr>
        <w:t xml:space="preserve">When, </w:t>
      </w:r>
      <w:r>
        <w:rPr>
          <w:i/>
          <w:iCs/>
        </w:rPr>
        <w:t xml:space="preserve">following the </w:t>
      </w:r>
      <w:r w:rsidRPr="00F707D5">
        <w:rPr>
          <w:b/>
          <w:bCs/>
          <w:i/>
          <w:iCs/>
        </w:rPr>
        <w:t>institution of</w:t>
      </w:r>
      <w:r>
        <w:rPr>
          <w:i/>
          <w:iCs/>
        </w:rPr>
        <w:t xml:space="preserve"> </w:t>
      </w:r>
      <w:r w:rsidR="00E76492" w:rsidRPr="00F707D5">
        <w:rPr>
          <w:b/>
          <w:bCs/>
          <w:i/>
          <w:iCs/>
        </w:rPr>
        <w:t>tangible measures to prevent terrorism</w:t>
      </w:r>
      <w:r w:rsidR="00E76492" w:rsidRPr="00F707D5">
        <w:rPr>
          <w:i/>
          <w:iCs/>
        </w:rPr>
        <w:t xml:space="preserve">, people who are not </w:t>
      </w:r>
      <w:r w:rsidRPr="00F707D5">
        <w:rPr>
          <w:i/>
          <w:iCs/>
        </w:rPr>
        <w:t xml:space="preserve">involved in terrorism </w:t>
      </w:r>
      <w:r>
        <w:rPr>
          <w:i/>
          <w:iCs/>
        </w:rPr>
        <w:t xml:space="preserve">are </w:t>
      </w:r>
      <w:r w:rsidRPr="00F707D5">
        <w:rPr>
          <w:b/>
          <w:bCs/>
          <w:i/>
          <w:iCs/>
        </w:rPr>
        <w:t>in</w:t>
      </w:r>
      <w:r w:rsidR="00E76492" w:rsidRPr="00F707D5">
        <w:rPr>
          <w:b/>
          <w:bCs/>
          <w:i/>
          <w:iCs/>
        </w:rPr>
        <w:t>directly and unintentionally</w:t>
      </w:r>
      <w:r w:rsidR="00E76492" w:rsidRPr="00F707D5">
        <w:rPr>
          <w:i/>
          <w:iCs/>
        </w:rPr>
        <w:t xml:space="preserve"> harmed, it is consequential damage that </w:t>
      </w:r>
      <w:r>
        <w:rPr>
          <w:i/>
          <w:iCs/>
        </w:rPr>
        <w:t xml:space="preserve">does </w:t>
      </w:r>
      <w:r w:rsidR="00E76492" w:rsidRPr="00F707D5">
        <w:rPr>
          <w:i/>
          <w:iCs/>
        </w:rPr>
        <w:t xml:space="preserve">not </w:t>
      </w:r>
      <w:r>
        <w:rPr>
          <w:i/>
          <w:iCs/>
        </w:rPr>
        <w:t xml:space="preserve">constitute </w:t>
      </w:r>
      <w:r w:rsidR="00E76492" w:rsidRPr="00F707D5">
        <w:rPr>
          <w:i/>
          <w:iCs/>
        </w:rPr>
        <w:t>collective punishment or collective harm.</w:t>
      </w:r>
      <w:r>
        <w:t>”</w:t>
      </w:r>
    </w:p>
    <w:p w14:paraId="5D89E3F9" w14:textId="44260FF6" w:rsidR="00E76492" w:rsidRDefault="00E76492" w:rsidP="00997F8B">
      <w:pPr>
        <w:spacing w:line="360" w:lineRule="auto"/>
        <w:jc w:val="both"/>
      </w:pPr>
      <w:r>
        <w:t xml:space="preserve">Secondary damage, </w:t>
      </w:r>
      <w:r w:rsidR="00F707D5">
        <w:t xml:space="preserve">is </w:t>
      </w:r>
      <w:r>
        <w:t xml:space="preserve">as its name implies. </w:t>
      </w:r>
      <w:r w:rsidR="00C36CD9">
        <w:t>Meaning</w:t>
      </w:r>
      <w:r>
        <w:t xml:space="preserve">, there is another goal </w:t>
      </w:r>
      <w:r w:rsidR="00F707D5">
        <w:t>–</w:t>
      </w:r>
      <w:r>
        <w:t xml:space="preserve"> the prevention of terrorism </w:t>
      </w:r>
      <w:r w:rsidR="00F707D5">
        <w:t>–</w:t>
      </w:r>
      <w:r>
        <w:t xml:space="preserve"> and in the course of </w:t>
      </w:r>
      <w:r w:rsidR="00F707D5">
        <w:t>its pursuit</w:t>
      </w:r>
      <w:r w:rsidR="00C36CD9">
        <w:t xml:space="preserve"> </w:t>
      </w:r>
      <w:r>
        <w:t xml:space="preserve">action is taken, the purpose of which is </w:t>
      </w:r>
      <w:r w:rsidRPr="00F707D5">
        <w:rPr>
          <w:b/>
          <w:bCs/>
        </w:rPr>
        <w:t>not</w:t>
      </w:r>
      <w:r>
        <w:t xml:space="preserve"> to harm third parties, yet there </w:t>
      </w:r>
      <w:r>
        <w:lastRenderedPageBreak/>
        <w:t xml:space="preserve">are still those who are harmed even though they are not involved. Although </w:t>
      </w:r>
      <w:r w:rsidR="00F707D5">
        <w:t xml:space="preserve">instances </w:t>
      </w:r>
      <w:r>
        <w:t xml:space="preserve">are </w:t>
      </w:r>
      <w:r w:rsidR="00C36CD9">
        <w:t>un</w:t>
      </w:r>
      <w:r>
        <w:t xml:space="preserve">desirable, secondary </w:t>
      </w:r>
      <w:r w:rsidR="00C36CD9">
        <w:t>harm</w:t>
      </w:r>
      <w:r>
        <w:t xml:space="preserve"> </w:t>
      </w:r>
      <w:r w:rsidR="00C36CD9">
        <w:t xml:space="preserve">is </w:t>
      </w:r>
      <w:r>
        <w:t xml:space="preserve">easier to </w:t>
      </w:r>
      <w:r w:rsidR="00F707D5">
        <w:t xml:space="preserve">permit when </w:t>
      </w:r>
      <w:r>
        <w:t xml:space="preserve">necessary. Referring to our </w:t>
      </w:r>
      <w:r w:rsidR="00F707D5">
        <w:t>case</w:t>
      </w:r>
      <w:r>
        <w:t xml:space="preserve">, Liebman argued that possession of </w:t>
      </w:r>
      <w:r w:rsidR="00F707D5">
        <w:t>corp</w:t>
      </w:r>
      <w:r w:rsidR="00E91286">
        <w:t>s</w:t>
      </w:r>
      <w:r w:rsidR="00F707D5">
        <w:t xml:space="preserve">es </w:t>
      </w:r>
      <w:r>
        <w:t xml:space="preserve">should be treated in two ways: </w:t>
      </w:r>
      <w:r w:rsidR="00E91286">
        <w:t>D</w:t>
      </w:r>
      <w:r>
        <w:t>epending on the circumstances</w:t>
      </w:r>
      <w:r w:rsidR="00C36CD9">
        <w:t>,</w:t>
      </w:r>
      <w:r>
        <w:t xml:space="preserve"> and the reason for the possession. When </w:t>
      </w:r>
      <w:r w:rsidR="00E91286">
        <w:t xml:space="preserve">the possession </w:t>
      </w:r>
      <w:r>
        <w:t xml:space="preserve">is aimed at preventing disturbances </w:t>
      </w:r>
      <w:r w:rsidR="00E91286">
        <w:t xml:space="preserve">to the peace </w:t>
      </w:r>
      <w:r>
        <w:t xml:space="preserve">and incitement to terrorism, this will not be considered </w:t>
      </w:r>
      <w:r w:rsidR="00C36CD9">
        <w:t xml:space="preserve">to be </w:t>
      </w:r>
      <w:r w:rsidR="00E91286">
        <w:t xml:space="preserve">a </w:t>
      </w:r>
      <w:r>
        <w:t xml:space="preserve">collective punishment. However, when the purpose is to deter terrorists due to the fear of </w:t>
      </w:r>
      <w:r w:rsidR="00E91286">
        <w:t xml:space="preserve">the </w:t>
      </w:r>
      <w:r>
        <w:t>suffering that will be inflicted on their family members in the future, then in Liebman</w:t>
      </w:r>
      <w:r w:rsidR="00EE7E13" w:rsidRPr="00EE7E13">
        <w:rPr>
          <w:i/>
          <w:iCs/>
        </w:rPr>
        <w:t>’</w:t>
      </w:r>
      <w:r>
        <w:t xml:space="preserve">s </w:t>
      </w:r>
      <w:r w:rsidR="00E91286">
        <w:t xml:space="preserve">view this </w:t>
      </w:r>
      <w:r>
        <w:t>is collective punishment.</w:t>
      </w:r>
      <w:r w:rsidR="00A82281">
        <w:rPr>
          <w:rStyle w:val="FootnoteReference"/>
        </w:rPr>
        <w:footnoteReference w:id="100"/>
      </w:r>
    </w:p>
    <w:p w14:paraId="0DFB9E61" w14:textId="3A8710A5" w:rsidR="00E76492" w:rsidRDefault="00E76492" w:rsidP="00997F8B">
      <w:pPr>
        <w:spacing w:line="360" w:lineRule="auto"/>
        <w:jc w:val="both"/>
      </w:pPr>
      <w:r>
        <w:t>The legal reality, as I understand it from the Supreme Court</w:t>
      </w:r>
      <w:r w:rsidR="00C36CD9">
        <w:t>’s</w:t>
      </w:r>
      <w:r>
        <w:t xml:space="preserve"> rulings that dealt with the issue, leads me to a different conclusion </w:t>
      </w:r>
      <w:r w:rsidR="00E91286">
        <w:t xml:space="preserve">from </w:t>
      </w:r>
      <w:r>
        <w:t>Liebman</w:t>
      </w:r>
      <w:r w:rsidR="00EE7E13" w:rsidRPr="00EE7E13">
        <w:rPr>
          <w:i/>
          <w:iCs/>
        </w:rPr>
        <w:t>’</w:t>
      </w:r>
      <w:r>
        <w:t xml:space="preserve">s. According to the </w:t>
      </w:r>
      <w:r w:rsidR="00E91286">
        <w:t xml:space="preserve">judgements </w:t>
      </w:r>
      <w:r>
        <w:t>of the Supreme Court in Israel,</w:t>
      </w:r>
      <w:r w:rsidR="00A82281">
        <w:rPr>
          <w:rStyle w:val="FootnoteReference"/>
        </w:rPr>
        <w:footnoteReference w:id="101"/>
      </w:r>
      <w:r>
        <w:t xml:space="preserve"> when the purpose is </w:t>
      </w:r>
      <w:r w:rsidRPr="00E91286">
        <w:rPr>
          <w:b/>
          <w:bCs/>
        </w:rPr>
        <w:t>deterrent</w:t>
      </w:r>
      <w:r>
        <w:t xml:space="preserve">, it is not collective punishment. For example, </w:t>
      </w:r>
      <w:r w:rsidR="00E91286">
        <w:t>Justice Matza held</w:t>
      </w:r>
      <w:r>
        <w:t>:</w:t>
      </w:r>
      <w:r w:rsidR="00A82281">
        <w:rPr>
          <w:rStyle w:val="FootnoteReference"/>
        </w:rPr>
        <w:footnoteReference w:id="102"/>
      </w:r>
    </w:p>
    <w:p w14:paraId="08F79754" w14:textId="593D37DF" w:rsidR="00E76492" w:rsidRDefault="00E91286" w:rsidP="00A82281">
      <w:pPr>
        <w:ind w:left="1134" w:right="1134"/>
        <w:jc w:val="both"/>
      </w:pPr>
      <w:r w:rsidRPr="0037133A">
        <w:t>“</w:t>
      </w:r>
      <w:r w:rsidR="00E76492" w:rsidRPr="0037133A">
        <w:rPr>
          <w:i/>
          <w:iCs/>
        </w:rPr>
        <w:t xml:space="preserve">It is therefore appropriate to reiterate what has been said many times: </w:t>
      </w:r>
      <w:r w:rsidR="002432FE" w:rsidRPr="0037133A">
        <w:rPr>
          <w:i/>
          <w:iCs/>
        </w:rPr>
        <w:t>T</w:t>
      </w:r>
      <w:r w:rsidR="00E76492" w:rsidRPr="0037133A">
        <w:rPr>
          <w:i/>
          <w:iCs/>
        </w:rPr>
        <w:t xml:space="preserve">he purpose of using the means given to the military commander, in accordance with Regulation 119(1), in part concerning our case, </w:t>
      </w:r>
      <w:r w:rsidR="00E76492" w:rsidRPr="0037133A">
        <w:rPr>
          <w:b/>
          <w:bCs/>
          <w:i/>
          <w:iCs/>
        </w:rPr>
        <w:t xml:space="preserve">is to deter </w:t>
      </w:r>
      <w:r w:rsidR="002432FE" w:rsidRPr="0037133A">
        <w:rPr>
          <w:b/>
          <w:bCs/>
          <w:i/>
          <w:iCs/>
        </w:rPr>
        <w:t xml:space="preserve">potential </w:t>
      </w:r>
      <w:r w:rsidR="00E76492" w:rsidRPr="0037133A">
        <w:rPr>
          <w:b/>
          <w:bCs/>
          <w:i/>
          <w:iCs/>
        </w:rPr>
        <w:t>attack</w:t>
      </w:r>
      <w:r w:rsidR="002432FE" w:rsidRPr="0037133A">
        <w:rPr>
          <w:b/>
          <w:bCs/>
          <w:i/>
          <w:iCs/>
        </w:rPr>
        <w:t>er</w:t>
      </w:r>
      <w:r w:rsidR="00E76492" w:rsidRPr="0037133A">
        <w:rPr>
          <w:b/>
          <w:bCs/>
          <w:i/>
          <w:iCs/>
        </w:rPr>
        <w:t>s</w:t>
      </w:r>
      <w:r w:rsidR="00E76492" w:rsidRPr="0037133A">
        <w:rPr>
          <w:i/>
          <w:iCs/>
        </w:rPr>
        <w:t xml:space="preserve"> from committing murderous acts, </w:t>
      </w:r>
      <w:r w:rsidR="00E76492" w:rsidRPr="0037133A">
        <w:rPr>
          <w:b/>
          <w:bCs/>
          <w:i/>
          <w:iCs/>
        </w:rPr>
        <w:t xml:space="preserve">as an essential means of </w:t>
      </w:r>
      <w:r w:rsidR="002432FE" w:rsidRPr="0037133A">
        <w:rPr>
          <w:b/>
          <w:bCs/>
          <w:i/>
          <w:iCs/>
        </w:rPr>
        <w:t xml:space="preserve">upholding </w:t>
      </w:r>
      <w:r w:rsidR="00E76492" w:rsidRPr="0037133A">
        <w:rPr>
          <w:b/>
          <w:bCs/>
          <w:i/>
          <w:iCs/>
        </w:rPr>
        <w:t>security</w:t>
      </w:r>
      <w:r w:rsidR="00E76492" w:rsidRPr="0037133A">
        <w:rPr>
          <w:i/>
          <w:iCs/>
        </w:rPr>
        <w:t xml:space="preserve"> (see, e.g. </w:t>
      </w:r>
      <w:r w:rsidR="002432FE" w:rsidRPr="0037133A">
        <w:rPr>
          <w:i/>
          <w:iCs/>
        </w:rPr>
        <w:t xml:space="preserve">HCJ </w:t>
      </w:r>
      <w:r w:rsidR="00E76492" w:rsidRPr="0037133A">
        <w:rPr>
          <w:i/>
          <w:iCs/>
        </w:rPr>
        <w:t xml:space="preserve">987/89, </w:t>
      </w:r>
      <w:proofErr w:type="spellStart"/>
      <w:r w:rsidR="00E76492" w:rsidRPr="0037133A">
        <w:rPr>
          <w:i/>
          <w:iCs/>
        </w:rPr>
        <w:t>Kahwaji</w:t>
      </w:r>
      <w:proofErr w:type="spellEnd"/>
      <w:r w:rsidR="00E76492" w:rsidRPr="0037133A">
        <w:rPr>
          <w:i/>
          <w:iCs/>
        </w:rPr>
        <w:t xml:space="preserve"> v. Commander of IDF Forces in the Gaza Strip; </w:t>
      </w:r>
      <w:proofErr w:type="spellStart"/>
      <w:r w:rsidR="00E76492" w:rsidRPr="0037133A">
        <w:rPr>
          <w:i/>
          <w:iCs/>
        </w:rPr>
        <w:t>Bishara</w:t>
      </w:r>
      <w:proofErr w:type="spellEnd"/>
      <w:r w:rsidR="00E76492" w:rsidRPr="0037133A">
        <w:rPr>
          <w:i/>
          <w:iCs/>
        </w:rPr>
        <w:t xml:space="preserve"> et al. </w:t>
      </w:r>
      <w:r w:rsidR="002432FE" w:rsidRPr="0037133A">
        <w:rPr>
          <w:i/>
          <w:iCs/>
        </w:rPr>
        <w:t>v</w:t>
      </w:r>
      <w:r w:rsidR="00E76492" w:rsidRPr="0037133A">
        <w:rPr>
          <w:i/>
          <w:iCs/>
        </w:rPr>
        <w:t xml:space="preserve">. Commander of IDF Forces in the West Bank [9] (by Justice </w:t>
      </w:r>
      <w:proofErr w:type="spellStart"/>
      <w:r w:rsidR="00E76492" w:rsidRPr="0037133A">
        <w:rPr>
          <w:i/>
          <w:iCs/>
        </w:rPr>
        <w:t>Beisky</w:t>
      </w:r>
      <w:proofErr w:type="spellEnd"/>
      <w:r w:rsidR="00E76492" w:rsidRPr="0037133A">
        <w:rPr>
          <w:i/>
          <w:iCs/>
        </w:rPr>
        <w:t xml:space="preserve">); HCJ 779/88 </w:t>
      </w:r>
      <w:proofErr w:type="spellStart"/>
      <w:r w:rsidR="002432FE" w:rsidRPr="0037133A">
        <w:rPr>
          <w:i/>
          <w:iCs/>
        </w:rPr>
        <w:t>Alfasfus</w:t>
      </w:r>
      <w:proofErr w:type="spellEnd"/>
      <w:r w:rsidR="002432FE" w:rsidRPr="0037133A">
        <w:rPr>
          <w:i/>
          <w:iCs/>
        </w:rPr>
        <w:t xml:space="preserve"> v. </w:t>
      </w:r>
      <w:r w:rsidR="00E76492" w:rsidRPr="0037133A">
        <w:rPr>
          <w:i/>
          <w:iCs/>
        </w:rPr>
        <w:t xml:space="preserve">Minister of </w:t>
      </w:r>
      <w:r w:rsidR="00EE7E13" w:rsidRPr="0037133A">
        <w:rPr>
          <w:i/>
          <w:iCs/>
        </w:rPr>
        <w:t>Defence</w:t>
      </w:r>
      <w:r w:rsidR="00E76492" w:rsidRPr="0037133A">
        <w:rPr>
          <w:i/>
          <w:iCs/>
        </w:rPr>
        <w:t xml:space="preserve"> et al.</w:t>
      </w:r>
      <w:r w:rsidR="00EE7E13" w:rsidRPr="0037133A">
        <w:rPr>
          <w:i/>
          <w:iCs/>
        </w:rPr>
        <w:t>”</w:t>
      </w:r>
      <w:r w:rsidR="00E76492" w:rsidRPr="0037133A">
        <w:rPr>
          <w:i/>
          <w:iCs/>
        </w:rPr>
        <w:t xml:space="preserve"> [10], remarks by President Shamgar </w:t>
      </w:r>
      <w:r w:rsidR="002432FE" w:rsidRPr="0037133A">
        <w:rPr>
          <w:i/>
          <w:iCs/>
        </w:rPr>
        <w:t xml:space="preserve">at </w:t>
      </w:r>
      <w:r w:rsidR="00E76492" w:rsidRPr="0037133A">
        <w:rPr>
          <w:i/>
          <w:iCs/>
        </w:rPr>
        <w:t xml:space="preserve">p. 578). </w:t>
      </w:r>
      <w:r w:rsidR="00E76492" w:rsidRPr="0037133A">
        <w:rPr>
          <w:b/>
          <w:bCs/>
          <w:i/>
          <w:iCs/>
        </w:rPr>
        <w:t xml:space="preserve">The application of said sanction </w:t>
      </w:r>
      <w:r w:rsidR="00E76492" w:rsidRPr="0037133A">
        <w:rPr>
          <w:b/>
          <w:bCs/>
          <w:i/>
          <w:iCs/>
          <w:u w:val="single"/>
        </w:rPr>
        <w:t>also</w:t>
      </w:r>
      <w:r w:rsidR="00E76492" w:rsidRPr="0037133A">
        <w:rPr>
          <w:b/>
          <w:bCs/>
          <w:i/>
          <w:iCs/>
        </w:rPr>
        <w:t xml:space="preserve"> has a serious punitive consequence, which harms not only the terrorist but also others</w:t>
      </w:r>
      <w:r w:rsidR="00E76492" w:rsidRPr="0037133A">
        <w:rPr>
          <w:i/>
          <w:iCs/>
        </w:rPr>
        <w:t>, usually his family members living with him,</w:t>
      </w:r>
      <w:r w:rsidR="00E76492" w:rsidRPr="0037133A">
        <w:rPr>
          <w:b/>
          <w:bCs/>
          <w:i/>
          <w:iCs/>
        </w:rPr>
        <w:t xml:space="preserve"> but </w:t>
      </w:r>
      <w:r w:rsidR="00E76492" w:rsidRPr="0037133A">
        <w:rPr>
          <w:b/>
          <w:bCs/>
          <w:i/>
          <w:iCs/>
          <w:u w:val="single"/>
        </w:rPr>
        <w:t xml:space="preserve">this is not its </w:t>
      </w:r>
      <w:r w:rsidR="00A5597F" w:rsidRPr="0037133A">
        <w:rPr>
          <w:b/>
          <w:bCs/>
          <w:i/>
          <w:iCs/>
          <w:u w:val="single"/>
        </w:rPr>
        <w:t>purpose</w:t>
      </w:r>
      <w:r w:rsidR="00A5597F" w:rsidRPr="0037133A">
        <w:rPr>
          <w:b/>
          <w:bCs/>
          <w:i/>
          <w:iCs/>
        </w:rPr>
        <w:t>,</w:t>
      </w:r>
      <w:r w:rsidR="00E76492" w:rsidRPr="0037133A">
        <w:rPr>
          <w:b/>
          <w:bCs/>
          <w:i/>
          <w:iCs/>
        </w:rPr>
        <w:t xml:space="preserve"> and this is not what it is intended for</w:t>
      </w:r>
      <w:r w:rsidR="00E76492" w:rsidRPr="0037133A">
        <w:rPr>
          <w:i/>
          <w:iCs/>
        </w:rPr>
        <w:t xml:space="preserve"> (see HCJ 242/90 </w:t>
      </w:r>
      <w:proofErr w:type="spellStart"/>
      <w:r w:rsidR="00E76492" w:rsidRPr="0037133A">
        <w:rPr>
          <w:i/>
          <w:iCs/>
        </w:rPr>
        <w:t>Alkatsatz</w:t>
      </w:r>
      <w:proofErr w:type="spellEnd"/>
      <w:r w:rsidR="00E76492" w:rsidRPr="0037133A">
        <w:rPr>
          <w:i/>
          <w:iCs/>
        </w:rPr>
        <w:t xml:space="preserve"> et al. </w:t>
      </w:r>
      <w:r w:rsidR="0037133A">
        <w:rPr>
          <w:i/>
          <w:iCs/>
        </w:rPr>
        <w:t>v</w:t>
      </w:r>
      <w:r w:rsidR="00E76492" w:rsidRPr="0037133A">
        <w:rPr>
          <w:i/>
          <w:iCs/>
        </w:rPr>
        <w:t>. Commander of the IDF Forces In the Judea and Samaria Area [11], Ju</w:t>
      </w:r>
      <w:r w:rsidR="0037133A">
        <w:rPr>
          <w:i/>
          <w:iCs/>
        </w:rPr>
        <w:t xml:space="preserve">stice </w:t>
      </w:r>
      <w:r w:rsidR="00E76492" w:rsidRPr="0037133A">
        <w:rPr>
          <w:i/>
          <w:iCs/>
        </w:rPr>
        <w:t>Barak</w:t>
      </w:r>
      <w:r w:rsidR="00EE7E13" w:rsidRPr="0037133A">
        <w:rPr>
          <w:i/>
          <w:iCs/>
        </w:rPr>
        <w:t>’</w:t>
      </w:r>
      <w:r w:rsidR="00E76492" w:rsidRPr="0037133A">
        <w:rPr>
          <w:i/>
          <w:iCs/>
        </w:rPr>
        <w:t xml:space="preserve">s remarks </w:t>
      </w:r>
      <w:r w:rsidR="0037133A">
        <w:rPr>
          <w:i/>
          <w:iCs/>
        </w:rPr>
        <w:t xml:space="preserve">at </w:t>
      </w:r>
      <w:r w:rsidR="00E76492" w:rsidRPr="0037133A">
        <w:rPr>
          <w:i/>
          <w:iCs/>
        </w:rPr>
        <w:t>p. 616).</w:t>
      </w:r>
      <w:r w:rsidRPr="0037133A">
        <w:t>”</w:t>
      </w:r>
    </w:p>
    <w:p w14:paraId="1D752BD0" w14:textId="561DB752" w:rsidR="00E76492" w:rsidRDefault="00E76492" w:rsidP="00997F8B">
      <w:pPr>
        <w:spacing w:line="360" w:lineRule="auto"/>
        <w:jc w:val="both"/>
      </w:pPr>
      <w:r>
        <w:t>However, many disagree with the Supreme Court</w:t>
      </w:r>
      <w:r w:rsidR="00EE7E13" w:rsidRPr="00EE7E13">
        <w:rPr>
          <w:i/>
          <w:iCs/>
        </w:rPr>
        <w:t>’</w:t>
      </w:r>
      <w:r>
        <w:t>s position on this issue</w:t>
      </w:r>
      <w:r w:rsidR="0037133A">
        <w:t>,</w:t>
      </w:r>
      <w:r>
        <w:t xml:space="preserve"> and the very distinction between deterrence and collective punishment.</w:t>
      </w:r>
      <w:r w:rsidR="00A82281">
        <w:rPr>
          <w:rStyle w:val="FootnoteReference"/>
        </w:rPr>
        <w:footnoteReference w:id="103"/>
      </w:r>
      <w:r>
        <w:t xml:space="preserve"> Prof. Kratzmer, for example, holds the view that this </w:t>
      </w:r>
      <w:r w:rsidR="0037133A">
        <w:t xml:space="preserve">action is </w:t>
      </w:r>
      <w:r>
        <w:t xml:space="preserve">collective punishment contrary to international law. Prof. Kratzmer argues that one of the factors of </w:t>
      </w:r>
      <w:r>
        <w:lastRenderedPageBreak/>
        <w:t xml:space="preserve">punishment is the desire to deter, </w:t>
      </w:r>
      <w:r w:rsidRPr="0037133A">
        <w:rPr>
          <w:b/>
          <w:bCs/>
        </w:rPr>
        <w:t>and therefore deterrence and punishment are</w:t>
      </w:r>
      <w:r w:rsidR="0037133A">
        <w:rPr>
          <w:b/>
          <w:bCs/>
        </w:rPr>
        <w:t xml:space="preserve"> one and the same</w:t>
      </w:r>
      <w:r>
        <w:t>.</w:t>
      </w:r>
      <w:r w:rsidR="004B574A">
        <w:rPr>
          <w:rStyle w:val="FootnoteReference"/>
        </w:rPr>
        <w:footnoteReference w:id="104"/>
      </w:r>
      <w:r>
        <w:t xml:space="preserve"> Prof. </w:t>
      </w:r>
      <w:proofErr w:type="spellStart"/>
      <w:r>
        <w:t>Harpaz</w:t>
      </w:r>
      <w:proofErr w:type="spellEnd"/>
      <w:r>
        <w:t xml:space="preserve"> and Prof. Cohen </w:t>
      </w:r>
      <w:r w:rsidR="00C36CD9">
        <w:t xml:space="preserve">illuminate </w:t>
      </w:r>
      <w:r>
        <w:t xml:space="preserve">significant difficulties in the </w:t>
      </w:r>
      <w:r w:rsidR="00C36CD9">
        <w:t>Supreme Court</w:t>
      </w:r>
      <w:r w:rsidR="00C36CD9">
        <w:t xml:space="preserve">’s </w:t>
      </w:r>
      <w:r>
        <w:t>position</w:t>
      </w:r>
      <w:r w:rsidR="0037133A">
        <w:t>,</w:t>
      </w:r>
      <w:r>
        <w:t xml:space="preserve"> and what appears, on the face of it, to be material contradictions in the </w:t>
      </w:r>
      <w:r w:rsidR="0037133A">
        <w:t xml:space="preserve">Court’s </w:t>
      </w:r>
      <w:r>
        <w:t xml:space="preserve">position </w:t>
      </w:r>
      <w:r w:rsidR="0037133A">
        <w:t>o</w:t>
      </w:r>
      <w:r>
        <w:t xml:space="preserve">n this </w:t>
      </w:r>
      <w:r w:rsidR="0037133A">
        <w:t>point</w:t>
      </w:r>
      <w:r>
        <w:t>.</w:t>
      </w:r>
      <w:r w:rsidR="004B574A">
        <w:rPr>
          <w:rStyle w:val="FootnoteReference"/>
        </w:rPr>
        <w:footnoteReference w:id="105"/>
      </w:r>
      <w:r>
        <w:t xml:space="preserve"> On the other hand, Prof. Emanuel Gross sees </w:t>
      </w:r>
      <w:r w:rsidRPr="0037133A">
        <w:rPr>
          <w:b/>
          <w:bCs/>
        </w:rPr>
        <w:t>deterrence as a justified military need</w:t>
      </w:r>
      <w:r>
        <w:t>,</w:t>
      </w:r>
      <w:r w:rsidR="004B574A">
        <w:rPr>
          <w:rStyle w:val="FootnoteReference"/>
        </w:rPr>
        <w:footnoteReference w:id="106"/>
      </w:r>
      <w:r>
        <w:t xml:space="preserve"> which does not constitute prohibited collective punishment.</w:t>
      </w:r>
      <w:r w:rsidR="004B574A">
        <w:rPr>
          <w:rStyle w:val="FootnoteReference"/>
        </w:rPr>
        <w:footnoteReference w:id="107"/>
      </w:r>
    </w:p>
    <w:p w14:paraId="331E8A2E" w14:textId="6FA9D86F" w:rsidR="00E76492" w:rsidRDefault="00E76492" w:rsidP="00997F8B">
      <w:pPr>
        <w:spacing w:line="360" w:lineRule="auto"/>
        <w:jc w:val="both"/>
      </w:pPr>
      <w:r>
        <w:t xml:space="preserve">Liebman, as stated, discusses two reasons for holding the </w:t>
      </w:r>
      <w:r w:rsidR="0037133A">
        <w:t>corpses –</w:t>
      </w:r>
      <w:r>
        <w:t xml:space="preserve"> preventin</w:t>
      </w:r>
      <w:r w:rsidR="0037133A">
        <w:t xml:space="preserve">g </w:t>
      </w:r>
      <w:r>
        <w:t>disorder and future deterrence. I would like to add</w:t>
      </w:r>
      <w:r w:rsidR="0037133A">
        <w:t>,</w:t>
      </w:r>
      <w:r>
        <w:t xml:space="preserve"> and discuss another reason for </w:t>
      </w:r>
      <w:r w:rsidR="0037133A">
        <w:t xml:space="preserve">the </w:t>
      </w:r>
      <w:r>
        <w:t xml:space="preserve">possession, which is the return of the bodies of IDF </w:t>
      </w:r>
      <w:r w:rsidR="0037133A">
        <w:t xml:space="preserve">fallen soldiers </w:t>
      </w:r>
      <w:r>
        <w:t xml:space="preserve">and prisoners. I will </w:t>
      </w:r>
      <w:r w:rsidR="00EE7E13">
        <w:t>analyse</w:t>
      </w:r>
      <w:r>
        <w:t xml:space="preserve"> the reason in accordance with Liebman</w:t>
      </w:r>
      <w:r w:rsidR="00EE7E13" w:rsidRPr="00EE7E13">
        <w:rPr>
          <w:i/>
          <w:iCs/>
        </w:rPr>
        <w:t>’</w:t>
      </w:r>
      <w:r>
        <w:t xml:space="preserve">s definitions above, and examine whether it is collective punishment, collective </w:t>
      </w:r>
      <w:r w:rsidR="00A5597F">
        <w:t>harm,</w:t>
      </w:r>
      <w:r>
        <w:t xml:space="preserve"> or secondary </w:t>
      </w:r>
      <w:r w:rsidR="00C36CD9">
        <w:t>harm</w:t>
      </w:r>
      <w:r>
        <w:t>.</w:t>
      </w:r>
    </w:p>
    <w:p w14:paraId="35A7C25B" w14:textId="4CB860C8" w:rsidR="00E76492" w:rsidRDefault="00E76492" w:rsidP="0037133A">
      <w:pPr>
        <w:spacing w:line="360" w:lineRule="auto"/>
        <w:jc w:val="both"/>
      </w:pPr>
      <w:r>
        <w:t xml:space="preserve">First and foremost, we can </w:t>
      </w:r>
      <w:r w:rsidR="00FD0AFB">
        <w:t xml:space="preserve">illuminate </w:t>
      </w:r>
      <w:r w:rsidR="00FD0AFB">
        <w:t>the possibility of</w:t>
      </w:r>
      <w:r w:rsidR="00FD0AFB">
        <w:t xml:space="preserve"> </w:t>
      </w:r>
      <w:r w:rsidR="00FD0AFB">
        <w:t>collective harm</w:t>
      </w:r>
      <w:r w:rsidR="00FD0AFB">
        <w:t xml:space="preserve"> </w:t>
      </w:r>
      <w:r>
        <w:t xml:space="preserve">from the discussion, since there is no doubt that this is </w:t>
      </w:r>
      <w:r w:rsidR="00FD0AFB">
        <w:t xml:space="preserve">the </w:t>
      </w:r>
      <w:r>
        <w:t>violation of a right</w:t>
      </w:r>
      <w:r w:rsidR="0037133A">
        <w:t>,</w:t>
      </w:r>
      <w:r>
        <w:t xml:space="preserve"> and not a privilege. Although we have stated that there is no explicit </w:t>
      </w:r>
      <w:r w:rsidR="0037133A">
        <w:t xml:space="preserve">duty </w:t>
      </w:r>
      <w:r>
        <w:t xml:space="preserve">to </w:t>
      </w:r>
      <w:r w:rsidR="0037133A">
        <w:t xml:space="preserve">hand back corpses </w:t>
      </w:r>
      <w:r>
        <w:t xml:space="preserve">under international law, we have also seen that </w:t>
      </w:r>
      <w:r w:rsidR="0037133A">
        <w:t xml:space="preserve">the deceased </w:t>
      </w:r>
      <w:r>
        <w:t xml:space="preserve">and </w:t>
      </w:r>
      <w:r w:rsidR="0037133A">
        <w:t xml:space="preserve">his </w:t>
      </w:r>
      <w:r>
        <w:t xml:space="preserve">family have </w:t>
      </w:r>
      <w:r w:rsidR="00FD0AFB">
        <w:t xml:space="preserve">significant </w:t>
      </w:r>
      <w:r>
        <w:t>rights</w:t>
      </w:r>
      <w:r w:rsidR="0037133A">
        <w:t>,</w:t>
      </w:r>
      <w:r>
        <w:t xml:space="preserve"> and that this is not a benefit or privilege. </w:t>
      </w:r>
      <w:r w:rsidR="0037133A">
        <w:t>Thus</w:t>
      </w:r>
      <w:r>
        <w:t xml:space="preserve">, </w:t>
      </w:r>
      <w:r w:rsidR="0037133A">
        <w:t xml:space="preserve">one </w:t>
      </w:r>
      <w:r>
        <w:t>must examine</w:t>
      </w:r>
      <w:r w:rsidR="0037133A">
        <w:t xml:space="preserve"> </w:t>
      </w:r>
      <w:r>
        <w:t xml:space="preserve">whether this is a collective punishment or secondary </w:t>
      </w:r>
      <w:r w:rsidR="00FD0AFB">
        <w:t>harm</w:t>
      </w:r>
      <w:r>
        <w:t>.</w:t>
      </w:r>
    </w:p>
    <w:p w14:paraId="7FD7E702" w14:textId="77777777" w:rsidR="00E76492" w:rsidRDefault="00E76492" w:rsidP="00E76492">
      <w:pPr>
        <w:jc w:val="both"/>
      </w:pPr>
    </w:p>
    <w:p w14:paraId="08F784CB" w14:textId="058682CE" w:rsidR="00E76492" w:rsidRPr="004B574A" w:rsidRDefault="00E76492" w:rsidP="00997F8B">
      <w:pPr>
        <w:spacing w:line="360" w:lineRule="auto"/>
        <w:jc w:val="both"/>
        <w:rPr>
          <w:b/>
          <w:bCs/>
          <w:u w:val="single"/>
        </w:rPr>
      </w:pPr>
      <w:r w:rsidRPr="00FD0AFB">
        <w:rPr>
          <w:b/>
          <w:bCs/>
          <w:u w:val="single"/>
        </w:rPr>
        <w:t>A.</w:t>
      </w:r>
      <w:r>
        <w:t xml:space="preserve"> </w:t>
      </w:r>
      <w:r w:rsidRPr="004B574A">
        <w:rPr>
          <w:b/>
          <w:bCs/>
          <w:u w:val="single"/>
        </w:rPr>
        <w:t xml:space="preserve">Collective </w:t>
      </w:r>
      <w:r w:rsidR="004B574A">
        <w:rPr>
          <w:b/>
          <w:bCs/>
          <w:u w:val="single"/>
        </w:rPr>
        <w:t>P</w:t>
      </w:r>
      <w:r w:rsidRPr="004B574A">
        <w:rPr>
          <w:b/>
          <w:bCs/>
          <w:u w:val="single"/>
        </w:rPr>
        <w:t>unishment:</w:t>
      </w:r>
    </w:p>
    <w:p w14:paraId="1AAE12DA" w14:textId="0BFEC65D" w:rsidR="00E76492" w:rsidRDefault="00E76492" w:rsidP="00D360D7">
      <w:pPr>
        <w:pStyle w:val="ListParagraph"/>
        <w:numPr>
          <w:ilvl w:val="0"/>
          <w:numId w:val="4"/>
        </w:numPr>
        <w:spacing w:line="360" w:lineRule="auto"/>
        <w:jc w:val="both"/>
      </w:pPr>
      <w:r w:rsidRPr="00D360D7">
        <w:rPr>
          <w:u w:val="single"/>
        </w:rPr>
        <w:t>Directly</w:t>
      </w:r>
      <w:r>
        <w:t xml:space="preserve"> - </w:t>
      </w:r>
      <w:r w:rsidR="00D360D7">
        <w:t>T</w:t>
      </w:r>
      <w:r>
        <w:t>he question is asked</w:t>
      </w:r>
      <w:r w:rsidR="00D360D7">
        <w:t>:</w:t>
      </w:r>
      <w:r>
        <w:t xml:space="preserve"> </w:t>
      </w:r>
      <w:r w:rsidR="00D360D7">
        <w:t xml:space="preserve">Who is the action directed </w:t>
      </w:r>
      <w:r w:rsidR="00FD0AFB">
        <w:t>at</w:t>
      </w:r>
      <w:r w:rsidR="00D360D7">
        <w:t>?</w:t>
      </w:r>
      <w:r>
        <w:t xml:space="preserve"> The possibilities that come to mind are three: </w:t>
      </w:r>
      <w:r w:rsidR="00D360D7">
        <w:t>T</w:t>
      </w:r>
      <w:r>
        <w:t>he terrorist, his family</w:t>
      </w:r>
      <w:r w:rsidR="00D360D7">
        <w:t>,</w:t>
      </w:r>
      <w:r>
        <w:t xml:space="preserve"> or Hamas. On the one hand, the most direct and powerful </w:t>
      </w:r>
      <w:r w:rsidR="00D360D7">
        <w:t xml:space="preserve">harm </w:t>
      </w:r>
      <w:r>
        <w:t xml:space="preserve">is to the right of the terrorist, whose body is not buried according to his will. This is, as stated, </w:t>
      </w:r>
      <w:r w:rsidR="00FD0AFB">
        <w:t xml:space="preserve">harm </w:t>
      </w:r>
      <w:r>
        <w:t xml:space="preserve">to the basis of his human dignity. On the other hand, since the terrorist is being held as a bargaining chip for negotiation purposes, the direct victims are the family members, who will serve </w:t>
      </w:r>
      <w:r w:rsidR="00FD0AFB">
        <w:t xml:space="preserve">to pressure </w:t>
      </w:r>
      <w:r>
        <w:t xml:space="preserve">Hamas to act to </w:t>
      </w:r>
      <w:r w:rsidR="00FD0AFB">
        <w:t xml:space="preserve">institute </w:t>
      </w:r>
      <w:r>
        <w:t xml:space="preserve">a prisoner </w:t>
      </w:r>
      <w:r w:rsidR="00D360D7">
        <w:t xml:space="preserve">exchange </w:t>
      </w:r>
      <w:r>
        <w:t>deal</w:t>
      </w:r>
      <w:r w:rsidR="00D360D7">
        <w:t>,</w:t>
      </w:r>
      <w:r>
        <w:t xml:space="preserve"> to end their suffering and the suffering of their family member. Another possibility</w:t>
      </w:r>
      <w:r w:rsidR="00FD0AFB">
        <w:t>,</w:t>
      </w:r>
      <w:r>
        <w:t xml:space="preserve"> is that the action is directed directly at Hamas, with the terrorist and his family members being </w:t>
      </w:r>
      <w:r w:rsidR="00EE7E13" w:rsidRPr="00D360D7">
        <w:rPr>
          <w:i/>
          <w:iCs/>
        </w:rPr>
        <w:t>“</w:t>
      </w:r>
      <w:r>
        <w:t>tools</w:t>
      </w:r>
      <w:r w:rsidR="00EE7E13" w:rsidRPr="00D360D7">
        <w:rPr>
          <w:i/>
          <w:iCs/>
        </w:rPr>
        <w:t>”</w:t>
      </w:r>
      <w:r>
        <w:t xml:space="preserve"> in negotiations between Hamas and Israel. In my humble opinion, this question cannot be decided on a sweeping basis</w:t>
      </w:r>
      <w:r w:rsidR="00D360D7">
        <w:t>;</w:t>
      </w:r>
      <w:r>
        <w:t xml:space="preserve"> </w:t>
      </w:r>
      <w:r w:rsidR="00D360D7">
        <w:t xml:space="preserve">rather, </w:t>
      </w:r>
      <w:r>
        <w:t>each case must be examined on its own merits</w:t>
      </w:r>
      <w:r w:rsidR="00D360D7">
        <w:t>,</w:t>
      </w:r>
      <w:r>
        <w:t xml:space="preserve"> in accordance with the circumstances and </w:t>
      </w:r>
      <w:r w:rsidR="00D360D7">
        <w:t xml:space="preserve">the State’s </w:t>
      </w:r>
      <w:r>
        <w:t>arguments in that case.</w:t>
      </w:r>
    </w:p>
    <w:p w14:paraId="635E5372" w14:textId="5AC28C60" w:rsidR="00E76492" w:rsidRDefault="00E76492" w:rsidP="00D360D7">
      <w:pPr>
        <w:pStyle w:val="ListParagraph"/>
        <w:numPr>
          <w:ilvl w:val="0"/>
          <w:numId w:val="4"/>
        </w:numPr>
        <w:spacing w:line="360" w:lineRule="auto"/>
        <w:jc w:val="both"/>
      </w:pPr>
      <w:r w:rsidRPr="00D360D7">
        <w:rPr>
          <w:u w:val="single"/>
        </w:rPr>
        <w:lastRenderedPageBreak/>
        <w:t>Responsibility</w:t>
      </w:r>
      <w:r>
        <w:t xml:space="preserve"> </w:t>
      </w:r>
      <w:r w:rsidR="00D360D7">
        <w:t>–</w:t>
      </w:r>
      <w:r>
        <w:t xml:space="preserve"> </w:t>
      </w:r>
      <w:r w:rsidR="00D360D7">
        <w:t xml:space="preserve">Also on </w:t>
      </w:r>
      <w:r>
        <w:t xml:space="preserve">this </w:t>
      </w:r>
      <w:r w:rsidR="00D360D7">
        <w:t>point</w:t>
      </w:r>
      <w:r>
        <w:t xml:space="preserve">, three options must be </w:t>
      </w:r>
      <w:r w:rsidR="00FD0AFB">
        <w:t>distinguished</w:t>
      </w:r>
      <w:r>
        <w:t xml:space="preserve">. </w:t>
      </w:r>
      <w:r w:rsidR="00D360D7">
        <w:t xml:space="preserve">If </w:t>
      </w:r>
      <w:r>
        <w:t xml:space="preserve">the decision on the question of </w:t>
      </w:r>
      <w:r w:rsidR="00EE7E13" w:rsidRPr="00D360D7">
        <w:rPr>
          <w:i/>
          <w:iCs/>
        </w:rPr>
        <w:t>‘</w:t>
      </w:r>
      <w:r w:rsidR="00D360D7">
        <w:t>D</w:t>
      </w:r>
      <w:r>
        <w:t>irect</w:t>
      </w:r>
      <w:r w:rsidR="00D360D7">
        <w:t>ly</w:t>
      </w:r>
      <w:r w:rsidR="00EE7E13" w:rsidRPr="00D360D7">
        <w:rPr>
          <w:i/>
          <w:iCs/>
        </w:rPr>
        <w:t>’</w:t>
      </w:r>
      <w:r>
        <w:t xml:space="preserve"> is </w:t>
      </w:r>
      <w:r w:rsidR="00D360D7">
        <w:t xml:space="preserve">the </w:t>
      </w:r>
      <w:r>
        <w:t>terrorist or Hamas, then responsibility can be attributed to them in fact</w:t>
      </w:r>
      <w:r w:rsidR="00D360D7">
        <w:t>,</w:t>
      </w:r>
      <w:r>
        <w:t xml:space="preserve"> and thus</w:t>
      </w:r>
      <w:r w:rsidR="004B574A">
        <w:rPr>
          <w:rStyle w:val="FootnoteReference"/>
        </w:rPr>
        <w:footnoteReference w:id="108"/>
      </w:r>
      <w:r>
        <w:t xml:space="preserve"> the possibility of collective punishment is ruled out. However, when it comes to family members, the issue gets complicated. First, </w:t>
      </w:r>
      <w:r w:rsidR="00D360D7">
        <w:t xml:space="preserve">one </w:t>
      </w:r>
      <w:r>
        <w:t>must examine</w:t>
      </w:r>
      <w:r w:rsidR="00D360D7">
        <w:t xml:space="preserve"> </w:t>
      </w:r>
      <w:r>
        <w:t>whether the family actually had responsibility</w:t>
      </w:r>
      <w:r w:rsidR="00D360D7">
        <w:t xml:space="preserve"> for the act</w:t>
      </w:r>
      <w:r>
        <w:t xml:space="preserve">. Assuming </w:t>
      </w:r>
      <w:r w:rsidR="00D360D7">
        <w:t>the answer is no –</w:t>
      </w:r>
      <w:r>
        <w:t xml:space="preserve"> since it is difficult to </w:t>
      </w:r>
      <w:r w:rsidR="00D360D7">
        <w:t xml:space="preserve">imagine circumstances </w:t>
      </w:r>
      <w:r>
        <w:t xml:space="preserve">in which the entire immediate family, which is affected as a whole, </w:t>
      </w:r>
      <w:r w:rsidR="00D360D7">
        <w:t xml:space="preserve">bears </w:t>
      </w:r>
      <w:r>
        <w:t xml:space="preserve">responsibility </w:t>
      </w:r>
      <w:r w:rsidR="00D360D7">
        <w:t>for the action –</w:t>
      </w:r>
      <w:r>
        <w:t xml:space="preserve"> then the</w:t>
      </w:r>
      <w:r w:rsidR="00FD0AFB">
        <w:t xml:space="preserve"> </w:t>
      </w:r>
      <w:r w:rsidR="00D360D7">
        <w:t xml:space="preserve">demand </w:t>
      </w:r>
      <w:r>
        <w:t>to define the action as a collective punishment</w:t>
      </w:r>
      <w:r w:rsidR="00FD0AFB">
        <w:t xml:space="preserve"> is met</w:t>
      </w:r>
      <w:r>
        <w:t>.</w:t>
      </w:r>
    </w:p>
    <w:p w14:paraId="58823768" w14:textId="214B6DA1" w:rsidR="00E76492" w:rsidRDefault="00D360D7" w:rsidP="00D360D7">
      <w:pPr>
        <w:pStyle w:val="ListParagraph"/>
        <w:numPr>
          <w:ilvl w:val="0"/>
          <w:numId w:val="4"/>
        </w:numPr>
        <w:spacing w:line="360" w:lineRule="auto"/>
        <w:jc w:val="both"/>
      </w:pPr>
      <w:r>
        <w:rPr>
          <w:u w:val="single"/>
        </w:rPr>
        <w:t xml:space="preserve">Harm </w:t>
      </w:r>
      <w:r w:rsidR="00E76492" w:rsidRPr="00D360D7">
        <w:rPr>
          <w:u w:val="single"/>
        </w:rPr>
        <w:t>only due to belonging to a collective</w:t>
      </w:r>
      <w:r w:rsidR="00E76492">
        <w:t xml:space="preserve"> </w:t>
      </w:r>
      <w:r>
        <w:t>–</w:t>
      </w:r>
      <w:r w:rsidR="00E76492">
        <w:t xml:space="preserve"> </w:t>
      </w:r>
      <w:r>
        <w:t>S</w:t>
      </w:r>
      <w:r w:rsidR="00E76492">
        <w:t xml:space="preserve">imilar to its predecessor, this requirement will be met if it is decided that the direct injury is to the family members only because they are family members of the terrorist. </w:t>
      </w:r>
      <w:r w:rsidR="00FD0AFB">
        <w:t xml:space="preserve">We </w:t>
      </w:r>
      <w:r w:rsidR="00E76492">
        <w:t>recall</w:t>
      </w:r>
      <w:r>
        <w:t>,</w:t>
      </w:r>
      <w:r w:rsidR="00E76492">
        <w:t xml:space="preserve"> that this </w:t>
      </w:r>
      <w:r w:rsidR="00FD0AFB">
        <w:t xml:space="preserve">harm </w:t>
      </w:r>
      <w:r w:rsidR="00E76492">
        <w:t xml:space="preserve">will be considered only in the event that it is decided that it is a </w:t>
      </w:r>
      <w:r w:rsidR="00E76492" w:rsidRPr="00D360D7">
        <w:rPr>
          <w:b/>
          <w:bCs/>
        </w:rPr>
        <w:t>direct</w:t>
      </w:r>
      <w:r w:rsidR="00E76492">
        <w:t xml:space="preserve"> injury to the family members, and no claim will be </w:t>
      </w:r>
      <w:r>
        <w:t xml:space="preserve">heard </w:t>
      </w:r>
      <w:r w:rsidR="00E76492">
        <w:t xml:space="preserve">that it is secondary </w:t>
      </w:r>
      <w:r>
        <w:t>harm</w:t>
      </w:r>
      <w:r w:rsidR="00E76492">
        <w:t>, as I will discuss below.</w:t>
      </w:r>
    </w:p>
    <w:p w14:paraId="3066977F" w14:textId="77777777" w:rsidR="00E76492" w:rsidRDefault="00E76492" w:rsidP="00E76492">
      <w:pPr>
        <w:jc w:val="both"/>
      </w:pPr>
    </w:p>
    <w:p w14:paraId="6ACEA525" w14:textId="672B44F0" w:rsidR="00E76492" w:rsidRDefault="00E76492" w:rsidP="00997F8B">
      <w:pPr>
        <w:spacing w:line="360" w:lineRule="auto"/>
        <w:jc w:val="both"/>
      </w:pPr>
      <w:r w:rsidRPr="00FD0AFB">
        <w:rPr>
          <w:b/>
          <w:bCs/>
          <w:u w:val="single"/>
        </w:rPr>
        <w:t>B.</w:t>
      </w:r>
      <w:r>
        <w:t xml:space="preserve"> </w:t>
      </w:r>
      <w:r w:rsidR="004B574A" w:rsidRPr="004B574A">
        <w:rPr>
          <w:b/>
          <w:bCs/>
          <w:u w:val="single"/>
        </w:rPr>
        <w:t xml:space="preserve">Secondary </w:t>
      </w:r>
      <w:r w:rsidR="00D360D7">
        <w:rPr>
          <w:b/>
          <w:bCs/>
          <w:u w:val="single"/>
        </w:rPr>
        <w:t>Harm</w:t>
      </w:r>
      <w:r>
        <w:t>:</w:t>
      </w:r>
    </w:p>
    <w:p w14:paraId="14A27D9F" w14:textId="50FC50F4" w:rsidR="00E76492" w:rsidRDefault="00E76492" w:rsidP="00D360D7">
      <w:pPr>
        <w:pStyle w:val="ListParagraph"/>
        <w:numPr>
          <w:ilvl w:val="0"/>
          <w:numId w:val="6"/>
        </w:numPr>
        <w:spacing w:line="360" w:lineRule="auto"/>
        <w:jc w:val="both"/>
      </w:pPr>
      <w:r w:rsidRPr="00D360D7">
        <w:rPr>
          <w:u w:val="single"/>
        </w:rPr>
        <w:t>Tangible measures to prevent terrorism</w:t>
      </w:r>
      <w:r>
        <w:t xml:space="preserve"> </w:t>
      </w:r>
      <w:r w:rsidR="00B7462A">
        <w:t>–</w:t>
      </w:r>
      <w:r>
        <w:t xml:space="preserve"> The State of Israel </w:t>
      </w:r>
      <w:r w:rsidR="00FD0AFB">
        <w:t xml:space="preserve">argues vociferously </w:t>
      </w:r>
      <w:r>
        <w:t xml:space="preserve">that the entire purpose of the action is to prevent terrorism </w:t>
      </w:r>
      <w:r w:rsidR="00B7462A">
        <w:t>–</w:t>
      </w:r>
      <w:r>
        <w:t xml:space="preserve"> terrorism expressed in the possession of </w:t>
      </w:r>
      <w:r w:rsidR="00B7462A">
        <w:t xml:space="preserve">corpses </w:t>
      </w:r>
      <w:r>
        <w:t>and prisoners, the intimidation of Israeli residents</w:t>
      </w:r>
      <w:r w:rsidR="00B7462A">
        <w:t>,</w:t>
      </w:r>
      <w:r>
        <w:t xml:space="preserve"> and the torture of families. As is well known, and although each case is examined on its own merits, the position of the Supreme Court tends to accept the position of the State </w:t>
      </w:r>
      <w:r w:rsidR="00B7462A">
        <w:t>o</w:t>
      </w:r>
      <w:r>
        <w:t xml:space="preserve">n this </w:t>
      </w:r>
      <w:r w:rsidR="00B7462A">
        <w:t>point</w:t>
      </w:r>
      <w:r>
        <w:t xml:space="preserve">. However, quite a few </w:t>
      </w:r>
      <w:r w:rsidR="00FD0AFB">
        <w:t xml:space="preserve">parties </w:t>
      </w:r>
      <w:r>
        <w:t>critic</w:t>
      </w:r>
      <w:r w:rsidR="00B7462A">
        <w:t>i</w:t>
      </w:r>
      <w:r>
        <w:t>s</w:t>
      </w:r>
      <w:r w:rsidR="00B7462A">
        <w:t xml:space="preserve">e </w:t>
      </w:r>
      <w:r>
        <w:t>this position, in line with the views presented at length above.</w:t>
      </w:r>
    </w:p>
    <w:p w14:paraId="38B9F5EF" w14:textId="2F96D765" w:rsidR="00E76492" w:rsidRDefault="00E76492" w:rsidP="00D360D7">
      <w:pPr>
        <w:pStyle w:val="ListParagraph"/>
        <w:numPr>
          <w:ilvl w:val="0"/>
          <w:numId w:val="6"/>
        </w:numPr>
        <w:spacing w:line="360" w:lineRule="auto"/>
        <w:jc w:val="both"/>
      </w:pPr>
      <w:r w:rsidRPr="00D360D7">
        <w:rPr>
          <w:u w:val="single"/>
        </w:rPr>
        <w:t>Not directly and unintentionally</w:t>
      </w:r>
      <w:r>
        <w:t xml:space="preserve"> </w:t>
      </w:r>
      <w:r w:rsidR="00B7462A">
        <w:t>–</w:t>
      </w:r>
      <w:r>
        <w:t xml:space="preserve"> I would like to treat both tests in </w:t>
      </w:r>
      <w:r w:rsidR="00FD0AFB">
        <w:t>one fell swoop</w:t>
      </w:r>
      <w:r>
        <w:t xml:space="preserve">. According to the analysis </w:t>
      </w:r>
      <w:r w:rsidR="00FD0AFB">
        <w:t>o</w:t>
      </w:r>
      <w:r>
        <w:t xml:space="preserve">n the </w:t>
      </w:r>
      <w:r w:rsidR="00FD0AFB">
        <w:t xml:space="preserve">point </w:t>
      </w:r>
      <w:r>
        <w:t xml:space="preserve">of collective punishment, it will be necessary to examine whether the harm to the family members was indeed indirect and unintentional. It must be examined whether this is indeed an injury that can be defined as </w:t>
      </w:r>
      <w:r w:rsidR="00EE7E13" w:rsidRPr="00D360D7">
        <w:rPr>
          <w:i/>
          <w:iCs/>
        </w:rPr>
        <w:t>“</w:t>
      </w:r>
      <w:r>
        <w:t xml:space="preserve">secondary </w:t>
      </w:r>
      <w:r w:rsidR="00B7462A">
        <w:t>harm</w:t>
      </w:r>
      <w:r w:rsidR="00EE7E13" w:rsidRPr="00D360D7">
        <w:rPr>
          <w:i/>
          <w:iCs/>
        </w:rPr>
        <w:t>”</w:t>
      </w:r>
      <w:r>
        <w:t xml:space="preserve"> caused as a result of a greater struggle, or whether it is a </w:t>
      </w:r>
      <w:r w:rsidR="00B7462A">
        <w:t xml:space="preserve">tool of </w:t>
      </w:r>
      <w:r>
        <w:t xml:space="preserve">direct pressure, </w:t>
      </w:r>
      <w:r w:rsidR="00B7462A">
        <w:t xml:space="preserve">use of which </w:t>
      </w:r>
      <w:r>
        <w:t xml:space="preserve">was planned in advance to </w:t>
      </w:r>
      <w:r w:rsidR="00B7462A">
        <w:t xml:space="preserve">achieve </w:t>
      </w:r>
      <w:r>
        <w:t xml:space="preserve">the goal. As I understand it, each case must be examined on its own merits, and in accordance with the concrete arguments </w:t>
      </w:r>
      <w:r w:rsidR="00B7462A">
        <w:t xml:space="preserve">presented by </w:t>
      </w:r>
      <w:r>
        <w:t xml:space="preserve">the </w:t>
      </w:r>
      <w:r w:rsidR="00B7462A">
        <w:t>S</w:t>
      </w:r>
      <w:r>
        <w:t>tate. The specific case needs to be investigated</w:t>
      </w:r>
      <w:r w:rsidR="00B7462A">
        <w:t>,</w:t>
      </w:r>
      <w:r>
        <w:t xml:space="preserve"> and other cases cannot be decided sweeping</w:t>
      </w:r>
      <w:r w:rsidR="00B7462A">
        <w:t>ly by analogy from it</w:t>
      </w:r>
      <w:r>
        <w:t>.</w:t>
      </w:r>
    </w:p>
    <w:p w14:paraId="126BE8A2" w14:textId="77777777" w:rsidR="00C11C44" w:rsidRDefault="00C11C44" w:rsidP="00D360D7">
      <w:pPr>
        <w:spacing w:line="360" w:lineRule="auto"/>
        <w:jc w:val="both"/>
        <w:rPr>
          <w:highlight w:val="yellow"/>
        </w:rPr>
      </w:pPr>
    </w:p>
    <w:p w14:paraId="5199A575" w14:textId="258E8EE9" w:rsidR="00E76492" w:rsidRDefault="00E76492" w:rsidP="00D360D7">
      <w:pPr>
        <w:spacing w:line="360" w:lineRule="auto"/>
        <w:jc w:val="both"/>
      </w:pPr>
      <w:r w:rsidRPr="00386547">
        <w:lastRenderedPageBreak/>
        <w:t>In conclusion, there is a difficulty in deciding in a</w:t>
      </w:r>
      <w:r w:rsidR="00386547">
        <w:t xml:space="preserve"> general </w:t>
      </w:r>
      <w:r w:rsidRPr="00386547">
        <w:t>way whether holding bodies as bargaining chip</w:t>
      </w:r>
      <w:r w:rsidR="00386547">
        <w:t>s</w:t>
      </w:r>
      <w:r w:rsidRPr="00386547">
        <w:t xml:space="preserve"> for negotiation purposes constitutes prohibited collective punishment, or whether </w:t>
      </w:r>
      <w:r w:rsidR="00386547">
        <w:t xml:space="preserve">it is </w:t>
      </w:r>
      <w:r w:rsidRPr="00386547">
        <w:t xml:space="preserve">secondary </w:t>
      </w:r>
      <w:r w:rsidR="00386547">
        <w:t xml:space="preserve">harm </w:t>
      </w:r>
      <w:r w:rsidRPr="00386547">
        <w:t xml:space="preserve">that can be justified. This will </w:t>
      </w:r>
      <w:r w:rsidR="00386547">
        <w:t xml:space="preserve">turn </w:t>
      </w:r>
      <w:r w:rsidR="005A7FA6">
        <w:t>i</w:t>
      </w:r>
      <w:r w:rsidRPr="00386547">
        <w:t xml:space="preserve">n each case </w:t>
      </w:r>
      <w:r w:rsidR="005A7FA6">
        <w:t xml:space="preserve">on </w:t>
      </w:r>
      <w:r w:rsidRPr="00386547">
        <w:t>its circumstances, with the greatest complexity being in relation to family members. According to past precedent, as well as according to the most relevant case law regarding the return of bodies,</w:t>
      </w:r>
      <w:r w:rsidR="004B574A" w:rsidRPr="00386547">
        <w:rPr>
          <w:rStyle w:val="FootnoteReference"/>
        </w:rPr>
        <w:footnoteReference w:id="109"/>
      </w:r>
      <w:r w:rsidRPr="00386547">
        <w:t xml:space="preserve"> the position of the State of Israel is accept</w:t>
      </w:r>
      <w:r w:rsidR="005A7FA6">
        <w:t>ed</w:t>
      </w:r>
      <w:r w:rsidRPr="00386547">
        <w:t xml:space="preserve"> </w:t>
      </w:r>
      <w:r w:rsidR="005A7FA6">
        <w:t xml:space="preserve">by </w:t>
      </w:r>
      <w:r w:rsidRPr="00386547">
        <w:t xml:space="preserve">the Supreme Court of Israel. This position holds that this is not improper collective punishment, but a means of deterrence. However, this is subject to </w:t>
      </w:r>
      <w:r w:rsidR="004B574A" w:rsidRPr="00386547">
        <w:t>oversight</w:t>
      </w:r>
      <w:r w:rsidRPr="00386547">
        <w:t xml:space="preserve">, which is </w:t>
      </w:r>
      <w:r w:rsidR="005A7FA6">
        <w:t>performed</w:t>
      </w:r>
      <w:r w:rsidR="00386547">
        <w:t xml:space="preserve"> </w:t>
      </w:r>
      <w:r w:rsidRPr="00386547">
        <w:t xml:space="preserve">in each case </w:t>
      </w:r>
      <w:r w:rsidR="004B574A" w:rsidRPr="00386547">
        <w:t xml:space="preserve">on its </w:t>
      </w:r>
      <w:r w:rsidR="005A7FA6">
        <w:t xml:space="preserve">own </w:t>
      </w:r>
      <w:r w:rsidR="004B574A" w:rsidRPr="00386547">
        <w:t>merits</w:t>
      </w:r>
      <w:r w:rsidRPr="00386547">
        <w:t>.</w:t>
      </w:r>
      <w:r w:rsidR="004B574A" w:rsidRPr="00386547">
        <w:rPr>
          <w:rStyle w:val="FootnoteReference"/>
        </w:rPr>
        <w:footnoteReference w:id="110"/>
      </w:r>
    </w:p>
    <w:p w14:paraId="0E6D6435" w14:textId="4E72E714" w:rsidR="00E76492" w:rsidRDefault="00E76492" w:rsidP="00D360D7">
      <w:pPr>
        <w:spacing w:line="360" w:lineRule="auto"/>
        <w:jc w:val="both"/>
      </w:pPr>
      <w:r>
        <w:t xml:space="preserve">However, this position is subject to </w:t>
      </w:r>
      <w:r w:rsidR="00386547">
        <w:t xml:space="preserve">significant </w:t>
      </w:r>
      <w:r>
        <w:t>criticism</w:t>
      </w:r>
      <w:r w:rsidR="00386547">
        <w:t>,</w:t>
      </w:r>
      <w:r>
        <w:t xml:space="preserve"> and many voices in the international legal world believe that there is no place for legitimizing such action</w:t>
      </w:r>
      <w:r w:rsidR="00386547">
        <w:t>s</w:t>
      </w:r>
      <w:r>
        <w:t xml:space="preserve">. The complex security reality, and the enormous efforts made to bring the IDF </w:t>
      </w:r>
      <w:r w:rsidR="00386547">
        <w:t xml:space="preserve">dead </w:t>
      </w:r>
      <w:r>
        <w:t xml:space="preserve">and </w:t>
      </w:r>
      <w:r w:rsidR="00A5597F">
        <w:t>prisoners</w:t>
      </w:r>
      <w:r w:rsidR="00386547">
        <w:t xml:space="preserve"> </w:t>
      </w:r>
      <w:r>
        <w:t>home, along</w:t>
      </w:r>
      <w:r w:rsidR="00386547">
        <w:t xml:space="preserve">side </w:t>
      </w:r>
      <w:r>
        <w:t xml:space="preserve">the </w:t>
      </w:r>
      <w:r w:rsidR="00386547">
        <w:t xml:space="preserve">comprehensive </w:t>
      </w:r>
      <w:r>
        <w:t xml:space="preserve">judicial review, strengthen my view that this is secondary </w:t>
      </w:r>
      <w:r w:rsidR="00386547">
        <w:t>harm</w:t>
      </w:r>
      <w:r>
        <w:t>, and not prohibited collective punishment.</w:t>
      </w:r>
    </w:p>
    <w:p w14:paraId="2B4E5F3A" w14:textId="77777777" w:rsidR="00D360D7" w:rsidRDefault="00D360D7" w:rsidP="00D360D7">
      <w:pPr>
        <w:spacing w:line="360" w:lineRule="auto"/>
        <w:jc w:val="both"/>
        <w:rPr>
          <w:b/>
          <w:bCs/>
          <w:u w:val="single"/>
        </w:rPr>
      </w:pPr>
    </w:p>
    <w:p w14:paraId="15A9EB8C" w14:textId="1CA2C438" w:rsidR="00E76492" w:rsidRPr="004B574A" w:rsidRDefault="004B574A" w:rsidP="00D360D7">
      <w:pPr>
        <w:spacing w:line="360" w:lineRule="auto"/>
        <w:jc w:val="both"/>
        <w:rPr>
          <w:b/>
          <w:bCs/>
          <w:u w:val="single"/>
        </w:rPr>
      </w:pPr>
      <w:r w:rsidRPr="004B574A">
        <w:rPr>
          <w:b/>
          <w:bCs/>
          <w:u w:val="single"/>
        </w:rPr>
        <w:t>R</w:t>
      </w:r>
      <w:r w:rsidR="00E76492" w:rsidRPr="004B574A">
        <w:rPr>
          <w:b/>
          <w:bCs/>
          <w:u w:val="single"/>
        </w:rPr>
        <w:t>etroactivity</w:t>
      </w:r>
    </w:p>
    <w:p w14:paraId="32BE065E" w14:textId="27F05596" w:rsidR="00E76492" w:rsidRDefault="00E76492" w:rsidP="00D360D7">
      <w:pPr>
        <w:spacing w:line="360" w:lineRule="auto"/>
        <w:jc w:val="both"/>
      </w:pPr>
      <w:r>
        <w:t xml:space="preserve">The intensity of the issue of retroactivity is lower in the </w:t>
      </w:r>
      <w:r w:rsidR="00386547">
        <w:t xml:space="preserve">case </w:t>
      </w:r>
      <w:r>
        <w:t xml:space="preserve">of </w:t>
      </w:r>
      <w:r w:rsidR="00386547">
        <w:t xml:space="preserve">corpses </w:t>
      </w:r>
      <w:r>
        <w:t xml:space="preserve">than in other </w:t>
      </w:r>
      <w:r w:rsidR="00386547">
        <w:t>cases</w:t>
      </w:r>
      <w:r>
        <w:t>, such as the denial of prisoners</w:t>
      </w:r>
      <w:r w:rsidR="00EE7E13" w:rsidRPr="00EE7E13">
        <w:rPr>
          <w:i/>
          <w:iCs/>
        </w:rPr>
        <w:t>’</w:t>
      </w:r>
      <w:r>
        <w:t xml:space="preserve"> rights in prisons.</w:t>
      </w:r>
      <w:r w:rsidR="004B574A">
        <w:rPr>
          <w:rStyle w:val="FootnoteReference"/>
        </w:rPr>
        <w:footnoteReference w:id="111"/>
      </w:r>
      <w:r>
        <w:t xml:space="preserve"> However, as part of </w:t>
      </w:r>
      <w:r w:rsidR="00386547">
        <w:t xml:space="preserve">reviewing </w:t>
      </w:r>
      <w:r>
        <w:t xml:space="preserve">the issue of corpses as a test case, the matter is briefly considered, also in the context of possession of corpses. On the face of it, in this case, the </w:t>
      </w:r>
      <w:r w:rsidR="00CB0C96">
        <w:t xml:space="preserve">question </w:t>
      </w:r>
      <w:r>
        <w:t xml:space="preserve">of retroactivity is relatively simple. The </w:t>
      </w:r>
      <w:r w:rsidR="00CB0C96">
        <w:t>Defence Regulations</w:t>
      </w:r>
      <w:r w:rsidR="004B574A">
        <w:rPr>
          <w:rStyle w:val="FootnoteReference"/>
        </w:rPr>
        <w:footnoteReference w:id="112"/>
      </w:r>
      <w:r>
        <w:t xml:space="preserve"> stipulate that the military commander may order burial in Israeli territory </w:t>
      </w:r>
      <w:r w:rsidR="00CB0C96">
        <w:t>–</w:t>
      </w:r>
      <w:r>
        <w:t xml:space="preserve"> in other words, may, in certain circumstances, not return the body. The </w:t>
      </w:r>
      <w:r w:rsidR="00CB0C96">
        <w:t>Defence R</w:t>
      </w:r>
      <w:r>
        <w:t xml:space="preserve">egulations are known and published as </w:t>
      </w:r>
      <w:r w:rsidR="00CB0C96">
        <w:t xml:space="preserve">duly </w:t>
      </w:r>
      <w:r>
        <w:t>required. Along</w:t>
      </w:r>
      <w:r w:rsidR="00CB0C96">
        <w:t>side</w:t>
      </w:r>
      <w:r>
        <w:t xml:space="preserve"> the </w:t>
      </w:r>
      <w:r w:rsidR="00CB0C96">
        <w:t>Defence Regulations</w:t>
      </w:r>
      <w:r>
        <w:t xml:space="preserve">, a </w:t>
      </w:r>
      <w:r w:rsidR="00CB0C96">
        <w:t>C</w:t>
      </w:r>
      <w:r>
        <w:t xml:space="preserve">abinet </w:t>
      </w:r>
      <w:r w:rsidR="00CB0C96">
        <w:t>D</w:t>
      </w:r>
      <w:r>
        <w:t xml:space="preserve">ecision was </w:t>
      </w:r>
      <w:r w:rsidR="005A7FA6">
        <w:t>passed</w:t>
      </w:r>
      <w:r w:rsidR="00CB0C96">
        <w:t xml:space="preserve"> </w:t>
      </w:r>
      <w:r>
        <w:t xml:space="preserve">regarding the possession of </w:t>
      </w:r>
      <w:r w:rsidR="00CB0C96">
        <w:t>corpses</w:t>
      </w:r>
      <w:r>
        <w:t>, which was also made public.</w:t>
      </w:r>
      <w:r w:rsidR="004B574A">
        <w:rPr>
          <w:rStyle w:val="FootnoteReference"/>
        </w:rPr>
        <w:footnoteReference w:id="113"/>
      </w:r>
    </w:p>
    <w:p w14:paraId="3F0719F1" w14:textId="22732932" w:rsidR="00E76492" w:rsidRDefault="00CB0C96" w:rsidP="00CB0C96">
      <w:pPr>
        <w:spacing w:line="360" w:lineRule="auto"/>
        <w:jc w:val="both"/>
      </w:pPr>
      <w:r>
        <w:t>Thus</w:t>
      </w:r>
      <w:r w:rsidR="00E76492">
        <w:t xml:space="preserve">, from the moment the </w:t>
      </w:r>
      <w:r>
        <w:t xml:space="preserve">Cabinet Decision </w:t>
      </w:r>
      <w:r w:rsidR="00E76492">
        <w:t xml:space="preserve">was published, every person knew, or </w:t>
      </w:r>
      <w:r w:rsidR="005A7FA6">
        <w:t>ought to</w:t>
      </w:r>
      <w:r w:rsidR="00E76492">
        <w:t xml:space="preserve"> have known, that if he carried out an attack, he risked </w:t>
      </w:r>
      <w:r>
        <w:t xml:space="preserve">his corpse remaining </w:t>
      </w:r>
      <w:r w:rsidR="00E76492">
        <w:t xml:space="preserve">in Israel. Moreover, even without the </w:t>
      </w:r>
      <w:r>
        <w:t xml:space="preserve">government </w:t>
      </w:r>
      <w:r w:rsidR="00E76492">
        <w:t>decision and without the need to hold the body for negotiation</w:t>
      </w:r>
      <w:r>
        <w:t xml:space="preserve"> purposes</w:t>
      </w:r>
      <w:r w:rsidR="00E76492">
        <w:t xml:space="preserve">, by virtue of the </w:t>
      </w:r>
      <w:r w:rsidR="00E76492">
        <w:lastRenderedPageBreak/>
        <w:t>provisions mentioned above of international law regarding the burial of the body in a dignified manner</w:t>
      </w:r>
      <w:r>
        <w:t>,</w:t>
      </w:r>
      <w:r w:rsidR="00E76492">
        <w:t xml:space="preserve"> and regarding the obligation to document and transmit the information, </w:t>
      </w:r>
      <w:r>
        <w:t>every</w:t>
      </w:r>
      <w:r w:rsidR="00E76492">
        <w:t xml:space="preserve">one who goes to </w:t>
      </w:r>
      <w:r>
        <w:t xml:space="preserve">combat, of </w:t>
      </w:r>
      <w:r w:rsidR="00E76492">
        <w:t>any kind</w:t>
      </w:r>
      <w:r>
        <w:t>, knows that it is feasible that he w</w:t>
      </w:r>
      <w:r w:rsidR="00E76492">
        <w:t xml:space="preserve">ill </w:t>
      </w:r>
      <w:r>
        <w:t xml:space="preserve">not </w:t>
      </w:r>
      <w:r w:rsidR="00E76492">
        <w:t>return from it</w:t>
      </w:r>
      <w:r>
        <w:t>,</w:t>
      </w:r>
      <w:r w:rsidR="00E76492">
        <w:t xml:space="preserve"> and be buried in the territory of the other side.</w:t>
      </w:r>
      <w:r w:rsidR="004B574A">
        <w:rPr>
          <w:rStyle w:val="FootnoteReference"/>
        </w:rPr>
        <w:footnoteReference w:id="114"/>
      </w:r>
      <w:r w:rsidR="00E76492">
        <w:t xml:space="preserve"> It </w:t>
      </w:r>
      <w:r>
        <w:t xml:space="preserve">transpires, </w:t>
      </w:r>
      <w:r w:rsidR="00E76492">
        <w:t>that in practice</w:t>
      </w:r>
      <w:r>
        <w:t>,</w:t>
      </w:r>
      <w:r w:rsidR="00E76492">
        <w:t xml:space="preserve"> it is difficult to claim that this is a retroactive and new </w:t>
      </w:r>
      <w:r>
        <w:t>measure</w:t>
      </w:r>
      <w:r w:rsidR="00E76492">
        <w:t>.</w:t>
      </w:r>
    </w:p>
    <w:p w14:paraId="0E7B0B92" w14:textId="12E2BE9D" w:rsidR="00E76492" w:rsidRDefault="00E76492" w:rsidP="00D360D7">
      <w:pPr>
        <w:spacing w:line="360" w:lineRule="auto"/>
        <w:jc w:val="both"/>
      </w:pPr>
      <w:r>
        <w:t xml:space="preserve">However, due to the fact that over the years and even after the </w:t>
      </w:r>
      <w:r w:rsidR="00CB0C96">
        <w:t>Government</w:t>
      </w:r>
      <w:r w:rsidR="00CB0C96" w:rsidRPr="00EE7E13">
        <w:rPr>
          <w:i/>
          <w:iCs/>
        </w:rPr>
        <w:t>’</w:t>
      </w:r>
      <w:r w:rsidR="00CB0C96">
        <w:t>s Decision</w:t>
      </w:r>
      <w:r>
        <w:t xml:space="preserve">, the State of Israel acted contrary to its </w:t>
      </w:r>
      <w:r w:rsidR="00CB0C96">
        <w:t>D</w:t>
      </w:r>
      <w:r>
        <w:t>ecisions</w:t>
      </w:r>
      <w:r w:rsidR="004B574A">
        <w:rPr>
          <w:rStyle w:val="FootnoteReference"/>
        </w:rPr>
        <w:footnoteReference w:id="115"/>
      </w:r>
      <w:r>
        <w:t xml:space="preserve"> and returned the bodies of terrorists, there seems to be room for </w:t>
      </w:r>
      <w:r w:rsidR="00CB0C96">
        <w:t xml:space="preserve">a certain claim of </w:t>
      </w:r>
      <w:r>
        <w:t xml:space="preserve">reliance, as there was reason to assume, given past experience, that the body will be returned. In light of this contention, any change of situation can be considered a retroactive change. In addition, the actual decision to return the body is made in each case </w:t>
      </w:r>
      <w:r w:rsidR="00CB0C96">
        <w:t>individually on its merits</w:t>
      </w:r>
      <w:r>
        <w:t>, after the fact</w:t>
      </w:r>
      <w:r w:rsidR="00CB0C96">
        <w:t>,</w:t>
      </w:r>
      <w:r>
        <w:t xml:space="preserve"> and </w:t>
      </w:r>
      <w:r w:rsidR="00CB0C96">
        <w:t xml:space="preserve">in accordance with </w:t>
      </w:r>
      <w:r w:rsidR="005A7FA6">
        <w:t>its</w:t>
      </w:r>
      <w:r>
        <w:t xml:space="preserve"> circumstances.</w:t>
      </w:r>
    </w:p>
    <w:p w14:paraId="04CD8C88" w14:textId="5B3452A6" w:rsidR="00997F8B" w:rsidRPr="00E76492" w:rsidRDefault="00CB0C96" w:rsidP="00CB0C96">
      <w:pPr>
        <w:spacing w:line="360" w:lineRule="auto"/>
        <w:jc w:val="both"/>
      </w:pPr>
      <w:r>
        <w:t>Thus</w:t>
      </w:r>
      <w:r w:rsidR="00E76492">
        <w:t>, it can be argued</w:t>
      </w:r>
      <w:r>
        <w:t>,</w:t>
      </w:r>
      <w:r w:rsidR="00E76492">
        <w:t xml:space="preserve"> that this is a sanction imposed on </w:t>
      </w:r>
      <w:r>
        <w:t xml:space="preserve">the corpse </w:t>
      </w:r>
      <w:r w:rsidR="00E76492">
        <w:t>after the act and after death. Although the</w:t>
      </w:r>
      <w:r>
        <w:t>s</w:t>
      </w:r>
      <w:r w:rsidR="00E76492">
        <w:t xml:space="preserve">e are real complaints, I have a hard time </w:t>
      </w:r>
      <w:r>
        <w:t xml:space="preserve">accepting </w:t>
      </w:r>
      <w:r w:rsidR="00E76492">
        <w:t xml:space="preserve">them. The State of Israel has </w:t>
      </w:r>
      <w:r>
        <w:t xml:space="preserve">taken </w:t>
      </w:r>
      <w:r w:rsidR="00E76492">
        <w:t xml:space="preserve">a </w:t>
      </w:r>
      <w:r>
        <w:t>D</w:t>
      </w:r>
      <w:r w:rsidR="00E76492">
        <w:t xml:space="preserve">ecision not to return the bodies of Hamas terrorists. Any case in which the State acts contrary to this </w:t>
      </w:r>
      <w:r>
        <w:t>D</w:t>
      </w:r>
      <w:r w:rsidR="00E76492">
        <w:t xml:space="preserve">ecision and returns </w:t>
      </w:r>
      <w:r w:rsidR="005A7FA6">
        <w:t xml:space="preserve">a corpse </w:t>
      </w:r>
      <w:r w:rsidR="00E76492">
        <w:t xml:space="preserve">is done, as far as possible, with the aim of reducing </w:t>
      </w:r>
      <w:r w:rsidR="005A7FA6">
        <w:t xml:space="preserve">the </w:t>
      </w:r>
      <w:r w:rsidR="00E76492">
        <w:t xml:space="preserve">violation of rights. In light of this, the claim of reliance on the return of other </w:t>
      </w:r>
      <w:r>
        <w:t xml:space="preserve">corpses </w:t>
      </w:r>
      <w:r w:rsidR="00E76492">
        <w:t xml:space="preserve">cannot be accepted as a basis for a </w:t>
      </w:r>
      <w:r>
        <w:t xml:space="preserve">claim of </w:t>
      </w:r>
      <w:r w:rsidR="00E76492">
        <w:t>retroactiv</w:t>
      </w:r>
      <w:r>
        <w:t>ity</w:t>
      </w:r>
      <w:r w:rsidR="00E76492">
        <w:t>.</w:t>
      </w:r>
      <w:r w:rsidR="004B574A">
        <w:rPr>
          <w:rStyle w:val="FootnoteReference"/>
        </w:rPr>
        <w:footnoteReference w:id="116"/>
      </w:r>
      <w:r w:rsidR="00E76492">
        <w:t xml:space="preserve"> It can also be said that the </w:t>
      </w:r>
      <w:r>
        <w:t>D</w:t>
      </w:r>
      <w:r w:rsidR="00E76492">
        <w:t>ecision of the Israeli government on this issue is a decision that looks to the future</w:t>
      </w:r>
      <w:r>
        <w:t>,</w:t>
      </w:r>
      <w:r w:rsidR="00E76492">
        <w:t xml:space="preserve"> and is based on an ancient law, and is therefore not retroactive.</w:t>
      </w:r>
    </w:p>
    <w:sectPr w:rsidR="00997F8B" w:rsidRPr="00E76492">
      <w:footnotePr>
        <w:numStart w:val="149"/>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0FF3" w14:textId="77777777" w:rsidR="001D021D" w:rsidRDefault="001D021D" w:rsidP="00E76492">
      <w:pPr>
        <w:spacing w:after="0" w:line="240" w:lineRule="auto"/>
      </w:pPr>
      <w:r>
        <w:separator/>
      </w:r>
    </w:p>
  </w:endnote>
  <w:endnote w:type="continuationSeparator" w:id="0">
    <w:p w14:paraId="1644A485" w14:textId="77777777" w:rsidR="001D021D" w:rsidRDefault="001D021D" w:rsidP="00E7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E310" w14:textId="77777777" w:rsidR="001D021D" w:rsidRDefault="001D021D" w:rsidP="00E76492">
      <w:pPr>
        <w:spacing w:after="0" w:line="240" w:lineRule="auto"/>
      </w:pPr>
      <w:r>
        <w:separator/>
      </w:r>
    </w:p>
  </w:footnote>
  <w:footnote w:type="continuationSeparator" w:id="0">
    <w:p w14:paraId="6F35EE3F" w14:textId="77777777" w:rsidR="001D021D" w:rsidRDefault="001D021D" w:rsidP="00E76492">
      <w:pPr>
        <w:spacing w:after="0" w:line="240" w:lineRule="auto"/>
      </w:pPr>
      <w:r>
        <w:continuationSeparator/>
      </w:r>
    </w:p>
  </w:footnote>
  <w:footnote w:id="1">
    <w:p w14:paraId="08D3E3B9" w14:textId="69883148" w:rsidR="00E76492" w:rsidRDefault="00E76492" w:rsidP="009E7823">
      <w:pPr>
        <w:pStyle w:val="FootnoteText"/>
        <w:jc w:val="both"/>
      </w:pPr>
      <w:r>
        <w:rPr>
          <w:rStyle w:val="FootnoteReference"/>
        </w:rPr>
        <w:footnoteRef/>
      </w:r>
      <w:r>
        <w:t xml:space="preserve"> Paragraph 2 in the judgment of President Hayut in HCJ 8091/14 </w:t>
      </w:r>
      <w:r w:rsidR="00DC3E36" w:rsidRPr="001B31A3">
        <w:t>The Centre for the Protection of the Individual v. The Minister of Defence</w:t>
      </w:r>
      <w:r w:rsidR="00DC3E36">
        <w:t xml:space="preserve"> </w:t>
      </w:r>
      <w:r>
        <w:t>(published in Nevo 31</w:t>
      </w:r>
      <w:r w:rsidR="00DC3E36">
        <w:t xml:space="preserve"> Dec </w:t>
      </w:r>
      <w:r>
        <w:t>2014).</w:t>
      </w:r>
    </w:p>
  </w:footnote>
  <w:footnote w:id="2">
    <w:p w14:paraId="7F25646E" w14:textId="7C83B2A6" w:rsidR="00E76492" w:rsidRDefault="00E76492" w:rsidP="009E7823">
      <w:pPr>
        <w:pStyle w:val="FootnoteText"/>
        <w:jc w:val="both"/>
      </w:pPr>
      <w:r>
        <w:rPr>
          <w:rStyle w:val="FootnoteReference"/>
        </w:rPr>
        <w:footnoteRef/>
      </w:r>
      <w:r>
        <w:t xml:space="preserve"> </w:t>
      </w:r>
      <w:r w:rsidR="00DC5C39">
        <w:t xml:space="preserve">Decision of the Ministerial Committee on National Security Affairs </w:t>
      </w:r>
      <w:bookmarkStart w:id="0" w:name="_Hlk73329437"/>
      <w:r w:rsidR="00DC5C39" w:rsidRPr="00DC3E36">
        <w:rPr>
          <w:i/>
          <w:iCs/>
        </w:rPr>
        <w:t>B</w:t>
      </w:r>
      <w:r w:rsidR="00DC3E36" w:rsidRPr="00DC3E36">
        <w:rPr>
          <w:i/>
          <w:iCs/>
        </w:rPr>
        <w:t>et</w:t>
      </w:r>
      <w:r w:rsidR="00DC5C39">
        <w:t xml:space="preserve">/171 dated </w:t>
      </w:r>
      <w:r w:rsidR="00DC3E36">
        <w:t xml:space="preserve">January </w:t>
      </w:r>
      <w:r w:rsidR="00DC5C39">
        <w:t>1</w:t>
      </w:r>
      <w:r w:rsidR="00DC3E36">
        <w:t>, 20</w:t>
      </w:r>
      <w:r w:rsidR="00DC5C39">
        <w:t>17.</w:t>
      </w:r>
      <w:bookmarkEnd w:id="0"/>
    </w:p>
  </w:footnote>
  <w:footnote w:id="3">
    <w:p w14:paraId="1C233887" w14:textId="633E2B9C" w:rsidR="00E76492" w:rsidRDefault="00E76492" w:rsidP="009E7823">
      <w:pPr>
        <w:pStyle w:val="FootnoteText"/>
        <w:jc w:val="both"/>
      </w:pPr>
      <w:r>
        <w:rPr>
          <w:rStyle w:val="FootnoteReference"/>
        </w:rPr>
        <w:footnoteRef/>
      </w:r>
      <w:r>
        <w:t xml:space="preserve"> </w:t>
      </w:r>
      <w:r w:rsidR="00DC3E36">
        <w:t>I</w:t>
      </w:r>
      <w:r w:rsidR="00DC5C39">
        <w:t>n certain cases.</w:t>
      </w:r>
    </w:p>
  </w:footnote>
  <w:footnote w:id="4">
    <w:p w14:paraId="4D7B083C" w14:textId="29A0EE75" w:rsidR="00E76492" w:rsidRDefault="00E76492" w:rsidP="009E7823">
      <w:pPr>
        <w:pStyle w:val="FootnoteText"/>
        <w:jc w:val="both"/>
      </w:pPr>
      <w:r>
        <w:rPr>
          <w:rStyle w:val="FootnoteReference"/>
        </w:rPr>
        <w:footnoteRef/>
      </w:r>
      <w:r>
        <w:t xml:space="preserve"> </w:t>
      </w:r>
      <w:r w:rsidR="00DC5C39">
        <w:t xml:space="preserve">Decision of the Ministerial Committee on National Security Affairs </w:t>
      </w:r>
      <w:r w:rsidR="00DC3E36" w:rsidRPr="00DC3E36">
        <w:rPr>
          <w:i/>
          <w:iCs/>
        </w:rPr>
        <w:t>Bet</w:t>
      </w:r>
      <w:r w:rsidR="00DC3E36">
        <w:t>/172 dated January 1, 2017.</w:t>
      </w:r>
    </w:p>
  </w:footnote>
  <w:footnote w:id="5">
    <w:p w14:paraId="7EC07D89" w14:textId="00862D9F" w:rsidR="00DC5C39" w:rsidRDefault="00DC5C39" w:rsidP="009E7823">
      <w:pPr>
        <w:pStyle w:val="FootnoteText"/>
        <w:jc w:val="both"/>
      </w:pPr>
      <w:r>
        <w:rPr>
          <w:rStyle w:val="FootnoteReference"/>
        </w:rPr>
        <w:footnoteRef/>
      </w:r>
      <w:r>
        <w:t xml:space="preserve"> </w:t>
      </w:r>
      <w:r w:rsidR="00DC3E36">
        <w:t>“</w:t>
      </w:r>
      <w:r>
        <w:t xml:space="preserve">The IDF is </w:t>
      </w:r>
      <w:r w:rsidR="00DC3E36">
        <w:t>exploring: S</w:t>
      </w:r>
      <w:r>
        <w:t xml:space="preserve">etting fire to plots </w:t>
      </w:r>
      <w:r w:rsidR="00DC3E36">
        <w:t xml:space="preserve">belonging to </w:t>
      </w:r>
      <w:r>
        <w:t>Hamas operatives responsible for the kite terror</w:t>
      </w:r>
      <w:r w:rsidR="00DC3E36">
        <w:t xml:space="preserve">” - </w:t>
      </w:r>
      <w:r>
        <w:t xml:space="preserve"> WALLA - </w:t>
      </w:r>
      <w:hyperlink r:id="rId1" w:history="1">
        <w:r w:rsidR="00A5597F" w:rsidRPr="00302B2F">
          <w:rPr>
            <w:rStyle w:val="Hyperlink"/>
          </w:rPr>
          <w:t>https://news.walla.co.il/item/3173065</w:t>
        </w:r>
      </w:hyperlink>
      <w:r>
        <w:t>.</w:t>
      </w:r>
      <w:r w:rsidR="00A5597F">
        <w:t xml:space="preserve"> </w:t>
      </w:r>
    </w:p>
  </w:footnote>
  <w:footnote w:id="6">
    <w:p w14:paraId="237EEC5B" w14:textId="7B82AC8F" w:rsidR="00DC5C39" w:rsidRDefault="00DC5C39" w:rsidP="009E7823">
      <w:pPr>
        <w:pStyle w:val="FootnoteText"/>
        <w:jc w:val="both"/>
      </w:pPr>
      <w:r>
        <w:rPr>
          <w:rStyle w:val="FootnoteReference"/>
        </w:rPr>
        <w:footnoteRef/>
      </w:r>
      <w:r>
        <w:t xml:space="preserve"> As far as I know, and despite the publicity, the IDF did not act to set fire to Hamas operatives</w:t>
      </w:r>
      <w:r w:rsidR="00A5597F">
        <w:t>’</w:t>
      </w:r>
      <w:r>
        <w:t xml:space="preserve"> fields.</w:t>
      </w:r>
    </w:p>
  </w:footnote>
  <w:footnote w:id="7">
    <w:p w14:paraId="4570CF99" w14:textId="67827972" w:rsidR="00DC5C39" w:rsidRDefault="00DC5C39" w:rsidP="009E7823">
      <w:pPr>
        <w:pStyle w:val="FootnoteText"/>
        <w:jc w:val="both"/>
      </w:pPr>
      <w:r>
        <w:rPr>
          <w:rStyle w:val="FootnoteReference"/>
        </w:rPr>
        <w:footnoteRef/>
      </w:r>
      <w:r>
        <w:t xml:space="preserve"> Amendment No. 4, Section 40A of the Anti-Terrorism Act.</w:t>
      </w:r>
    </w:p>
  </w:footnote>
  <w:footnote w:id="8">
    <w:p w14:paraId="5ADAD192" w14:textId="735DF2C4" w:rsidR="00DC5C39" w:rsidRDefault="00DC5C39" w:rsidP="009E7823">
      <w:pPr>
        <w:pStyle w:val="FootnoteText"/>
        <w:jc w:val="both"/>
      </w:pPr>
      <w:r>
        <w:rPr>
          <w:rStyle w:val="FootnoteReference"/>
        </w:rPr>
        <w:footnoteRef/>
      </w:r>
      <w:r>
        <w:t xml:space="preserve"> By virtue of the Conditional Release from Imprisonment</w:t>
      </w:r>
      <w:r w:rsidR="00F600E6">
        <w:t xml:space="preserve"> Act </w:t>
      </w:r>
      <w:r>
        <w:t>2001</w:t>
      </w:r>
      <w:r w:rsidR="00F600E6">
        <w:t>-5761</w:t>
      </w:r>
      <w:r>
        <w:t>.</w:t>
      </w:r>
    </w:p>
  </w:footnote>
  <w:footnote w:id="9">
    <w:p w14:paraId="6C8A2AB3" w14:textId="26C67058" w:rsidR="00DC5C39" w:rsidRDefault="00DC5C39" w:rsidP="009E7823">
      <w:pPr>
        <w:pStyle w:val="FootnoteText"/>
        <w:jc w:val="both"/>
      </w:pPr>
      <w:r>
        <w:rPr>
          <w:rStyle w:val="FootnoteReference"/>
        </w:rPr>
        <w:footnoteRef/>
      </w:r>
      <w:r>
        <w:t xml:space="preserve"> </w:t>
      </w:r>
      <w:r w:rsidR="00A5597F">
        <w:t>“</w:t>
      </w:r>
      <w:r>
        <w:t>Final</w:t>
      </w:r>
      <w:r w:rsidR="00F600E6">
        <w:t>ly</w:t>
      </w:r>
      <w:r>
        <w:t xml:space="preserve"> approv</w:t>
      </w:r>
      <w:r w:rsidR="00F600E6">
        <w:t>ed</w:t>
      </w:r>
      <w:r>
        <w:t xml:space="preserve">: </w:t>
      </w:r>
      <w:r w:rsidR="00DD4996">
        <w:t>T</w:t>
      </w:r>
      <w:r w:rsidR="00F600E6">
        <w:t xml:space="preserve">he </w:t>
      </w:r>
      <w:r>
        <w:t xml:space="preserve">one-third </w:t>
      </w:r>
      <w:r w:rsidR="00DD4996">
        <w:t xml:space="preserve">shortening </w:t>
      </w:r>
      <w:r w:rsidR="00DD4996">
        <w:t xml:space="preserve">of </w:t>
      </w:r>
      <w:r w:rsidR="00F600E6">
        <w:t>sentenc</w:t>
      </w:r>
      <w:r w:rsidR="00DD4996">
        <w:t>e</w:t>
      </w:r>
      <w:r w:rsidR="00F600E6">
        <w:t xml:space="preserve"> </w:t>
      </w:r>
      <w:r>
        <w:t>arrangements for terrorist</w:t>
      </w:r>
      <w:r w:rsidR="00F600E6">
        <w:t>s</w:t>
      </w:r>
      <w:r w:rsidR="00DD4996" w:rsidRPr="00DD4996">
        <w:t xml:space="preserve"> </w:t>
      </w:r>
      <w:r w:rsidR="00DD4996">
        <w:t>is c</w:t>
      </w:r>
      <w:r w:rsidR="00DD4996">
        <w:t>ancell</w:t>
      </w:r>
      <w:r w:rsidR="00DD4996">
        <w:t>ed</w:t>
      </w:r>
      <w:r w:rsidR="00A5597F">
        <w:t>”</w:t>
      </w:r>
      <w:r>
        <w:t xml:space="preserve"> </w:t>
      </w:r>
      <w:r w:rsidRPr="00F600E6">
        <w:rPr>
          <w:i/>
          <w:iCs/>
        </w:rPr>
        <w:t>Knesset</w:t>
      </w:r>
      <w:r>
        <w:t xml:space="preserve"> website - </w:t>
      </w:r>
      <w:hyperlink r:id="rId2" w:history="1">
        <w:r w:rsidR="00F600E6" w:rsidRPr="008664ED">
          <w:rPr>
            <w:rStyle w:val="Hyperlink"/>
          </w:rPr>
          <w:t>https://main.knesset.gov.il/News/PressReleases/pages/press25.12.18kq.aspx</w:t>
        </w:r>
      </w:hyperlink>
      <w:r w:rsidR="00A5597F">
        <w:t>.</w:t>
      </w:r>
      <w:r w:rsidR="00F600E6">
        <w:t xml:space="preserve"> </w:t>
      </w:r>
    </w:p>
  </w:footnote>
  <w:footnote w:id="10">
    <w:p w14:paraId="76189962" w14:textId="6743F9F4" w:rsidR="00DC5C39" w:rsidRDefault="00DC5C39" w:rsidP="009E7823">
      <w:pPr>
        <w:pStyle w:val="FootnoteText"/>
        <w:jc w:val="both"/>
      </w:pPr>
      <w:r>
        <w:rPr>
          <w:rStyle w:val="FootnoteReference"/>
        </w:rPr>
        <w:footnoteRef/>
      </w:r>
      <w:r>
        <w:t xml:space="preserve"> </w:t>
      </w:r>
      <w:r w:rsidR="00F600E6">
        <w:t>J</w:t>
      </w:r>
      <w:r>
        <w:t>udges; H</w:t>
      </w:r>
      <w:r w:rsidR="00804A31">
        <w:t>e</w:t>
      </w:r>
      <w:r>
        <w:t>ndel, Baron</w:t>
      </w:r>
      <w:r w:rsidR="00F600E6">
        <w:t>,</w:t>
      </w:r>
      <w:r>
        <w:t xml:space="preserve"> and Elron.</w:t>
      </w:r>
    </w:p>
  </w:footnote>
  <w:footnote w:id="11">
    <w:p w14:paraId="6D3095FE" w14:textId="2527543D" w:rsidR="00DC5C39" w:rsidRDefault="00DC5C39" w:rsidP="009E7823">
      <w:pPr>
        <w:pStyle w:val="FootnoteText"/>
        <w:jc w:val="both"/>
      </w:pPr>
      <w:r>
        <w:rPr>
          <w:rStyle w:val="FootnoteReference"/>
        </w:rPr>
        <w:footnoteRef/>
      </w:r>
      <w:r>
        <w:t xml:space="preserve"> See </w:t>
      </w:r>
      <w:r w:rsidR="00F600E6" w:rsidRPr="00F600E6">
        <w:rPr>
          <w:i/>
          <w:iCs/>
        </w:rPr>
        <w:t>supra</w:t>
      </w:r>
      <w:r w:rsidR="00F600E6">
        <w:t>., in re Namnam</w:t>
      </w:r>
      <w:r>
        <w:t>.</w:t>
      </w:r>
    </w:p>
  </w:footnote>
  <w:footnote w:id="12">
    <w:p w14:paraId="1EC1CC1E" w14:textId="1212DCDE" w:rsidR="00DC5C39" w:rsidRDefault="00DC5C39" w:rsidP="009E7823">
      <w:pPr>
        <w:pStyle w:val="FootnoteText"/>
        <w:jc w:val="both"/>
      </w:pPr>
      <w:r>
        <w:rPr>
          <w:rStyle w:val="FootnoteReference"/>
        </w:rPr>
        <w:footnoteRef/>
      </w:r>
      <w:r>
        <w:t xml:space="preserve"> See </w:t>
      </w:r>
      <w:r w:rsidR="00F600E6" w:rsidRPr="00F600E6">
        <w:rPr>
          <w:i/>
          <w:iCs/>
        </w:rPr>
        <w:t>ibid.</w:t>
      </w:r>
      <w:r>
        <w:t xml:space="preserve">, paragraphs 2, 10 and 11 of </w:t>
      </w:r>
      <w:r w:rsidR="00804A31">
        <w:t xml:space="preserve">Justice </w:t>
      </w:r>
      <w:r>
        <w:t>H</w:t>
      </w:r>
      <w:r w:rsidR="00804A31">
        <w:t>e</w:t>
      </w:r>
      <w:r>
        <w:t>ndel</w:t>
      </w:r>
      <w:r w:rsidR="00A5597F">
        <w:t>’</w:t>
      </w:r>
      <w:r>
        <w:t>s judgment.</w:t>
      </w:r>
    </w:p>
  </w:footnote>
  <w:footnote w:id="13">
    <w:p w14:paraId="5354A9AB" w14:textId="545721D3" w:rsidR="00DC5C39" w:rsidRDefault="00DC5C39" w:rsidP="009E7823">
      <w:pPr>
        <w:pStyle w:val="FootnoteText"/>
        <w:jc w:val="both"/>
      </w:pPr>
      <w:r>
        <w:rPr>
          <w:rStyle w:val="FootnoteReference"/>
        </w:rPr>
        <w:footnoteRef/>
      </w:r>
      <w:r>
        <w:t xml:space="preserve"> </w:t>
      </w:r>
      <w:r w:rsidR="00F600E6" w:rsidRPr="00804A31">
        <w:rPr>
          <w:i/>
          <w:iCs/>
        </w:rPr>
        <w:t>HCJ Rehearing</w:t>
      </w:r>
      <w:r w:rsidR="00F600E6">
        <w:t xml:space="preserve"> </w:t>
      </w:r>
      <w:r>
        <w:t xml:space="preserve">10190/17 </w:t>
      </w:r>
      <w:r w:rsidRPr="001B31A3">
        <w:t>Commander of the IDF Forces in the Judea and Samaria Area v. Muhammad Aliyan</w:t>
      </w:r>
      <w:r>
        <w:t xml:space="preserve"> (published in Nevo, 9</w:t>
      </w:r>
      <w:r w:rsidR="009E7823">
        <w:t xml:space="preserve"> Sep </w:t>
      </w:r>
      <w:r>
        <w:t xml:space="preserve">2019) (hereinafter: </w:t>
      </w:r>
      <w:r w:rsidR="009E7823">
        <w:t>“</w:t>
      </w:r>
      <w:r w:rsidRPr="009E7823">
        <w:rPr>
          <w:b/>
          <w:bCs/>
        </w:rPr>
        <w:t>Aliyan</w:t>
      </w:r>
      <w:r w:rsidR="009E7823" w:rsidRPr="009E7823">
        <w:rPr>
          <w:b/>
          <w:bCs/>
        </w:rPr>
        <w:t xml:space="preserve"> Rehearing</w:t>
      </w:r>
      <w:r w:rsidR="009E7823">
        <w:t>”</w:t>
      </w:r>
      <w:r>
        <w:t>).</w:t>
      </w:r>
    </w:p>
  </w:footnote>
  <w:footnote w:id="14">
    <w:p w14:paraId="5F0CF010" w14:textId="57427F04" w:rsidR="00DC5C39" w:rsidRDefault="00DC5C39" w:rsidP="009E7823">
      <w:pPr>
        <w:pStyle w:val="FootnoteText"/>
        <w:jc w:val="both"/>
      </w:pPr>
      <w:r>
        <w:rPr>
          <w:rStyle w:val="FootnoteReference"/>
        </w:rPr>
        <w:footnoteRef/>
      </w:r>
      <w:r>
        <w:t xml:space="preserve"> </w:t>
      </w:r>
      <w:r w:rsidR="009E7823">
        <w:t xml:space="preserve">President Hayut </w:t>
      </w:r>
      <w:r>
        <w:t>and ju</w:t>
      </w:r>
      <w:r w:rsidR="00804A31">
        <w:t>stices</w:t>
      </w:r>
      <w:r>
        <w:t xml:space="preserve">; Amit, </w:t>
      </w:r>
      <w:r w:rsidR="00A5597F">
        <w:t>H</w:t>
      </w:r>
      <w:r w:rsidR="00804A31">
        <w:t>e</w:t>
      </w:r>
      <w:r w:rsidR="00A5597F">
        <w:t>ndel,</w:t>
      </w:r>
      <w:r>
        <w:t xml:space="preserve"> and Solberg against the opinion of </w:t>
      </w:r>
      <w:r w:rsidR="00804A31">
        <w:t>justices</w:t>
      </w:r>
      <w:r w:rsidR="00804A31">
        <w:t>:</w:t>
      </w:r>
      <w:r>
        <w:t xml:space="preserve"> </w:t>
      </w:r>
      <w:proofErr w:type="spellStart"/>
      <w:r w:rsidR="00804A31">
        <w:t>V</w:t>
      </w:r>
      <w:r>
        <w:t>ogelman</w:t>
      </w:r>
      <w:proofErr w:type="spellEnd"/>
      <w:r>
        <w:t>, Barak-Erez and Kar</w:t>
      </w:r>
      <w:r w:rsidR="001B31A3">
        <w:t>r</w:t>
      </w:r>
      <w:r w:rsidR="009E7823">
        <w:t>a</w:t>
      </w:r>
      <w:r>
        <w:t>.</w:t>
      </w:r>
    </w:p>
  </w:footnote>
  <w:footnote w:id="15">
    <w:p w14:paraId="456B27A7" w14:textId="1ACD5938" w:rsidR="00DC5C39" w:rsidRDefault="00DC5C39" w:rsidP="009E7823">
      <w:pPr>
        <w:pStyle w:val="FootnoteText"/>
        <w:jc w:val="both"/>
      </w:pPr>
      <w:r>
        <w:rPr>
          <w:rStyle w:val="FootnoteReference"/>
        </w:rPr>
        <w:footnoteRef/>
      </w:r>
      <w:r>
        <w:t xml:space="preserve"> </w:t>
      </w:r>
      <w:r w:rsidR="00804A31">
        <w:t>J</w:t>
      </w:r>
      <w:r w:rsidR="00804A31">
        <w:t>ustice</w:t>
      </w:r>
      <w:r w:rsidR="00804A31">
        <w:t xml:space="preserve"> </w:t>
      </w:r>
      <w:r>
        <w:t>H</w:t>
      </w:r>
      <w:r w:rsidR="00804A31">
        <w:t>e</w:t>
      </w:r>
      <w:r>
        <w:t>ndel was in the minority</w:t>
      </w:r>
      <w:r w:rsidR="009E7823">
        <w:t>,</w:t>
      </w:r>
      <w:r>
        <w:t xml:space="preserve"> and believed that the military commander did have authority. His position was </w:t>
      </w:r>
      <w:r w:rsidR="009E7823">
        <w:t xml:space="preserve">adopted </w:t>
      </w:r>
      <w:r>
        <w:t xml:space="preserve">in the </w:t>
      </w:r>
      <w:r w:rsidR="009E7823">
        <w:t>Rehearing</w:t>
      </w:r>
      <w:r>
        <w:t>.</w:t>
      </w:r>
    </w:p>
  </w:footnote>
  <w:footnote w:id="16">
    <w:p w14:paraId="0E48AA61" w14:textId="095AFA9D" w:rsidR="00DC5C39" w:rsidRDefault="00DC5C39" w:rsidP="009E7823">
      <w:pPr>
        <w:pStyle w:val="FootnoteText"/>
        <w:jc w:val="both"/>
      </w:pPr>
      <w:r>
        <w:rPr>
          <w:rStyle w:val="FootnoteReference"/>
        </w:rPr>
        <w:footnoteRef/>
      </w:r>
      <w:r>
        <w:t xml:space="preserve"> Later in the chapter</w:t>
      </w:r>
      <w:r w:rsidR="009E7823">
        <w:t>,</w:t>
      </w:r>
      <w:r>
        <w:t xml:space="preserve"> we will expand the discussion on this judgment and deal with it extensively.</w:t>
      </w:r>
    </w:p>
  </w:footnote>
  <w:footnote w:id="17">
    <w:p w14:paraId="01FB0FA8" w14:textId="25DBDBA1" w:rsidR="00DC5C39" w:rsidRDefault="00DC5C39" w:rsidP="009E7823">
      <w:pPr>
        <w:pStyle w:val="FootnoteText"/>
        <w:jc w:val="both"/>
      </w:pPr>
      <w:r>
        <w:rPr>
          <w:rStyle w:val="FootnoteReference"/>
        </w:rPr>
        <w:footnoteRef/>
      </w:r>
      <w:r>
        <w:t xml:space="preserve"> Many other tools can be pointed out, such as reducing the</w:t>
      </w:r>
      <w:r w:rsidR="009E7823">
        <w:t xml:space="preserve"> area permitted for</w:t>
      </w:r>
      <w:r>
        <w:t xml:space="preserve"> fishing, </w:t>
      </w:r>
      <w:r w:rsidR="009E7823">
        <w:t xml:space="preserve">restricting the </w:t>
      </w:r>
      <w:r>
        <w:t>passage</w:t>
      </w:r>
      <w:r w:rsidR="009E7823">
        <w:t xml:space="preserve"> of goods</w:t>
      </w:r>
      <w:r>
        <w:t xml:space="preserve">, closing </w:t>
      </w:r>
      <w:r w:rsidR="009E7823">
        <w:t xml:space="preserve">border gates, </w:t>
      </w:r>
      <w:r>
        <w:t>and more.</w:t>
      </w:r>
    </w:p>
  </w:footnote>
  <w:footnote w:id="18">
    <w:p w14:paraId="2009FCFA" w14:textId="381FD30D" w:rsidR="00DC5C39" w:rsidRDefault="00DC5C39" w:rsidP="009E7823">
      <w:pPr>
        <w:pStyle w:val="FootnoteText"/>
        <w:jc w:val="both"/>
      </w:pPr>
      <w:r>
        <w:rPr>
          <w:rStyle w:val="FootnoteReference"/>
        </w:rPr>
        <w:footnoteRef/>
      </w:r>
      <w:r>
        <w:t xml:space="preserve"> </w:t>
      </w:r>
      <w:r w:rsidR="00CF2FEB">
        <w:t xml:space="preserve">Avichai Mandelblit, </w:t>
      </w:r>
      <w:r w:rsidR="00A5597F">
        <w:t>“</w:t>
      </w:r>
      <w:r w:rsidR="00CF2FEB" w:rsidRPr="00804A31">
        <w:rPr>
          <w:i/>
          <w:iCs/>
        </w:rPr>
        <w:t>Legal War</w:t>
      </w:r>
      <w:r w:rsidR="009E7823" w:rsidRPr="00804A31">
        <w:rPr>
          <w:i/>
          <w:iCs/>
        </w:rPr>
        <w:t xml:space="preserve"> </w:t>
      </w:r>
      <w:r w:rsidR="00CF2FEB" w:rsidRPr="00804A31">
        <w:rPr>
          <w:i/>
          <w:iCs/>
        </w:rPr>
        <w:t>- The IDF Legal Front</w:t>
      </w:r>
      <w:r w:rsidR="00A5597F">
        <w:t>”</w:t>
      </w:r>
      <w:r w:rsidR="00CF2FEB">
        <w:t>, Army and Strategy, Vol. 4, Issue 1 (2012).</w:t>
      </w:r>
    </w:p>
  </w:footnote>
  <w:footnote w:id="19">
    <w:p w14:paraId="2173196E" w14:textId="560F3CB5" w:rsidR="00DC5C39" w:rsidRDefault="00DC5C39" w:rsidP="009E7823">
      <w:pPr>
        <w:pStyle w:val="FootnoteText"/>
        <w:jc w:val="both"/>
      </w:pPr>
      <w:r>
        <w:rPr>
          <w:rStyle w:val="FootnoteReference"/>
        </w:rPr>
        <w:footnoteRef/>
      </w:r>
      <w:r>
        <w:t xml:space="preserve"> </w:t>
      </w:r>
      <w:r w:rsidR="00A5597F" w:rsidRPr="00A5597F">
        <w:rPr>
          <w:i/>
          <w:iCs/>
        </w:rPr>
        <w:t>Ibid</w:t>
      </w:r>
      <w:r w:rsidR="00CF2FEB">
        <w:t>., Pp. 51</w:t>
      </w:r>
      <w:r w:rsidR="00781BF6">
        <w:t xml:space="preserve"> – </w:t>
      </w:r>
      <w:r w:rsidR="00CF2FEB">
        <w:t>50.</w:t>
      </w:r>
    </w:p>
  </w:footnote>
  <w:footnote w:id="20">
    <w:p w14:paraId="1E8D2DC2" w14:textId="509AAD88" w:rsidR="00CF2FEB" w:rsidRDefault="00CF2FEB" w:rsidP="009E7823">
      <w:pPr>
        <w:pStyle w:val="FootnoteText"/>
        <w:jc w:val="both"/>
      </w:pPr>
      <w:r>
        <w:rPr>
          <w:rStyle w:val="FootnoteReference"/>
        </w:rPr>
        <w:footnoteRef/>
      </w:r>
      <w:r>
        <w:t xml:space="preserve"> Without </w:t>
      </w:r>
      <w:r w:rsidR="00EA26F5">
        <w:t xml:space="preserve">addressing </w:t>
      </w:r>
      <w:r>
        <w:t xml:space="preserve">the question </w:t>
      </w:r>
      <w:r w:rsidR="00EA26F5">
        <w:t xml:space="preserve">of </w:t>
      </w:r>
      <w:r>
        <w:t>according to which paradigm this is examined.</w:t>
      </w:r>
    </w:p>
  </w:footnote>
  <w:footnote w:id="21">
    <w:p w14:paraId="7446257B" w14:textId="329DF646" w:rsidR="00CF2FEB" w:rsidRDefault="00CF2FEB" w:rsidP="009E7823">
      <w:pPr>
        <w:pStyle w:val="FootnoteText"/>
        <w:jc w:val="both"/>
      </w:pPr>
      <w:r>
        <w:rPr>
          <w:rStyle w:val="FootnoteReference"/>
        </w:rPr>
        <w:footnoteRef/>
      </w:r>
      <w:r>
        <w:t xml:space="preserve"> </w:t>
      </w:r>
      <w:r w:rsidRPr="00BE3C38">
        <w:rPr>
          <w:i/>
          <w:iCs/>
        </w:rPr>
        <w:t>HCJ</w:t>
      </w:r>
      <w:r>
        <w:t xml:space="preserve"> 5100/94 Public Committee Against Torture in Israel v. Government of Israel, </w:t>
      </w:r>
      <w:proofErr w:type="spellStart"/>
      <w:r w:rsidRPr="00BE3C38">
        <w:rPr>
          <w:i/>
          <w:iCs/>
        </w:rPr>
        <w:t>N</w:t>
      </w:r>
      <w:r w:rsidR="00BE3C38" w:rsidRPr="00BE3C38">
        <w:rPr>
          <w:i/>
          <w:iCs/>
        </w:rPr>
        <w:t>unGimel</w:t>
      </w:r>
      <w:proofErr w:type="spellEnd"/>
      <w:r>
        <w:t>(4</w:t>
      </w:r>
      <w:r w:rsidR="00BE3C38">
        <w:t>)</w:t>
      </w:r>
      <w:r>
        <w:t xml:space="preserve"> (817) (1999).</w:t>
      </w:r>
    </w:p>
  </w:footnote>
  <w:footnote w:id="22">
    <w:p w14:paraId="0D0A90F4" w14:textId="262919CF" w:rsidR="00CF2FEB" w:rsidRDefault="00CF2FEB" w:rsidP="009E7823">
      <w:pPr>
        <w:pStyle w:val="FootnoteText"/>
        <w:jc w:val="both"/>
      </w:pPr>
      <w:r>
        <w:rPr>
          <w:rStyle w:val="FootnoteReference"/>
        </w:rPr>
        <w:footnoteRef/>
      </w:r>
      <w:r>
        <w:t xml:space="preserve"> </w:t>
      </w:r>
      <w:r w:rsidR="00A5597F" w:rsidRPr="00A5597F">
        <w:rPr>
          <w:i/>
          <w:iCs/>
        </w:rPr>
        <w:t>Ibid</w:t>
      </w:r>
      <w:r>
        <w:t>., para. 39 of the judgement of President Barak.</w:t>
      </w:r>
    </w:p>
  </w:footnote>
  <w:footnote w:id="23">
    <w:p w14:paraId="5371C005" w14:textId="48E50136" w:rsidR="00CF2FEB" w:rsidRDefault="00CF2FEB" w:rsidP="009E7823">
      <w:pPr>
        <w:pStyle w:val="FootnoteText"/>
        <w:jc w:val="both"/>
      </w:pPr>
      <w:r>
        <w:rPr>
          <w:rStyle w:val="FootnoteReference"/>
        </w:rPr>
        <w:footnoteRef/>
      </w:r>
      <w:r>
        <w:t xml:space="preserve"> All the more so when novel tools are being tested daily.</w:t>
      </w:r>
    </w:p>
  </w:footnote>
  <w:footnote w:id="24">
    <w:p w14:paraId="5A3A04B3" w14:textId="3BDAEFFF" w:rsidR="00CF2FEB" w:rsidRDefault="00CF2FEB" w:rsidP="009E7823">
      <w:pPr>
        <w:pStyle w:val="FootnoteText"/>
        <w:jc w:val="both"/>
      </w:pPr>
      <w:r>
        <w:rPr>
          <w:rStyle w:val="FootnoteReference"/>
        </w:rPr>
        <w:footnoteRef/>
      </w:r>
      <w:r>
        <w:t xml:space="preserve"> </w:t>
      </w:r>
      <w:r w:rsidR="00A5597F">
        <w:t xml:space="preserve">Book of </w:t>
      </w:r>
      <w:r>
        <w:t>Genesis, 18:25.</w:t>
      </w:r>
    </w:p>
  </w:footnote>
  <w:footnote w:id="25">
    <w:p w14:paraId="5BC1A2CB" w14:textId="3AF9F9F8" w:rsidR="00CF2FEB" w:rsidRDefault="00CF2FEB" w:rsidP="009E7823">
      <w:pPr>
        <w:pStyle w:val="FootnoteText"/>
        <w:jc w:val="both"/>
      </w:pPr>
      <w:r>
        <w:rPr>
          <w:rStyle w:val="FootnoteReference"/>
        </w:rPr>
        <w:footnoteRef/>
      </w:r>
      <w:r>
        <w:t xml:space="preserve"> </w:t>
      </w:r>
      <w:r w:rsidR="00A5597F">
        <w:t xml:space="preserve">Book of </w:t>
      </w:r>
      <w:r>
        <w:t>Numbers, 16:22.</w:t>
      </w:r>
    </w:p>
  </w:footnote>
  <w:footnote w:id="26">
    <w:p w14:paraId="3CDB2030" w14:textId="1489B7C6" w:rsidR="00CF2FEB" w:rsidRDefault="00CF2FEB" w:rsidP="009E7823">
      <w:pPr>
        <w:pStyle w:val="FootnoteText"/>
        <w:jc w:val="both"/>
      </w:pPr>
      <w:r>
        <w:rPr>
          <w:rStyle w:val="FootnoteReference"/>
        </w:rPr>
        <w:footnoteRef/>
      </w:r>
      <w:r>
        <w:t xml:space="preserve"> </w:t>
      </w:r>
      <w:r w:rsidR="0084279E">
        <w:t>Article 33 of the Fourth Geneva Convention.</w:t>
      </w:r>
    </w:p>
  </w:footnote>
  <w:footnote w:id="27">
    <w:p w14:paraId="4B26788F" w14:textId="637A485A" w:rsidR="00CF2FEB" w:rsidRDefault="00CF2FEB" w:rsidP="009E7823">
      <w:pPr>
        <w:pStyle w:val="FootnoteText"/>
        <w:jc w:val="both"/>
      </w:pPr>
      <w:r>
        <w:rPr>
          <w:rStyle w:val="FootnoteReference"/>
        </w:rPr>
        <w:footnoteRef/>
      </w:r>
      <w:r>
        <w:t xml:space="preserve"> </w:t>
      </w:r>
      <w:r w:rsidR="0084279E">
        <w:t>Article 50 of the Hague Regulations.</w:t>
      </w:r>
    </w:p>
  </w:footnote>
  <w:footnote w:id="28">
    <w:p w14:paraId="3B2B048A" w14:textId="36CD843E" w:rsidR="00CF2FEB" w:rsidRDefault="00CF2FEB" w:rsidP="009E7823">
      <w:pPr>
        <w:pStyle w:val="FootnoteText"/>
        <w:jc w:val="both"/>
      </w:pPr>
      <w:r>
        <w:rPr>
          <w:rStyle w:val="FootnoteReference"/>
        </w:rPr>
        <w:footnoteRef/>
      </w:r>
      <w:r>
        <w:t xml:space="preserve"> </w:t>
      </w:r>
      <w:r w:rsidR="0084279E">
        <w:t xml:space="preserve">Jean-Marie </w:t>
      </w:r>
      <w:proofErr w:type="spellStart"/>
      <w:r w:rsidR="0084279E">
        <w:t>Henckaerts</w:t>
      </w:r>
      <w:proofErr w:type="spellEnd"/>
      <w:r w:rsidR="0084279E">
        <w:t xml:space="preserve"> and Louise </w:t>
      </w:r>
      <w:proofErr w:type="spellStart"/>
      <w:r w:rsidR="0084279E">
        <w:t>Doswald</w:t>
      </w:r>
      <w:proofErr w:type="spellEnd"/>
      <w:r w:rsidR="0084279E">
        <w:t xml:space="preserve">-Beck, Customary International Humanitarian Law, </w:t>
      </w:r>
      <w:r w:rsidR="00A5597F">
        <w:t>ICRC,</w:t>
      </w:r>
      <w:r w:rsidR="0084279E">
        <w:t xml:space="preserve"> and Cambridge University Press (2005, reprint 2009)</w:t>
      </w:r>
      <w:r w:rsidR="009F0ABD">
        <w:t>.</w:t>
      </w:r>
    </w:p>
  </w:footnote>
  <w:footnote w:id="29">
    <w:p w14:paraId="5CAFF741" w14:textId="6FC6CCD7" w:rsidR="00CF2FEB" w:rsidRDefault="00CF2FEB" w:rsidP="009E7823">
      <w:pPr>
        <w:pStyle w:val="FootnoteText"/>
        <w:jc w:val="both"/>
      </w:pPr>
      <w:r>
        <w:rPr>
          <w:rStyle w:val="FootnoteReference"/>
        </w:rPr>
        <w:footnoteRef/>
      </w:r>
      <w:r>
        <w:t xml:space="preserve"> </w:t>
      </w:r>
      <w:r w:rsidR="0084279E">
        <w:t xml:space="preserve">Rule 102, </w:t>
      </w:r>
      <w:r w:rsidR="00A5597F" w:rsidRPr="00A5597F">
        <w:rPr>
          <w:i/>
          <w:iCs/>
        </w:rPr>
        <w:t>ibid</w:t>
      </w:r>
      <w:r w:rsidR="0084279E">
        <w:t>., P. 372.</w:t>
      </w:r>
    </w:p>
  </w:footnote>
  <w:footnote w:id="30">
    <w:p w14:paraId="69255C53" w14:textId="69E1CAF7" w:rsidR="00CF2FEB" w:rsidRDefault="00CF2FEB" w:rsidP="009E7823">
      <w:pPr>
        <w:pStyle w:val="FootnoteText"/>
        <w:jc w:val="both"/>
      </w:pPr>
      <w:r>
        <w:rPr>
          <w:rStyle w:val="FootnoteReference"/>
        </w:rPr>
        <w:footnoteRef/>
      </w:r>
      <w:r>
        <w:t xml:space="preserve"> </w:t>
      </w:r>
      <w:r w:rsidR="0084279E">
        <w:t xml:space="preserve">Rule 103, </w:t>
      </w:r>
      <w:r w:rsidR="00A5597F" w:rsidRPr="00A5597F">
        <w:rPr>
          <w:i/>
          <w:iCs/>
        </w:rPr>
        <w:t>ibid</w:t>
      </w:r>
      <w:r w:rsidR="0084279E">
        <w:t>., P. 374.</w:t>
      </w:r>
    </w:p>
  </w:footnote>
  <w:footnote w:id="31">
    <w:p w14:paraId="6EF2994D" w14:textId="7D83F8A5" w:rsidR="00CF2FEB" w:rsidRDefault="00CF2FEB" w:rsidP="009E7823">
      <w:pPr>
        <w:pStyle w:val="FootnoteText"/>
        <w:jc w:val="both"/>
      </w:pPr>
      <w:r>
        <w:rPr>
          <w:rStyle w:val="FootnoteReference"/>
        </w:rPr>
        <w:footnoteRef/>
      </w:r>
      <w:r>
        <w:t xml:space="preserve"> </w:t>
      </w:r>
      <w:r w:rsidR="0084279E">
        <w:t xml:space="preserve">For an extension and full details of all countries, see the ICRC </w:t>
      </w:r>
      <w:r w:rsidR="00BE3C38">
        <w:t xml:space="preserve">Customary </w:t>
      </w:r>
      <w:r w:rsidR="0084279E">
        <w:t xml:space="preserve">International Humanitarian Law database, available at: </w:t>
      </w:r>
      <w:hyperlink r:id="rId3" w:history="1">
        <w:r w:rsidR="0084279E" w:rsidRPr="007A05DE">
          <w:rPr>
            <w:rStyle w:val="Hyperlink"/>
          </w:rPr>
          <w:t>https://ihl-databases.icrc.org/customary-ihl/eng/docs/v2_rul_rule103</w:t>
        </w:r>
      </w:hyperlink>
      <w:r w:rsidR="0084279E">
        <w:t>.</w:t>
      </w:r>
    </w:p>
  </w:footnote>
  <w:footnote w:id="32">
    <w:p w14:paraId="24622232" w14:textId="4EF465BE" w:rsidR="00CF2FEB" w:rsidRDefault="00CF2FEB" w:rsidP="009E7823">
      <w:pPr>
        <w:pStyle w:val="FootnoteText"/>
        <w:jc w:val="both"/>
      </w:pPr>
      <w:r>
        <w:rPr>
          <w:rStyle w:val="FootnoteReference"/>
        </w:rPr>
        <w:footnoteRef/>
      </w:r>
      <w:r>
        <w:t xml:space="preserve"> </w:t>
      </w:r>
      <w:r w:rsidR="0084279E">
        <w:t xml:space="preserve">See p. 159 of the judgment of Justice Cheshin, </w:t>
      </w:r>
      <w:r w:rsidR="0084279E" w:rsidRPr="00BE3C38">
        <w:rPr>
          <w:i/>
          <w:iCs/>
        </w:rPr>
        <w:t>HCJ</w:t>
      </w:r>
      <w:r w:rsidR="0084279E">
        <w:t xml:space="preserve"> 4772/91</w:t>
      </w:r>
      <w:r w:rsidR="00BE3C38">
        <w:t xml:space="preserve"> </w:t>
      </w:r>
      <w:proofErr w:type="spellStart"/>
      <w:r w:rsidR="0084279E">
        <w:t>Hizran</w:t>
      </w:r>
      <w:proofErr w:type="spellEnd"/>
      <w:r w:rsidR="0084279E">
        <w:t xml:space="preserve"> et al. </w:t>
      </w:r>
      <w:r w:rsidR="009F0ABD">
        <w:t>v</w:t>
      </w:r>
      <w:r w:rsidR="0084279E">
        <w:t xml:space="preserve">. Commander of the IDF Forces in the Judea and Samaria Area, </w:t>
      </w:r>
      <w:proofErr w:type="spellStart"/>
      <w:r w:rsidR="0084279E" w:rsidRPr="009F0ABD">
        <w:rPr>
          <w:i/>
          <w:iCs/>
        </w:rPr>
        <w:t>P</w:t>
      </w:r>
      <w:r w:rsidR="009F0ABD" w:rsidRPr="009F0ABD">
        <w:rPr>
          <w:i/>
          <w:iCs/>
        </w:rPr>
        <w:t>ey</w:t>
      </w:r>
      <w:r w:rsidR="0084279E" w:rsidRPr="009F0ABD">
        <w:rPr>
          <w:i/>
          <w:iCs/>
        </w:rPr>
        <w:t>D</w:t>
      </w:r>
      <w:r w:rsidR="009F0ABD" w:rsidRPr="009F0ABD">
        <w:rPr>
          <w:i/>
          <w:iCs/>
        </w:rPr>
        <w:t>aled</w:t>
      </w:r>
      <w:proofErr w:type="spellEnd"/>
      <w:r w:rsidR="0084279E">
        <w:t xml:space="preserve"> </w:t>
      </w:r>
      <w:proofErr w:type="spellStart"/>
      <w:r w:rsidR="0084279E" w:rsidRPr="009F0ABD">
        <w:rPr>
          <w:i/>
          <w:iCs/>
        </w:rPr>
        <w:t>M</w:t>
      </w:r>
      <w:r w:rsidR="009F0ABD" w:rsidRPr="009F0ABD">
        <w:rPr>
          <w:i/>
          <w:iCs/>
        </w:rPr>
        <w:t>emVav</w:t>
      </w:r>
      <w:proofErr w:type="spellEnd"/>
      <w:r w:rsidR="0084279E">
        <w:t xml:space="preserve">(2), 150: </w:t>
      </w:r>
      <w:r w:rsidR="00A5597F">
        <w:t>“</w:t>
      </w:r>
      <w:r w:rsidR="0084279E">
        <w:t>The starting point in our case is in the guiding principle</w:t>
      </w:r>
      <w:r w:rsidR="009F0ABD">
        <w:t>..</w:t>
      </w:r>
      <w:r w:rsidR="0084279E">
        <w:t xml:space="preserve">. </w:t>
      </w:r>
      <w:r w:rsidR="009F0ABD" w:rsidRPr="009F0ABD">
        <w:rPr>
          <w:b/>
          <w:bCs/>
        </w:rPr>
        <w:t>A</w:t>
      </w:r>
      <w:r w:rsidR="0084279E" w:rsidRPr="009F0ABD">
        <w:rPr>
          <w:b/>
          <w:bCs/>
        </w:rPr>
        <w:t xml:space="preserve">ccording to which collective punishment should not be </w:t>
      </w:r>
      <w:r w:rsidR="00A5597F" w:rsidRPr="009F0ABD">
        <w:rPr>
          <w:b/>
          <w:bCs/>
        </w:rPr>
        <w:t>imposed,</w:t>
      </w:r>
      <w:r w:rsidR="0084279E" w:rsidRPr="009F0ABD">
        <w:rPr>
          <w:b/>
          <w:bCs/>
        </w:rPr>
        <w:t xml:space="preserve"> and collective sanction should not be applied</w:t>
      </w:r>
      <w:r w:rsidR="0084279E">
        <w:t>.</w:t>
      </w:r>
      <w:r w:rsidR="00A5597F">
        <w:t>”</w:t>
      </w:r>
    </w:p>
  </w:footnote>
  <w:footnote w:id="33">
    <w:p w14:paraId="67A3D910" w14:textId="245A61B3" w:rsidR="00CF2FEB" w:rsidRDefault="00CF2FEB" w:rsidP="009E7823">
      <w:pPr>
        <w:pStyle w:val="FootnoteText"/>
        <w:jc w:val="both"/>
      </w:pPr>
      <w:r>
        <w:rPr>
          <w:rStyle w:val="FootnoteReference"/>
        </w:rPr>
        <w:footnoteRef/>
      </w:r>
      <w:r>
        <w:t xml:space="preserve"> </w:t>
      </w:r>
      <w:r w:rsidR="0084279E">
        <w:t>Such as the abduction of soldiers.</w:t>
      </w:r>
    </w:p>
  </w:footnote>
  <w:footnote w:id="34">
    <w:p w14:paraId="5696C4EB" w14:textId="02A5157D" w:rsidR="00CF2FEB" w:rsidRDefault="00CF2FEB" w:rsidP="009E7823">
      <w:pPr>
        <w:pStyle w:val="FootnoteText"/>
        <w:jc w:val="both"/>
      </w:pPr>
      <w:r>
        <w:rPr>
          <w:rStyle w:val="FootnoteReference"/>
        </w:rPr>
        <w:footnoteRef/>
      </w:r>
      <w:r>
        <w:t xml:space="preserve"> </w:t>
      </w:r>
      <w:r w:rsidR="0084279E">
        <w:t>Universal Declaration of Human Rights, 10 Dec. 1948, GA Res. 217A (III), U.N Doc. A / 810 at 71 (1948).</w:t>
      </w:r>
    </w:p>
  </w:footnote>
  <w:footnote w:id="35">
    <w:p w14:paraId="65F0741B" w14:textId="39828422" w:rsidR="00CF2FEB" w:rsidRDefault="00CF2FEB" w:rsidP="009E7823">
      <w:pPr>
        <w:pStyle w:val="FootnoteText"/>
        <w:jc w:val="both"/>
      </w:pPr>
      <w:r>
        <w:rPr>
          <w:rStyle w:val="FootnoteReference"/>
        </w:rPr>
        <w:footnoteRef/>
      </w:r>
      <w:r>
        <w:t xml:space="preserve"> </w:t>
      </w:r>
      <w:r w:rsidR="0084279E">
        <w:t>Rome Statute of The International Criminal Court (17</w:t>
      </w:r>
      <w:r w:rsidR="009F0ABD">
        <w:t xml:space="preserve"> Jul </w:t>
      </w:r>
      <w:r w:rsidR="0084279E">
        <w:t>1998).</w:t>
      </w:r>
    </w:p>
  </w:footnote>
  <w:footnote w:id="36">
    <w:p w14:paraId="423939E1" w14:textId="6C64E983" w:rsidR="0084279E" w:rsidRDefault="0084279E" w:rsidP="009E7823">
      <w:pPr>
        <w:pStyle w:val="FootnoteText"/>
        <w:jc w:val="both"/>
      </w:pPr>
      <w:r>
        <w:rPr>
          <w:rStyle w:val="FootnoteReference"/>
        </w:rPr>
        <w:footnoteRef/>
      </w:r>
      <w:r>
        <w:t xml:space="preserve"> International Covenant on Civil and Political Rights, GA Res. 2200A (XXI), 21 UN GAOR (Supp. No 16) at 52, UN Doc. A / 6316 (1996), 999 U.N.T.S. 171, entered into force 23 March 1976.</w:t>
      </w:r>
    </w:p>
  </w:footnote>
  <w:footnote w:id="37">
    <w:p w14:paraId="0C73A768" w14:textId="3225EDF8" w:rsidR="0084279E" w:rsidRDefault="0084279E" w:rsidP="009E7823">
      <w:pPr>
        <w:pStyle w:val="FootnoteText"/>
        <w:jc w:val="both"/>
      </w:pPr>
      <w:r>
        <w:rPr>
          <w:rStyle w:val="FootnoteReference"/>
        </w:rPr>
        <w:footnoteRef/>
      </w:r>
      <w:r>
        <w:t xml:space="preserve"> See </w:t>
      </w:r>
      <w:r>
        <w:rPr>
          <w:i/>
          <w:iCs/>
        </w:rPr>
        <w:t>s</w:t>
      </w:r>
      <w:r w:rsidRPr="0084279E">
        <w:rPr>
          <w:i/>
          <w:iCs/>
        </w:rPr>
        <w:t>upra</w:t>
      </w:r>
      <w:r>
        <w:t>., Fourth Geneva Convention.</w:t>
      </w:r>
    </w:p>
  </w:footnote>
  <w:footnote w:id="38">
    <w:p w14:paraId="3265638B" w14:textId="3A7AA3E5" w:rsidR="0084279E" w:rsidRDefault="0084279E" w:rsidP="009E7823">
      <w:pPr>
        <w:pStyle w:val="FootnoteText"/>
        <w:jc w:val="both"/>
      </w:pPr>
      <w:r>
        <w:rPr>
          <w:rStyle w:val="FootnoteReference"/>
        </w:rPr>
        <w:footnoteRef/>
      </w:r>
      <w:r>
        <w:t xml:space="preserve"> Article 25 (2) of the Constitution</w:t>
      </w:r>
      <w:r w:rsidR="006543E1" w:rsidRPr="006543E1">
        <w:t xml:space="preserve"> </w:t>
      </w:r>
      <w:r w:rsidR="006543E1">
        <w:t>of the Italian Republic</w:t>
      </w:r>
      <w:r>
        <w:t xml:space="preserve">. </w:t>
      </w:r>
    </w:p>
  </w:footnote>
  <w:footnote w:id="39">
    <w:p w14:paraId="48955159" w14:textId="0DEE5200" w:rsidR="0084279E" w:rsidRDefault="0084279E" w:rsidP="009E7823">
      <w:pPr>
        <w:pStyle w:val="FootnoteText"/>
        <w:jc w:val="both"/>
      </w:pPr>
      <w:r>
        <w:rPr>
          <w:rStyle w:val="FootnoteReference"/>
        </w:rPr>
        <w:footnoteRef/>
      </w:r>
      <w:r>
        <w:t xml:space="preserve"> Article 35 (3) (l) of the Constitution of the Republic of South Africa, 1996.</w:t>
      </w:r>
    </w:p>
  </w:footnote>
  <w:footnote w:id="40">
    <w:p w14:paraId="50EB993D" w14:textId="5BF557B7" w:rsidR="0084279E" w:rsidRDefault="0084279E" w:rsidP="009E7823">
      <w:pPr>
        <w:pStyle w:val="FootnoteText"/>
        <w:jc w:val="both"/>
      </w:pPr>
      <w:r>
        <w:rPr>
          <w:rStyle w:val="FootnoteReference"/>
        </w:rPr>
        <w:footnoteRef/>
      </w:r>
      <w:r>
        <w:t xml:space="preserve"> Article 20 (1) of the Constitution of India.</w:t>
      </w:r>
    </w:p>
  </w:footnote>
  <w:footnote w:id="41">
    <w:p w14:paraId="43BBD267" w14:textId="0ACC7A42" w:rsidR="0084279E" w:rsidRDefault="0084279E" w:rsidP="009E7823">
      <w:pPr>
        <w:pStyle w:val="FootnoteText"/>
        <w:jc w:val="both"/>
      </w:pPr>
      <w:r>
        <w:rPr>
          <w:rStyle w:val="FootnoteReference"/>
        </w:rPr>
        <w:footnoteRef/>
      </w:r>
      <w:r>
        <w:t xml:space="preserve"> Part 2, Chapter 1, Article 5 (XXXIX) of the Constitution of the Federative Republic of Brazil.</w:t>
      </w:r>
    </w:p>
  </w:footnote>
  <w:footnote w:id="42">
    <w:p w14:paraId="5052289B" w14:textId="587A349E" w:rsidR="0084279E" w:rsidRDefault="0084279E" w:rsidP="009E7823">
      <w:pPr>
        <w:pStyle w:val="FootnoteText"/>
        <w:jc w:val="both"/>
      </w:pPr>
      <w:r>
        <w:rPr>
          <w:rStyle w:val="FootnoteReference"/>
        </w:rPr>
        <w:footnoteRef/>
      </w:r>
      <w:r>
        <w:t xml:space="preserve"> Article 10 (1) of the Constitution of the United States of America.</w:t>
      </w:r>
    </w:p>
  </w:footnote>
  <w:footnote w:id="43">
    <w:p w14:paraId="10851734" w14:textId="06C12880" w:rsidR="0084279E" w:rsidRDefault="0084279E" w:rsidP="009E7823">
      <w:pPr>
        <w:pStyle w:val="FootnoteText"/>
        <w:jc w:val="both"/>
      </w:pPr>
      <w:r>
        <w:rPr>
          <w:rStyle w:val="FootnoteReference"/>
        </w:rPr>
        <w:footnoteRef/>
      </w:r>
      <w:r>
        <w:t xml:space="preserve"> Article 54 of the Constitution of the Russian Federation.</w:t>
      </w:r>
    </w:p>
  </w:footnote>
  <w:footnote w:id="44">
    <w:p w14:paraId="01841CB0" w14:textId="092D914E" w:rsidR="0084279E" w:rsidRDefault="0084279E" w:rsidP="009E7823">
      <w:pPr>
        <w:pStyle w:val="FootnoteText"/>
        <w:jc w:val="both"/>
      </w:pPr>
      <w:r>
        <w:rPr>
          <w:rStyle w:val="FootnoteReference"/>
        </w:rPr>
        <w:footnoteRef/>
      </w:r>
      <w:r>
        <w:t xml:space="preserve"> For more information, see Dr. Amnon Reichman, Lior Abu, Omer Bachman, Sarit </w:t>
      </w:r>
      <w:proofErr w:type="spellStart"/>
      <w:r>
        <w:t>Yakoti</w:t>
      </w:r>
      <w:proofErr w:type="spellEnd"/>
      <w:r>
        <w:t xml:space="preserve">, </w:t>
      </w:r>
      <w:proofErr w:type="spellStart"/>
      <w:r>
        <w:t>Elad</w:t>
      </w:r>
      <w:proofErr w:type="spellEnd"/>
      <w:r>
        <w:t xml:space="preserve"> Katz, Eilat Levin, </w:t>
      </w:r>
      <w:proofErr w:type="spellStart"/>
      <w:r>
        <w:t>Nurit</w:t>
      </w:r>
      <w:proofErr w:type="spellEnd"/>
      <w:r>
        <w:t xml:space="preserve"> </w:t>
      </w:r>
      <w:proofErr w:type="spellStart"/>
      <w:r>
        <w:t>Inbal</w:t>
      </w:r>
      <w:proofErr w:type="spellEnd"/>
      <w:r>
        <w:t xml:space="preserve">, </w:t>
      </w:r>
      <w:proofErr w:type="spellStart"/>
      <w:r>
        <w:t>Inbal</w:t>
      </w:r>
      <w:proofErr w:type="spellEnd"/>
      <w:r>
        <w:t xml:space="preserve"> Rubinstein</w:t>
      </w:r>
      <w:r w:rsidR="00247705">
        <w:t xml:space="preserve"> “</w:t>
      </w:r>
      <w:r w:rsidR="00247705" w:rsidRPr="00247705">
        <w:rPr>
          <w:i/>
          <w:iCs/>
        </w:rPr>
        <w:t>The Right to a Fair Trial: Limitations on Substantive Law</w:t>
      </w:r>
      <w:r w:rsidR="00247705">
        <w:t xml:space="preserve">” </w:t>
      </w:r>
      <w:r w:rsidR="00247705" w:rsidRPr="00247705">
        <w:rPr>
          <w:b/>
          <w:bCs/>
        </w:rPr>
        <w:t>Haifa University</w:t>
      </w:r>
      <w:r w:rsidR="00247705">
        <w:t xml:space="preserve"> (2005), pp. 7 – 13.</w:t>
      </w:r>
    </w:p>
  </w:footnote>
  <w:footnote w:id="45">
    <w:p w14:paraId="2D5B852A" w14:textId="437B2E15" w:rsidR="005C7609" w:rsidRDefault="005C7609" w:rsidP="009E7823">
      <w:pPr>
        <w:pStyle w:val="FootnoteText"/>
        <w:jc w:val="both"/>
      </w:pPr>
      <w:r>
        <w:rPr>
          <w:rStyle w:val="FootnoteReference"/>
        </w:rPr>
        <w:footnoteRef/>
      </w:r>
      <w:r>
        <w:t xml:space="preserve"> </w:t>
      </w:r>
      <w:r w:rsidR="00480D12">
        <w:t>Section 3 of the Penal Code</w:t>
      </w:r>
      <w:r w:rsidR="00247705">
        <w:t xml:space="preserve"> </w:t>
      </w:r>
      <w:r w:rsidR="00480D12">
        <w:t>1977</w:t>
      </w:r>
      <w:r w:rsidR="00247705">
        <w:t>-5737</w:t>
      </w:r>
      <w:r w:rsidR="00480D12">
        <w:t>.</w:t>
      </w:r>
    </w:p>
  </w:footnote>
  <w:footnote w:id="46">
    <w:p w14:paraId="574F4843" w14:textId="049A3A74" w:rsidR="005C7609" w:rsidRDefault="005C7609" w:rsidP="009E7823">
      <w:pPr>
        <w:pStyle w:val="FootnoteText"/>
        <w:jc w:val="both"/>
      </w:pPr>
      <w:r>
        <w:rPr>
          <w:rStyle w:val="FootnoteReference"/>
        </w:rPr>
        <w:footnoteRef/>
      </w:r>
      <w:r>
        <w:t xml:space="preserve"> </w:t>
      </w:r>
      <w:r w:rsidR="00480D12">
        <w:t xml:space="preserve">See, </w:t>
      </w:r>
      <w:r w:rsidR="00EE7E13">
        <w:t>for instance</w:t>
      </w:r>
      <w:r w:rsidR="00480D12">
        <w:t xml:space="preserve">, p. 776, to the judgment of President Barak, </w:t>
      </w:r>
      <w:r w:rsidR="00247705">
        <w:rPr>
          <w:i/>
          <w:iCs/>
        </w:rPr>
        <w:t>Prisoner Petition Appeal</w:t>
      </w:r>
      <w:r w:rsidR="00480D12">
        <w:t xml:space="preserve"> 1613/91 </w:t>
      </w:r>
      <w:proofErr w:type="spellStart"/>
      <w:r w:rsidR="00480D12">
        <w:t>Arbiv</w:t>
      </w:r>
      <w:proofErr w:type="spellEnd"/>
      <w:r w:rsidR="00480D12">
        <w:t xml:space="preserve"> v. State of Israel, </w:t>
      </w:r>
      <w:proofErr w:type="spellStart"/>
      <w:r w:rsidR="00480D12" w:rsidRPr="00247705">
        <w:rPr>
          <w:i/>
          <w:iCs/>
        </w:rPr>
        <w:t>P</w:t>
      </w:r>
      <w:r w:rsidR="00247705" w:rsidRPr="00247705">
        <w:rPr>
          <w:i/>
          <w:iCs/>
        </w:rPr>
        <w:t>ey</w:t>
      </w:r>
      <w:r w:rsidR="00480D12" w:rsidRPr="00247705">
        <w:rPr>
          <w:i/>
          <w:iCs/>
        </w:rPr>
        <w:t>D</w:t>
      </w:r>
      <w:r w:rsidR="00247705" w:rsidRPr="00247705">
        <w:rPr>
          <w:i/>
          <w:iCs/>
        </w:rPr>
        <w:t>aled</w:t>
      </w:r>
      <w:proofErr w:type="spellEnd"/>
      <w:r w:rsidR="00480D12" w:rsidRPr="00247705">
        <w:rPr>
          <w:i/>
          <w:iCs/>
        </w:rPr>
        <w:t xml:space="preserve"> </w:t>
      </w:r>
      <w:proofErr w:type="spellStart"/>
      <w:r w:rsidR="00480D12" w:rsidRPr="00247705">
        <w:rPr>
          <w:i/>
          <w:iCs/>
        </w:rPr>
        <w:t>M</w:t>
      </w:r>
      <w:r w:rsidR="00247705" w:rsidRPr="00247705">
        <w:rPr>
          <w:i/>
          <w:iCs/>
        </w:rPr>
        <w:t>emVav</w:t>
      </w:r>
      <w:proofErr w:type="spellEnd"/>
      <w:r w:rsidR="00480D12">
        <w:t xml:space="preserve"> (2) 765: </w:t>
      </w:r>
      <w:r w:rsidR="00A5597F">
        <w:t>“</w:t>
      </w:r>
      <w:r w:rsidR="00247705">
        <w:t>One of the presumptions which is customary in our system is that</w:t>
      </w:r>
      <w:r w:rsidR="009B4DB2">
        <w:t xml:space="preserve"> </w:t>
      </w:r>
      <w:r w:rsidR="00247705">
        <w:t xml:space="preserve">the </w:t>
      </w:r>
      <w:r w:rsidR="009B4DB2">
        <w:t>purpose</w:t>
      </w:r>
      <w:r w:rsidR="009B4DB2">
        <w:t xml:space="preserve"> </w:t>
      </w:r>
      <w:r w:rsidR="00247705">
        <w:t>of a law is not for retroactive of r</w:t>
      </w:r>
      <w:r w:rsidR="00480D12">
        <w:t>etrospective</w:t>
      </w:r>
      <w:r w:rsidR="00247705" w:rsidRPr="00247705">
        <w:t xml:space="preserve"> </w:t>
      </w:r>
      <w:r w:rsidR="00247705">
        <w:t>applicability</w:t>
      </w:r>
      <w:r w:rsidR="00480D12">
        <w:t xml:space="preserve">. </w:t>
      </w:r>
      <w:r w:rsidR="00247705">
        <w:t>E</w:t>
      </w:r>
      <w:r w:rsidR="00480D12">
        <w:t xml:space="preserve">very law </w:t>
      </w:r>
      <w:r w:rsidR="00247705">
        <w:t xml:space="preserve">is presumed to be forward </w:t>
      </w:r>
      <w:r w:rsidR="00480D12">
        <w:t>look</w:t>
      </w:r>
      <w:r w:rsidR="00247705">
        <w:t xml:space="preserve">ing </w:t>
      </w:r>
      <w:r w:rsidR="00480D12">
        <w:t xml:space="preserve">and not to </w:t>
      </w:r>
      <w:r w:rsidR="00247705">
        <w:t xml:space="preserve">peer into </w:t>
      </w:r>
      <w:r w:rsidR="00480D12">
        <w:t>the past.</w:t>
      </w:r>
      <w:r w:rsidR="00A5597F">
        <w:t>”</w:t>
      </w:r>
    </w:p>
  </w:footnote>
  <w:footnote w:id="47">
    <w:p w14:paraId="201B5786" w14:textId="6D217BFE" w:rsidR="005C7609" w:rsidRDefault="005C7609" w:rsidP="009E7823">
      <w:pPr>
        <w:pStyle w:val="FootnoteText"/>
        <w:jc w:val="both"/>
      </w:pPr>
      <w:r>
        <w:rPr>
          <w:rStyle w:val="FootnoteReference"/>
        </w:rPr>
        <w:footnoteRef/>
      </w:r>
      <w:r>
        <w:t xml:space="preserve"> </w:t>
      </w:r>
      <w:r w:rsidR="00480D12">
        <w:t xml:space="preserve">Naturally in some examples this is more </w:t>
      </w:r>
      <w:r w:rsidR="00247705">
        <w:t xml:space="preserve">prominent </w:t>
      </w:r>
      <w:r w:rsidR="00480D12">
        <w:t xml:space="preserve">than </w:t>
      </w:r>
      <w:r w:rsidR="00247705">
        <w:t xml:space="preserve">in </w:t>
      </w:r>
      <w:r w:rsidR="00480D12">
        <w:t>others.</w:t>
      </w:r>
    </w:p>
  </w:footnote>
  <w:footnote w:id="48">
    <w:p w14:paraId="0CF48B85" w14:textId="1FBCE5DC" w:rsidR="005C7609" w:rsidRDefault="005C7609" w:rsidP="009E7823">
      <w:pPr>
        <w:pStyle w:val="FootnoteText"/>
        <w:jc w:val="both"/>
      </w:pPr>
      <w:r>
        <w:rPr>
          <w:rStyle w:val="FootnoteReference"/>
        </w:rPr>
        <w:footnoteRef/>
      </w:r>
      <w:r>
        <w:t xml:space="preserve"> </w:t>
      </w:r>
      <w:r w:rsidR="00480D12">
        <w:t xml:space="preserve">Ruby Sable and Yael Ronen </w:t>
      </w:r>
      <w:r w:rsidR="00A5597F">
        <w:t>“</w:t>
      </w:r>
      <w:r w:rsidR="00480D12" w:rsidRPr="00DC4CF9">
        <w:rPr>
          <w:i/>
          <w:iCs/>
        </w:rPr>
        <w:t>International Law</w:t>
      </w:r>
      <w:r w:rsidR="00A5597F">
        <w:t>”</w:t>
      </w:r>
      <w:r w:rsidR="00480D12">
        <w:t>, 54 (2016).</w:t>
      </w:r>
    </w:p>
  </w:footnote>
  <w:footnote w:id="49">
    <w:p w14:paraId="61E23456" w14:textId="0E77D26B" w:rsidR="005C7609" w:rsidRDefault="005C7609" w:rsidP="009E7823">
      <w:pPr>
        <w:pStyle w:val="FootnoteText"/>
        <w:jc w:val="both"/>
      </w:pPr>
      <w:r>
        <w:rPr>
          <w:rStyle w:val="FootnoteReference"/>
        </w:rPr>
        <w:footnoteRef/>
      </w:r>
      <w:r>
        <w:t xml:space="preserve"> </w:t>
      </w:r>
      <w:r w:rsidR="00480D12">
        <w:t>Ben-Naftali and Shani, p. 393.</w:t>
      </w:r>
    </w:p>
  </w:footnote>
  <w:footnote w:id="50">
    <w:p w14:paraId="54FA1136" w14:textId="7077132E" w:rsidR="005C7609" w:rsidRDefault="005C7609" w:rsidP="009E7823">
      <w:pPr>
        <w:pStyle w:val="FootnoteText"/>
        <w:jc w:val="both"/>
      </w:pPr>
      <w:r>
        <w:rPr>
          <w:rStyle w:val="FootnoteReference"/>
        </w:rPr>
        <w:footnoteRef/>
      </w:r>
      <w:r>
        <w:t xml:space="preserve"> </w:t>
      </w:r>
      <w:r w:rsidR="00A5597F" w:rsidRPr="00A5597F">
        <w:rPr>
          <w:i/>
          <w:iCs/>
        </w:rPr>
        <w:t>Ibid</w:t>
      </w:r>
      <w:r w:rsidR="00480D12">
        <w:t>., 222-224.</w:t>
      </w:r>
    </w:p>
  </w:footnote>
  <w:footnote w:id="51">
    <w:p w14:paraId="79F804E1" w14:textId="26F7EEF2" w:rsidR="005C7609" w:rsidRDefault="005C7609" w:rsidP="009E7823">
      <w:pPr>
        <w:pStyle w:val="FootnoteText"/>
        <w:jc w:val="both"/>
      </w:pPr>
      <w:r>
        <w:rPr>
          <w:rStyle w:val="FootnoteReference"/>
        </w:rPr>
        <w:footnoteRef/>
      </w:r>
      <w:r>
        <w:t xml:space="preserve"> </w:t>
      </w:r>
      <w:r w:rsidR="00480D12">
        <w:t xml:space="preserve">The wording of the </w:t>
      </w:r>
      <w:r w:rsidR="00DC4CF9">
        <w:t>D</w:t>
      </w:r>
      <w:r w:rsidR="00480D12">
        <w:t>ecision appears above.</w:t>
      </w:r>
    </w:p>
  </w:footnote>
  <w:footnote w:id="52">
    <w:p w14:paraId="55995E36" w14:textId="5B16C505" w:rsidR="005C7609" w:rsidRDefault="005C7609" w:rsidP="009E7823">
      <w:pPr>
        <w:pStyle w:val="FootnoteText"/>
        <w:jc w:val="both"/>
      </w:pPr>
      <w:r>
        <w:rPr>
          <w:rStyle w:val="FootnoteReference"/>
        </w:rPr>
        <w:footnoteRef/>
      </w:r>
      <w:r>
        <w:t xml:space="preserve"> </w:t>
      </w:r>
      <w:r w:rsidR="00480D12">
        <w:t xml:space="preserve">We will not deal with the question of </w:t>
      </w:r>
      <w:r w:rsidR="00A5597F">
        <w:t>“</w:t>
      </w:r>
      <w:r w:rsidR="00480D12">
        <w:t>what is an exceptional terrorist incident</w:t>
      </w:r>
      <w:r w:rsidR="00A5597F">
        <w:t>”</w:t>
      </w:r>
      <w:r w:rsidR="00480D12">
        <w:t xml:space="preserve"> in this matter.</w:t>
      </w:r>
    </w:p>
  </w:footnote>
  <w:footnote w:id="53">
    <w:p w14:paraId="3F7F9381" w14:textId="72949134" w:rsidR="005C7609" w:rsidRDefault="005C7609" w:rsidP="009E7823">
      <w:pPr>
        <w:pStyle w:val="FootnoteText"/>
        <w:jc w:val="both"/>
      </w:pPr>
      <w:r>
        <w:rPr>
          <w:rStyle w:val="FootnoteReference"/>
        </w:rPr>
        <w:footnoteRef/>
      </w:r>
      <w:r>
        <w:t xml:space="preserve"> </w:t>
      </w:r>
      <w:r w:rsidR="00480D12">
        <w:t xml:space="preserve">To me, returning the </w:t>
      </w:r>
      <w:r w:rsidR="00DC4CF9">
        <w:t>corpses</w:t>
      </w:r>
      <w:r w:rsidR="00480D12">
        <w:t xml:space="preserve">, along with deterring further abductions, important goals in themselves, are </w:t>
      </w:r>
      <w:r w:rsidR="008F5B14">
        <w:t xml:space="preserve">also </w:t>
      </w:r>
      <w:r w:rsidR="00480D12">
        <w:t xml:space="preserve">an integral part of the overall war </w:t>
      </w:r>
      <w:r w:rsidR="00DC4CF9">
        <w:t xml:space="preserve">against </w:t>
      </w:r>
      <w:r w:rsidR="00480D12">
        <w:t>terrorism.</w:t>
      </w:r>
    </w:p>
  </w:footnote>
  <w:footnote w:id="54">
    <w:p w14:paraId="3E1444E9" w14:textId="3353A078" w:rsidR="005C7609" w:rsidRDefault="005C7609" w:rsidP="009E7823">
      <w:pPr>
        <w:pStyle w:val="FootnoteText"/>
        <w:jc w:val="both"/>
      </w:pPr>
      <w:r>
        <w:rPr>
          <w:rStyle w:val="FootnoteReference"/>
        </w:rPr>
        <w:footnoteRef/>
      </w:r>
      <w:r>
        <w:t xml:space="preserve"> </w:t>
      </w:r>
      <w:r w:rsidR="00480D12">
        <w:t>See pages 7-6 of Judge Danziger</w:t>
      </w:r>
      <w:r w:rsidR="00A5597F">
        <w:t>’</w:t>
      </w:r>
      <w:r w:rsidR="00480D12">
        <w:t xml:space="preserve">s judgment in the </w:t>
      </w:r>
      <w:r w:rsidR="00DC4CF9">
        <w:t>Aliyan High Court of Justice case</w:t>
      </w:r>
      <w:r w:rsidR="00480D12">
        <w:t>.</w:t>
      </w:r>
    </w:p>
  </w:footnote>
  <w:footnote w:id="55">
    <w:p w14:paraId="603A4FEC" w14:textId="17B8157D" w:rsidR="005C7609" w:rsidRDefault="005C7609" w:rsidP="009E7823">
      <w:pPr>
        <w:pStyle w:val="FootnoteText"/>
        <w:jc w:val="both"/>
      </w:pPr>
      <w:r>
        <w:rPr>
          <w:rStyle w:val="FootnoteReference"/>
        </w:rPr>
        <w:footnoteRef/>
      </w:r>
      <w:r>
        <w:t xml:space="preserve"> </w:t>
      </w:r>
      <w:r w:rsidR="00480D12">
        <w:t xml:space="preserve">See </w:t>
      </w:r>
      <w:r w:rsidR="00480D12" w:rsidRPr="00480D12">
        <w:rPr>
          <w:i/>
          <w:iCs/>
        </w:rPr>
        <w:t>supra.</w:t>
      </w:r>
      <w:r w:rsidR="00480D12">
        <w:t>, HCJ Aliyan.</w:t>
      </w:r>
    </w:p>
  </w:footnote>
  <w:footnote w:id="56">
    <w:p w14:paraId="420E9524" w14:textId="1B6AFA67" w:rsidR="005C7609" w:rsidRDefault="005C7609" w:rsidP="009E7823">
      <w:pPr>
        <w:pStyle w:val="FootnoteText"/>
        <w:jc w:val="both"/>
      </w:pPr>
      <w:r>
        <w:rPr>
          <w:rStyle w:val="FootnoteReference"/>
        </w:rPr>
        <w:footnoteRef/>
      </w:r>
      <w:r>
        <w:t xml:space="preserve"> Some of the questions were addressed in one way or another in the judgment, but not all of them.</w:t>
      </w:r>
    </w:p>
  </w:footnote>
  <w:footnote w:id="57">
    <w:p w14:paraId="53AD7478" w14:textId="5F7F0CC7" w:rsidR="005C7609" w:rsidRDefault="005C7609" w:rsidP="009E7823">
      <w:pPr>
        <w:pStyle w:val="FootnoteText"/>
        <w:jc w:val="both"/>
      </w:pPr>
      <w:r>
        <w:rPr>
          <w:rStyle w:val="FootnoteReference"/>
        </w:rPr>
        <w:footnoteRef/>
      </w:r>
      <w:r>
        <w:t xml:space="preserve"> </w:t>
      </w:r>
      <w:r w:rsidR="00480D12">
        <w:t xml:space="preserve">The facts are based on what is stated in the judgment, and are </w:t>
      </w:r>
      <w:r w:rsidR="00A24607">
        <w:t xml:space="preserve">partially </w:t>
      </w:r>
      <w:r w:rsidR="00480D12">
        <w:t xml:space="preserve">quoted. It is very possible that since the verdict the factual situation has changed (some of the bodies have been </w:t>
      </w:r>
      <w:r w:rsidR="008F5B14">
        <w:t>returned</w:t>
      </w:r>
      <w:r w:rsidR="00480D12">
        <w:t xml:space="preserve">), but </w:t>
      </w:r>
      <w:r w:rsidR="008F5B14">
        <w:t xml:space="preserve">that </w:t>
      </w:r>
      <w:r w:rsidR="00480D12">
        <w:t>information is not in my possession.</w:t>
      </w:r>
    </w:p>
  </w:footnote>
  <w:footnote w:id="58">
    <w:p w14:paraId="6003F5A0" w14:textId="0670E4DF" w:rsidR="005C7609" w:rsidRDefault="005C7609" w:rsidP="009E7823">
      <w:pPr>
        <w:pStyle w:val="FootnoteText"/>
        <w:jc w:val="both"/>
      </w:pPr>
      <w:r>
        <w:rPr>
          <w:rStyle w:val="FootnoteReference"/>
        </w:rPr>
        <w:footnoteRef/>
      </w:r>
      <w:r>
        <w:t xml:space="preserve"> </w:t>
      </w:r>
      <w:r w:rsidR="00480D12">
        <w:t xml:space="preserve">The question deals with the actual possession of the </w:t>
      </w:r>
      <w:r w:rsidR="00554E38">
        <w:t xml:space="preserve">corpses, </w:t>
      </w:r>
      <w:r w:rsidR="00480D12">
        <w:t>detached from the question of punishment and so on, which will be discussed separately.</w:t>
      </w:r>
    </w:p>
  </w:footnote>
  <w:footnote w:id="59">
    <w:p w14:paraId="287CB65D" w14:textId="66D63178" w:rsidR="005C7609" w:rsidRDefault="005C7609" w:rsidP="009E7823">
      <w:pPr>
        <w:pStyle w:val="FootnoteText"/>
        <w:jc w:val="both"/>
      </w:pPr>
      <w:r>
        <w:rPr>
          <w:rStyle w:val="FootnoteReference"/>
        </w:rPr>
        <w:footnoteRef/>
      </w:r>
      <w:r>
        <w:t xml:space="preserve"> </w:t>
      </w:r>
      <w:r w:rsidR="00480D12">
        <w:t xml:space="preserve">For more on this topic, see: Anna </w:t>
      </w:r>
      <w:proofErr w:type="spellStart"/>
      <w:r w:rsidR="00480D12">
        <w:t>Petrig</w:t>
      </w:r>
      <w:proofErr w:type="spellEnd"/>
      <w:r w:rsidR="00480D12">
        <w:t xml:space="preserve">, </w:t>
      </w:r>
      <w:r w:rsidR="00480D12" w:rsidRPr="008F5B14">
        <w:rPr>
          <w:i/>
          <w:iCs/>
        </w:rPr>
        <w:t>The war dead and their gravesites</w:t>
      </w:r>
      <w:r w:rsidR="00480D12">
        <w:t>, 91 INT</w:t>
      </w:r>
      <w:r w:rsidR="00A5597F">
        <w:t>’</w:t>
      </w:r>
      <w:r w:rsidR="00480D12">
        <w:t>L. REV. Of The Red Cross, 341-369 (2009).</w:t>
      </w:r>
    </w:p>
  </w:footnote>
  <w:footnote w:id="60">
    <w:p w14:paraId="4013F7E6" w14:textId="39069A62" w:rsidR="005C7609" w:rsidRDefault="005C7609" w:rsidP="009E7823">
      <w:pPr>
        <w:pStyle w:val="FootnoteText"/>
        <w:jc w:val="both"/>
      </w:pPr>
      <w:r>
        <w:rPr>
          <w:rStyle w:val="FootnoteReference"/>
        </w:rPr>
        <w:footnoteRef/>
      </w:r>
      <w:r>
        <w:t xml:space="preserve"> </w:t>
      </w:r>
      <w:r w:rsidR="00480D12">
        <w:t>Articles 1</w:t>
      </w:r>
      <w:r w:rsidR="00554E38">
        <w:t>6</w:t>
      </w:r>
      <w:r w:rsidR="00480D12">
        <w:t>-1</w:t>
      </w:r>
      <w:r w:rsidR="00554E38">
        <w:t>7</w:t>
      </w:r>
      <w:r w:rsidR="00480D12">
        <w:t xml:space="preserve"> of the First Geneva Convention.</w:t>
      </w:r>
    </w:p>
  </w:footnote>
  <w:footnote w:id="61">
    <w:p w14:paraId="59395098" w14:textId="295FAFF5" w:rsidR="005C7609" w:rsidRDefault="005C7609" w:rsidP="009E7823">
      <w:pPr>
        <w:pStyle w:val="FootnoteText"/>
        <w:jc w:val="both"/>
      </w:pPr>
      <w:r>
        <w:rPr>
          <w:rStyle w:val="FootnoteReference"/>
        </w:rPr>
        <w:footnoteRef/>
      </w:r>
      <w:r>
        <w:t xml:space="preserve"> </w:t>
      </w:r>
      <w:r w:rsidR="00480D12">
        <w:t xml:space="preserve">Articles </w:t>
      </w:r>
      <w:r w:rsidR="00554E38">
        <w:t>19</w:t>
      </w:r>
      <w:r w:rsidR="00480D12">
        <w:t>-</w:t>
      </w:r>
      <w:r w:rsidR="00554E38">
        <w:t>20</w:t>
      </w:r>
      <w:r w:rsidR="00480D12">
        <w:t xml:space="preserve"> of the Second Geneva Convention.</w:t>
      </w:r>
    </w:p>
  </w:footnote>
  <w:footnote w:id="62">
    <w:p w14:paraId="6EC4B5EC" w14:textId="44098530" w:rsidR="005C7609" w:rsidRDefault="005C7609" w:rsidP="009E7823">
      <w:pPr>
        <w:pStyle w:val="FootnoteText"/>
        <w:jc w:val="both"/>
      </w:pPr>
      <w:r>
        <w:rPr>
          <w:rStyle w:val="FootnoteReference"/>
        </w:rPr>
        <w:footnoteRef/>
      </w:r>
      <w:r>
        <w:t xml:space="preserve"> </w:t>
      </w:r>
      <w:r w:rsidR="00480D12">
        <w:t>Article 120 of the Third Geneva Convention.</w:t>
      </w:r>
    </w:p>
  </w:footnote>
  <w:footnote w:id="63">
    <w:p w14:paraId="0B09A67E" w14:textId="3887926F" w:rsidR="005C7609" w:rsidRDefault="005C7609" w:rsidP="009E7823">
      <w:pPr>
        <w:pStyle w:val="FootnoteText"/>
        <w:jc w:val="both"/>
      </w:pPr>
      <w:r>
        <w:rPr>
          <w:rStyle w:val="FootnoteReference"/>
        </w:rPr>
        <w:footnoteRef/>
      </w:r>
      <w:r>
        <w:t xml:space="preserve"> </w:t>
      </w:r>
      <w:r w:rsidR="00480D12">
        <w:t>Article 130 of the Fourth Geneva Convention.</w:t>
      </w:r>
    </w:p>
  </w:footnote>
  <w:footnote w:id="64">
    <w:p w14:paraId="44627404" w14:textId="3B932AD5" w:rsidR="005C7609" w:rsidRDefault="005C7609" w:rsidP="009E7823">
      <w:pPr>
        <w:pStyle w:val="FootnoteText"/>
        <w:jc w:val="both"/>
      </w:pPr>
      <w:r>
        <w:rPr>
          <w:rStyle w:val="FootnoteReference"/>
        </w:rPr>
        <w:footnoteRef/>
      </w:r>
      <w:r>
        <w:t xml:space="preserve"> </w:t>
      </w:r>
      <w:r w:rsidR="00480D12">
        <w:t xml:space="preserve">Except for rule 114, which will </w:t>
      </w:r>
      <w:r w:rsidR="00554E38">
        <w:t xml:space="preserve">be addressed </w:t>
      </w:r>
      <w:r w:rsidR="00480D12">
        <w:t>separate</w:t>
      </w:r>
      <w:r w:rsidR="00554E38">
        <w:t xml:space="preserve">ly </w:t>
      </w:r>
      <w:r w:rsidR="00480D12">
        <w:t>below.</w:t>
      </w:r>
    </w:p>
  </w:footnote>
  <w:footnote w:id="65">
    <w:p w14:paraId="38F9FD8F" w14:textId="659C9D1B" w:rsidR="005C7609" w:rsidRDefault="005C7609" w:rsidP="009E7823">
      <w:pPr>
        <w:pStyle w:val="FootnoteText"/>
        <w:jc w:val="both"/>
      </w:pPr>
      <w:r>
        <w:rPr>
          <w:rStyle w:val="FootnoteReference"/>
        </w:rPr>
        <w:footnoteRef/>
      </w:r>
      <w:r>
        <w:t xml:space="preserve"> </w:t>
      </w:r>
      <w:r w:rsidR="00480D12">
        <w:t xml:space="preserve">Jean-Marie </w:t>
      </w:r>
      <w:proofErr w:type="spellStart"/>
      <w:r w:rsidR="00480D12">
        <w:t>Henckaerts</w:t>
      </w:r>
      <w:proofErr w:type="spellEnd"/>
      <w:r w:rsidR="00480D12">
        <w:t xml:space="preserve"> and Louise </w:t>
      </w:r>
      <w:proofErr w:type="spellStart"/>
      <w:r w:rsidR="00480D12">
        <w:t>Doswald</w:t>
      </w:r>
      <w:proofErr w:type="spellEnd"/>
      <w:r w:rsidR="00480D12">
        <w:t>-Beck, Customary International Humanitarian Law</w:t>
      </w:r>
      <w:r w:rsidR="00554E38">
        <w:t xml:space="preserve"> (“</w:t>
      </w:r>
      <w:r w:rsidR="00554E38" w:rsidRPr="00554E38">
        <w:rPr>
          <w:b/>
          <w:bCs/>
        </w:rPr>
        <w:t>CIHL</w:t>
      </w:r>
      <w:r w:rsidR="00554E38">
        <w:t>”)</w:t>
      </w:r>
      <w:r w:rsidR="00480D12">
        <w:t xml:space="preserve">, </w:t>
      </w:r>
      <w:r w:rsidR="00A5597F">
        <w:t>ICRC</w:t>
      </w:r>
      <w:r w:rsidR="00554E38">
        <w:t xml:space="preserve"> </w:t>
      </w:r>
      <w:r w:rsidR="00480D12">
        <w:t xml:space="preserve">and Cambridge University Press (2005, reprint 2009). </w:t>
      </w:r>
    </w:p>
    <w:p w14:paraId="69CDC22C" w14:textId="6F28DB1C" w:rsidR="00480D12" w:rsidRDefault="00480D12" w:rsidP="009E7823">
      <w:pPr>
        <w:pStyle w:val="FootnoteText"/>
        <w:jc w:val="both"/>
      </w:pPr>
      <w:r>
        <w:t xml:space="preserve">Also available at: </w:t>
      </w:r>
      <w:hyperlink r:id="rId4" w:history="1">
        <w:r w:rsidRPr="007A05DE">
          <w:rPr>
            <w:rStyle w:val="Hyperlink"/>
          </w:rPr>
          <w:t>https://ihl-databases.icrc.org/customary-ihl/eng/docs/home</w:t>
        </w:r>
      </w:hyperlink>
      <w:r>
        <w:t xml:space="preserve"> </w:t>
      </w:r>
    </w:p>
  </w:footnote>
  <w:footnote w:id="66">
    <w:p w14:paraId="33AEA524" w14:textId="770A9F2D" w:rsidR="00480D12" w:rsidRDefault="005C7609" w:rsidP="009E7823">
      <w:pPr>
        <w:pStyle w:val="FootnoteText"/>
        <w:jc w:val="both"/>
      </w:pPr>
      <w:r>
        <w:rPr>
          <w:rStyle w:val="FootnoteReference"/>
        </w:rPr>
        <w:footnoteRef/>
      </w:r>
      <w:r>
        <w:t xml:space="preserve"> </w:t>
      </w:r>
      <w:r w:rsidR="00480D12">
        <w:t>Rule 114 to the CIHL:</w:t>
      </w:r>
    </w:p>
    <w:p w14:paraId="1BD851D8" w14:textId="4F01430B" w:rsidR="005C7609" w:rsidRDefault="00A5597F" w:rsidP="009E7823">
      <w:pPr>
        <w:pStyle w:val="FootnoteText"/>
        <w:jc w:val="both"/>
      </w:pPr>
      <w:r>
        <w:t>“</w:t>
      </w:r>
      <w:r w:rsidR="00480D12">
        <w:t xml:space="preserve">Parties to the conflict must </w:t>
      </w:r>
      <w:r w:rsidR="00EE7E13" w:rsidRPr="00735079">
        <w:rPr>
          <w:b/>
          <w:bCs/>
          <w:u w:val="single"/>
        </w:rPr>
        <w:t>endeavour</w:t>
      </w:r>
      <w:r w:rsidR="00480D12" w:rsidRPr="00735079">
        <w:rPr>
          <w:b/>
          <w:bCs/>
          <w:u w:val="single"/>
        </w:rPr>
        <w:t xml:space="preserve"> to facilitate</w:t>
      </w:r>
      <w:r w:rsidR="00480D12">
        <w:t xml:space="preserve"> the return of the remains of the deceased upon request of the party to which they belong or upon the request of their next of kin. They must return their personal effects to </w:t>
      </w:r>
      <w:r>
        <w:t>them” Available</w:t>
      </w:r>
      <w:r w:rsidR="00480D12">
        <w:t xml:space="preserve"> at: </w:t>
      </w:r>
      <w:hyperlink r:id="rId5" w:history="1">
        <w:r w:rsidR="00735079" w:rsidRPr="003B200B">
          <w:rPr>
            <w:rStyle w:val="Hyperlink"/>
          </w:rPr>
          <w:t>https://ihl-databases.icrc.org/customary-ihl/eng/docs/v1_rul_rule114</w:t>
        </w:r>
      </w:hyperlink>
      <w:r>
        <w:t>.</w:t>
      </w:r>
      <w:r w:rsidR="00735079">
        <w:t xml:space="preserve"> </w:t>
      </w:r>
    </w:p>
  </w:footnote>
  <w:footnote w:id="67">
    <w:p w14:paraId="0F6A2D3E" w14:textId="31B2E27A" w:rsidR="005C7609" w:rsidRDefault="005C7609" w:rsidP="009E7823">
      <w:pPr>
        <w:pStyle w:val="FootnoteText"/>
        <w:jc w:val="both"/>
      </w:pPr>
      <w:r>
        <w:rPr>
          <w:rStyle w:val="FootnoteReference"/>
        </w:rPr>
        <w:footnoteRef/>
      </w:r>
      <w:r>
        <w:t xml:space="preserve"> </w:t>
      </w:r>
      <w:r w:rsidR="00480D12">
        <w:t>ICRC, Commentary on the First Geneva Convention: Convention (I) for the Amelioration of the Condition of the Wounded and Sick in Armed Forces in the Field, 2</w:t>
      </w:r>
      <w:r w:rsidR="00480D12" w:rsidRPr="00735079">
        <w:rPr>
          <w:vertAlign w:val="superscript"/>
        </w:rPr>
        <w:t>nd</w:t>
      </w:r>
      <w:r w:rsidR="00480D12">
        <w:t xml:space="preserve"> </w:t>
      </w:r>
      <w:r w:rsidR="00735079">
        <w:t>E</w:t>
      </w:r>
      <w:r w:rsidR="00480D12">
        <w:t>dition, 2016, 1645.</w:t>
      </w:r>
    </w:p>
  </w:footnote>
  <w:footnote w:id="68">
    <w:p w14:paraId="02A15282" w14:textId="4B14F9A3" w:rsidR="005C7609" w:rsidRDefault="005C7609" w:rsidP="009E7823">
      <w:pPr>
        <w:pStyle w:val="FootnoteText"/>
        <w:jc w:val="both"/>
      </w:pPr>
      <w:r>
        <w:rPr>
          <w:rStyle w:val="FootnoteReference"/>
        </w:rPr>
        <w:footnoteRef/>
      </w:r>
      <w:r>
        <w:t xml:space="preserve"> </w:t>
      </w:r>
      <w:r w:rsidR="00480D12">
        <w:t>And which are relevant to the matter in question.</w:t>
      </w:r>
    </w:p>
  </w:footnote>
  <w:footnote w:id="69">
    <w:p w14:paraId="346E87F4" w14:textId="26FD42CE" w:rsidR="005C7609" w:rsidRDefault="005C7609" w:rsidP="009E7823">
      <w:pPr>
        <w:pStyle w:val="FootnoteText"/>
        <w:jc w:val="both"/>
      </w:pPr>
      <w:r>
        <w:rPr>
          <w:rStyle w:val="FootnoteReference"/>
        </w:rPr>
        <w:footnoteRef/>
      </w:r>
      <w:r>
        <w:t xml:space="preserve"> </w:t>
      </w:r>
      <w:r w:rsidR="00480D12">
        <w:t xml:space="preserve">The declaration mentions the right to </w:t>
      </w:r>
      <w:r w:rsidR="00735079">
        <w:t xml:space="preserve">dignity </w:t>
      </w:r>
      <w:r w:rsidR="00480D12">
        <w:t xml:space="preserve">many times, </w:t>
      </w:r>
      <w:r w:rsidR="00735079">
        <w:t>S</w:t>
      </w:r>
      <w:r w:rsidR="00480D12">
        <w:t xml:space="preserve">ection 1 is </w:t>
      </w:r>
      <w:r w:rsidR="00735079">
        <w:t xml:space="preserve">noted </w:t>
      </w:r>
      <w:r w:rsidR="00480D12">
        <w:t>for the sake of illustration.</w:t>
      </w:r>
    </w:p>
  </w:footnote>
  <w:footnote w:id="70">
    <w:p w14:paraId="01A9AAA1" w14:textId="2AAE5F24" w:rsidR="005C7609" w:rsidRDefault="005C7609" w:rsidP="009E7823">
      <w:pPr>
        <w:pStyle w:val="FootnoteText"/>
        <w:jc w:val="both"/>
      </w:pPr>
      <w:r>
        <w:rPr>
          <w:rStyle w:val="FootnoteReference"/>
        </w:rPr>
        <w:footnoteRef/>
      </w:r>
      <w:r>
        <w:t xml:space="preserve"> </w:t>
      </w:r>
      <w:r w:rsidR="00480D12">
        <w:t>Universal Declaration of Human Rights, 10 Dec. 1948, GA Res. 217A (III), U.N Doc. A / 810 at 71 (1948).</w:t>
      </w:r>
    </w:p>
  </w:footnote>
  <w:footnote w:id="71">
    <w:p w14:paraId="4D55258B" w14:textId="0D68338C" w:rsidR="005C7609" w:rsidRDefault="005C7609" w:rsidP="009E7823">
      <w:pPr>
        <w:pStyle w:val="FootnoteText"/>
        <w:jc w:val="both"/>
      </w:pPr>
      <w:r>
        <w:rPr>
          <w:rStyle w:val="FootnoteReference"/>
        </w:rPr>
        <w:footnoteRef/>
      </w:r>
      <w:r>
        <w:t xml:space="preserve"> </w:t>
      </w:r>
      <w:r w:rsidR="00480D12">
        <w:t>International Covenant on Civil and Political Rights, GA Res. 2200A (XXI), 21 UN GAOR (Supp. No 16) at 52, UN Doc. A / 6316 (1996), 999 U.N.T.S. 171, entered into force 23 March 1976.</w:t>
      </w:r>
    </w:p>
  </w:footnote>
  <w:footnote w:id="72">
    <w:p w14:paraId="7D84085A" w14:textId="09082CB5" w:rsidR="005C7609" w:rsidRDefault="005C7609" w:rsidP="009E7823">
      <w:pPr>
        <w:pStyle w:val="FootnoteText"/>
        <w:jc w:val="both"/>
      </w:pPr>
      <w:r>
        <w:rPr>
          <w:rStyle w:val="FootnoteReference"/>
        </w:rPr>
        <w:footnoteRef/>
      </w:r>
      <w:r>
        <w:t xml:space="preserve"> </w:t>
      </w:r>
      <w:r w:rsidR="00480D12">
        <w:t>See above the First, Second, Third</w:t>
      </w:r>
      <w:r w:rsidR="00735079">
        <w:t>,</w:t>
      </w:r>
      <w:r w:rsidR="00480D12">
        <w:t xml:space="preserve"> and Fourth Geneva Conventions.</w:t>
      </w:r>
    </w:p>
  </w:footnote>
  <w:footnote w:id="73">
    <w:p w14:paraId="55E4270D" w14:textId="2452E8DD" w:rsidR="005C7609" w:rsidRDefault="005C7609" w:rsidP="009E7823">
      <w:pPr>
        <w:pStyle w:val="FootnoteText"/>
        <w:jc w:val="both"/>
      </w:pPr>
      <w:r>
        <w:rPr>
          <w:rStyle w:val="FootnoteReference"/>
        </w:rPr>
        <w:footnoteRef/>
      </w:r>
      <w:r>
        <w:t xml:space="preserve"> </w:t>
      </w:r>
      <w:r w:rsidR="00480D12">
        <w:t>The Convention against Torture and Other Cruel, Inhuman or Degrading Treatment or Punishment (10</w:t>
      </w:r>
      <w:r w:rsidR="00735079">
        <w:t xml:space="preserve"> Dec </w:t>
      </w:r>
      <w:r w:rsidR="00480D12">
        <w:t>1984).</w:t>
      </w:r>
    </w:p>
  </w:footnote>
  <w:footnote w:id="74">
    <w:p w14:paraId="4FDCBFD3" w14:textId="1A542330" w:rsidR="00480D12" w:rsidRDefault="00480D12" w:rsidP="009E7823">
      <w:pPr>
        <w:pStyle w:val="FootnoteText"/>
        <w:jc w:val="both"/>
      </w:pPr>
      <w:r>
        <w:rPr>
          <w:rStyle w:val="FootnoteReference"/>
        </w:rPr>
        <w:footnoteRef/>
      </w:r>
      <w:r>
        <w:t xml:space="preserve"> </w:t>
      </w:r>
      <w:r w:rsidR="00E60DDD">
        <w:t xml:space="preserve">See </w:t>
      </w:r>
      <w:r w:rsidR="00EE7E13">
        <w:t>for instance</w:t>
      </w:r>
      <w:r w:rsidR="00E60DDD">
        <w:t xml:space="preserve">: Israel </w:t>
      </w:r>
      <w:r w:rsidR="00735079">
        <w:t>–</w:t>
      </w:r>
      <w:r w:rsidR="00E60DDD">
        <w:t xml:space="preserve"> Basic Law: Human Dignity and Liberty, Germany </w:t>
      </w:r>
      <w:r w:rsidR="00735079">
        <w:t>–</w:t>
      </w:r>
      <w:r w:rsidR="00E60DDD">
        <w:t xml:space="preserve"> Article 1 of the German Constitution (</w:t>
      </w:r>
      <w:proofErr w:type="spellStart"/>
      <w:r w:rsidR="00E60DDD">
        <w:t>Grundgesetz</w:t>
      </w:r>
      <w:proofErr w:type="spellEnd"/>
      <w:r w:rsidR="00E60DDD">
        <w:t xml:space="preserve"> </w:t>
      </w:r>
      <w:proofErr w:type="spellStart"/>
      <w:r w:rsidR="00E60DDD">
        <w:t>für</w:t>
      </w:r>
      <w:proofErr w:type="spellEnd"/>
      <w:r w:rsidR="00E60DDD">
        <w:t xml:space="preserve"> die </w:t>
      </w:r>
      <w:proofErr w:type="spellStart"/>
      <w:r w:rsidR="00E60DDD">
        <w:t>Bundesrepublik</w:t>
      </w:r>
      <w:proofErr w:type="spellEnd"/>
      <w:r w:rsidR="00E60DDD">
        <w:t xml:space="preserve"> Deutschland), Croatia </w:t>
      </w:r>
      <w:r w:rsidR="00735079">
        <w:t>–</w:t>
      </w:r>
      <w:r w:rsidR="00E60DDD">
        <w:t xml:space="preserve"> Article 35 of the Constitution of the Republic of Croatia, China </w:t>
      </w:r>
      <w:r w:rsidR="00735079">
        <w:t>–</w:t>
      </w:r>
      <w:r w:rsidR="00E60DDD">
        <w:t xml:space="preserve"> Article 38 of the Chinese Constitution (The Constitution law of the People</w:t>
      </w:r>
      <w:r w:rsidR="00A5597F">
        <w:t>’</w:t>
      </w:r>
      <w:r w:rsidR="00E60DDD">
        <w:t>s Republic of China)</w:t>
      </w:r>
      <w:r w:rsidR="00735079">
        <w:t>,</w:t>
      </w:r>
      <w:r w:rsidR="00E60DDD">
        <w:t xml:space="preserve"> and more.</w:t>
      </w:r>
    </w:p>
  </w:footnote>
  <w:footnote w:id="75">
    <w:p w14:paraId="776320D2" w14:textId="4690A4D5" w:rsidR="00480D12" w:rsidRDefault="00480D12" w:rsidP="009E7823">
      <w:pPr>
        <w:pStyle w:val="FootnoteText"/>
        <w:jc w:val="both"/>
      </w:pPr>
      <w:r>
        <w:rPr>
          <w:rStyle w:val="FootnoteReference"/>
        </w:rPr>
        <w:footnoteRef/>
      </w:r>
      <w:r>
        <w:t xml:space="preserve"> </w:t>
      </w:r>
      <w:r w:rsidR="00DC0410" w:rsidRPr="00DC0410">
        <w:rPr>
          <w:i/>
          <w:iCs/>
        </w:rPr>
        <w:t>Administrative Detention Appeal</w:t>
      </w:r>
      <w:r w:rsidR="00E60DDD">
        <w:t xml:space="preserve"> 10/94 </w:t>
      </w:r>
      <w:r w:rsidR="00DC0410">
        <w:t xml:space="preserve">John Does </w:t>
      </w:r>
      <w:r w:rsidR="00E60DDD">
        <w:t>v. Minister of Defen</w:t>
      </w:r>
      <w:r w:rsidR="00DC0410">
        <w:t>c</w:t>
      </w:r>
      <w:r w:rsidR="00E60DDD">
        <w:t xml:space="preserve">e, </w:t>
      </w:r>
      <w:proofErr w:type="spellStart"/>
      <w:r w:rsidR="00E60DDD" w:rsidRPr="00DC0410">
        <w:rPr>
          <w:i/>
          <w:iCs/>
        </w:rPr>
        <w:t>P</w:t>
      </w:r>
      <w:r w:rsidR="00DC0410" w:rsidRPr="00DC0410">
        <w:rPr>
          <w:i/>
          <w:iCs/>
        </w:rPr>
        <w:t>ey</w:t>
      </w:r>
      <w:r w:rsidR="00E60DDD" w:rsidRPr="00DC0410">
        <w:rPr>
          <w:i/>
          <w:iCs/>
        </w:rPr>
        <w:t>D</w:t>
      </w:r>
      <w:r w:rsidR="00DC0410" w:rsidRPr="00DC0410">
        <w:rPr>
          <w:i/>
          <w:iCs/>
        </w:rPr>
        <w:t>aled</w:t>
      </w:r>
      <w:proofErr w:type="spellEnd"/>
      <w:r w:rsidR="00DC0410" w:rsidRPr="00DC0410">
        <w:rPr>
          <w:i/>
          <w:iCs/>
        </w:rPr>
        <w:t xml:space="preserve"> </w:t>
      </w:r>
      <w:proofErr w:type="spellStart"/>
      <w:r w:rsidR="00E60DDD" w:rsidRPr="00DC0410">
        <w:rPr>
          <w:i/>
          <w:iCs/>
        </w:rPr>
        <w:t>N</w:t>
      </w:r>
      <w:r w:rsidR="00DC0410" w:rsidRPr="00DC0410">
        <w:rPr>
          <w:i/>
          <w:iCs/>
        </w:rPr>
        <w:t>unGimel</w:t>
      </w:r>
      <w:proofErr w:type="spellEnd"/>
      <w:r w:rsidR="00E60DDD">
        <w:t>(1) 97.</w:t>
      </w:r>
    </w:p>
  </w:footnote>
  <w:footnote w:id="76">
    <w:p w14:paraId="6267C712" w14:textId="25598F85" w:rsidR="00E60DDD" w:rsidRDefault="00E60DDD" w:rsidP="009E7823">
      <w:pPr>
        <w:pStyle w:val="FootnoteText"/>
        <w:jc w:val="both"/>
      </w:pPr>
      <w:r>
        <w:rPr>
          <w:rStyle w:val="FootnoteReference"/>
        </w:rPr>
        <w:footnoteRef/>
      </w:r>
      <w:r>
        <w:t xml:space="preserve"> </w:t>
      </w:r>
      <w:r w:rsidR="00DC0410" w:rsidRPr="00DC0410">
        <w:rPr>
          <w:i/>
          <w:iCs/>
        </w:rPr>
        <w:t>Criminal Rehearing</w:t>
      </w:r>
      <w:r>
        <w:t xml:space="preserve"> 7048/97 </w:t>
      </w:r>
      <w:r w:rsidR="00DC0410">
        <w:t>John Does</w:t>
      </w:r>
      <w:r>
        <w:t xml:space="preserve"> v. Minister of </w:t>
      </w:r>
      <w:r w:rsidR="00A5597F">
        <w:t>Defence</w:t>
      </w:r>
      <w:r>
        <w:t xml:space="preserve">, </w:t>
      </w:r>
      <w:proofErr w:type="spellStart"/>
      <w:r w:rsidR="00DC0410" w:rsidRPr="00DC0410">
        <w:rPr>
          <w:i/>
          <w:iCs/>
        </w:rPr>
        <w:t>PeyDaled</w:t>
      </w:r>
      <w:proofErr w:type="spellEnd"/>
      <w:r w:rsidR="00DC0410">
        <w:t xml:space="preserve"> </w:t>
      </w:r>
      <w:proofErr w:type="spellStart"/>
      <w:r w:rsidRPr="00DC0410">
        <w:rPr>
          <w:i/>
          <w:iCs/>
        </w:rPr>
        <w:t>N</w:t>
      </w:r>
      <w:r w:rsidR="00DC0410" w:rsidRPr="00DC0410">
        <w:rPr>
          <w:i/>
          <w:iCs/>
        </w:rPr>
        <w:t>unDale</w:t>
      </w:r>
      <w:r w:rsidRPr="00DC0410">
        <w:rPr>
          <w:i/>
          <w:iCs/>
        </w:rPr>
        <w:t>d</w:t>
      </w:r>
      <w:proofErr w:type="spellEnd"/>
      <w:r>
        <w:t>(1) 721.</w:t>
      </w:r>
    </w:p>
  </w:footnote>
  <w:footnote w:id="77">
    <w:p w14:paraId="66BEBCA3" w14:textId="426A6D63" w:rsidR="00E60DDD" w:rsidRDefault="00E60DDD" w:rsidP="009E7823">
      <w:pPr>
        <w:pStyle w:val="FootnoteText"/>
        <w:jc w:val="both"/>
      </w:pPr>
      <w:r>
        <w:rPr>
          <w:rStyle w:val="FootnoteReference"/>
        </w:rPr>
        <w:footnoteRef/>
      </w:r>
      <w:r>
        <w:t xml:space="preserve"> Page 742 of the judgment of Justice Barak, </w:t>
      </w:r>
      <w:r w:rsidR="00DC0410">
        <w:t>in re John Does</w:t>
      </w:r>
      <w:r>
        <w:t>.</w:t>
      </w:r>
    </w:p>
  </w:footnote>
  <w:footnote w:id="78">
    <w:p w14:paraId="401A812E" w14:textId="78050B4E" w:rsidR="00E60DDD" w:rsidRDefault="00E60DDD" w:rsidP="009E7823">
      <w:pPr>
        <w:pStyle w:val="FootnoteText"/>
        <w:jc w:val="both"/>
      </w:pPr>
      <w:r>
        <w:rPr>
          <w:rStyle w:val="FootnoteReference"/>
        </w:rPr>
        <w:footnoteRef/>
      </w:r>
      <w:r>
        <w:t xml:space="preserve"> Page 740 of Barak</w:t>
      </w:r>
      <w:r w:rsidR="00A5597F">
        <w:t>’</w:t>
      </w:r>
      <w:r>
        <w:t xml:space="preserve">s judgment, </w:t>
      </w:r>
      <w:r w:rsidR="00DC0410">
        <w:t>in re John Does</w:t>
      </w:r>
      <w:r>
        <w:t>.</w:t>
      </w:r>
    </w:p>
  </w:footnote>
  <w:footnote w:id="79">
    <w:p w14:paraId="033CDD1A" w14:textId="3AFF8BDC" w:rsidR="00E60DDD" w:rsidRDefault="00E60DDD" w:rsidP="009E7823">
      <w:pPr>
        <w:pStyle w:val="FootnoteText"/>
        <w:jc w:val="both"/>
      </w:pPr>
      <w:r>
        <w:rPr>
          <w:rStyle w:val="FootnoteReference"/>
        </w:rPr>
        <w:footnoteRef/>
      </w:r>
      <w:r>
        <w:t xml:space="preserve"> See page 602</w:t>
      </w:r>
      <w:r w:rsidR="00DC0410">
        <w:t xml:space="preserve"> </w:t>
      </w:r>
      <w:r>
        <w:t xml:space="preserve">of </w:t>
      </w:r>
      <w:r w:rsidR="00DC0410">
        <w:t xml:space="preserve">Justice </w:t>
      </w:r>
      <w:proofErr w:type="spellStart"/>
      <w:r>
        <w:t>Beinisch</w:t>
      </w:r>
      <w:r w:rsidR="00A5597F">
        <w:t>’</w:t>
      </w:r>
      <w:r>
        <w:t>s</w:t>
      </w:r>
      <w:proofErr w:type="spellEnd"/>
      <w:r>
        <w:t xml:space="preserve"> judgment </w:t>
      </w:r>
      <w:r w:rsidR="00DC0410" w:rsidRPr="00DC0410">
        <w:rPr>
          <w:i/>
          <w:iCs/>
        </w:rPr>
        <w:t>supra.</w:t>
      </w:r>
      <w:r>
        <w:t xml:space="preserve">: </w:t>
      </w:r>
      <w:r w:rsidR="00A5597F">
        <w:t>“</w:t>
      </w:r>
      <w:r>
        <w:t xml:space="preserve">Imprisonment based on </w:t>
      </w:r>
      <w:r w:rsidR="00DC0410">
        <w:t xml:space="preserve">the </w:t>
      </w:r>
      <w:r>
        <w:t xml:space="preserve">private economic purpose makes prisoners, by virtue of their incarceration in a private prison, a means of generating monetary profits </w:t>
      </w:r>
      <w:r w:rsidR="00DC0410">
        <w:t xml:space="preserve">for </w:t>
      </w:r>
      <w:r>
        <w:t xml:space="preserve">the concessionaire or prison operator; </w:t>
      </w:r>
      <w:r w:rsidR="00DC0410">
        <w:t>thus, not only is the prisoner’s liberty harmed, but also h</w:t>
      </w:r>
      <w:r>
        <w:t xml:space="preserve">is </w:t>
      </w:r>
      <w:r w:rsidRPr="00DC0410">
        <w:rPr>
          <w:b/>
          <w:bCs/>
          <w:u w:val="single"/>
        </w:rPr>
        <w:t>human dignity</w:t>
      </w:r>
      <w:r>
        <w:t>.</w:t>
      </w:r>
      <w:r w:rsidR="00DC0410">
        <w:t>”</w:t>
      </w:r>
    </w:p>
  </w:footnote>
  <w:footnote w:id="80">
    <w:p w14:paraId="3BC355D2" w14:textId="25CACA8D" w:rsidR="00E60DDD" w:rsidRDefault="00E60DDD" w:rsidP="009E7823">
      <w:pPr>
        <w:pStyle w:val="FootnoteText"/>
        <w:jc w:val="both"/>
      </w:pPr>
      <w:r>
        <w:rPr>
          <w:rStyle w:val="FootnoteReference"/>
        </w:rPr>
        <w:footnoteRef/>
      </w:r>
      <w:r>
        <w:t xml:space="preserve"> See in this regard: </w:t>
      </w:r>
      <w:r w:rsidR="00DC0410" w:rsidRPr="005E2C8C">
        <w:rPr>
          <w:i/>
          <w:iCs/>
        </w:rPr>
        <w:t xml:space="preserve">Civil </w:t>
      </w:r>
      <w:r w:rsidR="00DC0410">
        <w:rPr>
          <w:i/>
          <w:iCs/>
        </w:rPr>
        <w:t xml:space="preserve">Appeal </w:t>
      </w:r>
      <w:r>
        <w:t xml:space="preserve">294/91 </w:t>
      </w:r>
      <w:proofErr w:type="spellStart"/>
      <w:r>
        <w:t>Hevra</w:t>
      </w:r>
      <w:proofErr w:type="spellEnd"/>
      <w:r>
        <w:t xml:space="preserve"> Kadisha Jerusalem v. </w:t>
      </w:r>
      <w:proofErr w:type="spellStart"/>
      <w:r>
        <w:t>Kastenbaum</w:t>
      </w:r>
      <w:proofErr w:type="spellEnd"/>
      <w:r>
        <w:t xml:space="preserve">, </w:t>
      </w:r>
      <w:proofErr w:type="spellStart"/>
      <w:r w:rsidR="00DC0410" w:rsidRPr="00DC0410">
        <w:rPr>
          <w:i/>
          <w:iCs/>
        </w:rPr>
        <w:t>PeyDaled</w:t>
      </w:r>
      <w:proofErr w:type="spellEnd"/>
      <w:r w:rsidR="00DC0410">
        <w:t xml:space="preserve"> </w:t>
      </w:r>
      <w:proofErr w:type="spellStart"/>
      <w:r w:rsidRPr="00DC0410">
        <w:rPr>
          <w:i/>
          <w:iCs/>
        </w:rPr>
        <w:t>M</w:t>
      </w:r>
      <w:r w:rsidR="00DC0410" w:rsidRPr="00DC0410">
        <w:rPr>
          <w:i/>
          <w:iCs/>
        </w:rPr>
        <w:t>emVav</w:t>
      </w:r>
      <w:proofErr w:type="spellEnd"/>
      <w:r>
        <w:t xml:space="preserve">(2) 464, </w:t>
      </w:r>
      <w:r w:rsidRPr="00E948BC">
        <w:rPr>
          <w:i/>
          <w:iCs/>
        </w:rPr>
        <w:t>HCJ</w:t>
      </w:r>
      <w:r>
        <w:t xml:space="preserve"> 5688/92 </w:t>
      </w:r>
      <w:proofErr w:type="spellStart"/>
      <w:r>
        <w:t>Wichselbaum</w:t>
      </w:r>
      <w:proofErr w:type="spellEnd"/>
      <w:r>
        <w:t xml:space="preserve"> v. Minister of Defen</w:t>
      </w:r>
      <w:r w:rsidR="00DC0410">
        <w:t>c</w:t>
      </w:r>
      <w:r>
        <w:t xml:space="preserve">e, </w:t>
      </w:r>
      <w:proofErr w:type="spellStart"/>
      <w:r w:rsidR="00DC0410" w:rsidRPr="00DC0410">
        <w:rPr>
          <w:i/>
          <w:iCs/>
        </w:rPr>
        <w:t>PeyDaled</w:t>
      </w:r>
      <w:proofErr w:type="spellEnd"/>
      <w:r w:rsidR="00DC0410">
        <w:t xml:space="preserve"> </w:t>
      </w:r>
      <w:proofErr w:type="spellStart"/>
      <w:r w:rsidRPr="00DC0410">
        <w:rPr>
          <w:i/>
          <w:iCs/>
        </w:rPr>
        <w:t>M</w:t>
      </w:r>
      <w:r w:rsidR="00DC0410" w:rsidRPr="00DC0410">
        <w:rPr>
          <w:i/>
          <w:iCs/>
        </w:rPr>
        <w:t>emZayin</w:t>
      </w:r>
      <w:proofErr w:type="spellEnd"/>
      <w:r>
        <w:t xml:space="preserve">(2) </w:t>
      </w:r>
      <w:r w:rsidR="00A5597F">
        <w:t>812.</w:t>
      </w:r>
    </w:p>
  </w:footnote>
  <w:footnote w:id="81">
    <w:p w14:paraId="046177E5" w14:textId="65BAC88E" w:rsidR="00E60DDD" w:rsidRDefault="00E60DDD" w:rsidP="009E7823">
      <w:pPr>
        <w:pStyle w:val="FootnoteText"/>
        <w:jc w:val="both"/>
      </w:pPr>
      <w:r>
        <w:rPr>
          <w:rStyle w:val="FootnoteReference"/>
        </w:rPr>
        <w:footnoteRef/>
      </w:r>
      <w:r>
        <w:t xml:space="preserve"> From the review</w:t>
      </w:r>
      <w:r w:rsidR="00DC0410" w:rsidRPr="00DC0410">
        <w:t xml:space="preserve"> </w:t>
      </w:r>
      <w:r w:rsidR="00DC0410">
        <w:t>above</w:t>
      </w:r>
      <w:r>
        <w:t xml:space="preserve">, it appears that a significant part of the considerations </w:t>
      </w:r>
      <w:r w:rsidR="00E948BC">
        <w:t xml:space="preserve">to </w:t>
      </w:r>
      <w:r>
        <w:t>return</w:t>
      </w:r>
      <w:r w:rsidR="00E948BC">
        <w:t xml:space="preserve"> </w:t>
      </w:r>
      <w:r>
        <w:t xml:space="preserve">the </w:t>
      </w:r>
      <w:r w:rsidR="00DC0410">
        <w:t xml:space="preserve">corpses, under </w:t>
      </w:r>
      <w:r>
        <w:t>international law</w:t>
      </w:r>
      <w:r w:rsidR="00DC0410">
        <w:t>,</w:t>
      </w:r>
      <w:r>
        <w:t xml:space="preserve"> stems from the treatment of family members.</w:t>
      </w:r>
    </w:p>
  </w:footnote>
  <w:footnote w:id="82">
    <w:p w14:paraId="228DBA6C" w14:textId="2DE7FACD" w:rsidR="00E60DDD" w:rsidRDefault="00E60DDD" w:rsidP="009E7823">
      <w:pPr>
        <w:pStyle w:val="FootnoteText"/>
        <w:jc w:val="both"/>
      </w:pPr>
      <w:r>
        <w:rPr>
          <w:rStyle w:val="FootnoteReference"/>
        </w:rPr>
        <w:footnoteRef/>
      </w:r>
      <w:r>
        <w:t xml:space="preserve"> </w:t>
      </w:r>
      <w:r w:rsidR="00DC0410">
        <w:t xml:space="preserve">In re </w:t>
      </w:r>
      <w:r>
        <w:t>Aliyan</w:t>
      </w:r>
      <w:r w:rsidR="00DC0410">
        <w:t>,</w:t>
      </w:r>
      <w:r>
        <w:t xml:space="preserve"> </w:t>
      </w:r>
      <w:r w:rsidR="00DC0410" w:rsidRPr="00DC0410">
        <w:rPr>
          <w:i/>
          <w:iCs/>
        </w:rPr>
        <w:t>supra</w:t>
      </w:r>
      <w:r>
        <w:t>.</w:t>
      </w:r>
    </w:p>
  </w:footnote>
  <w:footnote w:id="83">
    <w:p w14:paraId="2955D05B" w14:textId="37A66D7C" w:rsidR="00E60DDD" w:rsidRDefault="00E60DDD" w:rsidP="009E7823">
      <w:pPr>
        <w:pStyle w:val="FootnoteText"/>
        <w:jc w:val="both"/>
      </w:pPr>
      <w:r>
        <w:rPr>
          <w:rStyle w:val="FootnoteReference"/>
        </w:rPr>
        <w:footnoteRef/>
      </w:r>
      <w:r>
        <w:t xml:space="preserve"> Page 18 of the judgment of Ju</w:t>
      </w:r>
      <w:r w:rsidR="00B1514F">
        <w:t>stice</w:t>
      </w:r>
      <w:r>
        <w:t xml:space="preserve"> Hayut, </w:t>
      </w:r>
      <w:r w:rsidR="00B1514F">
        <w:t xml:space="preserve">in re Aliyan, </w:t>
      </w:r>
      <w:r w:rsidR="00B1514F" w:rsidRPr="00B1514F">
        <w:rPr>
          <w:i/>
          <w:iCs/>
        </w:rPr>
        <w:t>supra</w:t>
      </w:r>
      <w:r w:rsidR="00B1514F">
        <w:t>.</w:t>
      </w:r>
    </w:p>
  </w:footnote>
  <w:footnote w:id="84">
    <w:p w14:paraId="31282F43" w14:textId="02350B19" w:rsidR="00E60DDD" w:rsidRDefault="00E60DDD" w:rsidP="009E7823">
      <w:pPr>
        <w:pStyle w:val="FootnoteText"/>
        <w:jc w:val="both"/>
      </w:pPr>
      <w:r>
        <w:rPr>
          <w:rStyle w:val="FootnoteReference"/>
        </w:rPr>
        <w:footnoteRef/>
      </w:r>
      <w:r>
        <w:t xml:space="preserve"> Inter-American Court of Human Rights. See</w:t>
      </w:r>
      <w:r w:rsidR="00B1514F">
        <w:t>,</w:t>
      </w:r>
      <w:r>
        <w:t xml:space="preserve"> </w:t>
      </w:r>
      <w:r w:rsidR="00EE7E13">
        <w:t>for instance</w:t>
      </w:r>
      <w:r w:rsidR="00B1514F">
        <w:t>,</w:t>
      </w:r>
      <w:r>
        <w:t xml:space="preserve"> the case of </w:t>
      </w:r>
      <w:proofErr w:type="spellStart"/>
      <w:r>
        <w:t>Moiwana</w:t>
      </w:r>
      <w:proofErr w:type="spellEnd"/>
      <w:r>
        <w:t xml:space="preserve"> Village v. Suriname (Inter-Am Ct. H.R., (Ser. C) No. 145 (2005)</w:t>
      </w:r>
    </w:p>
  </w:footnote>
  <w:footnote w:id="85">
    <w:p w14:paraId="48C65115" w14:textId="7C4A9B6B" w:rsidR="00E60DDD" w:rsidRDefault="00E60DDD" w:rsidP="009E7823">
      <w:pPr>
        <w:pStyle w:val="FootnoteText"/>
        <w:jc w:val="both"/>
      </w:pPr>
      <w:r>
        <w:rPr>
          <w:rStyle w:val="FootnoteReference"/>
        </w:rPr>
        <w:footnoteRef/>
      </w:r>
      <w:r>
        <w:t xml:space="preserve"> See</w:t>
      </w:r>
      <w:r w:rsidR="00B1514F">
        <w:t>,</w:t>
      </w:r>
      <w:r>
        <w:t xml:space="preserve"> </w:t>
      </w:r>
      <w:r w:rsidR="00EE7E13">
        <w:t>for instance</w:t>
      </w:r>
      <w:r>
        <w:t xml:space="preserve">: </w:t>
      </w:r>
      <w:proofErr w:type="spellStart"/>
      <w:r>
        <w:t>Maskhadova</w:t>
      </w:r>
      <w:proofErr w:type="spellEnd"/>
      <w:r>
        <w:t xml:space="preserve"> and Others v. Russia, 18071/05, 6 June 2013</w:t>
      </w:r>
      <w:r w:rsidR="00B1514F">
        <w:t>.</w:t>
      </w:r>
    </w:p>
  </w:footnote>
  <w:footnote w:id="86">
    <w:p w14:paraId="1F589D3A" w14:textId="5410DE19" w:rsidR="00E60DDD" w:rsidRDefault="00E60DDD" w:rsidP="009E7823">
      <w:pPr>
        <w:pStyle w:val="FootnoteText"/>
        <w:jc w:val="both"/>
      </w:pPr>
      <w:r>
        <w:rPr>
          <w:rStyle w:val="FootnoteReference"/>
        </w:rPr>
        <w:footnoteRef/>
      </w:r>
      <w:r>
        <w:t xml:space="preserve"> </w:t>
      </w:r>
      <w:r w:rsidR="00EE7E13">
        <w:t>For instance</w:t>
      </w:r>
      <w:r>
        <w:t xml:space="preserve">: </w:t>
      </w:r>
      <w:proofErr w:type="spellStart"/>
      <w:r>
        <w:t>Staselovich</w:t>
      </w:r>
      <w:proofErr w:type="spellEnd"/>
      <w:r>
        <w:t xml:space="preserve"> v. Belarus, Comm. 887/1999, U.N. Doc. A / 58/40, Vol. II, at 169 (HRC 2003), </w:t>
      </w:r>
      <w:proofErr w:type="spellStart"/>
      <w:r>
        <w:t>Sultanova</w:t>
      </w:r>
      <w:proofErr w:type="spellEnd"/>
      <w:r>
        <w:t xml:space="preserve"> v. Uzbekistan, Comm. 915/2000, U.N. Doc. A / 61/40, Vol. II, at 32 (HRC 2006).</w:t>
      </w:r>
    </w:p>
  </w:footnote>
  <w:footnote w:id="87">
    <w:p w14:paraId="3CCEA3DF" w14:textId="19936028" w:rsidR="00E60DDD" w:rsidRDefault="00E60DDD" w:rsidP="009E7823">
      <w:pPr>
        <w:pStyle w:val="FootnoteText"/>
        <w:jc w:val="both"/>
      </w:pPr>
      <w:r>
        <w:rPr>
          <w:rStyle w:val="FootnoteReference"/>
        </w:rPr>
        <w:footnoteRef/>
      </w:r>
      <w:r>
        <w:t xml:space="preserve"> See: Prof. Yuval Shani, </w:t>
      </w:r>
      <w:r w:rsidR="00A5597F">
        <w:t>“</w:t>
      </w:r>
      <w:r w:rsidRPr="00B1514F">
        <w:rPr>
          <w:i/>
          <w:iCs/>
        </w:rPr>
        <w:t>The Use of the Principle of Proportionality in International Law</w:t>
      </w:r>
      <w:r w:rsidR="00A5597F">
        <w:t>”</w:t>
      </w:r>
      <w:r>
        <w:t xml:space="preserve">, Israel Institute for Democracy, Policy Research 75 (2009), page 139 (hereinafter: </w:t>
      </w:r>
      <w:r w:rsidR="00A5597F">
        <w:t>“</w:t>
      </w:r>
      <w:r w:rsidRPr="00B1514F">
        <w:rPr>
          <w:b/>
          <w:bCs/>
        </w:rPr>
        <w:t>Prof. Shani</w:t>
      </w:r>
      <w:r w:rsidR="00A5597F">
        <w:t>”</w:t>
      </w:r>
      <w:r>
        <w:t>).</w:t>
      </w:r>
    </w:p>
  </w:footnote>
  <w:footnote w:id="88">
    <w:p w14:paraId="10364E4F" w14:textId="01609EE3" w:rsidR="00E60DDD" w:rsidRDefault="00E60DDD" w:rsidP="009E7823">
      <w:pPr>
        <w:pStyle w:val="FootnoteText"/>
        <w:jc w:val="both"/>
      </w:pPr>
      <w:r>
        <w:rPr>
          <w:rStyle w:val="FootnoteReference"/>
        </w:rPr>
        <w:footnoteRef/>
      </w:r>
      <w:r>
        <w:t xml:space="preserve"> See Prof. Shani</w:t>
      </w:r>
      <w:r w:rsidR="00B1514F">
        <w:t>,</w:t>
      </w:r>
      <w:r>
        <w:t xml:space="preserve"> </w:t>
      </w:r>
      <w:r w:rsidRPr="00E60DDD">
        <w:rPr>
          <w:i/>
          <w:iCs/>
        </w:rPr>
        <w:t>supra.</w:t>
      </w:r>
      <w:r>
        <w:t xml:space="preserve">, pp. </w:t>
      </w:r>
      <w:r w:rsidR="00B1514F">
        <w:t>21 – 32</w:t>
      </w:r>
      <w:r>
        <w:t>.</w:t>
      </w:r>
    </w:p>
  </w:footnote>
  <w:footnote w:id="89">
    <w:p w14:paraId="513883AB" w14:textId="36015E0F" w:rsidR="00E60DDD" w:rsidRDefault="00E60DDD" w:rsidP="009E7823">
      <w:pPr>
        <w:pStyle w:val="FootnoteText"/>
        <w:jc w:val="both"/>
      </w:pPr>
      <w:r>
        <w:rPr>
          <w:rStyle w:val="FootnoteReference"/>
        </w:rPr>
        <w:footnoteRef/>
      </w:r>
      <w:r>
        <w:t xml:space="preserve"> See Prof. Shani, </w:t>
      </w:r>
      <w:r w:rsidR="00B1514F" w:rsidRPr="00E60DDD">
        <w:rPr>
          <w:i/>
          <w:iCs/>
        </w:rPr>
        <w:t>supra.</w:t>
      </w:r>
      <w:r w:rsidR="00B1514F">
        <w:t xml:space="preserve">, </w:t>
      </w:r>
      <w:r>
        <w:t>page 141.</w:t>
      </w:r>
    </w:p>
  </w:footnote>
  <w:footnote w:id="90">
    <w:p w14:paraId="4EE51810" w14:textId="2E946E6F" w:rsidR="00E60DDD" w:rsidRDefault="00E60DDD" w:rsidP="009E7823">
      <w:pPr>
        <w:pStyle w:val="FootnoteText"/>
        <w:jc w:val="both"/>
      </w:pPr>
      <w:r>
        <w:rPr>
          <w:rStyle w:val="FootnoteReference"/>
        </w:rPr>
        <w:footnoteRef/>
      </w:r>
      <w:r>
        <w:t xml:space="preserve"> In Israel, the condition</w:t>
      </w:r>
      <w:r w:rsidR="00B1514F">
        <w:t xml:space="preserve"> </w:t>
      </w:r>
      <w:r>
        <w:t xml:space="preserve">of the </w:t>
      </w:r>
      <w:r w:rsidR="0084542B" w:rsidRPr="0084542B">
        <w:rPr>
          <w:i/>
          <w:iCs/>
        </w:rPr>
        <w:t>S</w:t>
      </w:r>
      <w:r w:rsidR="00B1514F" w:rsidRPr="0084542B">
        <w:rPr>
          <w:i/>
          <w:iCs/>
        </w:rPr>
        <w:t xml:space="preserve">upremacy </w:t>
      </w:r>
      <w:r w:rsidR="0084542B" w:rsidRPr="0084542B">
        <w:rPr>
          <w:i/>
          <w:iCs/>
        </w:rPr>
        <w:t>and Restriction C</w:t>
      </w:r>
      <w:r w:rsidRPr="0084542B">
        <w:rPr>
          <w:i/>
          <w:iCs/>
        </w:rPr>
        <w:t>lause</w:t>
      </w:r>
      <w:r>
        <w:t xml:space="preserve"> </w:t>
      </w:r>
      <w:r w:rsidR="00B1514F">
        <w:t>–</w:t>
      </w:r>
      <w:r>
        <w:t xml:space="preserve"> </w:t>
      </w:r>
      <w:r w:rsidR="00B1514F">
        <w:t>S</w:t>
      </w:r>
      <w:r>
        <w:t>ection 8 of the Basic Law: Human Dignity and Liberty</w:t>
      </w:r>
      <w:r w:rsidR="00B1514F">
        <w:t>,</w:t>
      </w:r>
      <w:r>
        <w:t xml:space="preserve"> and </w:t>
      </w:r>
      <w:r w:rsidR="00B1514F">
        <w:t>S</w:t>
      </w:r>
      <w:r>
        <w:t>ection 4 of the Basic Law: Freedom of Occupation.</w:t>
      </w:r>
    </w:p>
  </w:footnote>
  <w:footnote w:id="91">
    <w:p w14:paraId="2AD5DA11" w14:textId="0F5D7683" w:rsidR="00E60DDD" w:rsidRDefault="00E60DDD" w:rsidP="009E7823">
      <w:pPr>
        <w:pStyle w:val="FootnoteText"/>
        <w:jc w:val="both"/>
      </w:pPr>
      <w:r>
        <w:rPr>
          <w:rStyle w:val="FootnoteReference"/>
        </w:rPr>
        <w:footnoteRef/>
      </w:r>
      <w:r>
        <w:t xml:space="preserve"> For more information on the proportionality test, see: </w:t>
      </w:r>
      <w:r w:rsidR="00B1514F" w:rsidRPr="00B64D5F">
        <w:rPr>
          <w:i/>
          <w:iCs/>
        </w:rPr>
        <w:t>Civil Leave to Appeal</w:t>
      </w:r>
      <w:r w:rsidR="00B1514F">
        <w:t xml:space="preserve"> </w:t>
      </w:r>
      <w:r>
        <w:t xml:space="preserve">1908/94 United Mizrahi Bank Ltd. v. Kfar </w:t>
      </w:r>
      <w:proofErr w:type="spellStart"/>
      <w:r>
        <w:t>Shitufi</w:t>
      </w:r>
      <w:proofErr w:type="spellEnd"/>
      <w:r>
        <w:t xml:space="preserve"> </w:t>
      </w:r>
      <w:r w:rsidR="00B1514F">
        <w:t>Migdal</w:t>
      </w:r>
      <w:r>
        <w:t xml:space="preserve">, </w:t>
      </w:r>
      <w:proofErr w:type="spellStart"/>
      <w:r w:rsidRPr="00B1514F">
        <w:rPr>
          <w:i/>
          <w:iCs/>
        </w:rPr>
        <w:t>P</w:t>
      </w:r>
      <w:r w:rsidR="00B1514F" w:rsidRPr="00B1514F">
        <w:rPr>
          <w:i/>
          <w:iCs/>
        </w:rPr>
        <w:t>ey</w:t>
      </w:r>
      <w:r w:rsidRPr="00B1514F">
        <w:rPr>
          <w:i/>
          <w:iCs/>
        </w:rPr>
        <w:t>D</w:t>
      </w:r>
      <w:r w:rsidR="00B1514F" w:rsidRPr="00B1514F">
        <w:rPr>
          <w:i/>
          <w:iCs/>
        </w:rPr>
        <w:t>aled</w:t>
      </w:r>
      <w:proofErr w:type="spellEnd"/>
      <w:r w:rsidRPr="00B1514F">
        <w:rPr>
          <w:i/>
          <w:iCs/>
        </w:rPr>
        <w:t xml:space="preserve"> </w:t>
      </w:r>
      <w:proofErr w:type="spellStart"/>
      <w:r w:rsidRPr="00B1514F">
        <w:rPr>
          <w:i/>
          <w:iCs/>
        </w:rPr>
        <w:t>M</w:t>
      </w:r>
      <w:r w:rsidR="00B1514F" w:rsidRPr="00B1514F">
        <w:rPr>
          <w:i/>
          <w:iCs/>
        </w:rPr>
        <w:t>emTe</w:t>
      </w:r>
      <w:r w:rsidRPr="00B1514F">
        <w:rPr>
          <w:i/>
          <w:iCs/>
        </w:rPr>
        <w:t>t</w:t>
      </w:r>
      <w:proofErr w:type="spellEnd"/>
      <w:r>
        <w:t>(4) 221 (1995).</w:t>
      </w:r>
    </w:p>
  </w:footnote>
  <w:footnote w:id="92">
    <w:p w14:paraId="648F9AAE" w14:textId="00195C52" w:rsidR="00A82281" w:rsidRDefault="00A82281" w:rsidP="009E7823">
      <w:pPr>
        <w:pStyle w:val="FootnoteText"/>
        <w:jc w:val="both"/>
      </w:pPr>
      <w:r>
        <w:rPr>
          <w:rStyle w:val="FootnoteReference"/>
        </w:rPr>
        <w:footnoteRef/>
      </w:r>
      <w:r>
        <w:t xml:space="preserve"> See, </w:t>
      </w:r>
      <w:r w:rsidR="00EE7E13">
        <w:t>for instance</w:t>
      </w:r>
      <w:r>
        <w:t>, Ben-Naftali and Shani, p. 93.</w:t>
      </w:r>
    </w:p>
  </w:footnote>
  <w:footnote w:id="93">
    <w:p w14:paraId="4E4513C2" w14:textId="5BFFA9D9" w:rsidR="00A82281" w:rsidRDefault="00A82281" w:rsidP="009E7823">
      <w:pPr>
        <w:pStyle w:val="FootnoteText"/>
        <w:jc w:val="both"/>
      </w:pPr>
      <w:r>
        <w:rPr>
          <w:rStyle w:val="FootnoteReference"/>
        </w:rPr>
        <w:footnoteRef/>
      </w:r>
      <w:r>
        <w:t xml:space="preserve"> See, </w:t>
      </w:r>
      <w:r w:rsidR="00EE7E13">
        <w:t>for instance</w:t>
      </w:r>
      <w:r>
        <w:t xml:space="preserve">, on the one hand </w:t>
      </w:r>
      <w:r w:rsidR="00D017A7">
        <w:t>–</w:t>
      </w:r>
      <w:r>
        <w:t xml:space="preserve"> paragraph 7, p. 6 of the judgment of Justice Naor in </w:t>
      </w:r>
      <w:r w:rsidRPr="0084542B">
        <w:rPr>
          <w:i/>
          <w:iCs/>
        </w:rPr>
        <w:t>HCJ</w:t>
      </w:r>
      <w:r>
        <w:t xml:space="preserve"> 9353/08 Hisham Abu </w:t>
      </w:r>
      <w:proofErr w:type="spellStart"/>
      <w:r>
        <w:t>Dahim</w:t>
      </w:r>
      <w:proofErr w:type="spellEnd"/>
      <w:r>
        <w:t xml:space="preserve"> v. General </w:t>
      </w:r>
      <w:r w:rsidR="00D017A7">
        <w:t xml:space="preserve">Commander </w:t>
      </w:r>
      <w:r>
        <w:t>of the Home Front Command (published in Nevo, 5</w:t>
      </w:r>
      <w:r w:rsidR="00D017A7">
        <w:t xml:space="preserve"> Jan </w:t>
      </w:r>
      <w:r>
        <w:t>2009) and paragraphs 23</w:t>
      </w:r>
      <w:r w:rsidR="00D017A7">
        <w:t xml:space="preserve"> – </w:t>
      </w:r>
      <w:r>
        <w:t xml:space="preserve">25 ​​of the judgment of President Hayut in </w:t>
      </w:r>
      <w:r w:rsidR="00D017A7">
        <w:t xml:space="preserve">re </w:t>
      </w:r>
      <w:r>
        <w:t xml:space="preserve">Aliyan, on the other hand </w:t>
      </w:r>
      <w:r w:rsidR="00D017A7">
        <w:t>–</w:t>
      </w:r>
      <w:r>
        <w:t xml:space="preserve"> paragraph 3, p. 16 of the judgment of Justice Baron in the </w:t>
      </w:r>
      <w:proofErr w:type="spellStart"/>
      <w:r>
        <w:t>At</w:t>
      </w:r>
      <w:r w:rsidR="00D017A7">
        <w:t>au</w:t>
      </w:r>
      <w:r>
        <w:t>na</w:t>
      </w:r>
      <w:proofErr w:type="spellEnd"/>
      <w:r w:rsidR="00D017A7">
        <w:t xml:space="preserve"> affair</w:t>
      </w:r>
      <w:r>
        <w:t>.</w:t>
      </w:r>
    </w:p>
  </w:footnote>
  <w:footnote w:id="94">
    <w:p w14:paraId="19FDB26D" w14:textId="3CBB173B" w:rsidR="00A82281" w:rsidRDefault="00A82281" w:rsidP="009E7823">
      <w:pPr>
        <w:pStyle w:val="FootnoteText"/>
        <w:jc w:val="both"/>
      </w:pPr>
      <w:r>
        <w:rPr>
          <w:rStyle w:val="FootnoteReference"/>
        </w:rPr>
        <w:footnoteRef/>
      </w:r>
      <w:r>
        <w:t xml:space="preserve"> See in this regard, </w:t>
      </w:r>
      <w:r w:rsidRPr="0084542B">
        <w:rPr>
          <w:i/>
          <w:iCs/>
        </w:rPr>
        <w:t>HCJ</w:t>
      </w:r>
      <w:r>
        <w:t xml:space="preserve"> 2006/97 </w:t>
      </w:r>
      <w:proofErr w:type="spellStart"/>
      <w:r>
        <w:t>Misson</w:t>
      </w:r>
      <w:proofErr w:type="spellEnd"/>
      <w:r>
        <w:t xml:space="preserve"> Muhammad Abu Farah </w:t>
      </w:r>
      <w:proofErr w:type="spellStart"/>
      <w:r>
        <w:t>Janimat</w:t>
      </w:r>
      <w:proofErr w:type="spellEnd"/>
      <w:r>
        <w:t xml:space="preserve"> v. Commander-in-Chief of the Central Command </w:t>
      </w:r>
      <w:r w:rsidR="00D017A7">
        <w:t>–</w:t>
      </w:r>
      <w:r>
        <w:t xml:space="preserve"> Uzi Dayan, </w:t>
      </w:r>
      <w:proofErr w:type="spellStart"/>
      <w:r w:rsidR="00D017A7" w:rsidRPr="00D017A7">
        <w:rPr>
          <w:i/>
          <w:iCs/>
        </w:rPr>
        <w:t>NunAlef</w:t>
      </w:r>
      <w:proofErr w:type="spellEnd"/>
      <w:r>
        <w:t xml:space="preserve">(2) 651 (1997) </w:t>
      </w:r>
      <w:r w:rsidR="00D017A7">
        <w:t>“</w:t>
      </w:r>
      <w:r w:rsidR="00D017A7" w:rsidRPr="00D017A7">
        <w:rPr>
          <w:i/>
          <w:iCs/>
        </w:rPr>
        <w:t>No scientific research has been done, and no scientific research can be done, on how many s</w:t>
      </w:r>
      <w:r w:rsidRPr="00D017A7">
        <w:rPr>
          <w:i/>
          <w:iCs/>
        </w:rPr>
        <w:t xml:space="preserve">ouls </w:t>
      </w:r>
      <w:r w:rsidR="00D017A7" w:rsidRPr="00D017A7">
        <w:rPr>
          <w:i/>
          <w:iCs/>
        </w:rPr>
        <w:t xml:space="preserve">have been </w:t>
      </w:r>
      <w:r w:rsidRPr="00D017A7">
        <w:rPr>
          <w:i/>
          <w:iCs/>
        </w:rPr>
        <w:t xml:space="preserve">saved, </w:t>
      </w:r>
      <w:r w:rsidR="00D017A7" w:rsidRPr="00D017A7">
        <w:rPr>
          <w:i/>
          <w:iCs/>
        </w:rPr>
        <w:t xml:space="preserve">and how many terrorist attacks thwarted, </w:t>
      </w:r>
      <w:r w:rsidRPr="00D017A7">
        <w:rPr>
          <w:i/>
          <w:iCs/>
        </w:rPr>
        <w:t xml:space="preserve">as a result of </w:t>
      </w:r>
      <w:r w:rsidR="00D017A7" w:rsidRPr="00D017A7">
        <w:rPr>
          <w:i/>
          <w:iCs/>
        </w:rPr>
        <w:t xml:space="preserve">the </w:t>
      </w:r>
      <w:r w:rsidRPr="00D017A7">
        <w:rPr>
          <w:i/>
          <w:iCs/>
        </w:rPr>
        <w:t xml:space="preserve">deterrence </w:t>
      </w:r>
      <w:r w:rsidR="00D017A7" w:rsidRPr="00D017A7">
        <w:rPr>
          <w:i/>
          <w:iCs/>
        </w:rPr>
        <w:t xml:space="preserve">actions </w:t>
      </w:r>
      <w:r w:rsidRPr="00D017A7">
        <w:rPr>
          <w:i/>
          <w:iCs/>
        </w:rPr>
        <w:t xml:space="preserve">of </w:t>
      </w:r>
      <w:r w:rsidR="0084542B" w:rsidRPr="00D017A7">
        <w:rPr>
          <w:i/>
          <w:iCs/>
        </w:rPr>
        <w:t>sealing</w:t>
      </w:r>
      <w:r w:rsidR="0084542B" w:rsidRPr="00D017A7">
        <w:rPr>
          <w:i/>
          <w:iCs/>
        </w:rPr>
        <w:t xml:space="preserve"> </w:t>
      </w:r>
      <w:r w:rsidRPr="00D017A7">
        <w:rPr>
          <w:i/>
          <w:iCs/>
        </w:rPr>
        <w:t>house</w:t>
      </w:r>
      <w:r w:rsidR="0084542B">
        <w:rPr>
          <w:i/>
          <w:iCs/>
        </w:rPr>
        <w:t>s</w:t>
      </w:r>
      <w:r w:rsidRPr="00D017A7">
        <w:rPr>
          <w:i/>
          <w:iCs/>
        </w:rPr>
        <w:t xml:space="preserve"> and </w:t>
      </w:r>
      <w:r w:rsidR="0084542B">
        <w:rPr>
          <w:i/>
          <w:iCs/>
        </w:rPr>
        <w:t xml:space="preserve">house </w:t>
      </w:r>
      <w:r w:rsidRPr="00D017A7">
        <w:rPr>
          <w:i/>
          <w:iCs/>
        </w:rPr>
        <w:t>demolition</w:t>
      </w:r>
      <w:r w:rsidR="0084542B">
        <w:rPr>
          <w:i/>
          <w:iCs/>
        </w:rPr>
        <w:t>s</w:t>
      </w:r>
      <w:r w:rsidRPr="00D017A7">
        <w:rPr>
          <w:i/>
          <w:iCs/>
        </w:rPr>
        <w:t xml:space="preserve">. However, </w:t>
      </w:r>
      <w:r w:rsidR="0084542B">
        <w:rPr>
          <w:i/>
          <w:iCs/>
        </w:rPr>
        <w:t>as far as I am concerned</w:t>
      </w:r>
      <w:r w:rsidRPr="00D017A7">
        <w:rPr>
          <w:i/>
          <w:iCs/>
        </w:rPr>
        <w:t xml:space="preserve">, it is enough that the opinion that there is a certain deterrent </w:t>
      </w:r>
      <w:r w:rsidR="00D017A7" w:rsidRPr="00D017A7">
        <w:rPr>
          <w:i/>
          <w:iCs/>
        </w:rPr>
        <w:t xml:space="preserve">effect </w:t>
      </w:r>
      <w:r w:rsidRPr="00D017A7">
        <w:rPr>
          <w:i/>
          <w:iCs/>
        </w:rPr>
        <w:t>cannot be ruled out</w:t>
      </w:r>
      <w:r w:rsidR="00D017A7" w:rsidRPr="00D017A7">
        <w:rPr>
          <w:i/>
          <w:iCs/>
        </w:rPr>
        <w:t>,</w:t>
      </w:r>
      <w:r w:rsidRPr="00D017A7">
        <w:rPr>
          <w:i/>
          <w:iCs/>
        </w:rPr>
        <w:t xml:space="preserve"> </w:t>
      </w:r>
      <w:r w:rsidR="00D017A7" w:rsidRPr="00D017A7">
        <w:rPr>
          <w:i/>
          <w:iCs/>
        </w:rPr>
        <w:t xml:space="preserve">for me </w:t>
      </w:r>
      <w:r w:rsidRPr="00D017A7">
        <w:rPr>
          <w:i/>
          <w:iCs/>
        </w:rPr>
        <w:t xml:space="preserve">not </w:t>
      </w:r>
      <w:r w:rsidR="00D017A7" w:rsidRPr="00D017A7">
        <w:rPr>
          <w:i/>
          <w:iCs/>
        </w:rPr>
        <w:t xml:space="preserve">to </w:t>
      </w:r>
      <w:r w:rsidRPr="00D017A7">
        <w:rPr>
          <w:i/>
          <w:iCs/>
        </w:rPr>
        <w:t>interfere with the military commander</w:t>
      </w:r>
      <w:r w:rsidR="00A5597F" w:rsidRPr="00D017A7">
        <w:rPr>
          <w:i/>
          <w:iCs/>
        </w:rPr>
        <w:t>’</w:t>
      </w:r>
      <w:r w:rsidRPr="00D017A7">
        <w:rPr>
          <w:i/>
          <w:iCs/>
        </w:rPr>
        <w:t>s discretion.</w:t>
      </w:r>
      <w:r w:rsidR="00D017A7">
        <w:t>”</w:t>
      </w:r>
    </w:p>
  </w:footnote>
  <w:footnote w:id="95">
    <w:p w14:paraId="33F3DB74" w14:textId="6820CB0E" w:rsidR="00A82281" w:rsidRDefault="00A82281" w:rsidP="009E7823">
      <w:pPr>
        <w:pStyle w:val="FootnoteText"/>
        <w:jc w:val="both"/>
      </w:pPr>
      <w:r>
        <w:rPr>
          <w:rStyle w:val="FootnoteReference"/>
        </w:rPr>
        <w:footnoteRef/>
      </w:r>
      <w:r>
        <w:t xml:space="preserve"> Liron A. Liebman, </w:t>
      </w:r>
      <w:r w:rsidR="00A5597F">
        <w:t>“</w:t>
      </w:r>
      <w:r w:rsidR="00E91286" w:rsidRPr="00E91286">
        <w:rPr>
          <w:i/>
          <w:iCs/>
        </w:rPr>
        <w:t>Will you indeed sweep away the righteous with the wicked?</w:t>
      </w:r>
      <w:r w:rsidRPr="00E91286">
        <w:rPr>
          <w:i/>
          <w:iCs/>
        </w:rPr>
        <w:t xml:space="preserve"> Security </w:t>
      </w:r>
      <w:r w:rsidR="00E91286" w:rsidRPr="00E91286">
        <w:rPr>
          <w:i/>
          <w:iCs/>
        </w:rPr>
        <w:t xml:space="preserve">Measures </w:t>
      </w:r>
      <w:r w:rsidRPr="00E91286">
        <w:rPr>
          <w:i/>
          <w:iCs/>
        </w:rPr>
        <w:t>and Collective Punishment</w:t>
      </w:r>
      <w:r w:rsidR="00A5597F">
        <w:t>”</w:t>
      </w:r>
      <w:r w:rsidR="00E91286">
        <w:t>,</w:t>
      </w:r>
      <w:r>
        <w:t xml:space="preserve"> Israel Institute for Democracy, Policy Research 125 (2019) (hereinafter: </w:t>
      </w:r>
      <w:r w:rsidR="00A5597F">
        <w:t>“</w:t>
      </w:r>
      <w:r w:rsidRPr="00E91286">
        <w:rPr>
          <w:b/>
          <w:bCs/>
        </w:rPr>
        <w:t>Liebman</w:t>
      </w:r>
      <w:r w:rsidR="00A5597F">
        <w:t>”</w:t>
      </w:r>
      <w:r>
        <w:t>).</w:t>
      </w:r>
    </w:p>
  </w:footnote>
  <w:footnote w:id="96">
    <w:p w14:paraId="438B0660" w14:textId="54ECF4DF" w:rsidR="00A82281" w:rsidRDefault="00A82281" w:rsidP="009E7823">
      <w:pPr>
        <w:pStyle w:val="FootnoteText"/>
        <w:jc w:val="both"/>
      </w:pPr>
      <w:r>
        <w:rPr>
          <w:rStyle w:val="FootnoteReference"/>
        </w:rPr>
        <w:footnoteRef/>
      </w:r>
      <w:r>
        <w:t xml:space="preserve"> See pages </w:t>
      </w:r>
      <w:r w:rsidR="00E91286">
        <w:t>7 – 8</w:t>
      </w:r>
      <w:r>
        <w:t xml:space="preserve"> Liebman.</w:t>
      </w:r>
    </w:p>
  </w:footnote>
  <w:footnote w:id="97">
    <w:p w14:paraId="696BFAB8" w14:textId="77B69472" w:rsidR="00A82281" w:rsidRDefault="00A82281" w:rsidP="009E7823">
      <w:pPr>
        <w:pStyle w:val="FootnoteText"/>
        <w:jc w:val="both"/>
      </w:pPr>
      <w:r>
        <w:rPr>
          <w:rStyle w:val="FootnoteReference"/>
        </w:rPr>
        <w:footnoteRef/>
      </w:r>
      <w:r>
        <w:t xml:space="preserve"> </w:t>
      </w:r>
      <w:r w:rsidR="00EE7E13">
        <w:t>For instance</w:t>
      </w:r>
      <w:r>
        <w:t>, and without entering into a discussion at this stage, some argue that the denial of certain prisoners</w:t>
      </w:r>
      <w:r w:rsidR="00A5597F">
        <w:t>’</w:t>
      </w:r>
      <w:r>
        <w:t xml:space="preserve"> rights does not constitute collective punishment since they are benefits and not basic rights.</w:t>
      </w:r>
    </w:p>
  </w:footnote>
  <w:footnote w:id="98">
    <w:p w14:paraId="665D68FF" w14:textId="77777777" w:rsidR="00C36CD9" w:rsidRDefault="00C36CD9" w:rsidP="00C36CD9">
      <w:pPr>
        <w:pStyle w:val="FootnoteText"/>
        <w:jc w:val="both"/>
      </w:pPr>
      <w:r>
        <w:rPr>
          <w:rStyle w:val="FootnoteReference"/>
        </w:rPr>
        <w:footnoteRef/>
      </w:r>
      <w:r>
        <w:t xml:space="preserve"> A rebuttable presumption. See page 62, Liebman.</w:t>
      </w:r>
    </w:p>
  </w:footnote>
  <w:footnote w:id="99">
    <w:p w14:paraId="3EE08DFC" w14:textId="44CA2F97" w:rsidR="00A82281" w:rsidRDefault="00A82281" w:rsidP="009E7823">
      <w:pPr>
        <w:pStyle w:val="FootnoteText"/>
        <w:jc w:val="both"/>
      </w:pPr>
      <w:r>
        <w:rPr>
          <w:rStyle w:val="FootnoteReference"/>
        </w:rPr>
        <w:footnoteRef/>
      </w:r>
      <w:r>
        <w:t xml:space="preserve"> </w:t>
      </w:r>
      <w:r w:rsidR="004B574A">
        <w:t xml:space="preserve">Page 8, </w:t>
      </w:r>
      <w:r w:rsidR="00A5597F" w:rsidRPr="00A5597F">
        <w:rPr>
          <w:i/>
          <w:iCs/>
        </w:rPr>
        <w:t>ibid</w:t>
      </w:r>
      <w:r w:rsidR="004B574A">
        <w:t>.</w:t>
      </w:r>
    </w:p>
  </w:footnote>
  <w:footnote w:id="100">
    <w:p w14:paraId="3100961E" w14:textId="144DCF31" w:rsidR="00A82281" w:rsidRDefault="00A82281" w:rsidP="009E7823">
      <w:pPr>
        <w:pStyle w:val="FootnoteText"/>
        <w:jc w:val="both"/>
      </w:pPr>
      <w:r>
        <w:rPr>
          <w:rStyle w:val="FootnoteReference"/>
        </w:rPr>
        <w:footnoteRef/>
      </w:r>
      <w:r>
        <w:t xml:space="preserve"> </w:t>
      </w:r>
      <w:r w:rsidR="004B574A">
        <w:t xml:space="preserve">Page 148, </w:t>
      </w:r>
      <w:r w:rsidR="00A5597F" w:rsidRPr="00A5597F">
        <w:rPr>
          <w:i/>
          <w:iCs/>
        </w:rPr>
        <w:t>ibid</w:t>
      </w:r>
      <w:r w:rsidR="004B574A">
        <w:t>.</w:t>
      </w:r>
    </w:p>
  </w:footnote>
  <w:footnote w:id="101">
    <w:p w14:paraId="19A7C17F" w14:textId="2C88ECD2" w:rsidR="00A82281" w:rsidRDefault="00A82281" w:rsidP="009E7823">
      <w:pPr>
        <w:pStyle w:val="FootnoteText"/>
        <w:jc w:val="both"/>
      </w:pPr>
      <w:r>
        <w:rPr>
          <w:rStyle w:val="FootnoteReference"/>
        </w:rPr>
        <w:footnoteRef/>
      </w:r>
      <w:r>
        <w:t xml:space="preserve"> </w:t>
      </w:r>
      <w:r w:rsidR="004B574A">
        <w:t>The Supreme Court discuss</w:t>
      </w:r>
      <w:r w:rsidR="00E91286">
        <w:t>ed</w:t>
      </w:r>
      <w:r w:rsidR="004B574A">
        <w:t xml:space="preserve"> the matter on a variety of issues, but it seems that the most famous and perhaps most controversial example is the demolition of houses.</w:t>
      </w:r>
    </w:p>
  </w:footnote>
  <w:footnote w:id="102">
    <w:p w14:paraId="49BF5767" w14:textId="49AB7444" w:rsidR="00A82281" w:rsidRDefault="00A82281" w:rsidP="009E7823">
      <w:pPr>
        <w:pStyle w:val="FootnoteText"/>
        <w:jc w:val="both"/>
      </w:pPr>
      <w:r>
        <w:rPr>
          <w:rStyle w:val="FootnoteReference"/>
        </w:rPr>
        <w:footnoteRef/>
      </w:r>
      <w:r>
        <w:t xml:space="preserve"> </w:t>
      </w:r>
      <w:r w:rsidR="004B574A">
        <w:t>Page 346</w:t>
      </w:r>
      <w:r w:rsidR="00E91286">
        <w:t xml:space="preserve"> </w:t>
      </w:r>
      <w:r w:rsidR="004B574A">
        <w:t>to the judgment of the judge</w:t>
      </w:r>
      <w:r w:rsidR="00E91286">
        <w:t>ment of Justice Matza</w:t>
      </w:r>
      <w:r w:rsidR="004B574A">
        <w:t xml:space="preserve"> in </w:t>
      </w:r>
      <w:r w:rsidR="004B574A" w:rsidRPr="00C36CD9">
        <w:rPr>
          <w:i/>
          <w:iCs/>
        </w:rPr>
        <w:t>HCJ</w:t>
      </w:r>
      <w:r w:rsidR="004B574A">
        <w:t xml:space="preserve"> 6026/94 Abd al-Rahim Hassan </w:t>
      </w:r>
      <w:proofErr w:type="spellStart"/>
      <w:r w:rsidR="004B574A">
        <w:t>Nazal</w:t>
      </w:r>
      <w:proofErr w:type="spellEnd"/>
      <w:r w:rsidR="004B574A">
        <w:t xml:space="preserve"> v. Commander of IDF Forces in Judea and Samaria, </w:t>
      </w:r>
      <w:proofErr w:type="spellStart"/>
      <w:r w:rsidR="004B574A" w:rsidRPr="00E91286">
        <w:rPr>
          <w:i/>
          <w:iCs/>
        </w:rPr>
        <w:t>M</w:t>
      </w:r>
      <w:r w:rsidR="00E91286" w:rsidRPr="00E91286">
        <w:rPr>
          <w:i/>
          <w:iCs/>
        </w:rPr>
        <w:t>em</w:t>
      </w:r>
      <w:r w:rsidR="004B574A" w:rsidRPr="00E91286">
        <w:rPr>
          <w:i/>
          <w:iCs/>
        </w:rPr>
        <w:t>H</w:t>
      </w:r>
      <w:r w:rsidR="00E91286" w:rsidRPr="00E91286">
        <w:rPr>
          <w:i/>
          <w:iCs/>
        </w:rPr>
        <w:t>et</w:t>
      </w:r>
      <w:proofErr w:type="spellEnd"/>
      <w:r w:rsidR="004B574A">
        <w:t>(5) 338 (1994) For another example, see page 2, Judge Barak</w:t>
      </w:r>
      <w:r w:rsidR="00A5597F">
        <w:t>’</w:t>
      </w:r>
      <w:r w:rsidR="004B574A">
        <w:t xml:space="preserve">s </w:t>
      </w:r>
      <w:r w:rsidR="00E91286">
        <w:t xml:space="preserve">opinion </w:t>
      </w:r>
      <w:r w:rsidR="004B574A">
        <w:t xml:space="preserve">in </w:t>
      </w:r>
      <w:r w:rsidR="004B574A" w:rsidRPr="00C36CD9">
        <w:rPr>
          <w:i/>
          <w:iCs/>
        </w:rPr>
        <w:t>HCJ</w:t>
      </w:r>
      <w:r w:rsidR="004B574A">
        <w:t xml:space="preserve"> 798/89 Mahmoud Hussein Shukri v. Minister of </w:t>
      </w:r>
      <w:r w:rsidR="00A5597F">
        <w:t>Defence</w:t>
      </w:r>
      <w:r w:rsidR="004B574A">
        <w:t xml:space="preserve"> (published in Nevo, 10</w:t>
      </w:r>
      <w:r w:rsidR="00E91286">
        <w:t xml:space="preserve"> Jan </w:t>
      </w:r>
      <w:r w:rsidR="004B574A">
        <w:t xml:space="preserve">1990): </w:t>
      </w:r>
      <w:r w:rsidR="00A5597F">
        <w:t>“</w:t>
      </w:r>
      <w:r w:rsidR="004B574A" w:rsidRPr="002432FE">
        <w:rPr>
          <w:i/>
          <w:iCs/>
        </w:rPr>
        <w:t xml:space="preserve">The authority given to the military commander under Regulation 119 is not authority </w:t>
      </w:r>
      <w:r w:rsidR="002432FE">
        <w:rPr>
          <w:i/>
          <w:iCs/>
        </w:rPr>
        <w:t xml:space="preserve">to exact </w:t>
      </w:r>
      <w:r w:rsidR="004B574A" w:rsidRPr="002432FE">
        <w:rPr>
          <w:i/>
          <w:iCs/>
        </w:rPr>
        <w:t xml:space="preserve">collective punishment. Its </w:t>
      </w:r>
      <w:r w:rsidR="002432FE">
        <w:rPr>
          <w:i/>
          <w:iCs/>
        </w:rPr>
        <w:t xml:space="preserve">exercise </w:t>
      </w:r>
      <w:r w:rsidR="004B574A" w:rsidRPr="002432FE">
        <w:rPr>
          <w:i/>
          <w:iCs/>
        </w:rPr>
        <w:t>was not intended to punish the members of the petitioner</w:t>
      </w:r>
      <w:r w:rsidR="00A5597F" w:rsidRPr="002432FE">
        <w:rPr>
          <w:i/>
          <w:iCs/>
        </w:rPr>
        <w:t>’</w:t>
      </w:r>
      <w:r w:rsidR="004B574A" w:rsidRPr="002432FE">
        <w:rPr>
          <w:i/>
          <w:iCs/>
        </w:rPr>
        <w:t xml:space="preserve">s family. </w:t>
      </w:r>
      <w:r w:rsidR="004B574A" w:rsidRPr="002432FE">
        <w:rPr>
          <w:b/>
          <w:bCs/>
          <w:i/>
          <w:iCs/>
        </w:rPr>
        <w:t>The authority is administrative, and its exercise is intended to deter and thus maintain public order</w:t>
      </w:r>
      <w:r w:rsidR="004B574A" w:rsidRPr="002432FE">
        <w:rPr>
          <w:i/>
          <w:iCs/>
        </w:rPr>
        <w:t xml:space="preserve">... We are aware that the demolition of the building harms the roof </w:t>
      </w:r>
      <w:r w:rsidR="002432FE">
        <w:rPr>
          <w:i/>
          <w:iCs/>
        </w:rPr>
        <w:t xml:space="preserve">over </w:t>
      </w:r>
      <w:r w:rsidR="004B574A" w:rsidRPr="002432FE">
        <w:rPr>
          <w:i/>
          <w:iCs/>
        </w:rPr>
        <w:t xml:space="preserve">the </w:t>
      </w:r>
      <w:r w:rsidR="00C36CD9">
        <w:rPr>
          <w:i/>
          <w:iCs/>
        </w:rPr>
        <w:t xml:space="preserve">heads of the </w:t>
      </w:r>
      <w:r w:rsidR="004B574A" w:rsidRPr="002432FE">
        <w:rPr>
          <w:i/>
          <w:iCs/>
        </w:rPr>
        <w:t xml:space="preserve">petitioner and his mother. True, this is not the purpose of the demolition, but it is the result. This difficult result has come to deter potential perpetrators of terrorist attacks, who must understand that </w:t>
      </w:r>
      <w:r w:rsidR="00C36CD9">
        <w:rPr>
          <w:i/>
          <w:iCs/>
        </w:rPr>
        <w:t xml:space="preserve">by </w:t>
      </w:r>
      <w:r w:rsidR="004B574A" w:rsidRPr="002432FE">
        <w:rPr>
          <w:i/>
          <w:iCs/>
        </w:rPr>
        <w:t xml:space="preserve">their actions they </w:t>
      </w:r>
      <w:r w:rsidR="00C36CD9">
        <w:rPr>
          <w:i/>
          <w:iCs/>
        </w:rPr>
        <w:t xml:space="preserve">will </w:t>
      </w:r>
      <w:r w:rsidR="004B574A" w:rsidRPr="002432FE">
        <w:rPr>
          <w:i/>
          <w:iCs/>
        </w:rPr>
        <w:t xml:space="preserve">harm, </w:t>
      </w:r>
      <w:r w:rsidR="002432FE">
        <w:rPr>
          <w:i/>
          <w:iCs/>
        </w:rPr>
        <w:t xml:space="preserve">by </w:t>
      </w:r>
      <w:r w:rsidR="004B574A" w:rsidRPr="002432FE">
        <w:rPr>
          <w:i/>
          <w:iCs/>
        </w:rPr>
        <w:t>their own hands, not only public safety and security</w:t>
      </w:r>
      <w:r w:rsidR="002432FE">
        <w:rPr>
          <w:i/>
          <w:iCs/>
        </w:rPr>
        <w:t>,</w:t>
      </w:r>
      <w:r w:rsidR="004B574A" w:rsidRPr="002432FE">
        <w:rPr>
          <w:i/>
          <w:iCs/>
        </w:rPr>
        <w:t xml:space="preserve"> and not only the lives of innocent people, but also the safety of those close to them</w:t>
      </w:r>
      <w:r w:rsidR="004B574A">
        <w:t>.</w:t>
      </w:r>
      <w:r w:rsidR="002432FE">
        <w:t>”</w:t>
      </w:r>
    </w:p>
  </w:footnote>
  <w:footnote w:id="103">
    <w:p w14:paraId="5DC0CDE7" w14:textId="54361393" w:rsidR="00A82281" w:rsidRDefault="00A82281" w:rsidP="009E7823">
      <w:pPr>
        <w:pStyle w:val="FootnoteText"/>
        <w:jc w:val="both"/>
      </w:pPr>
      <w:r>
        <w:rPr>
          <w:rStyle w:val="FootnoteReference"/>
        </w:rPr>
        <w:footnoteRef/>
      </w:r>
      <w:r>
        <w:t xml:space="preserve"> </w:t>
      </w:r>
      <w:r w:rsidR="004B574A">
        <w:t>See</w:t>
      </w:r>
      <w:r w:rsidR="00C36CD9">
        <w:t>,</w:t>
      </w:r>
      <w:r w:rsidR="004B574A">
        <w:t xml:space="preserve"> </w:t>
      </w:r>
      <w:r w:rsidR="00EE7E13">
        <w:t>for instance</w:t>
      </w:r>
      <w:r w:rsidR="00C36CD9">
        <w:t>,</w:t>
      </w:r>
      <w:r w:rsidR="004B574A">
        <w:t xml:space="preserve"> page 60. Dan Simon </w:t>
      </w:r>
      <w:r w:rsidR="00A5597F">
        <w:t>“</w:t>
      </w:r>
      <w:r w:rsidR="004B574A" w:rsidRPr="002432FE">
        <w:rPr>
          <w:i/>
          <w:iCs/>
        </w:rPr>
        <w:t>The Demolition of Homes in the Israeli Territories</w:t>
      </w:r>
      <w:r w:rsidR="00A5597F">
        <w:t>”</w:t>
      </w:r>
      <w:r w:rsidR="004B574A">
        <w:t xml:space="preserve"> 19 Yale J. Int</w:t>
      </w:r>
      <w:r w:rsidR="00A5597F">
        <w:t>’</w:t>
      </w:r>
      <w:r w:rsidR="004B574A">
        <w:t>l L. (1994)</w:t>
      </w:r>
    </w:p>
  </w:footnote>
  <w:footnote w:id="104">
    <w:p w14:paraId="18D381A8" w14:textId="7256F33E" w:rsidR="004B574A" w:rsidRDefault="004B574A" w:rsidP="0037133A">
      <w:pPr>
        <w:pStyle w:val="FootnoteText"/>
        <w:jc w:val="both"/>
      </w:pPr>
      <w:r>
        <w:rPr>
          <w:rStyle w:val="FootnoteReference"/>
        </w:rPr>
        <w:footnoteRef/>
      </w:r>
      <w:r>
        <w:t xml:space="preserve"> Prof. David Kratzmer </w:t>
      </w:r>
      <w:r w:rsidR="00A5597F">
        <w:t>“</w:t>
      </w:r>
      <w:r w:rsidRPr="0037133A">
        <w:rPr>
          <w:b/>
          <w:bCs/>
        </w:rPr>
        <w:t xml:space="preserve">Judicial Review and the Occupied Territories: </w:t>
      </w:r>
      <w:proofErr w:type="spellStart"/>
      <w:r w:rsidRPr="0037133A">
        <w:rPr>
          <w:b/>
          <w:bCs/>
        </w:rPr>
        <w:t>Aharon</w:t>
      </w:r>
      <w:proofErr w:type="spellEnd"/>
      <w:r w:rsidRPr="0037133A">
        <w:rPr>
          <w:b/>
          <w:bCs/>
        </w:rPr>
        <w:t xml:space="preserve"> Barak</w:t>
      </w:r>
      <w:r w:rsidR="00FD0AFB">
        <w:rPr>
          <w:b/>
          <w:bCs/>
        </w:rPr>
        <w:t xml:space="preserve">’s </w:t>
      </w:r>
      <w:r w:rsidR="00FD0AFB" w:rsidRPr="0037133A">
        <w:rPr>
          <w:b/>
          <w:bCs/>
        </w:rPr>
        <w:t>Doctrine</w:t>
      </w:r>
      <w:r w:rsidR="00A5597F">
        <w:t>”</w:t>
      </w:r>
      <w:r>
        <w:t>, 2009, p. 284.</w:t>
      </w:r>
    </w:p>
  </w:footnote>
  <w:footnote w:id="105">
    <w:p w14:paraId="6259B31F" w14:textId="4A5200BE" w:rsidR="004B574A" w:rsidRDefault="004B574A" w:rsidP="009E7823">
      <w:pPr>
        <w:pStyle w:val="FootnoteText"/>
        <w:jc w:val="both"/>
      </w:pPr>
      <w:r>
        <w:rPr>
          <w:rStyle w:val="FootnoteReference"/>
        </w:rPr>
        <w:footnoteRef/>
      </w:r>
      <w:r>
        <w:t xml:space="preserve"> </w:t>
      </w:r>
      <w:proofErr w:type="spellStart"/>
      <w:r>
        <w:t>Harpaz</w:t>
      </w:r>
      <w:proofErr w:type="spellEnd"/>
      <w:r>
        <w:t xml:space="preserve"> and Cohen</w:t>
      </w:r>
      <w:r w:rsidR="0037133A">
        <w:t>,</w:t>
      </w:r>
      <w:r>
        <w:t xml:space="preserve"> </w:t>
      </w:r>
      <w:r w:rsidR="0037133A" w:rsidRPr="0037133A">
        <w:rPr>
          <w:i/>
          <w:iCs/>
        </w:rPr>
        <w:t>supra.</w:t>
      </w:r>
      <w:r>
        <w:t xml:space="preserve">, </w:t>
      </w:r>
      <w:r w:rsidRPr="0037133A">
        <w:rPr>
          <w:i/>
          <w:iCs/>
        </w:rPr>
        <w:t>inter alia</w:t>
      </w:r>
      <w:r>
        <w:t>, pp. 21-23.</w:t>
      </w:r>
    </w:p>
  </w:footnote>
  <w:footnote w:id="106">
    <w:p w14:paraId="5BC9EAF4" w14:textId="696BE91D" w:rsidR="004B574A" w:rsidRDefault="004B574A" w:rsidP="009E7823">
      <w:pPr>
        <w:pStyle w:val="FootnoteText"/>
        <w:jc w:val="both"/>
      </w:pPr>
      <w:r>
        <w:rPr>
          <w:rStyle w:val="FootnoteReference"/>
        </w:rPr>
        <w:footnoteRef/>
      </w:r>
      <w:r>
        <w:t xml:space="preserve"> Prof. Emanuel Gross </w:t>
      </w:r>
      <w:r w:rsidR="00A5597F">
        <w:t>“</w:t>
      </w:r>
      <w:r w:rsidR="0037133A" w:rsidRPr="0037133A">
        <w:rPr>
          <w:b/>
          <w:bCs/>
        </w:rPr>
        <w:t>Democracy</w:t>
      </w:r>
      <w:r w:rsidR="0037133A">
        <w:rPr>
          <w:b/>
          <w:bCs/>
        </w:rPr>
        <w:t xml:space="preserve">’s </w:t>
      </w:r>
      <w:r w:rsidRPr="0037133A">
        <w:rPr>
          <w:b/>
          <w:bCs/>
        </w:rPr>
        <w:t xml:space="preserve">Struggle </w:t>
      </w:r>
      <w:r w:rsidR="0037133A">
        <w:rPr>
          <w:b/>
          <w:bCs/>
        </w:rPr>
        <w:t xml:space="preserve">Against Terrorism, </w:t>
      </w:r>
      <w:r w:rsidRPr="0037133A">
        <w:rPr>
          <w:b/>
          <w:bCs/>
        </w:rPr>
        <w:t xml:space="preserve">Legal and Moral </w:t>
      </w:r>
      <w:r w:rsidR="0037133A">
        <w:rPr>
          <w:b/>
          <w:bCs/>
        </w:rPr>
        <w:t>Aspects</w:t>
      </w:r>
      <w:r w:rsidR="00A5597F">
        <w:t>”</w:t>
      </w:r>
      <w:r>
        <w:t>, 2004, p. 228.</w:t>
      </w:r>
    </w:p>
  </w:footnote>
  <w:footnote w:id="107">
    <w:p w14:paraId="73F5A114" w14:textId="0212B331" w:rsidR="004B574A" w:rsidRDefault="004B574A" w:rsidP="009E7823">
      <w:pPr>
        <w:pStyle w:val="FootnoteText"/>
        <w:jc w:val="both"/>
      </w:pPr>
      <w:r>
        <w:rPr>
          <w:rStyle w:val="FootnoteReference"/>
        </w:rPr>
        <w:footnoteRef/>
      </w:r>
      <w:r>
        <w:t xml:space="preserve"> For further expansion see </w:t>
      </w:r>
      <w:r w:rsidR="00EE7E13">
        <w:t>for instance</w:t>
      </w:r>
      <w:r>
        <w:t xml:space="preserve">: Cheryl V. </w:t>
      </w:r>
      <w:proofErr w:type="spellStart"/>
      <w:r>
        <w:t>Reicin</w:t>
      </w:r>
      <w:proofErr w:type="spellEnd"/>
      <w:r>
        <w:t xml:space="preserve">, </w:t>
      </w:r>
      <w:r w:rsidRPr="0037133A">
        <w:rPr>
          <w:i/>
          <w:iCs/>
        </w:rPr>
        <w:t>Preventive Detention, Curfews, Demolition of Houses, and Deportations: An Analysis of Measures Employed by Israel in the Administered Territories</w:t>
      </w:r>
      <w:r>
        <w:t>, 8 Cardozo Law. Rev. (1987).</w:t>
      </w:r>
    </w:p>
  </w:footnote>
  <w:footnote w:id="108">
    <w:p w14:paraId="16373354" w14:textId="5AF58124" w:rsidR="004B574A" w:rsidRDefault="004B574A" w:rsidP="009E7823">
      <w:pPr>
        <w:pStyle w:val="FootnoteText"/>
        <w:jc w:val="both"/>
      </w:pPr>
      <w:r>
        <w:rPr>
          <w:rStyle w:val="FootnoteReference"/>
        </w:rPr>
        <w:footnoteRef/>
      </w:r>
      <w:r>
        <w:t xml:space="preserve"> </w:t>
      </w:r>
      <w:r w:rsidR="003476B9">
        <w:t>In the case of Hamas, responsibility cannot always be attributed, but this is true in most cases.</w:t>
      </w:r>
    </w:p>
  </w:footnote>
  <w:footnote w:id="109">
    <w:p w14:paraId="566F5FA6" w14:textId="1C8D2AA4" w:rsidR="004B574A" w:rsidRDefault="004B574A" w:rsidP="009E7823">
      <w:pPr>
        <w:pStyle w:val="FootnoteText"/>
        <w:jc w:val="both"/>
      </w:pPr>
      <w:r>
        <w:rPr>
          <w:rStyle w:val="FootnoteReference"/>
        </w:rPr>
        <w:footnoteRef/>
      </w:r>
      <w:r>
        <w:t xml:space="preserve"> </w:t>
      </w:r>
      <w:r w:rsidR="00386547">
        <w:t xml:space="preserve">In re </w:t>
      </w:r>
      <w:r w:rsidR="003476B9">
        <w:t>Ali</w:t>
      </w:r>
      <w:r w:rsidR="00386547">
        <w:t>y</w:t>
      </w:r>
      <w:r w:rsidR="003476B9">
        <w:t>an.</w:t>
      </w:r>
    </w:p>
  </w:footnote>
  <w:footnote w:id="110">
    <w:p w14:paraId="21F6122C" w14:textId="6FD4BEBC" w:rsidR="004B574A" w:rsidRDefault="004B574A" w:rsidP="009E7823">
      <w:pPr>
        <w:pStyle w:val="FootnoteText"/>
        <w:jc w:val="both"/>
      </w:pPr>
      <w:r>
        <w:rPr>
          <w:rStyle w:val="FootnoteReference"/>
        </w:rPr>
        <w:footnoteRef/>
      </w:r>
      <w:r>
        <w:t xml:space="preserve"> </w:t>
      </w:r>
      <w:r w:rsidR="003476B9">
        <w:t xml:space="preserve">See, </w:t>
      </w:r>
      <w:r w:rsidR="00EE7E13">
        <w:t>for instance</w:t>
      </w:r>
      <w:r w:rsidR="003476B9">
        <w:t xml:space="preserve">: </w:t>
      </w:r>
      <w:r w:rsidR="003476B9" w:rsidRPr="005A7FA6">
        <w:rPr>
          <w:i/>
          <w:iCs/>
        </w:rPr>
        <w:t>HCJ</w:t>
      </w:r>
      <w:r w:rsidR="003476B9">
        <w:t xml:space="preserve"> 8627/17 Dr. Leah Goldin v. Government of Israel (published in Nevo, 11</w:t>
      </w:r>
      <w:r w:rsidR="00386547">
        <w:t xml:space="preserve"> Oct </w:t>
      </w:r>
      <w:r w:rsidR="003476B9">
        <w:t>2018)</w:t>
      </w:r>
      <w:r w:rsidR="00386547">
        <w:t>;</w:t>
      </w:r>
      <w:r w:rsidR="003476B9">
        <w:t xml:space="preserve"> </w:t>
      </w:r>
      <w:r w:rsidR="003476B9" w:rsidRPr="005A7FA6">
        <w:rPr>
          <w:i/>
          <w:iCs/>
        </w:rPr>
        <w:t>HCJ</w:t>
      </w:r>
      <w:r w:rsidR="003476B9">
        <w:t xml:space="preserve"> 5887/17 Ahmad Musa </w:t>
      </w:r>
      <w:proofErr w:type="spellStart"/>
      <w:r w:rsidR="003476B9">
        <w:t>Jabarin</w:t>
      </w:r>
      <w:proofErr w:type="spellEnd"/>
      <w:r w:rsidR="003476B9">
        <w:t xml:space="preserve"> v. Israel Police </w:t>
      </w:r>
      <w:r w:rsidR="00386547">
        <w:t xml:space="preserve">Force </w:t>
      </w:r>
      <w:r w:rsidR="003476B9">
        <w:t>(published in Nevo, 25</w:t>
      </w:r>
      <w:r w:rsidR="00386547">
        <w:t xml:space="preserve"> Jul </w:t>
      </w:r>
      <w:r w:rsidR="003476B9">
        <w:t>2017</w:t>
      </w:r>
      <w:r w:rsidR="00A5597F">
        <w:t>).</w:t>
      </w:r>
    </w:p>
  </w:footnote>
  <w:footnote w:id="111">
    <w:p w14:paraId="56C4FA96" w14:textId="4FA61594" w:rsidR="004B574A" w:rsidRDefault="004B574A" w:rsidP="009E7823">
      <w:pPr>
        <w:pStyle w:val="FootnoteText"/>
        <w:jc w:val="both"/>
      </w:pPr>
      <w:r>
        <w:rPr>
          <w:rStyle w:val="FootnoteReference"/>
        </w:rPr>
        <w:footnoteRef/>
      </w:r>
      <w:r>
        <w:t xml:space="preserve"> </w:t>
      </w:r>
      <w:r w:rsidR="003476B9">
        <w:t>It changes the conditions of those in prison after the act</w:t>
      </w:r>
      <w:r w:rsidR="00386547">
        <w:t>,</w:t>
      </w:r>
      <w:r w:rsidR="003476B9">
        <w:t xml:space="preserve"> and after they have already begun to serve their sentence.</w:t>
      </w:r>
    </w:p>
  </w:footnote>
  <w:footnote w:id="112">
    <w:p w14:paraId="172FF034" w14:textId="3700197D" w:rsidR="004B574A" w:rsidRDefault="004B574A" w:rsidP="009E7823">
      <w:pPr>
        <w:pStyle w:val="FootnoteText"/>
        <w:jc w:val="both"/>
      </w:pPr>
      <w:r>
        <w:rPr>
          <w:rStyle w:val="FootnoteReference"/>
        </w:rPr>
        <w:footnoteRef/>
      </w:r>
      <w:r>
        <w:t xml:space="preserve"> </w:t>
      </w:r>
      <w:r w:rsidR="003476B9">
        <w:t xml:space="preserve">Regulation 133 </w:t>
      </w:r>
      <w:r w:rsidR="00386547">
        <w:t xml:space="preserve">of the </w:t>
      </w:r>
      <w:r w:rsidR="00EE7E13">
        <w:t>Defence</w:t>
      </w:r>
      <w:r w:rsidR="003476B9">
        <w:t xml:space="preserve"> (Emergency) Regulations, 1945. The regulation dealt with by the High Court </w:t>
      </w:r>
      <w:r w:rsidR="00386547">
        <w:t>of Justice in re Aliyan</w:t>
      </w:r>
      <w:r w:rsidR="003476B9">
        <w:t>.</w:t>
      </w:r>
    </w:p>
  </w:footnote>
  <w:footnote w:id="113">
    <w:p w14:paraId="6804AF03" w14:textId="3494525C" w:rsidR="004B574A" w:rsidRDefault="004B574A" w:rsidP="009E7823">
      <w:pPr>
        <w:pStyle w:val="FootnoteText"/>
        <w:jc w:val="both"/>
      </w:pPr>
      <w:r>
        <w:rPr>
          <w:rStyle w:val="FootnoteReference"/>
        </w:rPr>
        <w:footnoteRef/>
      </w:r>
      <w:r>
        <w:t xml:space="preserve"> </w:t>
      </w:r>
      <w:r w:rsidR="00A5597F">
        <w:t>“</w:t>
      </w:r>
      <w:r w:rsidR="003476B9">
        <w:t xml:space="preserve">The </w:t>
      </w:r>
      <w:r w:rsidR="00386547">
        <w:t>C</w:t>
      </w:r>
      <w:r w:rsidR="003476B9">
        <w:t>abinet has ruled that the bodies of Hamas terrorists will not be returned to their families</w:t>
      </w:r>
      <w:r w:rsidR="00A5597F">
        <w:t>”</w:t>
      </w:r>
      <w:r w:rsidR="003476B9">
        <w:t xml:space="preserve"> </w:t>
      </w:r>
      <w:r w:rsidR="00386547">
        <w:t>–</w:t>
      </w:r>
      <w:r w:rsidR="003476B9">
        <w:t xml:space="preserve"> Haaretz </w:t>
      </w:r>
      <w:hyperlink r:id="rId6" w:history="1">
        <w:r w:rsidR="00386547" w:rsidRPr="009F5554">
          <w:rPr>
            <w:rStyle w:val="Hyperlink"/>
          </w:rPr>
          <w:t>https://www.haaretz.co.il/news/politics/1.3192648</w:t>
        </w:r>
      </w:hyperlink>
      <w:r w:rsidR="003476B9">
        <w:t>.</w:t>
      </w:r>
      <w:r w:rsidR="00386547">
        <w:t xml:space="preserve"> </w:t>
      </w:r>
    </w:p>
  </w:footnote>
  <w:footnote w:id="114">
    <w:p w14:paraId="7A975AA8" w14:textId="2AE8C4F5" w:rsidR="004B574A" w:rsidRDefault="004B574A" w:rsidP="005A7FA6">
      <w:pPr>
        <w:pStyle w:val="FootnoteText"/>
        <w:jc w:val="both"/>
      </w:pPr>
      <w:r>
        <w:rPr>
          <w:rStyle w:val="FootnoteReference"/>
        </w:rPr>
        <w:footnoteRef/>
      </w:r>
      <w:r>
        <w:t xml:space="preserve"> </w:t>
      </w:r>
      <w:r w:rsidR="003476B9">
        <w:t xml:space="preserve">And although there is an expectation </w:t>
      </w:r>
      <w:r w:rsidR="00386547">
        <w:t xml:space="preserve">that </w:t>
      </w:r>
      <w:r w:rsidR="003476B9">
        <w:t>the body be</w:t>
      </w:r>
      <w:r w:rsidR="00386547">
        <w:t xml:space="preserve"> </w:t>
      </w:r>
      <w:r w:rsidR="003476B9">
        <w:t xml:space="preserve">returned, the risk </w:t>
      </w:r>
      <w:r w:rsidR="005A7FA6">
        <w:t xml:space="preserve">that it not be </w:t>
      </w:r>
      <w:r w:rsidR="003476B9">
        <w:t xml:space="preserve">is </w:t>
      </w:r>
      <w:r w:rsidR="005A7FA6">
        <w:t xml:space="preserve">definitely </w:t>
      </w:r>
      <w:r w:rsidR="003476B9">
        <w:t>known.</w:t>
      </w:r>
    </w:p>
  </w:footnote>
  <w:footnote w:id="115">
    <w:p w14:paraId="2E4CBDFA" w14:textId="532AF8AF" w:rsidR="004B574A" w:rsidRDefault="004B574A" w:rsidP="009E7823">
      <w:pPr>
        <w:pStyle w:val="FootnoteText"/>
        <w:jc w:val="both"/>
      </w:pPr>
      <w:r>
        <w:rPr>
          <w:rStyle w:val="FootnoteReference"/>
        </w:rPr>
        <w:footnoteRef/>
      </w:r>
      <w:r>
        <w:t xml:space="preserve"> </w:t>
      </w:r>
      <w:r w:rsidR="003476B9">
        <w:t xml:space="preserve">See in this regard, </w:t>
      </w:r>
      <w:r w:rsidR="00EE7E13">
        <w:t>for instance</w:t>
      </w:r>
      <w:r w:rsidR="003476B9">
        <w:t xml:space="preserve">, the petition of the Goldin family in </w:t>
      </w:r>
      <w:r w:rsidR="003476B9" w:rsidRPr="005A7FA6">
        <w:rPr>
          <w:i/>
          <w:iCs/>
        </w:rPr>
        <w:t>HCJ</w:t>
      </w:r>
      <w:r w:rsidR="003476B9">
        <w:t xml:space="preserve"> 4248/18 Leah Goldin v. Government of Israel.</w:t>
      </w:r>
    </w:p>
  </w:footnote>
  <w:footnote w:id="116">
    <w:p w14:paraId="0D74DF2B" w14:textId="4C4B3935" w:rsidR="004B574A" w:rsidRDefault="004B574A" w:rsidP="00386547">
      <w:pPr>
        <w:pStyle w:val="FootnoteText"/>
        <w:jc w:val="both"/>
      </w:pPr>
      <w:r>
        <w:rPr>
          <w:rStyle w:val="FootnoteReference"/>
        </w:rPr>
        <w:footnoteRef/>
      </w:r>
      <w:r>
        <w:t xml:space="preserve"> </w:t>
      </w:r>
      <w:r w:rsidR="003476B9">
        <w:t xml:space="preserve">There may be a basis for a selective enforcement claim, but </w:t>
      </w:r>
      <w:r w:rsidR="00386547">
        <w:t xml:space="preserve">there is no scope to </w:t>
      </w:r>
      <w:r w:rsidR="003476B9">
        <w:t>discuss</w:t>
      </w:r>
      <w:r w:rsidR="00386547">
        <w:t>ing</w:t>
      </w:r>
      <w:r w:rsidR="003476B9">
        <w:t xml:space="preserve"> th</w:t>
      </w:r>
      <w:r w:rsidR="00386547">
        <w:t>e</w:t>
      </w:r>
      <w:r w:rsidR="003476B9">
        <w:t xml:space="preserve"> </w:t>
      </w:r>
      <w:r w:rsidR="005A7FA6">
        <w:t xml:space="preserve">point </w:t>
      </w:r>
      <w:r w:rsidR="00386547">
        <w:t>in this paper</w:t>
      </w:r>
      <w:r w:rsidR="003476B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C84"/>
    <w:multiLevelType w:val="hybridMultilevel"/>
    <w:tmpl w:val="BC9E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64F0"/>
    <w:multiLevelType w:val="hybridMultilevel"/>
    <w:tmpl w:val="75407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715A42"/>
    <w:multiLevelType w:val="hybridMultilevel"/>
    <w:tmpl w:val="63C29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856546"/>
    <w:multiLevelType w:val="hybridMultilevel"/>
    <w:tmpl w:val="D4182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21268"/>
    <w:multiLevelType w:val="hybridMultilevel"/>
    <w:tmpl w:val="987AEF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B7DA4"/>
    <w:multiLevelType w:val="hybridMultilevel"/>
    <w:tmpl w:val="C5FAA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numStart w:val="14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36"/>
    <w:rsid w:val="00001285"/>
    <w:rsid w:val="00001FF4"/>
    <w:rsid w:val="00002838"/>
    <w:rsid w:val="000036F7"/>
    <w:rsid w:val="000048BD"/>
    <w:rsid w:val="00005310"/>
    <w:rsid w:val="0000544F"/>
    <w:rsid w:val="00006127"/>
    <w:rsid w:val="00006538"/>
    <w:rsid w:val="00007344"/>
    <w:rsid w:val="00013F21"/>
    <w:rsid w:val="0001780F"/>
    <w:rsid w:val="00020707"/>
    <w:rsid w:val="000209B0"/>
    <w:rsid w:val="00020A2C"/>
    <w:rsid w:val="00021251"/>
    <w:rsid w:val="00021EEF"/>
    <w:rsid w:val="00021FD0"/>
    <w:rsid w:val="00022854"/>
    <w:rsid w:val="00022F01"/>
    <w:rsid w:val="000232DF"/>
    <w:rsid w:val="00024FC4"/>
    <w:rsid w:val="00026840"/>
    <w:rsid w:val="00030120"/>
    <w:rsid w:val="0003031A"/>
    <w:rsid w:val="000316E9"/>
    <w:rsid w:val="00031A6C"/>
    <w:rsid w:val="0003224A"/>
    <w:rsid w:val="00032DA1"/>
    <w:rsid w:val="00036B9C"/>
    <w:rsid w:val="00037D1B"/>
    <w:rsid w:val="0004052F"/>
    <w:rsid w:val="00040B15"/>
    <w:rsid w:val="00040C18"/>
    <w:rsid w:val="00040E04"/>
    <w:rsid w:val="0004154E"/>
    <w:rsid w:val="0004265A"/>
    <w:rsid w:val="000429C6"/>
    <w:rsid w:val="00042DAB"/>
    <w:rsid w:val="00043605"/>
    <w:rsid w:val="0004493A"/>
    <w:rsid w:val="00044E65"/>
    <w:rsid w:val="000472FE"/>
    <w:rsid w:val="00050395"/>
    <w:rsid w:val="000506A0"/>
    <w:rsid w:val="0005090C"/>
    <w:rsid w:val="00051834"/>
    <w:rsid w:val="00051908"/>
    <w:rsid w:val="00053AEB"/>
    <w:rsid w:val="000550A9"/>
    <w:rsid w:val="000552CC"/>
    <w:rsid w:val="00057042"/>
    <w:rsid w:val="000570E5"/>
    <w:rsid w:val="000577E3"/>
    <w:rsid w:val="00057E5E"/>
    <w:rsid w:val="000602D3"/>
    <w:rsid w:val="00063307"/>
    <w:rsid w:val="000634B4"/>
    <w:rsid w:val="00063A8B"/>
    <w:rsid w:val="0006466E"/>
    <w:rsid w:val="000653C2"/>
    <w:rsid w:val="0006558B"/>
    <w:rsid w:val="0006619C"/>
    <w:rsid w:val="0006756E"/>
    <w:rsid w:val="00067895"/>
    <w:rsid w:val="0007136C"/>
    <w:rsid w:val="000719D6"/>
    <w:rsid w:val="0007411F"/>
    <w:rsid w:val="00076F65"/>
    <w:rsid w:val="00077B7A"/>
    <w:rsid w:val="00080BC1"/>
    <w:rsid w:val="00080DF8"/>
    <w:rsid w:val="00080FCD"/>
    <w:rsid w:val="00081CC6"/>
    <w:rsid w:val="000839D0"/>
    <w:rsid w:val="00083D4D"/>
    <w:rsid w:val="000845DD"/>
    <w:rsid w:val="00084990"/>
    <w:rsid w:val="00087C1B"/>
    <w:rsid w:val="00091B40"/>
    <w:rsid w:val="000923FC"/>
    <w:rsid w:val="00093487"/>
    <w:rsid w:val="00093843"/>
    <w:rsid w:val="00093DE0"/>
    <w:rsid w:val="00093E34"/>
    <w:rsid w:val="00096555"/>
    <w:rsid w:val="00096EEB"/>
    <w:rsid w:val="00097220"/>
    <w:rsid w:val="00097264"/>
    <w:rsid w:val="00097346"/>
    <w:rsid w:val="000A03F6"/>
    <w:rsid w:val="000A15C2"/>
    <w:rsid w:val="000A2692"/>
    <w:rsid w:val="000A2E3D"/>
    <w:rsid w:val="000A38AE"/>
    <w:rsid w:val="000A452A"/>
    <w:rsid w:val="000A604B"/>
    <w:rsid w:val="000B06C2"/>
    <w:rsid w:val="000B09A0"/>
    <w:rsid w:val="000B0F42"/>
    <w:rsid w:val="000B1608"/>
    <w:rsid w:val="000B1FE2"/>
    <w:rsid w:val="000B2AEE"/>
    <w:rsid w:val="000B3107"/>
    <w:rsid w:val="000B358B"/>
    <w:rsid w:val="000B36AD"/>
    <w:rsid w:val="000B3794"/>
    <w:rsid w:val="000B6649"/>
    <w:rsid w:val="000C09D3"/>
    <w:rsid w:val="000C28D6"/>
    <w:rsid w:val="000C2FAB"/>
    <w:rsid w:val="000C32F9"/>
    <w:rsid w:val="000C3C34"/>
    <w:rsid w:val="000C45C3"/>
    <w:rsid w:val="000C61D5"/>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38C7"/>
    <w:rsid w:val="000F3D13"/>
    <w:rsid w:val="000F4B6F"/>
    <w:rsid w:val="000F5389"/>
    <w:rsid w:val="000F562E"/>
    <w:rsid w:val="000F600E"/>
    <w:rsid w:val="00102176"/>
    <w:rsid w:val="00102AF5"/>
    <w:rsid w:val="0010357F"/>
    <w:rsid w:val="001035EF"/>
    <w:rsid w:val="0010546F"/>
    <w:rsid w:val="00106949"/>
    <w:rsid w:val="00110469"/>
    <w:rsid w:val="00110FF8"/>
    <w:rsid w:val="00113773"/>
    <w:rsid w:val="001137A3"/>
    <w:rsid w:val="00113A5C"/>
    <w:rsid w:val="0011449D"/>
    <w:rsid w:val="001144FF"/>
    <w:rsid w:val="00114822"/>
    <w:rsid w:val="0011599E"/>
    <w:rsid w:val="00115D1C"/>
    <w:rsid w:val="00116059"/>
    <w:rsid w:val="00116336"/>
    <w:rsid w:val="001163E6"/>
    <w:rsid w:val="001167BC"/>
    <w:rsid w:val="001174DB"/>
    <w:rsid w:val="001204EF"/>
    <w:rsid w:val="0012115C"/>
    <w:rsid w:val="001212BB"/>
    <w:rsid w:val="001215B1"/>
    <w:rsid w:val="00121851"/>
    <w:rsid w:val="00122A6A"/>
    <w:rsid w:val="001269CE"/>
    <w:rsid w:val="0013021C"/>
    <w:rsid w:val="001311DE"/>
    <w:rsid w:val="00132793"/>
    <w:rsid w:val="00132F33"/>
    <w:rsid w:val="00134B78"/>
    <w:rsid w:val="00134E5E"/>
    <w:rsid w:val="00135E19"/>
    <w:rsid w:val="001363F5"/>
    <w:rsid w:val="00137591"/>
    <w:rsid w:val="0013787C"/>
    <w:rsid w:val="00137A54"/>
    <w:rsid w:val="00140D6F"/>
    <w:rsid w:val="00140F11"/>
    <w:rsid w:val="001414A1"/>
    <w:rsid w:val="00141E9A"/>
    <w:rsid w:val="00142A03"/>
    <w:rsid w:val="00143A16"/>
    <w:rsid w:val="001453EC"/>
    <w:rsid w:val="0014598D"/>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77C8A"/>
    <w:rsid w:val="00182230"/>
    <w:rsid w:val="00182A71"/>
    <w:rsid w:val="00182E8D"/>
    <w:rsid w:val="00183D07"/>
    <w:rsid w:val="00184532"/>
    <w:rsid w:val="00184929"/>
    <w:rsid w:val="00184B73"/>
    <w:rsid w:val="001850CD"/>
    <w:rsid w:val="0018549C"/>
    <w:rsid w:val="0018705C"/>
    <w:rsid w:val="00187A22"/>
    <w:rsid w:val="00192671"/>
    <w:rsid w:val="0019282C"/>
    <w:rsid w:val="00194306"/>
    <w:rsid w:val="0019465A"/>
    <w:rsid w:val="00195673"/>
    <w:rsid w:val="00196A9E"/>
    <w:rsid w:val="001A069D"/>
    <w:rsid w:val="001A10DC"/>
    <w:rsid w:val="001A309C"/>
    <w:rsid w:val="001A6896"/>
    <w:rsid w:val="001A6FAE"/>
    <w:rsid w:val="001B0254"/>
    <w:rsid w:val="001B04D8"/>
    <w:rsid w:val="001B05DA"/>
    <w:rsid w:val="001B31A3"/>
    <w:rsid w:val="001B3848"/>
    <w:rsid w:val="001B40C7"/>
    <w:rsid w:val="001B47C2"/>
    <w:rsid w:val="001B4CC2"/>
    <w:rsid w:val="001B5E9A"/>
    <w:rsid w:val="001C15B4"/>
    <w:rsid w:val="001C1817"/>
    <w:rsid w:val="001C2106"/>
    <w:rsid w:val="001C2311"/>
    <w:rsid w:val="001C3396"/>
    <w:rsid w:val="001C5291"/>
    <w:rsid w:val="001C5A09"/>
    <w:rsid w:val="001C5A48"/>
    <w:rsid w:val="001C6B83"/>
    <w:rsid w:val="001C7D1F"/>
    <w:rsid w:val="001D021D"/>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48D5"/>
    <w:rsid w:val="001F494E"/>
    <w:rsid w:val="001F5D2C"/>
    <w:rsid w:val="002007E9"/>
    <w:rsid w:val="00200898"/>
    <w:rsid w:val="00201AA3"/>
    <w:rsid w:val="00203B2D"/>
    <w:rsid w:val="00203C93"/>
    <w:rsid w:val="00203FF1"/>
    <w:rsid w:val="002042C7"/>
    <w:rsid w:val="00204FD1"/>
    <w:rsid w:val="00206545"/>
    <w:rsid w:val="00207931"/>
    <w:rsid w:val="00211FEB"/>
    <w:rsid w:val="00212041"/>
    <w:rsid w:val="00212FCA"/>
    <w:rsid w:val="00216966"/>
    <w:rsid w:val="002177CE"/>
    <w:rsid w:val="00217BAE"/>
    <w:rsid w:val="002226AA"/>
    <w:rsid w:val="002232A6"/>
    <w:rsid w:val="00223615"/>
    <w:rsid w:val="00224188"/>
    <w:rsid w:val="002242BE"/>
    <w:rsid w:val="00226A2C"/>
    <w:rsid w:val="0022728D"/>
    <w:rsid w:val="00227966"/>
    <w:rsid w:val="00227A80"/>
    <w:rsid w:val="002304FE"/>
    <w:rsid w:val="002305DE"/>
    <w:rsid w:val="00230FC4"/>
    <w:rsid w:val="002320D0"/>
    <w:rsid w:val="002348E0"/>
    <w:rsid w:val="00235945"/>
    <w:rsid w:val="00235F99"/>
    <w:rsid w:val="00236750"/>
    <w:rsid w:val="0023774B"/>
    <w:rsid w:val="0024018C"/>
    <w:rsid w:val="002407D2"/>
    <w:rsid w:val="0024234B"/>
    <w:rsid w:val="002432FE"/>
    <w:rsid w:val="00243D40"/>
    <w:rsid w:val="0024478A"/>
    <w:rsid w:val="00245F31"/>
    <w:rsid w:val="0024618F"/>
    <w:rsid w:val="00246FA2"/>
    <w:rsid w:val="00247705"/>
    <w:rsid w:val="00251323"/>
    <w:rsid w:val="002533D3"/>
    <w:rsid w:val="0025371C"/>
    <w:rsid w:val="00253823"/>
    <w:rsid w:val="00253A53"/>
    <w:rsid w:val="00253B3A"/>
    <w:rsid w:val="00255B31"/>
    <w:rsid w:val="00260CB4"/>
    <w:rsid w:val="002627DA"/>
    <w:rsid w:val="00262D07"/>
    <w:rsid w:val="00263B88"/>
    <w:rsid w:val="00263E73"/>
    <w:rsid w:val="002641B6"/>
    <w:rsid w:val="00264397"/>
    <w:rsid w:val="00264701"/>
    <w:rsid w:val="00264ADB"/>
    <w:rsid w:val="00266627"/>
    <w:rsid w:val="00272E14"/>
    <w:rsid w:val="00272FFE"/>
    <w:rsid w:val="0027448F"/>
    <w:rsid w:val="00275F27"/>
    <w:rsid w:val="002763EE"/>
    <w:rsid w:val="00277618"/>
    <w:rsid w:val="0028005E"/>
    <w:rsid w:val="002805C9"/>
    <w:rsid w:val="002826DF"/>
    <w:rsid w:val="0028288D"/>
    <w:rsid w:val="002830C5"/>
    <w:rsid w:val="00283387"/>
    <w:rsid w:val="00283411"/>
    <w:rsid w:val="0028583B"/>
    <w:rsid w:val="002879C9"/>
    <w:rsid w:val="00290867"/>
    <w:rsid w:val="00293EB0"/>
    <w:rsid w:val="002946D7"/>
    <w:rsid w:val="00294A6C"/>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5BF6"/>
    <w:rsid w:val="002B6015"/>
    <w:rsid w:val="002B74F5"/>
    <w:rsid w:val="002C071D"/>
    <w:rsid w:val="002C0B94"/>
    <w:rsid w:val="002C1150"/>
    <w:rsid w:val="002C1452"/>
    <w:rsid w:val="002C1AAD"/>
    <w:rsid w:val="002C1B96"/>
    <w:rsid w:val="002C267D"/>
    <w:rsid w:val="002C2C4A"/>
    <w:rsid w:val="002C3277"/>
    <w:rsid w:val="002C4759"/>
    <w:rsid w:val="002C6A86"/>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2DF2"/>
    <w:rsid w:val="002E4DD5"/>
    <w:rsid w:val="002E5052"/>
    <w:rsid w:val="002E6621"/>
    <w:rsid w:val="002F2742"/>
    <w:rsid w:val="002F33EA"/>
    <w:rsid w:val="002F3544"/>
    <w:rsid w:val="00301F7A"/>
    <w:rsid w:val="00302EA2"/>
    <w:rsid w:val="0030523E"/>
    <w:rsid w:val="00305819"/>
    <w:rsid w:val="00306CA7"/>
    <w:rsid w:val="00306EF3"/>
    <w:rsid w:val="00307DAA"/>
    <w:rsid w:val="0031005C"/>
    <w:rsid w:val="00311246"/>
    <w:rsid w:val="00312EE9"/>
    <w:rsid w:val="0031518F"/>
    <w:rsid w:val="003156FD"/>
    <w:rsid w:val="003161B5"/>
    <w:rsid w:val="0031655D"/>
    <w:rsid w:val="003169B9"/>
    <w:rsid w:val="00317171"/>
    <w:rsid w:val="003209B9"/>
    <w:rsid w:val="003211D4"/>
    <w:rsid w:val="00321B5E"/>
    <w:rsid w:val="00322DCC"/>
    <w:rsid w:val="003233E3"/>
    <w:rsid w:val="0032471C"/>
    <w:rsid w:val="003248C6"/>
    <w:rsid w:val="00325521"/>
    <w:rsid w:val="00326B0A"/>
    <w:rsid w:val="003304BC"/>
    <w:rsid w:val="00330978"/>
    <w:rsid w:val="00330E89"/>
    <w:rsid w:val="00331494"/>
    <w:rsid w:val="0033478A"/>
    <w:rsid w:val="003356CF"/>
    <w:rsid w:val="00335FC3"/>
    <w:rsid w:val="00336581"/>
    <w:rsid w:val="003405D6"/>
    <w:rsid w:val="0034083E"/>
    <w:rsid w:val="003413A4"/>
    <w:rsid w:val="00341DC6"/>
    <w:rsid w:val="00341F51"/>
    <w:rsid w:val="00342771"/>
    <w:rsid w:val="003449E3"/>
    <w:rsid w:val="00345AD0"/>
    <w:rsid w:val="00347040"/>
    <w:rsid w:val="003476B9"/>
    <w:rsid w:val="00347D96"/>
    <w:rsid w:val="003500FD"/>
    <w:rsid w:val="00350521"/>
    <w:rsid w:val="00351845"/>
    <w:rsid w:val="0035239F"/>
    <w:rsid w:val="00352985"/>
    <w:rsid w:val="00353B00"/>
    <w:rsid w:val="003545BF"/>
    <w:rsid w:val="00356E91"/>
    <w:rsid w:val="00357C02"/>
    <w:rsid w:val="00357C86"/>
    <w:rsid w:val="00361AB7"/>
    <w:rsid w:val="003626BF"/>
    <w:rsid w:val="00363492"/>
    <w:rsid w:val="00365F4D"/>
    <w:rsid w:val="00366226"/>
    <w:rsid w:val="0036677C"/>
    <w:rsid w:val="003701BC"/>
    <w:rsid w:val="0037133A"/>
    <w:rsid w:val="00371F9C"/>
    <w:rsid w:val="00372C14"/>
    <w:rsid w:val="00374775"/>
    <w:rsid w:val="00374846"/>
    <w:rsid w:val="00374D9F"/>
    <w:rsid w:val="0038073B"/>
    <w:rsid w:val="00380965"/>
    <w:rsid w:val="00380AAB"/>
    <w:rsid w:val="00381821"/>
    <w:rsid w:val="00381A67"/>
    <w:rsid w:val="00381B02"/>
    <w:rsid w:val="0038286A"/>
    <w:rsid w:val="003829BB"/>
    <w:rsid w:val="003850EA"/>
    <w:rsid w:val="0038636B"/>
    <w:rsid w:val="00386547"/>
    <w:rsid w:val="003865D0"/>
    <w:rsid w:val="0038723A"/>
    <w:rsid w:val="00390DAE"/>
    <w:rsid w:val="003918A2"/>
    <w:rsid w:val="00391BEA"/>
    <w:rsid w:val="003925B6"/>
    <w:rsid w:val="00392853"/>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A7206"/>
    <w:rsid w:val="003B36E2"/>
    <w:rsid w:val="003B42DD"/>
    <w:rsid w:val="003B4C64"/>
    <w:rsid w:val="003B4F1D"/>
    <w:rsid w:val="003B53B5"/>
    <w:rsid w:val="003B6B63"/>
    <w:rsid w:val="003C15F6"/>
    <w:rsid w:val="003C1608"/>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E7C29"/>
    <w:rsid w:val="003F1BE9"/>
    <w:rsid w:val="003F1D3D"/>
    <w:rsid w:val="003F257F"/>
    <w:rsid w:val="003F30C3"/>
    <w:rsid w:val="003F3A53"/>
    <w:rsid w:val="003F4757"/>
    <w:rsid w:val="003F583E"/>
    <w:rsid w:val="003F710E"/>
    <w:rsid w:val="003F74A7"/>
    <w:rsid w:val="00400C51"/>
    <w:rsid w:val="00400C89"/>
    <w:rsid w:val="004017CF"/>
    <w:rsid w:val="004019D9"/>
    <w:rsid w:val="004034D3"/>
    <w:rsid w:val="00403829"/>
    <w:rsid w:val="00404DA5"/>
    <w:rsid w:val="00405522"/>
    <w:rsid w:val="00405C6F"/>
    <w:rsid w:val="00407119"/>
    <w:rsid w:val="00407904"/>
    <w:rsid w:val="00407AB5"/>
    <w:rsid w:val="00410ADC"/>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4D74"/>
    <w:rsid w:val="004255BF"/>
    <w:rsid w:val="0042615D"/>
    <w:rsid w:val="00426498"/>
    <w:rsid w:val="004266DD"/>
    <w:rsid w:val="004271DF"/>
    <w:rsid w:val="00427FF2"/>
    <w:rsid w:val="00431313"/>
    <w:rsid w:val="00432B90"/>
    <w:rsid w:val="0043415F"/>
    <w:rsid w:val="004354E2"/>
    <w:rsid w:val="0043572C"/>
    <w:rsid w:val="00435E4A"/>
    <w:rsid w:val="0043792C"/>
    <w:rsid w:val="00437C9A"/>
    <w:rsid w:val="00440D5F"/>
    <w:rsid w:val="00442228"/>
    <w:rsid w:val="00445602"/>
    <w:rsid w:val="004567F2"/>
    <w:rsid w:val="00456F44"/>
    <w:rsid w:val="004575DD"/>
    <w:rsid w:val="0045771A"/>
    <w:rsid w:val="004578A1"/>
    <w:rsid w:val="00463799"/>
    <w:rsid w:val="0046381C"/>
    <w:rsid w:val="00464847"/>
    <w:rsid w:val="004661F0"/>
    <w:rsid w:val="0046628A"/>
    <w:rsid w:val="00466579"/>
    <w:rsid w:val="004668BF"/>
    <w:rsid w:val="00466F09"/>
    <w:rsid w:val="004672C7"/>
    <w:rsid w:val="004677CF"/>
    <w:rsid w:val="004736A9"/>
    <w:rsid w:val="00474142"/>
    <w:rsid w:val="00474AAC"/>
    <w:rsid w:val="004751B5"/>
    <w:rsid w:val="004757A9"/>
    <w:rsid w:val="00475900"/>
    <w:rsid w:val="00477900"/>
    <w:rsid w:val="00480D12"/>
    <w:rsid w:val="00481044"/>
    <w:rsid w:val="0048161D"/>
    <w:rsid w:val="00481827"/>
    <w:rsid w:val="004818FE"/>
    <w:rsid w:val="00482090"/>
    <w:rsid w:val="0048255D"/>
    <w:rsid w:val="0048335B"/>
    <w:rsid w:val="00483615"/>
    <w:rsid w:val="00484352"/>
    <w:rsid w:val="004849D8"/>
    <w:rsid w:val="00485650"/>
    <w:rsid w:val="00486B0A"/>
    <w:rsid w:val="0049012F"/>
    <w:rsid w:val="00492621"/>
    <w:rsid w:val="00494CE5"/>
    <w:rsid w:val="00495D0D"/>
    <w:rsid w:val="00496BDC"/>
    <w:rsid w:val="00496BE7"/>
    <w:rsid w:val="004A2ED7"/>
    <w:rsid w:val="004A2FB6"/>
    <w:rsid w:val="004A4D81"/>
    <w:rsid w:val="004A631F"/>
    <w:rsid w:val="004A7917"/>
    <w:rsid w:val="004B268A"/>
    <w:rsid w:val="004B2EBC"/>
    <w:rsid w:val="004B2EE5"/>
    <w:rsid w:val="004B36C0"/>
    <w:rsid w:val="004B3788"/>
    <w:rsid w:val="004B4BBE"/>
    <w:rsid w:val="004B574A"/>
    <w:rsid w:val="004B5C3A"/>
    <w:rsid w:val="004B5C3B"/>
    <w:rsid w:val="004B64E3"/>
    <w:rsid w:val="004C1389"/>
    <w:rsid w:val="004C295E"/>
    <w:rsid w:val="004C2A5B"/>
    <w:rsid w:val="004C3519"/>
    <w:rsid w:val="004C3BFC"/>
    <w:rsid w:val="004C503C"/>
    <w:rsid w:val="004C53E2"/>
    <w:rsid w:val="004C6820"/>
    <w:rsid w:val="004D13B5"/>
    <w:rsid w:val="004D1482"/>
    <w:rsid w:val="004D2085"/>
    <w:rsid w:val="004D3B00"/>
    <w:rsid w:val="004D3C9A"/>
    <w:rsid w:val="004D51F8"/>
    <w:rsid w:val="004D59AF"/>
    <w:rsid w:val="004D700B"/>
    <w:rsid w:val="004E009E"/>
    <w:rsid w:val="004E37FE"/>
    <w:rsid w:val="004E3FA8"/>
    <w:rsid w:val="004E41D9"/>
    <w:rsid w:val="004E679B"/>
    <w:rsid w:val="004E7959"/>
    <w:rsid w:val="004E79D1"/>
    <w:rsid w:val="004E7BA8"/>
    <w:rsid w:val="004E7F19"/>
    <w:rsid w:val="004F1B8C"/>
    <w:rsid w:val="004F391B"/>
    <w:rsid w:val="004F4A16"/>
    <w:rsid w:val="004F5092"/>
    <w:rsid w:val="004F7B28"/>
    <w:rsid w:val="0050146B"/>
    <w:rsid w:val="0050516E"/>
    <w:rsid w:val="0050587D"/>
    <w:rsid w:val="00507200"/>
    <w:rsid w:val="0050736B"/>
    <w:rsid w:val="00510BA0"/>
    <w:rsid w:val="00510E42"/>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1CAC"/>
    <w:rsid w:val="00532542"/>
    <w:rsid w:val="00534160"/>
    <w:rsid w:val="00535565"/>
    <w:rsid w:val="00540129"/>
    <w:rsid w:val="0054019B"/>
    <w:rsid w:val="00540A74"/>
    <w:rsid w:val="00540C58"/>
    <w:rsid w:val="0054107D"/>
    <w:rsid w:val="00544E4A"/>
    <w:rsid w:val="00545D7F"/>
    <w:rsid w:val="005479B5"/>
    <w:rsid w:val="005524E1"/>
    <w:rsid w:val="00552D9B"/>
    <w:rsid w:val="005533CD"/>
    <w:rsid w:val="00554E38"/>
    <w:rsid w:val="00555443"/>
    <w:rsid w:val="00556502"/>
    <w:rsid w:val="00556645"/>
    <w:rsid w:val="005575E8"/>
    <w:rsid w:val="00561FC9"/>
    <w:rsid w:val="00562B00"/>
    <w:rsid w:val="00562FF3"/>
    <w:rsid w:val="00563B78"/>
    <w:rsid w:val="00566627"/>
    <w:rsid w:val="00566683"/>
    <w:rsid w:val="00566EF2"/>
    <w:rsid w:val="005716F1"/>
    <w:rsid w:val="00571ADD"/>
    <w:rsid w:val="005721A7"/>
    <w:rsid w:val="00576018"/>
    <w:rsid w:val="00576BA8"/>
    <w:rsid w:val="00581417"/>
    <w:rsid w:val="0058290B"/>
    <w:rsid w:val="00582FC0"/>
    <w:rsid w:val="00583C00"/>
    <w:rsid w:val="005843FD"/>
    <w:rsid w:val="0058511E"/>
    <w:rsid w:val="0058544F"/>
    <w:rsid w:val="00585D97"/>
    <w:rsid w:val="005865A4"/>
    <w:rsid w:val="00587032"/>
    <w:rsid w:val="00587CFE"/>
    <w:rsid w:val="00592523"/>
    <w:rsid w:val="00592700"/>
    <w:rsid w:val="005931FE"/>
    <w:rsid w:val="005948DA"/>
    <w:rsid w:val="00595BD1"/>
    <w:rsid w:val="00596D74"/>
    <w:rsid w:val="00597488"/>
    <w:rsid w:val="005A06B4"/>
    <w:rsid w:val="005A1E45"/>
    <w:rsid w:val="005A42A7"/>
    <w:rsid w:val="005A518B"/>
    <w:rsid w:val="005A57EC"/>
    <w:rsid w:val="005A5F74"/>
    <w:rsid w:val="005A6D07"/>
    <w:rsid w:val="005A7336"/>
    <w:rsid w:val="005A78AE"/>
    <w:rsid w:val="005A7CC6"/>
    <w:rsid w:val="005A7FA6"/>
    <w:rsid w:val="005B17D8"/>
    <w:rsid w:val="005B2856"/>
    <w:rsid w:val="005B290B"/>
    <w:rsid w:val="005B549C"/>
    <w:rsid w:val="005B640A"/>
    <w:rsid w:val="005B65B5"/>
    <w:rsid w:val="005B66BF"/>
    <w:rsid w:val="005C0222"/>
    <w:rsid w:val="005C030A"/>
    <w:rsid w:val="005C0AFE"/>
    <w:rsid w:val="005C1234"/>
    <w:rsid w:val="005C375F"/>
    <w:rsid w:val="005C719D"/>
    <w:rsid w:val="005C7609"/>
    <w:rsid w:val="005C775A"/>
    <w:rsid w:val="005D0D56"/>
    <w:rsid w:val="005D4CA7"/>
    <w:rsid w:val="005D7C19"/>
    <w:rsid w:val="005E010F"/>
    <w:rsid w:val="005E0978"/>
    <w:rsid w:val="005E1617"/>
    <w:rsid w:val="005E16EF"/>
    <w:rsid w:val="005E1B27"/>
    <w:rsid w:val="005E1C57"/>
    <w:rsid w:val="005E364C"/>
    <w:rsid w:val="005E3F71"/>
    <w:rsid w:val="005E418C"/>
    <w:rsid w:val="005E4918"/>
    <w:rsid w:val="005E4AA8"/>
    <w:rsid w:val="005E4B3A"/>
    <w:rsid w:val="005E4D51"/>
    <w:rsid w:val="005E58FE"/>
    <w:rsid w:val="005E6166"/>
    <w:rsid w:val="005E64E5"/>
    <w:rsid w:val="005E6596"/>
    <w:rsid w:val="005E7B8D"/>
    <w:rsid w:val="005F139E"/>
    <w:rsid w:val="005F3286"/>
    <w:rsid w:val="005F33CE"/>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491A"/>
    <w:rsid w:val="00615004"/>
    <w:rsid w:val="00620BCD"/>
    <w:rsid w:val="006212AB"/>
    <w:rsid w:val="006223E4"/>
    <w:rsid w:val="0062425F"/>
    <w:rsid w:val="00624C41"/>
    <w:rsid w:val="00625405"/>
    <w:rsid w:val="0062566B"/>
    <w:rsid w:val="006258B1"/>
    <w:rsid w:val="0063017E"/>
    <w:rsid w:val="00630448"/>
    <w:rsid w:val="00631883"/>
    <w:rsid w:val="0063293D"/>
    <w:rsid w:val="00632D54"/>
    <w:rsid w:val="006338D0"/>
    <w:rsid w:val="00633DB5"/>
    <w:rsid w:val="0063586B"/>
    <w:rsid w:val="006417EB"/>
    <w:rsid w:val="0064360D"/>
    <w:rsid w:val="00643B59"/>
    <w:rsid w:val="0064404A"/>
    <w:rsid w:val="00644206"/>
    <w:rsid w:val="00644A64"/>
    <w:rsid w:val="00646608"/>
    <w:rsid w:val="006479FC"/>
    <w:rsid w:val="00650FC3"/>
    <w:rsid w:val="00652809"/>
    <w:rsid w:val="006533AA"/>
    <w:rsid w:val="00653C61"/>
    <w:rsid w:val="006543E1"/>
    <w:rsid w:val="00655BF6"/>
    <w:rsid w:val="00656068"/>
    <w:rsid w:val="0065656D"/>
    <w:rsid w:val="00657A74"/>
    <w:rsid w:val="006606E3"/>
    <w:rsid w:val="00660A80"/>
    <w:rsid w:val="0066106E"/>
    <w:rsid w:val="00662E9E"/>
    <w:rsid w:val="0066475F"/>
    <w:rsid w:val="00664951"/>
    <w:rsid w:val="00664BB4"/>
    <w:rsid w:val="0066655A"/>
    <w:rsid w:val="0066696C"/>
    <w:rsid w:val="006674F5"/>
    <w:rsid w:val="00667524"/>
    <w:rsid w:val="006676D0"/>
    <w:rsid w:val="0067056B"/>
    <w:rsid w:val="00673CC7"/>
    <w:rsid w:val="00674453"/>
    <w:rsid w:val="006749BB"/>
    <w:rsid w:val="00675083"/>
    <w:rsid w:val="0068008D"/>
    <w:rsid w:val="006808A0"/>
    <w:rsid w:val="00680EC8"/>
    <w:rsid w:val="006810B0"/>
    <w:rsid w:val="006813A9"/>
    <w:rsid w:val="00681C45"/>
    <w:rsid w:val="00682F23"/>
    <w:rsid w:val="0068303A"/>
    <w:rsid w:val="0068318C"/>
    <w:rsid w:val="00683B81"/>
    <w:rsid w:val="006840AF"/>
    <w:rsid w:val="006852A8"/>
    <w:rsid w:val="006852AA"/>
    <w:rsid w:val="00686A41"/>
    <w:rsid w:val="00687A0D"/>
    <w:rsid w:val="00690E89"/>
    <w:rsid w:val="00691CEB"/>
    <w:rsid w:val="0069217D"/>
    <w:rsid w:val="00692B89"/>
    <w:rsid w:val="00693F51"/>
    <w:rsid w:val="0069432A"/>
    <w:rsid w:val="00694B01"/>
    <w:rsid w:val="006958C1"/>
    <w:rsid w:val="00695941"/>
    <w:rsid w:val="0069632F"/>
    <w:rsid w:val="00697616"/>
    <w:rsid w:val="006A3173"/>
    <w:rsid w:val="006A4E08"/>
    <w:rsid w:val="006A5739"/>
    <w:rsid w:val="006A5DA0"/>
    <w:rsid w:val="006A61EA"/>
    <w:rsid w:val="006A6321"/>
    <w:rsid w:val="006A7B7E"/>
    <w:rsid w:val="006B1F13"/>
    <w:rsid w:val="006B2A68"/>
    <w:rsid w:val="006B371A"/>
    <w:rsid w:val="006B4AE0"/>
    <w:rsid w:val="006B517E"/>
    <w:rsid w:val="006B5583"/>
    <w:rsid w:val="006B6EA9"/>
    <w:rsid w:val="006C1DF7"/>
    <w:rsid w:val="006C28AA"/>
    <w:rsid w:val="006C45CD"/>
    <w:rsid w:val="006C463B"/>
    <w:rsid w:val="006C506B"/>
    <w:rsid w:val="006C575A"/>
    <w:rsid w:val="006C663C"/>
    <w:rsid w:val="006C68B3"/>
    <w:rsid w:val="006C6D10"/>
    <w:rsid w:val="006C706D"/>
    <w:rsid w:val="006C7682"/>
    <w:rsid w:val="006D0FF8"/>
    <w:rsid w:val="006D10BA"/>
    <w:rsid w:val="006D142D"/>
    <w:rsid w:val="006D1B1C"/>
    <w:rsid w:val="006D1B47"/>
    <w:rsid w:val="006D1DAB"/>
    <w:rsid w:val="006D3DE1"/>
    <w:rsid w:val="006D41C5"/>
    <w:rsid w:val="006E2848"/>
    <w:rsid w:val="006E2EA3"/>
    <w:rsid w:val="006E379A"/>
    <w:rsid w:val="006E5661"/>
    <w:rsid w:val="006E6A1C"/>
    <w:rsid w:val="006E6A46"/>
    <w:rsid w:val="006E6B79"/>
    <w:rsid w:val="006E726A"/>
    <w:rsid w:val="006E7553"/>
    <w:rsid w:val="006E7A57"/>
    <w:rsid w:val="006E7BC5"/>
    <w:rsid w:val="006F0FE4"/>
    <w:rsid w:val="006F1471"/>
    <w:rsid w:val="006F20F1"/>
    <w:rsid w:val="006F26B4"/>
    <w:rsid w:val="006F7A81"/>
    <w:rsid w:val="006F7FF1"/>
    <w:rsid w:val="007007B3"/>
    <w:rsid w:val="007026DA"/>
    <w:rsid w:val="0070274E"/>
    <w:rsid w:val="0070412C"/>
    <w:rsid w:val="007043E5"/>
    <w:rsid w:val="00704684"/>
    <w:rsid w:val="00704D59"/>
    <w:rsid w:val="007055D6"/>
    <w:rsid w:val="00706FB1"/>
    <w:rsid w:val="007079FB"/>
    <w:rsid w:val="007101B6"/>
    <w:rsid w:val="00710E3E"/>
    <w:rsid w:val="00710F0C"/>
    <w:rsid w:val="00711189"/>
    <w:rsid w:val="00711C99"/>
    <w:rsid w:val="0071393D"/>
    <w:rsid w:val="00713FA5"/>
    <w:rsid w:val="0071469D"/>
    <w:rsid w:val="00714E93"/>
    <w:rsid w:val="00715B64"/>
    <w:rsid w:val="00717652"/>
    <w:rsid w:val="00717882"/>
    <w:rsid w:val="00720694"/>
    <w:rsid w:val="00720B8B"/>
    <w:rsid w:val="0072198F"/>
    <w:rsid w:val="00723336"/>
    <w:rsid w:val="00723849"/>
    <w:rsid w:val="0072505A"/>
    <w:rsid w:val="00731367"/>
    <w:rsid w:val="0073384E"/>
    <w:rsid w:val="007344E7"/>
    <w:rsid w:val="00734E76"/>
    <w:rsid w:val="00735079"/>
    <w:rsid w:val="00735100"/>
    <w:rsid w:val="007352A5"/>
    <w:rsid w:val="007353CC"/>
    <w:rsid w:val="00735AF0"/>
    <w:rsid w:val="00736E5B"/>
    <w:rsid w:val="0074059A"/>
    <w:rsid w:val="007410E2"/>
    <w:rsid w:val="00741BCE"/>
    <w:rsid w:val="00742252"/>
    <w:rsid w:val="00744EBA"/>
    <w:rsid w:val="007464FE"/>
    <w:rsid w:val="007519D8"/>
    <w:rsid w:val="007530FB"/>
    <w:rsid w:val="00753545"/>
    <w:rsid w:val="00754395"/>
    <w:rsid w:val="0075472F"/>
    <w:rsid w:val="007573E1"/>
    <w:rsid w:val="00760B49"/>
    <w:rsid w:val="007612B1"/>
    <w:rsid w:val="007614B1"/>
    <w:rsid w:val="0076192E"/>
    <w:rsid w:val="00761B20"/>
    <w:rsid w:val="00761C52"/>
    <w:rsid w:val="007641CC"/>
    <w:rsid w:val="007645D0"/>
    <w:rsid w:val="00764A14"/>
    <w:rsid w:val="007656E6"/>
    <w:rsid w:val="0077099E"/>
    <w:rsid w:val="007721B0"/>
    <w:rsid w:val="0077235A"/>
    <w:rsid w:val="00773677"/>
    <w:rsid w:val="00774B76"/>
    <w:rsid w:val="00780AF8"/>
    <w:rsid w:val="00781BF6"/>
    <w:rsid w:val="00784C9D"/>
    <w:rsid w:val="00784F62"/>
    <w:rsid w:val="0078562E"/>
    <w:rsid w:val="0078641C"/>
    <w:rsid w:val="0078700E"/>
    <w:rsid w:val="007876EC"/>
    <w:rsid w:val="0079001C"/>
    <w:rsid w:val="00791538"/>
    <w:rsid w:val="00791838"/>
    <w:rsid w:val="00792914"/>
    <w:rsid w:val="00794161"/>
    <w:rsid w:val="007943E3"/>
    <w:rsid w:val="00796347"/>
    <w:rsid w:val="00796A4B"/>
    <w:rsid w:val="00797F1E"/>
    <w:rsid w:val="007A08CE"/>
    <w:rsid w:val="007A0ACD"/>
    <w:rsid w:val="007A1F15"/>
    <w:rsid w:val="007A2E4C"/>
    <w:rsid w:val="007A37FC"/>
    <w:rsid w:val="007A502B"/>
    <w:rsid w:val="007A5991"/>
    <w:rsid w:val="007A5D61"/>
    <w:rsid w:val="007A7183"/>
    <w:rsid w:val="007A79F6"/>
    <w:rsid w:val="007B0A80"/>
    <w:rsid w:val="007B2C5E"/>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34BD"/>
    <w:rsid w:val="007C3CBA"/>
    <w:rsid w:val="007C5025"/>
    <w:rsid w:val="007C6725"/>
    <w:rsid w:val="007D03FC"/>
    <w:rsid w:val="007D0D37"/>
    <w:rsid w:val="007D396D"/>
    <w:rsid w:val="007D3E98"/>
    <w:rsid w:val="007D3FD0"/>
    <w:rsid w:val="007D519E"/>
    <w:rsid w:val="007D61DA"/>
    <w:rsid w:val="007D665E"/>
    <w:rsid w:val="007D6873"/>
    <w:rsid w:val="007E266C"/>
    <w:rsid w:val="007E3247"/>
    <w:rsid w:val="007E3479"/>
    <w:rsid w:val="007E3888"/>
    <w:rsid w:val="007E47AA"/>
    <w:rsid w:val="007E72C1"/>
    <w:rsid w:val="007E76C4"/>
    <w:rsid w:val="007F0670"/>
    <w:rsid w:val="007F19A6"/>
    <w:rsid w:val="007F1B7B"/>
    <w:rsid w:val="007F1C0E"/>
    <w:rsid w:val="007F2DA6"/>
    <w:rsid w:val="007F311E"/>
    <w:rsid w:val="007F34A7"/>
    <w:rsid w:val="007F56B7"/>
    <w:rsid w:val="007F655A"/>
    <w:rsid w:val="008004F2"/>
    <w:rsid w:val="008038AD"/>
    <w:rsid w:val="00803AD8"/>
    <w:rsid w:val="00804526"/>
    <w:rsid w:val="00804A31"/>
    <w:rsid w:val="008051B9"/>
    <w:rsid w:val="008065EF"/>
    <w:rsid w:val="00811E42"/>
    <w:rsid w:val="008139E4"/>
    <w:rsid w:val="00814093"/>
    <w:rsid w:val="00815643"/>
    <w:rsid w:val="00816098"/>
    <w:rsid w:val="00817140"/>
    <w:rsid w:val="00817655"/>
    <w:rsid w:val="00817F93"/>
    <w:rsid w:val="008205AC"/>
    <w:rsid w:val="008230F7"/>
    <w:rsid w:val="00823C1F"/>
    <w:rsid w:val="008244FD"/>
    <w:rsid w:val="008249CF"/>
    <w:rsid w:val="00825D8E"/>
    <w:rsid w:val="00830147"/>
    <w:rsid w:val="0083126D"/>
    <w:rsid w:val="00831B2A"/>
    <w:rsid w:val="008324E0"/>
    <w:rsid w:val="00833B61"/>
    <w:rsid w:val="00833D6F"/>
    <w:rsid w:val="00837DC7"/>
    <w:rsid w:val="00842721"/>
    <w:rsid w:val="0084279E"/>
    <w:rsid w:val="00844677"/>
    <w:rsid w:val="0084542B"/>
    <w:rsid w:val="00846B6D"/>
    <w:rsid w:val="00847326"/>
    <w:rsid w:val="008479D7"/>
    <w:rsid w:val="0085065F"/>
    <w:rsid w:val="00850F10"/>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4565"/>
    <w:rsid w:val="00864A26"/>
    <w:rsid w:val="00865D37"/>
    <w:rsid w:val="00865D52"/>
    <w:rsid w:val="00867E01"/>
    <w:rsid w:val="00870116"/>
    <w:rsid w:val="008715BE"/>
    <w:rsid w:val="008725EC"/>
    <w:rsid w:val="00872F1F"/>
    <w:rsid w:val="00873121"/>
    <w:rsid w:val="00875D5C"/>
    <w:rsid w:val="008768DD"/>
    <w:rsid w:val="008772CF"/>
    <w:rsid w:val="00881392"/>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2376"/>
    <w:rsid w:val="00893A1F"/>
    <w:rsid w:val="00895BDC"/>
    <w:rsid w:val="008961B0"/>
    <w:rsid w:val="008A0C37"/>
    <w:rsid w:val="008A2751"/>
    <w:rsid w:val="008A40D8"/>
    <w:rsid w:val="008A53CE"/>
    <w:rsid w:val="008A5D72"/>
    <w:rsid w:val="008A63B6"/>
    <w:rsid w:val="008A71E1"/>
    <w:rsid w:val="008B1A11"/>
    <w:rsid w:val="008B35EE"/>
    <w:rsid w:val="008B37D0"/>
    <w:rsid w:val="008B43E7"/>
    <w:rsid w:val="008B4DFE"/>
    <w:rsid w:val="008B53DF"/>
    <w:rsid w:val="008B5403"/>
    <w:rsid w:val="008B589A"/>
    <w:rsid w:val="008B59FA"/>
    <w:rsid w:val="008B634F"/>
    <w:rsid w:val="008B6C00"/>
    <w:rsid w:val="008B7D65"/>
    <w:rsid w:val="008C01D9"/>
    <w:rsid w:val="008C3F4C"/>
    <w:rsid w:val="008C40C8"/>
    <w:rsid w:val="008C4B65"/>
    <w:rsid w:val="008C54FA"/>
    <w:rsid w:val="008C5C4B"/>
    <w:rsid w:val="008C6BDE"/>
    <w:rsid w:val="008D05B9"/>
    <w:rsid w:val="008D1A84"/>
    <w:rsid w:val="008D1F2F"/>
    <w:rsid w:val="008D2629"/>
    <w:rsid w:val="008D2FD0"/>
    <w:rsid w:val="008D3A26"/>
    <w:rsid w:val="008D5730"/>
    <w:rsid w:val="008D5BD5"/>
    <w:rsid w:val="008D6071"/>
    <w:rsid w:val="008E0427"/>
    <w:rsid w:val="008E1647"/>
    <w:rsid w:val="008E383B"/>
    <w:rsid w:val="008E4480"/>
    <w:rsid w:val="008E456B"/>
    <w:rsid w:val="008E46AC"/>
    <w:rsid w:val="008E5073"/>
    <w:rsid w:val="008E6B7A"/>
    <w:rsid w:val="008E6F0F"/>
    <w:rsid w:val="008E754B"/>
    <w:rsid w:val="008E767F"/>
    <w:rsid w:val="008F2611"/>
    <w:rsid w:val="008F2756"/>
    <w:rsid w:val="008F329F"/>
    <w:rsid w:val="008F46E9"/>
    <w:rsid w:val="008F525B"/>
    <w:rsid w:val="008F5B14"/>
    <w:rsid w:val="008F5DE6"/>
    <w:rsid w:val="008F7426"/>
    <w:rsid w:val="0090123D"/>
    <w:rsid w:val="009013A1"/>
    <w:rsid w:val="00901493"/>
    <w:rsid w:val="00901A89"/>
    <w:rsid w:val="00901C76"/>
    <w:rsid w:val="00903C4C"/>
    <w:rsid w:val="00903FC3"/>
    <w:rsid w:val="009046E1"/>
    <w:rsid w:val="00905C68"/>
    <w:rsid w:val="00906CAA"/>
    <w:rsid w:val="009077E0"/>
    <w:rsid w:val="009102BE"/>
    <w:rsid w:val="009111A5"/>
    <w:rsid w:val="00911814"/>
    <w:rsid w:val="009167B9"/>
    <w:rsid w:val="009208E8"/>
    <w:rsid w:val="009231D4"/>
    <w:rsid w:val="00923D09"/>
    <w:rsid w:val="00924443"/>
    <w:rsid w:val="0092647B"/>
    <w:rsid w:val="00926A41"/>
    <w:rsid w:val="00926B4F"/>
    <w:rsid w:val="00927A58"/>
    <w:rsid w:val="00927E7C"/>
    <w:rsid w:val="009304E2"/>
    <w:rsid w:val="00930CA4"/>
    <w:rsid w:val="00930E17"/>
    <w:rsid w:val="009322BE"/>
    <w:rsid w:val="00932C1F"/>
    <w:rsid w:val="0093330E"/>
    <w:rsid w:val="00934DF0"/>
    <w:rsid w:val="009376EC"/>
    <w:rsid w:val="00940823"/>
    <w:rsid w:val="0094088B"/>
    <w:rsid w:val="00940F8E"/>
    <w:rsid w:val="009442BC"/>
    <w:rsid w:val="00945D0A"/>
    <w:rsid w:val="009461E9"/>
    <w:rsid w:val="009505CB"/>
    <w:rsid w:val="00951500"/>
    <w:rsid w:val="009519F4"/>
    <w:rsid w:val="00952088"/>
    <w:rsid w:val="009524A3"/>
    <w:rsid w:val="00952FE1"/>
    <w:rsid w:val="00953338"/>
    <w:rsid w:val="00954EF8"/>
    <w:rsid w:val="0095568B"/>
    <w:rsid w:val="00956529"/>
    <w:rsid w:val="00956D18"/>
    <w:rsid w:val="009611AA"/>
    <w:rsid w:val="00962A6F"/>
    <w:rsid w:val="00963863"/>
    <w:rsid w:val="00964052"/>
    <w:rsid w:val="00964616"/>
    <w:rsid w:val="00964B29"/>
    <w:rsid w:val="0096554A"/>
    <w:rsid w:val="00965848"/>
    <w:rsid w:val="00965F3E"/>
    <w:rsid w:val="00972DC6"/>
    <w:rsid w:val="009738B4"/>
    <w:rsid w:val="009757B4"/>
    <w:rsid w:val="009768AA"/>
    <w:rsid w:val="009770FF"/>
    <w:rsid w:val="00981ECD"/>
    <w:rsid w:val="00982B33"/>
    <w:rsid w:val="009839A0"/>
    <w:rsid w:val="009868A5"/>
    <w:rsid w:val="00987B11"/>
    <w:rsid w:val="00990608"/>
    <w:rsid w:val="0099061B"/>
    <w:rsid w:val="00990819"/>
    <w:rsid w:val="00990FE0"/>
    <w:rsid w:val="009927D2"/>
    <w:rsid w:val="009942B3"/>
    <w:rsid w:val="00994B98"/>
    <w:rsid w:val="009951FC"/>
    <w:rsid w:val="00995E86"/>
    <w:rsid w:val="00997F8B"/>
    <w:rsid w:val="009A0BD3"/>
    <w:rsid w:val="009A185C"/>
    <w:rsid w:val="009A2468"/>
    <w:rsid w:val="009A275C"/>
    <w:rsid w:val="009A2F36"/>
    <w:rsid w:val="009A4262"/>
    <w:rsid w:val="009A5103"/>
    <w:rsid w:val="009A671E"/>
    <w:rsid w:val="009A676E"/>
    <w:rsid w:val="009B0723"/>
    <w:rsid w:val="009B1CE7"/>
    <w:rsid w:val="009B292D"/>
    <w:rsid w:val="009B2A12"/>
    <w:rsid w:val="009B3DBA"/>
    <w:rsid w:val="009B3E11"/>
    <w:rsid w:val="009B4190"/>
    <w:rsid w:val="009B4DB2"/>
    <w:rsid w:val="009B57B7"/>
    <w:rsid w:val="009B59E6"/>
    <w:rsid w:val="009B6825"/>
    <w:rsid w:val="009B6EEF"/>
    <w:rsid w:val="009B7321"/>
    <w:rsid w:val="009C1ED8"/>
    <w:rsid w:val="009C5562"/>
    <w:rsid w:val="009C642D"/>
    <w:rsid w:val="009C74D6"/>
    <w:rsid w:val="009D0154"/>
    <w:rsid w:val="009D0462"/>
    <w:rsid w:val="009D06A6"/>
    <w:rsid w:val="009D140F"/>
    <w:rsid w:val="009D1E0E"/>
    <w:rsid w:val="009D2D5A"/>
    <w:rsid w:val="009D2FED"/>
    <w:rsid w:val="009D34D2"/>
    <w:rsid w:val="009D52F4"/>
    <w:rsid w:val="009D5A50"/>
    <w:rsid w:val="009E00CA"/>
    <w:rsid w:val="009E0205"/>
    <w:rsid w:val="009E0D54"/>
    <w:rsid w:val="009E10A5"/>
    <w:rsid w:val="009E152B"/>
    <w:rsid w:val="009E2C3A"/>
    <w:rsid w:val="009E422A"/>
    <w:rsid w:val="009E5091"/>
    <w:rsid w:val="009E5590"/>
    <w:rsid w:val="009E559F"/>
    <w:rsid w:val="009E5DAE"/>
    <w:rsid w:val="009E5E85"/>
    <w:rsid w:val="009E5F0D"/>
    <w:rsid w:val="009E72E2"/>
    <w:rsid w:val="009E7823"/>
    <w:rsid w:val="009E7AA1"/>
    <w:rsid w:val="009F05D8"/>
    <w:rsid w:val="009F05FF"/>
    <w:rsid w:val="009F0ABD"/>
    <w:rsid w:val="009F1235"/>
    <w:rsid w:val="009F1491"/>
    <w:rsid w:val="009F459B"/>
    <w:rsid w:val="009F6479"/>
    <w:rsid w:val="009F66B7"/>
    <w:rsid w:val="009F68D8"/>
    <w:rsid w:val="009F7280"/>
    <w:rsid w:val="009F7793"/>
    <w:rsid w:val="009F780D"/>
    <w:rsid w:val="00A00503"/>
    <w:rsid w:val="00A007A7"/>
    <w:rsid w:val="00A007F6"/>
    <w:rsid w:val="00A01118"/>
    <w:rsid w:val="00A011E7"/>
    <w:rsid w:val="00A01834"/>
    <w:rsid w:val="00A03BB0"/>
    <w:rsid w:val="00A03CA5"/>
    <w:rsid w:val="00A048BB"/>
    <w:rsid w:val="00A0621C"/>
    <w:rsid w:val="00A07C1E"/>
    <w:rsid w:val="00A11FB6"/>
    <w:rsid w:val="00A1269B"/>
    <w:rsid w:val="00A12786"/>
    <w:rsid w:val="00A13AD3"/>
    <w:rsid w:val="00A14F28"/>
    <w:rsid w:val="00A174BC"/>
    <w:rsid w:val="00A179BE"/>
    <w:rsid w:val="00A20206"/>
    <w:rsid w:val="00A2025A"/>
    <w:rsid w:val="00A20564"/>
    <w:rsid w:val="00A2056F"/>
    <w:rsid w:val="00A206AB"/>
    <w:rsid w:val="00A21236"/>
    <w:rsid w:val="00A21A98"/>
    <w:rsid w:val="00A23021"/>
    <w:rsid w:val="00A24204"/>
    <w:rsid w:val="00A24238"/>
    <w:rsid w:val="00A24526"/>
    <w:rsid w:val="00A24607"/>
    <w:rsid w:val="00A27427"/>
    <w:rsid w:val="00A30EEE"/>
    <w:rsid w:val="00A31850"/>
    <w:rsid w:val="00A362AA"/>
    <w:rsid w:val="00A3704D"/>
    <w:rsid w:val="00A37AA9"/>
    <w:rsid w:val="00A37E24"/>
    <w:rsid w:val="00A37EA3"/>
    <w:rsid w:val="00A40DB1"/>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8C7"/>
    <w:rsid w:val="00A5597F"/>
    <w:rsid w:val="00A55A95"/>
    <w:rsid w:val="00A55E01"/>
    <w:rsid w:val="00A5628F"/>
    <w:rsid w:val="00A570FB"/>
    <w:rsid w:val="00A66F86"/>
    <w:rsid w:val="00A70972"/>
    <w:rsid w:val="00A72297"/>
    <w:rsid w:val="00A729F3"/>
    <w:rsid w:val="00A72D6D"/>
    <w:rsid w:val="00A73C23"/>
    <w:rsid w:val="00A75482"/>
    <w:rsid w:val="00A75D29"/>
    <w:rsid w:val="00A7612D"/>
    <w:rsid w:val="00A766D1"/>
    <w:rsid w:val="00A76B6E"/>
    <w:rsid w:val="00A82281"/>
    <w:rsid w:val="00A8279A"/>
    <w:rsid w:val="00A82C86"/>
    <w:rsid w:val="00A83077"/>
    <w:rsid w:val="00A8697B"/>
    <w:rsid w:val="00A86DCB"/>
    <w:rsid w:val="00A8703A"/>
    <w:rsid w:val="00A90B28"/>
    <w:rsid w:val="00A91D9D"/>
    <w:rsid w:val="00A93008"/>
    <w:rsid w:val="00A93151"/>
    <w:rsid w:val="00A932CD"/>
    <w:rsid w:val="00A9372B"/>
    <w:rsid w:val="00A9471C"/>
    <w:rsid w:val="00A95672"/>
    <w:rsid w:val="00AA0886"/>
    <w:rsid w:val="00AA0D9D"/>
    <w:rsid w:val="00AA26FF"/>
    <w:rsid w:val="00AA2AEB"/>
    <w:rsid w:val="00AA3488"/>
    <w:rsid w:val="00AA392C"/>
    <w:rsid w:val="00AA3B7E"/>
    <w:rsid w:val="00AA3EC1"/>
    <w:rsid w:val="00AA45B3"/>
    <w:rsid w:val="00AA4612"/>
    <w:rsid w:val="00AA4AAB"/>
    <w:rsid w:val="00AA4D3E"/>
    <w:rsid w:val="00AA4E7B"/>
    <w:rsid w:val="00AA51D8"/>
    <w:rsid w:val="00AA543A"/>
    <w:rsid w:val="00AA6316"/>
    <w:rsid w:val="00AA6BAC"/>
    <w:rsid w:val="00AA6C2B"/>
    <w:rsid w:val="00AB0217"/>
    <w:rsid w:val="00AB08F5"/>
    <w:rsid w:val="00AB3644"/>
    <w:rsid w:val="00AB3E01"/>
    <w:rsid w:val="00AB7E07"/>
    <w:rsid w:val="00AC0416"/>
    <w:rsid w:val="00AC144D"/>
    <w:rsid w:val="00AC380C"/>
    <w:rsid w:val="00AC4F41"/>
    <w:rsid w:val="00AC5B2B"/>
    <w:rsid w:val="00AC7BBC"/>
    <w:rsid w:val="00AD0185"/>
    <w:rsid w:val="00AD2D33"/>
    <w:rsid w:val="00AD2E43"/>
    <w:rsid w:val="00AD4395"/>
    <w:rsid w:val="00AD5459"/>
    <w:rsid w:val="00AD5E2F"/>
    <w:rsid w:val="00AD60A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DE1"/>
    <w:rsid w:val="00AF41DF"/>
    <w:rsid w:val="00AF4870"/>
    <w:rsid w:val="00AF4901"/>
    <w:rsid w:val="00AF55B7"/>
    <w:rsid w:val="00AF5A59"/>
    <w:rsid w:val="00B00D71"/>
    <w:rsid w:val="00B00DB7"/>
    <w:rsid w:val="00B01D2E"/>
    <w:rsid w:val="00B027C2"/>
    <w:rsid w:val="00B03A77"/>
    <w:rsid w:val="00B0453F"/>
    <w:rsid w:val="00B06F5D"/>
    <w:rsid w:val="00B07240"/>
    <w:rsid w:val="00B07473"/>
    <w:rsid w:val="00B07E19"/>
    <w:rsid w:val="00B12929"/>
    <w:rsid w:val="00B133C2"/>
    <w:rsid w:val="00B14497"/>
    <w:rsid w:val="00B14F68"/>
    <w:rsid w:val="00B1514F"/>
    <w:rsid w:val="00B16E9A"/>
    <w:rsid w:val="00B16FA5"/>
    <w:rsid w:val="00B2148B"/>
    <w:rsid w:val="00B24060"/>
    <w:rsid w:val="00B24C72"/>
    <w:rsid w:val="00B25402"/>
    <w:rsid w:val="00B258FB"/>
    <w:rsid w:val="00B26333"/>
    <w:rsid w:val="00B2697A"/>
    <w:rsid w:val="00B2733A"/>
    <w:rsid w:val="00B27B85"/>
    <w:rsid w:val="00B3010B"/>
    <w:rsid w:val="00B30DA6"/>
    <w:rsid w:val="00B310C9"/>
    <w:rsid w:val="00B3126E"/>
    <w:rsid w:val="00B3291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D48"/>
    <w:rsid w:val="00B440A1"/>
    <w:rsid w:val="00B4506D"/>
    <w:rsid w:val="00B466D4"/>
    <w:rsid w:val="00B46775"/>
    <w:rsid w:val="00B5093A"/>
    <w:rsid w:val="00B50BA3"/>
    <w:rsid w:val="00B50F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3DC9"/>
    <w:rsid w:val="00B7462A"/>
    <w:rsid w:val="00B752D2"/>
    <w:rsid w:val="00B7571D"/>
    <w:rsid w:val="00B75F7C"/>
    <w:rsid w:val="00B77F3C"/>
    <w:rsid w:val="00B81276"/>
    <w:rsid w:val="00B8151B"/>
    <w:rsid w:val="00B83A5F"/>
    <w:rsid w:val="00B84644"/>
    <w:rsid w:val="00B850AE"/>
    <w:rsid w:val="00B85875"/>
    <w:rsid w:val="00B85C5A"/>
    <w:rsid w:val="00B8609B"/>
    <w:rsid w:val="00B86369"/>
    <w:rsid w:val="00B870F9"/>
    <w:rsid w:val="00B90825"/>
    <w:rsid w:val="00B90D9F"/>
    <w:rsid w:val="00B91353"/>
    <w:rsid w:val="00B94337"/>
    <w:rsid w:val="00B94849"/>
    <w:rsid w:val="00B94A96"/>
    <w:rsid w:val="00B96B0C"/>
    <w:rsid w:val="00B96C32"/>
    <w:rsid w:val="00BA028A"/>
    <w:rsid w:val="00BA1027"/>
    <w:rsid w:val="00BA281C"/>
    <w:rsid w:val="00BA4385"/>
    <w:rsid w:val="00BA6CDC"/>
    <w:rsid w:val="00BA7AE9"/>
    <w:rsid w:val="00BB0562"/>
    <w:rsid w:val="00BB090A"/>
    <w:rsid w:val="00BB17E9"/>
    <w:rsid w:val="00BB2339"/>
    <w:rsid w:val="00BB265B"/>
    <w:rsid w:val="00BB2A99"/>
    <w:rsid w:val="00BB3E9F"/>
    <w:rsid w:val="00BB42DA"/>
    <w:rsid w:val="00BB4A58"/>
    <w:rsid w:val="00BB4AC7"/>
    <w:rsid w:val="00BB71BB"/>
    <w:rsid w:val="00BB73CB"/>
    <w:rsid w:val="00BC006C"/>
    <w:rsid w:val="00BC044D"/>
    <w:rsid w:val="00BC179D"/>
    <w:rsid w:val="00BC25B2"/>
    <w:rsid w:val="00BC2E8B"/>
    <w:rsid w:val="00BC42CA"/>
    <w:rsid w:val="00BC4B94"/>
    <w:rsid w:val="00BC54FA"/>
    <w:rsid w:val="00BC5A3C"/>
    <w:rsid w:val="00BC6438"/>
    <w:rsid w:val="00BC65CF"/>
    <w:rsid w:val="00BC688A"/>
    <w:rsid w:val="00BC700E"/>
    <w:rsid w:val="00BC71AD"/>
    <w:rsid w:val="00BC725F"/>
    <w:rsid w:val="00BC7E6B"/>
    <w:rsid w:val="00BD02D9"/>
    <w:rsid w:val="00BD1F6E"/>
    <w:rsid w:val="00BD27F5"/>
    <w:rsid w:val="00BD2B68"/>
    <w:rsid w:val="00BD40B5"/>
    <w:rsid w:val="00BD48BB"/>
    <w:rsid w:val="00BD48E3"/>
    <w:rsid w:val="00BD662F"/>
    <w:rsid w:val="00BD7EC7"/>
    <w:rsid w:val="00BD7F74"/>
    <w:rsid w:val="00BE0CC3"/>
    <w:rsid w:val="00BE11D4"/>
    <w:rsid w:val="00BE1300"/>
    <w:rsid w:val="00BE180D"/>
    <w:rsid w:val="00BE23A6"/>
    <w:rsid w:val="00BE242C"/>
    <w:rsid w:val="00BE2F30"/>
    <w:rsid w:val="00BE33D8"/>
    <w:rsid w:val="00BE3A66"/>
    <w:rsid w:val="00BE3C38"/>
    <w:rsid w:val="00BE4128"/>
    <w:rsid w:val="00BE4486"/>
    <w:rsid w:val="00BE5958"/>
    <w:rsid w:val="00BE5B4A"/>
    <w:rsid w:val="00BE64EB"/>
    <w:rsid w:val="00BE661E"/>
    <w:rsid w:val="00BE7C1B"/>
    <w:rsid w:val="00BF0589"/>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63D9"/>
    <w:rsid w:val="00C078FC"/>
    <w:rsid w:val="00C07CD0"/>
    <w:rsid w:val="00C10353"/>
    <w:rsid w:val="00C10A5A"/>
    <w:rsid w:val="00C10C36"/>
    <w:rsid w:val="00C10D11"/>
    <w:rsid w:val="00C11C44"/>
    <w:rsid w:val="00C11D7C"/>
    <w:rsid w:val="00C12028"/>
    <w:rsid w:val="00C122FB"/>
    <w:rsid w:val="00C1428B"/>
    <w:rsid w:val="00C146A0"/>
    <w:rsid w:val="00C17095"/>
    <w:rsid w:val="00C20838"/>
    <w:rsid w:val="00C2280B"/>
    <w:rsid w:val="00C22A34"/>
    <w:rsid w:val="00C24F27"/>
    <w:rsid w:val="00C25F23"/>
    <w:rsid w:val="00C26296"/>
    <w:rsid w:val="00C263EE"/>
    <w:rsid w:val="00C264C9"/>
    <w:rsid w:val="00C272BA"/>
    <w:rsid w:val="00C34058"/>
    <w:rsid w:val="00C366D5"/>
    <w:rsid w:val="00C369C3"/>
    <w:rsid w:val="00C36CD9"/>
    <w:rsid w:val="00C36D5D"/>
    <w:rsid w:val="00C37B9E"/>
    <w:rsid w:val="00C40C11"/>
    <w:rsid w:val="00C41B04"/>
    <w:rsid w:val="00C431F1"/>
    <w:rsid w:val="00C434B6"/>
    <w:rsid w:val="00C4581B"/>
    <w:rsid w:val="00C46800"/>
    <w:rsid w:val="00C46CBC"/>
    <w:rsid w:val="00C4789D"/>
    <w:rsid w:val="00C47BA7"/>
    <w:rsid w:val="00C47D7E"/>
    <w:rsid w:val="00C5028F"/>
    <w:rsid w:val="00C505C0"/>
    <w:rsid w:val="00C51D78"/>
    <w:rsid w:val="00C52276"/>
    <w:rsid w:val="00C53436"/>
    <w:rsid w:val="00C54034"/>
    <w:rsid w:val="00C55F8B"/>
    <w:rsid w:val="00C56164"/>
    <w:rsid w:val="00C60B11"/>
    <w:rsid w:val="00C60B78"/>
    <w:rsid w:val="00C61B72"/>
    <w:rsid w:val="00C62586"/>
    <w:rsid w:val="00C6270E"/>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6346"/>
    <w:rsid w:val="00C805D3"/>
    <w:rsid w:val="00C806FC"/>
    <w:rsid w:val="00C83E8B"/>
    <w:rsid w:val="00C84763"/>
    <w:rsid w:val="00C90A46"/>
    <w:rsid w:val="00C92A43"/>
    <w:rsid w:val="00C93FB4"/>
    <w:rsid w:val="00C95092"/>
    <w:rsid w:val="00C96661"/>
    <w:rsid w:val="00C9782D"/>
    <w:rsid w:val="00CA1845"/>
    <w:rsid w:val="00CA3FCA"/>
    <w:rsid w:val="00CA3FE3"/>
    <w:rsid w:val="00CA4198"/>
    <w:rsid w:val="00CA549B"/>
    <w:rsid w:val="00CA6B50"/>
    <w:rsid w:val="00CA71DF"/>
    <w:rsid w:val="00CA7545"/>
    <w:rsid w:val="00CB0C96"/>
    <w:rsid w:val="00CB0E93"/>
    <w:rsid w:val="00CB5E7D"/>
    <w:rsid w:val="00CB60EA"/>
    <w:rsid w:val="00CB69C3"/>
    <w:rsid w:val="00CB6F2D"/>
    <w:rsid w:val="00CB707F"/>
    <w:rsid w:val="00CC02A8"/>
    <w:rsid w:val="00CC0724"/>
    <w:rsid w:val="00CC2450"/>
    <w:rsid w:val="00CC611D"/>
    <w:rsid w:val="00CC6A4F"/>
    <w:rsid w:val="00CC7989"/>
    <w:rsid w:val="00CD05E4"/>
    <w:rsid w:val="00CD153A"/>
    <w:rsid w:val="00CD325E"/>
    <w:rsid w:val="00CD3618"/>
    <w:rsid w:val="00CD420F"/>
    <w:rsid w:val="00CD5B44"/>
    <w:rsid w:val="00CD656C"/>
    <w:rsid w:val="00CD6DBF"/>
    <w:rsid w:val="00CE0009"/>
    <w:rsid w:val="00CE048F"/>
    <w:rsid w:val="00CE1751"/>
    <w:rsid w:val="00CE2729"/>
    <w:rsid w:val="00CE2B35"/>
    <w:rsid w:val="00CE2E04"/>
    <w:rsid w:val="00CE30A5"/>
    <w:rsid w:val="00CE40C8"/>
    <w:rsid w:val="00CE6D50"/>
    <w:rsid w:val="00CF0281"/>
    <w:rsid w:val="00CF1048"/>
    <w:rsid w:val="00CF2FEB"/>
    <w:rsid w:val="00CF345C"/>
    <w:rsid w:val="00CF3869"/>
    <w:rsid w:val="00CF3EA4"/>
    <w:rsid w:val="00CF403D"/>
    <w:rsid w:val="00CF5941"/>
    <w:rsid w:val="00CF60BB"/>
    <w:rsid w:val="00CF6384"/>
    <w:rsid w:val="00D002EA"/>
    <w:rsid w:val="00D017A7"/>
    <w:rsid w:val="00D01C55"/>
    <w:rsid w:val="00D01E93"/>
    <w:rsid w:val="00D024EF"/>
    <w:rsid w:val="00D02BDE"/>
    <w:rsid w:val="00D02C48"/>
    <w:rsid w:val="00D0313A"/>
    <w:rsid w:val="00D03501"/>
    <w:rsid w:val="00D04293"/>
    <w:rsid w:val="00D04C1D"/>
    <w:rsid w:val="00D07B4D"/>
    <w:rsid w:val="00D07F3E"/>
    <w:rsid w:val="00D10B47"/>
    <w:rsid w:val="00D10C28"/>
    <w:rsid w:val="00D124BF"/>
    <w:rsid w:val="00D12F2A"/>
    <w:rsid w:val="00D161D5"/>
    <w:rsid w:val="00D17962"/>
    <w:rsid w:val="00D17E9B"/>
    <w:rsid w:val="00D2086C"/>
    <w:rsid w:val="00D21B00"/>
    <w:rsid w:val="00D23149"/>
    <w:rsid w:val="00D2419D"/>
    <w:rsid w:val="00D248E8"/>
    <w:rsid w:val="00D24CF4"/>
    <w:rsid w:val="00D24EAD"/>
    <w:rsid w:val="00D25BED"/>
    <w:rsid w:val="00D25E49"/>
    <w:rsid w:val="00D26698"/>
    <w:rsid w:val="00D270A9"/>
    <w:rsid w:val="00D278AB"/>
    <w:rsid w:val="00D27BA9"/>
    <w:rsid w:val="00D31BFC"/>
    <w:rsid w:val="00D32930"/>
    <w:rsid w:val="00D32C8A"/>
    <w:rsid w:val="00D33C68"/>
    <w:rsid w:val="00D34F1D"/>
    <w:rsid w:val="00D355DD"/>
    <w:rsid w:val="00D3606D"/>
    <w:rsid w:val="00D360D7"/>
    <w:rsid w:val="00D3685D"/>
    <w:rsid w:val="00D368D6"/>
    <w:rsid w:val="00D40228"/>
    <w:rsid w:val="00D40655"/>
    <w:rsid w:val="00D4092D"/>
    <w:rsid w:val="00D43CDB"/>
    <w:rsid w:val="00D4463F"/>
    <w:rsid w:val="00D46DBD"/>
    <w:rsid w:val="00D50209"/>
    <w:rsid w:val="00D51142"/>
    <w:rsid w:val="00D5128D"/>
    <w:rsid w:val="00D516EF"/>
    <w:rsid w:val="00D5339C"/>
    <w:rsid w:val="00D547E5"/>
    <w:rsid w:val="00D5508A"/>
    <w:rsid w:val="00D551FC"/>
    <w:rsid w:val="00D57AD2"/>
    <w:rsid w:val="00D62479"/>
    <w:rsid w:val="00D64154"/>
    <w:rsid w:val="00D65E1D"/>
    <w:rsid w:val="00D6773A"/>
    <w:rsid w:val="00D7092B"/>
    <w:rsid w:val="00D7230A"/>
    <w:rsid w:val="00D72395"/>
    <w:rsid w:val="00D724A5"/>
    <w:rsid w:val="00D73214"/>
    <w:rsid w:val="00D73227"/>
    <w:rsid w:val="00D740D7"/>
    <w:rsid w:val="00D80EBA"/>
    <w:rsid w:val="00D8210F"/>
    <w:rsid w:val="00D8232E"/>
    <w:rsid w:val="00D83394"/>
    <w:rsid w:val="00D83B83"/>
    <w:rsid w:val="00D83BB0"/>
    <w:rsid w:val="00D84FD9"/>
    <w:rsid w:val="00D8545C"/>
    <w:rsid w:val="00D85954"/>
    <w:rsid w:val="00D860CF"/>
    <w:rsid w:val="00D8725A"/>
    <w:rsid w:val="00D90B62"/>
    <w:rsid w:val="00D910F1"/>
    <w:rsid w:val="00D91E1D"/>
    <w:rsid w:val="00D91F2C"/>
    <w:rsid w:val="00D925A8"/>
    <w:rsid w:val="00D93E71"/>
    <w:rsid w:val="00D94A18"/>
    <w:rsid w:val="00D96042"/>
    <w:rsid w:val="00D9667B"/>
    <w:rsid w:val="00D974FD"/>
    <w:rsid w:val="00DA001E"/>
    <w:rsid w:val="00DA096A"/>
    <w:rsid w:val="00DA1643"/>
    <w:rsid w:val="00DA1F48"/>
    <w:rsid w:val="00DA2A44"/>
    <w:rsid w:val="00DA52D8"/>
    <w:rsid w:val="00DA5EE0"/>
    <w:rsid w:val="00DA63F9"/>
    <w:rsid w:val="00DB0106"/>
    <w:rsid w:val="00DB03E9"/>
    <w:rsid w:val="00DB10C8"/>
    <w:rsid w:val="00DB1DA6"/>
    <w:rsid w:val="00DB3A08"/>
    <w:rsid w:val="00DB4095"/>
    <w:rsid w:val="00DB55BC"/>
    <w:rsid w:val="00DB5C8B"/>
    <w:rsid w:val="00DB6DC8"/>
    <w:rsid w:val="00DB71F1"/>
    <w:rsid w:val="00DB7478"/>
    <w:rsid w:val="00DB7687"/>
    <w:rsid w:val="00DC0410"/>
    <w:rsid w:val="00DC281E"/>
    <w:rsid w:val="00DC30CC"/>
    <w:rsid w:val="00DC333A"/>
    <w:rsid w:val="00DC3E36"/>
    <w:rsid w:val="00DC3F21"/>
    <w:rsid w:val="00DC4309"/>
    <w:rsid w:val="00DC43F2"/>
    <w:rsid w:val="00DC4CF9"/>
    <w:rsid w:val="00DC5C39"/>
    <w:rsid w:val="00DC5FD6"/>
    <w:rsid w:val="00DC74D2"/>
    <w:rsid w:val="00DC7D6C"/>
    <w:rsid w:val="00DD10DE"/>
    <w:rsid w:val="00DD488C"/>
    <w:rsid w:val="00DD4996"/>
    <w:rsid w:val="00DD4B75"/>
    <w:rsid w:val="00DD5483"/>
    <w:rsid w:val="00DD5AF4"/>
    <w:rsid w:val="00DD704D"/>
    <w:rsid w:val="00DD7313"/>
    <w:rsid w:val="00DE01FC"/>
    <w:rsid w:val="00DE20C3"/>
    <w:rsid w:val="00DE2311"/>
    <w:rsid w:val="00DE2E90"/>
    <w:rsid w:val="00DE3FC9"/>
    <w:rsid w:val="00DE5754"/>
    <w:rsid w:val="00DE6423"/>
    <w:rsid w:val="00DE762A"/>
    <w:rsid w:val="00DF3C21"/>
    <w:rsid w:val="00DF41AC"/>
    <w:rsid w:val="00DF42D0"/>
    <w:rsid w:val="00DF5AD4"/>
    <w:rsid w:val="00DF70C0"/>
    <w:rsid w:val="00DF76E3"/>
    <w:rsid w:val="00DF7CAE"/>
    <w:rsid w:val="00E026CF"/>
    <w:rsid w:val="00E03F36"/>
    <w:rsid w:val="00E10ABB"/>
    <w:rsid w:val="00E11E94"/>
    <w:rsid w:val="00E13F89"/>
    <w:rsid w:val="00E152B0"/>
    <w:rsid w:val="00E154A5"/>
    <w:rsid w:val="00E15521"/>
    <w:rsid w:val="00E155AE"/>
    <w:rsid w:val="00E15797"/>
    <w:rsid w:val="00E16E66"/>
    <w:rsid w:val="00E17AAB"/>
    <w:rsid w:val="00E17FC9"/>
    <w:rsid w:val="00E2586B"/>
    <w:rsid w:val="00E259CC"/>
    <w:rsid w:val="00E25CC9"/>
    <w:rsid w:val="00E268AE"/>
    <w:rsid w:val="00E26F9D"/>
    <w:rsid w:val="00E272CF"/>
    <w:rsid w:val="00E27BD5"/>
    <w:rsid w:val="00E3250F"/>
    <w:rsid w:val="00E32FBE"/>
    <w:rsid w:val="00E335E1"/>
    <w:rsid w:val="00E35603"/>
    <w:rsid w:val="00E36B26"/>
    <w:rsid w:val="00E40462"/>
    <w:rsid w:val="00E4232B"/>
    <w:rsid w:val="00E42521"/>
    <w:rsid w:val="00E42E51"/>
    <w:rsid w:val="00E434C2"/>
    <w:rsid w:val="00E44F86"/>
    <w:rsid w:val="00E4527B"/>
    <w:rsid w:val="00E462B8"/>
    <w:rsid w:val="00E465C5"/>
    <w:rsid w:val="00E50D77"/>
    <w:rsid w:val="00E529A4"/>
    <w:rsid w:val="00E529E9"/>
    <w:rsid w:val="00E54434"/>
    <w:rsid w:val="00E55B42"/>
    <w:rsid w:val="00E561D7"/>
    <w:rsid w:val="00E60DDD"/>
    <w:rsid w:val="00E61CC8"/>
    <w:rsid w:val="00E62F6C"/>
    <w:rsid w:val="00E636B3"/>
    <w:rsid w:val="00E63A3D"/>
    <w:rsid w:val="00E63BC4"/>
    <w:rsid w:val="00E6560D"/>
    <w:rsid w:val="00E66C60"/>
    <w:rsid w:val="00E66FBD"/>
    <w:rsid w:val="00E676B0"/>
    <w:rsid w:val="00E70E87"/>
    <w:rsid w:val="00E7407A"/>
    <w:rsid w:val="00E7641C"/>
    <w:rsid w:val="00E76492"/>
    <w:rsid w:val="00E7665B"/>
    <w:rsid w:val="00E76CA9"/>
    <w:rsid w:val="00E76EBA"/>
    <w:rsid w:val="00E77917"/>
    <w:rsid w:val="00E8193B"/>
    <w:rsid w:val="00E81D1A"/>
    <w:rsid w:val="00E8206C"/>
    <w:rsid w:val="00E8229B"/>
    <w:rsid w:val="00E83E28"/>
    <w:rsid w:val="00E84046"/>
    <w:rsid w:val="00E8610C"/>
    <w:rsid w:val="00E8611C"/>
    <w:rsid w:val="00E90A43"/>
    <w:rsid w:val="00E91286"/>
    <w:rsid w:val="00E91451"/>
    <w:rsid w:val="00E92226"/>
    <w:rsid w:val="00E9224C"/>
    <w:rsid w:val="00E92471"/>
    <w:rsid w:val="00E9316D"/>
    <w:rsid w:val="00E9360E"/>
    <w:rsid w:val="00E9462D"/>
    <w:rsid w:val="00E948BC"/>
    <w:rsid w:val="00E949DC"/>
    <w:rsid w:val="00E95690"/>
    <w:rsid w:val="00E95ED4"/>
    <w:rsid w:val="00E96ABD"/>
    <w:rsid w:val="00EA128F"/>
    <w:rsid w:val="00EA2477"/>
    <w:rsid w:val="00EA26F5"/>
    <w:rsid w:val="00EA3A19"/>
    <w:rsid w:val="00EA5B17"/>
    <w:rsid w:val="00EA6AA8"/>
    <w:rsid w:val="00EA6BD4"/>
    <w:rsid w:val="00EA7AF6"/>
    <w:rsid w:val="00EB021F"/>
    <w:rsid w:val="00EB080E"/>
    <w:rsid w:val="00EB1221"/>
    <w:rsid w:val="00EB21A9"/>
    <w:rsid w:val="00EB27C6"/>
    <w:rsid w:val="00EB2F32"/>
    <w:rsid w:val="00EB313F"/>
    <w:rsid w:val="00EB3856"/>
    <w:rsid w:val="00EB3F39"/>
    <w:rsid w:val="00EB4F6A"/>
    <w:rsid w:val="00EB5877"/>
    <w:rsid w:val="00EB6943"/>
    <w:rsid w:val="00EB77F0"/>
    <w:rsid w:val="00EB77F5"/>
    <w:rsid w:val="00EB7931"/>
    <w:rsid w:val="00EC0C09"/>
    <w:rsid w:val="00EC12C6"/>
    <w:rsid w:val="00EC3C61"/>
    <w:rsid w:val="00EC461C"/>
    <w:rsid w:val="00EC57F2"/>
    <w:rsid w:val="00EC6089"/>
    <w:rsid w:val="00EC65A2"/>
    <w:rsid w:val="00EC7226"/>
    <w:rsid w:val="00EC7365"/>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C77"/>
    <w:rsid w:val="00EE6E34"/>
    <w:rsid w:val="00EE7D1F"/>
    <w:rsid w:val="00EE7E13"/>
    <w:rsid w:val="00EF0220"/>
    <w:rsid w:val="00EF0DAC"/>
    <w:rsid w:val="00EF104D"/>
    <w:rsid w:val="00EF147F"/>
    <w:rsid w:val="00EF1FA0"/>
    <w:rsid w:val="00EF3B1B"/>
    <w:rsid w:val="00EF3C8F"/>
    <w:rsid w:val="00EF410B"/>
    <w:rsid w:val="00EF4F1F"/>
    <w:rsid w:val="00EF534F"/>
    <w:rsid w:val="00EF5D05"/>
    <w:rsid w:val="00EF6AC8"/>
    <w:rsid w:val="00EF6C8C"/>
    <w:rsid w:val="00F002E8"/>
    <w:rsid w:val="00F00E51"/>
    <w:rsid w:val="00F02043"/>
    <w:rsid w:val="00F055DF"/>
    <w:rsid w:val="00F06698"/>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621B"/>
    <w:rsid w:val="00F26CEA"/>
    <w:rsid w:val="00F27A8D"/>
    <w:rsid w:val="00F30039"/>
    <w:rsid w:val="00F31D34"/>
    <w:rsid w:val="00F32B61"/>
    <w:rsid w:val="00F33EAF"/>
    <w:rsid w:val="00F34765"/>
    <w:rsid w:val="00F35BCD"/>
    <w:rsid w:val="00F35CFF"/>
    <w:rsid w:val="00F367B3"/>
    <w:rsid w:val="00F41064"/>
    <w:rsid w:val="00F4266E"/>
    <w:rsid w:val="00F4332E"/>
    <w:rsid w:val="00F43890"/>
    <w:rsid w:val="00F4469D"/>
    <w:rsid w:val="00F45631"/>
    <w:rsid w:val="00F45BA9"/>
    <w:rsid w:val="00F473D8"/>
    <w:rsid w:val="00F47B2C"/>
    <w:rsid w:val="00F50A11"/>
    <w:rsid w:val="00F517A6"/>
    <w:rsid w:val="00F52B69"/>
    <w:rsid w:val="00F53C57"/>
    <w:rsid w:val="00F55F69"/>
    <w:rsid w:val="00F56215"/>
    <w:rsid w:val="00F56E31"/>
    <w:rsid w:val="00F56FD2"/>
    <w:rsid w:val="00F600E6"/>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7D5"/>
    <w:rsid w:val="00F70BD7"/>
    <w:rsid w:val="00F71DD5"/>
    <w:rsid w:val="00F7315A"/>
    <w:rsid w:val="00F74288"/>
    <w:rsid w:val="00F74487"/>
    <w:rsid w:val="00F747B7"/>
    <w:rsid w:val="00F74BF2"/>
    <w:rsid w:val="00F76177"/>
    <w:rsid w:val="00F7651F"/>
    <w:rsid w:val="00F77081"/>
    <w:rsid w:val="00F7778A"/>
    <w:rsid w:val="00F80229"/>
    <w:rsid w:val="00F80E7B"/>
    <w:rsid w:val="00F8122F"/>
    <w:rsid w:val="00F821A5"/>
    <w:rsid w:val="00F82EF0"/>
    <w:rsid w:val="00F83FFF"/>
    <w:rsid w:val="00F84AA4"/>
    <w:rsid w:val="00F84BFA"/>
    <w:rsid w:val="00F8502D"/>
    <w:rsid w:val="00F90772"/>
    <w:rsid w:val="00F907C5"/>
    <w:rsid w:val="00F90A0D"/>
    <w:rsid w:val="00F91682"/>
    <w:rsid w:val="00F916D4"/>
    <w:rsid w:val="00F91A27"/>
    <w:rsid w:val="00F927DE"/>
    <w:rsid w:val="00F940B8"/>
    <w:rsid w:val="00F9585E"/>
    <w:rsid w:val="00F96A58"/>
    <w:rsid w:val="00FA2599"/>
    <w:rsid w:val="00FA28F5"/>
    <w:rsid w:val="00FA3DB4"/>
    <w:rsid w:val="00FA3F9B"/>
    <w:rsid w:val="00FA43E7"/>
    <w:rsid w:val="00FA4EC9"/>
    <w:rsid w:val="00FA526B"/>
    <w:rsid w:val="00FA68C6"/>
    <w:rsid w:val="00FB03CD"/>
    <w:rsid w:val="00FB24B5"/>
    <w:rsid w:val="00FB2E3A"/>
    <w:rsid w:val="00FB4168"/>
    <w:rsid w:val="00FB4E97"/>
    <w:rsid w:val="00FC1701"/>
    <w:rsid w:val="00FC2DA4"/>
    <w:rsid w:val="00FC3966"/>
    <w:rsid w:val="00FC45AB"/>
    <w:rsid w:val="00FC6B21"/>
    <w:rsid w:val="00FC739C"/>
    <w:rsid w:val="00FC7641"/>
    <w:rsid w:val="00FC786D"/>
    <w:rsid w:val="00FD0AFB"/>
    <w:rsid w:val="00FD2470"/>
    <w:rsid w:val="00FD30D8"/>
    <w:rsid w:val="00FD3745"/>
    <w:rsid w:val="00FD3A97"/>
    <w:rsid w:val="00FD3BC9"/>
    <w:rsid w:val="00FD558F"/>
    <w:rsid w:val="00FD6E48"/>
    <w:rsid w:val="00FD7B60"/>
    <w:rsid w:val="00FE24BD"/>
    <w:rsid w:val="00FE271C"/>
    <w:rsid w:val="00FE4494"/>
    <w:rsid w:val="00FE46EE"/>
    <w:rsid w:val="00FE5523"/>
    <w:rsid w:val="00FE6D6D"/>
    <w:rsid w:val="00FE740A"/>
    <w:rsid w:val="00FE75A7"/>
    <w:rsid w:val="00FE7FDA"/>
    <w:rsid w:val="00FF06AF"/>
    <w:rsid w:val="00FF0D6D"/>
    <w:rsid w:val="00FF5CC0"/>
    <w:rsid w:val="00FF5FAB"/>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DDF0"/>
  <w15:chartTrackingRefBased/>
  <w15:docId w15:val="{38498D4F-A8CC-42BC-8EC6-2428B88F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6492"/>
    <w:pPr>
      <w:spacing w:after="0" w:line="240" w:lineRule="auto"/>
    </w:pPr>
    <w:rPr>
      <w:sz w:val="20"/>
      <w:szCs w:val="20"/>
    </w:rPr>
  </w:style>
  <w:style w:type="character" w:customStyle="1" w:styleId="FootnoteTextChar">
    <w:name w:val="Footnote Text Char"/>
    <w:basedOn w:val="DefaultParagraphFont"/>
    <w:link w:val="FootnoteText"/>
    <w:uiPriority w:val="99"/>
    <w:rsid w:val="00E76492"/>
    <w:rPr>
      <w:sz w:val="20"/>
      <w:szCs w:val="20"/>
      <w:lang w:val="en-GB"/>
    </w:rPr>
  </w:style>
  <w:style w:type="character" w:styleId="FootnoteReference">
    <w:name w:val="footnote reference"/>
    <w:basedOn w:val="DefaultParagraphFont"/>
    <w:uiPriority w:val="99"/>
    <w:semiHidden/>
    <w:unhideWhenUsed/>
    <w:rsid w:val="00E76492"/>
    <w:rPr>
      <w:vertAlign w:val="superscript"/>
    </w:rPr>
  </w:style>
  <w:style w:type="character" w:styleId="Hyperlink">
    <w:name w:val="Hyperlink"/>
    <w:basedOn w:val="DefaultParagraphFont"/>
    <w:uiPriority w:val="99"/>
    <w:unhideWhenUsed/>
    <w:rsid w:val="0084279E"/>
    <w:rPr>
      <w:color w:val="0563C1" w:themeColor="hyperlink"/>
      <w:u w:val="single"/>
    </w:rPr>
  </w:style>
  <w:style w:type="character" w:styleId="UnresolvedMention">
    <w:name w:val="Unresolved Mention"/>
    <w:basedOn w:val="DefaultParagraphFont"/>
    <w:uiPriority w:val="99"/>
    <w:semiHidden/>
    <w:unhideWhenUsed/>
    <w:rsid w:val="0084279E"/>
    <w:rPr>
      <w:color w:val="605E5C"/>
      <w:shd w:val="clear" w:color="auto" w:fill="E1DFDD"/>
    </w:rPr>
  </w:style>
  <w:style w:type="paragraph" w:styleId="ListParagraph">
    <w:name w:val="List Paragraph"/>
    <w:basedOn w:val="Normal"/>
    <w:uiPriority w:val="34"/>
    <w:qFormat/>
    <w:rsid w:val="00A82281"/>
    <w:pPr>
      <w:ind w:left="720"/>
      <w:contextualSpacing/>
    </w:pPr>
  </w:style>
  <w:style w:type="paragraph" w:styleId="Header">
    <w:name w:val="header"/>
    <w:basedOn w:val="Normal"/>
    <w:link w:val="HeaderChar"/>
    <w:uiPriority w:val="99"/>
    <w:unhideWhenUsed/>
    <w:rsid w:val="00534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60"/>
    <w:rPr>
      <w:lang w:val="en-GB"/>
    </w:rPr>
  </w:style>
  <w:style w:type="paragraph" w:styleId="Footer">
    <w:name w:val="footer"/>
    <w:basedOn w:val="Normal"/>
    <w:link w:val="FooterChar"/>
    <w:uiPriority w:val="99"/>
    <w:unhideWhenUsed/>
    <w:rsid w:val="00534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60"/>
    <w:rPr>
      <w:lang w:val="en-GB"/>
    </w:rPr>
  </w:style>
  <w:style w:type="paragraph" w:styleId="NormalWeb">
    <w:name w:val="Normal (Web)"/>
    <w:basedOn w:val="Normal"/>
    <w:uiPriority w:val="99"/>
    <w:unhideWhenUsed/>
    <w:rsid w:val="003E7C2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7059">
      <w:bodyDiv w:val="1"/>
      <w:marLeft w:val="0"/>
      <w:marRight w:val="0"/>
      <w:marTop w:val="0"/>
      <w:marBottom w:val="0"/>
      <w:divBdr>
        <w:top w:val="none" w:sz="0" w:space="0" w:color="auto"/>
        <w:left w:val="none" w:sz="0" w:space="0" w:color="auto"/>
        <w:bottom w:val="none" w:sz="0" w:space="0" w:color="auto"/>
        <w:right w:val="none" w:sz="0" w:space="0" w:color="auto"/>
      </w:divBdr>
    </w:div>
    <w:div w:id="4910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hl-databases.icrc.org/customary-ihl/eng/docs/v2_rul_rule103" TargetMode="External"/><Relationship Id="rId2" Type="http://schemas.openxmlformats.org/officeDocument/2006/relationships/hyperlink" Target="https://main.knesset.gov.il/News/PressReleases/pages/press25.12.18kq.aspx" TargetMode="External"/><Relationship Id="rId1" Type="http://schemas.openxmlformats.org/officeDocument/2006/relationships/hyperlink" Target="https://news.walla.co.il/item/3173065" TargetMode="External"/><Relationship Id="rId6" Type="http://schemas.openxmlformats.org/officeDocument/2006/relationships/hyperlink" Target="https://www.haaretz.co.il/news/politics/1.3192648" TargetMode="External"/><Relationship Id="rId5" Type="http://schemas.openxmlformats.org/officeDocument/2006/relationships/hyperlink" Target="https://ihl-databases.icrc.org/customary-ihl/eng/docs/v1_rul_rule114" TargetMode="External"/><Relationship Id="rId4" Type="http://schemas.openxmlformats.org/officeDocument/2006/relationships/hyperlink" Target="https://ihl-databases.icrc.org/customary-ihl/eng/doc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D00AD-0E2E-42C8-A44E-01C8FA31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22</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13</cp:revision>
  <dcterms:created xsi:type="dcterms:W3CDTF">2021-05-25T01:34:00Z</dcterms:created>
  <dcterms:modified xsi:type="dcterms:W3CDTF">2021-06-03T02:36:00Z</dcterms:modified>
</cp:coreProperties>
</file>