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6F03" w14:textId="6730E76F" w:rsidR="002A7729" w:rsidRDefault="002A7729" w:rsidP="00761532"/>
    <w:p w14:paraId="2FD6169A" w14:textId="6360B1AC" w:rsidR="008A64B2" w:rsidRPr="002D1D4C" w:rsidRDefault="008A64B2" w:rsidP="002D1D4C">
      <w:r w:rsidRPr="00761532">
        <w:t xml:space="preserve">Trumpets and </w:t>
      </w:r>
      <w:r w:rsidR="00484069" w:rsidRPr="00FD0C23">
        <w:t>Shofarot</w:t>
      </w:r>
      <w:r w:rsidRPr="002D1D4C">
        <w:t xml:space="preserve"> in the War Scroll (1QM):</w:t>
      </w:r>
      <w:r w:rsidR="00761532">
        <w:t xml:space="preserve"> </w:t>
      </w:r>
      <w:r w:rsidRPr="006B08E4">
        <w:t xml:space="preserve">Musical and Terminological </w:t>
      </w:r>
      <w:r w:rsidR="00223E68" w:rsidRPr="006B08E4">
        <w:t>Insights</w:t>
      </w:r>
      <w:r w:rsidRPr="006B08E4">
        <w:rPr>
          <w:rStyle w:val="FootnoteReference"/>
          <w:b/>
          <w:bCs/>
          <w:sz w:val="32"/>
          <w:szCs w:val="32"/>
        </w:rPr>
        <w:footnoteReference w:customMarkFollows="1" w:id="1"/>
        <w:t>*</w:t>
      </w:r>
    </w:p>
    <w:p w14:paraId="432DEC29" w14:textId="77777777" w:rsidR="008A64B2" w:rsidRDefault="008A64B2"/>
    <w:p w14:paraId="063C13A6" w14:textId="50C7AC99" w:rsidR="00B9221E" w:rsidRPr="008D5ACC" w:rsidRDefault="008A64B2" w:rsidP="006B08E4">
      <w:r w:rsidRPr="008D5ACC">
        <w:t>Moshe Piamenta</w:t>
      </w:r>
    </w:p>
    <w:p w14:paraId="27F82490" w14:textId="391D061D" w:rsidR="00267C5F" w:rsidRDefault="00267C5F" w:rsidP="006B08E4"/>
    <w:p w14:paraId="57D56572" w14:textId="154C7F0E" w:rsidR="00597381" w:rsidRDefault="008A64B2" w:rsidP="006B08E4">
      <w:r w:rsidRPr="008D5ACC">
        <w:t xml:space="preserve">This article is an archaeo-musicological study of the </w:t>
      </w:r>
      <w:r w:rsidR="00597381" w:rsidRPr="008D5ACC">
        <w:t>trumpets (</w:t>
      </w:r>
      <w:r w:rsidR="00597381" w:rsidRPr="008D5ACC">
        <w:rPr>
          <w:i/>
          <w:iCs/>
          <w:shd w:val="clear" w:color="auto" w:fill="FFFFFF"/>
        </w:rPr>
        <w:t>ḥ</w:t>
      </w:r>
      <w:r w:rsidR="00597381" w:rsidRPr="008D5ACC">
        <w:rPr>
          <w:i/>
          <w:iCs/>
        </w:rPr>
        <w:t>a</w:t>
      </w:r>
      <w:r w:rsidR="00597381" w:rsidRPr="008D5ACC">
        <w:rPr>
          <w:i/>
          <w:iCs/>
          <w:shd w:val="clear" w:color="auto" w:fill="FFFFFF"/>
          <w:lang w:bidi="ar"/>
        </w:rPr>
        <w:t>ṣoṣrot</w:t>
      </w:r>
      <w:r w:rsidR="00597381">
        <w:rPr>
          <w:shd w:val="clear" w:color="auto" w:fill="FFFFFF"/>
          <w:lang w:bidi="ar"/>
        </w:rPr>
        <w:t>, metal wind instruments</w:t>
      </w:r>
      <w:r w:rsidR="00597381" w:rsidRPr="008D5ACC">
        <w:t>) and</w:t>
      </w:r>
      <w:r w:rsidR="00597381">
        <w:t xml:space="preserve"> shofarot (animal horns) </w:t>
      </w:r>
      <w:r w:rsidRPr="008D5ACC">
        <w:t xml:space="preserve">in the War Scroll from the Dead Sea Scrolls of Qumran. The study of </w:t>
      </w:r>
      <w:r w:rsidRPr="008D5ACC">
        <w:lastRenderedPageBreak/>
        <w:t xml:space="preserve">ancient Jewish music is </w:t>
      </w:r>
      <w:r w:rsidR="00226FC2">
        <w:t>largely uncharted territory</w:t>
      </w:r>
      <w:r w:rsidRPr="008D5ACC">
        <w:t xml:space="preserve">. Many musical terms, including the names of musical instruments, that appear in the Bible, Second Temple writings, and rabbinic literature are not fully understood, and there are many questions about their interpretation. For this reason, the War Scroll is one of the most important sources for archaeo-musicological scholarship of the ancient world generally, and of the Second Temple period in particular. This is not only because of the extensive description of the use of trumpets and </w:t>
      </w:r>
      <w:r w:rsidR="00EB22FA">
        <w:t>shofarot</w:t>
      </w:r>
      <w:r w:rsidRPr="008D5ACC">
        <w:t xml:space="preserve"> in warfare</w:t>
      </w:r>
      <w:r w:rsidR="00C43B8B">
        <w:t xml:space="preserve"> that is found in the scroll, </w:t>
      </w:r>
      <w:r w:rsidRPr="008D5ACC">
        <w:t>but especially because of the rarity of this rich description</w:t>
      </w:r>
      <w:r w:rsidR="00C43B8B">
        <w:t xml:space="preserve"> elsewhere</w:t>
      </w:r>
      <w:r w:rsidR="00D87D69" w:rsidRPr="00D87D69">
        <w:t xml:space="preserve"> </w:t>
      </w:r>
      <w:r w:rsidR="00D87D69" w:rsidRPr="008D5ACC">
        <w:t>which is unmatched in any ancient work</w:t>
      </w:r>
      <w:r w:rsidR="00C71F52">
        <w:t xml:space="preserve">; </w:t>
      </w:r>
      <w:commentRangeStart w:id="0"/>
      <w:r w:rsidR="00C71F52">
        <w:t xml:space="preserve">such richness of musical </w:t>
      </w:r>
      <w:r w:rsidR="006B72F6">
        <w:t>content</w:t>
      </w:r>
      <w:r w:rsidRPr="008D5ACC">
        <w:t xml:space="preserve"> </w:t>
      </w:r>
      <w:commentRangeEnd w:id="0"/>
      <w:r w:rsidR="00F50DDC">
        <w:rPr>
          <w:rStyle w:val="CommentReference"/>
        </w:rPr>
        <w:commentReference w:id="0"/>
      </w:r>
      <w:r w:rsidRPr="008D5ACC">
        <w:t xml:space="preserve">is unmatched in any ancient work, Jewish, Hellenistic, or Roman. This uniquely extensive description includes a detailed </w:t>
      </w:r>
      <w:bookmarkStart w:id="1" w:name="_Hlk77983405"/>
      <w:r w:rsidRPr="008D5ACC">
        <w:t>itemization</w:t>
      </w:r>
      <w:bookmarkEnd w:id="1"/>
      <w:r w:rsidRPr="008D5ACC">
        <w:t xml:space="preserve"> of the stages in which the priests use different types of trumpets to direct the fighting forces, and of the </w:t>
      </w:r>
      <w:r w:rsidRPr="008A64B2">
        <w:t xml:space="preserve">sounding of the </w:t>
      </w:r>
      <w:r w:rsidR="00B56F68">
        <w:t>shofarot</w:t>
      </w:r>
      <w:r w:rsidRPr="008A64B2">
        <w:t xml:space="preserve"> by the Levites </w:t>
      </w:r>
      <w:r w:rsidRPr="008D5ACC">
        <w:t xml:space="preserve">and the people </w:t>
      </w:r>
      <w:r>
        <w:t>as a means of</w:t>
      </w:r>
      <w:r w:rsidRPr="008D5ACC">
        <w:t xml:space="preserve"> </w:t>
      </w:r>
      <w:r w:rsidR="00A0315C">
        <w:t>instilling</w:t>
      </w:r>
      <w:r>
        <w:t xml:space="preserve"> f</w:t>
      </w:r>
      <w:r w:rsidRPr="008D5ACC">
        <w:t xml:space="preserve">ear </w:t>
      </w:r>
      <w:r>
        <w:t>in</w:t>
      </w:r>
      <w:r w:rsidRPr="008D5ACC">
        <w:t xml:space="preserve"> the enemy. In addition, the scroll lists the types of sounds generated by trumpets and s</w:t>
      </w:r>
      <w:r w:rsidR="00EB22FA">
        <w:t>hofarot</w:t>
      </w:r>
      <w:r w:rsidRPr="008D5ACC">
        <w:t xml:space="preserve"> in battle, using technical and musical terms whose meaning is not always clear.</w:t>
      </w:r>
    </w:p>
    <w:p w14:paraId="44E69FC4" w14:textId="00DE4AFA" w:rsidR="00597381" w:rsidRPr="008D5ACC" w:rsidRDefault="00597381" w:rsidP="006B08E4">
      <w:r w:rsidRPr="008D5ACC">
        <w:t>In this article</w:t>
      </w:r>
      <w:r>
        <w:t>,</w:t>
      </w:r>
      <w:r w:rsidRPr="008D5ACC">
        <w:t xml:space="preserve"> I re-examine the interpretations that previous scholars have suggested for the terms describing the sounds made by the trumpets and s</w:t>
      </w:r>
      <w:r>
        <w:t>hofarot</w:t>
      </w:r>
      <w:r w:rsidRPr="008D5ACC">
        <w:t xml:space="preserve"> in 1QM</w:t>
      </w:r>
      <w:r w:rsidR="00AF7E3A">
        <w:t>,</w:t>
      </w:r>
      <w:r w:rsidRPr="008D5ACC">
        <w:t xml:space="preserve"> and</w:t>
      </w:r>
      <w:r w:rsidR="00AF7E3A">
        <w:t>,</w:t>
      </w:r>
      <w:r w:rsidRPr="008D5ACC">
        <w:t xml:space="preserve"> in some cases</w:t>
      </w:r>
      <w:r w:rsidR="00AF7E3A">
        <w:t>,</w:t>
      </w:r>
      <w:r w:rsidRPr="008D5ACC">
        <w:t xml:space="preserve"> I offer new interpretations. I also examine how trumpets and s</w:t>
      </w:r>
      <w:r>
        <w:t>hofarot</w:t>
      </w:r>
      <w:r w:rsidRPr="008D5ACC">
        <w:t xml:space="preserve"> were used in specific stages of </w:t>
      </w:r>
      <w:r>
        <w:t>the eschatological war depicted in the scroll</w:t>
      </w:r>
      <w:r w:rsidRPr="008D5ACC">
        <w:t xml:space="preserve"> and suggest a number of ways to understand the military uses and purpose</w:t>
      </w:r>
      <w:r>
        <w:t xml:space="preserve"> of</w:t>
      </w:r>
      <w:r w:rsidRPr="008D5ACC">
        <w:t xml:space="preserve"> </w:t>
      </w:r>
      <w:r>
        <w:t>the incorporation of these instruments.</w:t>
      </w:r>
      <w:r w:rsidRPr="008D5ACC">
        <w:t xml:space="preserve"> In addition to contributi</w:t>
      </w:r>
      <w:r>
        <w:t>ng</w:t>
      </w:r>
      <w:r w:rsidRPr="008D5ACC">
        <w:t xml:space="preserve"> to the understanding of the musical terms that appear in the War Scroll, my research opens a window </w:t>
      </w:r>
      <w:r>
        <w:t xml:space="preserve">to </w:t>
      </w:r>
      <w:r w:rsidRPr="008D5ACC">
        <w:t xml:space="preserve">the rich musical language </w:t>
      </w:r>
      <w:r>
        <w:t>used by t</w:t>
      </w:r>
      <w:r w:rsidRPr="008D5ACC">
        <w:t xml:space="preserve">he </w:t>
      </w:r>
      <w:r>
        <w:t>Dead Sea sect</w:t>
      </w:r>
      <w:r w:rsidRPr="008D5ACC">
        <w:t xml:space="preserve"> and perhaps also </w:t>
      </w:r>
      <w:r>
        <w:t>by</w:t>
      </w:r>
      <w:r w:rsidRPr="008D5ACC">
        <w:t xml:space="preserve"> other groups in the</w:t>
      </w:r>
      <w:r>
        <w:t xml:space="preserve"> </w:t>
      </w:r>
      <w:r w:rsidRPr="008D5ACC">
        <w:t>Second Temple era</w:t>
      </w:r>
      <w:r>
        <w:t>.</w:t>
      </w:r>
      <w:r>
        <w:rPr>
          <w:rStyle w:val="FootnoteReference"/>
        </w:rPr>
        <w:footnoteReference w:id="2"/>
      </w:r>
    </w:p>
    <w:p w14:paraId="3BE0BD34" w14:textId="6AEEFD3C" w:rsidR="00597381" w:rsidRPr="008D5ACC" w:rsidRDefault="007E6CE1" w:rsidP="006B08E4">
      <w:r w:rsidRPr="00A16879">
        <w:rPr>
          <w:rFonts w:ascii="IowanOldSt BT Pro Roman" w:eastAsia="MS Mincho" w:hAnsi="IowanOldSt BT Pro Roman" w:cs="Times New Roman"/>
        </w:rPr>
        <w:t xml:space="preserve">&lt;H1&gt; </w:t>
      </w:r>
      <w:commentRangeStart w:id="2"/>
      <w:r w:rsidR="00597381" w:rsidRPr="00761532">
        <w:t>Introduction</w:t>
      </w:r>
      <w:commentRangeEnd w:id="2"/>
      <w:r w:rsidR="00784C7C">
        <w:rPr>
          <w:rStyle w:val="CommentReference"/>
        </w:rPr>
        <w:commentReference w:id="2"/>
      </w:r>
    </w:p>
    <w:p w14:paraId="720298AA" w14:textId="5B043823" w:rsidR="008A64B2" w:rsidRDefault="00597381" w:rsidP="006B08E4">
      <w:r w:rsidRPr="008D5ACC">
        <w:t xml:space="preserve">Archaeological-musicological research deals with the study </w:t>
      </w:r>
      <w:r>
        <w:rPr>
          <w:lang w:bidi="he-IL"/>
        </w:rPr>
        <w:t xml:space="preserve">of </w:t>
      </w:r>
      <w:r w:rsidRPr="008D5ACC">
        <w:t>sound</w:t>
      </w:r>
      <w:r>
        <w:t xml:space="preserve"> and music</w:t>
      </w:r>
      <w:r w:rsidRPr="008D5ACC">
        <w:t xml:space="preserve"> in antiquity </w:t>
      </w:r>
      <w:r>
        <w:t>as well as</w:t>
      </w:r>
      <w:r w:rsidRPr="008D5ACC">
        <w:t xml:space="preserve"> abstract musical </w:t>
      </w:r>
      <w:r>
        <w:t>concepts</w:t>
      </w:r>
      <w:r w:rsidRPr="008D5ACC">
        <w:t xml:space="preserve"> that have long since passed from the world. In the absence of a musical notation system, all that remains from the vocal and instrumental customs of the ancient people of Israel is the vague echo that emerges from written sources and archaeological finds.</w:t>
      </w:r>
      <w:r w:rsidRPr="008D5ACC">
        <w:rPr>
          <w:rStyle w:val="FootnoteReference"/>
        </w:rPr>
        <w:footnoteReference w:id="3"/>
      </w:r>
      <w:r w:rsidRPr="008D5ACC">
        <w:t xml:space="preserve"> </w:t>
      </w:r>
      <w:r w:rsidRPr="00A66A4B">
        <w:t xml:space="preserve">The written sources contain scant information about the typology and technical characteristics of the instruments that they name </w:t>
      </w:r>
      <w:r>
        <w:t xml:space="preserve">and about </w:t>
      </w:r>
      <w:r w:rsidRPr="00A66A4B">
        <w:t>the etymology and meaning of the musical terms that they feature.</w:t>
      </w:r>
      <w:r w:rsidRPr="008D5ACC">
        <w:t xml:space="preserve"> The principal information that emerges from these sources concerns the description of the occasions and functions in which the instruments were used (for example: in </w:t>
      </w:r>
      <w:r>
        <w:t>religious rites</w:t>
      </w:r>
      <w:r w:rsidRPr="008D5ACC">
        <w:t xml:space="preserve">, on the battlefield, and </w:t>
      </w:r>
      <w:r>
        <w:t>on</w:t>
      </w:r>
      <w:r w:rsidRPr="008D5ACC">
        <w:t xml:space="preserve"> festivals). In addition, there are more than 800 arch</w:t>
      </w:r>
      <w:r w:rsidR="00FA7C1D">
        <w:t>aeological</w:t>
      </w:r>
      <w:r w:rsidRPr="008D5ACC">
        <w:t xml:space="preserve"> finds related to the music of the ancient land of Israel, including the remains of musical instruments, as well as finds with visual depictions of musical instruments on coins, reliefs, mosaics, and the like</w:t>
      </w:r>
      <w:r>
        <w:t>.</w:t>
      </w:r>
      <w:r w:rsidRPr="008D5ACC">
        <w:rPr>
          <w:rStyle w:val="FootnoteReference"/>
        </w:rPr>
        <w:footnoteReference w:id="4"/>
      </w:r>
      <w:r>
        <w:t xml:space="preserve"> D</w:t>
      </w:r>
      <w:r w:rsidRPr="008D5ACC">
        <w:t xml:space="preserve">espite the richness of the archaeological finds, it is difficult to establish the </w:t>
      </w:r>
      <w:r>
        <w:t xml:space="preserve">instruments’ </w:t>
      </w:r>
      <w:r w:rsidRPr="008D5ACC">
        <w:t>acoustic effect, due to the poor state of their preservation.</w:t>
      </w:r>
      <w:r w:rsidRPr="008D5ACC">
        <w:rPr>
          <w:rStyle w:val="FootnoteReference"/>
        </w:rPr>
        <w:footnoteReference w:id="5"/>
      </w:r>
      <w:r w:rsidRPr="008D5ACC">
        <w:t xml:space="preserve"> Against this background, the War Scroll stands out as one of the most important sources for the study of the use of trumpets and </w:t>
      </w:r>
      <w:r>
        <w:t>shofarot</w:t>
      </w:r>
      <w:r w:rsidRPr="008D5ACC">
        <w:t xml:space="preserve"> in ancient warfare, as well as for the study of the use of musical terms </w:t>
      </w:r>
      <w:r>
        <w:t>by the Dead Sea sect</w:t>
      </w:r>
      <w:r w:rsidRPr="008D5ACC">
        <w:t>.</w:t>
      </w:r>
      <w:commentRangeStart w:id="3"/>
      <w:commentRangeStart w:id="4"/>
      <w:commentRangeStart w:id="5"/>
      <w:r w:rsidR="00AE7CD4">
        <w:rPr>
          <w:rStyle w:val="FootnoteReference"/>
          <w:lang w:bidi="he-IL"/>
        </w:rPr>
        <w:footnoteReference w:id="6"/>
      </w:r>
      <w:commentRangeEnd w:id="3"/>
      <w:r w:rsidR="00AE7CD4">
        <w:rPr>
          <w:rStyle w:val="CommentReference"/>
        </w:rPr>
        <w:commentReference w:id="3"/>
      </w:r>
      <w:commentRangeEnd w:id="4"/>
      <w:r w:rsidR="00AE7CD4">
        <w:rPr>
          <w:rStyle w:val="CommentReference"/>
        </w:rPr>
        <w:commentReference w:id="4"/>
      </w:r>
      <w:commentRangeEnd w:id="5"/>
      <w:r w:rsidR="00AE7CD4">
        <w:rPr>
          <w:rStyle w:val="CommentReference"/>
        </w:rPr>
        <w:commentReference w:id="5"/>
      </w:r>
    </w:p>
    <w:p w14:paraId="7E244B8C" w14:textId="41A5C3F1" w:rsidR="005D516D" w:rsidRDefault="008A64B2" w:rsidP="006B08E4">
      <w:r w:rsidRPr="008D5ACC">
        <w:t>The War Scroll (hereafter, 1QM) is one of the first seven scrolls discovered in 1947 in Cave 1 near the site of Khirbet Qumran</w:t>
      </w:r>
      <w:r w:rsidR="00BD5251">
        <w:t xml:space="preserve"> and was </w:t>
      </w:r>
      <w:r w:rsidR="00BD5251" w:rsidRPr="008D5ACC">
        <w:t>first published by Yigael Yadin in 1955</w:t>
      </w:r>
      <w:r w:rsidR="00BD5251">
        <w:t>.</w:t>
      </w:r>
      <w:r w:rsidR="00BD5251" w:rsidRPr="008D5ACC">
        <w:rPr>
          <w:rStyle w:val="FootnoteReference"/>
        </w:rPr>
        <w:footnoteReference w:id="7"/>
      </w:r>
      <w:r w:rsidRPr="008D5ACC">
        <w:t xml:space="preserve"> The scroll describes a war that will take place </w:t>
      </w:r>
      <w:r w:rsidR="002912C4">
        <w:t>at</w:t>
      </w:r>
      <w:r w:rsidR="002912C4" w:rsidRPr="008D5ACC">
        <w:t xml:space="preserve"> </w:t>
      </w:r>
      <w:r w:rsidRPr="008D5ACC">
        <w:t xml:space="preserve">the </w:t>
      </w:r>
      <w:r>
        <w:t>e</w:t>
      </w:r>
      <w:r w:rsidRPr="008D5ACC">
        <w:t xml:space="preserve">nd of </w:t>
      </w:r>
      <w:r>
        <w:t>d</w:t>
      </w:r>
      <w:r w:rsidRPr="008D5ACC">
        <w:t xml:space="preserve">ays, </w:t>
      </w:r>
      <w:r w:rsidR="005B1867">
        <w:t>in which</w:t>
      </w:r>
      <w:r w:rsidRPr="008D5ACC">
        <w:t xml:space="preserve"> the forces of good—the Sons of Light (the </w:t>
      </w:r>
      <w:r w:rsidR="00BF2562">
        <w:t>members of the sect)</w:t>
      </w:r>
      <w:r w:rsidRPr="008D5ACC">
        <w:t xml:space="preserve">, </w:t>
      </w:r>
      <w:r w:rsidR="005B1867">
        <w:t xml:space="preserve">will be pitted </w:t>
      </w:r>
      <w:r w:rsidRPr="008D5ACC">
        <w:t>against the forces of evil—the Sons of Darkness (the enemies of Israel). It is anticipated that the victory of the Sons of Light in this war will lead to the eradication of evil from the world.</w:t>
      </w:r>
      <w:r w:rsidRPr="008D5ACC">
        <w:rPr>
          <w:rStyle w:val="FootnoteReference"/>
        </w:rPr>
        <w:footnoteReference w:id="8"/>
      </w:r>
      <w:r w:rsidRPr="008D5ACC">
        <w:t xml:space="preserve"> The scroll</w:t>
      </w:r>
      <w:r>
        <w:t xml:space="preserve"> </w:t>
      </w:r>
      <w:r w:rsidRPr="008D5ACC">
        <w:t xml:space="preserve">details the different stages of the war, tactical and military elements related to the organization of the army, the Sons of Light’s weapons and methods of warfare, and prayers associated with the war and with the encouragement of the soldiers. </w:t>
      </w:r>
      <w:r>
        <w:t>The scroll</w:t>
      </w:r>
      <w:r w:rsidR="00BD5251">
        <w:t xml:space="preserve"> </w:t>
      </w:r>
      <w:r>
        <w:t>is dated by</w:t>
      </w:r>
      <w:r w:rsidRPr="008D5ACC">
        <w:t xml:space="preserve"> </w:t>
      </w:r>
      <w:r>
        <w:t xml:space="preserve">most scholars </w:t>
      </w:r>
      <w:r w:rsidRPr="008D5ACC">
        <w:t>to the second half of the first century BCE.</w:t>
      </w:r>
      <w:r w:rsidRPr="008D5ACC">
        <w:rPr>
          <w:rStyle w:val="FootnoteReference"/>
        </w:rPr>
        <w:footnoteReference w:id="9"/>
      </w:r>
      <w:r w:rsidRPr="008D5ACC">
        <w:t xml:space="preserve"> The length of </w:t>
      </w:r>
      <w:r>
        <w:t>1QM</w:t>
      </w:r>
      <w:r w:rsidRPr="008D5ACC">
        <w:t xml:space="preserve"> is approximately 2.30 meters and its height is approximately 16 cm. </w:t>
      </w:r>
      <w:r>
        <w:t>There are</w:t>
      </w:r>
      <w:r w:rsidRPr="008D5ACC">
        <w:t xml:space="preserve"> eighteen columns</w:t>
      </w:r>
      <w:r>
        <w:t xml:space="preserve"> extant in the scroll</w:t>
      </w:r>
      <w:r w:rsidRPr="008D5ACC">
        <w:t>. The bottoms of the columns have not been preserved so that 16-19 lines remain on each column.</w:t>
      </w:r>
      <w:r w:rsidRPr="008D5ACC">
        <w:rPr>
          <w:rStyle w:val="FootnoteReference"/>
        </w:rPr>
        <w:footnoteReference w:id="10"/>
      </w:r>
    </w:p>
    <w:p w14:paraId="317ABC65" w14:textId="756A1BF4" w:rsidR="008A64B2" w:rsidRPr="00A66A4B" w:rsidRDefault="008A64B2" w:rsidP="006B08E4">
      <w:r w:rsidRPr="00CA3E93">
        <w:t xml:space="preserve">One of the topics </w:t>
      </w:r>
      <w:r>
        <w:t>described</w:t>
      </w:r>
      <w:r w:rsidRPr="00CA3E93">
        <w:t xml:space="preserve"> at length </w:t>
      </w:r>
      <w:r>
        <w:t xml:space="preserve">in 1QM </w:t>
      </w:r>
      <w:r w:rsidRPr="00CA3E93">
        <w:t>is the priests</w:t>
      </w:r>
      <w:r>
        <w:t>’ use</w:t>
      </w:r>
      <w:r w:rsidRPr="00CA3E93">
        <w:t xml:space="preserve"> of many types of trumpets,</w:t>
      </w:r>
      <w:r>
        <w:rPr>
          <w:rStyle w:val="FootnoteReference"/>
        </w:rPr>
        <w:footnoteReference w:id="11"/>
      </w:r>
      <w:r w:rsidRPr="00CA3E93">
        <w:t xml:space="preserve"> in parallel with the use </w:t>
      </w:r>
      <w:r>
        <w:t xml:space="preserve">of </w:t>
      </w:r>
      <w:r w:rsidR="00EB22FA">
        <w:t>shofarot</w:t>
      </w:r>
      <w:r>
        <w:t xml:space="preserve"> by the </w:t>
      </w:r>
      <w:r w:rsidRPr="00CA3E93">
        <w:t xml:space="preserve">Levites and the people. The trumpets are first mentioned in </w:t>
      </w:r>
      <w:r>
        <w:t xml:space="preserve">1QM </w:t>
      </w:r>
      <w:r w:rsidR="00BA4AEA">
        <w:t>2:</w:t>
      </w:r>
      <w:r w:rsidRPr="00CA3E93">
        <w:t>16</w:t>
      </w:r>
      <w:r>
        <w:t xml:space="preserve"> </w:t>
      </w:r>
      <w:r w:rsidRPr="00E66CF2">
        <w:rPr>
          <w:sz w:val="20"/>
          <w:szCs w:val="20"/>
        </w:rPr>
        <w:t>–</w:t>
      </w:r>
      <w:r>
        <w:rPr>
          <w:sz w:val="20"/>
          <w:szCs w:val="20"/>
        </w:rPr>
        <w:t xml:space="preserve"> </w:t>
      </w:r>
      <w:r w:rsidR="00BA4AEA">
        <w:t>3:</w:t>
      </w:r>
      <w:r>
        <w:t>1</w:t>
      </w:r>
      <w:r w:rsidRPr="00CA3E93">
        <w:t xml:space="preserve">1. This part of the scroll is devoted to </w:t>
      </w:r>
      <w:r>
        <w:t>listing</w:t>
      </w:r>
      <w:r w:rsidRPr="00CA3E93">
        <w:t xml:space="preserve"> the names of </w:t>
      </w:r>
      <w:r>
        <w:t>thirteen</w:t>
      </w:r>
      <w:r w:rsidRPr="00CA3E93">
        <w:t xml:space="preserve"> different types of trumpets, </w:t>
      </w:r>
      <w:r w:rsidR="001F5374">
        <w:t xml:space="preserve">each type </w:t>
      </w:r>
      <w:r w:rsidRPr="00CA3E93">
        <w:t xml:space="preserve">related to the stage in the war in which they will be used (e.g., </w:t>
      </w:r>
      <w:r>
        <w:t xml:space="preserve">“the </w:t>
      </w:r>
      <w:r w:rsidRPr="00CA3E93">
        <w:t>trumpets</w:t>
      </w:r>
      <w:r>
        <w:t xml:space="preserve"> for </w:t>
      </w:r>
      <w:r w:rsidR="00051CB0">
        <w:t>assembling</w:t>
      </w:r>
      <w:r>
        <w:t>” and</w:t>
      </w:r>
      <w:r w:rsidRPr="00CA3E93">
        <w:t xml:space="preserve"> </w:t>
      </w:r>
      <w:r>
        <w:t>“the</w:t>
      </w:r>
      <w:r w:rsidRPr="00CA3E93">
        <w:t xml:space="preserve"> trumpets</w:t>
      </w:r>
      <w:r>
        <w:t xml:space="preserve"> of pursuit”</w:t>
      </w:r>
      <w:r w:rsidRPr="00CA3E93">
        <w:t xml:space="preserve">), and </w:t>
      </w:r>
      <w:r>
        <w:t xml:space="preserve">to specify the different inscriptions that were written </w:t>
      </w:r>
      <w:r w:rsidRPr="00CA3E93">
        <w:t>on each type of trumpet.</w:t>
      </w:r>
      <w:r w:rsidR="00051CB0">
        <w:rPr>
          <w:rStyle w:val="FootnoteReference"/>
        </w:rPr>
        <w:footnoteReference w:id="12"/>
      </w:r>
      <w:r>
        <w:t xml:space="preserve"> </w:t>
      </w:r>
      <w:r w:rsidRPr="00CA3E93">
        <w:t xml:space="preserve">These inscriptions have religious and </w:t>
      </w:r>
      <w:r w:rsidRPr="00DD7C09">
        <w:t xml:space="preserve">eschatological significance (e.g., </w:t>
      </w:r>
      <w:r w:rsidR="00BA4AEA">
        <w:t>1QM 3:</w:t>
      </w:r>
      <w:r w:rsidRPr="00DD7C09">
        <w:t>4, “</w:t>
      </w:r>
      <w:r w:rsidR="00DA6D78">
        <w:t>the testimonies of</w:t>
      </w:r>
      <w:r>
        <w:t xml:space="preserve"> God for a </w:t>
      </w:r>
      <w:r w:rsidR="00DA6D78">
        <w:t>holy congregation</w:t>
      </w:r>
      <w:r w:rsidRPr="00DD7C09">
        <w:t xml:space="preserve">” and </w:t>
      </w:r>
      <w:r w:rsidR="00BA4AEA">
        <w:t>1QM 3:</w:t>
      </w:r>
      <w:r w:rsidRPr="00DD7C09">
        <w:t xml:space="preserve">5, </w:t>
      </w:r>
      <w:r>
        <w:t>“</w:t>
      </w:r>
      <w:r w:rsidR="00DA6D78">
        <w:t xml:space="preserve">the </w:t>
      </w:r>
      <w:r>
        <w:t xml:space="preserve">mighty deeds </w:t>
      </w:r>
      <w:r w:rsidR="00DA6D78">
        <w:t xml:space="preserve">of God </w:t>
      </w:r>
      <w:r>
        <w:t xml:space="preserve">to scatter the enemy and to put </w:t>
      </w:r>
      <w:r w:rsidR="00DA6D78">
        <w:t xml:space="preserve">all those who hate </w:t>
      </w:r>
      <w:r>
        <w:t>justice</w:t>
      </w:r>
      <w:r w:rsidR="00DA6D78">
        <w:t xml:space="preserve"> to flight</w:t>
      </w:r>
      <w:r>
        <w:t>”</w:t>
      </w:r>
      <w:r w:rsidRPr="00DD7C09">
        <w:t xml:space="preserve">), and they apparently express </w:t>
      </w:r>
      <w:r w:rsidR="004528F7">
        <w:t>how</w:t>
      </w:r>
      <w:r w:rsidRPr="00DD7C09">
        <w:t xml:space="preserve"> the use of each type of trumpet will affect the course of </w:t>
      </w:r>
      <w:r w:rsidR="004528F7">
        <w:t xml:space="preserve">the </w:t>
      </w:r>
      <w:r w:rsidRPr="00DD7C09">
        <w:t>war (</w:t>
      </w:r>
      <w:r w:rsidR="00A251DF">
        <w:t>e.g.</w:t>
      </w:r>
      <w:r w:rsidRPr="00DD7C09">
        <w:t xml:space="preserve">, </w:t>
      </w:r>
      <w:r w:rsidR="00BA4AEA">
        <w:t>1QM 3:</w:t>
      </w:r>
      <w:r w:rsidRPr="00DD7C09">
        <w:t xml:space="preserve">9, </w:t>
      </w:r>
      <w:r>
        <w:t>“</w:t>
      </w:r>
      <w:r w:rsidRPr="00DD7C09">
        <w:t xml:space="preserve">on the trumpets of </w:t>
      </w:r>
      <w:r>
        <w:t>pursuit they shall write, ‘God ha</w:t>
      </w:r>
      <w:r w:rsidR="00A251DF">
        <w:t>s struck</w:t>
      </w:r>
      <w:r>
        <w:t xml:space="preserve"> all Sons of Darkness, H</w:t>
      </w:r>
      <w:r w:rsidR="00A251DF">
        <w:t>e</w:t>
      </w:r>
      <w:r>
        <w:t xml:space="preserve"> shall not </w:t>
      </w:r>
      <w:r w:rsidR="00A251DF">
        <w:t>abate his anger</w:t>
      </w:r>
      <w:r>
        <w:t xml:space="preserve"> until they are annihilated’”</w:t>
      </w:r>
      <w:r w:rsidR="00A251DF">
        <w:t>).</w:t>
      </w:r>
      <w:r w:rsidR="008D628B">
        <w:t xml:space="preserve"> </w:t>
      </w:r>
      <w:r w:rsidRPr="00CA3E93">
        <w:t xml:space="preserve">Some of the trumpets are used for administrative purposes (summoning warriors, summoning </w:t>
      </w:r>
      <w:r>
        <w:t xml:space="preserve">the leaders of the </w:t>
      </w:r>
      <w:r w:rsidR="00287999">
        <w:t>sect</w:t>
      </w:r>
      <w:r w:rsidR="004528F7">
        <w:t>,</w:t>
      </w:r>
      <w:r w:rsidRPr="00CA3E93">
        <w:t xml:space="preserve"> etc.), </w:t>
      </w:r>
      <w:r w:rsidR="005D516D">
        <w:t>and</w:t>
      </w:r>
      <w:r w:rsidRPr="00CA3E93">
        <w:t xml:space="preserve"> their sounds are not </w:t>
      </w:r>
      <w:r>
        <w:t>specified.</w:t>
      </w:r>
      <w:r w:rsidRPr="00CA3E93">
        <w:t xml:space="preserve"> </w:t>
      </w:r>
      <w:r>
        <w:t>S</w:t>
      </w:r>
      <w:r w:rsidRPr="00CA3E93">
        <w:t xml:space="preserve">ome are used for tactical purposes by sounding various signals in battle </w:t>
      </w:r>
      <w:r>
        <w:t>to</w:t>
      </w:r>
      <w:r w:rsidRPr="00CA3E93">
        <w:t xml:space="preserve"> direct</w:t>
      </w:r>
      <w:r>
        <w:t xml:space="preserve"> the</w:t>
      </w:r>
      <w:r w:rsidRPr="00CA3E93">
        <w:t xml:space="preserve"> warriors in </w:t>
      </w:r>
      <w:r>
        <w:t xml:space="preserve">the </w:t>
      </w:r>
      <w:r w:rsidRPr="00CA3E93">
        <w:t xml:space="preserve">various stages of combat (such as assault, retreat, etc.). The tactical trumpets are a key element in the descriptions of the war in </w:t>
      </w:r>
      <w:r w:rsidR="00BA4AEA">
        <w:t>1QM 7:</w:t>
      </w:r>
      <w:r>
        <w:t>9</w:t>
      </w:r>
      <w:r w:rsidRPr="00E66CF2">
        <w:rPr>
          <w:sz w:val="20"/>
          <w:szCs w:val="20"/>
        </w:rPr>
        <w:t>–</w:t>
      </w:r>
      <w:r w:rsidR="00BA4AEA">
        <w:t>9:</w:t>
      </w:r>
      <w:r w:rsidRPr="00CA3E93">
        <w:t>9 and</w:t>
      </w:r>
      <w:r>
        <w:t xml:space="preserve"> </w:t>
      </w:r>
      <w:r w:rsidR="00BA4AEA">
        <w:t>16:</w:t>
      </w:r>
      <w:r>
        <w:t>3–</w:t>
      </w:r>
      <w:r w:rsidR="00BA4AEA">
        <w:t>18:</w:t>
      </w:r>
      <w:r>
        <w:t>4</w:t>
      </w:r>
      <w:r w:rsidRPr="00CA3E93">
        <w:t xml:space="preserve">. </w:t>
      </w:r>
      <w:r>
        <w:t>T</w:t>
      </w:r>
      <w:r w:rsidRPr="00CA3E93">
        <w:t xml:space="preserve">hese </w:t>
      </w:r>
      <w:r>
        <w:t>sections</w:t>
      </w:r>
      <w:r w:rsidRPr="00CA3E93">
        <w:t xml:space="preserve"> of the scroll </w:t>
      </w:r>
      <w:r>
        <w:t>contain</w:t>
      </w:r>
      <w:r w:rsidRPr="00CA3E93">
        <w:t xml:space="preserve"> a detailed description of the priests</w:t>
      </w:r>
      <w:r>
        <w:t>’</w:t>
      </w:r>
      <w:r w:rsidRPr="00CA3E93">
        <w:t xml:space="preserve"> use of various kinds </w:t>
      </w:r>
      <w:r>
        <w:t xml:space="preserve">of trumpets </w:t>
      </w:r>
      <w:r w:rsidRPr="00CA3E93">
        <w:t xml:space="preserve">to direct the fighting forces through </w:t>
      </w:r>
      <w:r>
        <w:t>auditory</w:t>
      </w:r>
      <w:r w:rsidRPr="00CA3E93">
        <w:t xml:space="preserve"> signals. </w:t>
      </w:r>
      <w:r>
        <w:t>Moreover</w:t>
      </w:r>
      <w:r w:rsidRPr="00CA3E93">
        <w:t xml:space="preserve">, the trumpets are not the only wind instruments used by the army </w:t>
      </w:r>
      <w:r>
        <w:t xml:space="preserve">of the Sons of Light </w:t>
      </w:r>
      <w:r w:rsidRPr="00CA3E93">
        <w:t xml:space="preserve">on the battlefield. In some </w:t>
      </w:r>
      <w:r>
        <w:t xml:space="preserve">of the </w:t>
      </w:r>
      <w:r w:rsidRPr="00CA3E93">
        <w:t>descriptions of the war,</w:t>
      </w:r>
      <w:r w:rsidR="00287999">
        <w:t xml:space="preserve"> </w:t>
      </w:r>
      <w:r w:rsidR="008D628B">
        <w:t>shofarot</w:t>
      </w:r>
      <w:r w:rsidR="00287999">
        <w:t xml:space="preserve"> </w:t>
      </w:r>
      <w:r>
        <w:t>a</w:t>
      </w:r>
      <w:r w:rsidRPr="00CA3E93">
        <w:t>re used by the Levites and the people</w:t>
      </w:r>
      <w:r>
        <w:t>, in p</w:t>
      </w:r>
      <w:r w:rsidRPr="00CA3E93">
        <w:t>arallel with the priests</w:t>
      </w:r>
      <w:r>
        <w:t>’</w:t>
      </w:r>
      <w:r w:rsidRPr="00CA3E93">
        <w:t xml:space="preserve"> use of trumpets. These descriptions attest to the unique role given to each of the </w:t>
      </w:r>
      <w:r>
        <w:t>instrument</w:t>
      </w:r>
      <w:r w:rsidRPr="00CA3E93">
        <w:t xml:space="preserve">s in </w:t>
      </w:r>
      <w:r>
        <w:t xml:space="preserve">the </w:t>
      </w:r>
      <w:r w:rsidRPr="00CA3E93">
        <w:t>war.</w:t>
      </w:r>
      <w:r>
        <w:t xml:space="preserve"> </w:t>
      </w:r>
      <w:r w:rsidRPr="00CA3E93">
        <w:t xml:space="preserve">While the trumpets are sounded </w:t>
      </w:r>
      <w:r>
        <w:t xml:space="preserve">for internal purposes, </w:t>
      </w:r>
      <w:r w:rsidRPr="00CA3E93">
        <w:t xml:space="preserve">to direct the warriors in the army of </w:t>
      </w:r>
      <w:r>
        <w:t>the Sons of L</w:t>
      </w:r>
      <w:r w:rsidRPr="00CA3E93">
        <w:t xml:space="preserve">ight, the </w:t>
      </w:r>
      <w:r>
        <w:t>s</w:t>
      </w:r>
      <w:r w:rsidR="00EB22FA">
        <w:t>hofarot</w:t>
      </w:r>
      <w:r w:rsidRPr="00CA3E93">
        <w:t xml:space="preserve"> are sounded </w:t>
      </w:r>
      <w:r>
        <w:t>for external purposes,</w:t>
      </w:r>
      <w:r w:rsidRPr="00CA3E93">
        <w:t xml:space="preserve"> in order to </w:t>
      </w:r>
      <w:r>
        <w:t>ins</w:t>
      </w:r>
      <w:r w:rsidR="005D516D">
        <w:t>till</w:t>
      </w:r>
      <w:r w:rsidRPr="00CA3E93">
        <w:t xml:space="preserve"> fear and terror </w:t>
      </w:r>
      <w:r w:rsidR="005D516D">
        <w:t>in</w:t>
      </w:r>
      <w:r w:rsidRPr="00CA3E93">
        <w:t xml:space="preserve"> the enemy. The distinction between the instruments is also </w:t>
      </w:r>
      <w:r>
        <w:t>acoustic</w:t>
      </w:r>
      <w:r w:rsidRPr="00CA3E93">
        <w:t xml:space="preserve">. </w:t>
      </w:r>
      <w:r w:rsidR="005B1867">
        <w:t>The</w:t>
      </w:r>
      <w:r>
        <w:t xml:space="preserve"> trumpets</w:t>
      </w:r>
      <w:r w:rsidR="005B1867">
        <w:t xml:space="preserve"> and shofarot each </w:t>
      </w:r>
      <w:r>
        <w:t>produce sounds that are distinctive to the</w:t>
      </w:r>
      <w:r w:rsidR="005B1867">
        <w:t>ir particular instrument class.</w:t>
      </w:r>
    </w:p>
    <w:p w14:paraId="16C43180" w14:textId="2A222528" w:rsidR="008E6906" w:rsidRPr="00033BBE" w:rsidRDefault="00825F8E" w:rsidP="006B08E4">
      <w:pPr>
        <w:rPr>
          <w:lang w:bidi="he-IL"/>
        </w:rPr>
      </w:pPr>
      <w:r>
        <w:t>Following</w:t>
      </w:r>
      <w:r w:rsidR="008A64B2" w:rsidRPr="00CA3E93">
        <w:t xml:space="preserve"> this distinction</w:t>
      </w:r>
      <w:r>
        <w:t xml:space="preserve"> in the scroll</w:t>
      </w:r>
      <w:r w:rsidR="008A64B2" w:rsidRPr="00CA3E93">
        <w:t xml:space="preserve">, I will first discuss the use of trumpets on the battlefield in ancient times and the </w:t>
      </w:r>
      <w:r w:rsidR="00287999">
        <w:t>sound-related</w:t>
      </w:r>
      <w:r w:rsidR="008A64B2" w:rsidRPr="00CA3E93">
        <w:t xml:space="preserve"> terms in </w:t>
      </w:r>
      <w:r w:rsidR="008A64B2">
        <w:t>1QM</w:t>
      </w:r>
      <w:r w:rsidR="008A64B2" w:rsidRPr="00CA3E93">
        <w:t xml:space="preserve"> </w:t>
      </w:r>
      <w:r w:rsidR="008A64B2">
        <w:t xml:space="preserve">that </w:t>
      </w:r>
      <w:r w:rsidR="008D628B">
        <w:t xml:space="preserve">pertain to </w:t>
      </w:r>
      <w:r w:rsidR="004D2756">
        <w:t xml:space="preserve">the </w:t>
      </w:r>
      <w:r w:rsidR="008D628B">
        <w:t xml:space="preserve">military use of </w:t>
      </w:r>
      <w:r w:rsidR="008A64B2" w:rsidRPr="00CA3E93">
        <w:t>trumpet</w:t>
      </w:r>
      <w:r w:rsidR="008D628B">
        <w:t>s</w:t>
      </w:r>
      <w:r w:rsidR="008A64B2" w:rsidRPr="00CA3E93">
        <w:rPr>
          <w:rtl/>
          <w:lang w:bidi="he-IL"/>
        </w:rPr>
        <w:t>.</w:t>
      </w:r>
      <w:r w:rsidR="008A64B2">
        <w:rPr>
          <w:lang w:bidi="he-IL"/>
        </w:rPr>
        <w:t xml:space="preserve"> I will then discuss the </w:t>
      </w:r>
      <w:r w:rsidR="008D628B">
        <w:rPr>
          <w:lang w:bidi="he-IL"/>
        </w:rPr>
        <w:t xml:space="preserve">parallel </w:t>
      </w:r>
      <w:r w:rsidR="008A64B2">
        <w:rPr>
          <w:lang w:bidi="he-IL"/>
        </w:rPr>
        <w:t>use of s</w:t>
      </w:r>
      <w:r w:rsidR="008D628B">
        <w:rPr>
          <w:lang w:bidi="he-IL"/>
        </w:rPr>
        <w:t>hofarot</w:t>
      </w:r>
      <w:r w:rsidR="008A64B2">
        <w:rPr>
          <w:lang w:bidi="he-IL"/>
        </w:rPr>
        <w:t xml:space="preserve"> in </w:t>
      </w:r>
      <w:r w:rsidR="008D628B">
        <w:rPr>
          <w:lang w:bidi="he-IL"/>
        </w:rPr>
        <w:t>the scroll</w:t>
      </w:r>
      <w:r w:rsidR="008A64B2">
        <w:rPr>
          <w:lang w:bidi="he-IL"/>
        </w:rPr>
        <w:t xml:space="preserve">, and the sound-related terms </w:t>
      </w:r>
      <w:r w:rsidR="008D628B">
        <w:rPr>
          <w:lang w:bidi="he-IL"/>
        </w:rPr>
        <w:t>associated</w:t>
      </w:r>
      <w:r w:rsidR="008A64B2">
        <w:rPr>
          <w:lang w:bidi="he-IL"/>
        </w:rPr>
        <w:t xml:space="preserve"> with the sounding of the </w:t>
      </w:r>
      <w:r w:rsidR="008D628B">
        <w:rPr>
          <w:lang w:bidi="he-IL"/>
        </w:rPr>
        <w:t>shofarot</w:t>
      </w:r>
      <w:r w:rsidR="008A64B2">
        <w:rPr>
          <w:lang w:bidi="he-IL"/>
        </w:rPr>
        <w:t>.</w:t>
      </w:r>
    </w:p>
    <w:p w14:paraId="45345B25" w14:textId="34E3EE4A" w:rsidR="00023FB2" w:rsidRPr="00023FB2" w:rsidRDefault="000C7BDC" w:rsidP="002D1D4C">
      <w:r w:rsidRPr="00A16879">
        <w:rPr>
          <w:rFonts w:ascii="IowanOldSt BT Pro Roman" w:eastAsia="MS Mincho" w:hAnsi="IowanOldSt BT Pro Roman" w:cs="Times New Roman"/>
        </w:rPr>
        <w:t>&lt;H1&gt;</w:t>
      </w:r>
      <w:r w:rsidR="00CA3E93" w:rsidRPr="00CA3E93">
        <w:t xml:space="preserve">The </w:t>
      </w:r>
      <w:r w:rsidR="00B71CA9">
        <w:t>U</w:t>
      </w:r>
      <w:r w:rsidR="00CA3E93" w:rsidRPr="00CA3E93">
        <w:t xml:space="preserve">se of </w:t>
      </w:r>
      <w:r w:rsidR="00B71CA9">
        <w:t>T</w:t>
      </w:r>
      <w:r w:rsidR="00CA3E93" w:rsidRPr="00CA3E93">
        <w:t xml:space="preserve">rumpets </w:t>
      </w:r>
      <w:r w:rsidR="00B71CA9">
        <w:t>for Auditory Signals on</w:t>
      </w:r>
      <w:r w:rsidR="00CA3E93" w:rsidRPr="00CA3E93">
        <w:t xml:space="preserve"> the </w:t>
      </w:r>
      <w:r w:rsidR="00B71CA9">
        <w:t>B</w:t>
      </w:r>
      <w:r w:rsidR="00CA3E93" w:rsidRPr="00CA3E93">
        <w:t xml:space="preserve">attlefield in </w:t>
      </w:r>
      <w:r w:rsidR="00B71CA9">
        <w:t>1QM</w:t>
      </w:r>
    </w:p>
    <w:p w14:paraId="6CA66CB7" w14:textId="1540605C" w:rsidR="00B71CA9" w:rsidRDefault="00B71CA9">
      <w:r w:rsidRPr="00B71CA9">
        <w:t xml:space="preserve">One of the main challenges that characterized the battlefield in ancient times was the difficulty in </w:t>
      </w:r>
      <w:r w:rsidR="00023FB2">
        <w:t>transmitting</w:t>
      </w:r>
      <w:r w:rsidRPr="00B71CA9">
        <w:t xml:space="preserve"> orders to the </w:t>
      </w:r>
      <w:r w:rsidR="00023FB2">
        <w:t>fighting</w:t>
      </w:r>
      <w:r w:rsidRPr="00B71CA9">
        <w:t xml:space="preserve"> forces </w:t>
      </w:r>
      <w:r w:rsidR="00023FB2">
        <w:t xml:space="preserve">due </w:t>
      </w:r>
      <w:r w:rsidRPr="00B71CA9">
        <w:t>to the commotion of</w:t>
      </w:r>
      <w:r w:rsidR="00023FB2">
        <w:t xml:space="preserve"> </w:t>
      </w:r>
      <w:r w:rsidRPr="00B71CA9">
        <w:t xml:space="preserve">war and </w:t>
      </w:r>
      <w:r w:rsidR="00DB5A13" w:rsidRPr="00B71CA9">
        <w:t xml:space="preserve">the noise of </w:t>
      </w:r>
      <w:r w:rsidR="00DB5A13">
        <w:t xml:space="preserve">the </w:t>
      </w:r>
      <w:r w:rsidR="00DB5A13" w:rsidRPr="00B71CA9">
        <w:t>battle</w:t>
      </w:r>
      <w:r w:rsidR="00A01F21">
        <w:t xml:space="preserve">, alongside difficulties that arose from </w:t>
      </w:r>
      <w:r w:rsidRPr="00B71CA9">
        <w:t>weather conditions, various geographical obstacles</w:t>
      </w:r>
      <w:r w:rsidR="001A767B">
        <w:t>,</w:t>
      </w:r>
      <w:r w:rsidRPr="00B71CA9">
        <w:t xml:space="preserve"> </w:t>
      </w:r>
      <w:r w:rsidR="00A01F21">
        <w:t>or simply distance on large battlefields.</w:t>
      </w:r>
      <w:r w:rsidR="00A01F21" w:rsidRPr="00B71CA9">
        <w:t xml:space="preserve"> </w:t>
      </w:r>
      <w:r w:rsidR="001A767B">
        <w:t>Ancient</w:t>
      </w:r>
      <w:r w:rsidRPr="00B71CA9">
        <w:t xml:space="preserve"> armies, especially </w:t>
      </w:r>
      <w:r w:rsidR="00DB5A13">
        <w:t xml:space="preserve">ancient Hellenistic and Roman </w:t>
      </w:r>
      <w:r w:rsidRPr="00B71CA9">
        <w:t xml:space="preserve">armies, </w:t>
      </w:r>
      <w:r w:rsidR="001A767B">
        <w:t xml:space="preserve">developed </w:t>
      </w:r>
      <w:r w:rsidR="00D61D68">
        <w:t xml:space="preserve">visual and auditory </w:t>
      </w:r>
      <w:r w:rsidR="00933E51">
        <w:t xml:space="preserve">tools </w:t>
      </w:r>
      <w:r w:rsidR="001A767B">
        <w:t>to</w:t>
      </w:r>
      <w:r w:rsidR="001A767B" w:rsidRPr="00B71CA9">
        <w:t xml:space="preserve"> deal with these challenges</w:t>
      </w:r>
      <w:r w:rsidR="00D61D68">
        <w:t xml:space="preserve"> and </w:t>
      </w:r>
      <w:r w:rsidR="001A767B">
        <w:t xml:space="preserve">to facilitate </w:t>
      </w:r>
      <w:r w:rsidR="00AA317E">
        <w:t xml:space="preserve">the </w:t>
      </w:r>
      <w:r w:rsidRPr="00B71CA9">
        <w:t>ef</w:t>
      </w:r>
      <w:r w:rsidR="002C2B8B">
        <w:t>fective</w:t>
      </w:r>
      <w:r w:rsidR="001A767B">
        <w:t xml:space="preserve"> transmission of</w:t>
      </w:r>
      <w:r w:rsidR="005B1867">
        <w:t xml:space="preserve"> </w:t>
      </w:r>
      <w:r w:rsidR="001A767B" w:rsidRPr="00B71CA9">
        <w:t>commanders</w:t>
      </w:r>
      <w:r w:rsidR="001A767B">
        <w:t>’</w:t>
      </w:r>
      <w:r w:rsidR="001A767B" w:rsidRPr="00B71CA9">
        <w:t xml:space="preserve"> </w:t>
      </w:r>
      <w:r w:rsidR="001A767B">
        <w:t>orders</w:t>
      </w:r>
      <w:r w:rsidRPr="00B71CA9">
        <w:t xml:space="preserve">. </w:t>
      </w:r>
      <w:r w:rsidR="00D61D68">
        <w:t>Visual measures</w:t>
      </w:r>
      <w:r w:rsidR="002C2B8B">
        <w:t xml:space="preserve"> included </w:t>
      </w:r>
      <w:r w:rsidR="001A767B">
        <w:t xml:space="preserve">the use of </w:t>
      </w:r>
      <w:r w:rsidR="002C2B8B">
        <w:t xml:space="preserve">standards and </w:t>
      </w:r>
      <w:r w:rsidR="006B2BFF">
        <w:t xml:space="preserve">banners, which were waved as signals for the soldiers’ operations on the battlefield. </w:t>
      </w:r>
      <w:r w:rsidR="001A767B">
        <w:t>A</w:t>
      </w:r>
      <w:r w:rsidR="006B2BFF">
        <w:t xml:space="preserve">uditory </w:t>
      </w:r>
      <w:r w:rsidR="001A767B">
        <w:t>measures</w:t>
      </w:r>
      <w:r w:rsidR="006B2BFF">
        <w:t xml:space="preserve"> included </w:t>
      </w:r>
      <w:commentRangeStart w:id="6"/>
      <w:r w:rsidR="00D61D68">
        <w:t xml:space="preserve">supplementing the </w:t>
      </w:r>
      <w:r w:rsidR="006B2BFF">
        <w:t>commanders</w:t>
      </w:r>
      <w:r w:rsidR="001A767B">
        <w:t>’ shouts</w:t>
      </w:r>
      <w:r w:rsidR="00D61D68">
        <w:t xml:space="preserve"> </w:t>
      </w:r>
      <w:r w:rsidR="00DB5A13">
        <w:t xml:space="preserve">and </w:t>
      </w:r>
      <w:commentRangeEnd w:id="6"/>
      <w:r w:rsidR="00A72C7E">
        <w:rPr>
          <w:rStyle w:val="CommentReference"/>
        </w:rPr>
        <w:commentReference w:id="6"/>
      </w:r>
      <w:r w:rsidR="006B2BFF">
        <w:t>the use of various types of trumpets to sound pre-determined signals.</w:t>
      </w:r>
      <w:r w:rsidR="006B2BFF">
        <w:rPr>
          <w:rStyle w:val="FootnoteReference"/>
        </w:rPr>
        <w:footnoteReference w:id="13"/>
      </w:r>
      <w:r w:rsidR="00D61D68">
        <w:t xml:space="preserve"> </w:t>
      </w:r>
      <w:r w:rsidR="00AA317E">
        <w:t>F</w:t>
      </w:r>
      <w:r w:rsidR="006E2C7E">
        <w:t xml:space="preserve">or the trumpets to serve as effective transmitters of commands, </w:t>
      </w:r>
      <w:r w:rsidR="00EF2C36">
        <w:t>their sounds needed</w:t>
      </w:r>
      <w:r w:rsidR="006E2C7E">
        <w:t xml:space="preserve"> to be heard loudly and clearly above the din of battle. Similarly, it was necessary to use simple and distinct signals to avoid confusion among the fighters.</w:t>
      </w:r>
      <w:r w:rsidR="006C2746">
        <w:rPr>
          <w:rStyle w:val="FootnoteReference"/>
        </w:rPr>
        <w:footnoteReference w:id="14"/>
      </w:r>
    </w:p>
    <w:p w14:paraId="4121315C" w14:textId="4C6C4CAA" w:rsidR="00A3574B" w:rsidRDefault="00B71CA9">
      <w:r w:rsidRPr="00B71CA9">
        <w:t xml:space="preserve">Against this background, </w:t>
      </w:r>
      <w:r w:rsidR="006E2C7E">
        <w:t xml:space="preserve">we can perhaps </w:t>
      </w:r>
      <w:r w:rsidRPr="00B71CA9">
        <w:t xml:space="preserve">understand the extensive </w:t>
      </w:r>
      <w:r w:rsidR="006C2746">
        <w:t xml:space="preserve">space allotted in 1QM to specifying the types of trumpets and banners in the possession of the army of the Sons of Light (as described above), and the detailed description of the priests’ use of trumpets to direct the fighters </w:t>
      </w:r>
      <w:r w:rsidR="00EF2C36">
        <w:t>employing</w:t>
      </w:r>
      <w:r w:rsidR="006C2746">
        <w:t xml:space="preserve"> auditory signals (1QM </w:t>
      </w:r>
      <w:r w:rsidR="00BA4AEA">
        <w:t>7</w:t>
      </w:r>
      <w:r w:rsidR="006C2746">
        <w:t>:9–</w:t>
      </w:r>
      <w:r w:rsidR="00BA4AEA">
        <w:t>9</w:t>
      </w:r>
      <w:r w:rsidR="006C2746">
        <w:t>:9</w:t>
      </w:r>
      <w:r w:rsidR="00AB7DCD">
        <w:t xml:space="preserve">; 16:3–18:4). </w:t>
      </w:r>
      <w:r w:rsidR="006C2746" w:rsidRPr="006C2746">
        <w:t xml:space="preserve">This description not only </w:t>
      </w:r>
      <w:r w:rsidR="00BC3DA0">
        <w:t>contain</w:t>
      </w:r>
      <w:r w:rsidR="004A5FCC">
        <w:t>s</w:t>
      </w:r>
      <w:r w:rsidR="00BC3DA0">
        <w:t xml:space="preserve"> </w:t>
      </w:r>
      <w:r w:rsidR="006C2746" w:rsidRPr="006C2746">
        <w:t>schematic detail of the stages in the war in which the trumpets</w:t>
      </w:r>
      <w:r w:rsidR="00014E46">
        <w:t xml:space="preserve">, and occasionally the </w:t>
      </w:r>
      <w:r w:rsidR="006E2C7E">
        <w:t>shofarot</w:t>
      </w:r>
      <w:r w:rsidR="00014E46">
        <w:t>,</w:t>
      </w:r>
      <w:r w:rsidR="006C2746" w:rsidRPr="006C2746">
        <w:t xml:space="preserve"> are sounded. I</w:t>
      </w:r>
      <w:r w:rsidR="00492E36">
        <w:t xml:space="preserve">t </w:t>
      </w:r>
      <w:r w:rsidR="00B9334A">
        <w:t xml:space="preserve">also </w:t>
      </w:r>
      <w:r w:rsidR="00492E36">
        <w:t xml:space="preserve">illustrates </w:t>
      </w:r>
      <w:r w:rsidR="006C2746" w:rsidRPr="006C2746">
        <w:t xml:space="preserve">the nature and features of the sounds </w:t>
      </w:r>
      <w:r w:rsidR="00014E46">
        <w:t>of these</w:t>
      </w:r>
      <w:r w:rsidR="006C2746" w:rsidRPr="006C2746">
        <w:t xml:space="preserve"> instruments through the use of technical and musical terms</w:t>
      </w:r>
      <w:r w:rsidR="00AC19C4">
        <w:t>.</w:t>
      </w:r>
      <w:r w:rsidR="006C2746" w:rsidRPr="006C2746">
        <w:t xml:space="preserve"> </w:t>
      </w:r>
      <w:r w:rsidR="00AC19C4">
        <w:t>T</w:t>
      </w:r>
      <w:r w:rsidR="006C2746" w:rsidRPr="006C2746">
        <w:t xml:space="preserve">he meaning of </w:t>
      </w:r>
      <w:r w:rsidR="00AC19C4">
        <w:t>these terms is</w:t>
      </w:r>
      <w:r w:rsidR="006C2746" w:rsidRPr="006C2746">
        <w:t xml:space="preserve"> not always clear</w:t>
      </w:r>
      <w:r w:rsidR="00AC19C4">
        <w:t>,</w:t>
      </w:r>
      <w:r w:rsidR="006C2746" w:rsidRPr="006C2746">
        <w:t xml:space="preserve"> </w:t>
      </w:r>
      <w:r w:rsidR="008A3B42">
        <w:t>as they are unique terms,</w:t>
      </w:r>
      <w:r w:rsidR="006C2746" w:rsidRPr="006C2746">
        <w:t xml:space="preserve"> unparalleled in any ancient Jewish source, or in Hellenistic or Roman </w:t>
      </w:r>
      <w:r w:rsidR="00B9334A">
        <w:t>works</w:t>
      </w:r>
      <w:r w:rsidR="006C2746" w:rsidRPr="006C2746">
        <w:t>.</w:t>
      </w:r>
      <w:r w:rsidR="00014E46">
        <w:rPr>
          <w:rStyle w:val="FootnoteReference"/>
        </w:rPr>
        <w:footnoteReference w:id="15"/>
      </w:r>
    </w:p>
    <w:p w14:paraId="4E7ADD42" w14:textId="71C5F7FC" w:rsidR="00013755" w:rsidRDefault="00A3574B">
      <w:r w:rsidRPr="00013755">
        <w:t>To be sure</w:t>
      </w:r>
      <w:r w:rsidR="006C2746" w:rsidRPr="00013755">
        <w:t xml:space="preserve">, there are simple descriptions </w:t>
      </w:r>
      <w:r w:rsidRPr="00013755">
        <w:t xml:space="preserve">of sounds </w:t>
      </w:r>
      <w:r w:rsidR="006C2746" w:rsidRPr="00013755">
        <w:t>in the</w:t>
      </w:r>
      <w:r w:rsidRPr="00013755">
        <w:t xml:space="preserve"> Hebrew</w:t>
      </w:r>
      <w:r w:rsidR="006C2746" w:rsidRPr="00013755">
        <w:t xml:space="preserve"> Bible</w:t>
      </w:r>
      <w:r w:rsidRPr="00013755">
        <w:t>,</w:t>
      </w:r>
      <w:r w:rsidR="006C2746" w:rsidRPr="00013755">
        <w:t xml:space="preserve"> such as: </w:t>
      </w:r>
      <w:r w:rsidR="00954F2E" w:rsidRPr="00013755">
        <w:t xml:space="preserve">“a </w:t>
      </w:r>
      <w:r w:rsidR="00954F2E" w:rsidRPr="00013755">
        <w:rPr>
          <w:rFonts w:eastAsiaTheme="minorHAnsi"/>
        </w:rPr>
        <w:t xml:space="preserve">very loud blast of the </w:t>
      </w:r>
      <w:r w:rsidR="006E2C7E">
        <w:rPr>
          <w:rFonts w:eastAsiaTheme="minorHAnsi"/>
        </w:rPr>
        <w:t>shofar</w:t>
      </w:r>
      <w:r w:rsidR="00954F2E" w:rsidRPr="00013755">
        <w:t>”</w:t>
      </w:r>
      <w:r w:rsidR="006C2746" w:rsidRPr="00013755">
        <w:t xml:space="preserve"> (Exod 19:16</w:t>
      </w:r>
      <w:r w:rsidR="00013755" w:rsidRPr="00013755">
        <w:t xml:space="preserve">; </w:t>
      </w:r>
      <w:r w:rsidR="00013755" w:rsidRPr="00013755">
        <w:rPr>
          <w:rtl/>
        </w:rPr>
        <w:t>קול שופר חזק מאוד</w:t>
      </w:r>
      <w:r w:rsidR="006C2746" w:rsidRPr="00013755">
        <w:t xml:space="preserve">), </w:t>
      </w:r>
      <w:r w:rsidR="00954F2E" w:rsidRPr="00013755">
        <w:t>“the noise of the great shouting”</w:t>
      </w:r>
      <w:r w:rsidR="006C2746" w:rsidRPr="00013755">
        <w:t xml:space="preserve"> (</w:t>
      </w:r>
      <w:r w:rsidR="00954F2E" w:rsidRPr="00013755">
        <w:t>1</w:t>
      </w:r>
      <w:r w:rsidR="006C2746" w:rsidRPr="00013755">
        <w:t xml:space="preserve">Samuel </w:t>
      </w:r>
      <w:r w:rsidR="00954F2E" w:rsidRPr="00013755">
        <w:t>4</w:t>
      </w:r>
      <w:r w:rsidR="006C2746" w:rsidRPr="00013755">
        <w:t>:</w:t>
      </w:r>
      <w:r w:rsidR="00954F2E" w:rsidRPr="00013755">
        <w:t>6</w:t>
      </w:r>
      <w:r w:rsidR="00013755" w:rsidRPr="00013755">
        <w:t xml:space="preserve">; </w:t>
      </w:r>
      <w:r w:rsidR="00013755" w:rsidRPr="00013755">
        <w:rPr>
          <w:rtl/>
        </w:rPr>
        <w:t>קול התרועה הגדולה</w:t>
      </w:r>
      <w:r w:rsidR="006C2746" w:rsidRPr="00013755">
        <w:t xml:space="preserve">), </w:t>
      </w:r>
      <w:r w:rsidR="00013755" w:rsidRPr="00013755">
        <w:t>“</w:t>
      </w:r>
      <w:r w:rsidR="006C2746" w:rsidRPr="00013755">
        <w:t xml:space="preserve">the </w:t>
      </w:r>
      <w:r w:rsidR="00013755" w:rsidRPr="00013755">
        <w:t>noise</w:t>
      </w:r>
      <w:r w:rsidR="006C2746" w:rsidRPr="00013755">
        <w:t xml:space="preserve"> of the shout of joy</w:t>
      </w:r>
      <w:r w:rsidR="00013755" w:rsidRPr="00013755">
        <w:t>”</w:t>
      </w:r>
      <w:r w:rsidR="006C2746" w:rsidRPr="00013755">
        <w:t xml:space="preserve"> (Ezra 3:13</w:t>
      </w:r>
      <w:r w:rsidR="00013755" w:rsidRPr="00013755">
        <w:t xml:space="preserve">; </w:t>
      </w:r>
      <w:r w:rsidR="00013755" w:rsidRPr="00013755">
        <w:rPr>
          <w:rtl/>
        </w:rPr>
        <w:t>קול תרועת השמחה</w:t>
      </w:r>
      <w:r w:rsidR="006C2746" w:rsidRPr="00013755">
        <w:t>), and more.</w:t>
      </w:r>
    </w:p>
    <w:p w14:paraId="1E0198E9" w14:textId="77777777" w:rsidR="00180C78" w:rsidRDefault="006C2746">
      <w:r w:rsidRPr="00013755">
        <w:t>However,</w:t>
      </w:r>
      <w:r w:rsidR="00DF3052">
        <w:t xml:space="preserve"> </w:t>
      </w:r>
      <w:r w:rsidRPr="00013755">
        <w:t xml:space="preserve">rich musical language </w:t>
      </w:r>
      <w:r w:rsidR="00AC23FF">
        <w:t xml:space="preserve">like that </w:t>
      </w:r>
      <w:r w:rsidR="00DF3052">
        <w:t>found</w:t>
      </w:r>
      <w:r w:rsidR="00AC23FF">
        <w:t xml:space="preserve"> </w:t>
      </w:r>
      <w:r w:rsidR="00DF3052">
        <w:t xml:space="preserve">in </w:t>
      </w:r>
      <w:r w:rsidR="00AC23FF">
        <w:t>1QM</w:t>
      </w:r>
      <w:r w:rsidRPr="00013755">
        <w:t xml:space="preserve"> </w:t>
      </w:r>
      <w:r w:rsidR="00DF3052">
        <w:t xml:space="preserve">is not </w:t>
      </w:r>
      <w:r w:rsidR="00D85553">
        <w:t xml:space="preserve">found </w:t>
      </w:r>
      <w:r w:rsidR="00DF3052">
        <w:t xml:space="preserve">in </w:t>
      </w:r>
      <w:r w:rsidRPr="00013755">
        <w:t xml:space="preserve">the Bible </w:t>
      </w:r>
      <w:r w:rsidR="00DF3052">
        <w:t>or</w:t>
      </w:r>
      <w:r w:rsidR="00AC23FF">
        <w:t xml:space="preserve"> rabbinic writings</w:t>
      </w:r>
      <w:r w:rsidRPr="00013755">
        <w:t>.</w:t>
      </w:r>
      <w:r w:rsidR="00013755">
        <w:rPr>
          <w:rStyle w:val="FootnoteReference"/>
        </w:rPr>
        <w:footnoteReference w:id="16"/>
      </w:r>
      <w:r w:rsidRPr="00013755">
        <w:t xml:space="preserve"> As will be </w:t>
      </w:r>
      <w:r w:rsidRPr="006C2746">
        <w:t>discussed below, the richness of this language is expressed in a wide range of terms that</w:t>
      </w:r>
      <w:r w:rsidR="00DF3052">
        <w:t xml:space="preserve"> most likely</w:t>
      </w:r>
      <w:r w:rsidRPr="006C2746">
        <w:t xml:space="preserve"> indicate specific musical and acoustic features such as intensity, duration, rhythm</w:t>
      </w:r>
      <w:r w:rsidR="00935281">
        <w:t>,</w:t>
      </w:r>
      <w:r w:rsidRPr="006C2746">
        <w:t xml:space="preserve"> and ton</w:t>
      </w:r>
      <w:r w:rsidR="008D628B">
        <w:t>al range</w:t>
      </w:r>
      <w:r w:rsidRPr="006C2746">
        <w:t xml:space="preserve">. The </w:t>
      </w:r>
      <w:r w:rsidR="00D85553">
        <w:t>use</w:t>
      </w:r>
      <w:r w:rsidR="00D85553" w:rsidRPr="006C2746">
        <w:t xml:space="preserve"> </w:t>
      </w:r>
      <w:r w:rsidRPr="006C2746">
        <w:t>of these terms allowed the author of the scroll to precisely define the nature of th</w:t>
      </w:r>
      <w:r w:rsidR="00492E36">
        <w:t xml:space="preserve">e sounds </w:t>
      </w:r>
      <w:r w:rsidRPr="006C2746">
        <w:t xml:space="preserve">and their </w:t>
      </w:r>
      <w:r w:rsidR="008D628B" w:rsidRPr="00492E36">
        <w:t>characteristics</w:t>
      </w:r>
      <w:r w:rsidR="00220091" w:rsidRPr="00492E36">
        <w:t>,</w:t>
      </w:r>
      <w:r w:rsidRPr="00492E36">
        <w:t xml:space="preserve"> and the</w:t>
      </w:r>
      <w:r w:rsidR="00492E36" w:rsidRPr="00492E36">
        <w:t xml:space="preserve"> sounds </w:t>
      </w:r>
      <w:r w:rsidRPr="00492E36">
        <w:t xml:space="preserve">that would be </w:t>
      </w:r>
      <w:r w:rsidR="00220091" w:rsidRPr="00492E36">
        <w:t>produced on the</w:t>
      </w:r>
      <w:r w:rsidRPr="00492E36">
        <w:t xml:space="preserve"> trumpets and s</w:t>
      </w:r>
      <w:r w:rsidR="00220091" w:rsidRPr="00492E36">
        <w:t>hofarot during the war</w:t>
      </w:r>
      <w:r w:rsidRPr="00492E36">
        <w:t xml:space="preserve">. This definition was sometimes </w:t>
      </w:r>
      <w:r w:rsidR="008D628B" w:rsidRPr="00492E36">
        <w:t>conveyed</w:t>
      </w:r>
      <w:r w:rsidRPr="00492E36">
        <w:t xml:space="preserve"> by using a single term describing one musical feature</w:t>
      </w:r>
      <w:r w:rsidR="00223653" w:rsidRPr="00492E36">
        <w:t xml:space="preserve">, as </w:t>
      </w:r>
      <w:r w:rsidRPr="00492E36">
        <w:t xml:space="preserve">in </w:t>
      </w:r>
      <w:r w:rsidR="00783B0A" w:rsidRPr="00492E36">
        <w:t>1QM 8:</w:t>
      </w:r>
      <w:r w:rsidRPr="00492E36">
        <w:t xml:space="preserve">5: </w:t>
      </w:r>
      <w:r w:rsidR="00223653" w:rsidRPr="00492E36">
        <w:t xml:space="preserve">“The priests shall blow on their trumpets a </w:t>
      </w:r>
      <w:r w:rsidR="000E3462" w:rsidRPr="00492E36">
        <w:rPr>
          <w:lang w:bidi="he-IL"/>
        </w:rPr>
        <w:t>simple and sustained sound</w:t>
      </w:r>
      <w:r w:rsidR="00223653" w:rsidRPr="00492E36">
        <w:t>” (</w:t>
      </w:r>
      <w:r w:rsidR="00BA4AEA" w:rsidRPr="00492E36">
        <w:rPr>
          <w:rFonts w:hint="cs"/>
          <w:rtl/>
        </w:rPr>
        <w:t>קול מרודד</w:t>
      </w:r>
      <w:r w:rsidR="00223653" w:rsidRPr="00492E36">
        <w:t xml:space="preserve">) </w:t>
      </w:r>
      <w:r w:rsidRPr="00492E36">
        <w:t xml:space="preserve">and sometimes by combining different terms to describe </w:t>
      </w:r>
    </w:p>
    <w:p w14:paraId="2C005414" w14:textId="792831CF" w:rsidR="009F4CAB" w:rsidRPr="00BA4AEA" w:rsidRDefault="006C2746">
      <w:pPr>
        <w:rPr>
          <w:rtl/>
        </w:rPr>
      </w:pPr>
      <w:r w:rsidRPr="00492E36">
        <w:t>different musical features of the same sound</w:t>
      </w:r>
      <w:r w:rsidR="005F372F" w:rsidRPr="00492E36">
        <w:t xml:space="preserve">, as </w:t>
      </w:r>
      <w:r w:rsidRPr="00492E36">
        <w:t>in</w:t>
      </w:r>
      <w:r w:rsidR="00223653" w:rsidRPr="00492E36">
        <w:t xml:space="preserve"> 1QM 8:7: “</w:t>
      </w:r>
      <w:r w:rsidR="00460DDB" w:rsidRPr="00492E36">
        <w:rPr>
          <w:rFonts w:asciiTheme="majorBidi" w:hAnsiTheme="majorBidi"/>
        </w:rPr>
        <w:t>a low-pitched</w:t>
      </w:r>
      <w:r w:rsidR="009E6564" w:rsidRPr="00492E36">
        <w:rPr>
          <w:rFonts w:asciiTheme="majorBidi" w:hAnsiTheme="majorBidi"/>
        </w:rPr>
        <w:t>,</w:t>
      </w:r>
      <w:r w:rsidR="00460DDB" w:rsidRPr="00492E36">
        <w:rPr>
          <w:rFonts w:asciiTheme="majorBidi" w:hAnsiTheme="majorBidi"/>
        </w:rPr>
        <w:t xml:space="preserve"> </w:t>
      </w:r>
      <w:r w:rsidR="00460DDB" w:rsidRPr="00492E36">
        <w:rPr>
          <w:lang w:bidi="he-IL"/>
        </w:rPr>
        <w:t>strong and powerful</w:t>
      </w:r>
      <w:r w:rsidR="00460DDB" w:rsidRPr="00492E36">
        <w:rPr>
          <w:rFonts w:asciiTheme="majorBidi" w:hAnsiTheme="majorBidi"/>
        </w:rPr>
        <w:t xml:space="preserve"> sound</w:t>
      </w:r>
      <w:r w:rsidR="00460DDB" w:rsidRPr="00492E36">
        <w:t>”</w:t>
      </w:r>
      <w:r w:rsidR="00BA4AEA" w:rsidRPr="00492E36">
        <w:t xml:space="preserve"> (</w:t>
      </w:r>
      <w:r w:rsidR="00BA4AEA" w:rsidRPr="00492E36">
        <w:rPr>
          <w:rFonts w:hint="cs"/>
          <w:rtl/>
        </w:rPr>
        <w:t>קול נוח וסמוך</w:t>
      </w:r>
      <w:r w:rsidR="00BA4AEA" w:rsidRPr="00492E36">
        <w:t>)</w:t>
      </w:r>
      <w:r w:rsidR="005F372F" w:rsidRPr="00492E36">
        <w:t xml:space="preserve"> and </w:t>
      </w:r>
      <w:r w:rsidR="00BA4AEA" w:rsidRPr="00492E36">
        <w:t>1QM 8:14 “</w:t>
      </w:r>
      <w:r w:rsidR="00213710" w:rsidRPr="00492E36">
        <w:rPr>
          <w:rFonts w:asciiTheme="majorBidi" w:hAnsiTheme="majorBidi"/>
        </w:rPr>
        <w:t>a low-pitched</w:t>
      </w:r>
      <w:r w:rsidR="00490B8A" w:rsidRPr="00492E36">
        <w:rPr>
          <w:rFonts w:asciiTheme="majorBidi" w:hAnsiTheme="majorBidi"/>
        </w:rPr>
        <w:t>,</w:t>
      </w:r>
      <w:r w:rsidR="00213710" w:rsidRPr="00492E36">
        <w:rPr>
          <w:rFonts w:asciiTheme="majorBidi" w:hAnsiTheme="majorBidi"/>
        </w:rPr>
        <w:t xml:space="preserve"> s</w:t>
      </w:r>
      <w:r w:rsidR="00490B8A" w:rsidRPr="00492E36">
        <w:rPr>
          <w:rFonts w:asciiTheme="majorBidi" w:hAnsiTheme="majorBidi"/>
        </w:rPr>
        <w:t>imple and sustained, strong and powerful sound</w:t>
      </w:r>
      <w:r w:rsidR="00490B8A" w:rsidRPr="00492E36">
        <w:t>”</w:t>
      </w:r>
      <w:r w:rsidR="00BA4AEA" w:rsidRPr="00492E36">
        <w:t xml:space="preserve"> (</w:t>
      </w:r>
      <w:r w:rsidR="00BA4AEA" w:rsidRPr="00492E36">
        <w:rPr>
          <w:rFonts w:hint="cs"/>
          <w:rtl/>
        </w:rPr>
        <w:t>קול נוח מרודד סמוך</w:t>
      </w:r>
      <w:r w:rsidR="00BA4AEA" w:rsidRPr="00492E36">
        <w:t>)</w:t>
      </w:r>
      <w:r w:rsidR="005F372F" w:rsidRPr="00492E36">
        <w:t>.</w:t>
      </w:r>
    </w:p>
    <w:p w14:paraId="1C2EED7D" w14:textId="3EBC98C3" w:rsidR="0001514C" w:rsidRDefault="006C2746">
      <w:r>
        <w:t>In the following section, I surv</w:t>
      </w:r>
      <w:r w:rsidR="005F372F">
        <w:t xml:space="preserve">ey </w:t>
      </w:r>
      <w:r w:rsidR="005F372F" w:rsidRPr="005F372F">
        <w:t xml:space="preserve">all the </w:t>
      </w:r>
      <w:r w:rsidR="00E61918">
        <w:t>tonal</w:t>
      </w:r>
      <w:r w:rsidR="00E61918" w:rsidRPr="005F372F">
        <w:t xml:space="preserve"> and </w:t>
      </w:r>
      <w:r w:rsidR="00E61918">
        <w:t>acoustic</w:t>
      </w:r>
      <w:r w:rsidR="00E61918" w:rsidRPr="005F372F">
        <w:t xml:space="preserve"> </w:t>
      </w:r>
      <w:r w:rsidR="005F372F" w:rsidRPr="005F372F">
        <w:t xml:space="preserve">in </w:t>
      </w:r>
      <w:r w:rsidR="00FA3C4C">
        <w:t>1QM</w:t>
      </w:r>
      <w:r w:rsidR="005F372F" w:rsidRPr="005F372F">
        <w:t xml:space="preserve">, re-examining the interpretations </w:t>
      </w:r>
      <w:r w:rsidR="00FA3C4C">
        <w:t xml:space="preserve">that have been </w:t>
      </w:r>
      <w:r w:rsidR="005F372F" w:rsidRPr="005F372F">
        <w:t xml:space="preserve">given to them by </w:t>
      </w:r>
      <w:r w:rsidR="00FA3C4C">
        <w:t>various</w:t>
      </w:r>
      <w:r w:rsidR="005F372F" w:rsidRPr="005F372F">
        <w:t xml:space="preserve"> scholars.</w:t>
      </w:r>
      <w:r w:rsidR="005F372F">
        <w:rPr>
          <w:rStyle w:val="FootnoteReference"/>
        </w:rPr>
        <w:footnoteReference w:id="17"/>
      </w:r>
      <w:r w:rsidR="00A602FA">
        <w:t xml:space="preserve"> </w:t>
      </w:r>
      <w:r w:rsidR="005F372F" w:rsidRPr="005F372F">
        <w:t>For each of the terms</w:t>
      </w:r>
      <w:r w:rsidR="006B3E7F">
        <w:t>,</w:t>
      </w:r>
      <w:r w:rsidR="005F372F" w:rsidRPr="005F372F">
        <w:t xml:space="preserve"> I will first state my </w:t>
      </w:r>
      <w:r w:rsidR="00A602FA">
        <w:t>conclusion regarding its</w:t>
      </w:r>
      <w:r w:rsidR="005F372F" w:rsidRPr="005F372F">
        <w:t xml:space="preserve"> </w:t>
      </w:r>
      <w:r w:rsidR="00B279C0">
        <w:t>correct</w:t>
      </w:r>
      <w:r w:rsidR="00B279C0" w:rsidRPr="005F372F">
        <w:t xml:space="preserve"> </w:t>
      </w:r>
      <w:r w:rsidR="005F372F" w:rsidRPr="005F372F">
        <w:t xml:space="preserve">musical interpretation. </w:t>
      </w:r>
      <w:r w:rsidR="00A602FA" w:rsidRPr="00A602FA">
        <w:t xml:space="preserve">I will then discuss the different views </w:t>
      </w:r>
      <w:r w:rsidR="004203E3">
        <w:t xml:space="preserve">put forth by previous scholars regarding the interpretation of the term and </w:t>
      </w:r>
      <w:r w:rsidR="00A602FA">
        <w:t xml:space="preserve">explain </w:t>
      </w:r>
      <w:r w:rsidR="004203E3">
        <w:t>my</w:t>
      </w:r>
      <w:r w:rsidR="00A602FA" w:rsidRPr="00A602FA">
        <w:t xml:space="preserve"> reasons</w:t>
      </w:r>
      <w:r w:rsidR="004203E3">
        <w:t xml:space="preserve"> for favoring one interpretation or another</w:t>
      </w:r>
      <w:r w:rsidR="00A602FA" w:rsidRPr="00A602FA">
        <w:t>.</w:t>
      </w:r>
      <w:r w:rsidR="00A602FA">
        <w:t xml:space="preserve"> </w:t>
      </w:r>
      <w:r w:rsidR="005F372F" w:rsidRPr="005F372F">
        <w:t xml:space="preserve">The main difficulty in </w:t>
      </w:r>
      <w:r w:rsidR="004203E3">
        <w:t>determining</w:t>
      </w:r>
      <w:r w:rsidR="005F372F" w:rsidRPr="005F372F">
        <w:t xml:space="preserve"> the meaning of these terms </w:t>
      </w:r>
      <w:r w:rsidR="003755B1">
        <w:t>arises</w:t>
      </w:r>
      <w:r w:rsidR="005F372F" w:rsidRPr="005F372F">
        <w:t xml:space="preserve"> from the </w:t>
      </w:r>
      <w:r w:rsidR="005B1867">
        <w:t>evolutionary development</w:t>
      </w:r>
      <w:r w:rsidR="003755B1">
        <w:t xml:space="preserve"> of </w:t>
      </w:r>
      <w:r w:rsidR="004203E3">
        <w:t xml:space="preserve">the Hebrew language </w:t>
      </w:r>
      <w:r w:rsidR="005F372F" w:rsidRPr="005F372F">
        <w:t>from the biblical period to the present day, which caused</w:t>
      </w:r>
      <w:r w:rsidR="00514CAB">
        <w:t xml:space="preserve"> </w:t>
      </w:r>
      <w:r w:rsidR="005F372F" w:rsidRPr="005F372F">
        <w:t>change</w:t>
      </w:r>
      <w:r w:rsidR="00514CAB">
        <w:t>s</w:t>
      </w:r>
      <w:r w:rsidR="005F372F" w:rsidRPr="005F372F">
        <w:t xml:space="preserve"> in the meaning of various words and phrases.</w:t>
      </w:r>
      <w:r w:rsidR="004203E3">
        <w:rPr>
          <w:rStyle w:val="FootnoteReference"/>
        </w:rPr>
        <w:footnoteReference w:id="18"/>
      </w:r>
      <w:r w:rsidR="005F372F" w:rsidRPr="005F372F">
        <w:t xml:space="preserve"> </w:t>
      </w:r>
      <w:r w:rsidR="003755B1">
        <w:t>In order to avoid anachronistic misinterpretation of</w:t>
      </w:r>
      <w:r w:rsidR="005F372F" w:rsidRPr="005F372F">
        <w:t xml:space="preserve"> these terms, I </w:t>
      </w:r>
      <w:r w:rsidR="003755B1">
        <w:t xml:space="preserve">will </w:t>
      </w:r>
      <w:r w:rsidR="005F372F" w:rsidRPr="005F372F">
        <w:t xml:space="preserve">examine them carefully </w:t>
      </w:r>
      <w:r w:rsidR="00583F77">
        <w:t>through</w:t>
      </w:r>
      <w:r w:rsidR="005F372F" w:rsidRPr="005F372F">
        <w:t xml:space="preserve"> compari</w:t>
      </w:r>
      <w:r w:rsidR="00583F77">
        <w:t>son</w:t>
      </w:r>
      <w:r w:rsidR="005F372F" w:rsidRPr="005F372F">
        <w:t xml:space="preserve"> to similar words and phrases </w:t>
      </w:r>
      <w:r w:rsidR="00514CAB">
        <w:t xml:space="preserve">elsewhere </w:t>
      </w:r>
      <w:r w:rsidR="005F372F" w:rsidRPr="005F372F">
        <w:t xml:space="preserve">in the </w:t>
      </w:r>
      <w:r w:rsidR="00583F77">
        <w:t xml:space="preserve">Dead Sea </w:t>
      </w:r>
      <w:r w:rsidR="00824140">
        <w:t>S</w:t>
      </w:r>
      <w:r w:rsidR="005F372F" w:rsidRPr="005F372F">
        <w:t>crolls</w:t>
      </w:r>
      <w:r w:rsidR="005B1867">
        <w:t xml:space="preserve">. I will also </w:t>
      </w:r>
      <w:r w:rsidR="00B279C0">
        <w:t>compare th</w:t>
      </w:r>
      <w:r w:rsidR="00654B66">
        <w:t>e language of the scroll</w:t>
      </w:r>
      <w:r w:rsidR="0061719A">
        <w:t xml:space="preserve"> </w:t>
      </w:r>
      <w:r w:rsidR="005B1867">
        <w:t>with</w:t>
      </w:r>
      <w:r w:rsidR="0061719A">
        <w:t xml:space="preserve"> biblical Hebrew, as</w:t>
      </w:r>
      <w:r w:rsidR="00583F77">
        <w:t xml:space="preserve"> most scholars agree</w:t>
      </w:r>
      <w:r w:rsidR="0061719A">
        <w:t xml:space="preserve"> that the Hebrew Bible was the princip</w:t>
      </w:r>
      <w:r w:rsidR="00514CAB">
        <w:t>a</w:t>
      </w:r>
      <w:r w:rsidR="0061719A">
        <w:t xml:space="preserve">l source of influence upon the language and vocabulary of the authors of the Dead Sea </w:t>
      </w:r>
      <w:r w:rsidR="00824140">
        <w:t>S</w:t>
      </w:r>
      <w:r w:rsidR="0061719A">
        <w:t>crolls.</w:t>
      </w:r>
      <w:r w:rsidR="0061719A">
        <w:rPr>
          <w:rStyle w:val="FootnoteReference"/>
        </w:rPr>
        <w:footnoteReference w:id="19"/>
      </w:r>
      <w:r w:rsidR="0001514C">
        <w:t xml:space="preserve"> I will also examine similar words and phrases in Second Temple and rabbinic writings.</w:t>
      </w:r>
      <w:r w:rsidR="0001514C">
        <w:rPr>
          <w:rStyle w:val="FootnoteReference"/>
        </w:rPr>
        <w:footnoteReference w:id="20"/>
      </w:r>
    </w:p>
    <w:p w14:paraId="10C6DBFB" w14:textId="32A7E0F2" w:rsidR="00AA1B9E" w:rsidRDefault="000C7BDC" w:rsidP="002D1D4C">
      <w:r w:rsidRPr="00A16879">
        <w:rPr>
          <w:rFonts w:ascii="IowanOldSt BT Pro Roman" w:eastAsia="MS Mincho" w:hAnsi="IowanOldSt BT Pro Roman" w:cs="Times New Roman"/>
        </w:rPr>
        <w:t xml:space="preserve">&lt;H1&gt; </w:t>
      </w:r>
      <w:r w:rsidR="0001514C">
        <w:t>Sound-terms Related to the Use of Trumpets on the Battlefield in 1QM</w:t>
      </w:r>
    </w:p>
    <w:p w14:paraId="1DFA1934" w14:textId="5E08D9D9" w:rsidR="005433A8" w:rsidRPr="005433A8" w:rsidRDefault="002B60D3" w:rsidP="00D87D69">
      <w:r>
        <w:rPr>
          <w:lang w:bidi="he-IL"/>
        </w:rPr>
        <w:t xml:space="preserve">1. </w:t>
      </w:r>
      <w:commentRangeStart w:id="7"/>
      <w:r w:rsidR="005114AF" w:rsidRPr="005114AF">
        <w:rPr>
          <w:rFonts w:hint="cs"/>
          <w:rtl/>
          <w:lang w:bidi="he-IL"/>
        </w:rPr>
        <w:t>ידי</w:t>
      </w:r>
      <w:r>
        <w:rPr>
          <w:lang w:bidi="he-IL"/>
        </w:rPr>
        <w:t xml:space="preserve">: </w:t>
      </w:r>
      <w:r w:rsidR="005114AF">
        <w:t>“so as to” or “in order to”</w:t>
      </w:r>
      <w:r w:rsidR="005433A8">
        <w:t xml:space="preserve"> </w:t>
      </w:r>
      <w:commentRangeEnd w:id="7"/>
      <w:r w:rsidR="00A40FA5">
        <w:rPr>
          <w:rStyle w:val="CommentReference"/>
        </w:rPr>
        <w:commentReference w:id="7"/>
      </w:r>
    </w:p>
    <w:p w14:paraId="3DE9569F" w14:textId="7F96E749" w:rsidR="005433A8" w:rsidRDefault="005433A8" w:rsidP="00D87D69">
      <w:r w:rsidRPr="005114AF">
        <w:t xml:space="preserve">This term probably does not carry any musical valence per se, but its meaning </w:t>
      </w:r>
      <w:r>
        <w:t xml:space="preserve">must be clarified </w:t>
      </w:r>
      <w:r w:rsidRPr="005114AF">
        <w:t xml:space="preserve">as it occurs </w:t>
      </w:r>
      <w:r>
        <w:t>several times in conjunction</w:t>
      </w:r>
      <w:r w:rsidRPr="005114AF">
        <w:t xml:space="preserve"> with musical terms</w:t>
      </w:r>
      <w:r>
        <w:t xml:space="preserve"> </w:t>
      </w:r>
      <w:r w:rsidRPr="005114AF">
        <w:t xml:space="preserve">in </w:t>
      </w:r>
      <w:r>
        <w:t xml:space="preserve">the </w:t>
      </w:r>
      <w:r w:rsidRPr="005114AF">
        <w:t>descriptions of war in 1QM.</w:t>
      </w:r>
      <w:r>
        <w:rPr>
          <w:rStyle w:val="FootnoteReference"/>
        </w:rPr>
        <w:footnoteReference w:id="21"/>
      </w:r>
      <w:r>
        <w:rPr>
          <w:rFonts w:hint="cs"/>
          <w:rtl/>
          <w:lang w:bidi="he-IL"/>
        </w:rPr>
        <w:t xml:space="preserve"> </w:t>
      </w:r>
      <w:r>
        <w:rPr>
          <w:lang w:bidi="he-IL"/>
        </w:rPr>
        <w:t>According to Sukenik, this word is to be understood as “for” (</w:t>
      </w:r>
      <w:r>
        <w:rPr>
          <w:rFonts w:hint="cs"/>
          <w:rtl/>
          <w:lang w:bidi="he-IL"/>
        </w:rPr>
        <w:t>לשם</w:t>
      </w:r>
      <w:r>
        <w:rPr>
          <w:lang w:bidi="he-IL"/>
        </w:rPr>
        <w:t>)</w:t>
      </w:r>
      <w:r>
        <w:rPr>
          <w:rFonts w:hint="cs"/>
          <w:rtl/>
          <w:lang w:bidi="he-IL"/>
        </w:rPr>
        <w:t xml:space="preserve"> </w:t>
      </w:r>
      <w:r>
        <w:rPr>
          <w:lang w:bidi="he-IL"/>
        </w:rPr>
        <w:t>or “in order to bring about” (</w:t>
      </w:r>
      <w:r w:rsidRPr="005114AF">
        <w:rPr>
          <w:rFonts w:hint="cs"/>
          <w:rtl/>
        </w:rPr>
        <w:t>כדי להביא ל...</w:t>
      </w:r>
      <w:r>
        <w:rPr>
          <w:lang w:bidi="he-IL"/>
        </w:rPr>
        <w:t>).</w:t>
      </w:r>
      <w:r>
        <w:rPr>
          <w:rStyle w:val="FootnoteReference"/>
          <w:lang w:bidi="he-IL"/>
        </w:rPr>
        <w:footnoteReference w:id="22"/>
      </w:r>
      <w:r>
        <w:rPr>
          <w:lang w:bidi="he-IL"/>
        </w:rPr>
        <w:t xml:space="preserve"> Yadin explained this word as “signs of</w:t>
      </w:r>
      <w:r w:rsidR="00AA7E35">
        <w:rPr>
          <w:lang w:bidi="he-IL"/>
        </w:rPr>
        <w:t>.</w:t>
      </w:r>
      <w:r>
        <w:rPr>
          <w:lang w:bidi="he-IL"/>
        </w:rPr>
        <w:t>”</w:t>
      </w:r>
      <w:r>
        <w:rPr>
          <w:rStyle w:val="FootnoteReference"/>
          <w:lang w:bidi="he-IL"/>
        </w:rPr>
        <w:footnoteReference w:id="23"/>
      </w:r>
      <w:r>
        <w:rPr>
          <w:lang w:bidi="he-IL"/>
        </w:rPr>
        <w:t xml:space="preserve"> Both of these interpretations take the term </w:t>
      </w:r>
      <w:r>
        <w:rPr>
          <w:rFonts w:hint="cs"/>
          <w:rtl/>
          <w:lang w:bidi="he-IL"/>
        </w:rPr>
        <w:t>ידי</w:t>
      </w:r>
      <w:r>
        <w:rPr>
          <w:lang w:bidi="he-IL"/>
        </w:rPr>
        <w:t xml:space="preserve"> as part of a fixed pattern that is intended to specify </w:t>
      </w:r>
      <w:r w:rsidRPr="00D44998">
        <w:rPr>
          <w:lang w:bidi="he-IL"/>
        </w:rPr>
        <w:t xml:space="preserve">the type of signal sounded </w:t>
      </w:r>
      <w:r>
        <w:rPr>
          <w:lang w:bidi="he-IL"/>
        </w:rPr>
        <w:t>by</w:t>
      </w:r>
      <w:r w:rsidRPr="00D44998">
        <w:rPr>
          <w:lang w:bidi="he-IL"/>
        </w:rPr>
        <w:t xml:space="preserve"> </w:t>
      </w:r>
      <w:r w:rsidRPr="006020EE">
        <w:rPr>
          <w:lang w:bidi="he-IL"/>
        </w:rPr>
        <w:t>the trumpets and the military action that was to follow in its wake. For example, when 1QM 8:</w:t>
      </w:r>
      <w:r w:rsidRPr="006020EE">
        <w:rPr>
          <w:rFonts w:asciiTheme="majorBidi" w:hAnsiTheme="majorBidi"/>
        </w:rPr>
        <w:t>5</w:t>
      </w:r>
      <w:r w:rsidRPr="006020EE">
        <w:rPr>
          <w:rFonts w:asciiTheme="majorBidi" w:hAnsiTheme="majorBidi"/>
          <w:rtl/>
        </w:rPr>
        <w:t>–</w:t>
      </w:r>
      <w:r w:rsidRPr="006020EE">
        <w:rPr>
          <w:rFonts w:asciiTheme="majorBidi" w:hAnsiTheme="majorBidi"/>
        </w:rPr>
        <w:t>6 states</w:t>
      </w:r>
      <w:r w:rsidRPr="006020EE">
        <w:rPr>
          <w:lang w:bidi="he-IL"/>
        </w:rPr>
        <w:t>: “</w:t>
      </w:r>
      <w:r w:rsidR="00E60841" w:rsidRPr="006020EE">
        <w:t xml:space="preserve">a </w:t>
      </w:r>
      <w:r w:rsidR="00E60841" w:rsidRPr="006020EE">
        <w:rPr>
          <w:lang w:bidi="he-IL"/>
        </w:rPr>
        <w:t>simple and sustained sound</w:t>
      </w:r>
      <w:r w:rsidRPr="006020EE">
        <w:t xml:space="preserve">, </w:t>
      </w:r>
      <w:r w:rsidRPr="006020EE">
        <w:rPr>
          <w:i/>
          <w:iCs/>
        </w:rPr>
        <w:t>signals</w:t>
      </w:r>
      <w:r w:rsidRPr="006020EE">
        <w:t xml:space="preserve"> </w:t>
      </w:r>
      <w:r w:rsidRPr="006020EE">
        <w:rPr>
          <w:i/>
          <w:iCs/>
        </w:rPr>
        <w:t>for</w:t>
      </w:r>
      <w:r w:rsidRPr="006020EE">
        <w:t xml:space="preserve"> the order of battle. And the columns shall be deployed into their formations, each to his position,</w:t>
      </w:r>
      <w:r w:rsidRPr="006020EE">
        <w:rPr>
          <w:rFonts w:asciiTheme="majorBidi" w:hAnsiTheme="majorBidi"/>
        </w:rPr>
        <w:t>”</w:t>
      </w:r>
      <w:r w:rsidRPr="006020EE">
        <w:rPr>
          <w:lang w:bidi="he-IL"/>
        </w:rPr>
        <w:t xml:space="preserve"> this means that the</w:t>
      </w:r>
      <w:r w:rsidR="00E60841" w:rsidRPr="006020EE">
        <w:t xml:space="preserve"> </w:t>
      </w:r>
      <w:r w:rsidR="00E60841" w:rsidRPr="006020EE">
        <w:rPr>
          <w:lang w:bidi="he-IL"/>
        </w:rPr>
        <w:t xml:space="preserve">simple and sustained sound </w:t>
      </w:r>
      <w:r w:rsidRPr="006020EE">
        <w:rPr>
          <w:lang w:bidi="he-IL"/>
        </w:rPr>
        <w:t xml:space="preserve">is </w:t>
      </w:r>
      <w:r w:rsidR="00AA7E35" w:rsidRPr="006020EE">
        <w:rPr>
          <w:lang w:bidi="he-IL"/>
        </w:rPr>
        <w:t>produce</w:t>
      </w:r>
      <w:r w:rsidR="00AA7E35" w:rsidRPr="00AA7E35">
        <w:rPr>
          <w:lang w:bidi="he-IL"/>
        </w:rPr>
        <w:t>d</w:t>
      </w:r>
      <w:r w:rsidR="00AA7E35" w:rsidRPr="006020EE">
        <w:rPr>
          <w:lang w:bidi="he-IL"/>
        </w:rPr>
        <w:t xml:space="preserve"> </w:t>
      </w:r>
      <w:r w:rsidRPr="006020EE">
        <w:rPr>
          <w:lang w:bidi="he-IL"/>
        </w:rPr>
        <w:t>in order to signal to the fighters that they must move and take their places, an action that is termed “the order of battle” in the scroll.</w:t>
      </w:r>
    </w:p>
    <w:p w14:paraId="6827CA8E" w14:textId="6D19F5A1" w:rsidR="00AB50EC" w:rsidRPr="00AA7E35" w:rsidRDefault="002B60D3" w:rsidP="00283890">
      <w:pPr>
        <w:rPr>
          <w:lang w:bidi="he-IL"/>
        </w:rPr>
      </w:pPr>
      <w:r>
        <w:rPr>
          <w:lang w:bidi="he-IL"/>
        </w:rPr>
        <w:t xml:space="preserve">2. </w:t>
      </w:r>
      <w:r w:rsidR="00AB50EC" w:rsidRPr="00C10CF2">
        <w:rPr>
          <w:rFonts w:hint="cs"/>
          <w:rtl/>
          <w:lang w:bidi="he-IL"/>
        </w:rPr>
        <w:t>קול מרודד</w:t>
      </w:r>
      <w:r>
        <w:rPr>
          <w:lang w:bidi="he-IL"/>
        </w:rPr>
        <w:t xml:space="preserve">: </w:t>
      </w:r>
      <w:r w:rsidR="00AB50EC" w:rsidRPr="00AA7E35">
        <w:rPr>
          <w:lang w:bidi="he-IL"/>
        </w:rPr>
        <w:t>A simple, uniform and sustained sound (Sostenuto).</w:t>
      </w:r>
    </w:p>
    <w:p w14:paraId="3D3C5340" w14:textId="17F10166" w:rsidR="00427355" w:rsidRPr="00F8357A" w:rsidRDefault="005433A8">
      <w:pPr>
        <w:rPr>
          <w:rFonts w:asciiTheme="majorBidi" w:hAnsiTheme="majorBidi"/>
        </w:rPr>
      </w:pPr>
      <w:r w:rsidRPr="00AA7E35">
        <w:t xml:space="preserve">This term appears in two places in the War Scroll: 1QM 8:5: “The priests shall blow on their trumpets </w:t>
      </w:r>
      <w:r w:rsidR="00536BC7" w:rsidRPr="00AA7E35">
        <w:t xml:space="preserve">a </w:t>
      </w:r>
      <w:r w:rsidR="00536BC7" w:rsidRPr="00AA7E35">
        <w:rPr>
          <w:lang w:bidi="he-IL"/>
        </w:rPr>
        <w:t>simple and sustained sound</w:t>
      </w:r>
      <w:r w:rsidRPr="00AA7E35">
        <w:t>, signals for the order of battle” and 1QM 8:13</w:t>
      </w:r>
      <w:r w:rsidRPr="00AA7E35">
        <w:rPr>
          <w:rFonts w:asciiTheme="majorBidi" w:hAnsiTheme="majorBidi"/>
          <w:rtl/>
        </w:rPr>
        <w:t>–</w:t>
      </w:r>
      <w:r w:rsidRPr="00AA7E35">
        <w:t xml:space="preserve">14: “Afterwards, the priests shall blow for them the trumpets of retreat, </w:t>
      </w:r>
      <w:r w:rsidR="00672F58" w:rsidRPr="00AA7E35">
        <w:rPr>
          <w:rFonts w:asciiTheme="majorBidi" w:hAnsiTheme="majorBidi"/>
        </w:rPr>
        <w:t>a low-pitched, simple and sustained</w:t>
      </w:r>
      <w:r w:rsidR="00E12A5A">
        <w:rPr>
          <w:rFonts w:asciiTheme="majorBidi" w:hAnsiTheme="majorBidi"/>
        </w:rPr>
        <w:t>,</w:t>
      </w:r>
      <w:r w:rsidR="00672F58" w:rsidRPr="00AA7E35">
        <w:rPr>
          <w:rFonts w:asciiTheme="majorBidi" w:hAnsiTheme="majorBidi"/>
        </w:rPr>
        <w:t xml:space="preserve"> strong and powerful sound</w:t>
      </w:r>
      <w:r w:rsidRPr="00AA7E35">
        <w:t xml:space="preserve">.” The majority of scholars take this term to designate a </w:t>
      </w:r>
      <w:r w:rsidRPr="005433A8">
        <w:t>uniform sustained sound, without variation in pitch or volume.</w:t>
      </w:r>
      <w:r>
        <w:rPr>
          <w:rStyle w:val="FootnoteReference"/>
        </w:rPr>
        <w:footnoteReference w:id="24"/>
      </w:r>
      <w:r w:rsidRPr="005433A8">
        <w:t xml:space="preserve"> Some have suggested alternative interpretations: Sukenik offered, “</w:t>
      </w:r>
      <w:r w:rsidRPr="005433A8">
        <w:rPr>
          <w:rFonts w:hint="cs"/>
          <w:rtl/>
        </w:rPr>
        <w:t>קול דק וממושך</w:t>
      </w:r>
      <w:r w:rsidRPr="005433A8">
        <w:t>”</w:t>
      </w:r>
      <w:r w:rsidRPr="005433A8">
        <w:rPr>
          <w:rFonts w:asciiTheme="majorBidi" w:hAnsiTheme="majorBidi"/>
        </w:rPr>
        <w:t xml:space="preserve"> (which </w:t>
      </w:r>
      <w:r w:rsidR="00514CAB">
        <w:rPr>
          <w:rFonts w:asciiTheme="majorBidi" w:hAnsiTheme="majorBidi"/>
        </w:rPr>
        <w:t xml:space="preserve">we might </w:t>
      </w:r>
      <w:r w:rsidRPr="005433A8">
        <w:rPr>
          <w:rFonts w:asciiTheme="majorBidi" w:hAnsiTheme="majorBidi"/>
        </w:rPr>
        <w:t xml:space="preserve">render as “a thin, extended sound”), without explaining what </w:t>
      </w:r>
      <w:r w:rsidRPr="005433A8">
        <w:rPr>
          <w:rFonts w:hint="cs"/>
          <w:rtl/>
        </w:rPr>
        <w:t>קול דק</w:t>
      </w:r>
      <w:r w:rsidRPr="005433A8">
        <w:t xml:space="preserve"> means, musically.</w:t>
      </w:r>
      <w:r>
        <w:rPr>
          <w:rStyle w:val="FootnoteReference"/>
        </w:rPr>
        <w:footnoteReference w:id="25"/>
      </w:r>
      <w:r w:rsidRPr="005433A8">
        <w:t xml:space="preserve"> Driver translated, “repeated,” which may be understood to indicate a continuous repetition of a single sound, a phenomenon known as “ostinato” in technical musical terminology.</w:t>
      </w:r>
      <w:r w:rsidRPr="00F07645">
        <w:rPr>
          <w:rStyle w:val="FootnoteReference"/>
        </w:rPr>
        <w:footnoteReference w:id="26"/>
      </w:r>
      <w:r w:rsidRPr="005433A8">
        <w:t xml:space="preserve"> </w:t>
      </w:r>
      <w:r w:rsidRPr="005433A8">
        <w:rPr>
          <w:rFonts w:asciiTheme="majorBidi" w:hAnsiTheme="majorBidi"/>
        </w:rPr>
        <w:t>Screnock’s “subdued voice” indicates a sound of low volume, technically termed “piano.”</w:t>
      </w:r>
      <w:r w:rsidRPr="00F07645">
        <w:rPr>
          <w:rStyle w:val="FootnoteReference"/>
          <w:rFonts w:asciiTheme="majorBidi" w:hAnsiTheme="majorBidi"/>
        </w:rPr>
        <w:footnoteReference w:id="27"/>
      </w:r>
    </w:p>
    <w:p w14:paraId="0273C0E3" w14:textId="36199037" w:rsidR="005433A8" w:rsidRPr="00F07645" w:rsidRDefault="005433A8">
      <w:r w:rsidRPr="00F07645">
        <w:t>Outside of 1QM, the root</w:t>
      </w:r>
      <w:r w:rsidR="00BA3119" w:rsidRPr="00BA3119">
        <w:t xml:space="preserve"> </w:t>
      </w:r>
      <w:r w:rsidR="00BA3119" w:rsidRPr="00BA3119">
        <w:rPr>
          <w:rFonts w:hint="cs"/>
          <w:rtl/>
          <w:lang w:bidi="he-IL"/>
        </w:rPr>
        <w:t>ר.ד.ד</w:t>
      </w:r>
      <w:r w:rsidR="00BA3119" w:rsidRPr="00BA3119">
        <w:t xml:space="preserve"> </w:t>
      </w:r>
      <w:r w:rsidRPr="00F07645">
        <w:t xml:space="preserve">does not appear in any of the corpus of Dead Sea </w:t>
      </w:r>
      <w:r w:rsidR="00824140">
        <w:t>S</w:t>
      </w:r>
      <w:r w:rsidRPr="00F07645">
        <w:t>crolls. The root appears several times in the Hebrew Bible, in the sense of submission, treading, leveling, and flattening.</w:t>
      </w:r>
      <w:r w:rsidRPr="00F07645">
        <w:rPr>
          <w:rStyle w:val="FootnoteReference"/>
        </w:rPr>
        <w:footnoteReference w:id="28"/>
      </w:r>
      <w:r w:rsidRPr="00F07645">
        <w:t xml:space="preserve"> Thus:</w:t>
      </w:r>
    </w:p>
    <w:p w14:paraId="2DBB7D30" w14:textId="650564B1" w:rsidR="005433A8" w:rsidRPr="00F07645" w:rsidRDefault="005433A8">
      <w:pPr>
        <w:ind w:left="720"/>
        <w:rPr>
          <w:rFonts w:eastAsiaTheme="minorHAnsi"/>
        </w:rPr>
      </w:pPr>
      <w:r w:rsidRPr="00F07645">
        <w:t>Isa 45:1: “</w:t>
      </w:r>
      <w:r w:rsidRPr="00F07645">
        <w:rPr>
          <w:rFonts w:eastAsiaTheme="minorHAnsi"/>
        </w:rPr>
        <w:t>Thus said the LORD to Cyrus, His anointed one</w:t>
      </w:r>
      <w:r w:rsidRPr="00F07645">
        <w:t xml:space="preserve">, </w:t>
      </w:r>
      <w:r w:rsidRPr="00F07645">
        <w:rPr>
          <w:rFonts w:eastAsiaTheme="minorHAnsi"/>
        </w:rPr>
        <w:t>whose right hand He has grasped, treading down nations before him (</w:t>
      </w:r>
      <w:r w:rsidRPr="00F07645">
        <w:rPr>
          <w:rtl/>
        </w:rPr>
        <w:t>לְרַד לפניו גוים</w:t>
      </w:r>
      <w:r w:rsidRPr="00F07645">
        <w:rPr>
          <w:rFonts w:eastAsiaTheme="minorHAnsi"/>
        </w:rPr>
        <w:t>).”</w:t>
      </w:r>
    </w:p>
    <w:p w14:paraId="0214E4BD" w14:textId="3C0B1415" w:rsidR="005433A8" w:rsidRDefault="005433A8" w:rsidP="00D87D69">
      <w:pPr>
        <w:ind w:left="720"/>
        <w:rPr>
          <w:rFonts w:eastAsiaTheme="minorHAnsi"/>
        </w:rPr>
      </w:pPr>
      <w:r w:rsidRPr="00F07645">
        <w:rPr>
          <w:rFonts w:eastAsiaTheme="minorHAnsi"/>
        </w:rPr>
        <w:t>1Kgs 6:32: “He overlaid them with gold, hammering the gold onto the cherubim and the palms (</w:t>
      </w:r>
      <w:r w:rsidRPr="00F07645">
        <w:rPr>
          <w:rtl/>
        </w:rPr>
        <w:t>וַיָרֶד על הכרובים ועל התמרות את הזהב</w:t>
      </w:r>
      <w:r w:rsidRPr="00F07645">
        <w:rPr>
          <w:rFonts w:eastAsiaTheme="minorHAnsi"/>
        </w:rPr>
        <w:t>).”</w:t>
      </w:r>
    </w:p>
    <w:p w14:paraId="7697D556" w14:textId="77777777" w:rsidR="005433A8" w:rsidRDefault="005433A8" w:rsidP="00D87D69">
      <w:pPr>
        <w:ind w:left="720"/>
      </w:pPr>
      <w:r w:rsidRPr="00F07645">
        <w:t>Psalms 144:2: “</w:t>
      </w:r>
      <w:r w:rsidRPr="00F07645">
        <w:rPr>
          <w:rFonts w:eastAsiaTheme="minorHAnsi"/>
        </w:rPr>
        <w:t>my faithful one, my fortress, my haven and my deliverer, my shield, in whom I take shelter, who makes peoples subject to me (</w:t>
      </w:r>
      <w:r w:rsidRPr="00F07645">
        <w:rPr>
          <w:rtl/>
        </w:rPr>
        <w:t>הרודֵד עמי תחתי</w:t>
      </w:r>
      <w:r w:rsidRPr="00F07645">
        <w:rPr>
          <w:rFonts w:eastAsiaTheme="minorHAnsi"/>
        </w:rPr>
        <w:t>).</w:t>
      </w:r>
      <w:r w:rsidRPr="00F07645">
        <w:t>”</w:t>
      </w:r>
      <w:r w:rsidRPr="00F07645">
        <w:rPr>
          <w:rStyle w:val="FootnoteReference"/>
        </w:rPr>
        <w:footnoteReference w:id="29"/>
      </w:r>
    </w:p>
    <w:p w14:paraId="68CA2179" w14:textId="28605DC7" w:rsidR="005433A8" w:rsidRDefault="005433A8">
      <w:r>
        <w:t xml:space="preserve">The root </w:t>
      </w:r>
      <w:r w:rsidR="00083495" w:rsidRPr="00BA3119">
        <w:rPr>
          <w:rFonts w:hint="cs"/>
          <w:rtl/>
          <w:lang w:bidi="he-IL"/>
        </w:rPr>
        <w:t>ר.ד.ד</w:t>
      </w:r>
      <w:r w:rsidR="00083495" w:rsidRPr="00BA3119">
        <w:t xml:space="preserve"> </w:t>
      </w:r>
      <w:r>
        <w:t xml:space="preserve">appears in </w:t>
      </w:r>
      <w:r w:rsidRPr="005E5F67">
        <w:t xml:space="preserve">the sense of leveling and flattening also in Tannaitic </w:t>
      </w:r>
      <w:r>
        <w:t>literature:</w:t>
      </w:r>
    </w:p>
    <w:p w14:paraId="4EE12ADD" w14:textId="7FA35224" w:rsidR="009574B5" w:rsidRPr="009574B5" w:rsidRDefault="005433A8" w:rsidP="00D87D69">
      <w:pPr>
        <w:ind w:left="720"/>
      </w:pPr>
      <w:r>
        <w:t>m. Tamid 6:2:</w:t>
      </w:r>
      <w:r w:rsidR="009574B5">
        <w:t xml:space="preserve"> “p</w:t>
      </w:r>
      <w:r w:rsidR="009574B5" w:rsidRPr="009574B5">
        <w:t xml:space="preserve">iled the coals on the altar and flattened </w:t>
      </w:r>
      <w:r w:rsidR="009574B5">
        <w:t>(</w:t>
      </w:r>
      <w:r w:rsidR="009574B5" w:rsidRPr="00E52737">
        <w:rPr>
          <w:rFonts w:hint="cs"/>
          <w:rtl/>
        </w:rPr>
        <w:t>ורידדן</w:t>
      </w:r>
      <w:r w:rsidR="009574B5">
        <w:t xml:space="preserve">) </w:t>
      </w:r>
      <w:r w:rsidR="009574B5" w:rsidRPr="009574B5">
        <w:t>them with the bottom of the pan</w:t>
      </w:r>
      <w:r w:rsidR="009574B5">
        <w:t>”</w:t>
      </w:r>
    </w:p>
    <w:p w14:paraId="5339DD64" w14:textId="13CF6CB7" w:rsidR="009574B5" w:rsidRPr="009574B5" w:rsidRDefault="005433A8" w:rsidP="00D87D69">
      <w:pPr>
        <w:ind w:left="720"/>
      </w:pPr>
      <w:r>
        <w:t xml:space="preserve">m. Ohalot 7:2: </w:t>
      </w:r>
      <w:r w:rsidR="009574B5">
        <w:t>“</w:t>
      </w:r>
      <w:r w:rsidR="009574B5" w:rsidRPr="009574B5">
        <w:t xml:space="preserve">part of it [the tentcloth] is spread out </w:t>
      </w:r>
      <w:r w:rsidR="009574B5">
        <w:rPr>
          <w:lang w:bidi="he-IL"/>
        </w:rPr>
        <w:t>(</w:t>
      </w:r>
      <w:r w:rsidR="009574B5" w:rsidRPr="00E52737">
        <w:rPr>
          <w:rFonts w:hint="cs"/>
          <w:rtl/>
        </w:rPr>
        <w:t>מרודד</w:t>
      </w:r>
      <w:r w:rsidR="009574B5">
        <w:rPr>
          <w:lang w:bidi="he-IL"/>
        </w:rPr>
        <w:t xml:space="preserve">) </w:t>
      </w:r>
      <w:r w:rsidR="009574B5" w:rsidRPr="009574B5">
        <w:t>on the ground</w:t>
      </w:r>
      <w:r w:rsidR="004D316D">
        <w:t>”</w:t>
      </w:r>
    </w:p>
    <w:p w14:paraId="0960CFC8" w14:textId="4F2B0C63" w:rsidR="009574B5" w:rsidRPr="009574B5" w:rsidRDefault="005433A8">
      <w:pPr>
        <w:ind w:left="720"/>
      </w:pPr>
      <w:r>
        <w:t xml:space="preserve">t. Shabbat 11:2 </w:t>
      </w:r>
      <w:r w:rsidR="009574B5">
        <w:t>“</w:t>
      </w:r>
      <w:r w:rsidR="009574B5" w:rsidRPr="009574B5">
        <w:t>Even he who strikes with a hammer upon the anvil is liable, for so do they flatten</w:t>
      </w:r>
      <w:r w:rsidR="009574B5">
        <w:t xml:space="preserve"> (</w:t>
      </w:r>
      <w:r w:rsidR="009574B5" w:rsidRPr="00E52737">
        <w:rPr>
          <w:rFonts w:hint="cs"/>
          <w:rtl/>
        </w:rPr>
        <w:t>מרדדין</w:t>
      </w:r>
      <w:r w:rsidR="009574B5">
        <w:t>)</w:t>
      </w:r>
      <w:r w:rsidR="009574B5" w:rsidRPr="009574B5">
        <w:t xml:space="preserve"> [metal] sheets for the labor of the Tabernacle.</w:t>
      </w:r>
      <w:r w:rsidR="009574B5">
        <w:t>”</w:t>
      </w:r>
      <w:r w:rsidR="009574B5">
        <w:rPr>
          <w:rStyle w:val="FootnoteReference"/>
        </w:rPr>
        <w:footnoteReference w:id="30"/>
      </w:r>
    </w:p>
    <w:p w14:paraId="74532361" w14:textId="74DF319C" w:rsidR="005433A8" w:rsidRPr="00427355" w:rsidRDefault="009574B5" w:rsidP="00B036AC">
      <w:pPr>
        <w:ind w:left="720"/>
      </w:pPr>
      <w:r w:rsidRPr="009574B5">
        <w:t> t. Mo‘ed Qatan 1:4:</w:t>
      </w:r>
      <w:r>
        <w:t xml:space="preserve"> “</w:t>
      </w:r>
      <w:r w:rsidRPr="009574B5">
        <w:t xml:space="preserve">one pokes it with a stake or strikes it with a pick and flattens </w:t>
      </w:r>
      <w:r w:rsidR="00427355">
        <w:t>(</w:t>
      </w:r>
      <w:r w:rsidR="00427355" w:rsidRPr="009574B5">
        <w:rPr>
          <w:rFonts w:ascii="Narkisim" w:hAnsi="Narkisim" w:cs="Narkisim" w:hint="cs"/>
          <w:rtl/>
          <w:lang w:bidi="he-IL"/>
        </w:rPr>
        <w:t>ומרדיד</w:t>
      </w:r>
      <w:r w:rsidR="00427355">
        <w:t xml:space="preserve">) </w:t>
      </w:r>
      <w:r w:rsidRPr="009574B5">
        <w:t>the earth beneath him</w:t>
      </w:r>
      <w:r w:rsidR="00427355">
        <w:t>.”</w:t>
      </w:r>
      <w:r w:rsidR="005433A8">
        <w:rPr>
          <w:rStyle w:val="FootnoteReference"/>
        </w:rPr>
        <w:footnoteReference w:id="31"/>
      </w:r>
    </w:p>
    <w:p w14:paraId="4B183A05" w14:textId="77890884" w:rsidR="003F43B3" w:rsidRDefault="005433A8">
      <w:r>
        <w:t>The</w:t>
      </w:r>
      <w:r w:rsidR="00761532">
        <w:t xml:space="preserve">se </w:t>
      </w:r>
      <w:r>
        <w:t xml:space="preserve">usages of the root support the claim of scholars who take the term </w:t>
      </w:r>
      <w:r w:rsidRPr="00E52737">
        <w:rPr>
          <w:rFonts w:hint="cs"/>
          <w:rtl/>
        </w:rPr>
        <w:t>קול מרודד</w:t>
      </w:r>
      <w:r>
        <w:t xml:space="preserve"> as denoting a simple, uniform, and sustained sound, </w:t>
      </w:r>
      <w:r w:rsidR="000514E8">
        <w:t>known as</w:t>
      </w:r>
      <w:r>
        <w:t xml:space="preserve"> “sostenuto” in musical terms.</w:t>
      </w:r>
      <w:r>
        <w:rPr>
          <w:rStyle w:val="FootnoteReference"/>
        </w:rPr>
        <w:footnoteReference w:id="32"/>
      </w:r>
    </w:p>
    <w:p w14:paraId="459C1C3D" w14:textId="0C396E12" w:rsidR="009F7415" w:rsidRPr="00783054" w:rsidRDefault="002B60D3" w:rsidP="00627E20">
      <w:pPr>
        <w:rPr>
          <w:lang w:bidi="he-IL"/>
        </w:rPr>
      </w:pPr>
      <w:r>
        <w:t xml:space="preserve">3. </w:t>
      </w:r>
      <w:r w:rsidR="009F7415" w:rsidRPr="00C10CF2">
        <w:rPr>
          <w:rFonts w:hint="cs"/>
          <w:rtl/>
          <w:lang w:bidi="he-IL"/>
        </w:rPr>
        <w:t>סמוך</w:t>
      </w:r>
      <w:r>
        <w:rPr>
          <w:lang w:bidi="he-IL"/>
        </w:rPr>
        <w:t xml:space="preserve">: </w:t>
      </w:r>
      <w:r w:rsidR="009F7415" w:rsidRPr="00783054">
        <w:rPr>
          <w:lang w:bidi="he-IL"/>
        </w:rPr>
        <w:t>A strong and powerful sound (Forte)</w:t>
      </w:r>
    </w:p>
    <w:p w14:paraId="31925A3D" w14:textId="124069E1" w:rsidR="00880B4F" w:rsidRDefault="005433A8">
      <w:pPr>
        <w:rPr>
          <w:lang w:bidi="he-IL"/>
        </w:rPr>
      </w:pPr>
      <w:r>
        <w:rPr>
          <w:lang w:bidi="he-IL"/>
        </w:rPr>
        <w:t xml:space="preserve">This term appears in two places in 1QM, in conjunction with the terms </w:t>
      </w:r>
      <w:r w:rsidRPr="00E52737">
        <w:rPr>
          <w:rFonts w:hint="cs"/>
          <w:rtl/>
        </w:rPr>
        <w:t>נוח</w:t>
      </w:r>
      <w:r>
        <w:rPr>
          <w:lang w:bidi="he-IL"/>
        </w:rPr>
        <w:t xml:space="preserve"> (discussed be</w:t>
      </w:r>
      <w:r w:rsidRPr="00783054">
        <w:rPr>
          <w:lang w:bidi="he-IL"/>
        </w:rPr>
        <w:t xml:space="preserve">low) and </w:t>
      </w:r>
      <w:r w:rsidRPr="00783054">
        <w:rPr>
          <w:rFonts w:hint="cs"/>
          <w:rtl/>
        </w:rPr>
        <w:t>מרודד</w:t>
      </w:r>
      <w:r w:rsidR="001D1378" w:rsidRPr="00783054">
        <w:t>. 1QM 8:7 states: “</w:t>
      </w:r>
      <w:r w:rsidR="00997C10" w:rsidRPr="00783054">
        <w:t xml:space="preserve">the priests shall blow for them a second signal, </w:t>
      </w:r>
      <w:r w:rsidR="00177032" w:rsidRPr="00783054">
        <w:rPr>
          <w:rFonts w:asciiTheme="majorBidi" w:hAnsiTheme="majorBidi"/>
        </w:rPr>
        <w:t xml:space="preserve">a low-pitched, </w:t>
      </w:r>
      <w:r w:rsidR="00177032" w:rsidRPr="00783054">
        <w:rPr>
          <w:lang w:bidi="he-IL"/>
        </w:rPr>
        <w:t>strong and powerful</w:t>
      </w:r>
      <w:r w:rsidR="00177032" w:rsidRPr="00783054">
        <w:rPr>
          <w:rFonts w:asciiTheme="majorBidi" w:hAnsiTheme="majorBidi"/>
        </w:rPr>
        <w:t xml:space="preserve"> sound</w:t>
      </w:r>
      <w:r w:rsidR="001D1378" w:rsidRPr="00783054">
        <w:t>.” 1QM 8:13</w:t>
      </w:r>
      <w:r w:rsidR="00EC014F" w:rsidRPr="00783054">
        <w:t>-</w:t>
      </w:r>
      <w:r w:rsidR="001D1378" w:rsidRPr="00783054">
        <w:t>14 states:</w:t>
      </w:r>
      <w:r w:rsidR="00997C10" w:rsidRPr="00783054">
        <w:t xml:space="preserve"> “Afterwards, the priests shall blow for them the trumpets of retreat, </w:t>
      </w:r>
      <w:r w:rsidR="00263708" w:rsidRPr="00783054">
        <w:rPr>
          <w:rFonts w:asciiTheme="majorBidi" w:hAnsiTheme="majorBidi"/>
        </w:rPr>
        <w:t>a low-pitched, simple and sustained, strong and powerful sound</w:t>
      </w:r>
      <w:r w:rsidR="00C10CF2">
        <w:rPr>
          <w:rFonts w:asciiTheme="majorBidi" w:hAnsiTheme="majorBidi"/>
        </w:rPr>
        <w:t>.</w:t>
      </w:r>
      <w:r w:rsidR="00997C10" w:rsidRPr="00783054">
        <w:t>”</w:t>
      </w:r>
      <w:r w:rsidR="00B978E9" w:rsidRPr="00783054">
        <w:t xml:space="preserve"> </w:t>
      </w:r>
      <w:r w:rsidRPr="00783054">
        <w:rPr>
          <w:lang w:bidi="he-IL"/>
        </w:rPr>
        <w:t xml:space="preserve">Various scholars have </w:t>
      </w:r>
      <w:r w:rsidR="00997C10" w:rsidRPr="00783054">
        <w:rPr>
          <w:lang w:bidi="he-IL"/>
        </w:rPr>
        <w:t>understood</w:t>
      </w:r>
      <w:r w:rsidRPr="00783054">
        <w:rPr>
          <w:lang w:bidi="he-IL"/>
        </w:rPr>
        <w:t xml:space="preserve"> this term as </w:t>
      </w:r>
      <w:r w:rsidR="00997C10" w:rsidRPr="00783054">
        <w:rPr>
          <w:lang w:bidi="he-IL"/>
        </w:rPr>
        <w:t>referring</w:t>
      </w:r>
      <w:r w:rsidRPr="00783054">
        <w:rPr>
          <w:lang w:bidi="he-IL"/>
        </w:rPr>
        <w:t xml:space="preserve"> to the </w:t>
      </w:r>
      <w:r w:rsidR="00997C10" w:rsidRPr="00783054">
        <w:rPr>
          <w:lang w:bidi="he-IL"/>
        </w:rPr>
        <w:t>proximity</w:t>
      </w:r>
      <w:r w:rsidRPr="00783054">
        <w:rPr>
          <w:lang w:bidi="he-IL"/>
        </w:rPr>
        <w:t xml:space="preserve"> between different sounds </w:t>
      </w:r>
      <w:r w:rsidRPr="005433A8">
        <w:rPr>
          <w:lang w:bidi="he-IL"/>
        </w:rPr>
        <w:t>and therefore interpreted it using the musical term</w:t>
      </w:r>
      <w:r w:rsidR="00997C10">
        <w:rPr>
          <w:lang w:bidi="he-IL"/>
        </w:rPr>
        <w:t xml:space="preserve"> “l</w:t>
      </w:r>
      <w:r w:rsidRPr="005433A8">
        <w:rPr>
          <w:lang w:bidi="he-IL"/>
        </w:rPr>
        <w:t>egato,</w:t>
      </w:r>
      <w:r w:rsidR="00997C10">
        <w:rPr>
          <w:lang w:bidi="he-IL"/>
        </w:rPr>
        <w:t>”</w:t>
      </w:r>
      <w:r w:rsidRPr="005433A8">
        <w:rPr>
          <w:lang w:bidi="he-IL"/>
        </w:rPr>
        <w:t xml:space="preserve"> which means playing or singing at least two</w:t>
      </w:r>
      <w:r w:rsidR="00CF6A00">
        <w:rPr>
          <w:lang w:bidi="he-IL"/>
        </w:rPr>
        <w:t xml:space="preserve"> </w:t>
      </w:r>
      <w:r w:rsidR="0015737A" w:rsidRPr="0015737A">
        <w:rPr>
          <w:lang w:bidi="he-IL"/>
        </w:rPr>
        <w:t>note</w:t>
      </w:r>
      <w:r w:rsidR="00CF6A00" w:rsidRPr="0015737A">
        <w:rPr>
          <w:lang w:bidi="he-IL"/>
        </w:rPr>
        <w:t>s</w:t>
      </w:r>
      <w:r w:rsidRPr="0015737A">
        <w:rPr>
          <w:lang w:bidi="he-IL"/>
        </w:rPr>
        <w:t xml:space="preserve"> </w:t>
      </w:r>
      <w:r w:rsidR="00997C10" w:rsidRPr="0015737A">
        <w:rPr>
          <w:lang w:bidi="he-IL"/>
        </w:rPr>
        <w:t>consecutively</w:t>
      </w:r>
      <w:r w:rsidRPr="0015737A">
        <w:rPr>
          <w:lang w:bidi="he-IL"/>
        </w:rPr>
        <w:t xml:space="preserve">, without a break between </w:t>
      </w:r>
      <w:r w:rsidR="00997C10" w:rsidRPr="0015737A">
        <w:rPr>
          <w:lang w:bidi="he-IL"/>
        </w:rPr>
        <w:t xml:space="preserve">one </w:t>
      </w:r>
      <w:r w:rsidR="0015737A" w:rsidRPr="0015737A">
        <w:rPr>
          <w:lang w:bidi="he-IL"/>
        </w:rPr>
        <w:t>note</w:t>
      </w:r>
      <w:r w:rsidRPr="0015737A">
        <w:rPr>
          <w:lang w:bidi="he-IL"/>
        </w:rPr>
        <w:t xml:space="preserve"> </w:t>
      </w:r>
      <w:r w:rsidRPr="005433A8">
        <w:rPr>
          <w:lang w:bidi="he-IL"/>
        </w:rPr>
        <w:t xml:space="preserve">and </w:t>
      </w:r>
      <w:r w:rsidR="00997C10">
        <w:rPr>
          <w:lang w:bidi="he-IL"/>
        </w:rPr>
        <w:t>the next</w:t>
      </w:r>
      <w:r w:rsidRPr="005433A8">
        <w:rPr>
          <w:lang w:bidi="he-IL"/>
        </w:rPr>
        <w:t>.</w:t>
      </w:r>
      <w:r w:rsidR="00997C10">
        <w:rPr>
          <w:rStyle w:val="FootnoteReference"/>
          <w:lang w:bidi="he-IL"/>
        </w:rPr>
        <w:footnoteReference w:id="33"/>
      </w:r>
      <w:r w:rsidRPr="005433A8">
        <w:rPr>
          <w:lang w:bidi="he-IL"/>
        </w:rPr>
        <w:t xml:space="preserve"> </w:t>
      </w:r>
      <w:r w:rsidR="00B978E9">
        <w:rPr>
          <w:lang w:bidi="he-IL"/>
        </w:rPr>
        <w:t>This</w:t>
      </w:r>
      <w:r w:rsidRPr="005433A8">
        <w:rPr>
          <w:lang w:bidi="he-IL"/>
        </w:rPr>
        <w:t xml:space="preserve"> interpretation </w:t>
      </w:r>
      <w:r w:rsidR="00B978E9">
        <w:rPr>
          <w:lang w:bidi="he-IL"/>
        </w:rPr>
        <w:t>appear</w:t>
      </w:r>
      <w:r w:rsidRPr="005433A8">
        <w:rPr>
          <w:lang w:bidi="he-IL"/>
        </w:rPr>
        <w:t>s</w:t>
      </w:r>
      <w:r w:rsidR="00B978E9">
        <w:rPr>
          <w:lang w:bidi="he-IL"/>
        </w:rPr>
        <w:t xml:space="preserve"> to be</w:t>
      </w:r>
      <w:r w:rsidRPr="005433A8">
        <w:rPr>
          <w:lang w:bidi="he-IL"/>
        </w:rPr>
        <w:t xml:space="preserve"> incorrect because the scroll does not indicate different sounds produced one after the other, but </w:t>
      </w:r>
      <w:r w:rsidR="00824140">
        <w:rPr>
          <w:lang w:bidi="he-IL"/>
        </w:rPr>
        <w:t xml:space="preserve">rather a single </w:t>
      </w:r>
      <w:r w:rsidRPr="005433A8">
        <w:rPr>
          <w:lang w:bidi="he-IL"/>
        </w:rPr>
        <w:t xml:space="preserve">sound </w:t>
      </w:r>
      <w:r w:rsidR="00824140">
        <w:rPr>
          <w:lang w:bidi="he-IL"/>
        </w:rPr>
        <w:t>(</w:t>
      </w:r>
      <w:r w:rsidR="00824140" w:rsidRPr="00E52737">
        <w:rPr>
          <w:rFonts w:hint="cs"/>
          <w:rtl/>
        </w:rPr>
        <w:t>קול נוח וסמוך</w:t>
      </w:r>
      <w:r w:rsidR="00824140">
        <w:t xml:space="preserve">, </w:t>
      </w:r>
      <w:r w:rsidR="00824140" w:rsidRPr="00E52737">
        <w:rPr>
          <w:rFonts w:hint="cs"/>
          <w:rtl/>
        </w:rPr>
        <w:t>קול נוח מרודד סמוך</w:t>
      </w:r>
      <w:r w:rsidR="00824140">
        <w:rPr>
          <w:lang w:bidi="he-IL"/>
        </w:rPr>
        <w:t xml:space="preserve">, </w:t>
      </w:r>
      <w:r w:rsidRPr="005433A8">
        <w:rPr>
          <w:lang w:bidi="he-IL"/>
        </w:rPr>
        <w:t xml:space="preserve">etc.). Other </w:t>
      </w:r>
      <w:r w:rsidR="00B978E9">
        <w:rPr>
          <w:lang w:bidi="he-IL"/>
        </w:rPr>
        <w:t>scholar</w:t>
      </w:r>
      <w:r w:rsidRPr="005433A8">
        <w:rPr>
          <w:lang w:bidi="he-IL"/>
        </w:rPr>
        <w:t xml:space="preserve">s have seen the term </w:t>
      </w:r>
      <w:r w:rsidR="00824140" w:rsidRPr="00E52737">
        <w:rPr>
          <w:rFonts w:hint="cs"/>
          <w:rtl/>
        </w:rPr>
        <w:t>סמוך</w:t>
      </w:r>
      <w:r w:rsidRPr="005433A8">
        <w:rPr>
          <w:lang w:bidi="he-IL"/>
        </w:rPr>
        <w:t xml:space="preserve"> as a reference to a prolonged sound.</w:t>
      </w:r>
      <w:r w:rsidR="00B978E9">
        <w:rPr>
          <w:rStyle w:val="FootnoteReference"/>
          <w:lang w:bidi="he-IL"/>
        </w:rPr>
        <w:footnoteReference w:id="34"/>
      </w:r>
      <w:r w:rsidRPr="005433A8">
        <w:rPr>
          <w:lang w:bidi="he-IL"/>
        </w:rPr>
        <w:t xml:space="preserve"> In light of the above </w:t>
      </w:r>
      <w:r w:rsidR="00824140">
        <w:rPr>
          <w:lang w:bidi="he-IL"/>
        </w:rPr>
        <w:t>discussion concerning</w:t>
      </w:r>
      <w:r w:rsidRPr="005433A8">
        <w:rPr>
          <w:lang w:bidi="he-IL"/>
        </w:rPr>
        <w:t xml:space="preserve"> the meaning of the term </w:t>
      </w:r>
      <w:r w:rsidR="00824140" w:rsidRPr="00E52737">
        <w:rPr>
          <w:rFonts w:hint="cs"/>
          <w:rtl/>
        </w:rPr>
        <w:t>מרודד</w:t>
      </w:r>
      <w:r w:rsidRPr="005433A8">
        <w:rPr>
          <w:lang w:bidi="he-IL"/>
        </w:rPr>
        <w:t xml:space="preserve"> as </w:t>
      </w:r>
      <w:r w:rsidR="00824140">
        <w:rPr>
          <w:lang w:bidi="he-IL"/>
        </w:rPr>
        <w:t>denoting a</w:t>
      </w:r>
      <w:r w:rsidRPr="005433A8">
        <w:rPr>
          <w:lang w:bidi="he-IL"/>
        </w:rPr>
        <w:t xml:space="preserve"> prolonged sound, </w:t>
      </w:r>
      <w:r w:rsidR="00824140">
        <w:rPr>
          <w:lang w:bidi="he-IL"/>
        </w:rPr>
        <w:t>we may conclude</w:t>
      </w:r>
      <w:r w:rsidRPr="005433A8">
        <w:rPr>
          <w:lang w:bidi="he-IL"/>
        </w:rPr>
        <w:t xml:space="preserve"> that this interpretation is also incorrect. The root </w:t>
      </w:r>
      <w:r w:rsidR="0025551C">
        <w:rPr>
          <w:rFonts w:hint="cs"/>
          <w:rtl/>
          <w:lang w:bidi="he-IL"/>
        </w:rPr>
        <w:t>ס.מ.כ</w:t>
      </w:r>
      <w:r w:rsidR="0025551C" w:rsidRPr="00BA3119">
        <w:t xml:space="preserve"> </w:t>
      </w:r>
      <w:r w:rsidRPr="005433A8">
        <w:rPr>
          <w:lang w:bidi="he-IL"/>
        </w:rPr>
        <w:t xml:space="preserve">appears several times in the </w:t>
      </w:r>
      <w:r w:rsidR="00824140">
        <w:rPr>
          <w:lang w:bidi="he-IL"/>
        </w:rPr>
        <w:t>Dead Sea</w:t>
      </w:r>
      <w:r w:rsidRPr="005433A8">
        <w:rPr>
          <w:lang w:bidi="he-IL"/>
        </w:rPr>
        <w:t xml:space="preserve"> </w:t>
      </w:r>
      <w:r w:rsidR="00824140">
        <w:rPr>
          <w:lang w:bidi="he-IL"/>
        </w:rPr>
        <w:t>S</w:t>
      </w:r>
      <w:r w:rsidRPr="005433A8">
        <w:rPr>
          <w:lang w:bidi="he-IL"/>
        </w:rPr>
        <w:t>crolls in the sense of strengthening,</w:t>
      </w:r>
      <w:r w:rsidR="00824140">
        <w:rPr>
          <w:lang w:bidi="he-IL"/>
        </w:rPr>
        <w:t xml:space="preserve"> </w:t>
      </w:r>
      <w:r w:rsidR="00824140" w:rsidRPr="00F375AA">
        <w:rPr>
          <w:lang w:bidi="he-IL"/>
        </w:rPr>
        <w:t>empowerment</w:t>
      </w:r>
      <w:r w:rsidR="00824140">
        <w:rPr>
          <w:lang w:bidi="he-IL"/>
        </w:rPr>
        <w:t>,</w:t>
      </w:r>
      <w:r w:rsidR="00824140" w:rsidRPr="005433A8">
        <w:rPr>
          <w:lang w:bidi="he-IL"/>
        </w:rPr>
        <w:t xml:space="preserve"> </w:t>
      </w:r>
      <w:r w:rsidRPr="005433A8">
        <w:rPr>
          <w:lang w:bidi="he-IL"/>
        </w:rPr>
        <w:t>and stability</w:t>
      </w:r>
      <w:r w:rsidR="00824140">
        <w:rPr>
          <w:lang w:bidi="he-IL"/>
        </w:rPr>
        <w:t>. F</w:t>
      </w:r>
      <w:r w:rsidRPr="005433A8">
        <w:rPr>
          <w:lang w:bidi="he-IL"/>
        </w:rPr>
        <w:t>or example</w:t>
      </w:r>
      <w:r w:rsidR="00824140">
        <w:rPr>
          <w:lang w:bidi="he-IL"/>
        </w:rPr>
        <w:t>, in 1QH 10:9</w:t>
      </w:r>
      <w:r w:rsidR="00824140" w:rsidRPr="000E27F5">
        <w:rPr>
          <w:rFonts w:asciiTheme="majorBidi" w:hAnsiTheme="majorBidi"/>
          <w:rtl/>
        </w:rPr>
        <w:t>–</w:t>
      </w:r>
      <w:r w:rsidR="00824140">
        <w:rPr>
          <w:lang w:bidi="he-IL"/>
        </w:rPr>
        <w:t>10,</w:t>
      </w:r>
      <w:r w:rsidR="00C10CF2">
        <w:rPr>
          <w:lang w:bidi="he-IL"/>
        </w:rPr>
        <w:t xml:space="preserve"> “and you have supported my soul (</w:t>
      </w:r>
      <w:r w:rsidR="00C10CF2" w:rsidRPr="00E52737">
        <w:rPr>
          <w:rFonts w:ascii="Arial" w:hAnsi="Arial" w:hint="cs"/>
          <w:rtl/>
        </w:rPr>
        <w:t>ותסמוך נפשי</w:t>
      </w:r>
      <w:r w:rsidR="00C10CF2">
        <w:rPr>
          <w:lang w:bidi="he-IL"/>
        </w:rPr>
        <w:t>) with a potent strength</w:t>
      </w:r>
      <w:r w:rsidR="00824140">
        <w:rPr>
          <w:lang w:bidi="he-IL"/>
        </w:rPr>
        <w:t>”; 1QH 15: 9</w:t>
      </w:r>
      <w:r w:rsidR="00824140" w:rsidRPr="000E27F5">
        <w:rPr>
          <w:rFonts w:asciiTheme="majorBidi" w:hAnsiTheme="majorBidi"/>
          <w:rtl/>
        </w:rPr>
        <w:t>–</w:t>
      </w:r>
      <w:r w:rsidR="00824140">
        <w:rPr>
          <w:lang w:bidi="he-IL"/>
        </w:rPr>
        <w:t>10,</w:t>
      </w:r>
      <w:r w:rsidR="00C10CF2">
        <w:rPr>
          <w:lang w:bidi="he-IL"/>
        </w:rPr>
        <w:t xml:space="preserve"> “I thank you, O L</w:t>
      </w:r>
      <w:r w:rsidR="00627E20">
        <w:rPr>
          <w:lang w:bidi="he-IL"/>
        </w:rPr>
        <w:t>ORD</w:t>
      </w:r>
      <w:r w:rsidR="00C10CF2">
        <w:rPr>
          <w:lang w:bidi="he-IL"/>
        </w:rPr>
        <w:t>, that you have sustained me (</w:t>
      </w:r>
      <w:r w:rsidR="00C10CF2" w:rsidRPr="00E52737">
        <w:rPr>
          <w:rFonts w:ascii="Arial" w:hAnsi="Arial" w:hint="cs"/>
          <w:rtl/>
        </w:rPr>
        <w:t>סמכתני</w:t>
      </w:r>
      <w:r w:rsidR="00C10CF2">
        <w:rPr>
          <w:lang w:bidi="he-IL"/>
        </w:rPr>
        <w:t>) by your strength, and that you have spread your holy spirit upon me, so that I am not shaken. You have made me strong”;</w:t>
      </w:r>
      <w:r w:rsidR="00824140">
        <w:rPr>
          <w:lang w:bidi="he-IL"/>
        </w:rPr>
        <w:t xml:space="preserve"> and 1QS 10:25,</w:t>
      </w:r>
      <w:r w:rsidR="000820D3">
        <w:rPr>
          <w:lang w:bidi="he-IL"/>
        </w:rPr>
        <w:t xml:space="preserve"> “</w:t>
      </w:r>
      <w:r w:rsidR="000820D3">
        <w:t xml:space="preserve">I shall </w:t>
      </w:r>
      <w:r w:rsidR="001D3723">
        <w:t xml:space="preserve">enclose it with a strong boundary </w:t>
      </w:r>
      <w:r w:rsidR="00C10CF2">
        <w:t>(</w:t>
      </w:r>
      <w:r w:rsidR="00C10CF2" w:rsidRPr="00E52737">
        <w:rPr>
          <w:rFonts w:ascii="Arial" w:hAnsi="Arial" w:hint="cs"/>
          <w:rtl/>
        </w:rPr>
        <w:t>גבול סמוכ</w:t>
      </w:r>
      <w:r w:rsidR="00C10CF2">
        <w:t>)</w:t>
      </w:r>
      <w:r w:rsidR="000820D3">
        <w:t>,</w:t>
      </w:r>
      <w:r w:rsidR="001D3723">
        <w:rPr>
          <w:rStyle w:val="FootnoteReference"/>
        </w:rPr>
        <w:footnoteReference w:id="35"/>
      </w:r>
      <w:r w:rsidR="000820D3">
        <w:t xml:space="preserve"> so to preserve faith and strict judgment—conforming to the righteousness of God.”</w:t>
      </w:r>
      <w:r w:rsidR="000820D3">
        <w:rPr>
          <w:lang w:bidi="he-IL"/>
        </w:rPr>
        <w:t xml:space="preserve"> </w:t>
      </w:r>
      <w:r w:rsidR="00C9259A">
        <w:rPr>
          <w:lang w:bidi="he-IL"/>
        </w:rPr>
        <w:t xml:space="preserve">In the Hebrew Bible as well, this root appears in </w:t>
      </w:r>
      <w:r w:rsidR="00606A48">
        <w:rPr>
          <w:lang w:bidi="he-IL"/>
        </w:rPr>
        <w:t>several</w:t>
      </w:r>
      <w:r w:rsidR="00C9259A">
        <w:rPr>
          <w:lang w:bidi="he-IL"/>
        </w:rPr>
        <w:t xml:space="preserve"> places </w:t>
      </w:r>
      <w:r w:rsidR="000820D3">
        <w:rPr>
          <w:lang w:bidi="he-IL"/>
        </w:rPr>
        <w:t>in the sense of</w:t>
      </w:r>
      <w:r w:rsidR="00C9259A">
        <w:rPr>
          <w:lang w:bidi="he-IL"/>
        </w:rPr>
        <w:t xml:space="preserve"> support and strengthening.</w:t>
      </w:r>
      <w:r w:rsidR="00C9259A">
        <w:rPr>
          <w:rStyle w:val="FootnoteReference"/>
          <w:lang w:bidi="he-IL"/>
        </w:rPr>
        <w:footnoteReference w:id="36"/>
      </w:r>
      <w:r w:rsidR="00C9259A">
        <w:rPr>
          <w:lang w:bidi="he-IL"/>
        </w:rPr>
        <w:t xml:space="preserve"> Thus, Gen 27:37</w:t>
      </w:r>
      <w:r w:rsidR="00880B4F">
        <w:rPr>
          <w:lang w:bidi="he-IL"/>
        </w:rPr>
        <w:t>,</w:t>
      </w:r>
      <w:r w:rsidR="00C5403D">
        <w:rPr>
          <w:lang w:bidi="he-IL"/>
        </w:rPr>
        <w:t xml:space="preserve"> “</w:t>
      </w:r>
      <w:r w:rsidR="000820D3">
        <w:rPr>
          <w:lang w:bidi="he-IL"/>
        </w:rPr>
        <w:t>I have sustained him with grain and wine (</w:t>
      </w:r>
      <w:r w:rsidR="00C5403D" w:rsidRPr="00E52737">
        <w:rPr>
          <w:rFonts w:hint="cs"/>
          <w:rtl/>
        </w:rPr>
        <w:t>ודגן ותירוש סמכתיו</w:t>
      </w:r>
      <w:r w:rsidR="000820D3">
        <w:t>)</w:t>
      </w:r>
      <w:r w:rsidR="00C5403D">
        <w:rPr>
          <w:lang w:bidi="he-IL"/>
        </w:rPr>
        <w:t>”;</w:t>
      </w:r>
      <w:r w:rsidR="00C9259A">
        <w:rPr>
          <w:lang w:bidi="he-IL"/>
        </w:rPr>
        <w:t xml:space="preserve"> Isa 63:5</w:t>
      </w:r>
      <w:r w:rsidR="00880B4F">
        <w:rPr>
          <w:lang w:bidi="he-IL"/>
        </w:rPr>
        <w:t>,</w:t>
      </w:r>
      <w:r w:rsidR="000820D3">
        <w:rPr>
          <w:lang w:bidi="he-IL"/>
        </w:rPr>
        <w:t xml:space="preserve"> “I stared, but there was none to aid (</w:t>
      </w:r>
      <w:r w:rsidR="000820D3" w:rsidRPr="00E52737">
        <w:rPr>
          <w:rFonts w:hint="cs"/>
          <w:rtl/>
        </w:rPr>
        <w:t>ואין סומך</w:t>
      </w:r>
      <w:r w:rsidR="000820D3">
        <w:rPr>
          <w:lang w:bidi="he-IL"/>
        </w:rPr>
        <w:t>). So my own arm wrought the triumph, and my own rage was my aid (</w:t>
      </w:r>
      <w:r w:rsidR="000820D3" w:rsidRPr="00E52737">
        <w:rPr>
          <w:rFonts w:hint="cs"/>
          <w:rtl/>
        </w:rPr>
        <w:t>וחמתי היא סמכתני</w:t>
      </w:r>
      <w:r w:rsidR="000820D3">
        <w:rPr>
          <w:lang w:bidi="he-IL"/>
        </w:rPr>
        <w:t>)”;</w:t>
      </w:r>
      <w:r w:rsidR="00C5403D">
        <w:rPr>
          <w:lang w:bidi="he-IL"/>
        </w:rPr>
        <w:t xml:space="preserve"> </w:t>
      </w:r>
      <w:r w:rsidR="00C9259A">
        <w:rPr>
          <w:lang w:bidi="he-IL"/>
        </w:rPr>
        <w:t xml:space="preserve">Ps </w:t>
      </w:r>
      <w:r w:rsidR="00880B4F">
        <w:rPr>
          <w:lang w:bidi="he-IL"/>
        </w:rPr>
        <w:t>5</w:t>
      </w:r>
      <w:r w:rsidR="00C9259A">
        <w:rPr>
          <w:lang w:bidi="he-IL"/>
        </w:rPr>
        <w:t>4:6</w:t>
      </w:r>
      <w:r w:rsidR="00880B4F">
        <w:rPr>
          <w:lang w:bidi="he-IL"/>
        </w:rPr>
        <w:t>, “See, God is my helper; the L</w:t>
      </w:r>
      <w:r w:rsidR="00595E3A">
        <w:rPr>
          <w:lang w:bidi="he-IL"/>
        </w:rPr>
        <w:t>ORD</w:t>
      </w:r>
      <w:r w:rsidR="00880B4F">
        <w:rPr>
          <w:lang w:bidi="he-IL"/>
        </w:rPr>
        <w:t xml:space="preserve"> is my support (</w:t>
      </w:r>
      <w:r w:rsidR="00880B4F" w:rsidRPr="00E52737">
        <w:rPr>
          <w:rFonts w:hint="cs"/>
          <w:rtl/>
        </w:rPr>
        <w:t>הנה אלהים עזר לי אדני בסמכי נפשי</w:t>
      </w:r>
      <w:r w:rsidR="00880B4F">
        <w:rPr>
          <w:lang w:bidi="he-IL"/>
        </w:rPr>
        <w:t>)”; and Song 2:5, “Sustain me (</w:t>
      </w:r>
      <w:r w:rsidR="00880B4F" w:rsidRPr="00E52737">
        <w:rPr>
          <w:rFonts w:hint="cs"/>
          <w:rtl/>
        </w:rPr>
        <w:t>סמכוני</w:t>
      </w:r>
      <w:r w:rsidR="00880B4F">
        <w:rPr>
          <w:lang w:bidi="he-IL"/>
        </w:rPr>
        <w:t xml:space="preserve">) with raisin cakes, refresh me with apples.” </w:t>
      </w:r>
      <w:r w:rsidR="00C5403D">
        <w:rPr>
          <w:lang w:bidi="he-IL"/>
        </w:rPr>
        <w:t xml:space="preserve">In Ben Sira 44:6, the expression </w:t>
      </w:r>
      <w:r w:rsidR="00C5403D" w:rsidRPr="00E52737">
        <w:rPr>
          <w:rFonts w:hint="cs"/>
          <w:rtl/>
        </w:rPr>
        <w:t>סומכי</w:t>
      </w:r>
      <w:r w:rsidR="00C5403D">
        <w:rPr>
          <w:lang w:bidi="he-IL"/>
        </w:rPr>
        <w:t xml:space="preserve"> occurs in the context of might and power:</w:t>
      </w:r>
      <w:r w:rsidR="00880B4F">
        <w:rPr>
          <w:lang w:bidi="he-IL"/>
        </w:rPr>
        <w:t xml:space="preserve"> “rich men endowed with resources (</w:t>
      </w:r>
      <w:r w:rsidR="00C5403D" w:rsidRPr="00E52737">
        <w:rPr>
          <w:rFonts w:hint="cs"/>
          <w:rtl/>
        </w:rPr>
        <w:t>אנשי חיל וסומכי כח</w:t>
      </w:r>
      <w:r w:rsidR="00C5403D">
        <w:rPr>
          <w:lang w:bidi="he-IL"/>
        </w:rPr>
        <w:t>.</w:t>
      </w:r>
      <w:r w:rsidR="00880B4F">
        <w:rPr>
          <w:lang w:bidi="he-IL"/>
        </w:rPr>
        <w:t>)</w:t>
      </w:r>
      <w:r w:rsidR="00C5403D">
        <w:rPr>
          <w:lang w:bidi="he-IL"/>
        </w:rPr>
        <w:t>”</w:t>
      </w:r>
      <w:r w:rsidR="00C5403D">
        <w:rPr>
          <w:rStyle w:val="FootnoteReference"/>
          <w:lang w:bidi="he-IL"/>
        </w:rPr>
        <w:footnoteReference w:id="37"/>
      </w:r>
      <w:r w:rsidR="00C5403D">
        <w:rPr>
          <w:lang w:bidi="he-IL"/>
        </w:rPr>
        <w:t xml:space="preserve"> In light of the above evidence, I suggest that the term </w:t>
      </w:r>
      <w:r w:rsidR="00C5403D" w:rsidRPr="00E52737">
        <w:rPr>
          <w:rFonts w:hint="cs"/>
          <w:rtl/>
        </w:rPr>
        <w:t>קול סמוך</w:t>
      </w:r>
      <w:r w:rsidR="00C5403D">
        <w:rPr>
          <w:lang w:bidi="he-IL"/>
        </w:rPr>
        <w:t xml:space="preserve"> in the War Scroll is to be interpreted as denoting a powerful sound, which is called “forte” in musical terminology.</w:t>
      </w:r>
      <w:r w:rsidR="00C5403D">
        <w:rPr>
          <w:rStyle w:val="FootnoteReference"/>
          <w:lang w:bidi="he-IL"/>
        </w:rPr>
        <w:footnoteReference w:id="38"/>
      </w:r>
    </w:p>
    <w:p w14:paraId="1DEC7350" w14:textId="77777777" w:rsidR="005B49C5" w:rsidRDefault="005B49C5" w:rsidP="00627E20">
      <w:pPr>
        <w:rPr>
          <w:lang w:bidi="he-IL"/>
        </w:rPr>
      </w:pPr>
    </w:p>
    <w:p w14:paraId="18F060DF" w14:textId="1A2A45CA" w:rsidR="003F43B3" w:rsidRPr="003F43B3" w:rsidRDefault="002B60D3" w:rsidP="00283890">
      <w:pPr>
        <w:rPr>
          <w:lang w:bidi="he-IL"/>
        </w:rPr>
      </w:pPr>
      <w:r>
        <w:rPr>
          <w:lang w:bidi="he-IL"/>
        </w:rPr>
        <w:t xml:space="preserve">4. </w:t>
      </w:r>
      <w:r w:rsidR="003F43B3">
        <w:rPr>
          <w:rFonts w:hint="cs"/>
          <w:rtl/>
          <w:lang w:bidi="he-IL"/>
        </w:rPr>
        <w:t>נוח</w:t>
      </w:r>
      <w:r>
        <w:rPr>
          <w:lang w:bidi="he-IL"/>
        </w:rPr>
        <w:t>:</w:t>
      </w:r>
      <w:r w:rsidR="003F43B3" w:rsidRPr="003F43B3">
        <w:t xml:space="preserve"> a low-pitched sound</w:t>
      </w:r>
    </w:p>
    <w:p w14:paraId="78C9FD9A" w14:textId="21004E50" w:rsidR="00440EE3" w:rsidRPr="001D3723" w:rsidRDefault="003F43B3" w:rsidP="00627E20">
      <w:r w:rsidRPr="003F43B3">
        <w:rPr>
          <w:lang w:bidi="he-IL"/>
        </w:rPr>
        <w:t>This term appears in two places in</w:t>
      </w:r>
      <w:r>
        <w:rPr>
          <w:lang w:bidi="he-IL"/>
        </w:rPr>
        <w:t xml:space="preserve"> the War Scroll. 1QM 8:7 states, “</w:t>
      </w:r>
      <w:r w:rsidRPr="003F43B3">
        <w:t xml:space="preserve">the priests shall blow </w:t>
      </w:r>
      <w:r w:rsidRPr="00C10CF2">
        <w:t xml:space="preserve">for them a second signal, </w:t>
      </w:r>
      <w:r w:rsidR="000A081B" w:rsidRPr="00C10CF2">
        <w:rPr>
          <w:rFonts w:asciiTheme="majorBidi" w:hAnsiTheme="majorBidi"/>
        </w:rPr>
        <w:t xml:space="preserve">a low-pitched, </w:t>
      </w:r>
      <w:r w:rsidR="000A081B" w:rsidRPr="00C10CF2">
        <w:rPr>
          <w:lang w:bidi="he-IL"/>
        </w:rPr>
        <w:t>strong and powerful</w:t>
      </w:r>
      <w:r w:rsidR="000A081B" w:rsidRPr="00C10CF2">
        <w:rPr>
          <w:rFonts w:asciiTheme="majorBidi" w:hAnsiTheme="majorBidi"/>
        </w:rPr>
        <w:t xml:space="preserve"> sound</w:t>
      </w:r>
      <w:r w:rsidR="000A081B" w:rsidRPr="00C10CF2">
        <w:t xml:space="preserve"> </w:t>
      </w:r>
      <w:r w:rsidRPr="00C10CF2">
        <w:t>(</w:t>
      </w:r>
      <w:r w:rsidRPr="00C10CF2">
        <w:rPr>
          <w:rFonts w:hint="cs"/>
          <w:rtl/>
        </w:rPr>
        <w:t>קול נוח וסמוך</w:t>
      </w:r>
      <w:r w:rsidRPr="00C10CF2">
        <w:t xml:space="preserve">).” 1QM </w:t>
      </w:r>
      <w:r w:rsidR="00440EE3" w:rsidRPr="00C10CF2">
        <w:t>8</w:t>
      </w:r>
      <w:r w:rsidR="00C94FD0" w:rsidRPr="00C10CF2">
        <w:t>:</w:t>
      </w:r>
      <w:r w:rsidR="00440EE3" w:rsidRPr="00C10CF2">
        <w:t>13</w:t>
      </w:r>
      <w:r w:rsidR="00C94FD0" w:rsidRPr="00C10CF2">
        <w:t>-</w:t>
      </w:r>
      <w:r w:rsidR="00440EE3" w:rsidRPr="00C10CF2">
        <w:t xml:space="preserve">14 states, “Afterwards, the priests shall blow for them the trumpets of retreat, </w:t>
      </w:r>
      <w:r w:rsidR="00A507C0" w:rsidRPr="00C10CF2">
        <w:rPr>
          <w:rFonts w:asciiTheme="majorBidi" w:hAnsiTheme="majorBidi"/>
        </w:rPr>
        <w:t xml:space="preserve">a low-pitched, </w:t>
      </w:r>
      <w:bookmarkStart w:id="8" w:name="_Hlk80015072"/>
      <w:r w:rsidR="00A507C0" w:rsidRPr="00C10CF2">
        <w:rPr>
          <w:rFonts w:asciiTheme="majorBidi" w:hAnsiTheme="majorBidi"/>
        </w:rPr>
        <w:t>simple and sustained, strong and powerful sound</w:t>
      </w:r>
      <w:r w:rsidR="00A507C0" w:rsidRPr="00C10CF2">
        <w:t xml:space="preserve"> </w:t>
      </w:r>
      <w:bookmarkEnd w:id="8"/>
      <w:r w:rsidR="00440EE3">
        <w:t>(</w:t>
      </w:r>
      <w:r w:rsidR="00440EE3" w:rsidRPr="00E52737">
        <w:rPr>
          <w:rFonts w:hint="cs"/>
          <w:rtl/>
        </w:rPr>
        <w:t>קול נוח מרודד סמוך</w:t>
      </w:r>
      <w:r w:rsidR="00440EE3">
        <w:t>)</w:t>
      </w:r>
      <w:r w:rsidR="00440EE3" w:rsidRPr="002832F1">
        <w:t>.</w:t>
      </w:r>
      <w:r w:rsidR="00440EE3" w:rsidRPr="005433A8">
        <w:t>”</w:t>
      </w:r>
      <w:r w:rsidR="00440EE3">
        <w:t xml:space="preserve"> The verbal form, </w:t>
      </w:r>
      <w:r w:rsidR="00440EE3" w:rsidRPr="00E52737">
        <w:rPr>
          <w:rFonts w:hint="cs"/>
          <w:rtl/>
        </w:rPr>
        <w:t>יניחו</w:t>
      </w:r>
      <w:r w:rsidR="00440EE3">
        <w:t xml:space="preserve"> appears in 1QM 17:14, “</w:t>
      </w:r>
      <w:r w:rsidR="00AC06CE">
        <w:t xml:space="preserve">Then all the </w:t>
      </w:r>
      <w:r w:rsidR="00AC06CE" w:rsidRPr="00A24C22">
        <w:t xml:space="preserve">people shall </w:t>
      </w:r>
      <w:r w:rsidR="00993908" w:rsidRPr="001D3723">
        <w:t>pause the signal</w:t>
      </w:r>
      <w:r w:rsidR="001D3723" w:rsidRPr="001D3723">
        <w:t>/</w:t>
      </w:r>
      <w:r w:rsidR="0048034C" w:rsidRPr="001D3723">
        <w:t>lower the pitch of the signal</w:t>
      </w:r>
      <w:r w:rsidR="001D3723">
        <w:t xml:space="preserve"> </w:t>
      </w:r>
      <w:r w:rsidR="00440EE3">
        <w:t>(</w:t>
      </w:r>
      <w:r w:rsidR="00440EE3" w:rsidRPr="00E52737">
        <w:rPr>
          <w:rFonts w:hint="cs"/>
          <w:rtl/>
        </w:rPr>
        <w:t>יניחו קול התרועה</w:t>
      </w:r>
      <w:r w:rsidR="00440EE3">
        <w:t>).”</w:t>
      </w:r>
      <w:r w:rsidR="00825B58">
        <w:rPr>
          <w:rStyle w:val="FootnoteReference"/>
        </w:rPr>
        <w:footnoteReference w:id="39"/>
      </w:r>
      <w:r w:rsidR="00440EE3">
        <w:t xml:space="preserve"> </w:t>
      </w:r>
      <w:r w:rsidR="00B510D3">
        <w:t xml:space="preserve">The majority of </w:t>
      </w:r>
      <w:r w:rsidR="00440EE3">
        <w:t xml:space="preserve">scholars have translated the term </w:t>
      </w:r>
      <w:r w:rsidR="00A82806" w:rsidRPr="00E52737">
        <w:rPr>
          <w:rFonts w:hint="cs"/>
          <w:rtl/>
        </w:rPr>
        <w:t>קול נוח</w:t>
      </w:r>
      <w:r w:rsidR="00A82806">
        <w:t xml:space="preserve"> with the word “low,” which is musically ambiguous: it could refer to a sound that is low in pitch, or to a sound that </w:t>
      </w:r>
      <w:r w:rsidR="002503E6">
        <w:t>reduced in volume</w:t>
      </w:r>
      <w:r w:rsidR="00A82806">
        <w:t xml:space="preserve"> (</w:t>
      </w:r>
      <w:r w:rsidR="00825B58">
        <w:t>“</w:t>
      </w:r>
      <w:r w:rsidR="00A82806">
        <w:t>piano</w:t>
      </w:r>
      <w:r w:rsidR="00825B58">
        <w:t>”</w:t>
      </w:r>
      <w:r w:rsidR="00A82806">
        <w:t>).</w:t>
      </w:r>
      <w:r w:rsidR="00A82806">
        <w:rPr>
          <w:rStyle w:val="FootnoteReference"/>
        </w:rPr>
        <w:footnoteReference w:id="40"/>
      </w:r>
      <w:r w:rsidR="00A82806">
        <w:t xml:space="preserve"> </w:t>
      </w:r>
      <w:r w:rsidR="00A82806">
        <w:rPr>
          <w:lang w:bidi="he-IL"/>
        </w:rPr>
        <w:t>Others</w:t>
      </w:r>
      <w:r w:rsidR="00440EE3" w:rsidRPr="00440EE3">
        <w:rPr>
          <w:lang w:bidi="he-IL"/>
        </w:rPr>
        <w:t xml:space="preserve"> have suggested </w:t>
      </w:r>
      <w:r w:rsidR="00A82806">
        <w:rPr>
          <w:lang w:bidi="he-IL"/>
        </w:rPr>
        <w:t>alternative</w:t>
      </w:r>
      <w:r w:rsidR="00440EE3" w:rsidRPr="00440EE3">
        <w:rPr>
          <w:lang w:bidi="he-IL"/>
        </w:rPr>
        <w:t xml:space="preserve"> interpretations</w:t>
      </w:r>
      <w:r w:rsidR="00A82806">
        <w:rPr>
          <w:lang w:bidi="he-IL"/>
        </w:rPr>
        <w:t xml:space="preserve">. </w:t>
      </w:r>
      <w:r w:rsidR="00440EE3" w:rsidRPr="00440EE3">
        <w:rPr>
          <w:lang w:bidi="he-IL"/>
        </w:rPr>
        <w:t>V</w:t>
      </w:r>
      <w:r w:rsidR="00A82806">
        <w:rPr>
          <w:lang w:bidi="he-IL"/>
        </w:rPr>
        <w:t xml:space="preserve">ermes </w:t>
      </w:r>
      <w:r w:rsidR="00A82806" w:rsidRPr="002503E6">
        <w:rPr>
          <w:lang w:bidi="he-IL"/>
        </w:rPr>
        <w:t>translated the term as “s</w:t>
      </w:r>
      <w:r w:rsidR="00440EE3" w:rsidRPr="002503E6">
        <w:rPr>
          <w:lang w:bidi="he-IL"/>
        </w:rPr>
        <w:t>oft</w:t>
      </w:r>
      <w:r w:rsidR="00A82806" w:rsidRPr="002503E6">
        <w:rPr>
          <w:lang w:bidi="he-IL"/>
        </w:rPr>
        <w:t xml:space="preserve">”; Abegg, </w:t>
      </w:r>
      <w:r w:rsidR="00ED085E" w:rsidRPr="002503E6">
        <w:rPr>
          <w:rFonts w:asciiTheme="majorBidi" w:hAnsiTheme="majorBidi"/>
        </w:rPr>
        <w:t>Bowley,</w:t>
      </w:r>
      <w:r w:rsidR="00A82806" w:rsidRPr="002503E6">
        <w:rPr>
          <w:lang w:bidi="he-IL"/>
        </w:rPr>
        <w:t xml:space="preserve"> and Cook translated it as “legato.”</w:t>
      </w:r>
      <w:r w:rsidR="00A82806" w:rsidRPr="002503E6">
        <w:rPr>
          <w:rStyle w:val="FootnoteReference"/>
          <w:lang w:bidi="he-IL"/>
        </w:rPr>
        <w:footnoteReference w:id="41"/>
      </w:r>
      <w:r w:rsidR="00A82806" w:rsidRPr="002503E6">
        <w:rPr>
          <w:lang w:bidi="he-IL"/>
        </w:rPr>
        <w:t xml:space="preserve"> </w:t>
      </w:r>
      <w:r w:rsidR="00440EE3" w:rsidRPr="002503E6">
        <w:rPr>
          <w:lang w:bidi="he-IL"/>
        </w:rPr>
        <w:t>This interpretation is incorrect because, as stated, the scroll indicates the playing of one</w:t>
      </w:r>
      <w:r w:rsidR="00ED085E" w:rsidRPr="002503E6">
        <w:rPr>
          <w:lang w:bidi="he-IL"/>
        </w:rPr>
        <w:t xml:space="preserve"> </w:t>
      </w:r>
      <w:r w:rsidR="009A5461" w:rsidRPr="002503E6">
        <w:rPr>
          <w:lang w:bidi="he-IL"/>
        </w:rPr>
        <w:t>sound</w:t>
      </w:r>
      <w:r w:rsidR="00ED085E" w:rsidRPr="002503E6">
        <w:rPr>
          <w:lang w:bidi="he-IL"/>
        </w:rPr>
        <w:t xml:space="preserve">, i.e., one </w:t>
      </w:r>
      <w:r w:rsidR="007804A5" w:rsidRPr="002503E6">
        <w:rPr>
          <w:lang w:bidi="he-IL"/>
        </w:rPr>
        <w:t>note</w:t>
      </w:r>
      <w:r w:rsidR="00440EE3" w:rsidRPr="002503E6">
        <w:rPr>
          <w:lang w:bidi="he-IL"/>
        </w:rPr>
        <w:t xml:space="preserve">, while </w:t>
      </w:r>
      <w:r w:rsidR="00440EE3" w:rsidRPr="00440EE3">
        <w:rPr>
          <w:lang w:bidi="he-IL"/>
        </w:rPr>
        <w:t xml:space="preserve">the term </w:t>
      </w:r>
      <w:r w:rsidR="00ED085E">
        <w:rPr>
          <w:lang w:bidi="he-IL"/>
        </w:rPr>
        <w:t>legato</w:t>
      </w:r>
      <w:r w:rsidR="00440EE3" w:rsidRPr="00440EE3">
        <w:rPr>
          <w:lang w:bidi="he-IL"/>
        </w:rPr>
        <w:t xml:space="preserve"> refers to the </w:t>
      </w:r>
      <w:r w:rsidR="00ED085E">
        <w:rPr>
          <w:lang w:bidi="he-IL"/>
        </w:rPr>
        <w:t xml:space="preserve">consecutive </w:t>
      </w:r>
      <w:r w:rsidR="00440EE3" w:rsidRPr="00440EE3">
        <w:rPr>
          <w:lang w:bidi="he-IL"/>
        </w:rPr>
        <w:t>playing or singing of at least two</w:t>
      </w:r>
      <w:r w:rsidR="009A5461">
        <w:rPr>
          <w:lang w:bidi="he-IL"/>
        </w:rPr>
        <w:t xml:space="preserve"> </w:t>
      </w:r>
      <w:r w:rsidR="007804A5" w:rsidRPr="002B26D3">
        <w:rPr>
          <w:lang w:bidi="he-IL"/>
        </w:rPr>
        <w:t>note</w:t>
      </w:r>
      <w:r w:rsidR="009A5461" w:rsidRPr="002B26D3">
        <w:rPr>
          <w:lang w:bidi="he-IL"/>
        </w:rPr>
        <w:t>s</w:t>
      </w:r>
      <w:r w:rsidR="009A5461">
        <w:rPr>
          <w:lang w:bidi="he-IL"/>
        </w:rPr>
        <w:t>.</w:t>
      </w:r>
    </w:p>
    <w:p w14:paraId="5D07B65D" w14:textId="283DC0AB" w:rsidR="00440EE3" w:rsidRDefault="00225D3A" w:rsidP="00627E20">
      <w:pPr>
        <w:rPr>
          <w:lang w:bidi="he-IL"/>
        </w:rPr>
      </w:pPr>
      <w:r>
        <w:rPr>
          <w:lang w:bidi="he-IL"/>
        </w:rPr>
        <w:t xml:space="preserve">Outside of 1QM, the root </w:t>
      </w:r>
      <w:r>
        <w:rPr>
          <w:rFonts w:hint="cs"/>
          <w:rtl/>
          <w:lang w:bidi="he-IL"/>
        </w:rPr>
        <w:t>נ</w:t>
      </w:r>
      <w:r w:rsidR="009D42C4">
        <w:rPr>
          <w:rFonts w:hint="cs"/>
          <w:rtl/>
          <w:lang w:bidi="he-IL"/>
        </w:rPr>
        <w:t>.</w:t>
      </w:r>
      <w:r>
        <w:rPr>
          <w:rFonts w:hint="cs"/>
          <w:rtl/>
          <w:lang w:bidi="he-IL"/>
        </w:rPr>
        <w:t>ו</w:t>
      </w:r>
      <w:r w:rsidR="009D42C4">
        <w:rPr>
          <w:rFonts w:hint="cs"/>
          <w:rtl/>
          <w:lang w:bidi="he-IL"/>
        </w:rPr>
        <w:t>.</w:t>
      </w:r>
      <w:r>
        <w:rPr>
          <w:rFonts w:hint="cs"/>
          <w:rtl/>
          <w:lang w:bidi="he-IL"/>
        </w:rPr>
        <w:t>ח</w:t>
      </w:r>
      <w:r>
        <w:rPr>
          <w:lang w:bidi="he-IL"/>
        </w:rPr>
        <w:t xml:space="preserve"> does not appear in other Dead Sea Scrolls in the context</w:t>
      </w:r>
      <w:r w:rsidRPr="00225D3A">
        <w:rPr>
          <w:lang w:bidi="he-IL"/>
        </w:rPr>
        <w:t xml:space="preserve"> </w:t>
      </w:r>
      <w:r>
        <w:rPr>
          <w:lang w:bidi="he-IL"/>
        </w:rPr>
        <w:t>of sound or music, except as part of a citation or excerpts of biblical verses, in a manner that preserves the biblical context.</w:t>
      </w:r>
      <w:r>
        <w:rPr>
          <w:rStyle w:val="FootnoteReference"/>
          <w:lang w:bidi="he-IL"/>
        </w:rPr>
        <w:footnoteReference w:id="42"/>
      </w:r>
      <w:r>
        <w:rPr>
          <w:lang w:bidi="he-IL"/>
        </w:rPr>
        <w:t xml:space="preserve"> This root occurs frequently in the Hebrew Bible, in a number of meanings</w:t>
      </w:r>
      <w:r w:rsidR="00025F85">
        <w:rPr>
          <w:lang w:bidi="he-IL"/>
        </w:rPr>
        <w:t>.</w:t>
      </w:r>
      <w:r w:rsidR="00025F85">
        <w:rPr>
          <w:rStyle w:val="FootnoteReference"/>
          <w:lang w:bidi="he-IL"/>
        </w:rPr>
        <w:footnoteReference w:id="43"/>
      </w:r>
      <w:r w:rsidR="00025F85">
        <w:rPr>
          <w:lang w:bidi="he-IL"/>
        </w:rPr>
        <w:t xml:space="preserve"> For example:</w:t>
      </w:r>
    </w:p>
    <w:p w14:paraId="5B5DAA77" w14:textId="2497613F" w:rsidR="00025F85" w:rsidRPr="00E20970" w:rsidRDefault="00025F85">
      <w:pPr>
        <w:pStyle w:val="ListParagraph"/>
        <w:numPr>
          <w:ilvl w:val="0"/>
          <w:numId w:val="14"/>
        </w:numPr>
        <w:rPr>
          <w:lang w:bidi="he-IL"/>
        </w:rPr>
      </w:pPr>
      <w:r>
        <w:rPr>
          <w:lang w:bidi="he-IL"/>
        </w:rPr>
        <w:t xml:space="preserve">Quiet, calm, found rest. </w:t>
      </w:r>
      <w:r w:rsidR="00CA4F54">
        <w:rPr>
          <w:lang w:bidi="he-IL"/>
        </w:rPr>
        <w:t>Thus, e</w:t>
      </w:r>
      <w:r>
        <w:rPr>
          <w:lang w:bidi="he-IL"/>
        </w:rPr>
        <w:t xml:space="preserve">.g., </w:t>
      </w:r>
      <w:r w:rsidRPr="00025F85">
        <w:rPr>
          <w:lang w:bidi="he-IL"/>
        </w:rPr>
        <w:t>Isa 57:2</w:t>
      </w:r>
      <w:r w:rsidR="00663214">
        <w:rPr>
          <w:lang w:bidi="he-IL"/>
        </w:rPr>
        <w:t>, “</w:t>
      </w:r>
      <w:r w:rsidR="00E20970">
        <w:rPr>
          <w:lang w:bidi="he-IL"/>
        </w:rPr>
        <w:t>Yet he shall come to peace, he shall have rest on his couch</w:t>
      </w:r>
      <w:r w:rsidR="00663214" w:rsidRPr="00E20970">
        <w:rPr>
          <w:lang w:bidi="he-IL"/>
        </w:rPr>
        <w:t xml:space="preserve"> (</w:t>
      </w:r>
      <w:r w:rsidR="00663214" w:rsidRPr="00E20970">
        <w:rPr>
          <w:rFonts w:hint="cs"/>
          <w:rtl/>
        </w:rPr>
        <w:t>יבוא שלום ינוחו על משכבותם</w:t>
      </w:r>
      <w:r w:rsidR="00663214" w:rsidRPr="00E20970">
        <w:rPr>
          <w:lang w:bidi="he-IL"/>
        </w:rPr>
        <w:t>)”; Job 3:26, “</w:t>
      </w:r>
      <w:r w:rsidR="00E20970" w:rsidRPr="00E20970">
        <w:rPr>
          <w:lang w:bidi="he-IL"/>
        </w:rPr>
        <w:t>I had no repose, no quiet, no rest</w:t>
      </w:r>
      <w:r w:rsidR="00663214" w:rsidRPr="00E20970">
        <w:rPr>
          <w:lang w:bidi="he-IL"/>
        </w:rPr>
        <w:t xml:space="preserve"> (</w:t>
      </w:r>
      <w:r w:rsidR="00663214" w:rsidRPr="00E20970">
        <w:rPr>
          <w:rFonts w:hint="cs"/>
          <w:rtl/>
        </w:rPr>
        <w:t>לא שלותי ולא שקטתי ולא נחתי</w:t>
      </w:r>
      <w:r w:rsidR="00663214" w:rsidRPr="00E20970">
        <w:rPr>
          <w:lang w:bidi="he-IL"/>
        </w:rPr>
        <w:t>)”; Lam 5:5, “</w:t>
      </w:r>
      <w:r w:rsidR="00E20970" w:rsidRPr="00E20970">
        <w:rPr>
          <w:lang w:bidi="he-IL"/>
        </w:rPr>
        <w:t>Exhausted, we are given no rest</w:t>
      </w:r>
      <w:r w:rsidR="00663214" w:rsidRPr="00E20970">
        <w:rPr>
          <w:lang w:bidi="he-IL"/>
        </w:rPr>
        <w:t xml:space="preserve"> (</w:t>
      </w:r>
      <w:r w:rsidR="00663214" w:rsidRPr="00E20970">
        <w:rPr>
          <w:rFonts w:hint="cs"/>
          <w:rtl/>
        </w:rPr>
        <w:t>יגענו ולא הונח לנו</w:t>
      </w:r>
      <w:r w:rsidR="00663214" w:rsidRPr="00E20970">
        <w:rPr>
          <w:lang w:bidi="he-IL"/>
        </w:rPr>
        <w:t>).”</w:t>
      </w:r>
    </w:p>
    <w:p w14:paraId="03A345D7" w14:textId="301AD334" w:rsidR="00025F85" w:rsidRPr="00025F85" w:rsidRDefault="00CA4F54">
      <w:pPr>
        <w:pStyle w:val="ListParagraph"/>
        <w:numPr>
          <w:ilvl w:val="0"/>
          <w:numId w:val="14"/>
        </w:numPr>
        <w:rPr>
          <w:lang w:bidi="he-IL"/>
        </w:rPr>
      </w:pPr>
      <w:r>
        <w:rPr>
          <w:lang w:bidi="he-IL"/>
        </w:rPr>
        <w:t xml:space="preserve">Staying, settling. Thus, e.g., </w:t>
      </w:r>
      <w:r w:rsidR="00025F85" w:rsidRPr="00025F85">
        <w:rPr>
          <w:lang w:bidi="he-IL"/>
        </w:rPr>
        <w:t>Exod 10:14</w:t>
      </w:r>
      <w:r>
        <w:rPr>
          <w:lang w:bidi="he-IL"/>
        </w:rPr>
        <w:t>, “</w:t>
      </w:r>
      <w:r w:rsidR="00E20970" w:rsidRPr="00E20970">
        <w:rPr>
          <w:lang w:bidi="he-IL"/>
        </w:rPr>
        <w:t>Locusts invaded all the land of Egypt and settled within all the territory of Egypt</w:t>
      </w:r>
      <w:r>
        <w:rPr>
          <w:lang w:bidi="he-IL"/>
        </w:rPr>
        <w:t xml:space="preserve"> (</w:t>
      </w:r>
      <w:r w:rsidRPr="00E52737">
        <w:rPr>
          <w:rFonts w:hint="cs"/>
          <w:rtl/>
        </w:rPr>
        <w:t>וינח בכל גבול מצרים</w:t>
      </w:r>
      <w:r>
        <w:rPr>
          <w:lang w:bidi="he-IL"/>
        </w:rPr>
        <w:t>)”; Isa 14:1, “</w:t>
      </w:r>
      <w:r w:rsidR="00E20970" w:rsidRPr="00E20970">
        <w:rPr>
          <w:lang w:bidi="he-IL"/>
        </w:rPr>
        <w:t>But the LORD will pardon Jacob, and will again choose Israel, and will settle them on their own soil.</w:t>
      </w:r>
      <w:r>
        <w:rPr>
          <w:lang w:bidi="he-IL"/>
        </w:rPr>
        <w:t xml:space="preserve"> (</w:t>
      </w:r>
      <w:r w:rsidRPr="00E52737">
        <w:rPr>
          <w:rFonts w:hint="cs"/>
          <w:rtl/>
        </w:rPr>
        <w:t>והניחם על אדמתם</w:t>
      </w:r>
      <w:r>
        <w:rPr>
          <w:lang w:bidi="he-IL"/>
        </w:rPr>
        <w:t>).”</w:t>
      </w:r>
    </w:p>
    <w:p w14:paraId="098F7BE2" w14:textId="383BCA75" w:rsidR="00025F85" w:rsidRPr="00761532" w:rsidRDefault="00CA4F54">
      <w:pPr>
        <w:pStyle w:val="ListParagraph"/>
        <w:rPr>
          <w:lang w:bidi="he-IL"/>
        </w:rPr>
      </w:pPr>
      <w:r>
        <w:rPr>
          <w:lang w:bidi="he-IL"/>
        </w:rPr>
        <w:t xml:space="preserve">Descent, lowering. Thus, e.g., </w:t>
      </w:r>
      <w:r w:rsidR="00025F85" w:rsidRPr="00025F85">
        <w:rPr>
          <w:lang w:bidi="he-IL"/>
        </w:rPr>
        <w:t>Gen 8:4</w:t>
      </w:r>
      <w:r>
        <w:rPr>
          <w:lang w:bidi="he-IL"/>
        </w:rPr>
        <w:t>, “</w:t>
      </w:r>
      <w:r w:rsidR="006A706F">
        <w:rPr>
          <w:lang w:bidi="he-IL"/>
        </w:rPr>
        <w:t>t</w:t>
      </w:r>
      <w:r w:rsidR="006A706F" w:rsidRPr="006A706F">
        <w:rPr>
          <w:lang w:bidi="he-IL"/>
        </w:rPr>
        <w:t>he ark came to rest on the mountains of Ararat</w:t>
      </w:r>
      <w:r>
        <w:rPr>
          <w:lang w:bidi="he-IL"/>
        </w:rPr>
        <w:t xml:space="preserve"> (</w:t>
      </w:r>
      <w:r w:rsidRPr="00E52737">
        <w:rPr>
          <w:rFonts w:hint="cs"/>
          <w:rtl/>
        </w:rPr>
        <w:t>ותנח התיבה</w:t>
      </w:r>
      <w:r w:rsidR="0010516A">
        <w:rPr>
          <w:rFonts w:hint="cs"/>
          <w:rtl/>
          <w:lang w:bidi="he-IL"/>
        </w:rPr>
        <w:t xml:space="preserve">... </w:t>
      </w:r>
      <w:r w:rsidRPr="00E52737">
        <w:rPr>
          <w:rFonts w:hint="cs"/>
          <w:rtl/>
        </w:rPr>
        <w:t>על הרי אררט</w:t>
      </w:r>
      <w:r>
        <w:rPr>
          <w:lang w:bidi="he-IL"/>
        </w:rPr>
        <w:t>)”; Exod 17:11, “</w:t>
      </w:r>
      <w:r w:rsidR="006A706F" w:rsidRPr="006A706F">
        <w:rPr>
          <w:lang w:bidi="he-IL"/>
        </w:rPr>
        <w:t xml:space="preserve">Then, whenever Moses held up his hand, Israel prevailed; but whenever he let down his hand, </w:t>
      </w:r>
      <w:r>
        <w:rPr>
          <w:lang w:bidi="he-IL"/>
        </w:rPr>
        <w:t>(</w:t>
      </w:r>
      <w:r w:rsidR="006A706F">
        <w:rPr>
          <w:rFonts w:hint="cs"/>
          <w:rtl/>
          <w:lang w:bidi="he-IL"/>
        </w:rPr>
        <w:t xml:space="preserve">וכאשר </w:t>
      </w:r>
      <w:r w:rsidRPr="00E52737">
        <w:rPr>
          <w:rFonts w:hint="cs"/>
          <w:rtl/>
        </w:rPr>
        <w:t>יניח ידו</w:t>
      </w:r>
      <w:r>
        <w:rPr>
          <w:lang w:bidi="he-IL"/>
        </w:rPr>
        <w:t>)</w:t>
      </w:r>
      <w:r w:rsidR="006A706F">
        <w:rPr>
          <w:lang w:bidi="he-IL"/>
        </w:rPr>
        <w:t xml:space="preserve"> </w:t>
      </w:r>
      <w:r w:rsidR="006A706F" w:rsidRPr="006A706F">
        <w:rPr>
          <w:lang w:bidi="he-IL"/>
        </w:rPr>
        <w:t>Amalek prevailed</w:t>
      </w:r>
      <w:r>
        <w:rPr>
          <w:lang w:bidi="he-IL"/>
        </w:rPr>
        <w:t>.”</w:t>
      </w:r>
    </w:p>
    <w:p w14:paraId="2F668330" w14:textId="15BC36BB" w:rsidR="0090008B" w:rsidRPr="00B057E9" w:rsidRDefault="00CA4F54" w:rsidP="00627E20">
      <w:r>
        <w:rPr>
          <w:lang w:bidi="he-IL"/>
        </w:rPr>
        <w:t>In light of the</w:t>
      </w:r>
      <w:r w:rsidR="009C0817">
        <w:rPr>
          <w:lang w:bidi="he-IL"/>
        </w:rPr>
        <w:t xml:space="preserve">se </w:t>
      </w:r>
      <w:r>
        <w:rPr>
          <w:lang w:bidi="he-IL"/>
        </w:rPr>
        <w:t xml:space="preserve">examples, there are two plausible ways to interpret the term </w:t>
      </w:r>
      <w:r w:rsidRPr="00E52737">
        <w:rPr>
          <w:rFonts w:hint="cs"/>
          <w:rtl/>
        </w:rPr>
        <w:t>קול נוח</w:t>
      </w:r>
      <w:r>
        <w:rPr>
          <w:lang w:bidi="he-IL"/>
        </w:rPr>
        <w:t xml:space="preserve"> in 1QM: either as an expression denoting a sound that is soft, quiet, and calm or as an expression for a sound of low pitch. The first option, a low-volume sound, </w:t>
      </w:r>
      <w:r w:rsidR="007641F2">
        <w:rPr>
          <w:lang w:bidi="he-IL"/>
        </w:rPr>
        <w:t>i.e.,</w:t>
      </w:r>
      <w:r>
        <w:rPr>
          <w:lang w:bidi="he-IL"/>
        </w:rPr>
        <w:t xml:space="preserve"> “piano,” is to be rejected for two reasons. First, because the use of auditory signals </w:t>
      </w:r>
      <w:r w:rsidR="001950D8">
        <w:rPr>
          <w:lang w:bidi="he-IL"/>
        </w:rPr>
        <w:t xml:space="preserve">on </w:t>
      </w:r>
      <w:r>
        <w:rPr>
          <w:lang w:bidi="he-IL"/>
        </w:rPr>
        <w:t xml:space="preserve">the battlefield served as a way to transmit orders to the fighters above the noise and commotion of the battle. It is therefore not plausible </w:t>
      </w:r>
      <w:r w:rsidR="007641F2">
        <w:rPr>
          <w:lang w:bidi="he-IL"/>
        </w:rPr>
        <w:t xml:space="preserve">that </w:t>
      </w:r>
      <w:r w:rsidR="00B057E9">
        <w:rPr>
          <w:lang w:bidi="he-IL"/>
        </w:rPr>
        <w:t xml:space="preserve">a soft note </w:t>
      </w:r>
      <w:r w:rsidR="007641F2">
        <w:rPr>
          <w:lang w:bidi="he-IL"/>
        </w:rPr>
        <w:t xml:space="preserve">would have been used </w:t>
      </w:r>
      <w:r w:rsidR="001950D8">
        <w:rPr>
          <w:lang w:bidi="he-IL"/>
        </w:rPr>
        <w:t>to transmit</w:t>
      </w:r>
      <w:r w:rsidR="00B057E9">
        <w:rPr>
          <w:lang w:bidi="he-IL"/>
        </w:rPr>
        <w:t xml:space="preserve"> orders to soldiers during battle. Second, the term </w:t>
      </w:r>
      <w:r w:rsidR="00B057E9" w:rsidRPr="00E52737">
        <w:rPr>
          <w:rFonts w:hint="cs"/>
          <w:rtl/>
        </w:rPr>
        <w:t>קול נוח</w:t>
      </w:r>
      <w:r w:rsidR="00B057E9">
        <w:rPr>
          <w:lang w:bidi="he-IL"/>
        </w:rPr>
        <w:t xml:space="preserve"> appears in 1QM 8:7, 14 in conjunction with the word </w:t>
      </w:r>
      <w:r w:rsidR="00B057E9" w:rsidRPr="00E52737">
        <w:rPr>
          <w:rFonts w:hint="cs"/>
          <w:rtl/>
        </w:rPr>
        <w:t>סמוך</w:t>
      </w:r>
      <w:r w:rsidR="00B057E9">
        <w:t>,</w:t>
      </w:r>
      <w:r w:rsidR="00B057E9">
        <w:rPr>
          <w:lang w:bidi="he-IL"/>
        </w:rPr>
        <w:t xml:space="preserve"> which we have </w:t>
      </w:r>
      <w:r w:rsidR="007641F2">
        <w:rPr>
          <w:lang w:bidi="he-IL"/>
        </w:rPr>
        <w:t xml:space="preserve">shown to mean </w:t>
      </w:r>
      <w:r w:rsidR="00B057E9">
        <w:rPr>
          <w:lang w:bidi="he-IL"/>
        </w:rPr>
        <w:t xml:space="preserve">a strong powerful sound. If that interpretation is correct, then we cannot take </w:t>
      </w:r>
      <w:r w:rsidR="00B057E9" w:rsidRPr="00E52737">
        <w:rPr>
          <w:rFonts w:hint="cs"/>
          <w:rtl/>
        </w:rPr>
        <w:t>קול נוח</w:t>
      </w:r>
      <w:r w:rsidR="00B057E9">
        <w:t xml:space="preserve"> as an expression of a weak sound</w:t>
      </w:r>
      <w:r w:rsidR="007641F2">
        <w:t>;</w:t>
      </w:r>
      <w:r w:rsidR="00B057E9">
        <w:t xml:space="preserve"> this would stand in contradiction to the term </w:t>
      </w:r>
      <w:r w:rsidR="00B057E9" w:rsidRPr="00E52737">
        <w:rPr>
          <w:rFonts w:hint="cs"/>
          <w:rtl/>
        </w:rPr>
        <w:t>סמוך</w:t>
      </w:r>
      <w:r w:rsidR="00B057E9">
        <w:t xml:space="preserve"> as a strong sound. Therefore, the term </w:t>
      </w:r>
      <w:r w:rsidR="00B057E9" w:rsidRPr="00E52737">
        <w:rPr>
          <w:rFonts w:hint="cs"/>
          <w:rtl/>
        </w:rPr>
        <w:t>נוח</w:t>
      </w:r>
      <w:r w:rsidR="00B057E9">
        <w:t xml:space="preserve"> </w:t>
      </w:r>
      <w:r w:rsidR="007641F2">
        <w:t xml:space="preserve">must </w:t>
      </w:r>
      <w:r w:rsidR="00B057E9">
        <w:t>be understood as denoting a low-pitched sound. Ac</w:t>
      </w:r>
      <w:r w:rsidR="00B057E9" w:rsidRPr="002503E6">
        <w:t xml:space="preserve">cording to this interpretation, the collocation of the terms, </w:t>
      </w:r>
      <w:r w:rsidR="00B057E9" w:rsidRPr="002503E6">
        <w:rPr>
          <w:rFonts w:hint="cs"/>
          <w:rtl/>
        </w:rPr>
        <w:t>קול נוח וסמוך</w:t>
      </w:r>
      <w:r w:rsidR="00B057E9" w:rsidRPr="002503E6">
        <w:t xml:space="preserve"> (1QM 8:7) </w:t>
      </w:r>
      <w:r w:rsidR="007641F2" w:rsidRPr="002503E6">
        <w:t>signifies</w:t>
      </w:r>
      <w:r w:rsidR="006E5BEF" w:rsidRPr="002503E6">
        <w:t xml:space="preserve"> </w:t>
      </w:r>
      <w:r w:rsidR="00B057E9" w:rsidRPr="002503E6">
        <w:t>a low-pitched</w:t>
      </w:r>
      <w:r w:rsidR="006E5BEF" w:rsidRPr="002503E6">
        <w:t xml:space="preserve">, </w:t>
      </w:r>
      <w:r w:rsidR="006E5BEF" w:rsidRPr="002503E6">
        <w:rPr>
          <w:rFonts w:asciiTheme="majorBidi" w:hAnsiTheme="majorBidi"/>
        </w:rPr>
        <w:t>strong and powerful sound</w:t>
      </w:r>
      <w:r w:rsidR="006E5BEF" w:rsidRPr="002503E6">
        <w:t xml:space="preserve">. </w:t>
      </w:r>
      <w:r w:rsidR="00B057E9" w:rsidRPr="00761532">
        <w:t>Similarly</w:t>
      </w:r>
      <w:r w:rsidR="00B057E9" w:rsidRPr="002503E6">
        <w:t xml:space="preserve">, the collocation </w:t>
      </w:r>
      <w:r w:rsidR="00B057E9" w:rsidRPr="002503E6">
        <w:rPr>
          <w:rFonts w:hint="cs"/>
          <w:rtl/>
        </w:rPr>
        <w:t>קול נוח מרודד סמוך</w:t>
      </w:r>
      <w:r w:rsidR="00B057E9" w:rsidRPr="002503E6">
        <w:t xml:space="preserve"> (1QM 8:14) indicates a low-pitched,</w:t>
      </w:r>
      <w:r w:rsidR="00956357" w:rsidRPr="002503E6">
        <w:rPr>
          <w:rFonts w:asciiTheme="majorBidi" w:hAnsiTheme="majorBidi"/>
        </w:rPr>
        <w:t xml:space="preserve"> simple and sustained, strong and powerful sound</w:t>
      </w:r>
      <w:r w:rsidR="00B057E9" w:rsidRPr="002503E6">
        <w:t>.</w:t>
      </w:r>
    </w:p>
    <w:p w14:paraId="05A293FB" w14:textId="0B8DEB84" w:rsidR="00B057E9" w:rsidRDefault="002B60D3" w:rsidP="00627E20">
      <w:pPr>
        <w:rPr>
          <w:lang w:bidi="he-IL"/>
        </w:rPr>
      </w:pPr>
      <w:r>
        <w:t xml:space="preserve">5. </w:t>
      </w:r>
      <w:r w:rsidR="0093283C" w:rsidRPr="005E5F67">
        <w:rPr>
          <w:rFonts w:hint="cs"/>
          <w:rtl/>
        </w:rPr>
        <w:t>קול חד טרוד</w:t>
      </w:r>
      <w:r w:rsidRPr="002D1D4C">
        <w:rPr>
          <w:rFonts w:asciiTheme="majorBidi" w:hAnsiTheme="majorBidi"/>
        </w:rPr>
        <w:t xml:space="preserve">: </w:t>
      </w:r>
      <w:r w:rsidR="00A35364">
        <w:t>a very strong sound, possibly in a high register (shrill)</w:t>
      </w:r>
      <w:r w:rsidR="004C4B4E">
        <w:t xml:space="preserve"> </w:t>
      </w:r>
      <w:r w:rsidR="00A35364">
        <w:t xml:space="preserve">which repeats </w:t>
      </w:r>
      <w:r w:rsidR="00B0736A">
        <w:t>persis</w:t>
      </w:r>
      <w:r w:rsidR="00A35364">
        <w:t>tently and sequentially (</w:t>
      </w:r>
      <w:r w:rsidR="004F3B40">
        <w:t>ostinato</w:t>
      </w:r>
      <w:r w:rsidR="00A35364">
        <w:t>).</w:t>
      </w:r>
    </w:p>
    <w:p w14:paraId="65CD19B8" w14:textId="14405381" w:rsidR="00011787" w:rsidRPr="005E5F67" w:rsidRDefault="00B057E9" w:rsidP="00627E20">
      <w:pPr>
        <w:rPr>
          <w:lang w:bidi="he-IL"/>
        </w:rPr>
      </w:pPr>
      <w:r>
        <w:rPr>
          <w:lang w:bidi="he-IL"/>
        </w:rPr>
        <w:t>Th</w:t>
      </w:r>
      <w:r w:rsidR="00A35364">
        <w:rPr>
          <w:lang w:bidi="he-IL"/>
        </w:rPr>
        <w:t xml:space="preserve">is collocation of the terms </w:t>
      </w:r>
      <w:r w:rsidR="00A35364" w:rsidRPr="00E52737">
        <w:rPr>
          <w:rFonts w:hint="cs"/>
          <w:rtl/>
        </w:rPr>
        <w:t>חד</w:t>
      </w:r>
      <w:r w:rsidR="00A35364">
        <w:rPr>
          <w:lang w:bidi="he-IL"/>
        </w:rPr>
        <w:t xml:space="preserve"> and </w:t>
      </w:r>
      <w:r w:rsidR="00A35364" w:rsidRPr="0010516A">
        <w:rPr>
          <w:rFonts w:hint="cs"/>
          <w:rtl/>
        </w:rPr>
        <w:t>טרוד</w:t>
      </w:r>
      <w:r w:rsidR="00A35364" w:rsidRPr="0010516A">
        <w:rPr>
          <w:lang w:bidi="he-IL"/>
        </w:rPr>
        <w:t xml:space="preserve"> occurs three times in the War Scroll. 1QM 8:8</w:t>
      </w:r>
      <w:r w:rsidR="00A35364" w:rsidRPr="0010516A">
        <w:rPr>
          <w:rFonts w:asciiTheme="majorBidi" w:hAnsiTheme="majorBidi"/>
          <w:rtl/>
        </w:rPr>
        <w:t>–</w:t>
      </w:r>
      <w:r w:rsidR="00A35364" w:rsidRPr="0010516A">
        <w:rPr>
          <w:rFonts w:asciiTheme="majorBidi" w:hAnsiTheme="majorBidi"/>
        </w:rPr>
        <w:t>9 states</w:t>
      </w:r>
      <w:r w:rsidR="00011787" w:rsidRPr="0010516A">
        <w:rPr>
          <w:rFonts w:asciiTheme="majorBidi" w:hAnsiTheme="majorBidi"/>
        </w:rPr>
        <w:t>:</w:t>
      </w:r>
      <w:r w:rsidR="00A35364" w:rsidRPr="0010516A">
        <w:rPr>
          <w:rFonts w:asciiTheme="majorBidi" w:hAnsiTheme="majorBidi"/>
        </w:rPr>
        <w:t xml:space="preserve"> “</w:t>
      </w:r>
      <w:r w:rsidR="00011787" w:rsidRPr="0010516A">
        <w:t>Then the priests shall blow on the six trumpets of the slain a</w:t>
      </w:r>
      <w:r w:rsidR="000706FD" w:rsidRPr="0010516A">
        <w:t xml:space="preserve"> very strong </w:t>
      </w:r>
      <w:r w:rsidR="00EB67D9" w:rsidRPr="0010516A">
        <w:t xml:space="preserve">shrill sound which repeats persistently and sequentially </w:t>
      </w:r>
      <w:r w:rsidR="00011787" w:rsidRPr="0010516A">
        <w:t>(</w:t>
      </w:r>
      <w:r w:rsidR="00011787" w:rsidRPr="0010516A">
        <w:rPr>
          <w:rFonts w:hint="cs"/>
          <w:rtl/>
        </w:rPr>
        <w:t>קול חד טרוד</w:t>
      </w:r>
      <w:r w:rsidR="00011787" w:rsidRPr="0010516A">
        <w:t xml:space="preserve">).” </w:t>
      </w:r>
      <w:r w:rsidR="00A35364" w:rsidRPr="0010516A">
        <w:rPr>
          <w:rFonts w:asciiTheme="majorBidi" w:hAnsiTheme="majorBidi"/>
        </w:rPr>
        <w:t>1QM 8:11</w:t>
      </w:r>
      <w:r w:rsidR="00A35364" w:rsidRPr="0010516A">
        <w:rPr>
          <w:rFonts w:asciiTheme="majorBidi" w:hAnsiTheme="majorBidi"/>
          <w:rtl/>
        </w:rPr>
        <w:t>–</w:t>
      </w:r>
      <w:r w:rsidR="00A35364" w:rsidRPr="0010516A">
        <w:rPr>
          <w:rFonts w:asciiTheme="majorBidi" w:hAnsiTheme="majorBidi"/>
        </w:rPr>
        <w:t>12 states, “</w:t>
      </w:r>
      <w:r w:rsidR="00011787" w:rsidRPr="0010516A">
        <w:t xml:space="preserve">on the tru[m]pets the priests shall continue to blow </w:t>
      </w:r>
      <w:r w:rsidR="00CC610B" w:rsidRPr="0010516A">
        <w:t xml:space="preserve">a very strong shrill sound which repeats persistently and sequentially </w:t>
      </w:r>
      <w:r w:rsidR="00011787" w:rsidRPr="0010516A">
        <w:t>(</w:t>
      </w:r>
      <w:r w:rsidR="00011787" w:rsidRPr="0010516A">
        <w:rPr>
          <w:rFonts w:hint="cs"/>
          <w:rtl/>
        </w:rPr>
        <w:t>קול חד טרוד</w:t>
      </w:r>
      <w:r w:rsidR="00011787" w:rsidRPr="0010516A">
        <w:t>) to direct the signals of battle until they have hurled into the battle line of the enemy seven times</w:t>
      </w:r>
      <w:r w:rsidR="00A35364" w:rsidRPr="0010516A">
        <w:rPr>
          <w:rFonts w:asciiTheme="majorBidi" w:hAnsiTheme="majorBidi"/>
        </w:rPr>
        <w:t>.” 1QM 16:7 states, “</w:t>
      </w:r>
      <w:r w:rsidR="00011787" w:rsidRPr="0010516A">
        <w:t xml:space="preserve">Then the six [… the tr]umpets of the slain </w:t>
      </w:r>
      <w:r w:rsidR="00CF0353" w:rsidRPr="0010516A">
        <w:t xml:space="preserve">a very strong shrill sound </w:t>
      </w:r>
      <w:r w:rsidR="00CF0353" w:rsidRPr="005E5F67">
        <w:t>which repeats persistently and sequentially</w:t>
      </w:r>
      <w:r w:rsidR="0010516A" w:rsidRPr="005E5F67">
        <w:rPr>
          <w:rtl/>
          <w:lang w:bidi="he-IL"/>
        </w:rPr>
        <w:t>.</w:t>
      </w:r>
      <w:r w:rsidR="00E378D9" w:rsidRPr="005E5F67">
        <w:t>”</w:t>
      </w:r>
      <w:r w:rsidR="00FA4B5A" w:rsidRPr="005E5F67">
        <w:rPr>
          <w:rtl/>
          <w:lang w:bidi="he-IL"/>
        </w:rPr>
        <w:t xml:space="preserve"> </w:t>
      </w:r>
      <w:r w:rsidR="0010516A" w:rsidRPr="005E5F67">
        <w:rPr>
          <w:rStyle w:val="FootnoteReference"/>
          <w:rtl/>
          <w:lang w:bidi="he-IL"/>
        </w:rPr>
        <w:footnoteReference w:id="44"/>
      </w:r>
    </w:p>
    <w:p w14:paraId="44B4F277" w14:textId="1D221A2B" w:rsidR="00A35364" w:rsidRPr="005E5F67" w:rsidRDefault="007C3616">
      <w:r w:rsidRPr="005E5F67">
        <w:t xml:space="preserve"> </w:t>
      </w:r>
      <w:r w:rsidR="000269C5">
        <w:t>T</w:t>
      </w:r>
      <w:r w:rsidR="00A35364" w:rsidRPr="005E5F67">
        <w:t>o determine the</w:t>
      </w:r>
      <w:r w:rsidR="00E33765" w:rsidRPr="005E5F67">
        <w:t xml:space="preserve"> musical</w:t>
      </w:r>
      <w:r w:rsidR="005E5F67" w:rsidRPr="005E5F67">
        <w:t xml:space="preserve"> s</w:t>
      </w:r>
      <w:r w:rsidR="00D50E45" w:rsidRPr="005E5F67">
        <w:t>ense of this collocation, I will first seek to establish the meaning of each term individually.</w:t>
      </w:r>
    </w:p>
    <w:p w14:paraId="7BC7D396" w14:textId="4AAE138A" w:rsidR="00011787" w:rsidRDefault="00A35364">
      <w:r w:rsidRPr="005E5F67">
        <w:rPr>
          <w:rFonts w:hint="cs"/>
          <w:rtl/>
        </w:rPr>
        <w:t>קול ח</w:t>
      </w:r>
      <w:r w:rsidR="00BE5875" w:rsidRPr="005E5F67">
        <w:rPr>
          <w:rFonts w:hint="cs"/>
          <w:rtl/>
          <w:lang w:bidi="he-IL"/>
        </w:rPr>
        <w:t>ד</w:t>
      </w:r>
      <w:r w:rsidR="002B60D3">
        <w:rPr>
          <w:lang w:bidi="he-IL"/>
        </w:rPr>
        <w:t xml:space="preserve">: </w:t>
      </w:r>
      <w:r w:rsidR="00D50E45">
        <w:t>Most scholars interpret this term as indicating a sound that is very strong and shrill</w:t>
      </w:r>
      <w:r w:rsidR="00D50E45">
        <w:rPr>
          <w:rStyle w:val="FootnoteReference"/>
        </w:rPr>
        <w:footnoteReference w:id="45"/>
      </w:r>
      <w:r w:rsidR="00D50E45">
        <w:t xml:space="preserve"> or sharp.</w:t>
      </w:r>
      <w:r w:rsidR="00D50E45">
        <w:rPr>
          <w:rStyle w:val="FootnoteReference"/>
        </w:rPr>
        <w:footnoteReference w:id="46"/>
      </w:r>
      <w:r w:rsidR="00985AF3">
        <w:t xml:space="preserve"> According to Yishay, this term should be understood as an expression for a strong high-pitched sound.</w:t>
      </w:r>
      <w:r w:rsidR="00985AF3">
        <w:rPr>
          <w:rStyle w:val="FootnoteReference"/>
        </w:rPr>
        <w:footnoteReference w:id="47"/>
      </w:r>
      <w:r w:rsidR="00985AF3">
        <w:t xml:space="preserve"> The term</w:t>
      </w:r>
      <w:r w:rsidR="00E378D9">
        <w:t xml:space="preserve"> </w:t>
      </w:r>
      <w:r w:rsidR="00985AF3">
        <w:rPr>
          <w:rFonts w:hint="cs"/>
          <w:rtl/>
          <w:lang w:bidi="he-IL"/>
        </w:rPr>
        <w:t>חד</w:t>
      </w:r>
      <w:r w:rsidR="00985AF3">
        <w:t xml:space="preserve"> appears several times in the Dead Sea Scrolls to designate sharp weapons. </w:t>
      </w:r>
      <w:r w:rsidR="00985AF3" w:rsidRPr="007D7212">
        <w:t>Thus, in 1QH 13:</w:t>
      </w:r>
      <w:r w:rsidR="00C06968">
        <w:t xml:space="preserve"> 11</w:t>
      </w:r>
      <w:r w:rsidR="00BF6DDF" w:rsidRPr="007D7212">
        <w:rPr>
          <w:rtl/>
        </w:rPr>
        <w:t>–</w:t>
      </w:r>
      <w:r w:rsidR="00985AF3" w:rsidRPr="007D7212">
        <w:t>1</w:t>
      </w:r>
      <w:r w:rsidR="00C06968">
        <w:t>2</w:t>
      </w:r>
      <w:r w:rsidR="00985AF3" w:rsidRPr="007D7212">
        <w:t>, “</w:t>
      </w:r>
      <w:r w:rsidR="002503E6">
        <w:rPr>
          <w:lang w:bidi="he-IL"/>
        </w:rPr>
        <w:t>And you closed the mouth of the young lions whose teeth are like a sword and whose jaw teeth are like a pointed spear (</w:t>
      </w:r>
      <w:r w:rsidR="002503E6" w:rsidRPr="007D7212">
        <w:rPr>
          <w:rtl/>
        </w:rPr>
        <w:t>כחנית חדה</w:t>
      </w:r>
      <w:r w:rsidR="00985AF3" w:rsidRPr="007D7212">
        <w:t>)”; 4Q436 “</w:t>
      </w:r>
      <w:r w:rsidR="002503E6">
        <w:rPr>
          <w:lang w:bidi="he-IL"/>
        </w:rPr>
        <w:t>And you have made my mouth like a sharp sword</w:t>
      </w:r>
      <w:r w:rsidR="00985AF3" w:rsidRPr="007D7212">
        <w:t xml:space="preserve"> (</w:t>
      </w:r>
      <w:r w:rsidR="00985AF3" w:rsidRPr="007D7212">
        <w:rPr>
          <w:rtl/>
        </w:rPr>
        <w:t>כחרב חדה</w:t>
      </w:r>
      <w:r w:rsidR="00985AF3" w:rsidRPr="007D7212">
        <w:t xml:space="preserve">).” </w:t>
      </w:r>
      <w:r w:rsidR="0057511C" w:rsidRPr="007D7212">
        <w:t>In the Hebrew Bible as well, this word appears in the context of a sharp sword.</w:t>
      </w:r>
      <w:r w:rsidR="0057511C" w:rsidRPr="007D7212">
        <w:rPr>
          <w:rStyle w:val="FootnoteReference"/>
        </w:rPr>
        <w:footnoteReference w:id="48"/>
      </w:r>
      <w:r w:rsidR="0057511C" w:rsidRPr="007D7212">
        <w:t xml:space="preserve"> Thus, for example, in Ezek 5:1, “</w:t>
      </w:r>
      <w:r w:rsidR="00E378D9" w:rsidRPr="007D7212">
        <w:rPr>
          <w:rFonts w:eastAsiaTheme="minorHAnsi"/>
        </w:rPr>
        <w:t>take a sharp knife</w:t>
      </w:r>
      <w:r w:rsidR="0057511C" w:rsidRPr="007D7212">
        <w:t xml:space="preserve"> (</w:t>
      </w:r>
      <w:r w:rsidR="0057511C" w:rsidRPr="007D7212">
        <w:rPr>
          <w:rtl/>
        </w:rPr>
        <w:t>חרב חדה</w:t>
      </w:r>
      <w:r w:rsidR="0057511C" w:rsidRPr="007D7212">
        <w:t>)”; Ps 57:5, “</w:t>
      </w:r>
      <w:r w:rsidR="007D7212" w:rsidRPr="007D7212">
        <w:rPr>
          <w:rFonts w:eastAsiaTheme="minorHAnsi"/>
        </w:rPr>
        <w:t>whose tongue is a sharp sword</w:t>
      </w:r>
      <w:r w:rsidR="0057511C" w:rsidRPr="007D7212">
        <w:t xml:space="preserve"> (</w:t>
      </w:r>
      <w:r w:rsidR="0057511C" w:rsidRPr="007D7212">
        <w:rPr>
          <w:rtl/>
        </w:rPr>
        <w:t>חרב חדה</w:t>
      </w:r>
      <w:r w:rsidR="0057511C" w:rsidRPr="007D7212">
        <w:t>)”; Isa 49:2, “</w:t>
      </w:r>
      <w:r w:rsidR="007D7212" w:rsidRPr="007D7212">
        <w:rPr>
          <w:rFonts w:eastAsiaTheme="minorHAnsi"/>
        </w:rPr>
        <w:t>He made my mouth like a sharpened blade (</w:t>
      </w:r>
      <w:r w:rsidR="0057511C" w:rsidRPr="007D7212">
        <w:rPr>
          <w:rtl/>
        </w:rPr>
        <w:t>וישם פי כחרב חדה</w:t>
      </w:r>
      <w:r w:rsidR="007D7212" w:rsidRPr="007D7212">
        <w:t>)</w:t>
      </w:r>
      <w:r w:rsidR="00E13790">
        <w:t>.</w:t>
      </w:r>
      <w:r w:rsidR="007D7212" w:rsidRPr="007D7212">
        <w:t>”</w:t>
      </w:r>
    </w:p>
    <w:p w14:paraId="50DD85FD" w14:textId="12C22FA0" w:rsidR="00AE7323" w:rsidRPr="00A2243A" w:rsidRDefault="0057511C" w:rsidP="00627E20">
      <w:pPr>
        <w:rPr>
          <w:rFonts w:eastAsiaTheme="minorHAnsi"/>
        </w:rPr>
      </w:pPr>
      <w:r w:rsidRPr="00A2243A">
        <w:t xml:space="preserve">The above evidence points to two </w:t>
      </w:r>
      <w:r w:rsidR="00AE7323" w:rsidRPr="00A2243A">
        <w:t>plausible</w:t>
      </w:r>
      <w:r w:rsidRPr="00A2243A">
        <w:t xml:space="preserve"> ways of interpreting the term </w:t>
      </w:r>
      <w:r w:rsidRPr="00A2243A">
        <w:rPr>
          <w:rtl/>
        </w:rPr>
        <w:t>קול חד</w:t>
      </w:r>
      <w:r w:rsidRPr="00A2243A">
        <w:t xml:space="preserve">. One possibility would be a very strong sound of a shrill and sharp nature, sounded in a high register—a high-pitched sound. </w:t>
      </w:r>
      <w:commentRangeStart w:id="9"/>
      <w:r w:rsidRPr="00A2243A">
        <w:t>This option is supported by the fact that the scroll notes that this sound was produced through the simultaneous use of six trumpets</w:t>
      </w:r>
      <w:r w:rsidR="00AE7323" w:rsidRPr="00A2243A">
        <w:t xml:space="preserve">, which may be presumed to have led to the formation of an exceedingly </w:t>
      </w:r>
      <w:commentRangeStart w:id="10"/>
      <w:r w:rsidR="00AE7323" w:rsidRPr="00A2243A">
        <w:t xml:space="preserve">strong </w:t>
      </w:r>
      <w:commentRangeEnd w:id="10"/>
      <w:r w:rsidR="00951B5E">
        <w:rPr>
          <w:rStyle w:val="CommentReference"/>
          <w:rtl/>
        </w:rPr>
        <w:commentReference w:id="10"/>
      </w:r>
      <w:r w:rsidR="00AE7323" w:rsidRPr="00A2243A">
        <w:t>sound</w:t>
      </w:r>
      <w:commentRangeEnd w:id="9"/>
      <w:r w:rsidR="00D841E7">
        <w:rPr>
          <w:rStyle w:val="CommentReference"/>
        </w:rPr>
        <w:commentReference w:id="9"/>
      </w:r>
      <w:r w:rsidR="00AE7323" w:rsidRPr="00A2243A">
        <w:t xml:space="preserve">. The other possibility is to interpret the term as indicating a very </w:t>
      </w:r>
      <w:r w:rsidR="00951B5E">
        <w:t xml:space="preserve">brief and abrupt </w:t>
      </w:r>
      <w:r w:rsidR="00AE7323" w:rsidRPr="00A2243A">
        <w:t>sound, known in musical terminology as “staccato,” which is Italian for “separate” or “detached”</w:t>
      </w:r>
      <w:r w:rsidR="007D7212">
        <w:t>;</w:t>
      </w:r>
      <w:r w:rsidR="00AE7323" w:rsidRPr="00A2243A">
        <w:t xml:space="preserve"> </w:t>
      </w:r>
      <w:r w:rsidR="007D7212">
        <w:t>i.e.</w:t>
      </w:r>
      <w:r w:rsidR="00AE7323" w:rsidRPr="00A2243A">
        <w:t xml:space="preserve">, a sound that is separated from the sound that follows it, </w:t>
      </w:r>
      <w:r w:rsidR="007D7212">
        <w:t>due to</w:t>
      </w:r>
      <w:r w:rsidR="00AE7323" w:rsidRPr="00A2243A">
        <w:t xml:space="preserve"> its brevity.</w:t>
      </w:r>
      <w:r w:rsidR="00AE7323" w:rsidRPr="00A2243A">
        <w:rPr>
          <w:rStyle w:val="FootnoteReference"/>
        </w:rPr>
        <w:footnoteReference w:id="49"/>
      </w:r>
      <w:r w:rsidR="00AE7323" w:rsidRPr="00A2243A">
        <w:t xml:space="preserve"> An additional interpretation may be suggested </w:t>
      </w:r>
      <w:r w:rsidR="000269C5">
        <w:t>based on</w:t>
      </w:r>
      <w:r w:rsidR="00AE7323" w:rsidRPr="00A2243A">
        <w:t xml:space="preserve"> 1QpHab 3:6</w:t>
      </w:r>
      <w:r w:rsidR="00AE7323" w:rsidRPr="00A2243A">
        <w:rPr>
          <w:rtl/>
        </w:rPr>
        <w:t>–</w:t>
      </w:r>
      <w:r w:rsidR="00AE7323" w:rsidRPr="00A2243A">
        <w:t>7, which comments on Hab 1:8</w:t>
      </w:r>
      <w:r w:rsidR="00993227" w:rsidRPr="00A2243A">
        <w:t>, “</w:t>
      </w:r>
      <w:r w:rsidR="00993227" w:rsidRPr="00A2243A">
        <w:rPr>
          <w:rFonts w:eastAsiaTheme="minorHAnsi"/>
        </w:rPr>
        <w:t>Their horses are swifter than leopards, fleeter (</w:t>
      </w:r>
      <w:r w:rsidR="00993227" w:rsidRPr="00A2243A">
        <w:rPr>
          <w:rtl/>
        </w:rPr>
        <w:t>וחדו</w:t>
      </w:r>
      <w:r w:rsidR="00993227" w:rsidRPr="00A2243A">
        <w:rPr>
          <w:rFonts w:eastAsiaTheme="minorHAnsi"/>
        </w:rPr>
        <w:t>) than wolves of the steppe</w:t>
      </w:r>
      <w:r w:rsidR="00993227" w:rsidRPr="00A2243A">
        <w:t>.”</w:t>
      </w:r>
      <w:r w:rsidR="00AE7323" w:rsidRPr="00A2243A">
        <w:rPr>
          <w:rStyle w:val="FootnoteReference"/>
        </w:rPr>
        <w:footnoteReference w:id="50"/>
      </w:r>
      <w:r w:rsidR="00AE7323" w:rsidRPr="00A2243A">
        <w:t xml:space="preserve"> </w:t>
      </w:r>
      <w:r w:rsidR="00993227" w:rsidRPr="00A2243A">
        <w:t xml:space="preserve">According to various scholars, </w:t>
      </w:r>
      <w:r w:rsidR="00A2243A" w:rsidRPr="00A2243A">
        <w:t xml:space="preserve">the word </w:t>
      </w:r>
      <w:r w:rsidR="00A2243A" w:rsidRPr="00A2243A">
        <w:rPr>
          <w:rtl/>
        </w:rPr>
        <w:t>וחדו</w:t>
      </w:r>
      <w:r w:rsidR="00A2243A" w:rsidRPr="00A2243A">
        <w:t xml:space="preserve"> indicates the swiftness of the horses and the wolves.</w:t>
      </w:r>
      <w:r w:rsidR="00A2243A" w:rsidRPr="00A2243A">
        <w:rPr>
          <w:rStyle w:val="FootnoteReference"/>
        </w:rPr>
        <w:footnoteReference w:id="51"/>
      </w:r>
      <w:r w:rsidR="00A2243A">
        <w:t xml:space="preserve"> Others maintain that we should distinguish between </w:t>
      </w:r>
      <w:r w:rsidR="00A2243A" w:rsidRPr="00A2243A">
        <w:rPr>
          <w:rtl/>
        </w:rPr>
        <w:t>וחדו</w:t>
      </w:r>
      <w:r w:rsidR="00A2243A">
        <w:t xml:space="preserve"> and </w:t>
      </w:r>
      <w:r w:rsidR="00A2243A" w:rsidRPr="00E52737">
        <w:rPr>
          <w:rFonts w:hint="cs"/>
          <w:rtl/>
        </w:rPr>
        <w:t>קלו</w:t>
      </w:r>
      <w:r w:rsidR="00A2243A">
        <w:t xml:space="preserve">; they understand </w:t>
      </w:r>
      <w:r w:rsidR="00A2243A" w:rsidRPr="00E52737">
        <w:rPr>
          <w:rFonts w:hint="cs"/>
          <w:rtl/>
        </w:rPr>
        <w:t>קלו</w:t>
      </w:r>
      <w:r w:rsidR="00A2243A">
        <w:t xml:space="preserve"> as referring to the swiftness of the horses and take </w:t>
      </w:r>
      <w:r w:rsidR="00A2243A" w:rsidRPr="00A2243A">
        <w:rPr>
          <w:rtl/>
        </w:rPr>
        <w:t>וחדו</w:t>
      </w:r>
      <w:r w:rsidR="00A2243A">
        <w:t xml:space="preserve"> as referring to </w:t>
      </w:r>
      <w:r w:rsidR="00D95D85">
        <w:t>a quality of</w:t>
      </w:r>
      <w:r w:rsidR="00A2243A">
        <w:t xml:space="preserve"> the wolves</w:t>
      </w:r>
      <w:r w:rsidR="00D95D85">
        <w:t>, most frequently strength</w:t>
      </w:r>
      <w:r w:rsidR="00A2243A">
        <w:t>.</w:t>
      </w:r>
      <w:r w:rsidR="00A2243A">
        <w:rPr>
          <w:rStyle w:val="FootnoteReference"/>
        </w:rPr>
        <w:footnoteReference w:id="52"/>
      </w:r>
      <w:r w:rsidR="00D95D85">
        <w:t xml:space="preserve"> If the scholars who take </w:t>
      </w:r>
      <w:r w:rsidR="00D95D85" w:rsidRPr="00A2243A">
        <w:rPr>
          <w:rtl/>
        </w:rPr>
        <w:t>וחדו</w:t>
      </w:r>
      <w:r w:rsidR="00D95D85">
        <w:t xml:space="preserve"> as referring to the swiftness of the horses are correct, then it would perhaps be possible to understand the term </w:t>
      </w:r>
      <w:r w:rsidR="00D95D85" w:rsidRPr="00E52737">
        <w:rPr>
          <w:rFonts w:hint="cs"/>
          <w:rtl/>
        </w:rPr>
        <w:t>קול חד</w:t>
      </w:r>
      <w:r w:rsidR="00D95D85">
        <w:t xml:space="preserve"> in 1QM as referring to sounds that are produced one after another in quick succession. </w:t>
      </w:r>
      <w:r w:rsidR="00600F2B">
        <w:t>Given</w:t>
      </w:r>
      <w:r w:rsidR="00D95D85">
        <w:t xml:space="preserve"> the range of possibilities we have presented, it is possible that clarification of the term </w:t>
      </w:r>
      <w:r w:rsidR="00D95D85">
        <w:rPr>
          <w:rFonts w:hint="cs"/>
          <w:rtl/>
          <w:lang w:bidi="he-IL"/>
        </w:rPr>
        <w:t>טרוד</w:t>
      </w:r>
      <w:r w:rsidR="00D95D85">
        <w:t xml:space="preserve"> in the following discussion will assist with clarification of the term </w:t>
      </w:r>
      <w:r w:rsidR="00D95D85" w:rsidRPr="00E52737">
        <w:rPr>
          <w:rFonts w:hint="cs"/>
          <w:rtl/>
        </w:rPr>
        <w:t>חד</w:t>
      </w:r>
      <w:r w:rsidR="00D95D85">
        <w:t>.</w:t>
      </w:r>
    </w:p>
    <w:p w14:paraId="17DFABA7" w14:textId="2C324801" w:rsidR="00A35364" w:rsidRPr="005E5F67" w:rsidRDefault="002B60D3" w:rsidP="00283890">
      <w:r>
        <w:t xml:space="preserve">6. </w:t>
      </w:r>
      <w:r w:rsidR="00A35364" w:rsidRPr="005E5F67">
        <w:rPr>
          <w:rFonts w:hint="cs"/>
          <w:rtl/>
        </w:rPr>
        <w:t>טרוד</w:t>
      </w:r>
      <w:r>
        <w:t>:</w:t>
      </w:r>
    </w:p>
    <w:p w14:paraId="1EA5FAA1" w14:textId="7B1E470B" w:rsidR="006935ED" w:rsidRPr="006F07D0" w:rsidRDefault="0047363E" w:rsidP="00283890">
      <w:r w:rsidRPr="0047363E">
        <w:t>Some</w:t>
      </w:r>
      <w:r>
        <w:t xml:space="preserve"> scholars </w:t>
      </w:r>
      <w:r w:rsidR="00CE3520">
        <w:t>maintain</w:t>
      </w:r>
      <w:r>
        <w:t xml:space="preserve"> that this term refers to a sound that repeats </w:t>
      </w:r>
      <w:r w:rsidR="00B0736A">
        <w:t>pers</w:t>
      </w:r>
      <w:r>
        <w:t>istently, sequentially and without pause, which is termed “ostinato” in musical terminology.</w:t>
      </w:r>
      <w:r>
        <w:rPr>
          <w:rStyle w:val="FootnoteReference"/>
        </w:rPr>
        <w:footnoteReference w:id="53"/>
      </w:r>
      <w:r>
        <w:t xml:space="preserve"> Other scholars </w:t>
      </w:r>
      <w:r w:rsidR="001028E1">
        <w:t>believe</w:t>
      </w:r>
      <w:r>
        <w:t xml:space="preserve"> that </w:t>
      </w:r>
      <w:r w:rsidR="00CE3520" w:rsidRPr="00CE3520">
        <w:t>“</w:t>
      </w:r>
      <w:r w:rsidR="00CE3520" w:rsidRPr="00CE3520">
        <w:rPr>
          <w:rFonts w:hint="cs"/>
          <w:rtl/>
        </w:rPr>
        <w:t>טרוד</w:t>
      </w:r>
      <w:r w:rsidR="00CE3520">
        <w:t>”</w:t>
      </w:r>
      <w:r>
        <w:t xml:space="preserve"> should be understood as referring to a short, distinct sound</w:t>
      </w:r>
      <w:r w:rsidR="00CE3520">
        <w:t>, which is separated from the sound that follows it, called “staccato” in musical terminology</w:t>
      </w:r>
      <w:r>
        <w:t>.</w:t>
      </w:r>
      <w:r>
        <w:rPr>
          <w:rStyle w:val="FootnoteReference"/>
        </w:rPr>
        <w:footnoteReference w:id="54"/>
      </w:r>
      <w:r>
        <w:t xml:space="preserve"> Yisha</w:t>
      </w:r>
      <w:r w:rsidR="00DC1021">
        <w:t>y</w:t>
      </w:r>
      <w:r>
        <w:t xml:space="preserve"> co</w:t>
      </w:r>
      <w:r w:rsidR="00CE3520">
        <w:t>mbined these two interpretations</w:t>
      </w:r>
      <w:r w:rsidR="004056F3">
        <w:t xml:space="preserve"> and explained the terms as</w:t>
      </w:r>
      <w:r w:rsidR="00B0736A">
        <w:t xml:space="preserve"> </w:t>
      </w:r>
      <w:r w:rsidR="00B0736A" w:rsidRPr="00B0736A">
        <w:t xml:space="preserve">fragmented sound repeated </w:t>
      </w:r>
      <w:r w:rsidR="00B0736A">
        <w:t>persistently and sequentially</w:t>
      </w:r>
      <w:r w:rsidR="00B0736A" w:rsidRPr="00B0736A">
        <w:t xml:space="preserve">, known in </w:t>
      </w:r>
      <w:r w:rsidR="00B0736A">
        <w:t>terminology as</w:t>
      </w:r>
      <w:r w:rsidR="004056F3">
        <w:t xml:space="preserve"> </w:t>
      </w:r>
      <w:r w:rsidR="00B0736A">
        <w:t>“s</w:t>
      </w:r>
      <w:r w:rsidR="00CE3520" w:rsidRPr="00E52737">
        <w:t xml:space="preserve">taccato </w:t>
      </w:r>
      <w:r w:rsidR="00B0736A">
        <w:t>o</w:t>
      </w:r>
      <w:r w:rsidR="00CE3520" w:rsidRPr="00E52737">
        <w:t>stinato</w:t>
      </w:r>
      <w:r w:rsidR="00B0736A">
        <w:t>.”</w:t>
      </w:r>
      <w:r>
        <w:rPr>
          <w:rStyle w:val="FootnoteReference"/>
        </w:rPr>
        <w:footnoteReference w:id="55"/>
      </w:r>
      <w:r w:rsidR="00CE3520">
        <w:t xml:space="preserve"> An additional proposal was put forth by Habermann, </w:t>
      </w:r>
      <w:r w:rsidR="00B0736A">
        <w:t xml:space="preserve">who understood the term to denote a </w:t>
      </w:r>
      <w:r w:rsidR="00A65CD4">
        <w:t>note</w:t>
      </w:r>
      <w:r w:rsidR="00B0736A">
        <w:t xml:space="preserve"> that is sounded quickly</w:t>
      </w:r>
      <w:r w:rsidR="00CE3520">
        <w:t>.</w:t>
      </w:r>
      <w:r w:rsidR="00CE3520">
        <w:rPr>
          <w:rStyle w:val="FootnoteReference"/>
        </w:rPr>
        <w:footnoteReference w:id="56"/>
      </w:r>
      <w:r w:rsidR="00246CCB">
        <w:br/>
      </w:r>
      <w:r w:rsidR="00CE3520">
        <w:t xml:space="preserve">The term </w:t>
      </w:r>
      <w:r w:rsidR="00CE3520">
        <w:rPr>
          <w:rFonts w:hint="cs"/>
          <w:rtl/>
          <w:lang w:bidi="he-IL"/>
        </w:rPr>
        <w:t>טרוד</w:t>
      </w:r>
      <w:r w:rsidR="00CE3520">
        <w:t xml:space="preserve"> also</w:t>
      </w:r>
      <w:r w:rsidR="00B0736A">
        <w:t xml:space="preserve"> appears in 4Q267 5 </w:t>
      </w:r>
      <w:r w:rsidR="00B0736A" w:rsidRPr="00CD2571">
        <w:t>iii,</w:t>
      </w:r>
      <w:r w:rsidR="00AD1C47" w:rsidRPr="00CD2571">
        <w:rPr>
          <w:rFonts w:asciiTheme="majorBidi" w:hAnsiTheme="majorBidi"/>
        </w:rPr>
        <w:t xml:space="preserve"> </w:t>
      </w:r>
      <w:r w:rsidR="00AD1C47" w:rsidRPr="00CD2571">
        <w:t>3</w:t>
      </w:r>
      <w:r w:rsidR="00AD1C47" w:rsidRPr="00CD2571">
        <w:rPr>
          <w:rFonts w:asciiTheme="majorBidi" w:hAnsiTheme="majorBidi"/>
          <w:rtl/>
        </w:rPr>
        <w:t>–</w:t>
      </w:r>
      <w:r w:rsidR="00AD1C47" w:rsidRPr="00CD2571">
        <w:rPr>
          <w:rFonts w:asciiTheme="majorBidi" w:hAnsiTheme="majorBidi"/>
        </w:rPr>
        <w:t>5</w:t>
      </w:r>
      <w:r w:rsidR="00B0736A" w:rsidRPr="00CD2571">
        <w:t>, in the specification</w:t>
      </w:r>
      <w:r w:rsidR="00B0736A">
        <w:t xml:space="preserve"> of a halakha that most likely pertains to public Torah </w:t>
      </w:r>
      <w:r w:rsidR="00B0736A" w:rsidRPr="00CD2571">
        <w:t>reading</w:t>
      </w:r>
      <w:r w:rsidR="00691666" w:rsidRPr="00CD2571">
        <w:t xml:space="preserve">, </w:t>
      </w:r>
      <w:r w:rsidR="00520B1B">
        <w:t>prohibiting</w:t>
      </w:r>
      <w:r w:rsidR="00691666" w:rsidRPr="00CD2571">
        <w:t xml:space="preserve"> a priest who is incapable of clear speech </w:t>
      </w:r>
      <w:r w:rsidR="00520B1B">
        <w:t>from</w:t>
      </w:r>
      <w:r w:rsidR="00520B1B" w:rsidRPr="00CD2571">
        <w:t xml:space="preserve"> </w:t>
      </w:r>
      <w:r w:rsidR="00691666" w:rsidRPr="00CD2571">
        <w:t>perform</w:t>
      </w:r>
      <w:r w:rsidR="00520B1B">
        <w:t>ing</w:t>
      </w:r>
      <w:r w:rsidR="00691666" w:rsidRPr="00CD2571">
        <w:t xml:space="preserve"> this lectionary function: </w:t>
      </w:r>
      <w:r w:rsidR="00CE67BD" w:rsidRPr="00CD2571">
        <w:t>“</w:t>
      </w:r>
      <w:r w:rsidR="006935ED" w:rsidRPr="00CD2571">
        <w:t>and anyone whose [speech] is too soft (?) [or speaks] with a</w:t>
      </w:r>
      <w:r w:rsidR="007200FA" w:rsidRPr="00CD2571">
        <w:t xml:space="preserve"> </w:t>
      </w:r>
      <w:r w:rsidR="007200FA" w:rsidRPr="00CD2571">
        <w:rPr>
          <w:rFonts w:hint="cs"/>
          <w:rtl/>
          <w:lang w:bidi="he-IL"/>
        </w:rPr>
        <w:t>טרוד</w:t>
      </w:r>
      <w:r w:rsidR="006935ED" w:rsidRPr="00CD2571">
        <w:t xml:space="preserve"> [voice], not dividing his words so that [his voice may be heard, none of these(?)] shall read from the bo[ok of the Law].”</w:t>
      </w:r>
      <w:r w:rsidR="006935ED" w:rsidRPr="00CD2571">
        <w:rPr>
          <w:rStyle w:val="FootnoteReference"/>
        </w:rPr>
        <w:footnoteReference w:id="57"/>
      </w:r>
    </w:p>
    <w:p w14:paraId="16C7BBD2" w14:textId="17D45EF4" w:rsidR="005C5B39" w:rsidRDefault="00CE67BD" w:rsidP="00627E20">
      <w:r>
        <w:t xml:space="preserve">It appears from these lines that the term </w:t>
      </w:r>
      <w:r w:rsidRPr="00E52737">
        <w:rPr>
          <w:rFonts w:hint="cs"/>
          <w:rtl/>
        </w:rPr>
        <w:t>טרוד</w:t>
      </w:r>
      <w:r>
        <w:t xml:space="preserve"> is associated </w:t>
      </w:r>
      <w:r w:rsidR="000A423C">
        <w:t xml:space="preserve">here </w:t>
      </w:r>
      <w:r>
        <w:t xml:space="preserve">with fluent speech, free of distracting pauses or interruptions between words or sentences that would interfere with listeners’ comprehension. Some scholars interpreted the use of the word in this scroll </w:t>
      </w:r>
      <w:r w:rsidR="001028E1">
        <w:t>using</w:t>
      </w:r>
      <w:r>
        <w:t xml:space="preserve"> the modern musical term “staccato.”</w:t>
      </w:r>
      <w:r>
        <w:rPr>
          <w:rStyle w:val="FootnoteReference"/>
        </w:rPr>
        <w:footnoteReference w:id="58"/>
      </w:r>
      <w:r>
        <w:t xml:space="preserve"> This interpretation is not tenable because</w:t>
      </w:r>
      <w:r w:rsidR="00B82A96">
        <w:t xml:space="preserve">, as noted above, the term “staccato” designates a very short sound that is separate or detached from the sound that follows it, whereas the word </w:t>
      </w:r>
      <w:r w:rsidR="00B82A96" w:rsidRPr="00E52737">
        <w:rPr>
          <w:rFonts w:hint="cs"/>
          <w:rtl/>
        </w:rPr>
        <w:t>טרוד</w:t>
      </w:r>
      <w:r w:rsidR="00B82A96">
        <w:t xml:space="preserve"> in 4Q267 refers to fluid speech that does </w:t>
      </w:r>
      <w:r w:rsidR="00B82A96" w:rsidRPr="00B82A96">
        <w:rPr>
          <w:i/>
          <w:iCs/>
        </w:rPr>
        <w:t xml:space="preserve">not </w:t>
      </w:r>
      <w:r w:rsidR="00B82A96">
        <w:t xml:space="preserve">have separation between words and sentences. According to Qimron, this word should be understood as referring to rapid speech, which </w:t>
      </w:r>
      <w:r w:rsidR="00113FA3">
        <w:t xml:space="preserve">causes </w:t>
      </w:r>
      <w:r w:rsidR="00B82A96">
        <w:t>words to run into one another.</w:t>
      </w:r>
      <w:r w:rsidR="00B82A96">
        <w:rPr>
          <w:rStyle w:val="FootnoteReference"/>
        </w:rPr>
        <w:footnoteReference w:id="59"/>
      </w:r>
    </w:p>
    <w:p w14:paraId="4683445B" w14:textId="74582AEA" w:rsidR="00427355" w:rsidRPr="00427355" w:rsidRDefault="000A423C" w:rsidP="00627E20">
      <w:r w:rsidRPr="00C56498">
        <w:t>The root</w:t>
      </w:r>
      <w:r w:rsidR="00C56498" w:rsidRPr="00C56498">
        <w:rPr>
          <w:rStyle w:val="Emphasis"/>
          <w:shd w:val="clear" w:color="auto" w:fill="FFFFFF"/>
        </w:rPr>
        <w:t xml:space="preserve"> </w:t>
      </w:r>
      <w:r w:rsidR="00766D82" w:rsidRPr="00766D82">
        <w:rPr>
          <w:rStyle w:val="Emphasis"/>
          <w:rFonts w:hint="cs"/>
          <w:i w:val="0"/>
          <w:iCs w:val="0"/>
          <w:shd w:val="clear" w:color="auto" w:fill="FFFFFF"/>
          <w:rtl/>
          <w:lang w:bidi="he-IL"/>
        </w:rPr>
        <w:t>ט.ר.ד</w:t>
      </w:r>
      <w:r w:rsidR="00766D82">
        <w:rPr>
          <w:i/>
          <w:iCs/>
        </w:rPr>
        <w:t xml:space="preserve"> </w:t>
      </w:r>
      <w:r w:rsidRPr="00C56498">
        <w:t>appears in two places in the book of Proverbs in the context of descriptions of continuous and unceasing rain. Proverbs 19:13 contains the phrase “</w:t>
      </w:r>
      <w:r w:rsidR="00C56498" w:rsidRPr="00C56498">
        <w:rPr>
          <w:rFonts w:eastAsiaTheme="minorHAnsi"/>
        </w:rPr>
        <w:t>endless dripping</w:t>
      </w:r>
      <w:r w:rsidRPr="00C56498">
        <w:t xml:space="preserve"> (</w:t>
      </w:r>
      <w:r w:rsidRPr="00C56498">
        <w:rPr>
          <w:rtl/>
        </w:rPr>
        <w:t>ודֶלֶף טוֹרד</w:t>
      </w:r>
      <w:r w:rsidRPr="00C56498">
        <w:t>)”</w:t>
      </w:r>
      <w:r w:rsidR="00C56498" w:rsidRPr="00C56498">
        <w:t xml:space="preserve"> and </w:t>
      </w:r>
      <w:r w:rsidRPr="00C56498">
        <w:t>Prov</w:t>
      </w:r>
      <w:r w:rsidR="00C56498" w:rsidRPr="00C56498">
        <w:t>erbs</w:t>
      </w:r>
      <w:r w:rsidRPr="00C56498">
        <w:t xml:space="preserve"> 27:15 </w:t>
      </w:r>
      <w:r w:rsidRPr="00427355">
        <w:t>reads, “</w:t>
      </w:r>
      <w:r w:rsidR="00C56498" w:rsidRPr="00427355">
        <w:t>an e</w:t>
      </w:r>
      <w:r w:rsidR="00C56498" w:rsidRPr="00427355">
        <w:rPr>
          <w:rFonts w:eastAsiaTheme="minorHAnsi"/>
        </w:rPr>
        <w:t>ndless dripping on a rainy day</w:t>
      </w:r>
      <w:r w:rsidRPr="00427355">
        <w:t xml:space="preserve"> (</w:t>
      </w:r>
      <w:r w:rsidRPr="00427355">
        <w:rPr>
          <w:rtl/>
        </w:rPr>
        <w:t>דֶלֶף טוֹרד ביום סגריר</w:t>
      </w:r>
      <w:r w:rsidRPr="00427355">
        <w:t>).”</w:t>
      </w:r>
      <w:r w:rsidRPr="00427355">
        <w:rPr>
          <w:rStyle w:val="FootnoteReference"/>
        </w:rPr>
        <w:footnoteReference w:id="60"/>
      </w:r>
      <w:r w:rsidRPr="00427355">
        <w:t xml:space="preserve"> This root occurs in a similar sense in the Tosefta as well. Thus, t. Kelim 7:3:</w:t>
      </w:r>
      <w:r w:rsidR="004A4FD0" w:rsidRPr="00427355">
        <w:t xml:space="preserve"> “ </w:t>
      </w:r>
      <w:r w:rsidR="00427355" w:rsidRPr="009574B5">
        <w:rPr>
          <w:color w:val="222222"/>
        </w:rPr>
        <w:t>would drip drop by drop</w:t>
      </w:r>
      <w:r w:rsidR="00427355" w:rsidRPr="00427355">
        <w:t xml:space="preserve"> </w:t>
      </w:r>
      <w:r w:rsidR="004A4FD0" w:rsidRPr="00427355">
        <w:t>(</w:t>
      </w:r>
      <w:r w:rsidRPr="00427355">
        <w:rPr>
          <w:rFonts w:hint="cs"/>
          <w:rtl/>
        </w:rPr>
        <w:t>היה טורד טפה אחר טפה</w:t>
      </w:r>
      <w:r w:rsidR="004A4FD0" w:rsidRPr="00427355">
        <w:t>)”</w:t>
      </w:r>
      <w:r w:rsidRPr="00427355">
        <w:t>;</w:t>
      </w:r>
      <w:r w:rsidRPr="00427355">
        <w:rPr>
          <w:rStyle w:val="FootnoteReference"/>
        </w:rPr>
        <w:footnoteReference w:id="61"/>
      </w:r>
      <w:r w:rsidRPr="00427355">
        <w:t xml:space="preserve"> t. Makhshirin 1:8: “</w:t>
      </w:r>
      <w:r w:rsidR="00427355" w:rsidRPr="009574B5">
        <w:rPr>
          <w:color w:val="222222"/>
        </w:rPr>
        <w:t>drips drop by drop</w:t>
      </w:r>
      <w:r w:rsidRPr="00427355">
        <w:t xml:space="preserve"> (</w:t>
      </w:r>
      <w:r w:rsidRPr="00427355">
        <w:rPr>
          <w:color w:val="000000"/>
          <w:rtl/>
        </w:rPr>
        <w:t>טורד טפה אחר טפה</w:t>
      </w:r>
      <w:r w:rsidRPr="00427355">
        <w:t>).”</w:t>
      </w:r>
      <w:r w:rsidRPr="00427355">
        <w:rPr>
          <w:rStyle w:val="FootnoteReference"/>
        </w:rPr>
        <w:footnoteReference w:id="62"/>
      </w:r>
    </w:p>
    <w:p w14:paraId="0E92F474" w14:textId="737ACE8F" w:rsidR="00A629AD" w:rsidRDefault="00A629AD" w:rsidP="003D0D8B">
      <w:r w:rsidRPr="00427355">
        <w:t>These sources highlight</w:t>
      </w:r>
      <w:r w:rsidRPr="00A629AD">
        <w:t xml:space="preserve"> the problematic nature of </w:t>
      </w:r>
      <w:r>
        <w:t xml:space="preserve">the interpretation of </w:t>
      </w:r>
      <w:r w:rsidRPr="00A629AD">
        <w:t xml:space="preserve">the term </w:t>
      </w:r>
      <w:r w:rsidRPr="00E52737">
        <w:rPr>
          <w:rFonts w:hint="cs"/>
          <w:rtl/>
        </w:rPr>
        <w:t>טרוד</w:t>
      </w:r>
      <w:r w:rsidRPr="00A629AD">
        <w:t xml:space="preserve"> as </w:t>
      </w:r>
      <w:r>
        <w:t>“s</w:t>
      </w:r>
      <w:r w:rsidRPr="00A629AD">
        <w:t>taccato</w:t>
      </w:r>
      <w:r>
        <w:t>”</w:t>
      </w:r>
      <w:r w:rsidR="004206C8">
        <w:t>,</w:t>
      </w:r>
      <w:r w:rsidRPr="00A629AD">
        <w:t xml:space="preserve"> and reinforce the claim that this term should be interpreted as a reference to a sound that is repeated </w:t>
      </w:r>
      <w:r>
        <w:t>persi</w:t>
      </w:r>
      <w:r w:rsidRPr="00A629AD">
        <w:t>stently and continuously,</w:t>
      </w:r>
      <w:r>
        <w:t xml:space="preserve"> i.e.,</w:t>
      </w:r>
      <w:r w:rsidRPr="00A629AD">
        <w:t xml:space="preserve"> </w:t>
      </w:r>
      <w:r>
        <w:t>o</w:t>
      </w:r>
      <w:r w:rsidRPr="00A629AD">
        <w:t>stinato</w:t>
      </w:r>
      <w:r w:rsidRPr="00A07227">
        <w:t>.</w:t>
      </w:r>
      <w:r w:rsidRPr="00A07227">
        <w:rPr>
          <w:rStyle w:val="FootnoteReference"/>
        </w:rPr>
        <w:footnoteReference w:id="63"/>
      </w:r>
      <w:r w:rsidRPr="00A07227">
        <w:t xml:space="preserve"> This proposal is further strengthened by the description in 1QM 8:11-12: “</w:t>
      </w:r>
      <w:r w:rsidR="00FD642A" w:rsidRPr="00A07227">
        <w:t xml:space="preserve">but on the tru[m]pets the priests shall continue to blow </w:t>
      </w:r>
      <w:r w:rsidR="00922BE4" w:rsidRPr="00A07227">
        <w:t>a very strong shrill</w:t>
      </w:r>
      <w:r w:rsidR="00F0272D" w:rsidRPr="00A07227">
        <w:t xml:space="preserve"> </w:t>
      </w:r>
      <w:r w:rsidR="00F0272D" w:rsidRPr="002D1D4C">
        <w:t>and</w:t>
      </w:r>
      <w:r w:rsidR="00427355" w:rsidRPr="002D1D4C">
        <w:t xml:space="preserve"> </w:t>
      </w:r>
      <w:r w:rsidR="00427355" w:rsidRPr="00283890">
        <w:rPr>
          <w:rtl/>
          <w:lang w:bidi="he-IL"/>
        </w:rPr>
        <w:t>טרוד</w:t>
      </w:r>
      <w:r w:rsidR="00427355" w:rsidRPr="002D1D4C">
        <w:t xml:space="preserve"> </w:t>
      </w:r>
      <w:r w:rsidR="00922BE4" w:rsidRPr="00A07227">
        <w:t>sound</w:t>
      </w:r>
      <w:r w:rsidR="00752E73" w:rsidRPr="00CD0ACC">
        <w:rPr>
          <w:rStyle w:val="FootnoteReference"/>
          <w:rtl/>
          <w:lang w:bidi="he-IL"/>
        </w:rPr>
        <w:footnoteReference w:id="64"/>
      </w:r>
      <w:r w:rsidR="00922BE4" w:rsidRPr="00A07227">
        <w:t xml:space="preserve"> </w:t>
      </w:r>
      <w:r w:rsidR="00FD642A" w:rsidRPr="00A07227">
        <w:t>(</w:t>
      </w:r>
      <w:r w:rsidR="00FD642A" w:rsidRPr="00A07227">
        <w:rPr>
          <w:rtl/>
        </w:rPr>
        <w:t>קול חד טרוד</w:t>
      </w:r>
      <w:r w:rsidR="00FD642A" w:rsidRPr="00A07227">
        <w:t xml:space="preserve">)… until they have </w:t>
      </w:r>
      <w:r w:rsidR="00CF721A">
        <w:t xml:space="preserve">cast </w:t>
      </w:r>
      <w:r w:rsidR="00AD4657">
        <w:t>[</w:t>
      </w:r>
      <w:r w:rsidR="00CF721A">
        <w:t>their weapons]</w:t>
      </w:r>
      <w:r w:rsidR="00FD642A" w:rsidRPr="00A07227">
        <w:t xml:space="preserve"> into the battle line of the enemy (</w:t>
      </w:r>
      <w:r w:rsidR="00FD642A" w:rsidRPr="00A07227">
        <w:rPr>
          <w:rtl/>
        </w:rPr>
        <w:t>עד השליכם למערכת האויב</w:t>
      </w:r>
      <w:r w:rsidR="00FD642A" w:rsidRPr="00A07227">
        <w:t xml:space="preserve">) seven times.” </w:t>
      </w:r>
      <w:r w:rsidRPr="00A07227">
        <w:t>According to this description,</w:t>
      </w:r>
      <w:r w:rsidR="00543CD3" w:rsidRPr="00A07227">
        <w:t xml:space="preserve"> the </w:t>
      </w:r>
      <w:r w:rsidR="00A5267E" w:rsidRPr="00A07227">
        <w:rPr>
          <w:lang w:bidi="he-IL"/>
        </w:rPr>
        <w:t>sound</w:t>
      </w:r>
      <w:r w:rsidR="00543CD3" w:rsidRPr="00A07227">
        <w:t xml:space="preserve"> of the trumpets extends continuously until the </w:t>
      </w:r>
      <w:r w:rsidR="000B459C">
        <w:t>warriors</w:t>
      </w:r>
      <w:r w:rsidR="000B459C" w:rsidRPr="00A07227">
        <w:t xml:space="preserve"> </w:t>
      </w:r>
      <w:commentRangeStart w:id="11"/>
      <w:commentRangeEnd w:id="11"/>
      <w:r w:rsidR="00731FB2">
        <w:rPr>
          <w:rStyle w:val="CommentReference"/>
        </w:rPr>
        <w:commentReference w:id="11"/>
      </w:r>
      <w:r w:rsidR="000B459C">
        <w:t>have cast</w:t>
      </w:r>
      <w:r w:rsidR="00FD642A" w:rsidRPr="00A07227">
        <w:t xml:space="preserve"> t</w:t>
      </w:r>
      <w:r w:rsidR="00543CD3" w:rsidRPr="00A07227">
        <w:t xml:space="preserve">heir weapons. In addition, in light of the evidence of 4Q267, it may be proposed that this note was </w:t>
      </w:r>
      <w:r w:rsidR="00543CD3">
        <w:t>not short and separated from the following sounds (</w:t>
      </w:r>
      <w:r w:rsidR="00E81DD1">
        <w:t xml:space="preserve">as in </w:t>
      </w:r>
      <w:r w:rsidR="00543CD3">
        <w:t xml:space="preserve">staccato), but was a relatively extended sound that would repeat persistently. If this interpretation is correct, then the second possibility suggested above is to be preferred. That is, the term </w:t>
      </w:r>
      <w:r w:rsidR="00543CD3">
        <w:rPr>
          <w:rFonts w:hint="cs"/>
          <w:rtl/>
          <w:lang w:bidi="he-IL"/>
        </w:rPr>
        <w:t>קול חד</w:t>
      </w:r>
      <w:r w:rsidR="00543CD3">
        <w:t xml:space="preserve"> should be understood to denote a very </w:t>
      </w:r>
      <w:r w:rsidR="00E81DD1">
        <w:t xml:space="preserve">loud </w:t>
      </w:r>
      <w:r w:rsidR="00543CD3">
        <w:t>sharp sound, possibly high-pitched</w:t>
      </w:r>
      <w:r w:rsidR="00FD642A">
        <w:t>, i.e.,</w:t>
      </w:r>
      <w:r w:rsidR="00543CD3">
        <w:t xml:space="preserve"> a shrill sound</w:t>
      </w:r>
      <w:r w:rsidR="00FD642A">
        <w:t xml:space="preserve">, </w:t>
      </w:r>
      <w:r w:rsidR="00543CD3">
        <w:t xml:space="preserve">and not as a rapid </w:t>
      </w:r>
      <w:r w:rsidR="00FD642A">
        <w:t xml:space="preserve">staccato </w:t>
      </w:r>
      <w:r w:rsidR="00543CD3">
        <w:t>sound.</w:t>
      </w:r>
      <w:r w:rsidR="00C764F8">
        <w:rPr>
          <w:rStyle w:val="FootnoteReference"/>
        </w:rPr>
        <w:footnoteReference w:id="65"/>
      </w:r>
    </w:p>
    <w:p w14:paraId="3F697193" w14:textId="495329DA" w:rsidR="00C764F8" w:rsidRDefault="00C764F8" w:rsidP="00B036AC">
      <w:r>
        <w:t xml:space="preserve">In conclusion, the collocation </w:t>
      </w:r>
      <w:r>
        <w:rPr>
          <w:rFonts w:hint="cs"/>
          <w:rtl/>
          <w:lang w:bidi="he-IL"/>
        </w:rPr>
        <w:t>קול חד</w:t>
      </w:r>
      <w:r w:rsidRPr="00C764F8">
        <w:rPr>
          <w:rFonts w:hint="cs"/>
          <w:rtl/>
        </w:rPr>
        <w:t xml:space="preserve"> </w:t>
      </w:r>
      <w:r w:rsidRPr="00E52737">
        <w:rPr>
          <w:rFonts w:hint="cs"/>
          <w:rtl/>
        </w:rPr>
        <w:t>טרוד</w:t>
      </w:r>
      <w:r>
        <w:t xml:space="preserve"> is best understood as a very loud</w:t>
      </w:r>
      <w:r w:rsidR="00A64247">
        <w:t xml:space="preserve"> and</w:t>
      </w:r>
      <w:r>
        <w:t xml:space="preserve"> </w:t>
      </w:r>
      <w:r w:rsidR="00A64247">
        <w:t xml:space="preserve">shrill </w:t>
      </w:r>
      <w:r>
        <w:t>sound, repeated persistently and without pause until the fighters have completed</w:t>
      </w:r>
      <w:r w:rsidR="004A4FD0">
        <w:t xml:space="preserve"> casting </w:t>
      </w:r>
      <w:r>
        <w:t>their weapons.</w:t>
      </w:r>
    </w:p>
    <w:p w14:paraId="24647D32" w14:textId="1DC07DE4" w:rsidR="00A629AD" w:rsidRDefault="004013F9" w:rsidP="002D1D4C">
      <w:r w:rsidRPr="00A16879">
        <w:rPr>
          <w:rFonts w:eastAsia="MS Mincho"/>
        </w:rPr>
        <w:t>&lt;H1&gt;</w:t>
      </w:r>
      <w:r w:rsidR="00A629AD" w:rsidRPr="00CA3E93">
        <w:t xml:space="preserve">The </w:t>
      </w:r>
      <w:r w:rsidR="00A629AD">
        <w:t>U</w:t>
      </w:r>
      <w:r w:rsidR="00A629AD" w:rsidRPr="00CA3E93">
        <w:t xml:space="preserve">se of </w:t>
      </w:r>
      <w:r w:rsidR="00A629AD">
        <w:t>Shofarot</w:t>
      </w:r>
      <w:r w:rsidR="00A629AD" w:rsidRPr="00CA3E93">
        <w:t xml:space="preserve"> </w:t>
      </w:r>
      <w:r w:rsidR="00A629AD">
        <w:t xml:space="preserve">Alongside the use of Trumpets </w:t>
      </w:r>
      <w:r w:rsidR="00A629AD" w:rsidRPr="00CA3E93">
        <w:t xml:space="preserve">in </w:t>
      </w:r>
      <w:r w:rsidR="00A629AD">
        <w:t>1QM</w:t>
      </w:r>
    </w:p>
    <w:p w14:paraId="0C65A9FE" w14:textId="0DFF5E77" w:rsidR="00BF6DDF" w:rsidRDefault="00BF6DDF">
      <w:r>
        <w:t xml:space="preserve">As noted above, trumpets are not the only wind instruments that serve the army of the Sons of Light. Alongside the scroll’s description of the priests’ use of trumpets, 1QM also contains a description of the use of shofarot by the </w:t>
      </w:r>
      <w:r w:rsidR="006D07D8" w:rsidRPr="002503E6">
        <w:t>L</w:t>
      </w:r>
      <w:r w:rsidRPr="002503E6">
        <w:t xml:space="preserve">evites and the </w:t>
      </w:r>
      <w:r w:rsidR="00824204" w:rsidRPr="002503E6">
        <w:t>people</w:t>
      </w:r>
      <w:r w:rsidRPr="002503E6">
        <w:t xml:space="preserve">. The </w:t>
      </w:r>
      <w:r>
        <w:t>first time that both instruments are mentioned together is in 1QM 7:9</w:t>
      </w:r>
      <w:r w:rsidRPr="005433A8">
        <w:rPr>
          <w:rFonts w:asciiTheme="majorBidi" w:hAnsiTheme="majorBidi"/>
          <w:rtl/>
        </w:rPr>
        <w:t>–</w:t>
      </w:r>
      <w:r>
        <w:t xml:space="preserve">14, in a passage describing the </w:t>
      </w:r>
      <w:r w:rsidR="00FD642A">
        <w:t xml:space="preserve">emergence </w:t>
      </w:r>
      <w:r>
        <w:t xml:space="preserve">of the priests and </w:t>
      </w:r>
      <w:r w:rsidR="006D07D8">
        <w:t>L</w:t>
      </w:r>
      <w:r>
        <w:t xml:space="preserve">evites from the ranks of the warriors, as part of the </w:t>
      </w:r>
      <w:r w:rsidR="00FD642A">
        <w:t xml:space="preserve">advance </w:t>
      </w:r>
      <w:r>
        <w:t xml:space="preserve">of the army of the Sons of Light </w:t>
      </w:r>
      <w:r w:rsidR="00FD642A">
        <w:t>in</w:t>
      </w:r>
      <w:r>
        <w:t xml:space="preserve">to </w:t>
      </w:r>
      <w:r w:rsidR="00FD642A">
        <w:t>battle</w:t>
      </w:r>
      <w:r>
        <w:t>.</w:t>
      </w:r>
      <w:r>
        <w:rPr>
          <w:rStyle w:val="FootnoteReference"/>
        </w:rPr>
        <w:footnoteReference w:id="66"/>
      </w:r>
      <w:r>
        <w:t xml:space="preserve"> The passage begins with a description of the priests’ </w:t>
      </w:r>
      <w:r w:rsidR="00FD642A">
        <w:t>advance</w:t>
      </w:r>
      <w:r>
        <w:t>, detailing their roles in the war:</w:t>
      </w:r>
    </w:p>
    <w:p w14:paraId="49E9DF43" w14:textId="16796B3C" w:rsidR="00FD642A" w:rsidRDefault="008F5523" w:rsidP="00B036AC">
      <w:pPr>
        <w:ind w:left="720" w:right="720"/>
      </w:pPr>
      <w:r>
        <w:t>T</w:t>
      </w:r>
      <w:r w:rsidR="00FD642A">
        <w:t xml:space="preserve">here </w:t>
      </w:r>
      <w:r w:rsidR="00FD642A" w:rsidRPr="002D1D4C">
        <w:t>shall</w:t>
      </w:r>
      <w:r w:rsidR="00FD642A">
        <w:t xml:space="preserve"> go forth from the middle opening … seven priests of the sons of Aaron… The one priest shall walk before all the men of the battle line to encourage them for battle. In the hands of the remaining six shall be the trumpets of assembly, the trumpets of memorial, the trumpets of the alarm, the trumpets of pursuit, and the trumpets of reassembly.</w:t>
      </w:r>
    </w:p>
    <w:p w14:paraId="259C8DE5" w14:textId="734D8C74" w:rsidR="00FD642A" w:rsidRDefault="00BF6DDF">
      <w:r>
        <w:t xml:space="preserve">Next, the scroll proceeds to describe the </w:t>
      </w:r>
      <w:r w:rsidR="006D07D8">
        <w:t>L</w:t>
      </w:r>
      <w:r>
        <w:t>evites</w:t>
      </w:r>
      <w:r w:rsidR="00FD642A">
        <w:t>’ advance</w:t>
      </w:r>
      <w:r>
        <w:t>:</w:t>
      </w:r>
    </w:p>
    <w:p w14:paraId="4CB24698" w14:textId="4B13AADF" w:rsidR="00BF6DDF" w:rsidRPr="00FD642A" w:rsidRDefault="00FD642A" w:rsidP="00283890">
      <w:pPr>
        <w:ind w:left="720" w:right="720"/>
      </w:pPr>
      <w:r>
        <w:t>When the priests go out into the gap between the battle lines, seven Levites shall go out with them. In their hands shall be seven trumpets of rams’ horns</w:t>
      </w:r>
      <w:r w:rsidR="000D3A09">
        <w:t xml:space="preserve"> (</w:t>
      </w:r>
      <w:r w:rsidR="000D3A09" w:rsidRPr="00E52737">
        <w:rPr>
          <w:rFonts w:hint="cs"/>
          <w:rtl/>
          <w:lang w:bidi="he-IL"/>
        </w:rPr>
        <w:t>שבעת שופרות היובל</w:t>
      </w:r>
      <w:r w:rsidR="000D3A09">
        <w:t>).”</w:t>
      </w:r>
    </w:p>
    <w:p w14:paraId="54F14EC5" w14:textId="5ACAF4F3" w:rsidR="00392E26" w:rsidRDefault="000D3A09" w:rsidP="002D1D4C">
      <w:r w:rsidRPr="00333E8E">
        <w:t xml:space="preserve">One of the characteristics of this description is the numerical equivalence of the seven priests and the seven </w:t>
      </w:r>
      <w:r w:rsidR="006D07D8">
        <w:t>L</w:t>
      </w:r>
      <w:r w:rsidRPr="00333E8E">
        <w:t>evites. According to Yadin, the choice of this number by the author of 1QM may derive from descriptions in Neh 12:41 (“a</w:t>
      </w:r>
      <w:r w:rsidRPr="00333E8E">
        <w:rPr>
          <w:rFonts w:eastAsiaTheme="minorHAnsi"/>
        </w:rPr>
        <w:t>nd the priests Eliakim, Maaseiah, Miniamin, Micaiah, Elioenai, Zechariah, Hananiah, with trumpets”</w:t>
      </w:r>
      <w:r w:rsidRPr="00333E8E">
        <w:t>); 1Chron 15:24 (</w:t>
      </w:r>
      <w:r w:rsidR="00333E8E">
        <w:t>“</w:t>
      </w:r>
      <w:r w:rsidRPr="00333E8E">
        <w:rPr>
          <w:rFonts w:eastAsiaTheme="minorHAnsi"/>
        </w:rPr>
        <w:t>Shebaniah, Josaphat, Nethanel, Amasai, Zechariah, Benaiah, and Eliezer the priests sounded the trumpets</w:t>
      </w:r>
      <w:r w:rsidR="00333E8E">
        <w:rPr>
          <w:rFonts w:eastAsiaTheme="minorHAnsi"/>
        </w:rPr>
        <w:t>”</w:t>
      </w:r>
      <w:r w:rsidRPr="00333E8E">
        <w:t>); and Josh 6:4 (</w:t>
      </w:r>
      <w:r w:rsidR="00333E8E">
        <w:t>“</w:t>
      </w:r>
      <w:r w:rsidR="00333E8E" w:rsidRPr="00333E8E">
        <w:rPr>
          <w:rFonts w:eastAsiaTheme="minorHAnsi"/>
        </w:rPr>
        <w:t>seven priests will carry seven ram’s horns preceding the Ark. On the seventh day, march around the city seven times, with the priests blowing the horns</w:t>
      </w:r>
      <w:r w:rsidR="00333E8E">
        <w:rPr>
          <w:rFonts w:eastAsiaTheme="minorHAnsi"/>
        </w:rPr>
        <w:t>”</w:t>
      </w:r>
      <w:r w:rsidRPr="00333E8E">
        <w:t>).</w:t>
      </w:r>
      <w:r w:rsidR="00333E8E" w:rsidRPr="00333E8E">
        <w:rPr>
          <w:rStyle w:val="FootnoteReference"/>
        </w:rPr>
        <w:footnoteReference w:id="67"/>
      </w:r>
      <w:r w:rsidR="00333E8E">
        <w:t xml:space="preserve"> However, alongside the numerical similarity, there are also some differences between these sources and the description in 1QM:</w:t>
      </w:r>
    </w:p>
    <w:p w14:paraId="0C6AE7C7" w14:textId="12386F9D" w:rsidR="00333E8E" w:rsidRDefault="003B7D8C" w:rsidP="003B7D8C">
      <w:pPr>
        <w:ind w:left="576"/>
      </w:pPr>
      <w:r>
        <w:t xml:space="preserve">1. </w:t>
      </w:r>
      <w:r w:rsidR="00333E8E">
        <w:t>In contrast to 1QM, the descriptions in Nehemiah and 1Chronicles do not appear in a military context.</w:t>
      </w:r>
    </w:p>
    <w:p w14:paraId="3B22DE44" w14:textId="3723E9D7" w:rsidR="00333E8E" w:rsidRDefault="002B60D3" w:rsidP="003B7D8C">
      <w:pPr>
        <w:ind w:left="576"/>
      </w:pPr>
      <w:r>
        <w:t xml:space="preserve">2. </w:t>
      </w:r>
      <w:r w:rsidR="00333E8E">
        <w:t xml:space="preserve">Whereas Nehemiah and 1Chronicles describe seven priests carrying trumpets, 1QM describes only six priests carrying trumpets with </w:t>
      </w:r>
      <w:r w:rsidR="00B86593">
        <w:t>the seventh priest entrusted with strengthening the spirit and morale of the fighters.</w:t>
      </w:r>
    </w:p>
    <w:p w14:paraId="0823E1AB" w14:textId="02466C82" w:rsidR="00B86593" w:rsidRDefault="002B60D3" w:rsidP="003B7D8C">
      <w:pPr>
        <w:ind w:left="576"/>
      </w:pPr>
      <w:r>
        <w:t xml:space="preserve">3. </w:t>
      </w:r>
      <w:r w:rsidR="00B86593">
        <w:t>The description in Nehemiah and 1Chronicles does not contain any reference to the various types of trumpets, while the six priests in 1QM carry five different types of trumpets.</w:t>
      </w:r>
    </w:p>
    <w:p w14:paraId="557D36F2" w14:textId="77CEB598" w:rsidR="00B86593" w:rsidRDefault="002B60D3" w:rsidP="003B7D8C">
      <w:pPr>
        <w:ind w:left="576"/>
      </w:pPr>
      <w:r>
        <w:t xml:space="preserve">4. </w:t>
      </w:r>
      <w:r w:rsidR="004E0D03">
        <w:t>T</w:t>
      </w:r>
      <w:r w:rsidR="00B86593">
        <w:t xml:space="preserve">he priests carry the shofarot in Joshua, </w:t>
      </w:r>
      <w:r w:rsidR="004E0D03">
        <w:t xml:space="preserve">whereas </w:t>
      </w:r>
      <w:r w:rsidR="00B86593">
        <w:t xml:space="preserve">in 1QM it is the </w:t>
      </w:r>
      <w:r w:rsidR="006D07D8">
        <w:t>L</w:t>
      </w:r>
      <w:r w:rsidR="00B86593">
        <w:t>evites.</w:t>
      </w:r>
    </w:p>
    <w:p w14:paraId="5EF7D055" w14:textId="0EA4A7C2" w:rsidR="00B86593" w:rsidRDefault="00B86593">
      <w:r w:rsidRPr="00B86593">
        <w:t xml:space="preserve">Moreover, nowhere in the Hebrew Bible is there a description of the use of trumpets alongside shofarot, </w:t>
      </w:r>
      <w:r>
        <w:t>as is found in 1QM. This and other differences</w:t>
      </w:r>
      <w:r w:rsidR="0000151C">
        <w:t xml:space="preserve"> </w:t>
      </w:r>
      <w:r>
        <w:t>indicate that alongside the biblical influence upon the description of trumpets in 1QM, the scroll contains other elements that demonstrate its author’s independence from scripture with respect to the use of trumpets in battle.</w:t>
      </w:r>
      <w:r w:rsidR="00110CCE">
        <w:rPr>
          <w:rStyle w:val="FootnoteReference"/>
        </w:rPr>
        <w:footnoteReference w:id="68"/>
      </w:r>
    </w:p>
    <w:p w14:paraId="148091C1" w14:textId="52DB7846" w:rsidR="00C330FB" w:rsidRPr="00C330FB" w:rsidRDefault="002B60D3" w:rsidP="002D1D4C">
      <w:r w:rsidRPr="00A16879">
        <w:rPr>
          <w:rFonts w:eastAsia="MS Mincho"/>
        </w:rPr>
        <w:t>&lt;H1&gt;</w:t>
      </w:r>
      <w:r w:rsidR="00C330FB" w:rsidRPr="00C330FB">
        <w:t xml:space="preserve">Description of the </w:t>
      </w:r>
      <w:r w:rsidR="006D07D8">
        <w:t>U</w:t>
      </w:r>
      <w:r w:rsidR="00C330FB" w:rsidRPr="00C330FB">
        <w:t xml:space="preserve">se of </w:t>
      </w:r>
      <w:r w:rsidR="006D07D8">
        <w:t>T</w:t>
      </w:r>
      <w:r w:rsidR="00C330FB" w:rsidRPr="00C330FB">
        <w:t xml:space="preserve">rumpets and </w:t>
      </w:r>
      <w:r w:rsidR="006D07D8">
        <w:t>Shofarot</w:t>
      </w:r>
      <w:r w:rsidR="00C330FB" w:rsidRPr="00C330FB">
        <w:t xml:space="preserve"> on the </w:t>
      </w:r>
      <w:r w:rsidR="006D07D8">
        <w:t>B</w:t>
      </w:r>
      <w:r w:rsidR="00C330FB" w:rsidRPr="00C330FB">
        <w:t xml:space="preserve">attlefield in </w:t>
      </w:r>
      <w:r w:rsidR="006D07D8">
        <w:t>1QM</w:t>
      </w:r>
    </w:p>
    <w:p w14:paraId="236448EB" w14:textId="30BDD6B9" w:rsidR="00C330FB" w:rsidRPr="00C330FB" w:rsidRDefault="00C330FB">
      <w:r w:rsidRPr="00C330FB">
        <w:t xml:space="preserve">The </w:t>
      </w:r>
      <w:r w:rsidR="00E3696C">
        <w:t xml:space="preserve">combined </w:t>
      </w:r>
      <w:r w:rsidRPr="00C330FB">
        <w:t xml:space="preserve">use of trumpets and </w:t>
      </w:r>
      <w:r w:rsidR="006D07D8">
        <w:t>shofarot</w:t>
      </w:r>
      <w:r w:rsidRPr="00C330FB">
        <w:t xml:space="preserve"> on the battlefield is described in the scroll in four places. These descriptions attest to the unique role given to each of the </w:t>
      </w:r>
      <w:r w:rsidR="006D07D8">
        <w:t>instrument</w:t>
      </w:r>
      <w:r w:rsidRPr="00C330FB">
        <w:t>s</w:t>
      </w:r>
      <w:r w:rsidR="006D07D8">
        <w:t xml:space="preserve"> in battle</w:t>
      </w:r>
      <w:r w:rsidRPr="00C330FB">
        <w:t xml:space="preserve">. The trumpets are used by the priests to direct the fighting forces while the </w:t>
      </w:r>
      <w:r w:rsidR="006D07D8">
        <w:t>shofarot</w:t>
      </w:r>
      <w:r w:rsidRPr="00C330FB">
        <w:t xml:space="preserve"> are used by the Levites and the people to cause a psychological effect on the enemy (</w:t>
      </w:r>
      <w:r w:rsidR="006D07D8">
        <w:t xml:space="preserve">“to </w:t>
      </w:r>
      <w:r w:rsidRPr="00C330FB">
        <w:t>mel</w:t>
      </w:r>
      <w:r w:rsidR="006D07D8">
        <w:t xml:space="preserve">t </w:t>
      </w:r>
      <w:r w:rsidRPr="00C330FB">
        <w:t xml:space="preserve">the heart of </w:t>
      </w:r>
      <w:r w:rsidR="006D07D8">
        <w:t>the</w:t>
      </w:r>
      <w:r w:rsidRPr="00C330FB">
        <w:t xml:space="preserve"> enemy</w:t>
      </w:r>
      <w:r w:rsidR="006D07D8">
        <w:t>”</w:t>
      </w:r>
      <w:r w:rsidRPr="00C330FB">
        <w:t>).</w:t>
      </w:r>
      <w:r w:rsidR="006D07D8">
        <w:rPr>
          <w:rStyle w:val="FootnoteReference"/>
        </w:rPr>
        <w:footnoteReference w:id="69"/>
      </w:r>
    </w:p>
    <w:p w14:paraId="0B8F4627" w14:textId="123C3AAE" w:rsidR="009E0B98" w:rsidRDefault="002B60D3" w:rsidP="00B036AC">
      <w:r>
        <w:t xml:space="preserve">1. </w:t>
      </w:r>
      <w:r w:rsidR="00757786">
        <w:t>1QM</w:t>
      </w:r>
      <w:r w:rsidR="00C330FB" w:rsidRPr="00757786">
        <w:t xml:space="preserve"> </w:t>
      </w:r>
      <w:r w:rsidR="00757786">
        <w:t>8:</w:t>
      </w:r>
      <w:r w:rsidR="00C330FB" w:rsidRPr="00757786">
        <w:t>8</w:t>
      </w:r>
      <w:r w:rsidR="00757786" w:rsidRPr="00257E07">
        <w:rPr>
          <w:rFonts w:asciiTheme="majorBidi" w:hAnsiTheme="majorBidi"/>
          <w:sz w:val="20"/>
          <w:szCs w:val="20"/>
        </w:rPr>
        <w:t>–</w:t>
      </w:r>
      <w:r w:rsidR="00C330FB" w:rsidRPr="00757786">
        <w:t>12:</w:t>
      </w:r>
    </w:p>
    <w:p w14:paraId="3E02289F" w14:textId="3C140B0A" w:rsidR="00757786" w:rsidRDefault="009E0B98" w:rsidP="00B036AC">
      <w:pPr>
        <w:ind w:left="576"/>
        <w:rPr>
          <w:rtl/>
        </w:rPr>
      </w:pPr>
      <w:r>
        <w:t xml:space="preserve">Then the priests shall blow on the six </w:t>
      </w:r>
      <w:r w:rsidRPr="00C71330">
        <w:t xml:space="preserve">trumpets of the slain </w:t>
      </w:r>
      <w:r w:rsidR="0038149B" w:rsidRPr="00C71330">
        <w:t xml:space="preserve">a very strong shrill sound which repeats persistently and sequentially </w:t>
      </w:r>
      <w:r w:rsidRPr="00C71330">
        <w:t xml:space="preserve">to direct the battle, and the Levites and all the people with </w:t>
      </w:r>
      <w:r w:rsidR="00D45153" w:rsidRPr="00C71330">
        <w:t>shofarot</w:t>
      </w:r>
      <w:r w:rsidRPr="00C71330">
        <w:t xml:space="preserve"> shall blow a great battle alarm together in order to melt the heart of the enemy. With the sound of the alarm</w:t>
      </w:r>
      <w:r w:rsidR="009166B9">
        <w:t>,</w:t>
      </w:r>
      <w:r w:rsidRPr="00C71330">
        <w:t xml:space="preserve"> the battle darts shall fly out to bring down the slain. Then the sound of the </w:t>
      </w:r>
      <w:r w:rsidR="00D45153" w:rsidRPr="00C71330">
        <w:t>shofarot</w:t>
      </w:r>
      <w:r w:rsidRPr="00C71330">
        <w:t xml:space="preserve"> </w:t>
      </w:r>
      <w:r w:rsidR="008A1B3F" w:rsidRPr="00C71330">
        <w:rPr>
          <w:rFonts w:hint="cs"/>
          <w:rtl/>
          <w:lang w:bidi="he-IL"/>
        </w:rPr>
        <w:t>יחישו</w:t>
      </w:r>
      <w:r w:rsidRPr="00C71330">
        <w:t>,</w:t>
      </w:r>
      <w:r w:rsidR="00C71330">
        <w:rPr>
          <w:rStyle w:val="FootnoteReference"/>
        </w:rPr>
        <w:footnoteReference w:id="70"/>
      </w:r>
      <w:r w:rsidRPr="00C71330">
        <w:t xml:space="preserve"> but on the tru[m]pets the priests shall continue to blow </w:t>
      </w:r>
      <w:r w:rsidR="00C01140" w:rsidRPr="00C71330">
        <w:t xml:space="preserve">a very strong shrill sound which repeats persistently and sequentially </w:t>
      </w:r>
      <w:r w:rsidRPr="00C71330">
        <w:t xml:space="preserve">to direct the signals of battle until they have hurled into the battle line </w:t>
      </w:r>
      <w:r w:rsidRPr="00C71330">
        <w:rPr>
          <w:i/>
          <w:iCs/>
        </w:rPr>
        <w:t>vacat</w:t>
      </w:r>
      <w:r w:rsidRPr="00C71330">
        <w:t xml:space="preserve"> of the enemy seven times</w:t>
      </w:r>
      <w:r>
        <w:t>.</w:t>
      </w:r>
    </w:p>
    <w:p w14:paraId="5E8F4982" w14:textId="0C1C39AF" w:rsidR="009E0B98" w:rsidRDefault="002B60D3" w:rsidP="00B036AC">
      <w:r>
        <w:t xml:space="preserve">2. </w:t>
      </w:r>
      <w:r w:rsidR="00757786">
        <w:t>1QM 9:1</w:t>
      </w:r>
      <w:r w:rsidR="00757786" w:rsidRPr="002D1D4C">
        <w:rPr>
          <w:rFonts w:asciiTheme="majorBidi" w:hAnsiTheme="majorBidi"/>
          <w:sz w:val="20"/>
          <w:szCs w:val="20"/>
        </w:rPr>
        <w:t>–</w:t>
      </w:r>
      <w:r w:rsidR="00757786">
        <w:t>2:</w:t>
      </w:r>
    </w:p>
    <w:p w14:paraId="760F36D9" w14:textId="704388FE" w:rsidR="00C71330" w:rsidRPr="009E0B98" w:rsidRDefault="009E0B98" w:rsidP="00B036AC">
      <w:pPr>
        <w:ind w:left="576"/>
      </w:pPr>
      <w:r>
        <w:t>their hands shall begin to bring down the slain, and all the people sh</w:t>
      </w:r>
      <w:r w:rsidRPr="00C71330">
        <w:t xml:space="preserve">all </w:t>
      </w:r>
      <w:r w:rsidR="009773FB" w:rsidRPr="00C71330">
        <w:rPr>
          <w:rFonts w:hint="cs"/>
          <w:rtl/>
          <w:lang w:bidi="he-IL"/>
        </w:rPr>
        <w:t>יחשו</w:t>
      </w:r>
      <w:r w:rsidR="009773FB" w:rsidRPr="00C71330">
        <w:t xml:space="preserve"> </w:t>
      </w:r>
      <w:r w:rsidRPr="00C71330">
        <w:t>th</w:t>
      </w:r>
      <w:r>
        <w:t>e sound of alarm, but the priests shall continue sounding on the trumpets of the slain to direct the fighting until the enemy is defeated and turns in retreat.</w:t>
      </w:r>
    </w:p>
    <w:p w14:paraId="14ED3281" w14:textId="551B3551" w:rsidR="004C1C95" w:rsidRPr="004C1C95" w:rsidRDefault="002B60D3" w:rsidP="00B036AC">
      <w:r>
        <w:t xml:space="preserve">3. </w:t>
      </w:r>
      <w:r w:rsidR="00C330FB" w:rsidRPr="00C61A72">
        <w:t>1</w:t>
      </w:r>
      <w:r w:rsidR="00C61A72" w:rsidRPr="00C61A72">
        <w:t>QM 16:7–9</w:t>
      </w:r>
      <w:r>
        <w:t>:</w:t>
      </w:r>
    </w:p>
    <w:p w14:paraId="14D31A16" w14:textId="04BCEAB0" w:rsidR="004C1C95" w:rsidRPr="004C1C95" w:rsidRDefault="004C1C95" w:rsidP="00B036AC">
      <w:pPr>
        <w:ind w:left="576"/>
      </w:pPr>
      <w:r w:rsidRPr="00C71330">
        <w:t xml:space="preserve">Then the six [ the tr]umpets of the slain </w:t>
      </w:r>
      <w:r w:rsidR="009878C4" w:rsidRPr="00C71330">
        <w:t xml:space="preserve">a very strong shrill sound which repeats persistently and sequentially </w:t>
      </w:r>
      <w:r w:rsidRPr="00C71330">
        <w:t xml:space="preserve">to direct the fighting. The Levites and all the people with </w:t>
      </w:r>
      <w:r w:rsidR="009878C4" w:rsidRPr="00C71330">
        <w:t>shofarot</w:t>
      </w:r>
      <w:r w:rsidRPr="00C71330">
        <w:t xml:space="preserve"> shall blow [ ], a loud noise. As the sound goes forth, the infantry shall begin to bring down the slain of the Kittim, and all the people </w:t>
      </w:r>
      <w:r w:rsidR="009878C4" w:rsidRPr="00C71330">
        <w:rPr>
          <w:rFonts w:hint="cs"/>
          <w:rtl/>
          <w:lang w:bidi="he-IL"/>
        </w:rPr>
        <w:t>יחשו</w:t>
      </w:r>
      <w:r w:rsidRPr="00C71330">
        <w:t xml:space="preserve"> the signal, [but the priest]s shall continue blowing on the trumpets of the slain and the battle shall prevail against the Kittim.</w:t>
      </w:r>
      <w:commentRangeStart w:id="12"/>
      <w:r w:rsidR="00B3780D" w:rsidRPr="00C71330">
        <w:rPr>
          <w:rStyle w:val="FootnoteReference"/>
        </w:rPr>
        <w:footnoteReference w:id="71"/>
      </w:r>
      <w:commentRangeEnd w:id="12"/>
      <w:r w:rsidR="005E5F67" w:rsidRPr="00C71330">
        <w:rPr>
          <w:rStyle w:val="CommentReference"/>
        </w:rPr>
        <w:commentReference w:id="12"/>
      </w:r>
    </w:p>
    <w:p w14:paraId="1920CA9C" w14:textId="0FD9520D" w:rsidR="0082125C" w:rsidRPr="0082125C" w:rsidRDefault="002B60D3" w:rsidP="00B036AC">
      <w:r>
        <w:t xml:space="preserve">4. </w:t>
      </w:r>
      <w:r w:rsidR="00C61A72" w:rsidRPr="0082125C">
        <w:t>1QM 17:12</w:t>
      </w:r>
      <w:r w:rsidR="00C61A72" w:rsidRPr="0082125C">
        <w:rPr>
          <w:rFonts w:asciiTheme="majorBidi" w:hAnsiTheme="majorBidi"/>
        </w:rPr>
        <w:t>–</w:t>
      </w:r>
      <w:r w:rsidR="00C61A72" w:rsidRPr="0082125C">
        <w:t>14</w:t>
      </w:r>
      <w:r>
        <w:t>:</w:t>
      </w:r>
    </w:p>
    <w:p w14:paraId="5CF834FF" w14:textId="2A2224D9" w:rsidR="00E3696C" w:rsidRDefault="0082125C" w:rsidP="00B036AC">
      <w:pPr>
        <w:ind w:left="576"/>
      </w:pPr>
      <w:r w:rsidRPr="002503E6">
        <w:t xml:space="preserve">Then the priests shall blow on the trumpets </w:t>
      </w:r>
      <w:r w:rsidR="00FE771A" w:rsidRPr="002503E6">
        <w:t xml:space="preserve">of the slain </w:t>
      </w:r>
      <w:r w:rsidRPr="002503E6">
        <w:t xml:space="preserve">[and the Levites and the al]l the people with </w:t>
      </w:r>
      <w:r w:rsidR="00007986" w:rsidRPr="002503E6">
        <w:rPr>
          <w:lang w:bidi="he-IL"/>
        </w:rPr>
        <w:t>shofarot</w:t>
      </w:r>
      <w:r w:rsidRPr="002503E6">
        <w:t xml:space="preserve"> shall sound a signal for battle. The infantry shall attack the army of the Kittim, [and as the </w:t>
      </w:r>
      <w:r w:rsidRPr="007A41B6">
        <w:t>soun]d [of the si]gnal [goes forth], they shall begin to bring down their slain. Then all the peopl</w:t>
      </w:r>
      <w:r w:rsidR="007A41B6" w:rsidRPr="007A41B6">
        <w:t>e s</w:t>
      </w:r>
      <w:r w:rsidR="00FE7624" w:rsidRPr="007A41B6">
        <w:t>hall pause the signal</w:t>
      </w:r>
      <w:r w:rsidR="007A41B6" w:rsidRPr="007A41B6">
        <w:t>/</w:t>
      </w:r>
      <w:r w:rsidR="00FE7624" w:rsidRPr="007A41B6">
        <w:t>lower the pitch of the signal</w:t>
      </w:r>
      <w:r w:rsidRPr="007A41B6">
        <w:t>,</w:t>
      </w:r>
      <w:r w:rsidR="007A41B6" w:rsidRPr="007A41B6">
        <w:rPr>
          <w:rStyle w:val="FootnoteReference"/>
        </w:rPr>
        <w:footnoteReference w:id="72"/>
      </w:r>
      <w:r w:rsidRPr="007A41B6">
        <w:t xml:space="preserve"> while the priests continuously </w:t>
      </w:r>
      <w:r w:rsidRPr="002503E6">
        <w:t>blow on [the trumpets of the slai]n</w:t>
      </w:r>
      <w:r w:rsidR="00ED7AE5" w:rsidRPr="002503E6">
        <w:t>.</w:t>
      </w:r>
    </w:p>
    <w:p w14:paraId="2E592B2A" w14:textId="1517837A" w:rsidR="00C330FB" w:rsidRPr="00A24C22" w:rsidRDefault="00C330FB">
      <w:r w:rsidRPr="00C330FB">
        <w:t>The distinction between the two</w:t>
      </w:r>
      <w:r w:rsidR="00E3696C">
        <w:t xml:space="preserve"> types of</w:t>
      </w:r>
      <w:r w:rsidRPr="00C330FB">
        <w:t xml:space="preserve"> </w:t>
      </w:r>
      <w:r w:rsidRPr="002503E6">
        <w:t xml:space="preserve">instruments is also reflected on the acoustic level. The trumpets sound a specific </w:t>
      </w:r>
      <w:r w:rsidR="00E3696C" w:rsidRPr="002503E6">
        <w:t xml:space="preserve">tonal </w:t>
      </w:r>
      <w:r w:rsidRPr="002503E6">
        <w:t>signal (</w:t>
      </w:r>
      <w:r w:rsidR="003975D3" w:rsidRPr="002503E6">
        <w:t xml:space="preserve">a very strong shrill sound which repeats persistently and sequentially, </w:t>
      </w:r>
      <w:r w:rsidR="00E3696C" w:rsidRPr="002503E6">
        <w:rPr>
          <w:rFonts w:hint="cs"/>
          <w:rtl/>
        </w:rPr>
        <w:t>קול חד טרוד</w:t>
      </w:r>
      <w:r w:rsidRPr="002503E6">
        <w:t xml:space="preserve">), </w:t>
      </w:r>
      <w:r w:rsidR="00E3696C" w:rsidRPr="002503E6">
        <w:t xml:space="preserve">whose purpose </w:t>
      </w:r>
      <w:r w:rsidR="00E3696C">
        <w:t xml:space="preserve">is </w:t>
      </w:r>
      <w:r w:rsidRPr="00C330FB">
        <w:t xml:space="preserve">to direct the warriors </w:t>
      </w:r>
      <w:r w:rsidR="00E3696C">
        <w:t>by means of a</w:t>
      </w:r>
      <w:r w:rsidRPr="00C330FB">
        <w:t xml:space="preserve"> </w:t>
      </w:r>
      <w:r w:rsidR="00E3696C">
        <w:t xml:space="preserve">clear and </w:t>
      </w:r>
      <w:r w:rsidRPr="00C330FB">
        <w:t xml:space="preserve">distinct sound. On the other hand, </w:t>
      </w:r>
      <w:r w:rsidR="00E3696C">
        <w:t xml:space="preserve">the function of shofarot is </w:t>
      </w:r>
      <w:r w:rsidRPr="00C330FB">
        <w:t xml:space="preserve">to </w:t>
      </w:r>
      <w:r w:rsidR="00E3696C">
        <w:t>arouse</w:t>
      </w:r>
      <w:r w:rsidRPr="00C330FB">
        <w:t xml:space="preserve"> fear and </w:t>
      </w:r>
      <w:r w:rsidR="00E3696C">
        <w:t xml:space="preserve">dread </w:t>
      </w:r>
      <w:r w:rsidRPr="00C330FB">
        <w:t xml:space="preserve">among the enemy, </w:t>
      </w:r>
      <w:r w:rsidR="00447447">
        <w:t xml:space="preserve">and 1QM labels the </w:t>
      </w:r>
      <w:r w:rsidRPr="00C330FB">
        <w:t>sound</w:t>
      </w:r>
      <w:r w:rsidR="00447447">
        <w:t>s of their</w:t>
      </w:r>
      <w:r w:rsidRPr="00C330FB">
        <w:t xml:space="preserve"> war cries </w:t>
      </w:r>
      <w:r w:rsidR="00447447">
        <w:t>with terms</w:t>
      </w:r>
      <w:r w:rsidRPr="00C330FB">
        <w:t xml:space="preserve"> indicat</w:t>
      </w:r>
      <w:r w:rsidR="00447447">
        <w:t>ing</w:t>
      </w:r>
      <w:r w:rsidRPr="00C330FB">
        <w:t xml:space="preserve"> their great power </w:t>
      </w:r>
      <w:r w:rsidR="00447447">
        <w:t>rather than</w:t>
      </w:r>
      <w:r w:rsidRPr="00C330FB">
        <w:t xml:space="preserve"> musical qualities such </w:t>
      </w:r>
      <w:r w:rsidRPr="00A24C22">
        <w:t>as pitch or duration</w:t>
      </w:r>
      <w:r w:rsidR="00447447" w:rsidRPr="00A24C22">
        <w:t>. Thus, 1QM 8:10, “</w:t>
      </w:r>
      <w:r w:rsidR="00ED7AE5" w:rsidRPr="00A24C22">
        <w:t xml:space="preserve">a great battle alarm </w:t>
      </w:r>
      <w:r w:rsidR="00447447" w:rsidRPr="00A24C22">
        <w:t>(</w:t>
      </w:r>
      <w:r w:rsidR="00447447" w:rsidRPr="00A24C22">
        <w:rPr>
          <w:rtl/>
        </w:rPr>
        <w:t>תרועת מלחמה גדולה</w:t>
      </w:r>
      <w:r w:rsidR="00447447" w:rsidRPr="00A24C22">
        <w:t>)”;</w:t>
      </w:r>
      <w:r w:rsidR="00703470" w:rsidRPr="00A24C22">
        <w:rPr>
          <w:rStyle w:val="FootnoteReference"/>
        </w:rPr>
        <w:footnoteReference w:id="73"/>
      </w:r>
      <w:r w:rsidR="00447447" w:rsidRPr="00A24C22">
        <w:t xml:space="preserve"> </w:t>
      </w:r>
      <w:r w:rsidR="00B2127C" w:rsidRPr="00A24C22">
        <w:t>1QM 16:8 “</w:t>
      </w:r>
      <w:r w:rsidR="00ED7AE5" w:rsidRPr="00A24C22">
        <w:t>a loud</w:t>
      </w:r>
      <w:r w:rsidR="00BB4373" w:rsidRPr="00A24C22">
        <w:t xml:space="preserve"> battle alarm</w:t>
      </w:r>
      <w:r w:rsidR="00B2127C" w:rsidRPr="00A24C22">
        <w:t xml:space="preserve"> (</w:t>
      </w:r>
      <w:r w:rsidR="00B2127C" w:rsidRPr="00A24C22">
        <w:rPr>
          <w:rtl/>
        </w:rPr>
        <w:t>תרוע]ת מ[לחמה] בקול גדול</w:t>
      </w:r>
      <w:r w:rsidR="00B2127C" w:rsidRPr="00A24C22">
        <w:t>)”;</w:t>
      </w:r>
      <w:r w:rsidR="00B2127C" w:rsidRPr="00A24C22">
        <w:rPr>
          <w:rStyle w:val="FootnoteReference"/>
        </w:rPr>
        <w:footnoteReference w:id="74"/>
      </w:r>
      <w:r w:rsidR="00B2127C" w:rsidRPr="00A24C22">
        <w:t xml:space="preserve"> 1QM 17:13, </w:t>
      </w:r>
      <w:r w:rsidR="00ED7AE5" w:rsidRPr="00A24C22">
        <w:t>“</w:t>
      </w:r>
      <w:r w:rsidR="00751CC2" w:rsidRPr="00A24C22">
        <w:t xml:space="preserve">battle alarm </w:t>
      </w:r>
      <w:r w:rsidR="00B2127C" w:rsidRPr="00A24C22">
        <w:t>(</w:t>
      </w:r>
      <w:r w:rsidR="00B2127C" w:rsidRPr="00A24C22">
        <w:rPr>
          <w:rtl/>
        </w:rPr>
        <w:t>תרועת מלחמה</w:t>
      </w:r>
      <w:r w:rsidR="00B2127C" w:rsidRPr="00A24C22">
        <w:t>).”</w:t>
      </w:r>
    </w:p>
    <w:p w14:paraId="21B5A2F4" w14:textId="4B621F49" w:rsidR="00110CCE" w:rsidRPr="00A24C22" w:rsidRDefault="00C330FB">
      <w:r w:rsidRPr="00A24C22">
        <w:t xml:space="preserve">In my opinion, the </w:t>
      </w:r>
      <w:r w:rsidR="009344BF" w:rsidRPr="00A24C22">
        <w:t>reason the priests use</w:t>
      </w:r>
      <w:r w:rsidRPr="00A24C22">
        <w:t xml:space="preserve"> six trumpets is to </w:t>
      </w:r>
      <w:r w:rsidR="009344BF" w:rsidRPr="00A24C22">
        <w:t>amplify</w:t>
      </w:r>
      <w:r w:rsidRPr="00A24C22">
        <w:t xml:space="preserve"> </w:t>
      </w:r>
      <w:r w:rsidR="002B60D3">
        <w:t>the sound</w:t>
      </w:r>
      <w:r w:rsidRPr="00A24C22">
        <w:t xml:space="preserve"> </w:t>
      </w:r>
      <w:r w:rsidR="009344BF" w:rsidRPr="00A24C22">
        <w:t xml:space="preserve">to be </w:t>
      </w:r>
      <w:r w:rsidRPr="00A24C22">
        <w:t xml:space="preserve">loud enough to be heard clearly, in parallel with the loud </w:t>
      </w:r>
      <w:r w:rsidR="002B60D3">
        <w:t xml:space="preserve">sounds issued </w:t>
      </w:r>
      <w:r w:rsidR="009344BF" w:rsidRPr="00A24C22">
        <w:t>by</w:t>
      </w:r>
      <w:r w:rsidRPr="00A24C22">
        <w:t xml:space="preserve"> the </w:t>
      </w:r>
      <w:r w:rsidR="00037B10" w:rsidRPr="00A24C22">
        <w:t>shofarot</w:t>
      </w:r>
      <w:r w:rsidRPr="00A24C22">
        <w:t>.</w:t>
      </w:r>
    </w:p>
    <w:p w14:paraId="70FB9CA5" w14:textId="0E2F2820" w:rsidR="009344BF" w:rsidRDefault="002B60D3">
      <w:r w:rsidRPr="00A16879">
        <w:rPr>
          <w:rFonts w:ascii="IowanOldSt BT Pro Roman" w:eastAsia="MS Mincho" w:hAnsi="IowanOldSt BT Pro Roman" w:cs="Times New Roman"/>
        </w:rPr>
        <w:t xml:space="preserve">&lt;H1&gt; </w:t>
      </w:r>
      <w:r w:rsidR="009344BF">
        <w:t>Sound-related Terms Pertaining to the Use of Shofarot in Battle in 1QM</w:t>
      </w:r>
    </w:p>
    <w:p w14:paraId="53A1E2F6" w14:textId="3F2ACBB9" w:rsidR="001F6520" w:rsidRPr="009E565F" w:rsidRDefault="009344BF">
      <w:r w:rsidRPr="009344BF">
        <w:t xml:space="preserve">Similar to the description of the use of trumpets on the battlefield discussed above, the description of the use of </w:t>
      </w:r>
      <w:r w:rsidR="00B2329D">
        <w:t>shofarot</w:t>
      </w:r>
      <w:r w:rsidRPr="009344BF">
        <w:t xml:space="preserve"> </w:t>
      </w:r>
      <w:r w:rsidR="00B2329D">
        <w:t>extends beyond</w:t>
      </w:r>
      <w:r w:rsidRPr="009344BF">
        <w:t xml:space="preserve"> a schematic description of the stages in the war in which </w:t>
      </w:r>
      <w:r w:rsidR="00B2329D">
        <w:t>these were sounded</w:t>
      </w:r>
      <w:r w:rsidRPr="009344BF">
        <w:t xml:space="preserve">. Here, too, technical and musical terms are used to describe the nature of the sounds </w:t>
      </w:r>
      <w:r w:rsidR="00B2329D">
        <w:t>that they produced</w:t>
      </w:r>
      <w:r w:rsidRPr="009344BF">
        <w:t xml:space="preserve">. </w:t>
      </w:r>
      <w:r w:rsidR="00FE3ECB">
        <w:t>Most</w:t>
      </w:r>
      <w:r w:rsidRPr="009344BF">
        <w:t xml:space="preserve"> scholars</w:t>
      </w:r>
      <w:r w:rsidR="00FE3ECB">
        <w:t xml:space="preserve"> identify two stages in the descriptions of the combined </w:t>
      </w:r>
      <w:r w:rsidRPr="009344BF">
        <w:t>use of trumpets and s</w:t>
      </w:r>
      <w:r w:rsidR="00B2329D">
        <w:t>hofarot</w:t>
      </w:r>
      <w:r w:rsidRPr="009344BF">
        <w:t xml:space="preserve"> </w:t>
      </w:r>
      <w:r w:rsidR="00FE3ECB">
        <w:t>in 1QM.</w:t>
      </w:r>
      <w:r w:rsidR="00FE3ECB" w:rsidRPr="00FE3ECB">
        <w:rPr>
          <w:rStyle w:val="FootnoteReference"/>
        </w:rPr>
        <w:t xml:space="preserve"> </w:t>
      </w:r>
      <w:r w:rsidR="00FE3ECB">
        <w:rPr>
          <w:rStyle w:val="FootnoteReference"/>
        </w:rPr>
        <w:footnoteReference w:id="75"/>
      </w:r>
      <w:r w:rsidR="00FE3ECB" w:rsidRPr="009344BF">
        <w:t xml:space="preserve"> </w:t>
      </w:r>
      <w:r w:rsidR="00FE3ECB">
        <w:t xml:space="preserve">The first stage involves the simultaneous sounding of the trumpets and shofarot </w:t>
      </w:r>
      <w:r w:rsidR="00BE0458">
        <w:t>to signal</w:t>
      </w:r>
      <w:r w:rsidR="00FE3ECB">
        <w:t xml:space="preserve"> the beginning of the </w:t>
      </w:r>
      <w:r w:rsidR="00ED7AE5">
        <w:t xml:space="preserve">casting </w:t>
      </w:r>
      <w:r w:rsidR="00FE3ECB">
        <w:t xml:space="preserve">of the weapons (by the trumpets) and </w:t>
      </w:r>
      <w:r w:rsidR="00B2329D">
        <w:t>instill</w:t>
      </w:r>
      <w:r w:rsidR="00FE3ECB">
        <w:t>ing</w:t>
      </w:r>
      <w:r w:rsidR="00B2329D">
        <w:t xml:space="preserve"> fear in the enemy (</w:t>
      </w:r>
      <w:r w:rsidR="00FE3ECB">
        <w:t xml:space="preserve">through the </w:t>
      </w:r>
      <w:r w:rsidRPr="009344BF">
        <w:t>s</w:t>
      </w:r>
      <w:r w:rsidR="00B2329D">
        <w:t>hofarot)</w:t>
      </w:r>
      <w:r w:rsidR="00FE3ECB">
        <w:t xml:space="preserve">. In the second stage, the sounding of the shofarot </w:t>
      </w:r>
      <w:r w:rsidR="00EE7066">
        <w:t>ceases</w:t>
      </w:r>
      <w:r w:rsidR="00FE3ECB">
        <w:t xml:space="preserve">, and only the blast of the trumpets </w:t>
      </w:r>
      <w:r w:rsidR="00EE7066">
        <w:t xml:space="preserve">continues until the completion of the warriors’ </w:t>
      </w:r>
      <w:r w:rsidR="00ED7AE5">
        <w:t>casting of their weapons</w:t>
      </w:r>
      <w:r w:rsidR="00EE7066">
        <w:t>. This division is</w:t>
      </w:r>
      <w:r w:rsidR="00EE7066" w:rsidRPr="002503E6">
        <w:t xml:space="preserve"> based on their interpretation of the </w:t>
      </w:r>
      <w:r w:rsidR="00CE40DA" w:rsidRPr="002503E6">
        <w:t>expression</w:t>
      </w:r>
      <w:r w:rsidR="00EE7066" w:rsidRPr="002503E6">
        <w:t>s “</w:t>
      </w:r>
      <w:r w:rsidR="00ED7AE5" w:rsidRPr="002503E6">
        <w:t xml:space="preserve">Then the sound of the </w:t>
      </w:r>
      <w:r w:rsidR="00A965FE" w:rsidRPr="002503E6">
        <w:t>shofarot</w:t>
      </w:r>
      <w:r w:rsidR="00ED7AE5" w:rsidRPr="002503E6">
        <w:t xml:space="preserve"> shall quiet</w:t>
      </w:r>
      <w:r w:rsidR="00EE7066" w:rsidRPr="002503E6">
        <w:t xml:space="preserve"> (</w:t>
      </w:r>
      <w:r w:rsidR="00EE7066" w:rsidRPr="002503E6">
        <w:rPr>
          <w:rFonts w:ascii="Arial" w:hAnsi="Arial" w:hint="cs"/>
          <w:rtl/>
        </w:rPr>
        <w:t>קול השופרות יחישו</w:t>
      </w:r>
      <w:r w:rsidR="00EE7066" w:rsidRPr="002503E6">
        <w:t>)” (1QM 8:11); “</w:t>
      </w:r>
      <w:r w:rsidR="00ED7AE5" w:rsidRPr="002503E6">
        <w:t>and all the people shall quiet the sound of alarm</w:t>
      </w:r>
      <w:r w:rsidR="00EE7066" w:rsidRPr="002503E6">
        <w:t xml:space="preserve"> (</w:t>
      </w:r>
      <w:r w:rsidR="00EE7066" w:rsidRPr="002503E6">
        <w:rPr>
          <w:rFonts w:ascii="Arial" w:hAnsi="Arial" w:hint="cs"/>
          <w:rtl/>
        </w:rPr>
        <w:t>יחשו מקול התרועה</w:t>
      </w:r>
      <w:r w:rsidR="00EE7066" w:rsidRPr="002503E6">
        <w:t>)” (1QM 9:1;</w:t>
      </w:r>
      <w:r w:rsidR="009E565F" w:rsidRPr="002503E6">
        <w:t xml:space="preserve"> and the similar 16:8</w:t>
      </w:r>
      <w:r w:rsidR="009E565F" w:rsidRPr="002503E6">
        <w:rPr>
          <w:rFonts w:asciiTheme="majorBidi" w:hAnsiTheme="majorBidi"/>
          <w:sz w:val="20"/>
          <w:szCs w:val="20"/>
        </w:rPr>
        <w:t>–</w:t>
      </w:r>
      <w:r w:rsidR="009E565F" w:rsidRPr="002503E6">
        <w:t>9: “and all the people shall cease the signal (</w:t>
      </w:r>
      <w:r w:rsidR="009E565F" w:rsidRPr="002503E6">
        <w:rPr>
          <w:rFonts w:ascii="Arial" w:hAnsi="Arial" w:hint="cs"/>
          <w:rtl/>
        </w:rPr>
        <w:t>יחשו קול התרועה</w:t>
      </w:r>
      <w:r w:rsidR="009E565F" w:rsidRPr="002503E6">
        <w:t>)”; and</w:t>
      </w:r>
      <w:r w:rsidR="00EE7066" w:rsidRPr="002503E6">
        <w:t xml:space="preserve"> “</w:t>
      </w:r>
      <w:r w:rsidR="009E565F" w:rsidRPr="002503E6">
        <w:t>Then all the people shall stil[l] the sound of the signal</w:t>
      </w:r>
      <w:r w:rsidR="00EE7066" w:rsidRPr="002503E6">
        <w:t xml:space="preserve"> (</w:t>
      </w:r>
      <w:r w:rsidR="00CE40DA" w:rsidRPr="002503E6">
        <w:rPr>
          <w:rFonts w:ascii="Arial" w:hAnsi="Arial" w:hint="cs"/>
          <w:rtl/>
        </w:rPr>
        <w:t>יניחו קול התרועה</w:t>
      </w:r>
      <w:r w:rsidR="00EE7066" w:rsidRPr="002503E6">
        <w:t>)”</w:t>
      </w:r>
      <w:r w:rsidR="00CE40DA" w:rsidRPr="002503E6">
        <w:t xml:space="preserve"> (1QM 17:14) as </w:t>
      </w:r>
      <w:r w:rsidR="00FC70B9" w:rsidRPr="002503E6">
        <w:t>indicating</w:t>
      </w:r>
      <w:r w:rsidR="00CE40DA" w:rsidRPr="002503E6">
        <w:t xml:space="preserve"> the cessation of the sounding of the shofarot with the beginning </w:t>
      </w:r>
      <w:r w:rsidR="00CE40DA">
        <w:t xml:space="preserve">of the warriors’ </w:t>
      </w:r>
      <w:r w:rsidR="009E565F">
        <w:t>casting of their weapons</w:t>
      </w:r>
      <w:r w:rsidR="00266D84">
        <w:rPr>
          <w:rFonts w:ascii="Arial" w:hAnsi="Arial"/>
        </w:rPr>
        <w:t>,</w:t>
      </w:r>
      <w:r w:rsidR="009E565F" w:rsidRPr="009E565F">
        <w:rPr>
          <w:rStyle w:val="FootnoteReference"/>
        </w:rPr>
        <w:t xml:space="preserve"> </w:t>
      </w:r>
      <w:r w:rsidR="00BA3C90">
        <w:t>in the manner termed “pausa” in</w:t>
      </w:r>
      <w:r w:rsidR="00FC70B9">
        <w:t xml:space="preserve"> musical</w:t>
      </w:r>
      <w:r w:rsidR="00BA3C90">
        <w:t xml:space="preserve"> terminology</w:t>
      </w:r>
      <w:r w:rsidR="00266D84">
        <w:t>.</w:t>
      </w:r>
      <w:r w:rsidR="00266D84">
        <w:rPr>
          <w:rStyle w:val="FootnoteReference"/>
        </w:rPr>
        <w:footnoteReference w:id="76"/>
      </w:r>
      <w:r w:rsidR="00266D84">
        <w:t xml:space="preserve"> In contrast, </w:t>
      </w:r>
      <w:r w:rsidR="00266D84" w:rsidRPr="00266D84">
        <w:t>Yadin</w:t>
      </w:r>
      <w:r w:rsidR="00266D84">
        <w:t xml:space="preserve"> identified </w:t>
      </w:r>
      <w:r w:rsidR="00266D84" w:rsidRPr="00266D84">
        <w:t>three stages</w:t>
      </w:r>
      <w:r w:rsidR="00266D84">
        <w:t xml:space="preserve">. </w:t>
      </w:r>
      <w:r w:rsidR="00266D84" w:rsidRPr="00266D84">
        <w:t xml:space="preserve">In the first stage, </w:t>
      </w:r>
      <w:r w:rsidR="00266D84" w:rsidRPr="006C4520">
        <w:rPr>
          <w:rFonts w:asciiTheme="majorBidi" w:hAnsiTheme="majorBidi" w:cstheme="majorBidi"/>
        </w:rPr>
        <w:t xml:space="preserve">only the </w:t>
      </w:r>
      <w:r w:rsidR="006C4520" w:rsidRPr="006C4520">
        <w:rPr>
          <w:rFonts w:asciiTheme="majorBidi" w:hAnsiTheme="majorBidi" w:cstheme="majorBidi"/>
        </w:rPr>
        <w:t xml:space="preserve">trumpets of the slain </w:t>
      </w:r>
      <w:r w:rsidR="00266D84" w:rsidRPr="006C4520">
        <w:rPr>
          <w:rFonts w:asciiTheme="majorBidi" w:hAnsiTheme="majorBidi" w:cstheme="majorBidi"/>
        </w:rPr>
        <w:t>were</w:t>
      </w:r>
      <w:r w:rsidR="00266D84" w:rsidRPr="00266D84">
        <w:t xml:space="preserve"> </w:t>
      </w:r>
      <w:r w:rsidR="00266D84">
        <w:t>sounded</w:t>
      </w:r>
      <w:r w:rsidR="00266D84" w:rsidRPr="00266D84">
        <w:t xml:space="preserve">. In the second stage, </w:t>
      </w:r>
      <w:r w:rsidR="00266D84">
        <w:t>following the</w:t>
      </w:r>
      <w:r w:rsidR="00266D84" w:rsidRPr="00266D84">
        <w:t xml:space="preserve"> sound</w:t>
      </w:r>
      <w:r w:rsidR="00266D84">
        <w:t>ing</w:t>
      </w:r>
      <w:r w:rsidR="00266D84" w:rsidRPr="00266D84">
        <w:t xml:space="preserve"> of the trumpets</w:t>
      </w:r>
      <w:r w:rsidR="00266D84">
        <w:t>,</w:t>
      </w:r>
      <w:r w:rsidR="00266D84" w:rsidRPr="00266D84">
        <w:t xml:space="preserve"> the soldiers began to lay down their weapons and the</w:t>
      </w:r>
      <w:r w:rsidR="00266D84">
        <w:t xml:space="preserve"> sounding of the</w:t>
      </w:r>
      <w:r w:rsidR="00266D84" w:rsidRPr="00266D84">
        <w:t xml:space="preserve"> </w:t>
      </w:r>
      <w:r w:rsidR="00266D84">
        <w:t>shofarot</w:t>
      </w:r>
      <w:r w:rsidR="00266D84" w:rsidRPr="00266D84">
        <w:t xml:space="preserve"> began. In the third </w:t>
      </w:r>
      <w:r w:rsidR="00266D84" w:rsidRPr="001F6520">
        <w:t xml:space="preserve">stage, the shofarot ceased while the sounding of the trumpets continued until the warriors completed </w:t>
      </w:r>
      <w:r w:rsidR="009E565F">
        <w:t>casting</w:t>
      </w:r>
      <w:r w:rsidR="00266D84" w:rsidRPr="001F6520">
        <w:t xml:space="preserve"> their weapons.</w:t>
      </w:r>
      <w:r w:rsidR="00266D84" w:rsidRPr="001F6520">
        <w:rPr>
          <w:rStyle w:val="FootnoteReference"/>
        </w:rPr>
        <w:footnoteReference w:id="77"/>
      </w:r>
    </w:p>
    <w:p w14:paraId="5DFF9FCF" w14:textId="64CB05FB" w:rsidR="001F6520" w:rsidRDefault="001F6520">
      <w:r w:rsidRPr="001F6520">
        <w:rPr>
          <w:lang w:bidi="he-IL"/>
        </w:rPr>
        <w:t xml:space="preserve">Given the linguistic differences between </w:t>
      </w:r>
      <w:r w:rsidRPr="002503E6">
        <w:rPr>
          <w:lang w:bidi="he-IL"/>
        </w:rPr>
        <w:t xml:space="preserve">the verbs </w:t>
      </w:r>
      <w:r w:rsidRPr="002503E6">
        <w:rPr>
          <w:rtl/>
        </w:rPr>
        <w:t>יחישו</w:t>
      </w:r>
      <w:r w:rsidRPr="002503E6">
        <w:t xml:space="preserve">, </w:t>
      </w:r>
      <w:r w:rsidRPr="002503E6">
        <w:rPr>
          <w:rtl/>
        </w:rPr>
        <w:t>יחשו</w:t>
      </w:r>
      <w:r w:rsidRPr="002503E6">
        <w:t xml:space="preserve">, and </w:t>
      </w:r>
      <w:r w:rsidRPr="002503E6">
        <w:rPr>
          <w:rtl/>
        </w:rPr>
        <w:t>יניחו</w:t>
      </w:r>
      <w:r w:rsidRPr="002503E6">
        <w:t xml:space="preserve"> used</w:t>
      </w:r>
      <w:r w:rsidRPr="001F6520">
        <w:t xml:space="preserve"> in the above-mentioned texts, I would like to re-examine these terms, particularly in light of my interpretation of the term </w:t>
      </w:r>
      <w:r w:rsidR="009E565F" w:rsidRPr="001F6520">
        <w:rPr>
          <w:rtl/>
        </w:rPr>
        <w:t>קול נוח</w:t>
      </w:r>
      <w:r w:rsidRPr="001F6520">
        <w:t xml:space="preserve"> above as </w:t>
      </w:r>
      <w:r w:rsidRPr="002503E6">
        <w:t xml:space="preserve">denoting lowering </w:t>
      </w:r>
      <w:r w:rsidR="00E17D1B" w:rsidRPr="002503E6">
        <w:t xml:space="preserve">the </w:t>
      </w:r>
      <w:r w:rsidR="00E17D1B" w:rsidRPr="002503E6">
        <w:rPr>
          <w:rFonts w:asciiTheme="majorBidi" w:hAnsiTheme="majorBidi"/>
        </w:rPr>
        <w:t xml:space="preserve">pitch </w:t>
      </w:r>
      <w:r w:rsidRPr="002503E6">
        <w:t>of the sound. An addit</w:t>
      </w:r>
      <w:r w:rsidRPr="001F6520">
        <w:t>ional expression that is relevant to this context is “</w:t>
      </w:r>
      <w:r w:rsidR="00AB7C6A">
        <w:t xml:space="preserve">and all the people with </w:t>
      </w:r>
      <w:r w:rsidR="00AD4FA9">
        <w:t>shofarot</w:t>
      </w:r>
      <w:r w:rsidR="00AB7C6A">
        <w:t xml:space="preserve"> shall blow a great battle alarm together</w:t>
      </w:r>
      <w:r w:rsidR="00DC501C">
        <w:t xml:space="preserve"> </w:t>
      </w:r>
      <w:r>
        <w:t>(</w:t>
      </w:r>
      <w:r w:rsidR="00DC501C" w:rsidRPr="001F6520">
        <w:rPr>
          <w:rtl/>
        </w:rPr>
        <w:t xml:space="preserve">וכול עם השופרות </w:t>
      </w:r>
      <w:r w:rsidR="00DC501C" w:rsidRPr="002503E6">
        <w:rPr>
          <w:rtl/>
        </w:rPr>
        <w:t>יריעו קול אחד</w:t>
      </w:r>
      <w:r>
        <w:t>)</w:t>
      </w:r>
      <w:r w:rsidRPr="001F6520">
        <w:t>” (1QM 8:9</w:t>
      </w:r>
      <w:r w:rsidR="00B40280" w:rsidRPr="005433A8">
        <w:rPr>
          <w:rFonts w:asciiTheme="majorBidi" w:hAnsiTheme="majorBidi"/>
          <w:rtl/>
        </w:rPr>
        <w:t>–</w:t>
      </w:r>
      <w:r w:rsidRPr="001F6520">
        <w:t>10), which can help clarify the use of shofarot in the description of the battle in col. 8 of 1QM.</w:t>
      </w:r>
    </w:p>
    <w:p w14:paraId="43C5758D" w14:textId="36A570CE" w:rsidR="00AD24E8" w:rsidRPr="003068C2" w:rsidRDefault="002B60D3" w:rsidP="00283890">
      <w:r>
        <w:t xml:space="preserve">1. </w:t>
      </w:r>
      <w:r w:rsidR="00DC501C" w:rsidRPr="0011728C">
        <w:rPr>
          <w:rtl/>
        </w:rPr>
        <w:t>יחישו, יחשו</w:t>
      </w:r>
      <w:r>
        <w:t>: T</w:t>
      </w:r>
      <w:r w:rsidR="003068C2" w:rsidRPr="003068C2">
        <w:t>here are three possible interpretations for these terms: a cessation of sound</w:t>
      </w:r>
      <w:r w:rsidR="005E7EC1">
        <w:t xml:space="preserve"> (</w:t>
      </w:r>
      <w:r>
        <w:t>p</w:t>
      </w:r>
      <w:r w:rsidRPr="003068C2">
        <w:t>ausa</w:t>
      </w:r>
      <w:r w:rsidR="005E7EC1">
        <w:t>)</w:t>
      </w:r>
      <w:r w:rsidR="003068C2" w:rsidRPr="003068C2">
        <w:t>; a continuation of sound, without change; an acceleration of sound.</w:t>
      </w:r>
    </w:p>
    <w:p w14:paraId="6B75A522" w14:textId="0FAECBE6" w:rsidR="003068C2" w:rsidRDefault="003068C2">
      <w:r w:rsidRPr="0011728C">
        <w:t xml:space="preserve">The </w:t>
      </w:r>
      <w:r w:rsidR="002B60D3">
        <w:t>difficulty with</w:t>
      </w:r>
      <w:r w:rsidRPr="0011728C">
        <w:t xml:space="preserve"> clarifying these terms stems from the question of whether their underlying roo</w:t>
      </w:r>
      <w:r>
        <w:t>t</w:t>
      </w:r>
    </w:p>
    <w:p w14:paraId="1B4D080F" w14:textId="45230A5A" w:rsidR="003068C2" w:rsidRPr="0011728C" w:rsidRDefault="003068C2">
      <w:r w:rsidRPr="0011728C">
        <w:t xml:space="preserve">is </w:t>
      </w:r>
      <w:r w:rsidRPr="00825745">
        <w:rPr>
          <w:i/>
          <w:iCs/>
          <w:color w:val="202122"/>
          <w:shd w:val="clear" w:color="auto" w:fill="FFFFFF"/>
          <w:lang w:bidi="ar"/>
        </w:rPr>
        <w:t>ḥ.</w:t>
      </w:r>
      <w:r w:rsidRPr="00825745">
        <w:rPr>
          <w:i/>
          <w:iCs/>
          <w:color w:val="202122"/>
          <w:shd w:val="clear" w:color="auto" w:fill="F8F9FA"/>
        </w:rPr>
        <w:t>š</w:t>
      </w:r>
      <w:r w:rsidRPr="00825745">
        <w:rPr>
          <w:i/>
          <w:iCs/>
          <w:color w:val="202122"/>
          <w:shd w:val="clear" w:color="auto" w:fill="FFFFFF"/>
          <w:lang w:bidi="ar"/>
        </w:rPr>
        <w:t>.h</w:t>
      </w:r>
      <w:r w:rsidRPr="0011728C">
        <w:t xml:space="preserve">. or </w:t>
      </w:r>
      <w:r w:rsidRPr="00825745">
        <w:rPr>
          <w:i/>
          <w:iCs/>
          <w:color w:val="202122"/>
          <w:shd w:val="clear" w:color="auto" w:fill="FFFFFF"/>
          <w:lang w:bidi="ar"/>
        </w:rPr>
        <w:t>ḥ.w.</w:t>
      </w:r>
      <w:r w:rsidRPr="00825745">
        <w:rPr>
          <w:i/>
          <w:iCs/>
          <w:color w:val="202122"/>
          <w:shd w:val="clear" w:color="auto" w:fill="F8F9FA"/>
        </w:rPr>
        <w:t>š.</w:t>
      </w:r>
      <w:r>
        <w:t xml:space="preserve"> </w:t>
      </w:r>
      <w:r w:rsidRPr="0011728C">
        <w:t>The root</w:t>
      </w:r>
      <w:r>
        <w:t xml:space="preserve"> </w:t>
      </w:r>
      <w:r w:rsidRPr="00825745">
        <w:rPr>
          <w:i/>
          <w:iCs/>
          <w:color w:val="202122"/>
          <w:shd w:val="clear" w:color="auto" w:fill="FFFFFF"/>
          <w:lang w:bidi="ar"/>
        </w:rPr>
        <w:t>ḥ.</w:t>
      </w:r>
      <w:r w:rsidRPr="00825745">
        <w:rPr>
          <w:i/>
          <w:iCs/>
          <w:color w:val="202122"/>
          <w:shd w:val="clear" w:color="auto" w:fill="F8F9FA"/>
        </w:rPr>
        <w:t>š</w:t>
      </w:r>
      <w:r w:rsidRPr="00825745">
        <w:rPr>
          <w:i/>
          <w:iCs/>
          <w:color w:val="202122"/>
          <w:shd w:val="clear" w:color="auto" w:fill="FFFFFF"/>
          <w:lang w:bidi="ar"/>
        </w:rPr>
        <w:t>.h</w:t>
      </w:r>
      <w:r>
        <w:rPr>
          <w:i/>
          <w:iCs/>
          <w:color w:val="202122"/>
          <w:shd w:val="clear" w:color="auto" w:fill="FFFFFF"/>
          <w:lang w:bidi="ar"/>
        </w:rPr>
        <w:t>.</w:t>
      </w:r>
      <w:r>
        <w:rPr>
          <w:color w:val="202122"/>
          <w:shd w:val="clear" w:color="auto" w:fill="FFFFFF"/>
          <w:lang w:bidi="ar"/>
        </w:rPr>
        <w:t xml:space="preserve"> does </w:t>
      </w:r>
      <w:r w:rsidRPr="0011728C">
        <w:t xml:space="preserve">not appear </w:t>
      </w:r>
      <w:r>
        <w:t xml:space="preserve">elsewhere </w:t>
      </w:r>
      <w:r w:rsidRPr="0011728C">
        <w:t xml:space="preserve">in any of the Dead Sea Scrolls, but it occurs </w:t>
      </w:r>
      <w:r w:rsidR="006E417A">
        <w:t>several</w:t>
      </w:r>
      <w:r w:rsidRPr="0011728C">
        <w:t xml:space="preserve"> times in the Hebrew Bible in the sense of “silence”.</w:t>
      </w:r>
      <w:r w:rsidRPr="0011728C">
        <w:rPr>
          <w:rStyle w:val="FootnoteReference"/>
        </w:rPr>
        <w:footnoteReference w:id="78"/>
      </w:r>
      <w:r w:rsidRPr="0011728C">
        <w:t xml:space="preserve"> For example:</w:t>
      </w:r>
    </w:p>
    <w:p w14:paraId="753AE0EB" w14:textId="77777777" w:rsidR="003068C2" w:rsidRPr="004D3A23" w:rsidRDefault="003068C2" w:rsidP="00B036AC">
      <w:pPr>
        <w:ind w:left="576"/>
      </w:pPr>
      <w:r w:rsidRPr="004D3A23">
        <w:t>Isa 62:1: “For the sake of Zion I will not be silent (</w:t>
      </w:r>
      <w:r w:rsidRPr="004D3A23">
        <w:rPr>
          <w:rtl/>
        </w:rPr>
        <w:t>למען ציון לא אחשה</w:t>
      </w:r>
      <w:r w:rsidRPr="004D3A23">
        <w:t>)”</w:t>
      </w:r>
    </w:p>
    <w:p w14:paraId="6ED37D6C" w14:textId="0615A7A3" w:rsidR="003068C2" w:rsidRPr="00C85466" w:rsidRDefault="003068C2" w:rsidP="00B036AC">
      <w:pPr>
        <w:ind w:left="576"/>
        <w:rPr>
          <w:rtl/>
        </w:rPr>
      </w:pPr>
      <w:r w:rsidRPr="00C85466">
        <w:t>Ps 1</w:t>
      </w:r>
      <w:r w:rsidRPr="00C85466">
        <w:rPr>
          <w:rtl/>
          <w:lang w:bidi="he-IL"/>
        </w:rPr>
        <w:t>07</w:t>
      </w:r>
      <w:r w:rsidRPr="00C85466">
        <w:t>:29: “</w:t>
      </w:r>
      <w:r w:rsidRPr="00C85466">
        <w:rPr>
          <w:lang w:bidi="he-IL"/>
        </w:rPr>
        <w:t>He reduced the storm to a whisper, the waves were stilled</w:t>
      </w:r>
      <w:r w:rsidRPr="00C85466">
        <w:t xml:space="preserve"> (</w:t>
      </w:r>
      <w:r w:rsidRPr="00C85466">
        <w:rPr>
          <w:rtl/>
        </w:rPr>
        <w:t>ויחשו גליהם</w:t>
      </w:r>
      <w:r w:rsidRPr="00C85466">
        <w:t>)</w:t>
      </w:r>
      <w:r w:rsidR="00277CBD" w:rsidRPr="00C85466">
        <w:t>”</w:t>
      </w:r>
    </w:p>
    <w:p w14:paraId="427F815C" w14:textId="77777777" w:rsidR="003068C2" w:rsidRPr="00C85466" w:rsidRDefault="003068C2" w:rsidP="00B036AC">
      <w:pPr>
        <w:ind w:left="576"/>
      </w:pPr>
      <w:r w:rsidRPr="00C85466">
        <w:t>Eccl 3:7: “</w:t>
      </w:r>
      <w:r w:rsidRPr="00C85466">
        <w:rPr>
          <w:rFonts w:eastAsiaTheme="minorHAnsi"/>
        </w:rPr>
        <w:t>A time for silence (</w:t>
      </w:r>
      <w:r w:rsidRPr="00C85466">
        <w:rPr>
          <w:rtl/>
        </w:rPr>
        <w:t>עת לחשות</w:t>
      </w:r>
      <w:r w:rsidRPr="00C85466">
        <w:rPr>
          <w:rFonts w:eastAsiaTheme="minorHAnsi"/>
        </w:rPr>
        <w:t>) and a time for speaking</w:t>
      </w:r>
      <w:r w:rsidRPr="00C85466">
        <w:t>”</w:t>
      </w:r>
    </w:p>
    <w:p w14:paraId="30927A45" w14:textId="77777777" w:rsidR="003068C2" w:rsidRPr="00C85466" w:rsidRDefault="003068C2" w:rsidP="00B036AC">
      <w:pPr>
        <w:ind w:left="576"/>
      </w:pPr>
      <w:r w:rsidRPr="00C85466">
        <w:t>Neh 8:11, “</w:t>
      </w:r>
      <w:r w:rsidRPr="00C85466">
        <w:rPr>
          <w:rFonts w:eastAsiaTheme="minorHAnsi"/>
        </w:rPr>
        <w:t>The Levites were quieting (</w:t>
      </w:r>
      <w:r w:rsidRPr="00C85466">
        <w:rPr>
          <w:rtl/>
        </w:rPr>
        <w:t>מחשים</w:t>
      </w:r>
      <w:r w:rsidRPr="00C85466">
        <w:rPr>
          <w:rFonts w:eastAsiaTheme="minorHAnsi"/>
        </w:rPr>
        <w:t>) the people, saying, ‘Hush, for the day is holy; do not be sad.’”</w:t>
      </w:r>
    </w:p>
    <w:p w14:paraId="7E69665B" w14:textId="4CDFE461" w:rsidR="003068C2" w:rsidRDefault="006E417A">
      <w:r>
        <w:t>Based on</w:t>
      </w:r>
      <w:r w:rsidR="003068C2" w:rsidRPr="004D3A23">
        <w:t xml:space="preserve"> these examples, if the root of </w:t>
      </w:r>
      <w:r w:rsidR="003068C2" w:rsidRPr="004D3A23">
        <w:rPr>
          <w:rtl/>
        </w:rPr>
        <w:t>יחישו</w:t>
      </w:r>
      <w:r w:rsidR="003068C2" w:rsidRPr="004D3A23">
        <w:t xml:space="preserve"> and </w:t>
      </w:r>
      <w:r w:rsidR="003068C2" w:rsidRPr="004D3A23">
        <w:rPr>
          <w:rtl/>
        </w:rPr>
        <w:t>יחשו</w:t>
      </w:r>
      <w:r w:rsidR="003068C2" w:rsidRPr="0011728C">
        <w:t xml:space="preserve"> is </w:t>
      </w:r>
      <w:r w:rsidR="003068C2" w:rsidRPr="00825745">
        <w:rPr>
          <w:i/>
          <w:iCs/>
          <w:color w:val="202122"/>
          <w:shd w:val="clear" w:color="auto" w:fill="FFFFFF"/>
          <w:lang w:bidi="ar"/>
        </w:rPr>
        <w:t>ḥ.</w:t>
      </w:r>
      <w:r w:rsidR="003068C2" w:rsidRPr="00825745">
        <w:rPr>
          <w:i/>
          <w:iCs/>
          <w:color w:val="202122"/>
          <w:shd w:val="clear" w:color="auto" w:fill="F8F9FA"/>
        </w:rPr>
        <w:t>š</w:t>
      </w:r>
      <w:r w:rsidR="003068C2" w:rsidRPr="00825745">
        <w:rPr>
          <w:i/>
          <w:iCs/>
          <w:color w:val="202122"/>
          <w:shd w:val="clear" w:color="auto" w:fill="FFFFFF"/>
          <w:lang w:bidi="ar"/>
        </w:rPr>
        <w:t>.h</w:t>
      </w:r>
      <w:r w:rsidR="003068C2">
        <w:t>.</w:t>
      </w:r>
      <w:r w:rsidR="003068C2" w:rsidRPr="0011728C">
        <w:t>, then these words should be understood as expressions for the cessation of the sounding of the shofarot, with the beginning of the</w:t>
      </w:r>
      <w:r w:rsidR="003068C2">
        <w:t xml:space="preserve"> casting of weapons by the warriors.</w:t>
      </w:r>
    </w:p>
    <w:p w14:paraId="2C88A13A" w14:textId="5E7E01F6" w:rsidR="003068C2" w:rsidRPr="00C85466" w:rsidRDefault="003068C2">
      <w:r w:rsidRPr="0011728C">
        <w:t>The root</w:t>
      </w:r>
      <w:r w:rsidRPr="00825745">
        <w:rPr>
          <w:i/>
          <w:iCs/>
        </w:rPr>
        <w:t xml:space="preserve"> </w:t>
      </w:r>
      <w:r w:rsidRPr="00825745">
        <w:rPr>
          <w:i/>
          <w:iCs/>
          <w:color w:val="202122"/>
          <w:shd w:val="clear" w:color="auto" w:fill="FFFFFF"/>
          <w:lang w:bidi="ar"/>
        </w:rPr>
        <w:t>ḥ.w.</w:t>
      </w:r>
      <w:r w:rsidRPr="00825745">
        <w:rPr>
          <w:i/>
          <w:iCs/>
          <w:color w:val="202122"/>
          <w:shd w:val="clear" w:color="auto" w:fill="F8F9FA"/>
        </w:rPr>
        <w:t>š.</w:t>
      </w:r>
      <w:r>
        <w:t xml:space="preserve"> </w:t>
      </w:r>
      <w:r w:rsidRPr="0011728C">
        <w:t>occurs in 1QM 1:11</w:t>
      </w:r>
      <w:r w:rsidRPr="0011728C">
        <w:rPr>
          <w:rtl/>
        </w:rPr>
        <w:t>–</w:t>
      </w:r>
      <w:r w:rsidRPr="0011728C">
        <w:t>12: “</w:t>
      </w:r>
      <w:r>
        <w:t xml:space="preserve">It is a time of distress fo[r al]l people who are redeemed by God. In all their afflictions none exists that is like it, hastening to its completion/*from the beginning to its completion </w:t>
      </w:r>
      <w:r>
        <w:rPr>
          <w:rStyle w:val="FootnoteReference"/>
        </w:rPr>
        <w:footnoteReference w:id="79"/>
      </w:r>
      <w:r>
        <w:t>(</w:t>
      </w:r>
      <w:r w:rsidRPr="0011728C">
        <w:rPr>
          <w:u w:val="single"/>
          <w:rtl/>
        </w:rPr>
        <w:t>מחושה עד תומה</w:t>
      </w:r>
      <w:r>
        <w:t>) as an eternal redemption.</w:t>
      </w:r>
      <w:r w:rsidRPr="00C85466">
        <w:t>”</w:t>
      </w:r>
    </w:p>
    <w:p w14:paraId="109E04C4" w14:textId="094A4589" w:rsidR="003068C2" w:rsidRPr="0011728C" w:rsidRDefault="003068C2">
      <w:r w:rsidRPr="0011728C">
        <w:t xml:space="preserve">Some scholars take the word </w:t>
      </w:r>
      <w:r w:rsidRPr="0011728C">
        <w:rPr>
          <w:rtl/>
        </w:rPr>
        <w:t>מחושה</w:t>
      </w:r>
      <w:r w:rsidRPr="0011728C">
        <w:t xml:space="preserve"> to denote the speed of the arrival of the </w:t>
      </w:r>
      <w:r>
        <w:rPr>
          <w:lang w:bidi="he-IL"/>
        </w:rPr>
        <w:t>distress</w:t>
      </w:r>
      <w:r w:rsidRPr="0011728C">
        <w:t>.</w:t>
      </w:r>
      <w:r w:rsidRPr="0011728C">
        <w:rPr>
          <w:rStyle w:val="FootnoteReference"/>
        </w:rPr>
        <w:footnoteReference w:id="80"/>
      </w:r>
      <w:r w:rsidRPr="0011728C">
        <w:rPr>
          <w:rtl/>
          <w:lang w:bidi="he-IL"/>
        </w:rPr>
        <w:t xml:space="preserve"> </w:t>
      </w:r>
      <w:r w:rsidRPr="0011728C">
        <w:rPr>
          <w:lang w:bidi="he-IL"/>
        </w:rPr>
        <w:t xml:space="preserve">Others understand the expression </w:t>
      </w:r>
      <w:r w:rsidRPr="0011728C">
        <w:rPr>
          <w:rtl/>
        </w:rPr>
        <w:t>מחושה עד תומה</w:t>
      </w:r>
      <w:r w:rsidRPr="0011728C">
        <w:t xml:space="preserve"> as indicating the beginning of an action</w:t>
      </w:r>
      <w:r>
        <w:t xml:space="preserve"> through to its completion</w:t>
      </w:r>
      <w:r w:rsidRPr="0011728C">
        <w:t>.</w:t>
      </w:r>
      <w:r w:rsidRPr="0011728C">
        <w:rPr>
          <w:rStyle w:val="FootnoteReference"/>
        </w:rPr>
        <w:footnoteReference w:id="81"/>
      </w:r>
      <w:r w:rsidRPr="0011728C">
        <w:t xml:space="preserve"> In addition, the root </w:t>
      </w:r>
      <w:r w:rsidRPr="00825745">
        <w:rPr>
          <w:i/>
          <w:iCs/>
          <w:color w:val="202122"/>
          <w:shd w:val="clear" w:color="auto" w:fill="FFFFFF"/>
          <w:lang w:bidi="ar"/>
        </w:rPr>
        <w:t>ḥ.w.</w:t>
      </w:r>
      <w:r w:rsidRPr="00825745">
        <w:rPr>
          <w:i/>
          <w:iCs/>
          <w:color w:val="202122"/>
          <w:shd w:val="clear" w:color="auto" w:fill="F8F9FA"/>
        </w:rPr>
        <w:t>š</w:t>
      </w:r>
      <w:r w:rsidRPr="0011728C">
        <w:t xml:space="preserve"> occurs in other manuscripts from Qumran. Thus:</w:t>
      </w:r>
    </w:p>
    <w:p w14:paraId="19298CC0" w14:textId="63132787" w:rsidR="003068C2" w:rsidRDefault="003068C2" w:rsidP="00283890">
      <w:pPr>
        <w:ind w:left="576"/>
      </w:pPr>
      <w:r w:rsidRPr="0011728C">
        <w:t>1QS 8:8: “</w:t>
      </w:r>
      <w:r>
        <w:t xml:space="preserve">whose </w:t>
      </w:r>
      <w:r w:rsidRPr="00C85466">
        <w:rPr>
          <w:vertAlign w:val="superscript"/>
        </w:rPr>
        <w:t>foundations</w:t>
      </w:r>
      <w:r>
        <w:t xml:space="preserve"> shall neither be shaken nor swayed (</w:t>
      </w:r>
      <w:r w:rsidRPr="0011728C">
        <w:rPr>
          <w:rtl/>
        </w:rPr>
        <w:t>ובל יחישו</w:t>
      </w:r>
      <w:r>
        <w:t>).”</w:t>
      </w:r>
      <w:r w:rsidRPr="00C85466">
        <w:t xml:space="preserve"> In light of the first part of the sentence, the most common view is that the word </w:t>
      </w:r>
      <w:r w:rsidRPr="0011728C">
        <w:rPr>
          <w:rtl/>
        </w:rPr>
        <w:t>יחישו</w:t>
      </w:r>
      <w:r w:rsidRPr="00C85466">
        <w:t xml:space="preserve"> here refers to a strong stance or </w:t>
      </w:r>
      <w:r>
        <w:t>immobility</w:t>
      </w:r>
      <w:r w:rsidRPr="00C85466">
        <w:t>.</w:t>
      </w:r>
      <w:r w:rsidRPr="0011728C">
        <w:rPr>
          <w:rStyle w:val="FootnoteReference"/>
        </w:rPr>
        <w:footnoteReference w:id="82"/>
      </w:r>
    </w:p>
    <w:p w14:paraId="7406C6C6" w14:textId="3DBAE481" w:rsidR="001360E0" w:rsidRDefault="003068C2" w:rsidP="00283890">
      <w:pPr>
        <w:ind w:left="576"/>
      </w:pPr>
      <w:r w:rsidRPr="0011728C">
        <w:t>1QH 11:11</w:t>
      </w:r>
      <w:r w:rsidR="006742D4">
        <w:t>-12</w:t>
      </w:r>
      <w:r w:rsidRPr="0011728C">
        <w:t>: “</w:t>
      </w:r>
      <w:r w:rsidR="001360E0">
        <w:rPr>
          <w:lang w:bidi="he-IL"/>
        </w:rPr>
        <w:t>All wombs hasten</w:t>
      </w:r>
      <w:r w:rsidRPr="0011728C">
        <w:t xml:space="preserve"> (</w:t>
      </w:r>
      <w:r w:rsidRPr="0011728C">
        <w:rPr>
          <w:rtl/>
        </w:rPr>
        <w:t>החישו כול משברים</w:t>
      </w:r>
      <w:r w:rsidRPr="0011728C">
        <w:t>)”</w:t>
      </w:r>
      <w:r>
        <w:t xml:space="preserve"> and </w:t>
      </w:r>
      <w:r w:rsidRPr="00CB244E">
        <w:t>1QH 14:32: “</w:t>
      </w:r>
      <w:r w:rsidR="001360E0">
        <w:rPr>
          <w:lang w:bidi="he-IL"/>
        </w:rPr>
        <w:t xml:space="preserve">And then the sword of </w:t>
      </w:r>
      <w:r w:rsidR="008D1BE5">
        <w:rPr>
          <w:lang w:bidi="he-IL"/>
        </w:rPr>
        <w:t xml:space="preserve">God </w:t>
      </w:r>
      <w:r w:rsidR="001360E0">
        <w:rPr>
          <w:lang w:bidi="he-IL"/>
        </w:rPr>
        <w:t>will come quickly at the time of judgment</w:t>
      </w:r>
      <w:r w:rsidRPr="00CB244E">
        <w:t xml:space="preserve"> (</w:t>
      </w:r>
      <w:r w:rsidRPr="0011728C">
        <w:rPr>
          <w:rtl/>
        </w:rPr>
        <w:t>ואז תחיש חרב אל בקץ משפט</w:t>
      </w:r>
      <w:r w:rsidRPr="00CB244E">
        <w:t>)</w:t>
      </w:r>
      <w:r w:rsidR="001360E0">
        <w:t>.</w:t>
      </w:r>
      <w:r w:rsidRPr="00CB244E">
        <w:t>”</w:t>
      </w:r>
      <w:r>
        <w:t xml:space="preserve"> </w:t>
      </w:r>
      <w:r w:rsidRPr="0011728C">
        <w:t xml:space="preserve">The </w:t>
      </w:r>
      <w:r>
        <w:t xml:space="preserve">dominant view among scholars is that </w:t>
      </w:r>
      <w:r w:rsidRPr="0011728C">
        <w:t xml:space="preserve">the words </w:t>
      </w:r>
      <w:r w:rsidRPr="0011728C">
        <w:rPr>
          <w:rtl/>
        </w:rPr>
        <w:t>יחישו</w:t>
      </w:r>
      <w:r w:rsidRPr="0011728C">
        <w:t xml:space="preserve"> and </w:t>
      </w:r>
      <w:r w:rsidRPr="0011728C">
        <w:rPr>
          <w:rtl/>
        </w:rPr>
        <w:t>תחיש</w:t>
      </w:r>
      <w:r w:rsidRPr="0011728C">
        <w:t xml:space="preserve"> in these </w:t>
      </w:r>
      <w:r>
        <w:t>1QH usages</w:t>
      </w:r>
      <w:r w:rsidRPr="0011728C">
        <w:t xml:space="preserve"> indicat</w:t>
      </w:r>
      <w:r>
        <w:t>e</w:t>
      </w:r>
      <w:r w:rsidRPr="0011728C">
        <w:t xml:space="preserve"> the speed of the arrival of the </w:t>
      </w:r>
      <w:r w:rsidR="00F31B74">
        <w:t xml:space="preserve">birth pangs </w:t>
      </w:r>
      <w:r w:rsidRPr="0011728C">
        <w:t>and the action of God’s sword.</w:t>
      </w:r>
      <w:r w:rsidRPr="0011728C">
        <w:rPr>
          <w:rStyle w:val="FootnoteReference"/>
        </w:rPr>
        <w:footnoteReference w:id="83"/>
      </w:r>
      <w:r w:rsidRPr="0011728C">
        <w:t xml:space="preserve"> Licht and Clines, however, explain the words as indicating the beginning of the </w:t>
      </w:r>
      <w:r w:rsidR="00F31B74">
        <w:t>birth pangs</w:t>
      </w:r>
      <w:r w:rsidRPr="0011728C">
        <w:t xml:space="preserve"> and </w:t>
      </w:r>
      <w:r w:rsidR="00F31B74">
        <w:t xml:space="preserve">of </w:t>
      </w:r>
      <w:r w:rsidRPr="0011728C">
        <w:t>the action of the sword.</w:t>
      </w:r>
      <w:r w:rsidRPr="0011728C">
        <w:rPr>
          <w:rStyle w:val="FootnoteReference"/>
        </w:rPr>
        <w:footnoteReference w:id="84"/>
      </w:r>
    </w:p>
    <w:p w14:paraId="48549783" w14:textId="2005EEAB" w:rsidR="003068C2" w:rsidRDefault="003068C2" w:rsidP="00283890">
      <w:pPr>
        <w:ind w:left="576"/>
      </w:pPr>
      <w:r w:rsidRPr="001360E0">
        <w:t>4QSongs of the Sabbath Sacrifice</w:t>
      </w:r>
      <w:r w:rsidRPr="001360E0">
        <w:rPr>
          <w:vertAlign w:val="superscript"/>
        </w:rPr>
        <w:t>d</w:t>
      </w:r>
      <w:r w:rsidRPr="001360E0">
        <w:t xml:space="preserve"> (4Q</w:t>
      </w:r>
      <w:r w:rsidR="00364AB9" w:rsidRPr="001360E0">
        <w:t>4</w:t>
      </w:r>
      <w:r w:rsidRPr="001360E0">
        <w:t xml:space="preserve">03 1 ii, 13): </w:t>
      </w:r>
      <w:r w:rsidRPr="001360E0">
        <w:rPr>
          <w:lang w:bidi="he-IL"/>
        </w:rPr>
        <w:t>“</w:t>
      </w:r>
      <w:r w:rsidR="001360E0" w:rsidRPr="001360E0">
        <w:rPr>
          <w:lang w:bidi="he-IL"/>
        </w:rPr>
        <w:t>And all the decorations of the inner shrine make haste (</w:t>
      </w:r>
      <w:r w:rsidR="001360E0" w:rsidRPr="001360E0">
        <w:rPr>
          <w:rFonts w:hint="cs"/>
          <w:rtl/>
        </w:rPr>
        <w:t>יחושו</w:t>
      </w:r>
      <w:r w:rsidR="001360E0" w:rsidRPr="001360E0">
        <w:rPr>
          <w:lang w:bidi="he-IL"/>
        </w:rPr>
        <w:t>) with wondrous psalm.</w:t>
      </w:r>
      <w:r w:rsidRPr="001360E0">
        <w:rPr>
          <w:lang w:bidi="he-IL"/>
        </w:rPr>
        <w:t>”</w:t>
      </w:r>
      <w:r w:rsidR="00D356AE" w:rsidRPr="001360E0">
        <w:rPr>
          <w:lang w:bidi="he-IL"/>
        </w:rPr>
        <w:t xml:space="preserve"> </w:t>
      </w:r>
      <w:r w:rsidRPr="001360E0">
        <w:rPr>
          <w:lang w:bidi="he-IL"/>
        </w:rPr>
        <w:t>A number of scholars understand the word</w:t>
      </w:r>
      <w:r w:rsidRPr="001360E0">
        <w:rPr>
          <w:rFonts w:hint="cs"/>
          <w:rtl/>
        </w:rPr>
        <w:t xml:space="preserve">יחושו </w:t>
      </w:r>
      <w:r w:rsidRPr="001360E0">
        <w:rPr>
          <w:lang w:bidi="he-IL"/>
        </w:rPr>
        <w:t>to denote the speed of the praise of the</w:t>
      </w:r>
      <w:r w:rsidR="00D356AE" w:rsidRPr="001360E0">
        <w:rPr>
          <w:lang w:bidi="he-IL"/>
        </w:rPr>
        <w:t xml:space="preserve"> decorations</w:t>
      </w:r>
      <w:r w:rsidRPr="001360E0">
        <w:rPr>
          <w:lang w:bidi="he-IL"/>
        </w:rPr>
        <w:t>.</w:t>
      </w:r>
      <w:r w:rsidRPr="001360E0">
        <w:rPr>
          <w:rStyle w:val="FootnoteReference"/>
          <w:lang w:bidi="he-IL"/>
        </w:rPr>
        <w:footnoteReference w:id="85"/>
      </w:r>
    </w:p>
    <w:p w14:paraId="70455BD2" w14:textId="1EA1C939" w:rsidR="003068C2" w:rsidRPr="00A31020" w:rsidRDefault="003068C2">
      <w:pPr>
        <w:rPr>
          <w:rtl/>
        </w:rPr>
      </w:pPr>
      <w:r w:rsidRPr="008F238E">
        <w:t xml:space="preserve">The root </w:t>
      </w:r>
      <w:r w:rsidRPr="008F238E">
        <w:rPr>
          <w:i/>
          <w:iCs/>
          <w:shd w:val="clear" w:color="auto" w:fill="FFFFFF"/>
          <w:lang w:bidi="ar"/>
        </w:rPr>
        <w:t>ḥ.w.</w:t>
      </w:r>
      <w:r w:rsidRPr="008F238E">
        <w:rPr>
          <w:i/>
          <w:iCs/>
          <w:shd w:val="clear" w:color="auto" w:fill="F8F9FA"/>
        </w:rPr>
        <w:t>š</w:t>
      </w:r>
      <w:r w:rsidRPr="008F238E">
        <w:t xml:space="preserve"> appears several times in the Hebrew Bible in the sense of speed.</w:t>
      </w:r>
      <w:r w:rsidRPr="008F238E">
        <w:rPr>
          <w:rStyle w:val="FootnoteReference"/>
        </w:rPr>
        <w:footnoteReference w:id="86"/>
      </w:r>
      <w:r w:rsidRPr="008F238E">
        <w:t xml:space="preserve"> For example</w:t>
      </w:r>
      <w:r w:rsidR="00530406">
        <w:t>,</w:t>
      </w:r>
      <w:r w:rsidRPr="008F238E">
        <w:t xml:space="preserve"> Judg 20:37: “</w:t>
      </w:r>
      <w:r w:rsidRPr="008F238E">
        <w:rPr>
          <w:rFonts w:eastAsiaTheme="minorHAnsi"/>
        </w:rPr>
        <w:t>One ambush quickly deployed against Gibeah</w:t>
      </w:r>
      <w:r w:rsidRPr="008F238E">
        <w:t xml:space="preserve"> (</w:t>
      </w:r>
      <w:r w:rsidRPr="008F238E">
        <w:rPr>
          <w:rtl/>
        </w:rPr>
        <w:t>והאֹרב החישו ויפשטו אל הגבעה</w:t>
      </w:r>
      <w:r w:rsidRPr="008F238E">
        <w:t>)”; 1Sam 20:38: “</w:t>
      </w:r>
      <w:r w:rsidRPr="008F238E">
        <w:rPr>
          <w:rFonts w:eastAsiaTheme="minorHAnsi"/>
        </w:rPr>
        <w:t>And Jonathan called after the boy, “Quick, hurry up (</w:t>
      </w:r>
      <w:r w:rsidRPr="008F238E">
        <w:rPr>
          <w:rtl/>
        </w:rPr>
        <w:t>מהרה חושה</w:t>
      </w:r>
      <w:r w:rsidRPr="008F238E">
        <w:rPr>
          <w:rFonts w:eastAsiaTheme="minorHAnsi"/>
        </w:rPr>
        <w:t>). Don’t stop!</w:t>
      </w:r>
      <w:r w:rsidRPr="008F238E">
        <w:t>)”; Isa 5:19: “</w:t>
      </w:r>
      <w:r w:rsidRPr="008F238E">
        <w:rPr>
          <w:rFonts w:eastAsiaTheme="minorHAnsi"/>
        </w:rPr>
        <w:t>Let Him speed, let Him hasten (</w:t>
      </w:r>
      <w:r w:rsidRPr="008F238E">
        <w:rPr>
          <w:rtl/>
        </w:rPr>
        <w:t>ימהר יחישה</w:t>
      </w:r>
      <w:r w:rsidRPr="008F238E">
        <w:rPr>
          <w:rFonts w:eastAsiaTheme="minorHAnsi"/>
        </w:rPr>
        <w:t>) His purpose</w:t>
      </w:r>
      <w:r w:rsidRPr="008F238E">
        <w:t>”; Ps 119:60: “</w:t>
      </w:r>
      <w:r w:rsidRPr="008F238E">
        <w:rPr>
          <w:rFonts w:eastAsiaTheme="minorHAnsi"/>
        </w:rPr>
        <w:t>I have hurried and not delayed (</w:t>
      </w:r>
      <w:r w:rsidRPr="008F238E">
        <w:rPr>
          <w:rtl/>
        </w:rPr>
        <w:t>חשתי ולא התמהמהתי</w:t>
      </w:r>
      <w:r w:rsidRPr="008F238E">
        <w:rPr>
          <w:rFonts w:eastAsiaTheme="minorHAnsi"/>
        </w:rPr>
        <w:t>) to keep Your commandments</w:t>
      </w:r>
      <w:r w:rsidRPr="008F238E">
        <w:t xml:space="preserve">.” The </w:t>
      </w:r>
      <w:r>
        <w:t xml:space="preserve">root </w:t>
      </w:r>
      <w:r w:rsidRPr="00825745">
        <w:rPr>
          <w:i/>
          <w:iCs/>
          <w:color w:val="202122"/>
          <w:shd w:val="clear" w:color="auto" w:fill="FFFFFF"/>
          <w:lang w:bidi="ar"/>
        </w:rPr>
        <w:t>ḥ.w.</w:t>
      </w:r>
      <w:r w:rsidRPr="00825745">
        <w:rPr>
          <w:i/>
          <w:iCs/>
          <w:color w:val="202122"/>
          <w:shd w:val="clear" w:color="auto" w:fill="F8F9FA"/>
        </w:rPr>
        <w:t>š</w:t>
      </w:r>
      <w:r>
        <w:t xml:space="preserve"> appears in the sense of speed also in the Book of Ben Sira 36:10: “</w:t>
      </w:r>
      <w:r w:rsidR="009D2B03">
        <w:t>Hasten the ending, appoint the time</w:t>
      </w:r>
      <w:r>
        <w:t xml:space="preserve"> (</w:t>
      </w:r>
      <w:r w:rsidRPr="00E52737">
        <w:rPr>
          <w:rFonts w:hint="cs"/>
          <w:rtl/>
        </w:rPr>
        <w:t>החיש קץ ופקוד מועד</w:t>
      </w:r>
      <w:r>
        <w:t>).”</w:t>
      </w:r>
      <w:r>
        <w:rPr>
          <w:rStyle w:val="FootnoteReference"/>
        </w:rPr>
        <w:footnoteReference w:id="87"/>
      </w:r>
    </w:p>
    <w:p w14:paraId="52BDA137" w14:textId="458D726B" w:rsidR="003068C2" w:rsidRPr="002745E2" w:rsidRDefault="003068C2" w:rsidP="00283890">
      <w:pPr>
        <w:jc w:val="left"/>
      </w:pPr>
      <w:r>
        <w:t xml:space="preserve">If the root </w:t>
      </w:r>
      <w:r w:rsidRPr="00825745">
        <w:rPr>
          <w:i/>
          <w:iCs/>
          <w:color w:val="202122"/>
          <w:shd w:val="clear" w:color="auto" w:fill="FFFFFF"/>
          <w:lang w:bidi="ar"/>
        </w:rPr>
        <w:t>ḥ.w.</w:t>
      </w:r>
      <w:r w:rsidRPr="00825745">
        <w:rPr>
          <w:i/>
          <w:iCs/>
          <w:color w:val="202122"/>
          <w:shd w:val="clear" w:color="auto" w:fill="F8F9FA"/>
        </w:rPr>
        <w:t>š</w:t>
      </w:r>
      <w:r>
        <w:t xml:space="preserve"> is the root of the words </w:t>
      </w:r>
      <w:r w:rsidRPr="00E52737">
        <w:rPr>
          <w:rFonts w:hint="cs"/>
          <w:rtl/>
        </w:rPr>
        <w:t>יחישו</w:t>
      </w:r>
      <w:r>
        <w:t xml:space="preserve"> and </w:t>
      </w:r>
      <w:r w:rsidRPr="00E52737">
        <w:rPr>
          <w:rFonts w:hint="cs"/>
          <w:rtl/>
        </w:rPr>
        <w:t>יחשו</w:t>
      </w:r>
      <w:r>
        <w:t xml:space="preserve"> in the descriptions of the war in 1QM, then there are three possible ways to explain these words. The first way is based upon the interpretation of the expression </w:t>
      </w:r>
      <w:r w:rsidRPr="00E52737">
        <w:rPr>
          <w:rFonts w:hint="cs"/>
          <w:rtl/>
        </w:rPr>
        <w:t>מחושה ועד תומה</w:t>
      </w:r>
      <w:r>
        <w:t xml:space="preserve"> in 1QM and of the words </w:t>
      </w:r>
      <w:r w:rsidRPr="00E52737">
        <w:rPr>
          <w:rFonts w:hint="cs"/>
          <w:rtl/>
        </w:rPr>
        <w:t>החישו</w:t>
      </w:r>
      <w:r>
        <w:t xml:space="preserve"> and</w:t>
      </w:r>
      <w:r w:rsidRPr="00E52737">
        <w:rPr>
          <w:rFonts w:hint="cs"/>
          <w:rtl/>
        </w:rPr>
        <w:t xml:space="preserve">תחיש </w:t>
      </w:r>
      <w:r>
        <w:t xml:space="preserve">in 1QH as indicating the beginning of an action. According to this view, the terms </w:t>
      </w:r>
      <w:r w:rsidRPr="00E52737">
        <w:rPr>
          <w:rFonts w:hint="cs"/>
          <w:rtl/>
        </w:rPr>
        <w:t>יחישו</w:t>
      </w:r>
      <w:r>
        <w:t xml:space="preserve"> and </w:t>
      </w:r>
      <w:r w:rsidRPr="00E52737">
        <w:rPr>
          <w:rFonts w:hint="cs"/>
          <w:rtl/>
        </w:rPr>
        <w:t>יחשו</w:t>
      </w:r>
      <w:r>
        <w:t xml:space="preserve"> in the War Scroll designate the beginning of the sounding of the shofarot, after the sounding of the trumpets. This suggestion is to be rejected because 1QM 8:8</w:t>
      </w:r>
      <w:r w:rsidRPr="008F238E">
        <w:rPr>
          <w:sz w:val="20"/>
          <w:szCs w:val="20"/>
          <w:rtl/>
        </w:rPr>
        <w:t>–</w:t>
      </w:r>
      <w:r>
        <w:t>12 and 16:7</w:t>
      </w:r>
      <w:r w:rsidRPr="008F238E">
        <w:rPr>
          <w:sz w:val="20"/>
          <w:szCs w:val="20"/>
          <w:rtl/>
        </w:rPr>
        <w:t>–</w:t>
      </w:r>
      <w:r>
        <w:t xml:space="preserve">9 describe the simultaneous use of trumpets and shofarot, and it is only in the second stage that it is written of the shofarot that </w:t>
      </w:r>
      <w:r w:rsidRPr="00E52737">
        <w:rPr>
          <w:rFonts w:hint="cs"/>
          <w:rtl/>
        </w:rPr>
        <w:t>יחישו</w:t>
      </w:r>
      <w:r>
        <w:t xml:space="preserve"> and </w:t>
      </w:r>
      <w:r>
        <w:rPr>
          <w:rFonts w:hint="cs"/>
          <w:rtl/>
          <w:lang w:bidi="he-IL"/>
        </w:rPr>
        <w:t>יחשו</w:t>
      </w:r>
      <w:r>
        <w:t>.</w:t>
      </w:r>
      <w:r>
        <w:rPr>
          <w:rStyle w:val="FootnoteReference"/>
        </w:rPr>
        <w:footnoteReference w:id="88"/>
      </w:r>
      <w:r>
        <w:t xml:space="preserve"> The second explanation depends on the interpretation of the word </w:t>
      </w:r>
      <w:r w:rsidRPr="00E52737">
        <w:rPr>
          <w:rFonts w:hint="cs"/>
          <w:rtl/>
        </w:rPr>
        <w:t>יחישו</w:t>
      </w:r>
      <w:r>
        <w:t xml:space="preserve"> in 1QS 8:8 as denoting a strong stance or lack of movement. Following this interpretation, the terms </w:t>
      </w:r>
      <w:r w:rsidRPr="00E52737">
        <w:rPr>
          <w:rFonts w:hint="cs"/>
          <w:rtl/>
        </w:rPr>
        <w:t>יחישו</w:t>
      </w:r>
      <w:r>
        <w:t xml:space="preserve"> and </w:t>
      </w:r>
      <w:r w:rsidRPr="00E52737">
        <w:rPr>
          <w:rFonts w:hint="cs"/>
          <w:rtl/>
        </w:rPr>
        <w:t>יחשו</w:t>
      </w:r>
      <w:r>
        <w:t xml:space="preserve"> in 1QM may be understood as the beginning of the warriors’</w:t>
      </w:r>
      <w:r>
        <w:rPr>
          <w:lang w:bidi="he-IL"/>
        </w:rPr>
        <w:t xml:space="preserve"> casting of their weapons, so that there would be no change in the nature of the sounds of the shofarot, and they would continue to sound until </w:t>
      </w:r>
      <w:r w:rsidRPr="008F238E">
        <w:rPr>
          <w:lang w:bidi="he-IL"/>
        </w:rPr>
        <w:t xml:space="preserve">the completion of the casting of the weapons, in conjunction with the sounding of the trumpets. The third possibility emerges from the interpretation of the expression </w:t>
      </w:r>
      <w:r w:rsidRPr="008F238E">
        <w:rPr>
          <w:rtl/>
        </w:rPr>
        <w:t>מחושה ועד תומה</w:t>
      </w:r>
      <w:r w:rsidRPr="008F238E">
        <w:t xml:space="preserve"> in 1QM and of</w:t>
      </w:r>
      <w:r w:rsidRPr="008F238E">
        <w:rPr>
          <w:rtl/>
        </w:rPr>
        <w:t xml:space="preserve">החישו </w:t>
      </w:r>
      <w:r w:rsidRPr="008F238E">
        <w:t xml:space="preserve">and </w:t>
      </w:r>
      <w:r w:rsidRPr="008F238E">
        <w:rPr>
          <w:rtl/>
        </w:rPr>
        <w:t>תחיש</w:t>
      </w:r>
      <w:r w:rsidRPr="008F238E">
        <w:t xml:space="preserve"> in 1QH as designating speed. According to this interpretation, the terms </w:t>
      </w:r>
      <w:r w:rsidRPr="008F238E">
        <w:rPr>
          <w:rtl/>
        </w:rPr>
        <w:t>יחישו</w:t>
      </w:r>
      <w:r w:rsidRPr="008F238E">
        <w:t xml:space="preserve"> and </w:t>
      </w:r>
      <w:r w:rsidRPr="008F238E">
        <w:rPr>
          <w:rtl/>
        </w:rPr>
        <w:t>יחשו</w:t>
      </w:r>
      <w:r w:rsidRPr="008F238E">
        <w:t xml:space="preserve"> in 1QM may be understood as indicating that at the beginning of the warrior’s casting of their weapons</w:t>
      </w:r>
      <w:r w:rsidRPr="008F238E">
        <w:rPr>
          <w:lang w:bidi="he-IL"/>
        </w:rPr>
        <w:t>, there was an acceleration in the speed of the sounding of the trumpets, in the manner termed “accelerando.”</w:t>
      </w:r>
      <w:r w:rsidRPr="008F238E">
        <w:rPr>
          <w:rStyle w:val="FootnoteReference"/>
          <w:lang w:bidi="he-IL"/>
        </w:rPr>
        <w:footnoteReference w:id="89"/>
      </w:r>
      <w:r w:rsidRPr="008F238E">
        <w:rPr>
          <w:lang w:bidi="he-IL"/>
        </w:rPr>
        <w:t xml:space="preserve"> This option is supported by the use</w:t>
      </w:r>
      <w:r>
        <w:rPr>
          <w:lang w:bidi="he-IL"/>
        </w:rPr>
        <w:t xml:space="preserve"> </w:t>
      </w:r>
      <w:r w:rsidRPr="008F238E">
        <w:rPr>
          <w:lang w:bidi="he-IL"/>
        </w:rPr>
        <w:t>of the root</w:t>
      </w:r>
      <w:r w:rsidRPr="008F238E">
        <w:t xml:space="preserve"> </w:t>
      </w:r>
      <w:r w:rsidRPr="008F238E">
        <w:rPr>
          <w:i/>
          <w:iCs/>
          <w:shd w:val="clear" w:color="auto" w:fill="FFFFFF"/>
          <w:lang w:bidi="ar"/>
        </w:rPr>
        <w:t>ḥ.w.</w:t>
      </w:r>
      <w:r w:rsidRPr="008F238E">
        <w:rPr>
          <w:i/>
          <w:iCs/>
          <w:shd w:val="clear" w:color="auto" w:fill="F8F9FA"/>
        </w:rPr>
        <w:t>š</w:t>
      </w:r>
      <w:r w:rsidRPr="008F238E">
        <w:rPr>
          <w:lang w:bidi="he-IL"/>
        </w:rPr>
        <w:t xml:space="preserve"> as an expression</w:t>
      </w:r>
      <w:r>
        <w:rPr>
          <w:lang w:bidi="he-IL"/>
        </w:rPr>
        <w:t xml:space="preserve"> of speed in Ben Sira. </w:t>
      </w:r>
      <w:r>
        <w:rPr>
          <w:lang w:bidi="he-IL"/>
        </w:rPr>
        <w:br/>
      </w:r>
      <w:r w:rsidR="002B60D3">
        <w:rPr>
          <w:lang w:bidi="he-IL"/>
        </w:rPr>
        <w:t>As the</w:t>
      </w:r>
      <w:r>
        <w:rPr>
          <w:lang w:bidi="he-IL"/>
        </w:rPr>
        <w:t xml:space="preserve"> above discussion</w:t>
      </w:r>
      <w:r w:rsidR="002B60D3">
        <w:rPr>
          <w:lang w:bidi="he-IL"/>
        </w:rPr>
        <w:t xml:space="preserve"> indicates,</w:t>
      </w:r>
      <w:r>
        <w:rPr>
          <w:lang w:bidi="he-IL"/>
        </w:rPr>
        <w:t xml:space="preserve"> it is impossible to definitively resolve the question of the underlying root of the words </w:t>
      </w:r>
      <w:r w:rsidRPr="00E52737">
        <w:rPr>
          <w:rFonts w:hint="cs"/>
          <w:rtl/>
        </w:rPr>
        <w:t>יחישו</w:t>
      </w:r>
      <w:r>
        <w:t xml:space="preserve"> and </w:t>
      </w:r>
      <w:r w:rsidRPr="00E52737">
        <w:rPr>
          <w:rFonts w:hint="cs"/>
          <w:rtl/>
        </w:rPr>
        <w:t>יחשו</w:t>
      </w:r>
      <w:r>
        <w:t>,</w:t>
      </w:r>
      <w:r w:rsidR="002B60D3">
        <w:t xml:space="preserve"> and</w:t>
      </w:r>
      <w:r>
        <w:t xml:space="preserve"> we cannot determine the musical sense of these terms and the matter remains inconclusive.</w:t>
      </w:r>
    </w:p>
    <w:p w14:paraId="3FC12995" w14:textId="69735B46" w:rsidR="00C52ECB" w:rsidRDefault="002B60D3" w:rsidP="002D1D4C">
      <w:r>
        <w:t xml:space="preserve">2. </w:t>
      </w:r>
      <w:r w:rsidR="00C52ECB" w:rsidRPr="0011728C">
        <w:rPr>
          <w:rtl/>
        </w:rPr>
        <w:t>י</w:t>
      </w:r>
      <w:r w:rsidR="00C52ECB">
        <w:rPr>
          <w:rFonts w:hint="cs"/>
          <w:rtl/>
          <w:lang w:bidi="he-IL"/>
        </w:rPr>
        <w:t>ני</w:t>
      </w:r>
      <w:r w:rsidR="00C52ECB" w:rsidRPr="0011728C">
        <w:rPr>
          <w:rtl/>
        </w:rPr>
        <w:t>ח</w:t>
      </w:r>
      <w:r w:rsidR="00C52ECB">
        <w:rPr>
          <w:rFonts w:hint="cs"/>
          <w:rtl/>
          <w:lang w:bidi="he-IL"/>
        </w:rPr>
        <w:t>ו</w:t>
      </w:r>
      <w:r>
        <w:rPr>
          <w:lang w:bidi="he-IL"/>
        </w:rPr>
        <w:t xml:space="preserve">: </w:t>
      </w:r>
      <w:r w:rsidR="00C52ECB" w:rsidRPr="0011728C">
        <w:t xml:space="preserve">There are </w:t>
      </w:r>
      <w:r w:rsidR="00C52ECB">
        <w:t>two</w:t>
      </w:r>
      <w:r w:rsidR="00C52ECB" w:rsidRPr="0011728C">
        <w:t xml:space="preserve"> possible interpretations for th</w:t>
      </w:r>
      <w:r w:rsidR="00C52ECB">
        <w:t>is</w:t>
      </w:r>
      <w:r w:rsidR="00C52ECB" w:rsidRPr="0011728C">
        <w:t xml:space="preserve"> term: a cessation of sound</w:t>
      </w:r>
      <w:r w:rsidR="00AA117B">
        <w:t xml:space="preserve"> (</w:t>
      </w:r>
      <w:r w:rsidR="00C52ECB">
        <w:t>“</w:t>
      </w:r>
      <w:r w:rsidR="00AA117B">
        <w:t>P</w:t>
      </w:r>
      <w:r w:rsidR="00C52ECB" w:rsidRPr="0011728C">
        <w:t>ausa</w:t>
      </w:r>
      <w:r w:rsidR="00C52ECB">
        <w:t>”</w:t>
      </w:r>
      <w:r w:rsidR="00AA117B">
        <w:t>)</w:t>
      </w:r>
      <w:r w:rsidR="00C52ECB" w:rsidRPr="0011728C">
        <w:t xml:space="preserve">; </w:t>
      </w:r>
      <w:r w:rsidR="00C52ECB">
        <w:t xml:space="preserve">or </w:t>
      </w:r>
      <w:r w:rsidR="00C52ECB" w:rsidRPr="0011728C">
        <w:t xml:space="preserve">a </w:t>
      </w:r>
      <w:r w:rsidR="00C52ECB">
        <w:t>reduction of the pitch of the note</w:t>
      </w:r>
      <w:r w:rsidR="00C52ECB" w:rsidRPr="0011728C">
        <w:t>.</w:t>
      </w:r>
    </w:p>
    <w:p w14:paraId="045C2E4C" w14:textId="47B84EA6" w:rsidR="00C52ECB" w:rsidRDefault="00C52ECB" w:rsidP="002D1D4C">
      <w:r>
        <w:t xml:space="preserve">The uncertainty about the meaning of the terms </w:t>
      </w:r>
      <w:r w:rsidRPr="00E52737">
        <w:rPr>
          <w:rFonts w:hint="cs"/>
          <w:rtl/>
        </w:rPr>
        <w:t>יחישו</w:t>
      </w:r>
      <w:r>
        <w:t xml:space="preserve"> and </w:t>
      </w:r>
      <w:r w:rsidRPr="00E52737">
        <w:rPr>
          <w:rFonts w:hint="cs"/>
          <w:rtl/>
        </w:rPr>
        <w:t>יחשו</w:t>
      </w:r>
      <w:r>
        <w:t xml:space="preserve"> is further intensified by the</w:t>
      </w:r>
      <w:r w:rsidR="00DE177C">
        <w:t xml:space="preserve"> ambiguity of the expression </w:t>
      </w:r>
      <w:r w:rsidR="00DE177C" w:rsidRPr="00A45245">
        <w:rPr>
          <w:rFonts w:hint="cs"/>
          <w:rtl/>
        </w:rPr>
        <w:t>יניחו</w:t>
      </w:r>
      <w:r w:rsidR="00DE177C" w:rsidRPr="00E52737">
        <w:rPr>
          <w:rFonts w:hint="cs"/>
          <w:rtl/>
        </w:rPr>
        <w:t xml:space="preserve"> קול התרועה </w:t>
      </w:r>
      <w:r w:rsidR="00DE177C">
        <w:t xml:space="preserve">in 1QM 17:14. As noted above, the dominant opinion among scholars is that this phrase denotes the cessation of the sounding of the shofarot. However, in light of the interpretation of </w:t>
      </w:r>
      <w:r w:rsidR="00DE177C" w:rsidRPr="00E52737">
        <w:rPr>
          <w:rFonts w:hint="cs"/>
          <w:rtl/>
        </w:rPr>
        <w:t>קול נוח</w:t>
      </w:r>
      <w:r w:rsidR="00DE177C">
        <w:t xml:space="preserve"> brought above, as an expression for the reduction in the pitch of the note sounded by the trumpets, the term </w:t>
      </w:r>
      <w:r w:rsidR="00DE177C" w:rsidRPr="00A45245">
        <w:rPr>
          <w:rFonts w:hint="cs"/>
          <w:rtl/>
        </w:rPr>
        <w:t>יניחו</w:t>
      </w:r>
      <w:r w:rsidR="00DE177C">
        <w:t xml:space="preserve"> </w:t>
      </w:r>
      <w:r w:rsidR="00074423">
        <w:t>is</w:t>
      </w:r>
      <w:r w:rsidR="00DE177C">
        <w:t xml:space="preserve"> best interpreted as an expression for the reduction of the pitch of the note sounded by the shofarot, and not for the cessation of the sound, in conjunction with the beginning of the warriors’ casting of their weapons.</w:t>
      </w:r>
    </w:p>
    <w:p w14:paraId="3887A076" w14:textId="7A05F0BA" w:rsidR="009C60DA" w:rsidRDefault="00C52ECB">
      <w:pPr>
        <w:rPr>
          <w:lang w:bidi="he-IL"/>
        </w:rPr>
      </w:pPr>
      <w:r>
        <w:t xml:space="preserve">3. </w:t>
      </w:r>
      <w:r>
        <w:rPr>
          <w:rFonts w:hint="cs"/>
          <w:rtl/>
          <w:lang w:bidi="he-IL"/>
        </w:rPr>
        <w:t>קול אחד</w:t>
      </w:r>
      <w:r w:rsidR="009C60DA">
        <w:rPr>
          <w:lang w:bidi="he-IL"/>
        </w:rPr>
        <w:t>:</w:t>
      </w:r>
      <w:r w:rsidR="00DE177C">
        <w:rPr>
          <w:lang w:bidi="he-IL"/>
        </w:rPr>
        <w:t xml:space="preserve"> rhythmic synchronization</w:t>
      </w:r>
      <w:r w:rsidR="009C60DA">
        <w:rPr>
          <w:lang w:bidi="he-IL"/>
        </w:rPr>
        <w:t>;</w:t>
      </w:r>
      <w:r w:rsidR="00DE177C">
        <w:rPr>
          <w:lang w:bidi="he-IL"/>
        </w:rPr>
        <w:t xml:space="preserve"> </w:t>
      </w:r>
      <w:r w:rsidR="009C60DA">
        <w:rPr>
          <w:lang w:bidi="he-IL"/>
        </w:rPr>
        <w:t>producing a sound</w:t>
      </w:r>
      <w:r w:rsidR="00DE177C" w:rsidRPr="00DE177C">
        <w:rPr>
          <w:lang w:bidi="he-IL"/>
        </w:rPr>
        <w:t xml:space="preserve"> as one person, </w:t>
      </w:r>
      <w:r w:rsidR="009C60DA">
        <w:rPr>
          <w:lang w:bidi="he-IL"/>
        </w:rPr>
        <w:t>in</w:t>
      </w:r>
      <w:r w:rsidR="00DE177C" w:rsidRPr="00DE177C">
        <w:rPr>
          <w:lang w:bidi="he-IL"/>
        </w:rPr>
        <w:t xml:space="preserve"> one rhythmic key</w:t>
      </w:r>
      <w:r w:rsidR="00BE4956">
        <w:rPr>
          <w:lang w:bidi="he-IL"/>
        </w:rPr>
        <w:t>.</w:t>
      </w:r>
    </w:p>
    <w:p w14:paraId="1C0082CE" w14:textId="445BF076" w:rsidR="009C60DA" w:rsidRDefault="009C60DA">
      <w:pPr>
        <w:rPr>
          <w:lang w:bidi="he-IL"/>
        </w:rPr>
      </w:pPr>
      <w:r w:rsidRPr="009C60DA">
        <w:t xml:space="preserve">The term </w:t>
      </w:r>
      <w:r w:rsidRPr="009C60DA">
        <w:rPr>
          <w:rtl/>
        </w:rPr>
        <w:t>קול אחד</w:t>
      </w:r>
      <w:r w:rsidRPr="009C60DA">
        <w:t xml:space="preserve"> appears in 1QM 8:9</w:t>
      </w:r>
      <w:r w:rsidR="00EC33AA" w:rsidRPr="008F238E">
        <w:rPr>
          <w:sz w:val="20"/>
          <w:szCs w:val="20"/>
          <w:rtl/>
        </w:rPr>
        <w:t>–</w:t>
      </w:r>
      <w:r w:rsidRPr="009C60DA">
        <w:t>10, and seems to describe the simultaneous production of a sound by a number of participants: “the Levites and all the people with rams’ horns shall blow a great battle alarm together (</w:t>
      </w:r>
      <w:r w:rsidRPr="009C60DA">
        <w:rPr>
          <w:rtl/>
        </w:rPr>
        <w:t>קול אחד</w:t>
      </w:r>
      <w:r w:rsidRPr="009C60DA">
        <w:t xml:space="preserve">) in order to melt the heart of the enemy.” </w:t>
      </w:r>
      <w:r w:rsidR="00DE7B31">
        <w:t xml:space="preserve">Some scholars have rendered </w:t>
      </w:r>
      <w:r w:rsidRPr="009C60DA">
        <w:t xml:space="preserve">this term </w:t>
      </w:r>
      <w:r w:rsidR="00DE7B31">
        <w:t xml:space="preserve">as </w:t>
      </w:r>
      <w:r w:rsidRPr="009C60DA">
        <w:t>“together</w:t>
      </w:r>
      <w:r w:rsidR="00DE7B31">
        <w:t>,</w:t>
      </w:r>
      <w:r w:rsidRPr="009C60DA">
        <w:t>”</w:t>
      </w:r>
      <w:r w:rsidR="00DE7B31">
        <w:t xml:space="preserve"> which does not have a clearly defined musical meaning.</w:t>
      </w:r>
      <w:r w:rsidRPr="009C60DA">
        <w:rPr>
          <w:rStyle w:val="FootnoteReference"/>
        </w:rPr>
        <w:footnoteReference w:id="90"/>
      </w:r>
      <w:r w:rsidR="00DE7B31">
        <w:t xml:space="preserve"> There are three different ways in which this </w:t>
      </w:r>
      <w:r w:rsidR="00865838">
        <w:t xml:space="preserve">interpretation </w:t>
      </w:r>
      <w:r w:rsidR="00DE7B31">
        <w:t>could be understood, reflecting two different musical components: the absolute acoustic pitch or the rhythm. The first approach would be an expression of joint instrumental or vocal production of sound by a number of participants in one acoustic register, which is called “unison” in formal musical terminology.</w:t>
      </w:r>
      <w:r w:rsidR="00DE7B31">
        <w:rPr>
          <w:rStyle w:val="FootnoteReference"/>
        </w:rPr>
        <w:footnoteReference w:id="91"/>
      </w:r>
      <w:r w:rsidR="00865838">
        <w:t xml:space="preserve"> The second approach takes the term as describing the joint instrumental or vocal production of sound by </w:t>
      </w:r>
      <w:r w:rsidR="00074423">
        <w:t>several</w:t>
      </w:r>
      <w:r w:rsidR="00865838">
        <w:t xml:space="preserve"> participants in different acoustic registers, </w:t>
      </w:r>
      <w:r w:rsidR="00865838">
        <w:rPr>
          <w:lang w:bidi="he-IL"/>
        </w:rPr>
        <w:t xml:space="preserve">but with a unified beat, which may be termed, “rhythmic unison.” The third approach combines the previous two; i.e., instrumental or vocal sound production by multiple participants in a single acoustic register and a uniform beat. Other scholars have translated </w:t>
      </w:r>
      <w:r w:rsidR="00865838">
        <w:rPr>
          <w:rFonts w:hint="cs"/>
          <w:rtl/>
          <w:lang w:bidi="he-IL"/>
        </w:rPr>
        <w:t>קול אחד</w:t>
      </w:r>
      <w:r w:rsidR="00865838">
        <w:rPr>
          <w:lang w:bidi="he-IL"/>
        </w:rPr>
        <w:t xml:space="preserve"> as “single blast” or “single note”</w:t>
      </w:r>
      <w:r w:rsidR="00066696">
        <w:rPr>
          <w:lang w:bidi="he-IL"/>
        </w:rPr>
        <w:t>.</w:t>
      </w:r>
      <w:r w:rsidR="00865838">
        <w:rPr>
          <w:rStyle w:val="FootnoteReference"/>
          <w:lang w:bidi="he-IL"/>
        </w:rPr>
        <w:footnoteReference w:id="92"/>
      </w:r>
      <w:r w:rsidR="00865838">
        <w:rPr>
          <w:lang w:bidi="he-IL"/>
        </w:rPr>
        <w:t xml:space="preserve"> This interpretation is also not clearly defined musically, since the word “single” can be understood as the sounding of t</w:t>
      </w:r>
      <w:r w:rsidR="00865838" w:rsidRPr="0022301D">
        <w:rPr>
          <w:lang w:bidi="he-IL"/>
        </w:rPr>
        <w:t xml:space="preserve">he shofarot in a single acoustic register (“unison”) or as the sounding of a </w:t>
      </w:r>
      <w:r w:rsidR="00C90A86" w:rsidRPr="0022301D">
        <w:rPr>
          <w:lang w:bidi="he-IL"/>
        </w:rPr>
        <w:t xml:space="preserve">very short, </w:t>
      </w:r>
      <w:r w:rsidR="00066696" w:rsidRPr="0022301D">
        <w:rPr>
          <w:lang w:bidi="he-IL"/>
        </w:rPr>
        <w:t>single</w:t>
      </w:r>
      <w:r w:rsidR="00C90A86" w:rsidRPr="0022301D">
        <w:rPr>
          <w:lang w:bidi="he-IL"/>
        </w:rPr>
        <w:t xml:space="preserve"> note.</w:t>
      </w:r>
    </w:p>
    <w:p w14:paraId="18684F7A" w14:textId="0F999A44" w:rsidR="00C90A86" w:rsidRPr="00C90A86" w:rsidRDefault="00C90A86">
      <w:pPr>
        <w:rPr>
          <w:lang w:bidi="he-IL"/>
        </w:rPr>
      </w:pPr>
      <w:r>
        <w:rPr>
          <w:lang w:bidi="he-IL"/>
        </w:rPr>
        <w:t xml:space="preserve">The term </w:t>
      </w:r>
      <w:r>
        <w:rPr>
          <w:rFonts w:hint="cs"/>
          <w:rtl/>
          <w:lang w:bidi="he-IL"/>
        </w:rPr>
        <w:t>קול אחד</w:t>
      </w:r>
      <w:r>
        <w:rPr>
          <w:lang w:bidi="he-IL"/>
        </w:rPr>
        <w:t xml:space="preserve"> most likely occurs in 4Q491 13, 8, where it is partially restored in the context of a statement spoken by the nation: “</w:t>
      </w:r>
      <w:r>
        <w:t>[ and] all the people shall answer, raising [on]e voice, and say</w:t>
      </w:r>
    </w:p>
    <w:p w14:paraId="5AFD12B1" w14:textId="3BAD79BB" w:rsidR="00C90A86" w:rsidRDefault="00C90A86">
      <w:pPr>
        <w:rPr>
          <w:lang w:bidi="he-IL"/>
        </w:rPr>
      </w:pPr>
      <w:r>
        <w:rPr>
          <w:lang w:bidi="he-IL"/>
        </w:rPr>
        <w:t>(</w:t>
      </w:r>
      <w:r>
        <w:rPr>
          <w:rFonts w:hint="cs"/>
          <w:rtl/>
          <w:lang w:bidi="he-IL"/>
        </w:rPr>
        <w:t>ענו כל העם והרימו קול [אח]ד ואמרו</w:t>
      </w:r>
      <w:r>
        <w:rPr>
          <w:lang w:bidi="he-IL"/>
        </w:rPr>
        <w:t>[</w:t>
      </w:r>
      <w:r>
        <w:rPr>
          <w:rFonts w:hint="cs"/>
          <w:rtl/>
          <w:lang w:bidi="he-IL"/>
        </w:rPr>
        <w:t>ו</w:t>
      </w:r>
      <w:r>
        <w:rPr>
          <w:lang w:bidi="he-IL"/>
        </w:rPr>
        <w:t>]).”</w:t>
      </w:r>
    </w:p>
    <w:p w14:paraId="74FB02D4" w14:textId="489B4BD6" w:rsidR="00C90A86" w:rsidRDefault="00C90A86">
      <w:pPr>
        <w:rPr>
          <w:lang w:bidi="he-IL"/>
        </w:rPr>
      </w:pPr>
      <w:r>
        <w:rPr>
          <w:lang w:bidi="he-IL"/>
        </w:rPr>
        <w:t xml:space="preserve">In contrast to the other sound-related terms in 1QM, which, as noted, are not known from any other ancient sources, the term </w:t>
      </w:r>
      <w:r>
        <w:rPr>
          <w:rFonts w:hint="cs"/>
          <w:rtl/>
          <w:lang w:bidi="he-IL"/>
        </w:rPr>
        <w:t>קול אחד</w:t>
      </w:r>
      <w:r>
        <w:rPr>
          <w:lang w:bidi="he-IL"/>
        </w:rPr>
        <w:t xml:space="preserve"> is also attested in </w:t>
      </w:r>
      <w:r w:rsidR="008D1BE5">
        <w:rPr>
          <w:lang w:bidi="he-IL"/>
        </w:rPr>
        <w:t>b</w:t>
      </w:r>
      <w:r>
        <w:rPr>
          <w:lang w:bidi="he-IL"/>
        </w:rPr>
        <w:t>iblical Hebrew as an expression for joint speech by the</w:t>
      </w:r>
      <w:r w:rsidR="0022301D">
        <w:rPr>
          <w:lang w:bidi="he-IL"/>
        </w:rPr>
        <w:t xml:space="preserve"> people</w:t>
      </w:r>
      <w:r>
        <w:rPr>
          <w:lang w:bidi="he-IL"/>
        </w:rPr>
        <w:t>, and as an expression for the simultaneous use of a large number of instruments:</w:t>
      </w:r>
    </w:p>
    <w:p w14:paraId="7A71A64A" w14:textId="6D612090" w:rsidR="00BB7D5F" w:rsidRPr="00652579" w:rsidRDefault="002745E2" w:rsidP="00507985">
      <w:pPr>
        <w:ind w:left="576"/>
      </w:pPr>
      <w:r w:rsidRPr="00652579">
        <w:t>Exod 24:3 “a</w:t>
      </w:r>
      <w:r w:rsidRPr="00652579">
        <w:rPr>
          <w:rFonts w:eastAsiaTheme="minorHAnsi"/>
        </w:rPr>
        <w:t>nd all the people answered with one voice (</w:t>
      </w:r>
      <w:r w:rsidRPr="00652579">
        <w:rPr>
          <w:rtl/>
        </w:rPr>
        <w:t>קול אחד</w:t>
      </w:r>
      <w:r w:rsidRPr="00652579">
        <w:rPr>
          <w:rFonts w:eastAsiaTheme="minorHAnsi"/>
        </w:rPr>
        <w:t>).</w:t>
      </w:r>
      <w:r w:rsidRPr="00652579">
        <w:t>”</w:t>
      </w:r>
    </w:p>
    <w:p w14:paraId="75054E3B" w14:textId="08B9202B" w:rsidR="00BB7D5F" w:rsidRDefault="002745E2" w:rsidP="00507985">
      <w:pPr>
        <w:ind w:left="576"/>
        <w:rPr>
          <w:rtl/>
        </w:rPr>
      </w:pPr>
      <w:r w:rsidRPr="00652579">
        <w:t>2Chron 5:12</w:t>
      </w:r>
      <w:r w:rsidR="00652579" w:rsidRPr="00652579">
        <w:t>: “</w:t>
      </w:r>
      <w:r w:rsidRPr="00652579">
        <w:rPr>
          <w:rFonts w:eastAsiaTheme="minorHAnsi"/>
        </w:rPr>
        <w:t xml:space="preserve">all the Levite singers, Asaph, Heman, Jeduthun, their sons and their brothers, dressed in fine linen, holding cymbals, harps, and lyres, were standing to the east of the altar, and with them were 120 priests who blew trumpets. The trumpeters and the singers </w:t>
      </w:r>
      <w:r w:rsidR="00981CFD" w:rsidRPr="00652579">
        <w:rPr>
          <w:rFonts w:eastAsiaTheme="minorHAnsi"/>
        </w:rPr>
        <w:t xml:space="preserve">joined </w:t>
      </w:r>
      <w:r w:rsidR="00A24C22">
        <w:rPr>
          <w:rFonts w:eastAsiaTheme="minorHAnsi"/>
          <w:lang w:bidi="he-IL"/>
        </w:rPr>
        <w:t xml:space="preserve">together </w:t>
      </w:r>
      <w:r w:rsidR="00652579">
        <w:rPr>
          <w:rFonts w:eastAsiaTheme="minorHAnsi"/>
        </w:rPr>
        <w:t>(</w:t>
      </w:r>
      <w:r w:rsidR="00652579">
        <w:rPr>
          <w:rFonts w:eastAsiaTheme="minorHAnsi" w:hint="cs"/>
          <w:rtl/>
          <w:lang w:bidi="he-IL"/>
        </w:rPr>
        <w:t xml:space="preserve">להשמיע </w:t>
      </w:r>
      <w:r w:rsidR="00652579" w:rsidRPr="00E52737">
        <w:rPr>
          <w:rFonts w:hint="cs"/>
          <w:rtl/>
        </w:rPr>
        <w:t>קול אחד</w:t>
      </w:r>
      <w:r w:rsidR="00652579" w:rsidRPr="00652579">
        <w:rPr>
          <w:rFonts w:hint="cs"/>
          <w:rtl/>
        </w:rPr>
        <w:t xml:space="preserve"> </w:t>
      </w:r>
      <w:r w:rsidR="00652579">
        <w:t>…</w:t>
      </w:r>
      <w:r w:rsidR="00652579" w:rsidRPr="00E52737">
        <w:rPr>
          <w:rFonts w:hint="cs"/>
          <w:rtl/>
        </w:rPr>
        <w:t>ויהי כאחד</w:t>
      </w:r>
      <w:r w:rsidR="00652579">
        <w:rPr>
          <w:rFonts w:eastAsiaTheme="minorHAnsi"/>
        </w:rPr>
        <w:t xml:space="preserve">) </w:t>
      </w:r>
      <w:r w:rsidRPr="00652579">
        <w:rPr>
          <w:rFonts w:eastAsiaTheme="minorHAnsi"/>
        </w:rPr>
        <w:t>to praise and extol the LORD; and as the sound of the trumpets, cymbals, and other musical instruments, and the praise of the LORD</w:t>
      </w:r>
      <w:r w:rsidR="00652579" w:rsidRPr="00652579">
        <w:rPr>
          <w:rFonts w:eastAsiaTheme="minorHAnsi"/>
        </w:rPr>
        <w:t>…”</w:t>
      </w:r>
    </w:p>
    <w:p w14:paraId="3340524F" w14:textId="45A272E5" w:rsidR="00981CFD" w:rsidRDefault="00981CFD" w:rsidP="00D87D69">
      <w:pPr>
        <w:rPr>
          <w:rtl/>
        </w:rPr>
      </w:pPr>
    </w:p>
    <w:p w14:paraId="22E4DC79" w14:textId="2752B1BE" w:rsidR="0023183D" w:rsidRPr="004F6B19" w:rsidRDefault="00981CFD" w:rsidP="00283890">
      <w:pPr>
        <w:rPr>
          <w:rtl/>
          <w:lang w:bidi="he-IL"/>
        </w:rPr>
      </w:pPr>
      <w:r>
        <w:t xml:space="preserve">These descriptions pose a challenge to the interpretation of </w:t>
      </w:r>
      <w:r>
        <w:rPr>
          <w:rFonts w:hint="cs"/>
          <w:rtl/>
          <w:lang w:bidi="he-IL"/>
        </w:rPr>
        <w:t>קול אחד</w:t>
      </w:r>
      <w:r>
        <w:rPr>
          <w:lang w:bidi="he-IL"/>
        </w:rPr>
        <w:t xml:space="preserve"> as an expression for the production </w:t>
      </w:r>
      <w:r w:rsidRPr="002F6529">
        <w:rPr>
          <w:lang w:bidi="he-IL"/>
        </w:rPr>
        <w:t xml:space="preserve">of </w:t>
      </w:r>
      <w:r w:rsidR="00F31B74" w:rsidRPr="00831C3C">
        <w:t xml:space="preserve">the same notes simultaneously by different voices or instruments </w:t>
      </w:r>
      <w:r>
        <w:rPr>
          <w:lang w:bidi="he-IL"/>
        </w:rPr>
        <w:t xml:space="preserve">for two reasons. First, </w:t>
      </w:r>
      <w:r w:rsidR="002B60D3">
        <w:rPr>
          <w:lang w:bidi="he-IL"/>
        </w:rPr>
        <w:t xml:space="preserve">using a large number of shofarot to sound the same note </w:t>
      </w:r>
      <w:r>
        <w:rPr>
          <w:lang w:bidi="he-IL"/>
        </w:rPr>
        <w:t xml:space="preserve">is possible, it would require a high level of expertise on the part of those </w:t>
      </w:r>
      <w:r w:rsidR="00AB1E9D">
        <w:rPr>
          <w:lang w:bidi="he-IL"/>
        </w:rPr>
        <w:t xml:space="preserve">sounding the shofarot. Moreover, the descriptions in 4Q491 13, 8 and in Exodus do not use the term </w:t>
      </w:r>
      <w:r w:rsidR="00AB1E9D">
        <w:rPr>
          <w:rFonts w:hint="cs"/>
          <w:rtl/>
          <w:lang w:bidi="he-IL"/>
        </w:rPr>
        <w:t>קול אחד</w:t>
      </w:r>
      <w:r w:rsidR="00AB1E9D">
        <w:rPr>
          <w:lang w:bidi="he-IL"/>
        </w:rPr>
        <w:t xml:space="preserve"> in reference to musical instruments but rather to </w:t>
      </w:r>
      <w:r w:rsidR="004F6B19">
        <w:rPr>
          <w:lang w:bidi="he-IL"/>
        </w:rPr>
        <w:t>the spoken word</w:t>
      </w:r>
      <w:r w:rsidR="00AB1E9D">
        <w:rPr>
          <w:lang w:bidi="he-IL"/>
        </w:rPr>
        <w:t xml:space="preserve">, </w:t>
      </w:r>
      <w:r w:rsidR="004F6B19">
        <w:rPr>
          <w:lang w:bidi="he-IL"/>
        </w:rPr>
        <w:t>describing</w:t>
      </w:r>
      <w:r w:rsidR="00AB1E9D">
        <w:rPr>
          <w:lang w:bidi="he-IL"/>
        </w:rPr>
        <w:t xml:space="preserve"> statement</w:t>
      </w:r>
      <w:r w:rsidR="004F6B19">
        <w:rPr>
          <w:lang w:bidi="he-IL"/>
        </w:rPr>
        <w:t>s</w:t>
      </w:r>
      <w:r w:rsidR="00AB1E9D">
        <w:rPr>
          <w:lang w:bidi="he-IL"/>
        </w:rPr>
        <w:t xml:space="preserve"> being made by a large group of people. Although human speech does take place in a tonal register, it is not plausible that the entire nation would have responded in a single pitch. The more reasonable interpretation is that the nation “responded” (</w:t>
      </w:r>
      <w:r w:rsidR="00AB1E9D">
        <w:rPr>
          <w:rFonts w:hint="cs"/>
          <w:rtl/>
          <w:lang w:bidi="he-IL"/>
        </w:rPr>
        <w:t>ענו</w:t>
      </w:r>
      <w:r w:rsidR="00AB1E9D">
        <w:rPr>
          <w:lang w:bidi="he-IL"/>
        </w:rPr>
        <w:t>) and “spoke” (</w:t>
      </w:r>
      <w:r w:rsidR="00AB1E9D">
        <w:rPr>
          <w:rFonts w:hint="cs"/>
          <w:rtl/>
          <w:lang w:bidi="he-IL"/>
        </w:rPr>
        <w:t>אמרו</w:t>
      </w:r>
      <w:r w:rsidR="00AB1E9D">
        <w:rPr>
          <w:lang w:bidi="he-IL"/>
        </w:rPr>
        <w:t xml:space="preserve">) together, each </w:t>
      </w:r>
      <w:r w:rsidR="00AB1E9D" w:rsidRPr="00AB1E9D">
        <w:rPr>
          <w:lang w:bidi="he-IL"/>
        </w:rPr>
        <w:t>person in their own voice, and not in a single absolute unified pitch. In addition, 2Chron 5:12</w:t>
      </w:r>
      <w:r w:rsidR="00AB1E9D" w:rsidRPr="00AB1E9D">
        <w:rPr>
          <w:rtl/>
        </w:rPr>
        <w:t>–</w:t>
      </w:r>
      <w:r w:rsidR="00AB1E9D">
        <w:t xml:space="preserve">13 describes the simultaneous use of a large number of </w:t>
      </w:r>
      <w:r w:rsidR="007864D5">
        <w:t>instruments of various types. It could be feasible to produce sounds in a single unified pitch using trumpets, harps, and lyres. However, since the Levites’ instrument</w:t>
      </w:r>
      <w:r w:rsidR="004A4FD0">
        <w:t xml:space="preserve"> ensemble</w:t>
      </w:r>
      <w:r w:rsidR="007864D5">
        <w:t xml:space="preserve"> also included cymbals</w:t>
      </w:r>
      <w:r w:rsidR="004F6B19">
        <w:t xml:space="preserve">, </w:t>
      </w:r>
      <w:r w:rsidR="004A4FD0">
        <w:t>which produce a</w:t>
      </w:r>
      <w:r w:rsidR="004F6B19">
        <w:t xml:space="preserve"> metallic and undefined</w:t>
      </w:r>
      <w:r w:rsidR="004A4FD0">
        <w:t xml:space="preserve"> sound</w:t>
      </w:r>
      <w:r w:rsidR="004F6B19">
        <w:t>, it is not plausible that they could have been used to produce a sound identical in pitch to that of the other instruments.</w:t>
      </w:r>
    </w:p>
    <w:p w14:paraId="4D0086D4" w14:textId="2ED18D99" w:rsidR="0023183D" w:rsidRPr="004F6B19" w:rsidRDefault="0023183D">
      <w:pPr>
        <w:rPr>
          <w:rtl/>
        </w:rPr>
      </w:pPr>
      <w:r w:rsidRPr="0023183D">
        <w:t xml:space="preserve">Therefore, in my opinion, the term </w:t>
      </w:r>
      <w:r w:rsidR="003068C2">
        <w:rPr>
          <w:rFonts w:hint="cs"/>
          <w:rtl/>
          <w:lang w:bidi="he-IL"/>
        </w:rPr>
        <w:t>קול אחד</w:t>
      </w:r>
      <w:r w:rsidR="003068C2">
        <w:t xml:space="preserve"> s</w:t>
      </w:r>
      <w:r w:rsidRPr="0023183D">
        <w:t xml:space="preserve">hould be seen as an expression for </w:t>
      </w:r>
      <w:r w:rsidR="004F6B19">
        <w:t>the synchronized production of sound by multiple participants with uniform timing</w:t>
      </w:r>
      <w:r w:rsidRPr="0023183D">
        <w:t xml:space="preserve">, which can be called: </w:t>
      </w:r>
      <w:r w:rsidR="003068C2">
        <w:t>“</w:t>
      </w:r>
      <w:r w:rsidRPr="0023183D">
        <w:t>rhythmic unison.</w:t>
      </w:r>
      <w:r w:rsidR="003068C2">
        <w:t>”</w:t>
      </w:r>
      <w:r w:rsidRPr="0023183D">
        <w:t xml:space="preserve"> If this interpretation is correct, </w:t>
      </w:r>
      <w:r w:rsidR="004F6B19">
        <w:t xml:space="preserve">then the function of the </w:t>
      </w:r>
      <w:r w:rsidRPr="0023183D">
        <w:t xml:space="preserve">term </w:t>
      </w:r>
      <w:r w:rsidR="003068C2">
        <w:rPr>
          <w:rFonts w:hint="cs"/>
          <w:rtl/>
          <w:lang w:bidi="he-IL"/>
        </w:rPr>
        <w:t>קול אחד</w:t>
      </w:r>
      <w:r w:rsidR="003068C2">
        <w:t xml:space="preserve"> </w:t>
      </w:r>
      <w:r w:rsidRPr="0023183D">
        <w:t>in columns 8</w:t>
      </w:r>
      <w:r w:rsidR="00981CFD" w:rsidRPr="005433A8">
        <w:rPr>
          <w:rFonts w:asciiTheme="majorBidi" w:hAnsiTheme="majorBidi"/>
          <w:rtl/>
        </w:rPr>
        <w:t>–</w:t>
      </w:r>
      <w:r w:rsidRPr="0023183D">
        <w:t>9 (</w:t>
      </w:r>
      <w:r w:rsidR="004F6B19">
        <w:t>“and the Levites and all the people with shofarot shall blow a great battle alarm together”</w:t>
      </w:r>
      <w:r w:rsidRPr="0023183D">
        <w:t xml:space="preserve">), </w:t>
      </w:r>
      <w:r w:rsidR="004F6B19">
        <w:t xml:space="preserve">is to </w:t>
      </w:r>
      <w:r w:rsidRPr="0023183D">
        <w:t xml:space="preserve">describe the sounding of the </w:t>
      </w:r>
      <w:r w:rsidR="00685333">
        <w:t>shofarot</w:t>
      </w:r>
      <w:r w:rsidRPr="0023183D">
        <w:t xml:space="preserve"> by the Levites and the people as</w:t>
      </w:r>
      <w:r w:rsidR="00031D6E">
        <w:t xml:space="preserve"> their </w:t>
      </w:r>
      <w:r w:rsidR="002E7391">
        <w:t xml:space="preserve">all sounding shofarot in </w:t>
      </w:r>
      <w:r w:rsidRPr="0023183D">
        <w:t xml:space="preserve">rhythmic </w:t>
      </w:r>
      <w:r w:rsidR="002E7391">
        <w:t>unison</w:t>
      </w:r>
      <w:r w:rsidR="007A53CD">
        <w:t>.</w:t>
      </w:r>
    </w:p>
    <w:p w14:paraId="79118963" w14:textId="42EB9A17" w:rsidR="002500E0" w:rsidRDefault="002B60D3">
      <w:r>
        <w:t>&lt;H1&gt;</w:t>
      </w:r>
      <w:r w:rsidR="002500E0" w:rsidRPr="002500E0">
        <w:t>C</w:t>
      </w:r>
      <w:r w:rsidR="002500E0">
        <w:t>onclusion</w:t>
      </w:r>
    </w:p>
    <w:p w14:paraId="50B1CC9A" w14:textId="75DD24B8" w:rsidR="0011728C" w:rsidRDefault="002500E0">
      <w:pPr>
        <w:rPr>
          <w:color w:val="000000"/>
          <w:sz w:val="27"/>
          <w:szCs w:val="27"/>
        </w:rPr>
      </w:pPr>
      <w:r>
        <w:t xml:space="preserve">This article examined the </w:t>
      </w:r>
      <w:r w:rsidR="002B60D3">
        <w:t xml:space="preserve">musicological </w:t>
      </w:r>
      <w:r>
        <w:t xml:space="preserve">aspects of the description of the use of trumpets and shofarot in the War Scroll. The information in 1QM is an important addition to the scant </w:t>
      </w:r>
      <w:r w:rsidR="003068C2">
        <w:t>available knowledge</w:t>
      </w:r>
      <w:r>
        <w:t xml:space="preserve"> about musical terminology in antiquity</w:t>
      </w:r>
      <w:r w:rsidR="002B60D3">
        <w:t xml:space="preserve"> in</w:t>
      </w:r>
      <w:r>
        <w:t xml:space="preserve"> general, and in Second Temple Judaism in particular. For example, </w:t>
      </w:r>
      <w:r w:rsidR="003068C2">
        <w:t xml:space="preserve">the expressions </w:t>
      </w:r>
      <w:r w:rsidR="003068C2">
        <w:rPr>
          <w:rFonts w:hint="cs"/>
          <w:rtl/>
        </w:rPr>
        <w:t>קול</w:t>
      </w:r>
      <w:r w:rsidR="003068C2" w:rsidRPr="00400F6C">
        <w:rPr>
          <w:rFonts w:hint="cs"/>
          <w:rtl/>
        </w:rPr>
        <w:t xml:space="preserve"> </w:t>
      </w:r>
      <w:r w:rsidR="003068C2" w:rsidRPr="00295B39">
        <w:rPr>
          <w:rFonts w:hint="cs"/>
          <w:rtl/>
        </w:rPr>
        <w:t>חד טרוד</w:t>
      </w:r>
      <w:r>
        <w:t xml:space="preserve"> and </w:t>
      </w:r>
      <w:r w:rsidR="003068C2" w:rsidRPr="00295B39">
        <w:rPr>
          <w:rFonts w:hint="cs"/>
          <w:rtl/>
        </w:rPr>
        <w:t>קול נוח וסמוך</w:t>
      </w:r>
      <w:r>
        <w:t xml:space="preserve">, </w:t>
      </w:r>
      <w:r w:rsidR="006131F1">
        <w:t xml:space="preserve">and the other terms we </w:t>
      </w:r>
      <w:r w:rsidR="003068C2">
        <w:t xml:space="preserve">have </w:t>
      </w:r>
      <w:r w:rsidR="006131F1">
        <w:t xml:space="preserve">examined yield a kind of “musical lexicon” that </w:t>
      </w:r>
      <w:r w:rsidR="00524BF2">
        <w:t>provides</w:t>
      </w:r>
      <w:r w:rsidR="006131F1">
        <w:t xml:space="preserve"> interpretations of terms describing the </w:t>
      </w:r>
      <w:r w:rsidR="00524BF2">
        <w:t xml:space="preserve">acoustic </w:t>
      </w:r>
      <w:r w:rsidR="006131F1">
        <w:t xml:space="preserve">properties of the trumpets during battle, as well as the combination of trumpets and shofarot and </w:t>
      </w:r>
      <w:r w:rsidR="00524BF2">
        <w:t>its</w:t>
      </w:r>
      <w:r w:rsidR="006131F1">
        <w:t xml:space="preserve"> purpose.</w:t>
      </w:r>
      <w:r w:rsidR="00C90A86">
        <w:rPr>
          <w:rStyle w:val="jlqj4b"/>
        </w:rPr>
        <w:t xml:space="preserve"> </w:t>
      </w:r>
      <w:r w:rsidRPr="00C90A86">
        <w:rPr>
          <w:rStyle w:val="jlqj4b"/>
          <w:color w:val="000000"/>
          <w:lang w:val="en"/>
        </w:rPr>
        <w:t xml:space="preserve">According to these interpretations, the use of </w:t>
      </w:r>
      <w:r w:rsidR="00C90A86">
        <w:rPr>
          <w:rStyle w:val="jlqj4b"/>
          <w:color w:val="000000"/>
          <w:lang w:val="en"/>
        </w:rPr>
        <w:t xml:space="preserve">these </w:t>
      </w:r>
      <w:r w:rsidRPr="00C90A86">
        <w:rPr>
          <w:rStyle w:val="jlqj4b"/>
          <w:color w:val="000000"/>
          <w:lang w:val="en"/>
        </w:rPr>
        <w:t xml:space="preserve">instruments included a variety of types of sounds played at different acoustic </w:t>
      </w:r>
      <w:r w:rsidR="00C90A86">
        <w:rPr>
          <w:rStyle w:val="jlqj4b"/>
          <w:color w:val="000000"/>
          <w:lang w:val="en"/>
        </w:rPr>
        <w:t>pitches</w:t>
      </w:r>
      <w:r w:rsidRPr="00C90A86">
        <w:rPr>
          <w:rStyle w:val="jlqj4b"/>
          <w:color w:val="000000"/>
          <w:lang w:val="en"/>
        </w:rPr>
        <w:t xml:space="preserve">, </w:t>
      </w:r>
      <w:r w:rsidR="00756D2C">
        <w:rPr>
          <w:rStyle w:val="jlqj4b"/>
          <w:color w:val="000000"/>
          <w:lang w:val="en"/>
        </w:rPr>
        <w:t xml:space="preserve">at powerful </w:t>
      </w:r>
      <w:r w:rsidRPr="00C90A86">
        <w:rPr>
          <w:rStyle w:val="jlqj4b"/>
          <w:color w:val="000000"/>
          <w:lang w:val="en"/>
        </w:rPr>
        <w:t>volume</w:t>
      </w:r>
      <w:r w:rsidR="002E7391">
        <w:rPr>
          <w:rStyle w:val="jlqj4b"/>
          <w:color w:val="000000"/>
          <w:lang w:val="en"/>
        </w:rPr>
        <w:t>s</w:t>
      </w:r>
      <w:r w:rsidRPr="00C90A86">
        <w:rPr>
          <w:rStyle w:val="jlqj4b"/>
          <w:color w:val="000000"/>
          <w:lang w:val="en"/>
        </w:rPr>
        <w:t xml:space="preserve">, </w:t>
      </w:r>
      <w:r w:rsidR="00756D2C">
        <w:rPr>
          <w:rStyle w:val="jlqj4b"/>
          <w:color w:val="000000"/>
          <w:lang w:val="en"/>
        </w:rPr>
        <w:t>in</w:t>
      </w:r>
      <w:r w:rsidRPr="00C90A86">
        <w:rPr>
          <w:rStyle w:val="jlqj4b"/>
          <w:color w:val="000000"/>
          <w:lang w:val="en"/>
        </w:rPr>
        <w:t xml:space="preserve"> different rhythm</w:t>
      </w:r>
      <w:r w:rsidR="00756D2C">
        <w:rPr>
          <w:rStyle w:val="jlqj4b"/>
          <w:color w:val="000000"/>
          <w:lang w:val="en"/>
        </w:rPr>
        <w:t>ic beat</w:t>
      </w:r>
      <w:r w:rsidRPr="00C90A86">
        <w:rPr>
          <w:rStyle w:val="jlqj4b"/>
          <w:color w:val="000000"/>
          <w:lang w:val="en"/>
        </w:rPr>
        <w:t xml:space="preserve">s and durations. In addition to contributing to </w:t>
      </w:r>
      <w:r w:rsidR="00756D2C">
        <w:rPr>
          <w:rStyle w:val="jlqj4b"/>
          <w:color w:val="000000"/>
          <w:lang w:val="en"/>
        </w:rPr>
        <w:t xml:space="preserve">the </w:t>
      </w:r>
      <w:r w:rsidRPr="00C90A86">
        <w:rPr>
          <w:rStyle w:val="jlqj4b"/>
          <w:color w:val="000000"/>
          <w:lang w:val="en"/>
        </w:rPr>
        <w:t xml:space="preserve">understanding of the </w:t>
      </w:r>
      <w:r w:rsidR="00756D2C">
        <w:rPr>
          <w:rStyle w:val="jlqj4b"/>
          <w:color w:val="000000"/>
          <w:lang w:val="en"/>
        </w:rPr>
        <w:t>musical</w:t>
      </w:r>
      <w:r w:rsidRPr="00C90A86">
        <w:rPr>
          <w:rStyle w:val="jlqj4b"/>
          <w:color w:val="000000"/>
          <w:lang w:val="en"/>
        </w:rPr>
        <w:t xml:space="preserve"> terms that appear in </w:t>
      </w:r>
      <w:r w:rsidR="00756D2C">
        <w:rPr>
          <w:rStyle w:val="jlqj4b"/>
          <w:color w:val="000000"/>
          <w:lang w:val="en"/>
        </w:rPr>
        <w:t>1QM</w:t>
      </w:r>
      <w:r w:rsidRPr="00C90A86">
        <w:rPr>
          <w:rStyle w:val="jlqj4b"/>
          <w:color w:val="000000"/>
          <w:lang w:val="en"/>
        </w:rPr>
        <w:t xml:space="preserve">, this study expands our understanding of how trumpets and </w:t>
      </w:r>
      <w:r w:rsidR="00756D2C">
        <w:rPr>
          <w:rStyle w:val="jlqj4b"/>
          <w:color w:val="000000"/>
          <w:lang w:val="en"/>
        </w:rPr>
        <w:t>shofarot</w:t>
      </w:r>
      <w:r w:rsidRPr="00C90A86">
        <w:rPr>
          <w:rStyle w:val="jlqj4b"/>
          <w:color w:val="000000"/>
          <w:lang w:val="en"/>
        </w:rPr>
        <w:t xml:space="preserve"> </w:t>
      </w:r>
      <w:r w:rsidR="00756D2C">
        <w:rPr>
          <w:rStyle w:val="jlqj4b"/>
          <w:color w:val="000000"/>
          <w:lang w:val="en"/>
        </w:rPr>
        <w:t>wer</w:t>
      </w:r>
      <w:r w:rsidRPr="00C90A86">
        <w:rPr>
          <w:rStyle w:val="jlqj4b"/>
          <w:color w:val="000000"/>
          <w:lang w:val="en"/>
        </w:rPr>
        <w:t>e used in ancient warfare</w:t>
      </w:r>
      <w:r w:rsidR="00756D2C">
        <w:rPr>
          <w:rStyle w:val="jlqj4b"/>
          <w:color w:val="000000"/>
          <w:lang w:val="en"/>
        </w:rPr>
        <w:t>. It</w:t>
      </w:r>
      <w:r w:rsidRPr="00C90A86">
        <w:rPr>
          <w:rStyle w:val="jlqj4b"/>
          <w:color w:val="000000"/>
          <w:lang w:val="en"/>
        </w:rPr>
        <w:t xml:space="preserve"> </w:t>
      </w:r>
      <w:r w:rsidRPr="00756D2C">
        <w:rPr>
          <w:rStyle w:val="jlqj4b"/>
          <w:color w:val="000000"/>
          <w:lang w:val="en"/>
        </w:rPr>
        <w:t xml:space="preserve">opens a window to understanding </w:t>
      </w:r>
      <w:r w:rsidR="00756D2C" w:rsidRPr="00756D2C">
        <w:rPr>
          <w:rStyle w:val="jlqj4b"/>
          <w:color w:val="000000"/>
          <w:lang w:val="en"/>
        </w:rPr>
        <w:t xml:space="preserve">the </w:t>
      </w:r>
      <w:r w:rsidRPr="00756D2C">
        <w:rPr>
          <w:rStyle w:val="jlqj4b"/>
          <w:color w:val="000000"/>
          <w:lang w:val="en"/>
        </w:rPr>
        <w:t>rich musical language th</w:t>
      </w:r>
      <w:r w:rsidR="00756D2C" w:rsidRPr="00756D2C">
        <w:rPr>
          <w:rStyle w:val="jlqj4b"/>
          <w:color w:val="000000"/>
          <w:lang w:val="en"/>
        </w:rPr>
        <w:t xml:space="preserve">at was familiar to the Dead Sea </w:t>
      </w:r>
      <w:r w:rsidRPr="00756D2C">
        <w:rPr>
          <w:rStyle w:val="jlqj4b"/>
          <w:color w:val="000000"/>
          <w:lang w:val="en"/>
        </w:rPr>
        <w:t xml:space="preserve">sect and perhaps </w:t>
      </w:r>
      <w:r w:rsidR="00756D2C" w:rsidRPr="00756D2C">
        <w:rPr>
          <w:rStyle w:val="jlqj4b"/>
          <w:color w:val="000000"/>
          <w:lang w:val="en"/>
        </w:rPr>
        <w:t xml:space="preserve">also </w:t>
      </w:r>
      <w:r w:rsidRPr="00756D2C">
        <w:rPr>
          <w:rStyle w:val="jlqj4b"/>
          <w:color w:val="000000"/>
          <w:lang w:val="en"/>
        </w:rPr>
        <w:t>among other groups in Second Temple times.</w:t>
      </w:r>
    </w:p>
    <w:p w14:paraId="48CCDCFA" w14:textId="48547841" w:rsidR="00A241A3" w:rsidRPr="006401CC" w:rsidRDefault="00A241A3">
      <w:pPr>
        <w:rPr>
          <w:rStyle w:val="material-icons-extended"/>
          <w:rFonts w:ascii="Roboto" w:hAnsi="Roboto"/>
          <w:color w:val="000000"/>
          <w:sz w:val="27"/>
          <w:szCs w:val="27"/>
        </w:rPr>
      </w:pPr>
      <w:r>
        <w:rPr>
          <w:lang w:bidi="he-IL"/>
        </w:rPr>
        <w:t>The following table</w:t>
      </w:r>
      <w:r w:rsidR="006401CC">
        <w:rPr>
          <w:lang w:bidi="he-IL"/>
        </w:rPr>
        <w:t xml:space="preserve"> presents the conclusions reached in our analysis regarding the meaning of the terms in 1QM that describe the sounds produced by the trumpets and shofarot in the eschatological war of the Sons of Light against the Sons of Darkness.</w:t>
      </w:r>
    </w:p>
    <w:p w14:paraId="291836FF" w14:textId="77777777" w:rsidR="00A241A3" w:rsidRPr="00A241A3" w:rsidRDefault="00A241A3">
      <w:pPr>
        <w:rPr>
          <w:rtl/>
          <w:lang w:bidi="he-I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6"/>
        <w:gridCol w:w="3240"/>
        <w:gridCol w:w="1619"/>
      </w:tblGrid>
      <w:tr w:rsidR="000A7932" w:rsidRPr="00E52737" w14:paraId="3018EE40" w14:textId="77777777" w:rsidTr="00D87D69">
        <w:tc>
          <w:tcPr>
            <w:tcW w:w="3996" w:type="dxa"/>
          </w:tcPr>
          <w:p w14:paraId="21029A9F" w14:textId="6E9F9754" w:rsidR="00A241A3" w:rsidRPr="00D87D69" w:rsidRDefault="002B60D3" w:rsidP="00D87D69">
            <w:pPr>
              <w:jc w:val="left"/>
              <w:rPr>
                <w:b/>
                <w:bCs/>
                <w:rtl/>
              </w:rPr>
            </w:pPr>
            <w:r>
              <w:rPr>
                <w:b/>
                <w:bCs/>
              </w:rPr>
              <w:t>M</w:t>
            </w:r>
            <w:r w:rsidRPr="00D87D69">
              <w:rPr>
                <w:b/>
                <w:bCs/>
              </w:rPr>
              <w:t xml:space="preserve">usical </w:t>
            </w:r>
            <w:r w:rsidR="00A241A3" w:rsidRPr="00D87D69">
              <w:rPr>
                <w:b/>
                <w:bCs/>
              </w:rPr>
              <w:t>interpretation of the term associated with the shofarot</w:t>
            </w:r>
          </w:p>
        </w:tc>
        <w:tc>
          <w:tcPr>
            <w:tcW w:w="3240" w:type="dxa"/>
          </w:tcPr>
          <w:p w14:paraId="7BF29243" w14:textId="3FD6A433" w:rsidR="00A241A3" w:rsidRPr="00D87D69" w:rsidRDefault="002B60D3" w:rsidP="00D87D69">
            <w:pPr>
              <w:jc w:val="left"/>
              <w:rPr>
                <w:b/>
                <w:bCs/>
              </w:rPr>
            </w:pPr>
            <w:r>
              <w:rPr>
                <w:b/>
                <w:bCs/>
              </w:rPr>
              <w:t>M</w:t>
            </w:r>
            <w:r w:rsidR="00A241A3" w:rsidRPr="00D87D69">
              <w:rPr>
                <w:b/>
                <w:bCs/>
              </w:rPr>
              <w:t>usical interpretation of the term associated with the trumpets</w:t>
            </w:r>
          </w:p>
        </w:tc>
        <w:tc>
          <w:tcPr>
            <w:tcW w:w="1619" w:type="dxa"/>
          </w:tcPr>
          <w:p w14:paraId="23E1FFA4" w14:textId="58B6CF8D" w:rsidR="00A241A3" w:rsidRPr="00D87D69" w:rsidRDefault="00A241A3" w:rsidP="00D87D69">
            <w:pPr>
              <w:rPr>
                <w:b/>
                <w:bCs/>
                <w:rtl/>
              </w:rPr>
            </w:pPr>
            <w:r w:rsidRPr="00D87D69">
              <w:rPr>
                <w:b/>
                <w:bCs/>
              </w:rPr>
              <w:t>1QM term</w:t>
            </w:r>
          </w:p>
        </w:tc>
      </w:tr>
      <w:tr w:rsidR="000A7932" w:rsidRPr="00E52737" w14:paraId="76C622CA" w14:textId="77777777" w:rsidTr="00D87D69">
        <w:tc>
          <w:tcPr>
            <w:tcW w:w="3996" w:type="dxa"/>
          </w:tcPr>
          <w:p w14:paraId="4778E584" w14:textId="660236D5" w:rsidR="00A241A3" w:rsidRPr="006401CC" w:rsidRDefault="00A241A3" w:rsidP="00D87D69">
            <w:pPr>
              <w:jc w:val="left"/>
              <w:rPr>
                <w:rtl/>
              </w:rPr>
            </w:pPr>
          </w:p>
        </w:tc>
        <w:tc>
          <w:tcPr>
            <w:tcW w:w="3240" w:type="dxa"/>
          </w:tcPr>
          <w:p w14:paraId="143A4C85" w14:textId="2AB4DBC1" w:rsidR="005369F5" w:rsidRPr="000646F8" w:rsidRDefault="00F31B74" w:rsidP="00D87D69">
            <w:pPr>
              <w:jc w:val="left"/>
              <w:rPr>
                <w:color w:val="FF0000"/>
                <w:lang w:bidi="he-IL"/>
              </w:rPr>
            </w:pPr>
            <w:r>
              <w:rPr>
                <w:lang w:bidi="he-IL"/>
              </w:rPr>
              <w:t>a</w:t>
            </w:r>
            <w:r>
              <w:rPr>
                <w:color w:val="FF0000"/>
                <w:lang w:bidi="he-IL"/>
              </w:rPr>
              <w:t xml:space="preserve"> </w:t>
            </w:r>
            <w:r w:rsidR="005369F5" w:rsidRPr="00A24C22">
              <w:rPr>
                <w:lang w:bidi="he-IL"/>
              </w:rPr>
              <w:t>simple, uniform and sustained sound (Sostenuto).</w:t>
            </w:r>
          </w:p>
          <w:p w14:paraId="0409D1BF" w14:textId="15DB6191" w:rsidR="005369F5" w:rsidRPr="005369F5" w:rsidRDefault="005369F5" w:rsidP="00D87D69">
            <w:pPr>
              <w:jc w:val="left"/>
              <w:rPr>
                <w:rtl/>
                <w:lang w:bidi="he-IL"/>
              </w:rPr>
            </w:pPr>
          </w:p>
        </w:tc>
        <w:tc>
          <w:tcPr>
            <w:tcW w:w="1619" w:type="dxa"/>
          </w:tcPr>
          <w:p w14:paraId="07C0493B" w14:textId="5FEF2E31" w:rsidR="00A241A3" w:rsidRPr="006401CC" w:rsidRDefault="00A241A3" w:rsidP="00D87D69">
            <w:pPr>
              <w:rPr>
                <w:rtl/>
                <w:lang w:bidi="he-IL"/>
              </w:rPr>
            </w:pPr>
            <w:r w:rsidRPr="006401CC">
              <w:rPr>
                <w:rtl/>
              </w:rPr>
              <w:t>מרודד</w:t>
            </w:r>
          </w:p>
        </w:tc>
      </w:tr>
      <w:tr w:rsidR="000A7932" w:rsidRPr="00E52737" w14:paraId="74EEDFB0" w14:textId="77777777" w:rsidTr="00D87D69">
        <w:tc>
          <w:tcPr>
            <w:tcW w:w="3996" w:type="dxa"/>
          </w:tcPr>
          <w:p w14:paraId="2A318EBA" w14:textId="672A2A48" w:rsidR="00A241A3" w:rsidRPr="006401CC" w:rsidRDefault="00A241A3" w:rsidP="00507985">
            <w:pPr>
              <w:jc w:val="left"/>
              <w:rPr>
                <w:rtl/>
              </w:rPr>
            </w:pPr>
          </w:p>
        </w:tc>
        <w:tc>
          <w:tcPr>
            <w:tcW w:w="3240" w:type="dxa"/>
          </w:tcPr>
          <w:p w14:paraId="4A3D4C69" w14:textId="613E5AAA" w:rsidR="00A241A3" w:rsidRPr="000A7932" w:rsidRDefault="00F31B74" w:rsidP="00D87D69">
            <w:pPr>
              <w:jc w:val="left"/>
            </w:pPr>
            <w:r>
              <w:t xml:space="preserve">a </w:t>
            </w:r>
            <w:r w:rsidR="000A7932">
              <w:t xml:space="preserve">sound </w:t>
            </w:r>
            <w:r w:rsidR="000A7932" w:rsidRPr="00A24C22">
              <w:t xml:space="preserve">produced in a low </w:t>
            </w:r>
            <w:r w:rsidR="00260463" w:rsidRPr="00A24C22">
              <w:t>pitch</w:t>
            </w:r>
          </w:p>
        </w:tc>
        <w:tc>
          <w:tcPr>
            <w:tcW w:w="1619" w:type="dxa"/>
          </w:tcPr>
          <w:p w14:paraId="2CA945FE" w14:textId="00FF2897" w:rsidR="00A241A3" w:rsidRPr="006401CC" w:rsidRDefault="00A241A3" w:rsidP="00D87D69">
            <w:pPr>
              <w:rPr>
                <w:rtl/>
                <w:lang w:bidi="he-IL"/>
              </w:rPr>
            </w:pPr>
            <w:r w:rsidRPr="006401CC">
              <w:rPr>
                <w:rtl/>
              </w:rPr>
              <w:t>נוח</w:t>
            </w:r>
          </w:p>
        </w:tc>
      </w:tr>
      <w:tr w:rsidR="000A7932" w:rsidRPr="00E52737" w14:paraId="6EA41352" w14:textId="77777777" w:rsidTr="00D87D69">
        <w:tc>
          <w:tcPr>
            <w:tcW w:w="3996" w:type="dxa"/>
          </w:tcPr>
          <w:p w14:paraId="0B08488B" w14:textId="2E44DC07" w:rsidR="00A241A3" w:rsidRPr="000A7932" w:rsidRDefault="00A241A3" w:rsidP="00D87D69">
            <w:pPr>
              <w:jc w:val="left"/>
              <w:rPr>
                <w:rtl/>
              </w:rPr>
            </w:pPr>
          </w:p>
        </w:tc>
        <w:tc>
          <w:tcPr>
            <w:tcW w:w="3240" w:type="dxa"/>
          </w:tcPr>
          <w:p w14:paraId="57D3BBA9" w14:textId="5B06037B" w:rsidR="00A241A3" w:rsidRPr="000A7932" w:rsidRDefault="00F31B74" w:rsidP="00D87D69">
            <w:pPr>
              <w:jc w:val="left"/>
              <w:rPr>
                <w:rtl/>
              </w:rPr>
            </w:pPr>
            <w:r>
              <w:t xml:space="preserve">a </w:t>
            </w:r>
            <w:r w:rsidR="000A7932">
              <w:t xml:space="preserve">strong and powerful </w:t>
            </w:r>
            <w:r w:rsidR="000A7932" w:rsidRPr="00A24C22">
              <w:t>sound</w:t>
            </w:r>
            <w:r w:rsidR="00641C5C" w:rsidRPr="00A24C22">
              <w:t xml:space="preserve"> (Forte)</w:t>
            </w:r>
          </w:p>
        </w:tc>
        <w:tc>
          <w:tcPr>
            <w:tcW w:w="1619" w:type="dxa"/>
          </w:tcPr>
          <w:p w14:paraId="70D320F4" w14:textId="1A4BA1C8" w:rsidR="00A241A3" w:rsidRPr="006401CC" w:rsidRDefault="00A241A3" w:rsidP="00D87D69">
            <w:pPr>
              <w:rPr>
                <w:rtl/>
                <w:lang w:bidi="he-IL"/>
              </w:rPr>
            </w:pPr>
            <w:r w:rsidRPr="006401CC">
              <w:rPr>
                <w:rtl/>
              </w:rPr>
              <w:t>סמוך</w:t>
            </w:r>
          </w:p>
        </w:tc>
      </w:tr>
      <w:tr w:rsidR="000A7932" w:rsidRPr="00E52737" w14:paraId="090E59C1" w14:textId="77777777" w:rsidTr="00D87D69">
        <w:tc>
          <w:tcPr>
            <w:tcW w:w="3996" w:type="dxa"/>
          </w:tcPr>
          <w:p w14:paraId="2786132C" w14:textId="68315B70" w:rsidR="00A241A3" w:rsidRPr="000A7932" w:rsidRDefault="00A241A3" w:rsidP="00D87D69">
            <w:pPr>
              <w:jc w:val="left"/>
              <w:rPr>
                <w:rtl/>
              </w:rPr>
            </w:pPr>
          </w:p>
        </w:tc>
        <w:tc>
          <w:tcPr>
            <w:tcW w:w="3240" w:type="dxa"/>
          </w:tcPr>
          <w:p w14:paraId="5D9A457E" w14:textId="0E6C64B7" w:rsidR="000A7932" w:rsidRPr="00A24C22" w:rsidRDefault="00F31B74" w:rsidP="00D87D69">
            <w:pPr>
              <w:jc w:val="left"/>
              <w:rPr>
                <w:rtl/>
              </w:rPr>
            </w:pPr>
            <w:r>
              <w:t xml:space="preserve">a </w:t>
            </w:r>
            <w:r w:rsidR="000A7932" w:rsidRPr="00A24C22">
              <w:t xml:space="preserve">very </w:t>
            </w:r>
            <w:r w:rsidR="002B60D3">
              <w:t xml:space="preserve">loud, sharp </w:t>
            </w:r>
            <w:r w:rsidR="000A7932" w:rsidRPr="00A24C22">
              <w:t>sound, perhaps in a high register</w:t>
            </w:r>
            <w:r w:rsidR="0008357C" w:rsidRPr="00A24C22">
              <w:t xml:space="preserve"> (</w:t>
            </w:r>
            <w:r w:rsidR="002B60D3">
              <w:t>s</w:t>
            </w:r>
            <w:r w:rsidR="002B60D3" w:rsidRPr="00A24C22">
              <w:t xml:space="preserve">hrill </w:t>
            </w:r>
            <w:r w:rsidR="0008357C" w:rsidRPr="00A24C22">
              <w:t>sound)</w:t>
            </w:r>
          </w:p>
        </w:tc>
        <w:tc>
          <w:tcPr>
            <w:tcW w:w="1619" w:type="dxa"/>
          </w:tcPr>
          <w:p w14:paraId="0268C9B2" w14:textId="6C25CD19" w:rsidR="00A241A3" w:rsidRPr="006401CC" w:rsidRDefault="00A241A3" w:rsidP="00D87D69">
            <w:pPr>
              <w:rPr>
                <w:rtl/>
                <w:lang w:bidi="he-IL"/>
              </w:rPr>
            </w:pPr>
            <w:r w:rsidRPr="006401CC">
              <w:rPr>
                <w:rtl/>
              </w:rPr>
              <w:t>חד</w:t>
            </w:r>
          </w:p>
        </w:tc>
      </w:tr>
      <w:tr w:rsidR="000A7932" w:rsidRPr="00E52737" w14:paraId="276EAC36" w14:textId="77777777" w:rsidTr="00D87D69">
        <w:tc>
          <w:tcPr>
            <w:tcW w:w="3996" w:type="dxa"/>
          </w:tcPr>
          <w:p w14:paraId="0695FB6A" w14:textId="35B9D710" w:rsidR="00A241A3" w:rsidRPr="000A7932" w:rsidRDefault="00A241A3" w:rsidP="00D87D69">
            <w:pPr>
              <w:jc w:val="left"/>
              <w:rPr>
                <w:rtl/>
              </w:rPr>
            </w:pPr>
          </w:p>
        </w:tc>
        <w:tc>
          <w:tcPr>
            <w:tcW w:w="3240" w:type="dxa"/>
          </w:tcPr>
          <w:p w14:paraId="42DAC1C1" w14:textId="6F606AE3" w:rsidR="00A241A3" w:rsidRPr="007A78DF" w:rsidRDefault="000A7932" w:rsidP="00D87D69">
            <w:pPr>
              <w:jc w:val="left"/>
              <w:rPr>
                <w:rtl/>
              </w:rPr>
            </w:pPr>
            <w:r w:rsidRPr="005433A8">
              <w:t>continuous repetition of a single</w:t>
            </w:r>
            <w:r w:rsidR="007A78DF">
              <w:t xml:space="preserve"> </w:t>
            </w:r>
            <w:r w:rsidRPr="005433A8">
              <w:t>sound</w:t>
            </w:r>
            <w:r w:rsidR="00E94DBF">
              <w:t xml:space="preserve"> </w:t>
            </w:r>
            <w:r w:rsidR="00056A1A" w:rsidRPr="00A24C22">
              <w:t>(Ostinato)</w:t>
            </w:r>
          </w:p>
        </w:tc>
        <w:tc>
          <w:tcPr>
            <w:tcW w:w="1619" w:type="dxa"/>
          </w:tcPr>
          <w:p w14:paraId="5D47D2CB" w14:textId="6B90F933" w:rsidR="00A241A3" w:rsidRPr="006401CC" w:rsidRDefault="00A241A3" w:rsidP="00D87D69">
            <w:pPr>
              <w:rPr>
                <w:rtl/>
              </w:rPr>
            </w:pPr>
            <w:r w:rsidRPr="006401CC">
              <w:rPr>
                <w:rtl/>
              </w:rPr>
              <w:t>טרוד</w:t>
            </w:r>
          </w:p>
        </w:tc>
      </w:tr>
      <w:tr w:rsidR="000A7932" w:rsidRPr="00E52737" w14:paraId="242DA8E6" w14:textId="77777777" w:rsidTr="00507985">
        <w:tc>
          <w:tcPr>
            <w:tcW w:w="3996" w:type="dxa"/>
          </w:tcPr>
          <w:p w14:paraId="7BE2CFBB" w14:textId="1D37250D" w:rsidR="00A241A3" w:rsidRPr="006401CC" w:rsidRDefault="00A241A3" w:rsidP="00507985">
            <w:pPr>
              <w:jc w:val="left"/>
            </w:pPr>
            <w:r w:rsidRPr="006401CC">
              <w:t>two possibilities:</w:t>
            </w:r>
            <w:r w:rsidRPr="006401CC">
              <w:br/>
              <w:t xml:space="preserve">(1) </w:t>
            </w:r>
            <w:r w:rsidR="005369F5">
              <w:t>P</w:t>
            </w:r>
            <w:r w:rsidRPr="006401CC">
              <w:t>ausa: cessation of the sound</w:t>
            </w:r>
          </w:p>
          <w:p w14:paraId="5BD14DC3" w14:textId="687B168D" w:rsidR="00A241A3" w:rsidRPr="006401CC" w:rsidRDefault="00A241A3" w:rsidP="00507985">
            <w:pPr>
              <w:jc w:val="left"/>
              <w:rPr>
                <w:rtl/>
              </w:rPr>
            </w:pPr>
            <w:r w:rsidRPr="006401CC">
              <w:t xml:space="preserve">(2) </w:t>
            </w:r>
            <w:r w:rsidR="000A7932">
              <w:t>lowering</w:t>
            </w:r>
            <w:r w:rsidRPr="006401CC">
              <w:t xml:space="preserve"> of the pitch</w:t>
            </w:r>
          </w:p>
        </w:tc>
        <w:tc>
          <w:tcPr>
            <w:tcW w:w="3240" w:type="dxa"/>
          </w:tcPr>
          <w:p w14:paraId="07A109E2" w14:textId="7B9A87AB" w:rsidR="00A241A3" w:rsidRPr="006401CC" w:rsidRDefault="00A241A3" w:rsidP="00507985">
            <w:pPr>
              <w:jc w:val="left"/>
              <w:rPr>
                <w:rtl/>
              </w:rPr>
            </w:pPr>
          </w:p>
        </w:tc>
        <w:tc>
          <w:tcPr>
            <w:tcW w:w="1619" w:type="dxa"/>
          </w:tcPr>
          <w:p w14:paraId="46B4E122" w14:textId="70F5C178" w:rsidR="00A241A3" w:rsidRPr="006401CC" w:rsidRDefault="00A241A3" w:rsidP="00507985">
            <w:pPr>
              <w:rPr>
                <w:rtl/>
              </w:rPr>
            </w:pPr>
            <w:r w:rsidRPr="006401CC">
              <w:rPr>
                <w:rtl/>
              </w:rPr>
              <w:t>יניחו</w:t>
            </w:r>
          </w:p>
        </w:tc>
      </w:tr>
      <w:tr w:rsidR="000A7932" w:rsidRPr="00E52737" w14:paraId="2B0F2D3A" w14:textId="77777777" w:rsidTr="00507985">
        <w:tc>
          <w:tcPr>
            <w:tcW w:w="3996" w:type="dxa"/>
          </w:tcPr>
          <w:p w14:paraId="1D5E548A" w14:textId="77777777" w:rsidR="00A241A3" w:rsidRPr="006401CC" w:rsidRDefault="00A241A3" w:rsidP="00507985">
            <w:pPr>
              <w:jc w:val="left"/>
            </w:pPr>
            <w:r w:rsidRPr="006401CC">
              <w:t>Three possibilities:</w:t>
            </w:r>
          </w:p>
          <w:p w14:paraId="2C5BEE30" w14:textId="5D8552C0" w:rsidR="00A241A3" w:rsidRPr="006401CC" w:rsidRDefault="00A241A3" w:rsidP="00507985">
            <w:pPr>
              <w:jc w:val="left"/>
            </w:pPr>
            <w:r w:rsidRPr="006401CC">
              <w:t xml:space="preserve">(1) </w:t>
            </w:r>
            <w:r w:rsidR="005369F5">
              <w:t>P</w:t>
            </w:r>
            <w:r w:rsidRPr="006401CC">
              <w:t>ausa: cessation of the sound</w:t>
            </w:r>
          </w:p>
          <w:p w14:paraId="7C6B4F8F" w14:textId="77777777" w:rsidR="00A241A3" w:rsidRPr="006401CC" w:rsidRDefault="00A241A3" w:rsidP="00507985">
            <w:pPr>
              <w:jc w:val="left"/>
            </w:pPr>
            <w:r w:rsidRPr="006401CC">
              <w:t>(2) continuation of the sound, unchanged</w:t>
            </w:r>
          </w:p>
          <w:p w14:paraId="06B54757" w14:textId="0220E40F" w:rsidR="00A241A3" w:rsidRPr="006401CC" w:rsidRDefault="00A241A3" w:rsidP="00507985">
            <w:pPr>
              <w:jc w:val="left"/>
              <w:rPr>
                <w:rtl/>
              </w:rPr>
            </w:pPr>
            <w:r w:rsidRPr="006401CC">
              <w:t>(3) acceleration of the speed of the sound</w:t>
            </w:r>
          </w:p>
        </w:tc>
        <w:tc>
          <w:tcPr>
            <w:tcW w:w="3240" w:type="dxa"/>
          </w:tcPr>
          <w:p w14:paraId="737E8887" w14:textId="28EBB85F" w:rsidR="00A241A3" w:rsidRPr="006401CC" w:rsidRDefault="00A241A3" w:rsidP="00507985">
            <w:pPr>
              <w:jc w:val="left"/>
              <w:rPr>
                <w:rtl/>
              </w:rPr>
            </w:pPr>
          </w:p>
        </w:tc>
        <w:tc>
          <w:tcPr>
            <w:tcW w:w="1619" w:type="dxa"/>
          </w:tcPr>
          <w:p w14:paraId="74F661B4" w14:textId="760CD5B2" w:rsidR="00A241A3" w:rsidRPr="006401CC" w:rsidRDefault="00A241A3" w:rsidP="00507985">
            <w:r w:rsidRPr="006401CC">
              <w:rPr>
                <w:rtl/>
              </w:rPr>
              <w:t>יחישו\יחשו</w:t>
            </w:r>
          </w:p>
        </w:tc>
      </w:tr>
      <w:tr w:rsidR="000A7932" w:rsidRPr="00E52737" w14:paraId="0FC68E76" w14:textId="77777777" w:rsidTr="00507985">
        <w:tc>
          <w:tcPr>
            <w:tcW w:w="3996" w:type="dxa"/>
          </w:tcPr>
          <w:p w14:paraId="0046E736" w14:textId="29BADFB5" w:rsidR="00A241A3" w:rsidRPr="006401CC" w:rsidRDefault="00A24C22" w:rsidP="00507985">
            <w:pPr>
              <w:jc w:val="left"/>
              <w:rPr>
                <w:rtl/>
              </w:rPr>
            </w:pPr>
            <w:r>
              <w:t>r</w:t>
            </w:r>
            <w:r w:rsidR="00A241A3" w:rsidRPr="006401CC">
              <w:t>hythmic synchronization</w:t>
            </w:r>
            <w:r w:rsidR="00553E22">
              <w:t>, as a single voice</w:t>
            </w:r>
          </w:p>
        </w:tc>
        <w:tc>
          <w:tcPr>
            <w:tcW w:w="3240" w:type="dxa"/>
          </w:tcPr>
          <w:p w14:paraId="3B20ADA0" w14:textId="35E3ADE1" w:rsidR="00A241A3" w:rsidRPr="006401CC" w:rsidRDefault="00A241A3" w:rsidP="00507985">
            <w:pPr>
              <w:jc w:val="left"/>
            </w:pPr>
          </w:p>
        </w:tc>
        <w:tc>
          <w:tcPr>
            <w:tcW w:w="1619" w:type="dxa"/>
          </w:tcPr>
          <w:p w14:paraId="6FB1B701" w14:textId="7A92560B" w:rsidR="00A241A3" w:rsidRPr="006401CC" w:rsidRDefault="00A241A3" w:rsidP="00507985">
            <w:pPr>
              <w:rPr>
                <w:rtl/>
                <w:lang w:bidi="he-IL"/>
              </w:rPr>
            </w:pPr>
            <w:r w:rsidRPr="006401CC">
              <w:rPr>
                <w:rtl/>
              </w:rPr>
              <w:t>קול אחד</w:t>
            </w:r>
          </w:p>
        </w:tc>
      </w:tr>
      <w:tr w:rsidR="000A7932" w:rsidRPr="00E52737" w14:paraId="7C28437B" w14:textId="77777777" w:rsidTr="00507985">
        <w:tc>
          <w:tcPr>
            <w:tcW w:w="3996" w:type="dxa"/>
          </w:tcPr>
          <w:p w14:paraId="00C6C7BB" w14:textId="0124F2DB" w:rsidR="00A241A3" w:rsidRPr="000A7932" w:rsidRDefault="000A7932" w:rsidP="00507985">
            <w:pPr>
              <w:jc w:val="left"/>
              <w:rPr>
                <w:rtl/>
              </w:rPr>
            </w:pPr>
            <w:r>
              <w:t>a sound produced with powerful force</w:t>
            </w:r>
          </w:p>
        </w:tc>
        <w:tc>
          <w:tcPr>
            <w:tcW w:w="3240" w:type="dxa"/>
          </w:tcPr>
          <w:p w14:paraId="64E905FB" w14:textId="79E5ADDA" w:rsidR="00A241A3" w:rsidRPr="006401CC" w:rsidRDefault="00A241A3" w:rsidP="00507985">
            <w:pPr>
              <w:jc w:val="left"/>
            </w:pPr>
          </w:p>
        </w:tc>
        <w:tc>
          <w:tcPr>
            <w:tcW w:w="1619" w:type="dxa"/>
          </w:tcPr>
          <w:p w14:paraId="7B4B7901" w14:textId="77777777" w:rsidR="00A241A3" w:rsidRPr="006401CC" w:rsidRDefault="00A241A3" w:rsidP="00507985">
            <w:pPr>
              <w:rPr>
                <w:rtl/>
              </w:rPr>
            </w:pPr>
            <w:r w:rsidRPr="006401CC">
              <w:rPr>
                <w:rtl/>
              </w:rPr>
              <w:t>תרועת מלחמה גדולה,</w:t>
            </w:r>
          </w:p>
          <w:p w14:paraId="196E2276" w14:textId="77777777" w:rsidR="00A241A3" w:rsidRPr="006401CC" w:rsidRDefault="00A241A3" w:rsidP="00507985">
            <w:r w:rsidRPr="006401CC">
              <w:rPr>
                <w:rtl/>
              </w:rPr>
              <w:t>קול תרועה גדולה,</w:t>
            </w:r>
          </w:p>
          <w:p w14:paraId="5A975F1A" w14:textId="312CCF87" w:rsidR="00A241A3" w:rsidRPr="006401CC" w:rsidRDefault="00A241A3" w:rsidP="00507985">
            <w:pPr>
              <w:rPr>
                <w:rtl/>
              </w:rPr>
            </w:pPr>
            <w:r w:rsidRPr="006401CC">
              <w:rPr>
                <w:rtl/>
              </w:rPr>
              <w:t>בקול גדול</w:t>
            </w:r>
          </w:p>
        </w:tc>
      </w:tr>
    </w:tbl>
    <w:p w14:paraId="2874F6E5" w14:textId="1B72DBFA" w:rsidR="00A241A3" w:rsidRPr="00756D2C" w:rsidRDefault="00756D2C" w:rsidP="00507985">
      <w:pPr>
        <w:spacing w:before="240"/>
      </w:pPr>
      <w:r w:rsidRPr="00756D2C">
        <w:t>The foll</w:t>
      </w:r>
      <w:r>
        <w:t>owing table provides the musical explanation for the collocations of terms that appear in some of the descriptions of the war in 1QM, which describe various musical features of the sound produced by the trumpets.</w:t>
      </w:r>
    </w:p>
    <w:tbl>
      <w:tblPr>
        <w:bidiVisual/>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2"/>
        <w:gridCol w:w="2608"/>
      </w:tblGrid>
      <w:tr w:rsidR="00A241A3" w:rsidRPr="00E52737" w14:paraId="23FBFA40" w14:textId="77777777" w:rsidTr="00507985">
        <w:tc>
          <w:tcPr>
            <w:tcW w:w="6822" w:type="dxa"/>
          </w:tcPr>
          <w:p w14:paraId="5E8D5071" w14:textId="3E7AA5DB" w:rsidR="00A241A3" w:rsidRPr="00507985" w:rsidRDefault="00922E79" w:rsidP="00507985">
            <w:pPr>
              <w:rPr>
                <w:b/>
                <w:bCs/>
                <w:rtl/>
              </w:rPr>
            </w:pPr>
            <w:r w:rsidRPr="00507985">
              <w:rPr>
                <w:b/>
                <w:bCs/>
              </w:rPr>
              <w:t>Musical Explanation</w:t>
            </w:r>
          </w:p>
        </w:tc>
        <w:tc>
          <w:tcPr>
            <w:tcW w:w="2608" w:type="dxa"/>
          </w:tcPr>
          <w:p w14:paraId="6E53E819" w14:textId="271CDEC2" w:rsidR="00A241A3" w:rsidRPr="00507985" w:rsidRDefault="00922E79" w:rsidP="00507985">
            <w:pPr>
              <w:rPr>
                <w:b/>
                <w:bCs/>
                <w:rtl/>
              </w:rPr>
            </w:pPr>
            <w:r w:rsidRPr="00507985">
              <w:rPr>
                <w:b/>
                <w:bCs/>
              </w:rPr>
              <w:t>Collocations in 1QM</w:t>
            </w:r>
          </w:p>
        </w:tc>
      </w:tr>
      <w:tr w:rsidR="00A241A3" w:rsidRPr="00E52737" w14:paraId="0D5D4EA3" w14:textId="77777777" w:rsidTr="00507985">
        <w:tc>
          <w:tcPr>
            <w:tcW w:w="6822" w:type="dxa"/>
          </w:tcPr>
          <w:p w14:paraId="14BC23C6" w14:textId="1833F789" w:rsidR="00A241A3" w:rsidRPr="00A24C22" w:rsidRDefault="00F31B74">
            <w:pPr>
              <w:rPr>
                <w:rtl/>
              </w:rPr>
            </w:pPr>
            <w:r>
              <w:t>a</w:t>
            </w:r>
            <w:r w:rsidR="00922E79" w:rsidRPr="00A24C22">
              <w:t xml:space="preserve"> low</w:t>
            </w:r>
            <w:r w:rsidR="008B4329" w:rsidRPr="00A24C22">
              <w:t>-pitched</w:t>
            </w:r>
            <w:r w:rsidR="00284671" w:rsidRPr="00A24C22">
              <w:t>,</w:t>
            </w:r>
            <w:r w:rsidR="00922E79" w:rsidRPr="00A24C22">
              <w:t xml:space="preserve"> strong</w:t>
            </w:r>
            <w:r w:rsidR="00284671" w:rsidRPr="00A24C22">
              <w:t xml:space="preserve"> and powerful</w:t>
            </w:r>
            <w:r w:rsidR="00922E79" w:rsidRPr="00A24C22">
              <w:t xml:space="preserve"> sound</w:t>
            </w:r>
          </w:p>
        </w:tc>
        <w:tc>
          <w:tcPr>
            <w:tcW w:w="2608" w:type="dxa"/>
          </w:tcPr>
          <w:p w14:paraId="10B51117" w14:textId="222BF9E3" w:rsidR="00A241A3" w:rsidRPr="00E52737" w:rsidRDefault="00922E79">
            <w:pPr>
              <w:rPr>
                <w:rtl/>
                <w:lang w:bidi="he-IL"/>
              </w:rPr>
            </w:pPr>
            <w:r w:rsidRPr="00E52737">
              <w:rPr>
                <w:rFonts w:hint="cs"/>
                <w:rtl/>
              </w:rPr>
              <w:t>קול נוח וסמוך</w:t>
            </w:r>
          </w:p>
        </w:tc>
      </w:tr>
      <w:tr w:rsidR="00A241A3" w:rsidRPr="00E52737" w14:paraId="0A93B669" w14:textId="77777777" w:rsidTr="00507985">
        <w:tc>
          <w:tcPr>
            <w:tcW w:w="6822" w:type="dxa"/>
          </w:tcPr>
          <w:p w14:paraId="4F9E8E4B" w14:textId="22375EE7" w:rsidR="000646F8" w:rsidRPr="00A24C22" w:rsidRDefault="00F31B74">
            <w:pPr>
              <w:rPr>
                <w:rtl/>
              </w:rPr>
            </w:pPr>
            <w:r>
              <w:t>a</w:t>
            </w:r>
            <w:r w:rsidR="00922E79" w:rsidRPr="00A24C22">
              <w:t xml:space="preserve"> low</w:t>
            </w:r>
            <w:r w:rsidR="008B4329" w:rsidRPr="00A24C22">
              <w:t>-pitched</w:t>
            </w:r>
            <w:r w:rsidR="00922E79" w:rsidRPr="00A24C22">
              <w:t>,</w:t>
            </w:r>
            <w:r w:rsidR="005369F5" w:rsidRPr="00A24C22">
              <w:t xml:space="preserve"> </w:t>
            </w:r>
            <w:r w:rsidR="005369F5" w:rsidRPr="00A24C22">
              <w:rPr>
                <w:lang w:bidi="he-IL"/>
              </w:rPr>
              <w:t>simple and sustained</w:t>
            </w:r>
            <w:r w:rsidR="00284671" w:rsidRPr="00A24C22">
              <w:t>,</w:t>
            </w:r>
            <w:r w:rsidR="00922E79" w:rsidRPr="00A24C22">
              <w:t xml:space="preserve"> strong</w:t>
            </w:r>
            <w:r w:rsidR="00284671" w:rsidRPr="00A24C22">
              <w:t xml:space="preserve"> and powerful sound</w:t>
            </w:r>
          </w:p>
        </w:tc>
        <w:tc>
          <w:tcPr>
            <w:tcW w:w="2608" w:type="dxa"/>
          </w:tcPr>
          <w:p w14:paraId="3AFECE9F" w14:textId="77777777" w:rsidR="00922E79" w:rsidRDefault="00922E79" w:rsidP="00507985">
            <w:r w:rsidRPr="00E52737">
              <w:rPr>
                <w:rFonts w:hint="cs"/>
                <w:rtl/>
              </w:rPr>
              <w:t>קול נוח מרודד סמוך</w:t>
            </w:r>
          </w:p>
          <w:p w14:paraId="10C5AD3D" w14:textId="02BA1B49" w:rsidR="00A241A3" w:rsidRPr="00E52737" w:rsidRDefault="00A241A3">
            <w:pPr>
              <w:rPr>
                <w:rtl/>
              </w:rPr>
            </w:pPr>
          </w:p>
        </w:tc>
      </w:tr>
      <w:tr w:rsidR="00A241A3" w:rsidRPr="00E52737" w14:paraId="255C2666" w14:textId="77777777" w:rsidTr="00507985">
        <w:tc>
          <w:tcPr>
            <w:tcW w:w="6822" w:type="dxa"/>
          </w:tcPr>
          <w:p w14:paraId="5FC984ED" w14:textId="78870C35" w:rsidR="00922E79" w:rsidRPr="00A24C22" w:rsidRDefault="00F31B74">
            <w:pPr>
              <w:rPr>
                <w:rtl/>
              </w:rPr>
            </w:pPr>
            <w:r>
              <w:t>a</w:t>
            </w:r>
            <w:r w:rsidR="00553E22" w:rsidRPr="00A24C22">
              <w:t xml:space="preserve"> very strong sound of a sharp nature, perhaps in a high register, repeated continuously </w:t>
            </w:r>
          </w:p>
        </w:tc>
        <w:tc>
          <w:tcPr>
            <w:tcW w:w="2608" w:type="dxa"/>
          </w:tcPr>
          <w:p w14:paraId="43EAA785" w14:textId="77777777" w:rsidR="00922E79" w:rsidRDefault="00922E79" w:rsidP="00507985">
            <w:pPr>
              <w:rPr>
                <w:rtl/>
                <w:lang w:bidi="he-IL"/>
              </w:rPr>
            </w:pPr>
            <w:r w:rsidRPr="00E52737">
              <w:rPr>
                <w:rFonts w:hint="cs"/>
                <w:rtl/>
              </w:rPr>
              <w:t>קול חד טרוד</w:t>
            </w:r>
          </w:p>
          <w:p w14:paraId="50FD6D6F" w14:textId="49BADFDB" w:rsidR="00A241A3" w:rsidRPr="00E52737" w:rsidRDefault="00A241A3" w:rsidP="00507985">
            <w:pPr>
              <w:rPr>
                <w:rtl/>
              </w:rPr>
            </w:pPr>
          </w:p>
        </w:tc>
      </w:tr>
    </w:tbl>
    <w:p w14:paraId="21CCAC0E" w14:textId="77777777" w:rsidR="00922E79" w:rsidRDefault="00922E79"/>
    <w:p w14:paraId="2E5BB3E9" w14:textId="77777777" w:rsidR="00756D2C" w:rsidRDefault="00756D2C"/>
    <w:p w14:paraId="354B6D2A" w14:textId="77777777" w:rsidR="00756D2C" w:rsidRDefault="00756D2C"/>
    <w:p w14:paraId="4DC7A3E2" w14:textId="0065756D" w:rsidR="00A241A3" w:rsidRDefault="00A241A3">
      <w:r>
        <w:t>APPENDIX</w:t>
      </w:r>
    </w:p>
    <w:p w14:paraId="4F5674F1" w14:textId="4F2C3400" w:rsidR="003B7DD8" w:rsidRPr="00EC33AA" w:rsidRDefault="00EC33AA" w:rsidP="00EC33AA">
      <w:pPr>
        <w:rPr>
          <w:rFonts w:asciiTheme="majorBidi" w:hAnsiTheme="majorBidi" w:cstheme="majorBidi"/>
        </w:rPr>
      </w:pPr>
      <w:r w:rsidRPr="00EC33AA">
        <w:rPr>
          <w:rFonts w:cs="Times New Roman"/>
        </w:rPr>
        <w:t xml:space="preserve">The following passages in 1QM contain the descriptions of war that feature the musical terms describing the sounds produced by trumpets and shofarot in the battlefield: 1QM 8:1–14; 1QM 9:1–2; 1QM 16:3–9; </w:t>
      </w:r>
      <w:r>
        <w:rPr>
          <w:rFonts w:cs="Times New Roman"/>
        </w:rPr>
        <w:t xml:space="preserve">1QM </w:t>
      </w:r>
      <w:r w:rsidRPr="00EC33AA">
        <w:rPr>
          <w:rFonts w:cs="Times New Roman"/>
        </w:rPr>
        <w:t>17:10</w:t>
      </w:r>
      <w:r w:rsidRPr="00EC33AA">
        <w:rPr>
          <w:rFonts w:cs="Times New Roman"/>
          <w:rtl/>
        </w:rPr>
        <w:t>–</w:t>
      </w:r>
      <w:r w:rsidRPr="00EC33AA">
        <w:rPr>
          <w:rFonts w:cs="Times New Roman"/>
        </w:rPr>
        <w:t xml:space="preserve">15. The Hebrew text follows Qimron, </w:t>
      </w:r>
      <w:r w:rsidRPr="00EC33AA">
        <w:rPr>
          <w:rFonts w:cs="Times New Roman"/>
          <w:rtl/>
          <w:lang w:bidi="he-IL"/>
        </w:rPr>
        <w:t>מגילות מדבר יהודה</w:t>
      </w:r>
      <w:r w:rsidRPr="00EC33AA">
        <w:rPr>
          <w:rFonts w:cs="Times New Roman"/>
        </w:rPr>
        <w:t>. The English</w:t>
      </w:r>
      <w:r>
        <w:rPr>
          <w:rFonts w:asciiTheme="majorBidi" w:hAnsiTheme="majorBidi" w:cstheme="majorBidi"/>
        </w:rPr>
        <w:t xml:space="preserve"> translation follows </w:t>
      </w:r>
      <w:r w:rsidRPr="00507985">
        <w:rPr>
          <w:rFonts w:asciiTheme="majorBidi" w:hAnsiTheme="majorBidi" w:cstheme="majorBidi"/>
        </w:rPr>
        <w:t>Parry, Tov and Clements,</w:t>
      </w:r>
      <w:r>
        <w:rPr>
          <w:rFonts w:asciiTheme="majorBidi" w:hAnsiTheme="majorBidi" w:cstheme="majorBidi"/>
        </w:rPr>
        <w:t xml:space="preserve"> but modifies the musical terms to incorporate the </w:t>
      </w:r>
      <w:r w:rsidR="00793D09" w:rsidRPr="006B08E4">
        <w:rPr>
          <w:rFonts w:asciiTheme="majorBidi" w:hAnsiTheme="majorBidi" w:cstheme="majorBidi"/>
        </w:rPr>
        <w:t>interpretations proposed in this article.</w:t>
      </w:r>
    </w:p>
    <w:p w14:paraId="381BCA80" w14:textId="77777777" w:rsidR="00BB7D5F" w:rsidRDefault="00BB7D5F" w:rsidP="002D1D4C">
      <w:pPr>
        <w:bidi/>
        <w:rPr>
          <w:rtl/>
        </w:rPr>
      </w:pPr>
      <w:r w:rsidRPr="002B4B06">
        <w:rPr>
          <w:rFonts w:hint="cs"/>
          <w:rtl/>
        </w:rPr>
        <w:t xml:space="preserve">1) </w:t>
      </w:r>
      <w:r w:rsidRPr="003F71A1">
        <w:rPr>
          <w:rFonts w:hint="cs"/>
          <w:rtl/>
        </w:rPr>
        <w:t>טור ח 1 - 14</w:t>
      </w:r>
      <w:r>
        <w:rPr>
          <w:rFonts w:hint="cs"/>
          <w:rtl/>
        </w:rPr>
        <w:t>:</w:t>
      </w:r>
      <w:r>
        <w:rPr>
          <w:rStyle w:val="FootnoteReference"/>
          <w:rFonts w:eastAsia="Calibri"/>
          <w:rtl/>
        </w:rPr>
        <w:footnoteReference w:id="93"/>
      </w:r>
    </w:p>
    <w:p w14:paraId="1D345A4F" w14:textId="77777777" w:rsidR="00BB7D5F" w:rsidRPr="009F5EB5" w:rsidRDefault="00BB7D5F" w:rsidP="002D1D4C">
      <w:pPr>
        <w:bidi/>
        <w:rPr>
          <w:rtl/>
        </w:rPr>
      </w:pPr>
      <w:r>
        <w:rPr>
          <w:rFonts w:hint="cs"/>
          <w:rtl/>
        </w:rPr>
        <w:t xml:space="preserve">"החצוצרות תהיינה מריעות לנצח אנשי הקלע עד כלותם להשליך שבע פעמים ואחר יתקעו להם הכוהנים בחצוצרות המשוב ובאו ליד המערכה הראישונה להתיצב על מעמדם. ותקעו הכוהנים בחצוצרות המקרא ויצאו שלושה דגלי בינים מן השערים ועמדו בין המערכות ולידם אנשי הרכב מימין ומשמאול. ותקעו הכוהנים בחצוצרות </w:t>
      </w:r>
      <w:r w:rsidRPr="00855D12">
        <w:rPr>
          <w:rFonts w:hint="cs"/>
          <w:u w:val="single"/>
          <w:rtl/>
        </w:rPr>
        <w:t>קול מרודד</w:t>
      </w:r>
      <w:r>
        <w:rPr>
          <w:rFonts w:hint="cs"/>
          <w:rtl/>
        </w:rPr>
        <w:t xml:space="preserve"> (</w:t>
      </w:r>
      <w:r w:rsidRPr="003C162D">
        <w:rPr>
          <w:rFonts w:hint="cs"/>
          <w:rtl/>
        </w:rPr>
        <w:t>קול אחיד וממושך</w:t>
      </w:r>
      <w:r w:rsidRPr="009F5EB5">
        <w:rPr>
          <w:rFonts w:hint="cs"/>
          <w:rtl/>
        </w:rPr>
        <w:t>)</w:t>
      </w:r>
      <w:r>
        <w:rPr>
          <w:rFonts w:hint="cs"/>
          <w:b/>
          <w:bCs/>
          <w:rtl/>
        </w:rPr>
        <w:t xml:space="preserve"> </w:t>
      </w:r>
      <w:r w:rsidRPr="00855D12">
        <w:rPr>
          <w:rFonts w:hint="cs"/>
          <w:u w:val="single"/>
          <w:rtl/>
        </w:rPr>
        <w:t>ידי</w:t>
      </w:r>
      <w:r>
        <w:rPr>
          <w:rFonts w:hint="cs"/>
          <w:rtl/>
        </w:rPr>
        <w:t xml:space="preserve"> (</w:t>
      </w:r>
      <w:r w:rsidRPr="003C162D">
        <w:rPr>
          <w:rFonts w:hint="cs"/>
          <w:rtl/>
        </w:rPr>
        <w:t>כדי להביא לידי</w:t>
      </w:r>
      <w:r>
        <w:rPr>
          <w:rFonts w:hint="cs"/>
          <w:rtl/>
        </w:rPr>
        <w:t xml:space="preserve">) סדר מלחמה והראשים יהיו נפשטים לסדריהם איש למעמדו. ובעומדם שלושה סדרים יתקעו להם הכוהנים תרועה שנית </w:t>
      </w:r>
      <w:r w:rsidRPr="00855D12">
        <w:rPr>
          <w:rFonts w:hint="cs"/>
          <w:u w:val="single"/>
          <w:rtl/>
        </w:rPr>
        <w:t>קול נוח וסמוך</w:t>
      </w:r>
      <w:r>
        <w:rPr>
          <w:rFonts w:hint="cs"/>
          <w:rtl/>
        </w:rPr>
        <w:t xml:space="preserve"> (</w:t>
      </w:r>
      <w:r w:rsidRPr="003C162D">
        <w:rPr>
          <w:rFonts w:hint="cs"/>
          <w:rtl/>
        </w:rPr>
        <w:t>קול נמוך וחזק</w:t>
      </w:r>
      <w:r>
        <w:rPr>
          <w:rFonts w:hint="cs"/>
          <w:rtl/>
        </w:rPr>
        <w:t xml:space="preserve">) </w:t>
      </w:r>
      <w:r w:rsidRPr="00855D12">
        <w:rPr>
          <w:rFonts w:hint="cs"/>
          <w:u w:val="single"/>
          <w:rtl/>
        </w:rPr>
        <w:t>ידי</w:t>
      </w:r>
      <w:r>
        <w:rPr>
          <w:rFonts w:hint="cs"/>
          <w:rtl/>
        </w:rPr>
        <w:t xml:space="preserve"> (</w:t>
      </w:r>
      <w:r w:rsidRPr="003C162D">
        <w:rPr>
          <w:rFonts w:hint="cs"/>
          <w:rtl/>
        </w:rPr>
        <w:t>כדי להביא לידי</w:t>
      </w:r>
      <w:r>
        <w:rPr>
          <w:rFonts w:hint="cs"/>
          <w:rtl/>
        </w:rPr>
        <w:t xml:space="preserve">) מפשע עד קורבם למערכת האויב ונטו ידם בכלי המלחמה. והכוהנים יריעו בשש חצוצרות החללים </w:t>
      </w:r>
      <w:r w:rsidRPr="00855D12">
        <w:rPr>
          <w:rFonts w:hint="cs"/>
          <w:u w:val="single"/>
          <w:rtl/>
        </w:rPr>
        <w:t>קול חד טרוד</w:t>
      </w:r>
      <w:r w:rsidRPr="00855D12">
        <w:rPr>
          <w:rFonts w:hint="cs"/>
          <w:rtl/>
        </w:rPr>
        <w:t xml:space="preserve"> </w:t>
      </w:r>
      <w:r>
        <w:rPr>
          <w:rFonts w:hint="cs"/>
          <w:rtl/>
        </w:rPr>
        <w:t>(</w:t>
      </w:r>
      <w:r w:rsidRPr="003C162D">
        <w:rPr>
          <w:rFonts w:hint="cs"/>
          <w:rtl/>
        </w:rPr>
        <w:t>קול חזק מאוד וגבוה [?] החוזר ברצף</w:t>
      </w:r>
      <w:r>
        <w:rPr>
          <w:rFonts w:hint="cs"/>
          <w:rtl/>
        </w:rPr>
        <w:t xml:space="preserve">) לנצח מלחמה והלויים וכול עם השופרות יריעו </w:t>
      </w:r>
      <w:r w:rsidRPr="00855D12">
        <w:rPr>
          <w:rFonts w:hint="cs"/>
          <w:u w:val="single"/>
          <w:rtl/>
        </w:rPr>
        <w:t>קול אחד</w:t>
      </w:r>
      <w:r>
        <w:rPr>
          <w:rFonts w:hint="cs"/>
          <w:rtl/>
        </w:rPr>
        <w:t xml:space="preserve"> (</w:t>
      </w:r>
      <w:r w:rsidRPr="003C162D">
        <w:rPr>
          <w:rFonts w:hint="cs"/>
          <w:rtl/>
        </w:rPr>
        <w:t>כאיש אחד, בסנכרון רתמי</w:t>
      </w:r>
      <w:r>
        <w:rPr>
          <w:rFonts w:hint="cs"/>
          <w:rtl/>
        </w:rPr>
        <w:t xml:space="preserve">) </w:t>
      </w:r>
      <w:r w:rsidRPr="00855D12">
        <w:rPr>
          <w:rFonts w:hint="cs"/>
          <w:u w:val="single"/>
          <w:rtl/>
        </w:rPr>
        <w:t>תרועת מלחמה גדולה</w:t>
      </w:r>
      <w:r>
        <w:rPr>
          <w:rFonts w:hint="cs"/>
          <w:rtl/>
        </w:rPr>
        <w:t xml:space="preserve"> (</w:t>
      </w:r>
      <w:r w:rsidRPr="003C162D">
        <w:rPr>
          <w:rFonts w:hint="cs"/>
          <w:rtl/>
        </w:rPr>
        <w:t>קול חזק מאוד</w:t>
      </w:r>
      <w:r>
        <w:rPr>
          <w:rFonts w:hint="cs"/>
          <w:rtl/>
        </w:rPr>
        <w:t xml:space="preserve">) להמס לב אויב. ועם קול התרועה יצאו זרקות המלחמה להפיל חללים. קול השופרות </w:t>
      </w:r>
      <w:r w:rsidRPr="00855D12">
        <w:rPr>
          <w:rFonts w:hint="cs"/>
          <w:u w:val="single"/>
          <w:rtl/>
        </w:rPr>
        <w:t>יחישו</w:t>
      </w:r>
      <w:r>
        <w:rPr>
          <w:rFonts w:hint="cs"/>
          <w:rtl/>
        </w:rPr>
        <w:t xml:space="preserve"> </w:t>
      </w:r>
      <w:r w:rsidRPr="003C162D">
        <w:rPr>
          <w:rFonts w:hint="cs"/>
          <w:rtl/>
        </w:rPr>
        <w:t>(יחדלו\ימשיכו באותו האופן\יאיצו את מהירותם</w:t>
      </w:r>
      <w:r>
        <w:rPr>
          <w:rFonts w:hint="cs"/>
          <w:rtl/>
        </w:rPr>
        <w:t xml:space="preserve">) ובח[צו]צרות יהיו הכוהנים מריעים </w:t>
      </w:r>
      <w:r w:rsidRPr="00855D12">
        <w:rPr>
          <w:rFonts w:hint="cs"/>
          <w:u w:val="single"/>
          <w:rtl/>
        </w:rPr>
        <w:t>קול חד טרוד</w:t>
      </w:r>
      <w:r>
        <w:rPr>
          <w:rFonts w:hint="cs"/>
          <w:rtl/>
        </w:rPr>
        <w:t xml:space="preserve"> (</w:t>
      </w:r>
      <w:r w:rsidRPr="003C162D">
        <w:rPr>
          <w:rFonts w:hint="cs"/>
          <w:rtl/>
        </w:rPr>
        <w:t>קול חזק מאוד וגבוה [?] החוזר ברצף</w:t>
      </w:r>
      <w:r>
        <w:rPr>
          <w:rFonts w:hint="cs"/>
          <w:rtl/>
        </w:rPr>
        <w:t xml:space="preserve">) לנצח ידי מלחמה עד השליכם למערכת האויב שבע פעמים ואחר יתקעו להם הכוהנים בחצוצרות המשוב </w:t>
      </w:r>
      <w:r w:rsidRPr="00855D12">
        <w:rPr>
          <w:rFonts w:hint="cs"/>
          <w:u w:val="single"/>
          <w:rtl/>
        </w:rPr>
        <w:t>קול נוח מרודד סמוך</w:t>
      </w:r>
      <w:r>
        <w:rPr>
          <w:rFonts w:hint="cs"/>
          <w:rtl/>
        </w:rPr>
        <w:t xml:space="preserve"> (</w:t>
      </w:r>
      <w:r w:rsidRPr="003C162D">
        <w:rPr>
          <w:rFonts w:hint="cs"/>
          <w:rtl/>
        </w:rPr>
        <w:t>קול נמוך, מתמשך וחזק</w:t>
      </w:r>
      <w:r>
        <w:rPr>
          <w:rFonts w:hint="cs"/>
          <w:rtl/>
        </w:rPr>
        <w:t>)".</w:t>
      </w:r>
    </w:p>
    <w:p w14:paraId="7C7938F3" w14:textId="062D8438" w:rsidR="00BB7D5F" w:rsidRPr="00C43322" w:rsidRDefault="00BB7D5F" w:rsidP="002D1D4C">
      <w:pPr>
        <w:bidi/>
        <w:rPr>
          <w:rtl/>
        </w:rPr>
      </w:pPr>
      <w:r w:rsidRPr="002B4B06">
        <w:rPr>
          <w:rFonts w:hint="cs"/>
          <w:rtl/>
        </w:rPr>
        <w:t>2)</w:t>
      </w:r>
      <w:r>
        <w:rPr>
          <w:rFonts w:hint="cs"/>
          <w:rtl/>
        </w:rPr>
        <w:t xml:space="preserve"> טור ט 1</w:t>
      </w:r>
      <w:r w:rsidRPr="00C43322">
        <w:rPr>
          <w:rFonts w:hint="cs"/>
          <w:rtl/>
        </w:rPr>
        <w:t>:</w:t>
      </w:r>
      <w:r w:rsidR="00793D09">
        <w:t>2</w:t>
      </w:r>
      <w:r w:rsidRPr="00C43322">
        <w:rPr>
          <w:rStyle w:val="FootnoteReference"/>
          <w:rFonts w:eastAsia="Calibri"/>
          <w:rtl/>
        </w:rPr>
        <w:footnoteReference w:id="94"/>
      </w:r>
    </w:p>
    <w:p w14:paraId="518AC194" w14:textId="68302DEE" w:rsidR="00BB7D5F" w:rsidRPr="00502750" w:rsidRDefault="00BB7D5F" w:rsidP="002D1D4C">
      <w:pPr>
        <w:bidi/>
        <w:rPr>
          <w:rtl/>
        </w:rPr>
      </w:pPr>
      <w:r w:rsidRPr="00502750">
        <w:rPr>
          <w:rFonts w:hint="cs"/>
          <w:rtl/>
        </w:rPr>
        <w:t xml:space="preserve">"...יחלו ידם להפיל בחללים וכול העם </w:t>
      </w:r>
      <w:r w:rsidRPr="00855D12">
        <w:rPr>
          <w:rFonts w:hint="cs"/>
          <w:u w:val="single"/>
          <w:rtl/>
        </w:rPr>
        <w:t>יחשו</w:t>
      </w:r>
      <w:r w:rsidRPr="00855D12">
        <w:rPr>
          <w:rFonts w:hint="cs"/>
          <w:rtl/>
        </w:rPr>
        <w:t xml:space="preserve"> </w:t>
      </w:r>
      <w:r w:rsidRPr="00502750">
        <w:rPr>
          <w:rFonts w:hint="cs"/>
          <w:rtl/>
        </w:rPr>
        <w:t>(יחדלו\ימשיכו באותו האופן\יאיצו את מהירותם) מקול התרועה. והכוהנים יהיו מריעים בחצוצרות החללים לנצח המלחמה עד הנגף האויב והסבו עורפם".</w:t>
      </w:r>
    </w:p>
    <w:p w14:paraId="53313BFB" w14:textId="77777777" w:rsidR="00BB7D5F" w:rsidRPr="00C43322" w:rsidRDefault="00BB7D5F" w:rsidP="002D1D4C">
      <w:pPr>
        <w:bidi/>
      </w:pPr>
      <w:commentRangeStart w:id="13"/>
      <w:r>
        <w:rPr>
          <w:rFonts w:hint="cs"/>
          <w:rtl/>
        </w:rPr>
        <w:t>טור טז 3 - 9:</w:t>
      </w:r>
      <w:r>
        <w:rPr>
          <w:rStyle w:val="FootnoteReference"/>
          <w:rFonts w:eastAsia="Calibri"/>
          <w:rtl/>
        </w:rPr>
        <w:footnoteReference w:id="95"/>
      </w:r>
      <w:commentRangeEnd w:id="13"/>
      <w:r w:rsidR="00793D09">
        <w:rPr>
          <w:rStyle w:val="CommentReference"/>
        </w:rPr>
        <w:commentReference w:id="13"/>
      </w:r>
    </w:p>
    <w:p w14:paraId="22D6F7A2" w14:textId="298EB892" w:rsidR="00BB7D5F" w:rsidRDefault="00BB7D5F" w:rsidP="002D1D4C">
      <w:pPr>
        <w:bidi/>
        <w:rPr>
          <w:rtl/>
        </w:rPr>
      </w:pPr>
      <w:r w:rsidRPr="00005F6C">
        <w:rPr>
          <w:rFonts w:hint="cs"/>
          <w:rtl/>
        </w:rPr>
        <w:t>"את כול הסרך הזה יעשו [ביום ה]הואה על עומדם נגד מחני כתיים ואחר יתקעו להמה הכוהנים בחצוצרות הזכרון ופתחו את שערי המ[ל]חמה ויצאו אנשי הבינים ועמדו ראשים בין המערכות ותקעו להם הכוהנים תרועה סדר והראשים [יהיו נפשט]ים לקול החצוצרות עד התיצבם איש על מעמדו ותקעו להם הכוהנים תרועה שנית [</w:t>
      </w:r>
      <w:r w:rsidRPr="00855D12">
        <w:rPr>
          <w:rFonts w:hint="cs"/>
          <w:u w:val="single"/>
          <w:rtl/>
        </w:rPr>
        <w:t>ידי</w:t>
      </w:r>
      <w:r w:rsidRPr="00005F6C">
        <w:rPr>
          <w:rFonts w:hint="cs"/>
          <w:rtl/>
        </w:rPr>
        <w:t xml:space="preserve"> (</w:t>
      </w:r>
      <w:r w:rsidRPr="00794363">
        <w:rPr>
          <w:rFonts w:hint="cs"/>
          <w:rtl/>
        </w:rPr>
        <w:t>כדי להביא לידי</w:t>
      </w:r>
      <w:r w:rsidRPr="00005F6C">
        <w:rPr>
          <w:rFonts w:hint="cs"/>
          <w:rtl/>
        </w:rPr>
        <w:t xml:space="preserve">) התק]רב ובעומדם ליד מערכת כתיים כדי הטל ירימו איש ידו בכלי מלחמתו וששת [הכו]הנ[ים יתקעו ב]חצוצרות החללים </w:t>
      </w:r>
      <w:r w:rsidRPr="00855D12">
        <w:rPr>
          <w:rFonts w:hint="cs"/>
          <w:u w:val="single"/>
          <w:rtl/>
        </w:rPr>
        <w:t>קול חד טרוד</w:t>
      </w:r>
      <w:r w:rsidRPr="00794363">
        <w:rPr>
          <w:rFonts w:hint="cs"/>
          <w:b/>
          <w:bCs/>
          <w:rtl/>
        </w:rPr>
        <w:t xml:space="preserve"> </w:t>
      </w:r>
      <w:r w:rsidRPr="00005F6C">
        <w:rPr>
          <w:rFonts w:hint="cs"/>
          <w:rtl/>
        </w:rPr>
        <w:t>(</w:t>
      </w:r>
      <w:r w:rsidRPr="00794363">
        <w:rPr>
          <w:rFonts w:hint="cs"/>
          <w:rtl/>
        </w:rPr>
        <w:t>קול חזק מאוד וגבוה [?] החוזר ברצף</w:t>
      </w:r>
      <w:r w:rsidRPr="00005F6C">
        <w:rPr>
          <w:rFonts w:hint="cs"/>
          <w:rtl/>
        </w:rPr>
        <w:t xml:space="preserve">) לנצח מלחמה והלוים וכול עם השופרות יריע[ו </w:t>
      </w:r>
      <w:r w:rsidRPr="00855D12">
        <w:rPr>
          <w:rFonts w:hint="cs"/>
          <w:u w:val="single"/>
          <w:rtl/>
        </w:rPr>
        <w:t>תרוע]ת מ[לחמה] בקול גדול</w:t>
      </w:r>
      <w:r w:rsidRPr="00794363">
        <w:rPr>
          <w:rFonts w:hint="cs"/>
          <w:b/>
          <w:bCs/>
          <w:rtl/>
        </w:rPr>
        <w:t xml:space="preserve"> </w:t>
      </w:r>
      <w:r w:rsidRPr="00005F6C">
        <w:rPr>
          <w:rFonts w:hint="cs"/>
          <w:rtl/>
        </w:rPr>
        <w:t>(</w:t>
      </w:r>
      <w:r w:rsidRPr="00794363">
        <w:rPr>
          <w:rFonts w:hint="cs"/>
          <w:rtl/>
        </w:rPr>
        <w:t>קול חזק מאוד</w:t>
      </w:r>
      <w:r w:rsidRPr="00005F6C">
        <w:rPr>
          <w:rFonts w:hint="cs"/>
          <w:rtl/>
        </w:rPr>
        <w:t xml:space="preserve">) ועם צאת הקול יחלו ידם להפיל בחללי כתיים וכול העם </w:t>
      </w:r>
      <w:r w:rsidRPr="00855D12">
        <w:rPr>
          <w:rFonts w:hint="cs"/>
          <w:u w:val="single"/>
          <w:rtl/>
        </w:rPr>
        <w:t xml:space="preserve">יחשו </w:t>
      </w:r>
      <w:r w:rsidRPr="00005F6C">
        <w:rPr>
          <w:rFonts w:hint="cs"/>
          <w:rtl/>
        </w:rPr>
        <w:t>(</w:t>
      </w:r>
      <w:r w:rsidRPr="00794363">
        <w:rPr>
          <w:rFonts w:hint="cs"/>
          <w:rtl/>
        </w:rPr>
        <w:t>יחדלו\ימשיכו באותו האופן\יאיצו את מהירותם</w:t>
      </w:r>
      <w:r w:rsidRPr="00005F6C">
        <w:rPr>
          <w:rFonts w:hint="cs"/>
          <w:rtl/>
        </w:rPr>
        <w:t>) קול התרועה [והכוהנ]ים יהיו מריעים בחצוצרות החללים והמלחמה מתנצחת בכתיים".</w:t>
      </w:r>
    </w:p>
    <w:p w14:paraId="2BE6C776" w14:textId="77777777" w:rsidR="00BB7D5F" w:rsidRPr="00005F6C" w:rsidRDefault="00BB7D5F" w:rsidP="002D1D4C">
      <w:pPr>
        <w:bidi/>
        <w:rPr>
          <w:rtl/>
        </w:rPr>
      </w:pPr>
      <w:r w:rsidRPr="002B4B06">
        <w:rPr>
          <w:rFonts w:hint="cs"/>
          <w:rtl/>
        </w:rPr>
        <w:t>3</w:t>
      </w:r>
      <w:commentRangeStart w:id="14"/>
      <w:r w:rsidRPr="002B4B06">
        <w:rPr>
          <w:rFonts w:hint="cs"/>
          <w:rtl/>
        </w:rPr>
        <w:t>)</w:t>
      </w:r>
      <w:r>
        <w:rPr>
          <w:rFonts w:hint="cs"/>
          <w:rtl/>
        </w:rPr>
        <w:t xml:space="preserve"> טור יז 10 - 15:</w:t>
      </w:r>
      <w:r>
        <w:rPr>
          <w:rStyle w:val="FootnoteReference"/>
          <w:rFonts w:eastAsia="Calibri"/>
          <w:rtl/>
        </w:rPr>
        <w:footnoteReference w:id="96"/>
      </w:r>
      <w:commentRangeEnd w:id="14"/>
      <w:r w:rsidR="00793D09">
        <w:rPr>
          <w:rStyle w:val="CommentReference"/>
        </w:rPr>
        <w:commentReference w:id="14"/>
      </w:r>
    </w:p>
    <w:p w14:paraId="4E14095E" w14:textId="6F234E7D" w:rsidR="00BB7D5F" w:rsidRDefault="00BB7D5F" w:rsidP="00911E67">
      <w:pPr>
        <w:bidi/>
        <w:rPr>
          <w:rtl/>
        </w:rPr>
      </w:pPr>
      <w:r w:rsidRPr="00205AEF">
        <w:rPr>
          <w:rFonts w:hint="cs"/>
          <w:rtl/>
        </w:rPr>
        <w:t xml:space="preserve">"ואחר הדברים האלה יתקעו </w:t>
      </w:r>
      <w:r w:rsidRPr="00205AEF">
        <w:rPr>
          <w:rFonts w:hint="cs"/>
          <w:vertAlign w:val="superscript"/>
          <w:rtl/>
        </w:rPr>
        <w:t>הכוהנים</w:t>
      </w:r>
      <w:r w:rsidRPr="00205AEF">
        <w:rPr>
          <w:rFonts w:hint="cs"/>
          <w:rtl/>
        </w:rPr>
        <w:t xml:space="preserve"> להם לסדר דגלי המערכה. והראשים נפשטים לקול החצוצרות עד התיצ[בם אי]ש על מעמד[ו]. ותקעו הכוהנים תרועה שנית </w:t>
      </w:r>
      <w:r w:rsidRPr="00855D12">
        <w:rPr>
          <w:rFonts w:hint="cs"/>
          <w:u w:val="single"/>
          <w:rtl/>
        </w:rPr>
        <w:t>יידי</w:t>
      </w:r>
      <w:r w:rsidRPr="00205AEF">
        <w:rPr>
          <w:rFonts w:hint="cs"/>
          <w:rtl/>
        </w:rPr>
        <w:t xml:space="preserve"> (</w:t>
      </w:r>
      <w:r w:rsidRPr="00794363">
        <w:rPr>
          <w:rFonts w:hint="cs"/>
          <w:rtl/>
        </w:rPr>
        <w:t>כדי להביא לידי</w:t>
      </w:r>
      <w:r w:rsidRPr="00205AEF">
        <w:rPr>
          <w:rFonts w:hint="cs"/>
          <w:rtl/>
        </w:rPr>
        <w:t xml:space="preserve">) התקרב. ובהגיע אנשי [הבינים ליד מע]רכת כתיים כדי הטל ירימו איש ידו בכלי מלחמתו והכוהנים יריעו בחצוצרות החללים [והלוים וכו]ל עם השופרות יריעו </w:t>
      </w:r>
      <w:r w:rsidRPr="00855D12">
        <w:rPr>
          <w:rFonts w:hint="cs"/>
          <w:u w:val="single"/>
          <w:rtl/>
        </w:rPr>
        <w:t>תרועת מלחמה</w:t>
      </w:r>
      <w:r w:rsidRPr="00205AEF">
        <w:rPr>
          <w:rFonts w:hint="cs"/>
          <w:rtl/>
        </w:rPr>
        <w:t xml:space="preserve"> (</w:t>
      </w:r>
      <w:r w:rsidRPr="00794363">
        <w:rPr>
          <w:rFonts w:hint="cs"/>
          <w:rtl/>
        </w:rPr>
        <w:t>קול חזק מאוד</w:t>
      </w:r>
      <w:r w:rsidRPr="00205AEF">
        <w:rPr>
          <w:rFonts w:hint="cs"/>
          <w:rtl/>
        </w:rPr>
        <w:t xml:space="preserve">). ואנשי הבינים ישלחו ידם בחיל הכתיים [ועם צאת קו]ל [הת]רועה יחלו להפיל בחלליהם. וכול העם </w:t>
      </w:r>
      <w:r w:rsidRPr="00855D12">
        <w:rPr>
          <w:rFonts w:hint="cs"/>
          <w:u w:val="single"/>
          <w:rtl/>
        </w:rPr>
        <w:t>יניחו</w:t>
      </w:r>
      <w:r w:rsidRPr="00205AEF">
        <w:rPr>
          <w:rFonts w:hint="cs"/>
          <w:rtl/>
        </w:rPr>
        <w:t xml:space="preserve"> (</w:t>
      </w:r>
      <w:r w:rsidRPr="00794363">
        <w:rPr>
          <w:rFonts w:hint="cs"/>
          <w:rtl/>
        </w:rPr>
        <w:t>יחדלו\ינמיכו את גובה</w:t>
      </w:r>
      <w:r w:rsidRPr="00205AEF">
        <w:rPr>
          <w:rFonts w:hint="cs"/>
          <w:rtl/>
        </w:rPr>
        <w:t>) קול התרועה. והכוהנים יהיו מריעים ב[חצוצרות החללי]ם והמל[חמ]ה מ[תנצח]ת בכ[תיים וכול חי]ל בליע]ל נגפים לפניהם".</w:t>
      </w:r>
    </w:p>
    <w:p w14:paraId="05795815" w14:textId="77777777" w:rsidR="00BB7D5F" w:rsidRPr="00023FB2" w:rsidRDefault="00BB7D5F" w:rsidP="002D1D4C">
      <w:pPr>
        <w:bidi/>
      </w:pPr>
    </w:p>
    <w:p w14:paraId="5E9F432D" w14:textId="194F7B79" w:rsidR="00EC33AA" w:rsidRPr="00911E67" w:rsidRDefault="00EC33AA" w:rsidP="00911E67">
      <w:pPr>
        <w:pStyle w:val="ListParagraph"/>
        <w:numPr>
          <w:ilvl w:val="0"/>
          <w:numId w:val="19"/>
        </w:numPr>
        <w:rPr>
          <w:rFonts w:asciiTheme="majorBidi" w:hAnsiTheme="majorBidi" w:cstheme="majorBidi"/>
        </w:rPr>
      </w:pPr>
      <w:r w:rsidRPr="00911E67">
        <w:rPr>
          <w:rFonts w:asciiTheme="majorBidi" w:hAnsiTheme="majorBidi" w:cstheme="majorBidi"/>
        </w:rPr>
        <w:t>1QM 8:1</w:t>
      </w:r>
      <w:r w:rsidRPr="00911E67">
        <w:rPr>
          <w:rFonts w:asciiTheme="majorBidi" w:hAnsiTheme="majorBidi"/>
          <w:sz w:val="20"/>
          <w:szCs w:val="20"/>
        </w:rPr>
        <w:t>–</w:t>
      </w:r>
      <w:commentRangeStart w:id="15"/>
      <w:r w:rsidRPr="00911E67">
        <w:rPr>
          <w:rFonts w:asciiTheme="majorBidi" w:hAnsiTheme="majorBidi" w:cstheme="majorBidi"/>
        </w:rPr>
        <w:t>14</w:t>
      </w:r>
      <w:commentRangeEnd w:id="15"/>
      <w:r w:rsidR="00995559">
        <w:rPr>
          <w:rStyle w:val="CommentReference"/>
        </w:rPr>
        <w:commentReference w:id="15"/>
      </w:r>
    </w:p>
    <w:p w14:paraId="479BD6DD" w14:textId="562C81CB" w:rsidR="00995559" w:rsidRPr="00995559" w:rsidRDefault="00995559" w:rsidP="00995559">
      <w:pPr>
        <w:rPr>
          <w:rFonts w:asciiTheme="majorBidi" w:hAnsiTheme="majorBidi" w:cstheme="majorBidi"/>
        </w:rPr>
      </w:pPr>
      <w:r>
        <w:rPr>
          <w:rFonts w:asciiTheme="majorBidi" w:hAnsiTheme="majorBidi" w:cstheme="majorBidi"/>
        </w:rPr>
        <w:t>T</w:t>
      </w:r>
      <w:r w:rsidRPr="00995559">
        <w:rPr>
          <w:rFonts w:asciiTheme="majorBidi" w:hAnsiTheme="majorBidi" w:cstheme="majorBidi"/>
        </w:rPr>
        <w:t>he trumpets shall blow continually to direct the slingmen until they have completed hurling seven times. Afterwards the priests shall blow on the trumpets of return, and they shall go along the side of the first battle line</w:t>
      </w:r>
      <w:r>
        <w:rPr>
          <w:rFonts w:asciiTheme="majorBidi" w:hAnsiTheme="majorBidi" w:cstheme="majorBidi"/>
        </w:rPr>
        <w:t xml:space="preserve"> </w:t>
      </w:r>
      <w:r w:rsidRPr="00995559">
        <w:rPr>
          <w:rFonts w:asciiTheme="majorBidi" w:hAnsiTheme="majorBidi" w:cstheme="majorBidi"/>
        </w:rPr>
        <w:t>to take their position. The priests shall blow on the trumpets of assembly, and</w:t>
      </w:r>
      <w:r>
        <w:rPr>
          <w:rFonts w:asciiTheme="majorBidi" w:hAnsiTheme="majorBidi" w:cstheme="majorBidi"/>
        </w:rPr>
        <w:t xml:space="preserve"> </w:t>
      </w:r>
      <w:r w:rsidRPr="00995559">
        <w:rPr>
          <w:rFonts w:asciiTheme="majorBidi" w:hAnsiTheme="majorBidi" w:cstheme="majorBidi"/>
        </w:rPr>
        <w:t>the three divisions of infantry shall go out from the gates and stand between the battle lines, and beside them the cavalrymen,</w:t>
      </w:r>
      <w:r>
        <w:rPr>
          <w:rFonts w:asciiTheme="majorBidi" w:hAnsiTheme="majorBidi" w:cstheme="majorBidi"/>
        </w:rPr>
        <w:t xml:space="preserve"> </w:t>
      </w:r>
      <w:r w:rsidRPr="00995559">
        <w:rPr>
          <w:rFonts w:asciiTheme="majorBidi" w:hAnsiTheme="majorBidi" w:cstheme="majorBidi"/>
        </w:rPr>
        <w:t>at the right and at the left. The priests shall blow on their trumpets a level note, signals for the order of battle.</w:t>
      </w:r>
      <w:r>
        <w:rPr>
          <w:rFonts w:asciiTheme="majorBidi" w:hAnsiTheme="majorBidi" w:cstheme="majorBidi"/>
        </w:rPr>
        <w:t xml:space="preserve"> </w:t>
      </w:r>
      <w:r w:rsidRPr="00995559">
        <w:rPr>
          <w:rFonts w:asciiTheme="majorBidi" w:hAnsiTheme="majorBidi" w:cstheme="majorBidi"/>
        </w:rPr>
        <w:t>And the columns shall be deployed into their formations, each to his position. When they have positioned themselves in three formations,</w:t>
      </w:r>
      <w:r>
        <w:rPr>
          <w:rFonts w:asciiTheme="majorBidi" w:hAnsiTheme="majorBidi" w:cstheme="majorBidi"/>
        </w:rPr>
        <w:t xml:space="preserve"> </w:t>
      </w:r>
      <w:r w:rsidRPr="00995559">
        <w:rPr>
          <w:rFonts w:asciiTheme="majorBidi" w:hAnsiTheme="majorBidi" w:cstheme="majorBidi"/>
        </w:rPr>
        <w:t>the priests shall blow for them a second signal, a low legato note, signals for advance, until they draw near to the battle line of the enemy and take hold of their weapons. Then the priests shall blow on the six trumpets</w:t>
      </w:r>
      <w:r>
        <w:rPr>
          <w:rFonts w:asciiTheme="majorBidi" w:hAnsiTheme="majorBidi" w:cstheme="majorBidi"/>
        </w:rPr>
        <w:t xml:space="preserve"> </w:t>
      </w:r>
      <w:r w:rsidRPr="00995559">
        <w:rPr>
          <w:rFonts w:asciiTheme="majorBidi" w:hAnsiTheme="majorBidi" w:cstheme="majorBidi"/>
        </w:rPr>
        <w:t>of the slain a sharp staccato note to direct the battle, and the Levites and all the people with rams’ horns shall blow</w:t>
      </w:r>
      <w:r>
        <w:rPr>
          <w:rFonts w:asciiTheme="majorBidi" w:hAnsiTheme="majorBidi" w:cstheme="majorBidi"/>
        </w:rPr>
        <w:t xml:space="preserve"> </w:t>
      </w:r>
      <w:r w:rsidRPr="00995559">
        <w:rPr>
          <w:rFonts w:asciiTheme="majorBidi" w:hAnsiTheme="majorBidi" w:cstheme="majorBidi"/>
        </w:rPr>
        <w:t>a great battle alarm together in order to melt the heart of the enemy. With the sound of the alarm,</w:t>
      </w:r>
      <w:r>
        <w:rPr>
          <w:rFonts w:asciiTheme="majorBidi" w:hAnsiTheme="majorBidi" w:cstheme="majorBidi"/>
        </w:rPr>
        <w:t xml:space="preserve"> </w:t>
      </w:r>
      <w:r w:rsidRPr="00995559">
        <w:rPr>
          <w:rFonts w:asciiTheme="majorBidi" w:hAnsiTheme="majorBidi" w:cstheme="majorBidi"/>
        </w:rPr>
        <w:t>the battle darts shall fly out to bring down the slain. Then the sound of the rams’ horns shall quiet, but on the tru[m]pets</w:t>
      </w:r>
      <w:r>
        <w:rPr>
          <w:rFonts w:asciiTheme="majorBidi" w:hAnsiTheme="majorBidi" w:cstheme="majorBidi"/>
        </w:rPr>
        <w:t xml:space="preserve"> </w:t>
      </w:r>
      <w:r w:rsidRPr="00995559">
        <w:rPr>
          <w:rFonts w:asciiTheme="majorBidi" w:hAnsiTheme="majorBidi" w:cstheme="majorBidi"/>
        </w:rPr>
        <w:t>the priests shall continue to blow a sharp staccato note to direct the signals of battle until they have hurled into the battle line</w:t>
      </w:r>
      <w:r>
        <w:rPr>
          <w:rFonts w:asciiTheme="majorBidi" w:hAnsiTheme="majorBidi" w:cstheme="majorBidi"/>
        </w:rPr>
        <w:t xml:space="preserve"> </w:t>
      </w:r>
      <w:r w:rsidRPr="00995559">
        <w:rPr>
          <w:rFonts w:asciiTheme="majorBidi" w:hAnsiTheme="majorBidi" w:cstheme="majorBidi"/>
          <w:i/>
          <w:iCs/>
        </w:rPr>
        <w:t>vacat</w:t>
      </w:r>
      <w:r w:rsidRPr="00995559">
        <w:rPr>
          <w:rFonts w:asciiTheme="majorBidi" w:hAnsiTheme="majorBidi" w:cstheme="majorBidi"/>
        </w:rPr>
        <w:t xml:space="preserve"> of the enemy seven times. Afterwards, the priests shall blow for them the trumpets of retreat,</w:t>
      </w:r>
      <w:r>
        <w:rPr>
          <w:rFonts w:asciiTheme="majorBidi" w:hAnsiTheme="majorBidi" w:cstheme="majorBidi"/>
        </w:rPr>
        <w:t xml:space="preserve"> </w:t>
      </w:r>
      <w:r w:rsidRPr="00995559">
        <w:rPr>
          <w:rFonts w:asciiTheme="majorBidi" w:hAnsiTheme="majorBidi" w:cstheme="majorBidi"/>
        </w:rPr>
        <w:t xml:space="preserve">a low note, level and legato. </w:t>
      </w:r>
    </w:p>
    <w:p w14:paraId="0C206D8B" w14:textId="3F3DE988" w:rsidR="00EC33AA" w:rsidRDefault="00EC33AA" w:rsidP="00911E67">
      <w:pPr>
        <w:pStyle w:val="ListParagraph"/>
        <w:numPr>
          <w:ilvl w:val="0"/>
          <w:numId w:val="19"/>
        </w:numPr>
      </w:pPr>
      <w:r>
        <w:t>1QM 9:1</w:t>
      </w:r>
      <w:r w:rsidRPr="00911E67">
        <w:rPr>
          <w:rFonts w:asciiTheme="majorBidi" w:hAnsiTheme="majorBidi"/>
          <w:sz w:val="20"/>
          <w:szCs w:val="20"/>
        </w:rPr>
        <w:t>–</w:t>
      </w:r>
      <w:r>
        <w:t>2</w:t>
      </w:r>
    </w:p>
    <w:p w14:paraId="4534D6F4" w14:textId="05BDF26A" w:rsidR="00911E67" w:rsidRDefault="00911E67" w:rsidP="00911E67">
      <w:r>
        <w:t xml:space="preserve">their hands shall begin to bring down the slain, and all the people shall quiet the sound of alarm, but the priests shall continue sounding on the trumpets of the slain to direct the fighting until the enemy is defeated and turns in retreat. </w:t>
      </w:r>
    </w:p>
    <w:p w14:paraId="478B0891" w14:textId="733A859B" w:rsidR="00EC33AA" w:rsidRDefault="00EC33AA">
      <w:commentRangeStart w:id="16"/>
      <w:r>
        <w:t>1QM</w:t>
      </w:r>
      <w:commentRangeEnd w:id="16"/>
      <w:r w:rsidR="00911E67">
        <w:rPr>
          <w:rStyle w:val="CommentReference"/>
        </w:rPr>
        <w:commentReference w:id="16"/>
      </w:r>
      <w:r>
        <w:t xml:space="preserve"> 16:3–9</w:t>
      </w:r>
    </w:p>
    <w:p w14:paraId="27248991" w14:textId="5D8A0CFB" w:rsidR="00911E67" w:rsidRDefault="00911E67" w:rsidP="00911E67">
      <w:r>
        <w:t>They shall carry out all this Rule [ ] that [ ] at the place where they stand opposite the camps of the Kittim. Then the priests shall blow for them the trumpets of remembrance. The gates of w[ar] shall open, [and] the infantry shall go out and stand in columns between the battle lines. The priests shall blow for them a signal for the formation and the columns [ ] at the sound of the trumpets until each man has taken his station. Then the priests shall blow for them a second signal: [ confron]tation. When they stand near the battle line of the Kittim, within throwing range, each man shall raise his hand with his weapon of war. Then the six [ the tr]umpets of the slain a sharp staccato note to direct the fighting. The Levites and all the people with rams’ horns shall blow [ ], a loud noise. As the sound goes forth, the infantry shall begin to bring down the slain of the Kittim, and all the people shall cease the signal, [but the priest]s shall continue blowing on the trumpets of the slain and the battle shall prevail against the Kittim.</w:t>
      </w:r>
    </w:p>
    <w:p w14:paraId="450F4338" w14:textId="421D3FE2" w:rsidR="00911E67" w:rsidRDefault="00EC33AA" w:rsidP="00911E67">
      <w:commentRangeStart w:id="17"/>
      <w:r>
        <w:t>1QM</w:t>
      </w:r>
      <w:commentRangeEnd w:id="17"/>
      <w:r w:rsidR="00911E67">
        <w:rPr>
          <w:rStyle w:val="CommentReference"/>
        </w:rPr>
        <w:commentReference w:id="17"/>
      </w:r>
      <w:r>
        <w:t xml:space="preserve"> 17:10</w:t>
      </w:r>
      <w:r w:rsidRPr="008F238E">
        <w:rPr>
          <w:sz w:val="20"/>
          <w:szCs w:val="20"/>
          <w:rtl/>
        </w:rPr>
        <w:t>–</w:t>
      </w:r>
      <w:r>
        <w:t>15</w:t>
      </w:r>
    </w:p>
    <w:p w14:paraId="7728923F" w14:textId="6B8A0043" w:rsidR="00911E67" w:rsidRDefault="00911E67" w:rsidP="00911E67">
      <w:r>
        <w:t>And after these words</w:t>
      </w:r>
      <w:r w:rsidR="00AB7F8B">
        <w:t>,</w:t>
      </w:r>
      <w:r>
        <w:t xml:space="preserve"> the priests shall blow for them a signal to form the divisions of the battle line. The columns shall be deployed at the sound of the trumpets until e[ach man] has tak[en his] station. Then the priests shall blow another signal on the trumpets, signs for confrontation. When the infa[ntry] has approached [the battle] line of the Kitt[im,] within throwing range, each man shall raise his hand with his weapon. Then the priests shall blow on the trumpets of the slain [and the Levites and the al]l the people with rams’ horns shall sound a signal for battle. The infantry shall attack the army of the Kittim, [and as the soun]d [of the si]gnal [goes forth], they shall begin to bring down their slain. Then all the people shall stil[l] the sound of the signal, while the priests continuously blow on [the trumpets of the slai]n, and the bat[tl]e p[revail]s against the K[ittim, ] are [de]feated before them.</w:t>
      </w:r>
    </w:p>
    <w:p w14:paraId="53CABB01" w14:textId="2374F4D4" w:rsidR="003F43B3" w:rsidRDefault="003F43B3"/>
    <w:p w14:paraId="34B77345" w14:textId="77777777" w:rsidR="008872BE" w:rsidRDefault="008872BE"/>
    <w:sectPr w:rsidR="008872BE" w:rsidSect="00ED7AE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1-09-09T15:28:00Z" w:initials="JA">
    <w:p w14:paraId="46E41E4B" w14:textId="4758B2FA" w:rsidR="00F50DDC" w:rsidRDefault="00F50DDC" w:rsidP="00761532">
      <w:pPr>
        <w:pStyle w:val="CommentText"/>
        <w:bidi/>
        <w:rPr>
          <w:lang w:bidi="he-IL"/>
        </w:rPr>
      </w:pPr>
      <w:r>
        <w:rPr>
          <w:rStyle w:val="CommentReference"/>
        </w:rPr>
        <w:annotationRef/>
      </w:r>
      <w:r>
        <w:rPr>
          <w:rFonts w:hint="cs"/>
          <w:rtl/>
          <w:lang w:bidi="he-IL"/>
        </w:rPr>
        <w:t>בסדר?</w:t>
      </w:r>
    </w:p>
  </w:comment>
  <w:comment w:id="2" w:author="Josh Amaru" w:date="2021-09-09T16:10:00Z" w:initials="JA">
    <w:p w14:paraId="7A084C7C" w14:textId="1C0CDD9C" w:rsidR="00784C7C" w:rsidRDefault="00784C7C" w:rsidP="00761532">
      <w:pPr>
        <w:pStyle w:val="CommentText"/>
        <w:bidi/>
        <w:rPr>
          <w:rtl/>
          <w:lang w:bidi="he-IL"/>
        </w:rPr>
      </w:pPr>
      <w:r>
        <w:rPr>
          <w:rStyle w:val="CommentReference"/>
        </w:rPr>
        <w:annotationRef/>
      </w:r>
      <w:r w:rsidR="007E6CE1">
        <w:rPr>
          <w:rFonts w:hint="cs"/>
          <w:rtl/>
          <w:lang w:bidi="he-IL"/>
        </w:rPr>
        <w:t xml:space="preserve">כך לפי ההנחיות מציינים </w:t>
      </w:r>
      <w:r w:rsidR="000C7BDC">
        <w:rPr>
          <w:rFonts w:hint="cs"/>
          <w:rtl/>
          <w:lang w:bidi="he-IL"/>
        </w:rPr>
        <w:t>כותרות</w:t>
      </w:r>
    </w:p>
  </w:comment>
  <w:comment w:id="3" w:author="Shani Tzoref" w:date="2021-08-10T10:48:00Z" w:initials="ST">
    <w:p w14:paraId="5669D158" w14:textId="77777777" w:rsidR="00AE7CD4" w:rsidRPr="00756D2C" w:rsidRDefault="00AE7CD4" w:rsidP="00761532">
      <w:pPr>
        <w:pStyle w:val="CommentText"/>
      </w:pPr>
      <w:r>
        <w:rPr>
          <w:rStyle w:val="CommentReference"/>
        </w:rPr>
        <w:annotationRef/>
      </w:r>
      <w:r>
        <w:t>Perhaps move the information in this note about the table and appendix to the beginning of the article, so that the reader knows that they can refer to these as they read?</w:t>
      </w:r>
    </w:p>
  </w:comment>
  <w:comment w:id="4" w:author="משה פיאמנטה" w:date="2021-08-17T11:12:00Z" w:initials="מפ">
    <w:p w14:paraId="349109FE" w14:textId="77777777" w:rsidR="00AE7CD4" w:rsidRPr="00796A53" w:rsidRDefault="00AE7CD4" w:rsidP="00761532">
      <w:pPr>
        <w:pStyle w:val="CommentText"/>
        <w:rPr>
          <w:rtl/>
          <w:lang w:bidi="he-IL"/>
        </w:rPr>
      </w:pPr>
      <w:r w:rsidRPr="00796A53">
        <w:rPr>
          <w:rStyle w:val="CommentReference"/>
          <w:color w:val="FF0000"/>
          <w:sz w:val="20"/>
          <w:szCs w:val="20"/>
        </w:rPr>
        <w:annotationRef/>
      </w:r>
      <w:r w:rsidRPr="00796A53">
        <w:rPr>
          <w:rStyle w:val="CommentReference"/>
          <w:rFonts w:hint="cs"/>
          <w:color w:val="FF0000"/>
          <w:sz w:val="20"/>
          <w:szCs w:val="20"/>
          <w:rtl/>
          <w:lang w:bidi="he-IL"/>
        </w:rPr>
        <w:t>זה רעיון מצוין! תודה!</w:t>
      </w:r>
    </w:p>
  </w:comment>
  <w:comment w:id="5" w:author="Josh Amaru" w:date="2021-08-24T11:09:00Z" w:initials="JA">
    <w:p w14:paraId="3B3913C4" w14:textId="77777777" w:rsidR="00AE7CD4" w:rsidRDefault="00AE7CD4" w:rsidP="00761532">
      <w:pPr>
        <w:pStyle w:val="CommentText"/>
      </w:pPr>
      <w:r>
        <w:rPr>
          <w:rStyle w:val="CommentReference"/>
        </w:rPr>
        <w:annotationRef/>
      </w:r>
      <w:r>
        <w:t>I moved the footnote to here and adjusted it for context If you prefer it elsewhere, just control X on the footnote reference number and then control V wherever you w</w:t>
      </w:r>
    </w:p>
  </w:comment>
  <w:comment w:id="6" w:author="Josh Amaru" w:date="2021-09-09T16:15:00Z" w:initials="JA">
    <w:p w14:paraId="13EFA6AA" w14:textId="629F2AD0" w:rsidR="00A72C7E" w:rsidRDefault="00A72C7E" w:rsidP="00761532">
      <w:pPr>
        <w:pStyle w:val="CommentText"/>
        <w:rPr>
          <w:rtl/>
          <w:lang w:bidi="he-IL"/>
        </w:rPr>
      </w:pPr>
      <w:r>
        <w:rPr>
          <w:rStyle w:val="CommentReference"/>
        </w:rPr>
        <w:annotationRef/>
      </w:r>
      <w:r>
        <w:rPr>
          <w:rFonts w:hint="cs"/>
          <w:rtl/>
          <w:lang w:bidi="he-IL"/>
        </w:rPr>
        <w:t>אני מציע להשמיט.  לא ברור הכוונה וזה</w:t>
      </w:r>
      <w:r w:rsidR="00B07472">
        <w:rPr>
          <w:rFonts w:hint="cs"/>
          <w:rtl/>
          <w:lang w:bidi="he-IL"/>
        </w:rPr>
        <w:t xml:space="preserve"> לא כל שייך </w:t>
      </w:r>
      <w:r w:rsidR="00B07472">
        <w:rPr>
          <w:rFonts w:cs="Times New Roman"/>
          <w:rtl/>
          <w:lang w:bidi="he-IL"/>
        </w:rPr>
        <w:t>–</w:t>
      </w:r>
      <w:r w:rsidR="00B07472">
        <w:rPr>
          <w:rFonts w:hint="cs"/>
          <w:rtl/>
          <w:lang w:bidi="he-IL"/>
        </w:rPr>
        <w:t xml:space="preserve"> אתה רק רוצה להגיע לנקודה של החצוצרות.</w:t>
      </w:r>
    </w:p>
  </w:comment>
  <w:comment w:id="7" w:author="Josh Amaru" w:date="2021-09-09T16:22:00Z" w:initials="JA">
    <w:p w14:paraId="1B90640F" w14:textId="2420A554" w:rsidR="00A40FA5" w:rsidRDefault="00A40FA5" w:rsidP="00761532">
      <w:pPr>
        <w:pStyle w:val="CommentText"/>
        <w:bidi/>
        <w:rPr>
          <w:rtl/>
          <w:lang w:bidi="he-IL"/>
        </w:rPr>
      </w:pPr>
      <w:r>
        <w:rPr>
          <w:rStyle w:val="CommentReference"/>
        </w:rPr>
        <w:annotationRef/>
      </w:r>
      <w:r w:rsidR="000508DA">
        <w:rPr>
          <w:rFonts w:hint="cs"/>
          <w:rtl/>
          <w:lang w:bidi="he-IL"/>
        </w:rPr>
        <w:t>האם יש הבדל משמעותי בין הצעתך לבין אלה של סוקניק וידין</w:t>
      </w:r>
      <w:r w:rsidR="0068191F">
        <w:rPr>
          <w:rFonts w:hint="cs"/>
          <w:rtl/>
          <w:lang w:bidi="he-IL"/>
        </w:rPr>
        <w:t>? לי לא נראה כך. אם כן, רצוי לחדד. אם לא, רצוי לציין זאת.</w:t>
      </w:r>
    </w:p>
  </w:comment>
  <w:comment w:id="10" w:author="Josh Amaru" w:date="2021-09-09T17:01:00Z" w:initials="JA">
    <w:p w14:paraId="6A23069F" w14:textId="72AE8076" w:rsidR="00951B5E" w:rsidRDefault="00951B5E">
      <w:pPr>
        <w:pStyle w:val="CommentText"/>
        <w:rPr>
          <w:lang w:bidi="he-IL"/>
        </w:rPr>
      </w:pPr>
      <w:r>
        <w:rPr>
          <w:rStyle w:val="CommentReference"/>
        </w:rPr>
        <w:annotationRef/>
      </w:r>
      <w:r>
        <w:rPr>
          <w:lang w:bidi="he-IL"/>
        </w:rPr>
        <w:t>Loud?</w:t>
      </w:r>
    </w:p>
  </w:comment>
  <w:comment w:id="9" w:author="Josh Amaru" w:date="2021-09-09T16:58:00Z" w:initials="JA">
    <w:p w14:paraId="062D7EEB" w14:textId="5CBA1777" w:rsidR="00D841E7" w:rsidRDefault="00D841E7" w:rsidP="00037AFE">
      <w:pPr>
        <w:pStyle w:val="CommentText"/>
        <w:bidi/>
        <w:rPr>
          <w:rtl/>
          <w:lang w:bidi="he-IL"/>
        </w:rPr>
      </w:pPr>
      <w:r>
        <w:rPr>
          <w:rStyle w:val="CommentReference"/>
        </w:rPr>
        <w:annotationRef/>
      </w:r>
      <w:r w:rsidR="00037AFE">
        <w:rPr>
          <w:rFonts w:hint="cs"/>
          <w:rtl/>
          <w:lang w:bidi="he-IL"/>
        </w:rPr>
        <w:t>למה ריבוי החצוצרות תומך ב</w:t>
      </w:r>
      <w:r w:rsidR="00402322">
        <w:rPr>
          <w:rFonts w:hint="cs"/>
          <w:rtl/>
          <w:lang w:bidi="he-IL"/>
        </w:rPr>
        <w:t xml:space="preserve">הצעה שמדובר בצליל גבוה?  </w:t>
      </w:r>
      <w:r w:rsidR="00280399">
        <w:rPr>
          <w:rFonts w:hint="cs"/>
          <w:rtl/>
          <w:lang w:bidi="he-IL"/>
        </w:rPr>
        <w:t xml:space="preserve">הרבה כלים תומך ברעיון שזה קול עוצמתי אבל לא הבנתי כיצד </w:t>
      </w:r>
      <w:r w:rsidR="00951B5E">
        <w:rPr>
          <w:rFonts w:hint="cs"/>
          <w:rtl/>
          <w:lang w:bidi="he-IL"/>
        </w:rPr>
        <w:t>זה תומך בקול בעל צליל גבוה.</w:t>
      </w:r>
    </w:p>
  </w:comment>
  <w:comment w:id="11" w:author="Josh Amaru" w:date="2021-09-14T17:26:00Z" w:initials="JA">
    <w:p w14:paraId="160D15FE" w14:textId="2559C3AF" w:rsidR="00731FB2" w:rsidRDefault="00731FB2">
      <w:pPr>
        <w:pStyle w:val="CommentText"/>
      </w:pPr>
      <w:r>
        <w:rPr>
          <w:rStyle w:val="CommentReference"/>
        </w:rPr>
        <w:annotationRef/>
      </w:r>
      <w:r>
        <w:t xml:space="preserve">combatants implies it is both sides.  </w:t>
      </w:r>
      <w:r w:rsidR="00F325C6">
        <w:t>Better: Spearmen</w:t>
      </w:r>
    </w:p>
  </w:comment>
  <w:comment w:id="12" w:author="Shani Tzoref" w:date="2021-08-18T11:50:00Z" w:initials="ST">
    <w:p w14:paraId="32397481" w14:textId="4A84206B" w:rsidR="005E5F67" w:rsidRDefault="005E5F67" w:rsidP="00761532">
      <w:pPr>
        <w:pStyle w:val="CommentText"/>
      </w:pPr>
      <w:r>
        <w:rPr>
          <w:rStyle w:val="CommentReference"/>
        </w:rPr>
        <w:annotationRef/>
      </w:r>
      <w:r>
        <w:t>The 000 in this note</w:t>
      </w:r>
      <w:r w:rsidR="00C71330">
        <w:t>, and twice below,</w:t>
      </w:r>
      <w:r>
        <w:t xml:space="preserve"> is a placeholder, until the text of the article is finalized and we are sure of the footnote numbers.</w:t>
      </w:r>
      <w:r>
        <w:br/>
        <w:t>Currently, the footnote referred to here is number 42.</w:t>
      </w:r>
    </w:p>
  </w:comment>
  <w:comment w:id="13" w:author="Shani Tzoref" w:date="2021-09-15T00:40:00Z" w:initials="ST">
    <w:p w14:paraId="4BF8948C" w14:textId="79DCE28C" w:rsidR="00793D09" w:rsidRDefault="00793D09">
      <w:pPr>
        <w:pStyle w:val="CommentText"/>
      </w:pPr>
      <w:r>
        <w:rPr>
          <w:rStyle w:val="CommentReference"/>
        </w:rPr>
        <w:annotationRef/>
      </w:r>
      <w:r>
        <w:t>Should this be numbered 3?</w:t>
      </w:r>
    </w:p>
  </w:comment>
  <w:comment w:id="14" w:author="Shani Tzoref" w:date="2021-09-15T00:41:00Z" w:initials="ST">
    <w:p w14:paraId="0DD9BC4C" w14:textId="2E3B5A4C" w:rsidR="00793D09" w:rsidRDefault="00793D09">
      <w:pPr>
        <w:pStyle w:val="CommentText"/>
      </w:pPr>
      <w:r>
        <w:rPr>
          <w:rStyle w:val="CommentReference"/>
        </w:rPr>
        <w:annotationRef/>
      </w:r>
      <w:r>
        <w:t>Should this be numbered 4?</w:t>
      </w:r>
    </w:p>
  </w:comment>
  <w:comment w:id="15" w:author="Shani Tzoref" w:date="2021-09-15T00:59:00Z" w:initials="ST">
    <w:p w14:paraId="2271752D" w14:textId="77777777" w:rsidR="00995559" w:rsidRDefault="00995559">
      <w:pPr>
        <w:pStyle w:val="CommentText"/>
      </w:pPr>
      <w:r>
        <w:rPr>
          <w:rStyle w:val="CommentReference"/>
        </w:rPr>
        <w:annotationRef/>
      </w:r>
      <w:r>
        <w:t>I’ve pasted the text through line 19;  is there a reason you do not include lines 15 – 17?</w:t>
      </w:r>
    </w:p>
    <w:p w14:paraId="6FB05DA5" w14:textId="77777777" w:rsidR="00995559" w:rsidRDefault="00995559">
      <w:pPr>
        <w:pStyle w:val="CommentText"/>
      </w:pPr>
    </w:p>
    <w:p w14:paraId="0EEA10A5" w14:textId="618BCF3F" w:rsidR="00995559" w:rsidRDefault="00995559">
      <w:pPr>
        <w:pStyle w:val="CommentText"/>
      </w:pPr>
      <w:r>
        <w:t>I think it could be useful to include line numbers, but I followed your Hebrew, which does not include these</w:t>
      </w:r>
    </w:p>
  </w:comment>
  <w:comment w:id="16" w:author="Shani Tzoref" w:date="2021-09-15T01:04:00Z" w:initials="ST">
    <w:p w14:paraId="79E528DC" w14:textId="20291C7D" w:rsidR="00911E67" w:rsidRDefault="00911E67">
      <w:pPr>
        <w:pStyle w:val="CommentText"/>
      </w:pPr>
      <w:r>
        <w:rPr>
          <w:rStyle w:val="CommentReference"/>
        </w:rPr>
        <w:annotationRef/>
      </w:r>
      <w:r>
        <w:t>Number 3?</w:t>
      </w:r>
    </w:p>
  </w:comment>
  <w:comment w:id="17" w:author="Shani Tzoref" w:date="2021-09-15T01:04:00Z" w:initials="ST">
    <w:p w14:paraId="482D659F" w14:textId="6B234331" w:rsidR="00911E67" w:rsidRDefault="00911E67">
      <w:pPr>
        <w:pStyle w:val="CommentText"/>
      </w:pPr>
      <w:r>
        <w:rPr>
          <w:rStyle w:val="CommentReference"/>
        </w:rPr>
        <w:annotationRef/>
      </w:r>
      <w:r>
        <w:t>Number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41E4B" w15:done="0"/>
  <w15:commentEx w15:paraId="7A084C7C" w15:done="0"/>
  <w15:commentEx w15:paraId="5669D158" w15:done="0"/>
  <w15:commentEx w15:paraId="349109FE" w15:paraIdParent="5669D158" w15:done="0"/>
  <w15:commentEx w15:paraId="3B3913C4" w15:paraIdParent="5669D158" w15:done="0"/>
  <w15:commentEx w15:paraId="13EFA6AA" w15:done="0"/>
  <w15:commentEx w15:paraId="1B90640F" w15:done="0"/>
  <w15:commentEx w15:paraId="6A23069F" w15:done="0"/>
  <w15:commentEx w15:paraId="062D7EEB" w15:done="0"/>
  <w15:commentEx w15:paraId="160D15FE" w15:done="0"/>
  <w15:commentEx w15:paraId="32397481" w15:done="0"/>
  <w15:commentEx w15:paraId="4BF8948C" w15:done="0"/>
  <w15:commentEx w15:paraId="0DD9BC4C" w15:done="0"/>
  <w15:commentEx w15:paraId="0EEA10A5" w15:done="0"/>
  <w15:commentEx w15:paraId="79E528DC" w15:done="0"/>
  <w15:commentEx w15:paraId="482D65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68D" w16cex:dateUtc="2021-09-09T12:28:00Z"/>
  <w16cex:commentExtensible w16cex:durableId="24E4B082" w16cex:dateUtc="2021-09-09T13:10:00Z"/>
  <w16cex:commentExtensible w16cex:durableId="24CF52E1" w16cex:dateUtc="2021-08-10T07:48:00Z"/>
  <w16cex:commentExtensible w16cex:durableId="24CF52E0" w16cex:dateUtc="2021-08-17T08:12:00Z"/>
  <w16cex:commentExtensible w16cex:durableId="24CF52DF" w16cex:dateUtc="2021-08-24T08:09:00Z"/>
  <w16cex:commentExtensible w16cex:durableId="24E4B19F" w16cex:dateUtc="2021-09-09T13:15:00Z"/>
  <w16cex:commentExtensible w16cex:durableId="24E4B33F" w16cex:dateUtc="2021-09-09T13:22:00Z"/>
  <w16cex:commentExtensible w16cex:durableId="24E4BC5B" w16cex:dateUtc="2021-09-09T14:01:00Z"/>
  <w16cex:commentExtensible w16cex:durableId="24E4BBB1" w16cex:dateUtc="2021-09-09T13:58:00Z"/>
  <w16cex:commentExtensible w16cex:durableId="24EB59AB" w16cex:dateUtc="2021-09-14T14:26:00Z"/>
  <w16cex:commentExtensible w16cex:durableId="24C772A0" w16cex:dateUtc="2021-08-18T08:50:00Z"/>
  <w16cex:commentExtensible w16cex:durableId="24EBBF8B" w16cex:dateUtc="2021-09-14T21:40:00Z"/>
  <w16cex:commentExtensible w16cex:durableId="24EBBF9D" w16cex:dateUtc="2021-09-14T21:41:00Z"/>
  <w16cex:commentExtensible w16cex:durableId="24EBC402" w16cex:dateUtc="2021-09-14T21:59:00Z"/>
  <w16cex:commentExtensible w16cex:durableId="24EBC500" w16cex:dateUtc="2021-09-14T22:04:00Z"/>
  <w16cex:commentExtensible w16cex:durableId="24EBC509" w16cex:dateUtc="2021-09-14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41E4B" w16cid:durableId="24E4A68D"/>
  <w16cid:commentId w16cid:paraId="7A084C7C" w16cid:durableId="24E4B082"/>
  <w16cid:commentId w16cid:paraId="5669D158" w16cid:durableId="24CF52E1"/>
  <w16cid:commentId w16cid:paraId="349109FE" w16cid:durableId="24CF52E0"/>
  <w16cid:commentId w16cid:paraId="3B3913C4" w16cid:durableId="24CF52DF"/>
  <w16cid:commentId w16cid:paraId="13EFA6AA" w16cid:durableId="24E4B19F"/>
  <w16cid:commentId w16cid:paraId="1B90640F" w16cid:durableId="24E4B33F"/>
  <w16cid:commentId w16cid:paraId="6A23069F" w16cid:durableId="24E4BC5B"/>
  <w16cid:commentId w16cid:paraId="062D7EEB" w16cid:durableId="24E4BBB1"/>
  <w16cid:commentId w16cid:paraId="160D15FE" w16cid:durableId="24EB59AB"/>
  <w16cid:commentId w16cid:paraId="32397481" w16cid:durableId="24C772A0"/>
  <w16cid:commentId w16cid:paraId="4BF8948C" w16cid:durableId="24EBBF8B"/>
  <w16cid:commentId w16cid:paraId="0DD9BC4C" w16cid:durableId="24EBBF9D"/>
  <w16cid:commentId w16cid:paraId="0EEA10A5" w16cid:durableId="24EBC402"/>
  <w16cid:commentId w16cid:paraId="79E528DC" w16cid:durableId="24EBC500"/>
  <w16cid:commentId w16cid:paraId="482D659F" w16cid:durableId="24EBC5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022E3" w14:textId="77777777" w:rsidR="003913CE" w:rsidRDefault="003913CE" w:rsidP="00761532">
      <w:r>
        <w:separator/>
      </w:r>
    </w:p>
  </w:endnote>
  <w:endnote w:type="continuationSeparator" w:id="0">
    <w:p w14:paraId="7D23A434" w14:textId="77777777" w:rsidR="003913CE" w:rsidRDefault="003913CE" w:rsidP="0076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IowanOldSt BT Pro Roman">
    <w:altName w:val="Georgia"/>
    <w:charset w:val="00"/>
    <w:family w:val="auto"/>
    <w:pitch w:val="variable"/>
    <w:sig w:usb0="00000001" w:usb1="400020CB"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Narkisim">
    <w:panose1 w:val="020E0502050101010101"/>
    <w:charset w:val="00"/>
    <w:family w:val="swiss"/>
    <w:pitch w:val="variable"/>
    <w:sig w:usb0="00000803" w:usb1="00000000" w:usb2="00000000" w:usb3="00000000" w:csb0="0000002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A655" w14:textId="77777777" w:rsidR="003913CE" w:rsidRDefault="003913CE" w:rsidP="00761532">
      <w:r>
        <w:separator/>
      </w:r>
    </w:p>
  </w:footnote>
  <w:footnote w:type="continuationSeparator" w:id="0">
    <w:p w14:paraId="0E6F3225" w14:textId="77777777" w:rsidR="003913CE" w:rsidRDefault="003913CE" w:rsidP="00761532">
      <w:r>
        <w:continuationSeparator/>
      </w:r>
    </w:p>
  </w:footnote>
  <w:footnote w:id="1">
    <w:p w14:paraId="286E41EA" w14:textId="6DFE1121" w:rsidR="008A64B2" w:rsidRPr="00D87D69" w:rsidRDefault="008A64B2" w:rsidP="00283890">
      <w:pPr>
        <w:pStyle w:val="FootnoteText"/>
        <w:rPr>
          <w:rFonts w:asciiTheme="majorBidi" w:hAnsiTheme="majorBidi" w:cstheme="majorBidi"/>
        </w:rPr>
      </w:pPr>
      <w:r w:rsidRPr="00D87D69">
        <w:rPr>
          <w:rStyle w:val="FootnoteReference"/>
          <w:rFonts w:asciiTheme="majorBidi" w:hAnsiTheme="majorBidi" w:cstheme="majorBidi"/>
          <w:szCs w:val="24"/>
        </w:rPr>
        <w:t>*</w:t>
      </w:r>
      <w:r w:rsidRPr="00D87D69">
        <w:rPr>
          <w:rFonts w:asciiTheme="majorBidi" w:hAnsiTheme="majorBidi" w:cstheme="majorBidi"/>
          <w:szCs w:val="24"/>
        </w:rPr>
        <w:t xml:space="preserve"> This article is based upon a chapter of my Ph</w:t>
      </w:r>
      <w:r w:rsidR="00F50DDC" w:rsidRPr="00D87D69">
        <w:rPr>
          <w:rFonts w:asciiTheme="majorBidi" w:hAnsiTheme="majorBidi" w:cstheme="majorBidi"/>
          <w:szCs w:val="24"/>
        </w:rPr>
        <w:t>.</w:t>
      </w:r>
      <w:r w:rsidRPr="00D87D69">
        <w:rPr>
          <w:rFonts w:asciiTheme="majorBidi" w:hAnsiTheme="majorBidi" w:cstheme="majorBidi"/>
          <w:szCs w:val="24"/>
        </w:rPr>
        <w:t>D</w:t>
      </w:r>
      <w:r w:rsidR="00F50DDC" w:rsidRPr="00D87D69">
        <w:rPr>
          <w:rFonts w:asciiTheme="majorBidi" w:hAnsiTheme="majorBidi" w:cstheme="majorBidi"/>
          <w:szCs w:val="24"/>
        </w:rPr>
        <w:t>.</w:t>
      </w:r>
      <w:r w:rsidRPr="00D87D69">
        <w:rPr>
          <w:rFonts w:asciiTheme="majorBidi" w:hAnsiTheme="majorBidi" w:cstheme="majorBidi"/>
          <w:szCs w:val="24"/>
        </w:rPr>
        <w:t xml:space="preserve"> dissertation completed in the Department of Music at Bar-Ilan University, under the supervision of the late Professor Aharon Shemesh, z”l; Dr. Barak Cohen and Dr. Rachel Kollender: Moshe Piamenta, “The Trumpet from the Bible to the End of the </w:t>
      </w:r>
      <w:r w:rsidRPr="00D87D69">
        <w:rPr>
          <w:rFonts w:asciiTheme="majorBidi" w:eastAsiaTheme="minorHAnsi" w:hAnsiTheme="majorBidi" w:cstheme="majorBidi"/>
          <w:szCs w:val="24"/>
        </w:rPr>
        <w:t>Tannaitic</w:t>
      </w:r>
      <w:r w:rsidRPr="00D87D69">
        <w:rPr>
          <w:rFonts w:asciiTheme="majorBidi" w:hAnsiTheme="majorBidi" w:cstheme="majorBidi"/>
          <w:szCs w:val="24"/>
        </w:rPr>
        <w:t xml:space="preserve"> Period: An Archaeo-Musicological Study Regarding Its Function, Shape, Sounds and Symbolic Meaning” (PhD diss., Bar Ilan University, 2020). I would like to thank Dr. Shani Tzoref for her suggestions during the preparation of this article for publication. I also extend my thanks to the journal editor, Dr. Jason Kalman, for his direction and advice.</w:t>
      </w:r>
      <w:r w:rsidR="006C7D4C" w:rsidRPr="00D87D69">
        <w:rPr>
          <w:rFonts w:asciiTheme="majorBidi" w:hAnsiTheme="majorBidi" w:cstheme="majorBidi"/>
          <w:szCs w:val="24"/>
        </w:rPr>
        <w:t xml:space="preserve"> Please note that </w:t>
      </w:r>
      <w:r w:rsidR="00616A5E" w:rsidRPr="00D87D69">
        <w:rPr>
          <w:rFonts w:asciiTheme="majorBidi" w:hAnsiTheme="majorBidi" w:cstheme="majorBidi"/>
          <w:szCs w:val="24"/>
        </w:rPr>
        <w:t xml:space="preserve">translation of </w:t>
      </w:r>
      <w:r w:rsidR="006C7D4C" w:rsidRPr="00D87D69">
        <w:rPr>
          <w:rFonts w:asciiTheme="majorBidi" w:hAnsiTheme="majorBidi" w:cstheme="majorBidi"/>
          <w:szCs w:val="24"/>
        </w:rPr>
        <w:t xml:space="preserve">quotations of Hebrew Bible follow NJPS, with some modification for context when necessary; </w:t>
      </w:r>
      <w:r w:rsidR="00616A5E" w:rsidRPr="00D87D69">
        <w:rPr>
          <w:rFonts w:asciiTheme="majorBidi" w:hAnsiTheme="majorBidi" w:cstheme="majorBidi"/>
          <w:szCs w:val="24"/>
        </w:rPr>
        <w:t xml:space="preserve">the translations of Ben Sira follow NRSV; </w:t>
      </w:r>
      <w:r w:rsidR="006C7D4C" w:rsidRPr="00D87D69">
        <w:rPr>
          <w:rFonts w:asciiTheme="majorBidi" w:hAnsiTheme="majorBidi" w:cstheme="majorBidi"/>
          <w:szCs w:val="24"/>
        </w:rPr>
        <w:t xml:space="preserve">quotations from Dead Sea Scrolls </w:t>
      </w:r>
      <w:r w:rsidR="00226FC2" w:rsidRPr="00D87D69">
        <w:rPr>
          <w:rFonts w:asciiTheme="majorBidi" w:hAnsiTheme="majorBidi" w:cstheme="majorBidi"/>
          <w:szCs w:val="24"/>
        </w:rPr>
        <w:t xml:space="preserve">generally </w:t>
      </w:r>
      <w:r w:rsidR="006C7D4C" w:rsidRPr="00D87D69">
        <w:rPr>
          <w:rFonts w:asciiTheme="majorBidi" w:hAnsiTheme="majorBidi" w:cstheme="majorBidi"/>
          <w:szCs w:val="24"/>
        </w:rPr>
        <w:t>follow Donald W. Parry</w:t>
      </w:r>
      <w:r w:rsidR="00EE4801" w:rsidRPr="00D87D69">
        <w:rPr>
          <w:rFonts w:asciiTheme="majorBidi" w:hAnsiTheme="majorBidi" w:cstheme="majorBidi"/>
          <w:szCs w:val="24"/>
        </w:rPr>
        <w:t xml:space="preserve">, Emanuel Tov and Geraldine I. Clements, eds., </w:t>
      </w:r>
      <w:r w:rsidR="00EE4801" w:rsidRPr="00D87D69">
        <w:rPr>
          <w:rFonts w:asciiTheme="majorBidi" w:hAnsiTheme="majorBidi" w:cstheme="majorBidi"/>
          <w:i/>
          <w:iCs/>
          <w:szCs w:val="24"/>
        </w:rPr>
        <w:t>The Dead Sea Scrolls Reader</w:t>
      </w:r>
      <w:r w:rsidR="00EE4801" w:rsidRPr="00D87D69">
        <w:rPr>
          <w:rFonts w:asciiTheme="majorBidi" w:hAnsiTheme="majorBidi" w:cstheme="majorBidi"/>
          <w:szCs w:val="24"/>
        </w:rPr>
        <w:t>, 2</w:t>
      </w:r>
      <w:r w:rsidR="00EE4801" w:rsidRPr="00D87D69">
        <w:rPr>
          <w:rFonts w:asciiTheme="majorBidi" w:hAnsiTheme="majorBidi" w:cstheme="majorBidi"/>
          <w:szCs w:val="24"/>
          <w:vertAlign w:val="superscript"/>
        </w:rPr>
        <w:t>nd</w:t>
      </w:r>
      <w:r w:rsidR="00EE4801" w:rsidRPr="00D87D69">
        <w:rPr>
          <w:rFonts w:asciiTheme="majorBidi" w:hAnsiTheme="majorBidi" w:cstheme="majorBidi"/>
          <w:szCs w:val="24"/>
        </w:rPr>
        <w:t>. ed., Vol. 1 (Leiden: Brill, 2014)</w:t>
      </w:r>
      <w:r w:rsidR="00EE1FB9" w:rsidRPr="00D87D69">
        <w:rPr>
          <w:rFonts w:asciiTheme="majorBidi" w:hAnsiTheme="majorBidi" w:cstheme="majorBidi"/>
          <w:szCs w:val="24"/>
        </w:rPr>
        <w:t>, again with some modifications</w:t>
      </w:r>
      <w:r w:rsidR="00EE4801" w:rsidRPr="00D87D69">
        <w:rPr>
          <w:rFonts w:asciiTheme="majorBidi" w:hAnsiTheme="majorBidi" w:cstheme="majorBidi"/>
          <w:szCs w:val="24"/>
        </w:rPr>
        <w:t>.</w:t>
      </w:r>
      <w:r w:rsidR="00226FC2" w:rsidRPr="00D87D69">
        <w:rPr>
          <w:rFonts w:asciiTheme="majorBidi" w:hAnsiTheme="majorBidi" w:cstheme="majorBidi"/>
          <w:szCs w:val="24"/>
        </w:rPr>
        <w:t xml:space="preserve"> </w:t>
      </w:r>
      <w:r w:rsidR="00EE1FB9" w:rsidRPr="00D87D69">
        <w:rPr>
          <w:rFonts w:asciiTheme="majorBidi" w:hAnsiTheme="majorBidi" w:cstheme="majorBidi"/>
          <w:szCs w:val="24"/>
        </w:rPr>
        <w:t xml:space="preserve">In particular, where </w:t>
      </w:r>
      <w:r w:rsidR="00226FC2" w:rsidRPr="00D87D69">
        <w:rPr>
          <w:rFonts w:asciiTheme="majorBidi" w:hAnsiTheme="majorBidi" w:cstheme="majorBidi"/>
          <w:szCs w:val="24"/>
        </w:rPr>
        <w:t>citations of the Dead Sea Scrolls contain musical terms discussed in this article</w:t>
      </w:r>
      <w:r w:rsidR="006020EE" w:rsidRPr="00D87D69">
        <w:rPr>
          <w:rFonts w:asciiTheme="majorBidi" w:hAnsiTheme="majorBidi" w:cstheme="majorBidi"/>
          <w:szCs w:val="24"/>
        </w:rPr>
        <w:t>, the English translations have been adjusted to reflect my interpretations.</w:t>
      </w:r>
    </w:p>
  </w:footnote>
  <w:footnote w:id="2">
    <w:p w14:paraId="022EE923" w14:textId="71C88DD0" w:rsidR="00597381" w:rsidRPr="006B08E4" w:rsidRDefault="00597381">
      <w:pPr>
        <w:pStyle w:val="FootnoteText"/>
        <w:rPr>
          <w:rFonts w:asciiTheme="majorBidi" w:hAnsiTheme="majorBidi" w:cstheme="majorBidi"/>
          <w:szCs w:val="24"/>
          <w:lang w:bidi="he-IL"/>
        </w:rPr>
      </w:pPr>
      <w:r w:rsidRPr="006B08E4">
        <w:rPr>
          <w:rStyle w:val="FootnoteReference"/>
          <w:rFonts w:asciiTheme="majorBidi" w:hAnsiTheme="majorBidi" w:cstheme="majorBidi"/>
          <w:szCs w:val="24"/>
        </w:rPr>
        <w:footnoteRef/>
      </w:r>
      <w:r w:rsidRPr="006B08E4">
        <w:rPr>
          <w:rFonts w:asciiTheme="majorBidi" w:hAnsiTheme="majorBidi" w:cstheme="majorBidi"/>
          <w:szCs w:val="24"/>
        </w:rPr>
        <w:t xml:space="preserve"> For a discussion of the names of the types of trumpets mentioned in the scroll, their function in the battlefield, and their inscriptions, as well as the source from which the author of the scroll drew his information about the military use of trumpets, see Piamenta, </w:t>
      </w:r>
      <w:r w:rsidR="00093259" w:rsidRPr="006B08E4">
        <w:rPr>
          <w:rFonts w:asciiTheme="majorBidi" w:hAnsiTheme="majorBidi" w:cstheme="majorBidi"/>
          <w:szCs w:val="24"/>
        </w:rPr>
        <w:t>“</w:t>
      </w:r>
      <w:r w:rsidR="00093259" w:rsidRPr="006B08E4">
        <w:rPr>
          <w:rFonts w:asciiTheme="majorBidi" w:hAnsiTheme="majorBidi" w:cstheme="majorBidi" w:hint="eastAsia"/>
          <w:szCs w:val="24"/>
          <w:rtl/>
          <w:lang w:bidi="he-IL"/>
        </w:rPr>
        <w:t>ה</w:t>
      </w:r>
      <w:r w:rsidR="00324EB2" w:rsidRPr="006B08E4">
        <w:rPr>
          <w:rFonts w:asciiTheme="majorBidi" w:hAnsiTheme="majorBidi" w:cstheme="majorBidi" w:hint="eastAsia"/>
          <w:szCs w:val="24"/>
          <w:rtl/>
          <w:lang w:bidi="he-IL"/>
        </w:rPr>
        <w:t>חצוצרה</w:t>
      </w:r>
      <w:r w:rsidR="00093259" w:rsidRPr="006B08E4">
        <w:rPr>
          <w:rFonts w:asciiTheme="majorBidi" w:hAnsiTheme="majorBidi" w:cstheme="majorBidi"/>
          <w:szCs w:val="24"/>
          <w:lang w:bidi="he-IL"/>
        </w:rPr>
        <w:t>,</w:t>
      </w:r>
      <w:r w:rsidR="00093259" w:rsidRPr="006B08E4">
        <w:rPr>
          <w:rFonts w:asciiTheme="majorBidi" w:hAnsiTheme="majorBidi" w:cstheme="majorBidi"/>
          <w:szCs w:val="24"/>
        </w:rPr>
        <w:t>”</w:t>
      </w:r>
      <w:r w:rsidR="00093259" w:rsidRPr="006B08E4">
        <w:rPr>
          <w:rFonts w:asciiTheme="majorBidi" w:hAnsiTheme="majorBidi" w:cstheme="majorBidi"/>
          <w:szCs w:val="24"/>
          <w:lang w:bidi="he-IL"/>
        </w:rPr>
        <w:t xml:space="preserve"> </w:t>
      </w:r>
      <w:r w:rsidRPr="006B08E4">
        <w:rPr>
          <w:rFonts w:asciiTheme="majorBidi" w:hAnsiTheme="majorBidi" w:cstheme="majorBidi"/>
          <w:szCs w:val="24"/>
        </w:rPr>
        <w:t>42</w:t>
      </w:r>
      <w:r w:rsidRPr="006B08E4">
        <w:rPr>
          <w:rFonts w:asciiTheme="majorBidi" w:hAnsiTheme="majorBidi" w:cstheme="majorBidi"/>
          <w:szCs w:val="24"/>
          <w:rtl/>
        </w:rPr>
        <w:t>–</w:t>
      </w:r>
      <w:r w:rsidRPr="006B08E4">
        <w:rPr>
          <w:rFonts w:asciiTheme="majorBidi" w:hAnsiTheme="majorBidi" w:cstheme="majorBidi"/>
          <w:szCs w:val="24"/>
        </w:rPr>
        <w:t>55, 75</w:t>
      </w:r>
      <w:r w:rsidRPr="006B08E4">
        <w:rPr>
          <w:rFonts w:asciiTheme="majorBidi" w:hAnsiTheme="majorBidi" w:cstheme="majorBidi"/>
          <w:szCs w:val="24"/>
          <w:rtl/>
        </w:rPr>
        <w:t>–</w:t>
      </w:r>
      <w:r w:rsidRPr="006B08E4">
        <w:rPr>
          <w:rFonts w:asciiTheme="majorBidi" w:hAnsiTheme="majorBidi" w:cstheme="majorBidi"/>
          <w:szCs w:val="24"/>
        </w:rPr>
        <w:t>103.</w:t>
      </w:r>
      <w:r w:rsidRPr="006B08E4">
        <w:rPr>
          <w:rFonts w:asciiTheme="majorBidi" w:hAnsiTheme="majorBidi" w:cstheme="majorBidi"/>
          <w:szCs w:val="24"/>
          <w:rtl/>
        </w:rPr>
        <w:t xml:space="preserve"> </w:t>
      </w:r>
    </w:p>
  </w:footnote>
  <w:footnote w:id="3">
    <w:p w14:paraId="5CB29E3B" w14:textId="77777777" w:rsidR="00597381" w:rsidRPr="006B08E4" w:rsidRDefault="00597381">
      <w:pPr>
        <w:pStyle w:val="FootnoteText"/>
        <w:rPr>
          <w:rFonts w:asciiTheme="majorBidi" w:hAnsiTheme="majorBidi" w:cstheme="majorBidi"/>
          <w:szCs w:val="24"/>
        </w:rPr>
      </w:pPr>
      <w:r w:rsidRPr="006B08E4">
        <w:rPr>
          <w:rStyle w:val="FootnoteReference"/>
          <w:rFonts w:asciiTheme="majorBidi" w:hAnsiTheme="majorBidi" w:cstheme="majorBidi"/>
          <w:szCs w:val="24"/>
        </w:rPr>
        <w:footnoteRef/>
      </w:r>
      <w:r w:rsidRPr="006B08E4">
        <w:rPr>
          <w:rFonts w:asciiTheme="majorBidi" w:hAnsiTheme="majorBidi" w:cstheme="majorBidi"/>
          <w:szCs w:val="24"/>
        </w:rPr>
        <w:t xml:space="preserve"> The written sources are the Bible, the Dead Sea Scrolls, and various Tannaitic sources (e.g., the Mishna, Tosefta, and midrash halakha), as well as various compositions from the Second Temple era (e.g., the Book of Ben Sira and the writings of Josephus). </w:t>
      </w:r>
    </w:p>
  </w:footnote>
  <w:footnote w:id="4">
    <w:p w14:paraId="4B6D3851" w14:textId="13B72936" w:rsidR="00597381" w:rsidRPr="006B08E4" w:rsidRDefault="00597381" w:rsidP="006B08E4">
      <w:pPr>
        <w:pStyle w:val="FootnoteText"/>
        <w:rPr>
          <w:rFonts w:asciiTheme="majorBidi" w:hAnsiTheme="majorBidi" w:cstheme="majorBidi"/>
          <w:szCs w:val="24"/>
          <w:lang w:val="en"/>
        </w:rPr>
      </w:pPr>
      <w:r w:rsidRPr="006B08E4">
        <w:rPr>
          <w:rStyle w:val="FootnoteReference"/>
          <w:rFonts w:asciiTheme="majorBidi" w:hAnsiTheme="majorBidi" w:cstheme="majorBidi"/>
          <w:szCs w:val="24"/>
        </w:rPr>
        <w:footnoteRef/>
      </w:r>
      <w:r w:rsidRPr="006B08E4">
        <w:rPr>
          <w:rFonts w:asciiTheme="majorBidi" w:hAnsiTheme="majorBidi" w:cstheme="majorBidi"/>
          <w:szCs w:val="24"/>
          <w:rtl/>
        </w:rPr>
        <w:t xml:space="preserve"> </w:t>
      </w:r>
      <w:r w:rsidRPr="006B08E4">
        <w:rPr>
          <w:rFonts w:asciiTheme="majorBidi" w:hAnsiTheme="majorBidi" w:cstheme="majorBidi"/>
          <w:szCs w:val="24"/>
        </w:rPr>
        <w:t xml:space="preserve">Mira Waner, </w:t>
      </w:r>
      <w:r w:rsidRPr="006B08E4">
        <w:rPr>
          <w:rFonts w:asciiTheme="majorBidi" w:hAnsiTheme="majorBidi" w:cstheme="majorBidi" w:hint="eastAsia"/>
          <w:szCs w:val="24"/>
          <w:rtl/>
          <w:lang w:bidi="he-IL"/>
        </w:rPr>
        <w:t>״</w:t>
      </w:r>
      <w:r w:rsidRPr="006B08E4">
        <w:rPr>
          <w:rFonts w:asciiTheme="majorBidi" w:hAnsiTheme="majorBidi" w:cstheme="majorBidi"/>
          <w:szCs w:val="24"/>
          <w:rtl/>
          <w:lang w:bidi="he-IL"/>
        </w:rPr>
        <w:t>תרבות</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המוסיקה</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בארץ</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ישראל</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בתקופות</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ההלניסטית</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הרומית</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והביזנטית</w:t>
      </w:r>
      <w:r w:rsidRPr="006B08E4">
        <w:rPr>
          <w:rFonts w:asciiTheme="majorBidi" w:hAnsiTheme="majorBidi" w:cstheme="majorBidi"/>
          <w:szCs w:val="24"/>
          <w:rtl/>
        </w:rPr>
        <w:t xml:space="preserve"> - </w:t>
      </w:r>
      <w:r w:rsidRPr="006B08E4">
        <w:rPr>
          <w:rFonts w:asciiTheme="majorBidi" w:hAnsiTheme="majorBidi" w:cstheme="majorBidi"/>
          <w:szCs w:val="24"/>
          <w:rtl/>
          <w:lang w:bidi="he-IL"/>
        </w:rPr>
        <w:t>ייחודיות</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מול</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סינקרטיזם</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דתי</w:t>
      </w:r>
      <w:r w:rsidRPr="006B08E4">
        <w:rPr>
          <w:rFonts w:asciiTheme="majorBidi" w:hAnsiTheme="majorBidi" w:cstheme="majorBidi"/>
          <w:szCs w:val="24"/>
          <w:rtl/>
        </w:rPr>
        <w:t>/</w:t>
      </w:r>
      <w:r w:rsidRPr="006B08E4">
        <w:rPr>
          <w:rFonts w:asciiTheme="majorBidi" w:hAnsiTheme="majorBidi" w:cstheme="majorBidi"/>
          <w:szCs w:val="24"/>
          <w:rtl/>
          <w:lang w:bidi="he-IL"/>
        </w:rPr>
        <w:t>אתנ</w:t>
      </w:r>
      <w:r w:rsidRPr="006B08E4">
        <w:rPr>
          <w:rFonts w:asciiTheme="majorBidi" w:hAnsiTheme="majorBidi" w:cstheme="majorBidi" w:hint="eastAsia"/>
          <w:szCs w:val="24"/>
          <w:rtl/>
          <w:lang w:bidi="he-IL"/>
        </w:rPr>
        <w:t>י״</w:t>
      </w:r>
      <w:r w:rsidRPr="006B08E4">
        <w:rPr>
          <w:rFonts w:asciiTheme="majorBidi" w:hAnsiTheme="majorBidi" w:cstheme="majorBidi"/>
          <w:szCs w:val="24"/>
          <w:shd w:val="clear" w:color="auto" w:fill="FFFFFF"/>
        </w:rPr>
        <w:t xml:space="preserve"> (PhD diss., </w:t>
      </w:r>
      <w:r w:rsidRPr="006B08E4">
        <w:rPr>
          <w:rFonts w:asciiTheme="majorBidi" w:hAnsiTheme="majorBidi" w:cstheme="majorBidi"/>
          <w:szCs w:val="24"/>
        </w:rPr>
        <w:t>Bar Ilan University, 2007)</w:t>
      </w:r>
      <w:r w:rsidRPr="006B08E4">
        <w:rPr>
          <w:rFonts w:asciiTheme="majorBidi" w:hAnsiTheme="majorBidi" w:cstheme="majorBidi"/>
          <w:szCs w:val="24"/>
          <w:lang w:bidi="he-IL"/>
        </w:rPr>
        <w:t>, Abstract</w:t>
      </w:r>
      <w:r w:rsidR="00471C30" w:rsidRPr="006B08E4">
        <w:rPr>
          <w:rFonts w:asciiTheme="majorBidi" w:hAnsiTheme="majorBidi" w:cstheme="majorBidi"/>
          <w:szCs w:val="24"/>
          <w:lang w:bidi="he-IL"/>
        </w:rPr>
        <w:t>, a</w:t>
      </w:r>
      <w:r w:rsidRPr="006B08E4">
        <w:rPr>
          <w:rFonts w:asciiTheme="majorBidi" w:hAnsiTheme="majorBidi" w:cstheme="majorBidi"/>
          <w:szCs w:val="24"/>
          <w:lang w:bidi="he-IL"/>
        </w:rPr>
        <w:t xml:space="preserve">. </w:t>
      </w:r>
      <w:r w:rsidRPr="006B08E4">
        <w:rPr>
          <w:rFonts w:asciiTheme="majorBidi" w:hAnsiTheme="majorBidi" w:cstheme="majorBidi"/>
          <w:szCs w:val="24"/>
          <w:lang w:val="en"/>
        </w:rPr>
        <w:t>The 200</w:t>
      </w:r>
      <w:r w:rsidR="00E249E2" w:rsidRPr="006B08E4">
        <w:rPr>
          <w:rFonts w:asciiTheme="majorBidi" w:hAnsiTheme="majorBidi" w:cstheme="majorBidi"/>
          <w:szCs w:val="24"/>
          <w:rtl/>
          <w:lang w:val="en" w:bidi="he-IL"/>
        </w:rPr>
        <w:t>8</w:t>
      </w:r>
      <w:r w:rsidRPr="006B08E4">
        <w:rPr>
          <w:rFonts w:asciiTheme="majorBidi" w:hAnsiTheme="majorBidi" w:cstheme="majorBidi"/>
          <w:szCs w:val="24"/>
          <w:lang w:val="en"/>
        </w:rPr>
        <w:t xml:space="preserve"> exhibition “Sounds of Ancient Music” at the Bible Lands Museum in Jerusalem contained archeological finds related to the music of the ancient Near East, including finds representing ancient Jewish culture from the biblical period to the period of the Tannaim. The creation of the exhibition was directed by the museum’s curator, the late Joan Goodnick Westenholz, z”l. I was privileged to participate in the preparation of the exhibit and in writing most of the content for the catalog of its artifacts. See </w:t>
      </w:r>
      <w:r w:rsidRPr="006B08E4">
        <w:rPr>
          <w:rFonts w:asciiTheme="majorBidi" w:hAnsiTheme="majorBidi" w:cstheme="majorBidi"/>
          <w:szCs w:val="24"/>
        </w:rPr>
        <w:t xml:space="preserve">Joan Goodnick Westenholz, </w:t>
      </w:r>
      <w:r w:rsidRPr="006B08E4">
        <w:rPr>
          <w:rFonts w:asciiTheme="majorBidi" w:hAnsiTheme="majorBidi" w:cstheme="majorBidi"/>
          <w:i/>
          <w:iCs/>
          <w:szCs w:val="24"/>
        </w:rPr>
        <w:t>Sounds of Ancient Music</w:t>
      </w:r>
      <w:r w:rsidRPr="006B08E4">
        <w:rPr>
          <w:rFonts w:asciiTheme="majorBidi" w:hAnsiTheme="majorBidi" w:cstheme="majorBidi"/>
          <w:szCs w:val="24"/>
        </w:rPr>
        <w:t xml:space="preserve"> (Jerusalem: Bible Lands Museum, 2007).</w:t>
      </w:r>
    </w:p>
  </w:footnote>
  <w:footnote w:id="5">
    <w:p w14:paraId="38166813" w14:textId="77777777" w:rsidR="00597381" w:rsidRPr="006B08E4" w:rsidRDefault="00597381">
      <w:pPr>
        <w:pStyle w:val="FootnoteText"/>
        <w:rPr>
          <w:rFonts w:asciiTheme="majorBidi" w:hAnsiTheme="majorBidi" w:cstheme="majorBidi"/>
          <w:szCs w:val="24"/>
        </w:rPr>
      </w:pPr>
      <w:r w:rsidRPr="006B08E4">
        <w:rPr>
          <w:rStyle w:val="FootnoteReference"/>
          <w:rFonts w:asciiTheme="majorBidi" w:hAnsiTheme="majorBidi" w:cstheme="majorBidi"/>
          <w:szCs w:val="24"/>
        </w:rPr>
        <w:footnoteRef/>
      </w:r>
      <w:r w:rsidRPr="006B08E4">
        <w:rPr>
          <w:rFonts w:asciiTheme="majorBidi" w:hAnsiTheme="majorBidi" w:cstheme="majorBidi"/>
          <w:szCs w:val="24"/>
          <w:rtl/>
        </w:rPr>
        <w:t xml:space="preserve"> </w:t>
      </w:r>
      <w:r w:rsidRPr="006B08E4">
        <w:rPr>
          <w:rFonts w:asciiTheme="majorBidi" w:hAnsiTheme="majorBidi" w:cstheme="majorBidi"/>
          <w:szCs w:val="24"/>
        </w:rPr>
        <w:t xml:space="preserve">Joachim Braun, </w:t>
      </w:r>
      <w:r w:rsidRPr="006B08E4">
        <w:rPr>
          <w:rFonts w:asciiTheme="majorBidi" w:hAnsiTheme="majorBidi" w:cstheme="majorBidi"/>
          <w:i/>
          <w:iCs/>
          <w:szCs w:val="24"/>
        </w:rPr>
        <w:t>On Jewish Music: Past and Present</w:t>
      </w:r>
      <w:r w:rsidRPr="006B08E4">
        <w:rPr>
          <w:rFonts w:asciiTheme="majorBidi" w:hAnsiTheme="majorBidi" w:cstheme="majorBidi"/>
          <w:szCs w:val="24"/>
        </w:rPr>
        <w:t xml:space="preserve"> (Frankfurt am Mein: Lang, 2006), 42–43; Waner, </w:t>
      </w:r>
      <w:r w:rsidRPr="006B08E4">
        <w:rPr>
          <w:rFonts w:asciiTheme="majorBidi" w:hAnsiTheme="majorBidi" w:cstheme="majorBidi" w:hint="eastAsia"/>
          <w:szCs w:val="24"/>
          <w:rtl/>
          <w:lang w:bidi="he-IL"/>
        </w:rPr>
        <w:t>״</w:t>
      </w:r>
      <w:r w:rsidRPr="006B08E4">
        <w:rPr>
          <w:rFonts w:asciiTheme="majorBidi" w:hAnsiTheme="majorBidi" w:cstheme="majorBidi"/>
          <w:szCs w:val="24"/>
          <w:rtl/>
          <w:lang w:bidi="he-IL"/>
        </w:rPr>
        <w:t>תרבות</w:t>
      </w:r>
      <w:r w:rsidRPr="006B08E4">
        <w:rPr>
          <w:rFonts w:asciiTheme="majorBidi" w:hAnsiTheme="majorBidi" w:cstheme="majorBidi" w:hint="eastAsia"/>
          <w:szCs w:val="24"/>
          <w:rtl/>
          <w:lang w:bidi="he-IL"/>
        </w:rPr>
        <w:t>״</w:t>
      </w:r>
      <w:r w:rsidRPr="006B08E4">
        <w:rPr>
          <w:rFonts w:asciiTheme="majorBidi" w:hAnsiTheme="majorBidi" w:cstheme="majorBidi"/>
          <w:szCs w:val="24"/>
        </w:rPr>
        <w:t>, 26.</w:t>
      </w:r>
    </w:p>
  </w:footnote>
  <w:footnote w:id="6">
    <w:p w14:paraId="0AC0F98E" w14:textId="64E38893" w:rsidR="00AE7CD4" w:rsidRPr="006B08E4" w:rsidRDefault="00AE7CD4">
      <w:pPr>
        <w:pStyle w:val="FootnoteText"/>
        <w:rPr>
          <w:rFonts w:asciiTheme="majorBidi" w:hAnsiTheme="majorBidi" w:cstheme="majorBidi"/>
          <w:szCs w:val="24"/>
        </w:rPr>
      </w:pPr>
      <w:r w:rsidRPr="006B08E4">
        <w:rPr>
          <w:rStyle w:val="FootnoteReference"/>
          <w:rFonts w:asciiTheme="majorBidi" w:hAnsiTheme="majorBidi" w:cstheme="majorBidi"/>
          <w:szCs w:val="24"/>
        </w:rPr>
        <w:footnoteRef/>
      </w:r>
      <w:r w:rsidRPr="006B08E4">
        <w:rPr>
          <w:rFonts w:asciiTheme="majorBidi" w:hAnsiTheme="majorBidi" w:cstheme="majorBidi"/>
          <w:szCs w:val="24"/>
        </w:rPr>
        <w:t xml:space="preserve"> In order to facilitate the understanding of how </w:t>
      </w:r>
      <w:r w:rsidR="003D3A71" w:rsidRPr="006B08E4">
        <w:rPr>
          <w:rFonts w:asciiTheme="majorBidi" w:hAnsiTheme="majorBidi" w:cstheme="majorBidi"/>
          <w:szCs w:val="24"/>
        </w:rPr>
        <w:t>my</w:t>
      </w:r>
      <w:r w:rsidRPr="006B08E4">
        <w:rPr>
          <w:rFonts w:asciiTheme="majorBidi" w:hAnsiTheme="majorBidi" w:cstheme="majorBidi"/>
          <w:szCs w:val="24"/>
        </w:rPr>
        <w:t xml:space="preserve"> interpretations</w:t>
      </w:r>
      <w:r w:rsidR="003D3A71" w:rsidRPr="006B08E4">
        <w:rPr>
          <w:rFonts w:asciiTheme="majorBidi" w:hAnsiTheme="majorBidi" w:cstheme="majorBidi"/>
          <w:szCs w:val="24"/>
        </w:rPr>
        <w:t xml:space="preserve"> of musical terms</w:t>
      </w:r>
      <w:r w:rsidRPr="006B08E4">
        <w:rPr>
          <w:rFonts w:asciiTheme="majorBidi" w:hAnsiTheme="majorBidi" w:cstheme="majorBidi"/>
          <w:szCs w:val="24"/>
        </w:rPr>
        <w:t xml:space="preserve"> are incorporated into the body of the text, the appendix provides excerpts of all the passages in 1QM in which the descriptions of the war contain the terms describing the sounds produced by trumpets and shofarot in the battlefield, along with the musical interpretations proposed in this article.</w:t>
      </w:r>
    </w:p>
  </w:footnote>
  <w:footnote w:id="7">
    <w:p w14:paraId="7834267D" w14:textId="017012AF" w:rsidR="00BD5251" w:rsidRPr="006B08E4" w:rsidRDefault="00BD5251" w:rsidP="006B08E4">
      <w:pPr>
        <w:pStyle w:val="FootnoteText"/>
        <w:rPr>
          <w:rFonts w:asciiTheme="majorBidi" w:hAnsiTheme="majorBidi" w:cstheme="majorBidi"/>
        </w:rPr>
      </w:pPr>
      <w:r w:rsidRPr="006B08E4">
        <w:rPr>
          <w:rStyle w:val="FootnoteReference"/>
          <w:rFonts w:asciiTheme="majorBidi" w:hAnsiTheme="majorBidi" w:cstheme="majorBidi"/>
          <w:szCs w:val="24"/>
        </w:rPr>
        <w:footnoteRef/>
      </w:r>
      <w:r w:rsidRPr="006B08E4">
        <w:rPr>
          <w:rFonts w:asciiTheme="majorBidi" w:hAnsiTheme="majorBidi" w:cstheme="majorBidi"/>
          <w:szCs w:val="24"/>
          <w:rtl/>
        </w:rPr>
        <w:t xml:space="preserve"> </w:t>
      </w:r>
      <w:r w:rsidRPr="006B08E4">
        <w:rPr>
          <w:rFonts w:asciiTheme="majorBidi" w:hAnsiTheme="majorBidi" w:cstheme="majorBidi"/>
          <w:szCs w:val="24"/>
        </w:rPr>
        <w:t xml:space="preserve">Yigael Yadin, </w:t>
      </w:r>
      <w:r w:rsidRPr="006B08E4">
        <w:rPr>
          <w:rFonts w:asciiTheme="majorBidi" w:hAnsiTheme="majorBidi" w:cstheme="majorBidi"/>
          <w:szCs w:val="24"/>
          <w:rtl/>
          <w:lang w:bidi="he-IL"/>
        </w:rPr>
        <w:t>מגילת</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מלחמת</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בני</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אור</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בבני</w:t>
      </w:r>
      <w:r w:rsidRPr="006B08E4">
        <w:rPr>
          <w:rFonts w:asciiTheme="majorBidi" w:hAnsiTheme="majorBidi" w:cstheme="majorBidi"/>
          <w:szCs w:val="24"/>
          <w:rtl/>
        </w:rPr>
        <w:t xml:space="preserve"> </w:t>
      </w:r>
      <w:r w:rsidRPr="006B08E4">
        <w:rPr>
          <w:rFonts w:asciiTheme="majorBidi" w:hAnsiTheme="majorBidi" w:cstheme="majorBidi"/>
          <w:szCs w:val="24"/>
          <w:rtl/>
          <w:lang w:bidi="he-IL"/>
        </w:rPr>
        <w:t>חושך</w:t>
      </w:r>
      <w:r w:rsidRPr="006B08E4">
        <w:rPr>
          <w:rFonts w:asciiTheme="majorBidi" w:hAnsiTheme="majorBidi" w:cstheme="majorBidi"/>
          <w:szCs w:val="24"/>
        </w:rPr>
        <w:t xml:space="preserve"> (Jerusalem: Bialik Institute, 1955). In English: </w:t>
      </w:r>
      <w:r w:rsidRPr="006B08E4">
        <w:rPr>
          <w:rFonts w:asciiTheme="majorBidi" w:hAnsiTheme="majorBidi" w:cstheme="majorBidi"/>
          <w:i/>
          <w:iCs/>
          <w:szCs w:val="24"/>
          <w:shd w:val="clear" w:color="auto" w:fill="FBFBFB"/>
        </w:rPr>
        <w:t>The Scroll of the War of the Sons of Light Against the Sons of Darkness</w:t>
      </w:r>
      <w:r w:rsidRPr="006B08E4">
        <w:rPr>
          <w:rFonts w:asciiTheme="majorBidi" w:hAnsiTheme="majorBidi" w:cstheme="majorBidi"/>
          <w:szCs w:val="24"/>
          <w:shd w:val="clear" w:color="auto" w:fill="FBFBFB"/>
        </w:rPr>
        <w:t>, translated by Batya and Chaim Rabin (London: Oxford University Press, 1962).</w:t>
      </w:r>
    </w:p>
  </w:footnote>
  <w:footnote w:id="8">
    <w:p w14:paraId="02D1B87F" w14:textId="7B5331AD" w:rsidR="006B08E4" w:rsidRPr="006B08E4" w:rsidRDefault="008A64B2" w:rsidP="006B08E4">
      <w:pPr>
        <w:pStyle w:val="FootnoteText"/>
        <w:rPr>
          <w:rFonts w:cs="Times New Roman"/>
          <w:spacing w:val="-5"/>
          <w:szCs w:val="24"/>
          <w:shd w:val="clear" w:color="auto" w:fill="FFFFFF"/>
        </w:rPr>
      </w:pPr>
      <w:r w:rsidRPr="006B08E4">
        <w:rPr>
          <w:rStyle w:val="FootnoteReference"/>
          <w:rFonts w:cs="Times New Roman"/>
          <w:szCs w:val="24"/>
        </w:rPr>
        <w:footnoteRef/>
      </w:r>
      <w:r w:rsidRPr="006B08E4">
        <w:rPr>
          <w:rFonts w:cs="Times New Roman"/>
          <w:szCs w:val="24"/>
          <w:rtl/>
        </w:rPr>
        <w:t xml:space="preserve"> </w:t>
      </w:r>
      <w:r w:rsidRPr="006B08E4">
        <w:rPr>
          <w:rFonts w:cs="Times New Roman"/>
          <w:szCs w:val="24"/>
        </w:rPr>
        <w:t xml:space="preserve">Brian Schultz, </w:t>
      </w:r>
      <w:r w:rsidR="006B08E4" w:rsidRPr="006B08E4">
        <w:rPr>
          <w:rFonts w:cs="Times New Roman"/>
          <w:szCs w:val="24"/>
          <w:rtl/>
          <w:lang w:bidi="he-IL"/>
        </w:rPr>
        <w:t>״</w:t>
      </w:r>
      <w:r w:rsidR="003647AC" w:rsidRPr="006B08E4">
        <w:rPr>
          <w:rFonts w:cs="Times New Roman"/>
          <w:szCs w:val="24"/>
          <w:rtl/>
          <w:lang w:bidi="he-IL"/>
        </w:rPr>
        <w:t>,מגילת</w:t>
      </w:r>
      <w:r w:rsidR="003647AC" w:rsidRPr="006B08E4">
        <w:rPr>
          <w:rFonts w:cs="Times New Roman"/>
          <w:szCs w:val="24"/>
          <w:rtl/>
        </w:rPr>
        <w:t xml:space="preserve"> </w:t>
      </w:r>
      <w:r w:rsidR="003647AC" w:rsidRPr="006B08E4">
        <w:rPr>
          <w:rFonts w:cs="Times New Roman"/>
          <w:szCs w:val="24"/>
          <w:rtl/>
          <w:lang w:bidi="he-IL"/>
        </w:rPr>
        <w:t>מלחמת</w:t>
      </w:r>
      <w:r w:rsidR="003647AC" w:rsidRPr="006B08E4">
        <w:rPr>
          <w:rFonts w:cs="Times New Roman"/>
          <w:szCs w:val="24"/>
          <w:rtl/>
        </w:rPr>
        <w:t xml:space="preserve"> </w:t>
      </w:r>
      <w:r w:rsidR="003647AC" w:rsidRPr="006B08E4">
        <w:rPr>
          <w:rFonts w:cs="Times New Roman"/>
          <w:szCs w:val="24"/>
          <w:rtl/>
          <w:lang w:bidi="he-IL"/>
        </w:rPr>
        <w:t>בני</w:t>
      </w:r>
      <w:r w:rsidR="003647AC" w:rsidRPr="006B08E4">
        <w:rPr>
          <w:rFonts w:cs="Times New Roman"/>
          <w:szCs w:val="24"/>
          <w:rtl/>
        </w:rPr>
        <w:t xml:space="preserve"> </w:t>
      </w:r>
      <w:r w:rsidR="003647AC" w:rsidRPr="006B08E4">
        <w:rPr>
          <w:rFonts w:cs="Times New Roman"/>
          <w:szCs w:val="24"/>
          <w:rtl/>
          <w:lang w:bidi="he-IL"/>
        </w:rPr>
        <w:t>אור</w:t>
      </w:r>
      <w:r w:rsidR="003647AC" w:rsidRPr="006B08E4">
        <w:rPr>
          <w:rFonts w:cs="Times New Roman"/>
          <w:szCs w:val="24"/>
          <w:rtl/>
        </w:rPr>
        <w:t xml:space="preserve"> </w:t>
      </w:r>
      <w:r w:rsidR="003647AC" w:rsidRPr="006B08E4">
        <w:rPr>
          <w:rFonts w:cs="Times New Roman"/>
          <w:szCs w:val="24"/>
          <w:rtl/>
          <w:lang w:bidi="he-IL"/>
        </w:rPr>
        <w:t>בבני</w:t>
      </w:r>
      <w:r w:rsidR="003647AC" w:rsidRPr="006B08E4">
        <w:rPr>
          <w:rFonts w:cs="Times New Roman"/>
          <w:szCs w:val="24"/>
          <w:rtl/>
        </w:rPr>
        <w:t xml:space="preserve"> </w:t>
      </w:r>
      <w:r w:rsidR="003647AC" w:rsidRPr="006B08E4">
        <w:rPr>
          <w:rFonts w:cs="Times New Roman"/>
          <w:szCs w:val="24"/>
          <w:rtl/>
          <w:lang w:bidi="he-IL"/>
        </w:rPr>
        <w:t>חושך</w:t>
      </w:r>
      <w:r w:rsidR="003647AC" w:rsidRPr="006B08E4">
        <w:rPr>
          <w:rFonts w:cs="Times New Roman"/>
          <w:szCs w:val="24"/>
          <w:rtl/>
        </w:rPr>
        <w:t xml:space="preserve">: </w:t>
      </w:r>
      <w:r w:rsidR="003647AC" w:rsidRPr="006B08E4">
        <w:rPr>
          <w:rFonts w:cs="Times New Roman"/>
          <w:szCs w:val="24"/>
          <w:rtl/>
          <w:lang w:bidi="he-IL"/>
        </w:rPr>
        <w:t>הצד</w:t>
      </w:r>
      <w:r w:rsidR="003647AC" w:rsidRPr="006B08E4">
        <w:rPr>
          <w:rFonts w:cs="Times New Roman"/>
          <w:szCs w:val="24"/>
          <w:rtl/>
        </w:rPr>
        <w:t xml:space="preserve"> </w:t>
      </w:r>
      <w:r w:rsidR="003647AC" w:rsidRPr="006B08E4">
        <w:rPr>
          <w:rFonts w:cs="Times New Roman"/>
          <w:szCs w:val="24"/>
          <w:rtl/>
          <w:lang w:bidi="he-IL"/>
        </w:rPr>
        <w:t>הספרותי״</w:t>
      </w:r>
      <w:r w:rsidR="003647AC" w:rsidRPr="006B08E4">
        <w:rPr>
          <w:rFonts w:cs="Times New Roman"/>
          <w:szCs w:val="24"/>
        </w:rPr>
        <w:t xml:space="preserve"> </w:t>
      </w:r>
      <w:r w:rsidRPr="006B08E4">
        <w:rPr>
          <w:rFonts w:cs="Times New Roman"/>
          <w:szCs w:val="24"/>
        </w:rPr>
        <w:t xml:space="preserve">in Menahem Kister, ed., </w:t>
      </w:r>
      <w:r w:rsidR="00BF2562" w:rsidRPr="006B08E4">
        <w:rPr>
          <w:rFonts w:cs="Times New Roman"/>
          <w:szCs w:val="24"/>
          <w:rtl/>
          <w:lang w:bidi="he-IL"/>
        </w:rPr>
        <w:t>מגילות</w:t>
      </w:r>
      <w:r w:rsidR="00BF2562" w:rsidRPr="006B08E4">
        <w:rPr>
          <w:rFonts w:cs="Times New Roman"/>
          <w:szCs w:val="24"/>
          <w:rtl/>
        </w:rPr>
        <w:t xml:space="preserve"> </w:t>
      </w:r>
      <w:r w:rsidR="00BF2562" w:rsidRPr="006B08E4">
        <w:rPr>
          <w:rFonts w:cs="Times New Roman"/>
          <w:szCs w:val="24"/>
          <w:rtl/>
          <w:lang w:bidi="he-IL"/>
        </w:rPr>
        <w:t>קומראן</w:t>
      </w:r>
      <w:r w:rsidR="003277D8" w:rsidRPr="006B08E4">
        <w:rPr>
          <w:rFonts w:cs="Times New Roman"/>
          <w:szCs w:val="24"/>
          <w:rtl/>
          <w:lang w:bidi="he-IL"/>
        </w:rPr>
        <w:t>:</w:t>
      </w:r>
      <w:r w:rsidR="00BF2562" w:rsidRPr="006B08E4">
        <w:rPr>
          <w:rFonts w:cs="Times New Roman"/>
          <w:szCs w:val="24"/>
          <w:rtl/>
        </w:rPr>
        <w:t xml:space="preserve"> </w:t>
      </w:r>
      <w:r w:rsidR="00BF2562" w:rsidRPr="006B08E4">
        <w:rPr>
          <w:rFonts w:cs="Times New Roman"/>
          <w:szCs w:val="24"/>
          <w:rtl/>
          <w:lang w:bidi="he-IL"/>
        </w:rPr>
        <w:t>מבואות</w:t>
      </w:r>
      <w:r w:rsidR="00BF2562" w:rsidRPr="006B08E4">
        <w:rPr>
          <w:rFonts w:cs="Times New Roman"/>
          <w:szCs w:val="24"/>
          <w:rtl/>
        </w:rPr>
        <w:t xml:space="preserve"> </w:t>
      </w:r>
      <w:r w:rsidR="00BF2562" w:rsidRPr="006B08E4">
        <w:rPr>
          <w:rFonts w:cs="Times New Roman"/>
          <w:szCs w:val="24"/>
          <w:rtl/>
          <w:lang w:bidi="he-IL"/>
        </w:rPr>
        <w:t>ומחקרים</w:t>
      </w:r>
      <w:r w:rsidR="003277D8" w:rsidRPr="006B08E4">
        <w:rPr>
          <w:rFonts w:cs="Times New Roman"/>
          <w:spacing w:val="-5"/>
          <w:szCs w:val="24"/>
          <w:shd w:val="clear" w:color="auto" w:fill="FFFFFF"/>
        </w:rPr>
        <w:t>, 2 vols</w:t>
      </w:r>
      <w:r w:rsidR="006E28BB" w:rsidRPr="006B08E4">
        <w:rPr>
          <w:rFonts w:cs="Times New Roman"/>
          <w:spacing w:val="-5"/>
          <w:szCs w:val="24"/>
          <w:shd w:val="clear" w:color="auto" w:fill="FFFFFF"/>
        </w:rPr>
        <w:t>.</w:t>
      </w:r>
      <w:r w:rsidR="003277D8" w:rsidRPr="006B08E4">
        <w:rPr>
          <w:rFonts w:cs="Times New Roman"/>
          <w:spacing w:val="-5"/>
          <w:szCs w:val="24"/>
          <w:shd w:val="clear" w:color="auto" w:fill="FFFFFF"/>
        </w:rPr>
        <w:t xml:space="preserve"> </w:t>
      </w:r>
      <w:r w:rsidRPr="006B08E4">
        <w:rPr>
          <w:rFonts w:cs="Times New Roman"/>
          <w:spacing w:val="-5"/>
          <w:szCs w:val="24"/>
          <w:shd w:val="clear" w:color="auto" w:fill="FFFFFF"/>
        </w:rPr>
        <w:t>(Jerusalem: Yad Ben-Zvi Press, 2009)</w:t>
      </w:r>
      <w:r w:rsidR="00D02E2A" w:rsidRPr="006B08E4">
        <w:rPr>
          <w:rFonts w:cs="Times New Roman"/>
          <w:spacing w:val="-5"/>
          <w:szCs w:val="24"/>
          <w:shd w:val="clear" w:color="auto" w:fill="FFFFFF"/>
        </w:rPr>
        <w:t xml:space="preserve">, </w:t>
      </w:r>
      <w:r w:rsidR="006E28BB" w:rsidRPr="006B08E4">
        <w:rPr>
          <w:rFonts w:cs="Times New Roman"/>
          <w:spacing w:val="-5"/>
          <w:szCs w:val="24"/>
          <w:shd w:val="clear" w:color="auto" w:fill="FFFFFF"/>
        </w:rPr>
        <w:t>1:</w:t>
      </w:r>
      <w:r w:rsidRPr="006B08E4">
        <w:rPr>
          <w:rFonts w:cs="Times New Roman"/>
          <w:spacing w:val="-5"/>
          <w:szCs w:val="24"/>
          <w:shd w:val="clear" w:color="auto" w:fill="FFFFFF"/>
        </w:rPr>
        <w:t>321</w:t>
      </w:r>
      <w:r w:rsidR="00BF2562" w:rsidRPr="006B08E4">
        <w:rPr>
          <w:rFonts w:cs="Times New Roman"/>
          <w:szCs w:val="24"/>
        </w:rPr>
        <w:t>–340, at 321</w:t>
      </w:r>
      <w:r w:rsidRPr="006B08E4">
        <w:rPr>
          <w:rFonts w:cs="Times New Roman"/>
          <w:spacing w:val="-5"/>
          <w:szCs w:val="24"/>
          <w:shd w:val="clear" w:color="auto" w:fill="FFFFFF"/>
        </w:rPr>
        <w:t>; Rony Yishay, “</w:t>
      </w:r>
      <w:r w:rsidR="004C02E4" w:rsidRPr="006B08E4">
        <w:rPr>
          <w:rFonts w:cs="Times New Roman"/>
          <w:szCs w:val="24"/>
          <w:rtl/>
          <w:lang w:bidi="he-IL"/>
        </w:rPr>
        <w:t>לבעיית</w:t>
      </w:r>
      <w:r w:rsidR="004C02E4" w:rsidRPr="006B08E4">
        <w:rPr>
          <w:rFonts w:cs="Times New Roman"/>
          <w:szCs w:val="24"/>
          <w:rtl/>
        </w:rPr>
        <w:t xml:space="preserve"> </w:t>
      </w:r>
      <w:r w:rsidR="004C02E4" w:rsidRPr="006B08E4">
        <w:rPr>
          <w:rFonts w:cs="Times New Roman"/>
          <w:szCs w:val="24"/>
          <w:rtl/>
          <w:lang w:bidi="he-IL"/>
        </w:rPr>
        <w:t>שחזור</w:t>
      </w:r>
      <w:r w:rsidR="004C02E4" w:rsidRPr="006B08E4">
        <w:rPr>
          <w:rFonts w:cs="Times New Roman"/>
          <w:szCs w:val="24"/>
          <w:rtl/>
        </w:rPr>
        <w:t xml:space="preserve"> </w:t>
      </w:r>
      <w:r w:rsidR="004C02E4" w:rsidRPr="006B08E4">
        <w:rPr>
          <w:rFonts w:cs="Times New Roman"/>
          <w:szCs w:val="24"/>
          <w:rtl/>
          <w:lang w:bidi="he-IL"/>
        </w:rPr>
        <w:t>הנוסח</w:t>
      </w:r>
      <w:r w:rsidR="004C02E4" w:rsidRPr="006B08E4">
        <w:rPr>
          <w:rFonts w:cs="Times New Roman"/>
          <w:szCs w:val="24"/>
          <w:rtl/>
        </w:rPr>
        <w:t xml:space="preserve"> </w:t>
      </w:r>
      <w:r w:rsidR="004C02E4" w:rsidRPr="006B08E4">
        <w:rPr>
          <w:rFonts w:cs="Times New Roman"/>
          <w:szCs w:val="24"/>
          <w:rtl/>
          <w:lang w:bidi="he-IL"/>
        </w:rPr>
        <w:t>של</w:t>
      </w:r>
      <w:r w:rsidR="004C02E4" w:rsidRPr="006B08E4">
        <w:rPr>
          <w:rFonts w:cs="Times New Roman"/>
          <w:szCs w:val="24"/>
          <w:rtl/>
        </w:rPr>
        <w:t xml:space="preserve"> </w:t>
      </w:r>
      <w:r w:rsidR="004C02E4" w:rsidRPr="006B08E4">
        <w:rPr>
          <w:rFonts w:cs="Times New Roman"/>
          <w:szCs w:val="24"/>
          <w:rtl/>
          <w:lang w:bidi="he-IL"/>
        </w:rPr>
        <w:t>מגילת</w:t>
      </w:r>
      <w:r w:rsidR="004C02E4" w:rsidRPr="006B08E4">
        <w:rPr>
          <w:rFonts w:cs="Times New Roman"/>
          <w:szCs w:val="24"/>
          <w:rtl/>
        </w:rPr>
        <w:t xml:space="preserve"> </w:t>
      </w:r>
      <w:r w:rsidR="004C02E4" w:rsidRPr="006B08E4">
        <w:rPr>
          <w:rFonts w:cs="Times New Roman"/>
          <w:szCs w:val="24"/>
          <w:rtl/>
          <w:lang w:bidi="he-IL"/>
        </w:rPr>
        <w:t xml:space="preserve">המלחמה </w:t>
      </w:r>
      <w:r w:rsidR="006B08E4" w:rsidRPr="006B08E4">
        <w:rPr>
          <w:rFonts w:cs="Times New Roman"/>
          <w:szCs w:val="24"/>
          <w:rtl/>
          <w:lang w:bidi="he-IL"/>
        </w:rPr>
        <w:t>(שילוב כתבי היד 4Q491 ו-4Q493</w:t>
      </w:r>
      <w:r w:rsidR="004C02E4" w:rsidRPr="006B08E4">
        <w:rPr>
          <w:rFonts w:cs="Times New Roman"/>
          <w:szCs w:val="24"/>
          <w:rtl/>
          <w:lang w:bidi="he-IL"/>
        </w:rPr>
        <w:t>)</w:t>
      </w:r>
      <w:r w:rsidRPr="006B08E4">
        <w:rPr>
          <w:rFonts w:cs="Times New Roman"/>
          <w:spacing w:val="-5"/>
          <w:szCs w:val="24"/>
          <w:shd w:val="clear" w:color="auto" w:fill="FFFFFF"/>
        </w:rPr>
        <w:t xml:space="preserve">,” </w:t>
      </w:r>
      <w:r w:rsidRPr="006B08E4">
        <w:rPr>
          <w:rFonts w:cs="Times New Roman"/>
          <w:i/>
          <w:iCs/>
          <w:spacing w:val="-5"/>
          <w:szCs w:val="24"/>
          <w:shd w:val="clear" w:color="auto" w:fill="FFFFFF"/>
        </w:rPr>
        <w:t>Meghillot</w:t>
      </w:r>
      <w:r w:rsidRPr="006B08E4">
        <w:rPr>
          <w:rFonts w:cs="Times New Roman"/>
          <w:spacing w:val="-5"/>
          <w:szCs w:val="24"/>
          <w:shd w:val="clear" w:color="auto" w:fill="FFFFFF"/>
        </w:rPr>
        <w:t xml:space="preserve"> </w:t>
      </w:r>
      <w:r w:rsidR="006B08E4" w:rsidRPr="006B08E4">
        <w:rPr>
          <w:rFonts w:cs="Times New Roman"/>
          <w:spacing w:val="-5"/>
          <w:szCs w:val="24"/>
          <w:shd w:val="clear" w:color="auto" w:fill="FFFFFF"/>
        </w:rPr>
        <w:t xml:space="preserve">(2016): </w:t>
      </w:r>
      <w:r w:rsidRPr="006B08E4">
        <w:rPr>
          <w:rFonts w:cs="Times New Roman"/>
          <w:spacing w:val="-5"/>
          <w:szCs w:val="24"/>
          <w:shd w:val="clear" w:color="auto" w:fill="FFFFFF"/>
        </w:rPr>
        <w:t>11</w:t>
      </w:r>
      <w:r w:rsidR="00BF2562" w:rsidRPr="006B08E4">
        <w:rPr>
          <w:rFonts w:cs="Times New Roman"/>
          <w:szCs w:val="24"/>
        </w:rPr>
        <w:t>–</w:t>
      </w:r>
      <w:r w:rsidRPr="006B08E4">
        <w:rPr>
          <w:rFonts w:cs="Times New Roman"/>
          <w:spacing w:val="-5"/>
          <w:szCs w:val="24"/>
          <w:shd w:val="clear" w:color="auto" w:fill="FFFFFF"/>
        </w:rPr>
        <w:t>12</w:t>
      </w:r>
      <w:r w:rsidR="006B08E4" w:rsidRPr="006B08E4">
        <w:rPr>
          <w:rFonts w:cs="Times New Roman"/>
          <w:spacing w:val="-5"/>
          <w:szCs w:val="24"/>
          <w:shd w:val="clear" w:color="auto" w:fill="FFFFFF"/>
        </w:rPr>
        <w:t>.</w:t>
      </w:r>
    </w:p>
  </w:footnote>
  <w:footnote w:id="9">
    <w:p w14:paraId="6AFFD45D" w14:textId="45385D4A" w:rsidR="008A64B2" w:rsidRPr="006B08E4" w:rsidRDefault="008A64B2">
      <w:pPr>
        <w:pStyle w:val="FootnoteText"/>
        <w:rPr>
          <w:rFonts w:asciiTheme="majorBidi" w:hAnsiTheme="majorBidi" w:cstheme="majorBidi"/>
          <w:szCs w:val="24"/>
        </w:rPr>
      </w:pPr>
      <w:r w:rsidRPr="006B08E4">
        <w:rPr>
          <w:rStyle w:val="FootnoteReference"/>
          <w:rFonts w:cs="Times New Roman"/>
          <w:szCs w:val="24"/>
        </w:rPr>
        <w:footnoteRef/>
      </w:r>
      <w:r w:rsidRPr="006B08E4">
        <w:rPr>
          <w:rFonts w:cs="Times New Roman"/>
          <w:szCs w:val="24"/>
          <w:rtl/>
        </w:rPr>
        <w:t xml:space="preserve"> </w:t>
      </w:r>
      <w:r w:rsidRPr="006B08E4">
        <w:rPr>
          <w:rFonts w:cs="Times New Roman"/>
          <w:szCs w:val="24"/>
        </w:rPr>
        <w:t xml:space="preserve">Philip R. Davies, </w:t>
      </w:r>
      <w:r w:rsidRPr="006B08E4">
        <w:rPr>
          <w:rFonts w:cs="Times New Roman"/>
          <w:i/>
          <w:iCs/>
          <w:szCs w:val="24"/>
        </w:rPr>
        <w:t>1QM, The War Scroll from Qumran</w:t>
      </w:r>
      <w:r w:rsidR="00D02E2A" w:rsidRPr="006B08E4">
        <w:rPr>
          <w:rFonts w:cs="Times New Roman"/>
          <w:i/>
          <w:iCs/>
          <w:szCs w:val="24"/>
        </w:rPr>
        <w:t xml:space="preserve">: </w:t>
      </w:r>
      <w:r w:rsidRPr="006B08E4">
        <w:rPr>
          <w:rFonts w:cs="Times New Roman"/>
          <w:i/>
          <w:iCs/>
          <w:szCs w:val="24"/>
        </w:rPr>
        <w:t>Its Structure and History</w:t>
      </w:r>
      <w:r w:rsidRPr="006B08E4">
        <w:rPr>
          <w:rFonts w:cs="Times New Roman"/>
          <w:szCs w:val="24"/>
        </w:rPr>
        <w:t xml:space="preserve"> (Rome: Biblical Institute Press, 1977</w:t>
      </w:r>
      <w:r w:rsidRPr="006B08E4">
        <w:rPr>
          <w:rFonts w:asciiTheme="majorBidi" w:hAnsiTheme="majorBidi" w:cstheme="majorBidi"/>
          <w:szCs w:val="24"/>
        </w:rPr>
        <w:t xml:space="preserve">), 90; Jean Duhaime, </w:t>
      </w:r>
      <w:r w:rsidRPr="006B08E4">
        <w:rPr>
          <w:rFonts w:asciiTheme="majorBidi" w:hAnsiTheme="majorBidi" w:cstheme="majorBidi"/>
          <w:i/>
          <w:iCs/>
          <w:szCs w:val="24"/>
        </w:rPr>
        <w:t>The War Texts</w:t>
      </w:r>
      <w:r w:rsidR="00D02E2A" w:rsidRPr="006B08E4">
        <w:rPr>
          <w:rFonts w:asciiTheme="majorBidi" w:hAnsiTheme="majorBidi" w:cstheme="majorBidi"/>
          <w:i/>
          <w:iCs/>
          <w:szCs w:val="24"/>
        </w:rPr>
        <w:t xml:space="preserve">: </w:t>
      </w:r>
      <w:r w:rsidRPr="006B08E4">
        <w:rPr>
          <w:rFonts w:asciiTheme="majorBidi" w:hAnsiTheme="majorBidi" w:cstheme="majorBidi"/>
          <w:i/>
          <w:iCs/>
          <w:szCs w:val="24"/>
        </w:rPr>
        <w:t>1QM and Related Manuscripts</w:t>
      </w:r>
      <w:r w:rsidRPr="006B08E4">
        <w:rPr>
          <w:rFonts w:asciiTheme="majorBidi" w:hAnsiTheme="majorBidi" w:cstheme="majorBidi"/>
          <w:szCs w:val="24"/>
        </w:rPr>
        <w:t xml:space="preserve"> (London: T &amp; T Clark International, 2004), 14, 41; Brian Schultz, </w:t>
      </w:r>
      <w:r w:rsidRPr="006B08E4">
        <w:rPr>
          <w:rFonts w:asciiTheme="majorBidi" w:hAnsiTheme="majorBidi" w:cstheme="majorBidi"/>
          <w:i/>
          <w:iCs/>
          <w:szCs w:val="24"/>
        </w:rPr>
        <w:t>Conquering the World</w:t>
      </w:r>
      <w:r w:rsidR="00D02E2A" w:rsidRPr="006B08E4">
        <w:rPr>
          <w:rFonts w:asciiTheme="majorBidi" w:hAnsiTheme="majorBidi" w:cstheme="majorBidi"/>
          <w:i/>
          <w:iCs/>
          <w:szCs w:val="24"/>
        </w:rPr>
        <w:t xml:space="preserve">: </w:t>
      </w:r>
      <w:r w:rsidRPr="006B08E4">
        <w:rPr>
          <w:rFonts w:asciiTheme="majorBidi" w:hAnsiTheme="majorBidi" w:cstheme="majorBidi"/>
          <w:i/>
          <w:iCs/>
          <w:szCs w:val="24"/>
        </w:rPr>
        <w:t>The War Scroll (1QM) Reconsidered</w:t>
      </w:r>
      <w:r w:rsidRPr="006B08E4">
        <w:rPr>
          <w:rFonts w:asciiTheme="majorBidi" w:hAnsiTheme="majorBidi" w:cstheme="majorBidi"/>
          <w:szCs w:val="24"/>
        </w:rPr>
        <w:t xml:space="preserve"> (Leiden: Brill, 2009), 31.</w:t>
      </w:r>
    </w:p>
  </w:footnote>
  <w:footnote w:id="10">
    <w:p w14:paraId="06A85DAD" w14:textId="54D7CB38" w:rsidR="003277D8" w:rsidRPr="006B08E4" w:rsidRDefault="008A64B2">
      <w:pPr>
        <w:pStyle w:val="FootnoteText"/>
        <w:rPr>
          <w:rFonts w:asciiTheme="majorBidi" w:hAnsiTheme="majorBidi" w:cstheme="majorBidi"/>
          <w:szCs w:val="24"/>
        </w:rPr>
      </w:pPr>
      <w:r w:rsidRPr="006B08E4">
        <w:rPr>
          <w:rStyle w:val="FootnoteReference"/>
          <w:rFonts w:asciiTheme="majorBidi" w:hAnsiTheme="majorBidi" w:cstheme="majorBidi"/>
          <w:szCs w:val="24"/>
        </w:rPr>
        <w:footnoteRef/>
      </w:r>
      <w:r w:rsidRPr="006B08E4">
        <w:rPr>
          <w:rFonts w:asciiTheme="majorBidi" w:hAnsiTheme="majorBidi" w:cstheme="majorBidi"/>
          <w:szCs w:val="24"/>
          <w:rtl/>
        </w:rPr>
        <w:t xml:space="preserve"> </w:t>
      </w:r>
      <w:r w:rsidRPr="006B08E4">
        <w:rPr>
          <w:rFonts w:asciiTheme="majorBidi" w:hAnsiTheme="majorBidi" w:cstheme="majorBidi"/>
          <w:szCs w:val="24"/>
        </w:rPr>
        <w:t>In 1949, a number of additional fragments of 1QM (1Q33) were discovered in Cave 1, one of which belongs to an additional column. This proves that the end of the composition is missing. (Schultz, “</w:t>
      </w:r>
      <w:r w:rsidR="00471C30" w:rsidRPr="006B08E4">
        <w:rPr>
          <w:rFonts w:asciiTheme="majorBidi" w:hAnsiTheme="majorBidi" w:cstheme="majorBidi" w:hint="eastAsia"/>
          <w:szCs w:val="24"/>
          <w:rtl/>
          <w:lang w:bidi="he-IL"/>
        </w:rPr>
        <w:t>מ</w:t>
      </w:r>
      <w:r w:rsidR="00471C30" w:rsidRPr="006B08E4">
        <w:rPr>
          <w:rFonts w:asciiTheme="majorBidi" w:hAnsiTheme="majorBidi" w:cstheme="majorBidi"/>
          <w:szCs w:val="24"/>
          <w:rtl/>
          <w:lang w:bidi="he-IL"/>
        </w:rPr>
        <w:t>גילת</w:t>
      </w:r>
      <w:r w:rsidR="00471C30" w:rsidRPr="006B08E4">
        <w:rPr>
          <w:rFonts w:asciiTheme="majorBidi" w:hAnsiTheme="majorBidi" w:cstheme="majorBidi"/>
          <w:szCs w:val="24"/>
          <w:rtl/>
        </w:rPr>
        <w:t xml:space="preserve"> </w:t>
      </w:r>
      <w:r w:rsidR="00471C30" w:rsidRPr="006B08E4">
        <w:rPr>
          <w:rFonts w:asciiTheme="majorBidi" w:hAnsiTheme="majorBidi" w:cstheme="majorBidi"/>
          <w:szCs w:val="24"/>
          <w:rtl/>
          <w:lang w:bidi="he-IL"/>
        </w:rPr>
        <w:t>מלחמת</w:t>
      </w:r>
      <w:r w:rsidR="00471C30" w:rsidRPr="006B08E4">
        <w:rPr>
          <w:rFonts w:asciiTheme="majorBidi" w:hAnsiTheme="majorBidi" w:cstheme="majorBidi"/>
          <w:szCs w:val="24"/>
          <w:rtl/>
        </w:rPr>
        <w:t xml:space="preserve"> </w:t>
      </w:r>
      <w:r w:rsidR="00471C30" w:rsidRPr="006B08E4">
        <w:rPr>
          <w:rFonts w:asciiTheme="majorBidi" w:hAnsiTheme="majorBidi" w:cstheme="majorBidi"/>
          <w:szCs w:val="24"/>
          <w:rtl/>
          <w:lang w:bidi="he-IL"/>
        </w:rPr>
        <w:t>בני</w:t>
      </w:r>
      <w:r w:rsidR="00471C30" w:rsidRPr="006B08E4">
        <w:rPr>
          <w:rFonts w:asciiTheme="majorBidi" w:hAnsiTheme="majorBidi" w:cstheme="majorBidi"/>
          <w:szCs w:val="24"/>
          <w:rtl/>
        </w:rPr>
        <w:t xml:space="preserve"> </w:t>
      </w:r>
      <w:r w:rsidR="00471C30" w:rsidRPr="006B08E4">
        <w:rPr>
          <w:rFonts w:asciiTheme="majorBidi" w:hAnsiTheme="majorBidi" w:cstheme="majorBidi"/>
          <w:szCs w:val="24"/>
          <w:rtl/>
          <w:lang w:bidi="he-IL"/>
        </w:rPr>
        <w:t>אור</w:t>
      </w:r>
      <w:r w:rsidRPr="006B08E4">
        <w:rPr>
          <w:rFonts w:asciiTheme="majorBidi" w:hAnsiTheme="majorBidi" w:cstheme="majorBidi"/>
          <w:szCs w:val="24"/>
        </w:rPr>
        <w:t>,” 322).</w:t>
      </w:r>
      <w:r w:rsidR="00C13C8D" w:rsidRPr="006B08E4">
        <w:rPr>
          <w:rFonts w:asciiTheme="majorBidi" w:hAnsiTheme="majorBidi" w:cstheme="majorBidi"/>
          <w:color w:val="FF0000"/>
          <w:szCs w:val="24"/>
          <w:rtl/>
          <w:lang w:bidi="he-IL"/>
        </w:rPr>
        <w:t xml:space="preserve"> </w:t>
      </w:r>
      <w:r w:rsidRPr="006B08E4">
        <w:rPr>
          <w:rFonts w:asciiTheme="majorBidi" w:hAnsiTheme="majorBidi" w:cstheme="majorBidi"/>
          <w:szCs w:val="24"/>
        </w:rPr>
        <w:t>In 1952, fragments of texts dealing with eschatological war were discovered in Cave 4. These fragments (assigned to manuscripts 4Q491</w:t>
      </w:r>
      <w:r w:rsidR="006E28BB" w:rsidRPr="006B08E4">
        <w:rPr>
          <w:rFonts w:asciiTheme="majorBidi" w:hAnsiTheme="majorBidi" w:cstheme="majorBidi"/>
          <w:szCs w:val="24"/>
        </w:rPr>
        <w:t>–</w:t>
      </w:r>
      <w:r w:rsidRPr="006B08E4">
        <w:rPr>
          <w:rFonts w:asciiTheme="majorBidi" w:hAnsiTheme="majorBidi" w:cstheme="majorBidi"/>
          <w:szCs w:val="24"/>
        </w:rPr>
        <w:t>4Q496) exhibit similarity to the content and language of 1QM. (Maurice Baillet, “Qumran Grotte 4, III: 4Q482</w:t>
      </w:r>
      <w:r w:rsidR="006E28BB" w:rsidRPr="006B08E4">
        <w:rPr>
          <w:rFonts w:asciiTheme="majorBidi" w:hAnsiTheme="majorBidi" w:cstheme="majorBidi"/>
          <w:szCs w:val="24"/>
        </w:rPr>
        <w:t>–</w:t>
      </w:r>
      <w:r w:rsidRPr="006B08E4">
        <w:rPr>
          <w:rFonts w:asciiTheme="majorBidi" w:hAnsiTheme="majorBidi" w:cstheme="majorBidi"/>
          <w:szCs w:val="24"/>
        </w:rPr>
        <w:t xml:space="preserve">4Q520,” in </w:t>
      </w:r>
      <w:r w:rsidRPr="006B08E4">
        <w:rPr>
          <w:rFonts w:asciiTheme="majorBidi" w:hAnsiTheme="majorBidi" w:cstheme="majorBidi"/>
          <w:i/>
          <w:iCs/>
          <w:szCs w:val="24"/>
        </w:rPr>
        <w:t>DJD</w:t>
      </w:r>
      <w:r w:rsidRPr="006B08E4">
        <w:rPr>
          <w:rFonts w:asciiTheme="majorBidi" w:hAnsiTheme="majorBidi" w:cstheme="majorBidi"/>
          <w:szCs w:val="24"/>
        </w:rPr>
        <w:t xml:space="preserve"> 7 [Oxford: Clarendon Press, 1982], 12–72). There are those who identify some of these fragments as copies of the War Scroll (Duhaime, </w:t>
      </w:r>
      <w:r w:rsidRPr="006B08E4">
        <w:rPr>
          <w:rFonts w:asciiTheme="majorBidi" w:hAnsiTheme="majorBidi" w:cstheme="majorBidi"/>
          <w:i/>
          <w:iCs/>
          <w:szCs w:val="24"/>
        </w:rPr>
        <w:t>The War Texts</w:t>
      </w:r>
      <w:r w:rsidRPr="006B08E4">
        <w:rPr>
          <w:rFonts w:asciiTheme="majorBidi" w:hAnsiTheme="majorBidi" w:cstheme="majorBidi"/>
          <w:szCs w:val="24"/>
        </w:rPr>
        <w:t xml:space="preserve">, 20–23, regarding 4Q492, 4Q494, and 4Q495), and others as recensions of the composition from which 1QM was derived (Schultz, </w:t>
      </w:r>
      <w:r w:rsidR="00471C30" w:rsidRPr="006B08E4">
        <w:rPr>
          <w:rFonts w:asciiTheme="majorBidi" w:hAnsiTheme="majorBidi" w:cstheme="majorBidi"/>
          <w:szCs w:val="24"/>
        </w:rPr>
        <w:t>“</w:t>
      </w:r>
      <w:r w:rsidR="00471C30" w:rsidRPr="006B08E4">
        <w:rPr>
          <w:rFonts w:asciiTheme="majorBidi" w:hAnsiTheme="majorBidi" w:cstheme="majorBidi" w:hint="eastAsia"/>
          <w:szCs w:val="24"/>
          <w:rtl/>
          <w:lang w:bidi="he-IL"/>
        </w:rPr>
        <w:t>מ</w:t>
      </w:r>
      <w:r w:rsidR="00471C30" w:rsidRPr="006B08E4">
        <w:rPr>
          <w:rFonts w:asciiTheme="majorBidi" w:hAnsiTheme="majorBidi" w:cstheme="majorBidi"/>
          <w:szCs w:val="24"/>
          <w:rtl/>
          <w:lang w:bidi="he-IL"/>
        </w:rPr>
        <w:t>גילת</w:t>
      </w:r>
      <w:r w:rsidR="00471C30" w:rsidRPr="006B08E4">
        <w:rPr>
          <w:rFonts w:asciiTheme="majorBidi" w:hAnsiTheme="majorBidi" w:cstheme="majorBidi"/>
          <w:szCs w:val="24"/>
          <w:rtl/>
        </w:rPr>
        <w:t xml:space="preserve"> </w:t>
      </w:r>
      <w:r w:rsidR="00471C30" w:rsidRPr="006B08E4">
        <w:rPr>
          <w:rFonts w:asciiTheme="majorBidi" w:hAnsiTheme="majorBidi" w:cstheme="majorBidi"/>
          <w:szCs w:val="24"/>
          <w:rtl/>
          <w:lang w:bidi="he-IL"/>
        </w:rPr>
        <w:t>מלחמת</w:t>
      </w:r>
      <w:r w:rsidR="00471C30" w:rsidRPr="006B08E4">
        <w:rPr>
          <w:rFonts w:asciiTheme="majorBidi" w:hAnsiTheme="majorBidi" w:cstheme="majorBidi"/>
          <w:szCs w:val="24"/>
          <w:rtl/>
        </w:rPr>
        <w:t xml:space="preserve"> </w:t>
      </w:r>
      <w:r w:rsidR="00471C30" w:rsidRPr="006B08E4">
        <w:rPr>
          <w:rFonts w:asciiTheme="majorBidi" w:hAnsiTheme="majorBidi" w:cstheme="majorBidi"/>
          <w:szCs w:val="24"/>
          <w:rtl/>
          <w:lang w:bidi="he-IL"/>
        </w:rPr>
        <w:t>בני</w:t>
      </w:r>
      <w:r w:rsidR="00471C30" w:rsidRPr="006B08E4">
        <w:rPr>
          <w:rFonts w:asciiTheme="majorBidi" w:hAnsiTheme="majorBidi" w:cstheme="majorBidi"/>
          <w:szCs w:val="24"/>
          <w:rtl/>
        </w:rPr>
        <w:t xml:space="preserve"> </w:t>
      </w:r>
      <w:r w:rsidR="00471C30" w:rsidRPr="006B08E4">
        <w:rPr>
          <w:rFonts w:asciiTheme="majorBidi" w:hAnsiTheme="majorBidi" w:cstheme="majorBidi"/>
          <w:szCs w:val="24"/>
          <w:rtl/>
          <w:lang w:bidi="he-IL"/>
        </w:rPr>
        <w:t>אור</w:t>
      </w:r>
      <w:r w:rsidR="00471C30" w:rsidRPr="006B08E4">
        <w:rPr>
          <w:rFonts w:asciiTheme="majorBidi" w:hAnsiTheme="majorBidi" w:cstheme="majorBidi"/>
          <w:szCs w:val="24"/>
        </w:rPr>
        <w:t>,”</w:t>
      </w:r>
      <w:r w:rsidRPr="006B08E4">
        <w:rPr>
          <w:rFonts w:asciiTheme="majorBidi" w:hAnsiTheme="majorBidi" w:cstheme="majorBidi"/>
          <w:szCs w:val="24"/>
        </w:rPr>
        <w:t xml:space="preserve"> 323, regarding 4Q491and 4Q493). According to Rony Yishay, these fragments are not copies of the War Scroll, but parts of a tradition of what she calls “war literature”, which used traditional units of prayer and set patterns of war descriptions.</w:t>
      </w:r>
      <w:r w:rsidR="003647AC" w:rsidRPr="006B08E4">
        <w:rPr>
          <w:rFonts w:asciiTheme="majorBidi" w:hAnsiTheme="majorBidi" w:cstheme="majorBidi"/>
          <w:szCs w:val="24"/>
        </w:rPr>
        <w:t xml:space="preserve"> </w:t>
      </w:r>
      <w:r w:rsidRPr="006B08E4">
        <w:rPr>
          <w:rFonts w:asciiTheme="majorBidi" w:hAnsiTheme="majorBidi" w:cstheme="majorBidi"/>
          <w:szCs w:val="24"/>
        </w:rPr>
        <w:t xml:space="preserve">See Rony Yishay, </w:t>
      </w:r>
      <w:r w:rsidR="00F775BC" w:rsidRPr="006B08E4">
        <w:rPr>
          <w:rFonts w:asciiTheme="majorBidi" w:hAnsiTheme="majorBidi" w:cstheme="majorBidi"/>
          <w:szCs w:val="24"/>
          <w:rtl/>
          <w:lang w:bidi="he-IL"/>
        </w:rPr>
        <w:t>״</w:t>
      </w:r>
      <w:r w:rsidR="003647AC" w:rsidRPr="006B08E4">
        <w:rPr>
          <w:rFonts w:asciiTheme="majorBidi" w:hAnsiTheme="majorBidi" w:cstheme="majorBidi"/>
          <w:szCs w:val="24"/>
          <w:rtl/>
          <w:lang w:bidi="he-IL"/>
        </w:rPr>
        <w:t>ספרות</w:t>
      </w:r>
      <w:r w:rsidR="003647AC" w:rsidRPr="006B08E4">
        <w:rPr>
          <w:rFonts w:asciiTheme="majorBidi" w:hAnsiTheme="majorBidi" w:cstheme="majorBidi"/>
          <w:szCs w:val="24"/>
          <w:rtl/>
        </w:rPr>
        <w:t xml:space="preserve"> </w:t>
      </w:r>
      <w:r w:rsidR="003647AC" w:rsidRPr="006B08E4">
        <w:rPr>
          <w:rFonts w:asciiTheme="majorBidi" w:hAnsiTheme="majorBidi" w:cstheme="majorBidi"/>
          <w:szCs w:val="24"/>
          <w:rtl/>
          <w:lang w:bidi="he-IL"/>
        </w:rPr>
        <w:t>המלחמה</w:t>
      </w:r>
      <w:r w:rsidR="003647AC" w:rsidRPr="006B08E4">
        <w:rPr>
          <w:rFonts w:asciiTheme="majorBidi" w:hAnsiTheme="majorBidi" w:cstheme="majorBidi"/>
          <w:szCs w:val="24"/>
          <w:rtl/>
        </w:rPr>
        <w:t xml:space="preserve"> </w:t>
      </w:r>
      <w:r w:rsidR="003647AC" w:rsidRPr="006B08E4">
        <w:rPr>
          <w:rFonts w:asciiTheme="majorBidi" w:hAnsiTheme="majorBidi" w:cstheme="majorBidi"/>
          <w:szCs w:val="24"/>
          <w:rtl/>
          <w:lang w:bidi="he-IL"/>
        </w:rPr>
        <w:t>בקומראן</w:t>
      </w:r>
      <w:r w:rsidR="003647AC" w:rsidRPr="006B08E4">
        <w:rPr>
          <w:rFonts w:asciiTheme="majorBidi" w:hAnsiTheme="majorBidi" w:cstheme="majorBidi"/>
          <w:szCs w:val="24"/>
          <w:rtl/>
        </w:rPr>
        <w:t xml:space="preserve">: </w:t>
      </w:r>
      <w:r w:rsidR="003647AC" w:rsidRPr="006B08E4">
        <w:rPr>
          <w:rFonts w:asciiTheme="majorBidi" w:hAnsiTheme="majorBidi" w:cstheme="majorBidi"/>
          <w:szCs w:val="24"/>
          <w:rtl/>
          <w:lang w:bidi="he-IL"/>
        </w:rPr>
        <w:t>כתבי</w:t>
      </w:r>
      <w:r w:rsidR="003647AC" w:rsidRPr="006B08E4">
        <w:rPr>
          <w:rFonts w:asciiTheme="majorBidi" w:hAnsiTheme="majorBidi" w:cstheme="majorBidi"/>
          <w:szCs w:val="24"/>
          <w:rtl/>
        </w:rPr>
        <w:t xml:space="preserve"> </w:t>
      </w:r>
      <w:r w:rsidR="003647AC" w:rsidRPr="006B08E4">
        <w:rPr>
          <w:rFonts w:asciiTheme="majorBidi" w:hAnsiTheme="majorBidi" w:cstheme="majorBidi"/>
          <w:szCs w:val="24"/>
          <w:rtl/>
          <w:lang w:bidi="he-IL"/>
        </w:rPr>
        <w:t>היד</w:t>
      </w:r>
      <w:r w:rsidR="004F0BD6" w:rsidRPr="006B08E4">
        <w:rPr>
          <w:rFonts w:asciiTheme="majorBidi" w:hAnsiTheme="majorBidi" w:cstheme="majorBidi"/>
          <w:szCs w:val="24"/>
          <w:rtl/>
          <w:lang w:bidi="he-IL"/>
        </w:rPr>
        <w:t xml:space="preserve"> </w:t>
      </w:r>
      <w:r w:rsidR="003647AC" w:rsidRPr="006B08E4">
        <w:rPr>
          <w:rFonts w:asciiTheme="majorBidi" w:hAnsiTheme="majorBidi" w:cstheme="majorBidi"/>
          <w:szCs w:val="24"/>
          <w:rtl/>
          <w:lang w:bidi="he-IL"/>
        </w:rPr>
        <w:t>4</w:t>
      </w:r>
      <w:r w:rsidR="003647AC" w:rsidRPr="006B08E4">
        <w:rPr>
          <w:rFonts w:asciiTheme="majorBidi" w:hAnsiTheme="majorBidi" w:cstheme="majorBidi"/>
          <w:szCs w:val="24"/>
          <w:lang w:bidi="he-IL"/>
        </w:rPr>
        <w:t>Q491</w:t>
      </w:r>
      <w:r w:rsidR="003647AC" w:rsidRPr="006B08E4">
        <w:rPr>
          <w:rFonts w:asciiTheme="majorBidi" w:hAnsiTheme="majorBidi" w:cstheme="majorBidi"/>
          <w:szCs w:val="24"/>
          <w:rtl/>
          <w:lang w:bidi="he-IL"/>
        </w:rPr>
        <w:t xml:space="preserve"> - 4</w:t>
      </w:r>
      <w:r w:rsidR="003647AC" w:rsidRPr="006B08E4">
        <w:rPr>
          <w:rFonts w:asciiTheme="majorBidi" w:hAnsiTheme="majorBidi" w:cstheme="majorBidi"/>
          <w:szCs w:val="24"/>
          <w:lang w:bidi="he-IL"/>
        </w:rPr>
        <w:t>Q496</w:t>
      </w:r>
      <w:r w:rsidR="003647AC" w:rsidRPr="006B08E4">
        <w:rPr>
          <w:rFonts w:asciiTheme="majorBidi" w:hAnsiTheme="majorBidi" w:cstheme="majorBidi"/>
          <w:szCs w:val="24"/>
          <w:rtl/>
          <w:lang w:bidi="he-IL"/>
        </w:rPr>
        <w:t xml:space="preserve"> [מהדורה ופירוש] והשוואתם למגילת המלחמה (1</w:t>
      </w:r>
      <w:r w:rsidR="003647AC" w:rsidRPr="006B08E4">
        <w:rPr>
          <w:rFonts w:asciiTheme="majorBidi" w:hAnsiTheme="majorBidi" w:cstheme="majorBidi"/>
          <w:szCs w:val="24"/>
          <w:lang w:bidi="he-IL"/>
        </w:rPr>
        <w:t>QM</w:t>
      </w:r>
      <w:r w:rsidR="003647AC" w:rsidRPr="006B08E4">
        <w:rPr>
          <w:rFonts w:asciiTheme="majorBidi" w:hAnsiTheme="majorBidi" w:cstheme="majorBidi"/>
          <w:szCs w:val="24"/>
          <w:rtl/>
          <w:lang w:bidi="he-IL"/>
        </w:rPr>
        <w:t xml:space="preserve">)״ </w:t>
      </w:r>
      <w:r w:rsidRPr="006B08E4">
        <w:rPr>
          <w:rFonts w:asciiTheme="majorBidi" w:hAnsiTheme="majorBidi" w:cstheme="majorBidi"/>
          <w:szCs w:val="24"/>
        </w:rPr>
        <w:t>(PhD diss., The University of Haifa, 2006), 302–27;</w:t>
      </w:r>
      <w:r w:rsidR="005964EC" w:rsidRPr="006B08E4">
        <w:rPr>
          <w:rFonts w:asciiTheme="majorBidi" w:hAnsiTheme="majorBidi" w:cstheme="majorBidi"/>
          <w:szCs w:val="24"/>
          <w:rtl/>
          <w:lang w:bidi="he-IL"/>
        </w:rPr>
        <w:t>, 1</w:t>
      </w:r>
      <w:r w:rsidR="005964EC" w:rsidRPr="006B08E4">
        <w:rPr>
          <w:rFonts w:asciiTheme="majorBidi" w:hAnsiTheme="majorBidi" w:cstheme="majorBidi"/>
          <w:szCs w:val="24"/>
          <w:lang w:bidi="he-IL"/>
        </w:rPr>
        <w:t>QM</w:t>
      </w:r>
      <w:r w:rsidR="005964EC" w:rsidRPr="006B08E4">
        <w:rPr>
          <w:rFonts w:asciiTheme="majorBidi" w:hAnsiTheme="majorBidi" w:cstheme="majorBidi"/>
          <w:szCs w:val="24"/>
          <w:rtl/>
          <w:lang w:bidi="he-IL"/>
        </w:rPr>
        <w:t>״</w:t>
      </w:r>
      <w:r w:rsidR="005964EC" w:rsidRPr="006B08E4">
        <w:rPr>
          <w:rFonts w:asciiTheme="majorBidi" w:hAnsiTheme="majorBidi" w:cstheme="majorBidi"/>
          <w:szCs w:val="24"/>
        </w:rPr>
        <w:t>4Q491</w:t>
      </w:r>
      <w:r w:rsidR="006E28BB" w:rsidRPr="006B08E4">
        <w:rPr>
          <w:rFonts w:asciiTheme="majorBidi" w:hAnsiTheme="majorBidi" w:cstheme="majorBidi"/>
          <w:szCs w:val="24"/>
        </w:rPr>
        <w:t>–</w:t>
      </w:r>
      <w:r w:rsidR="005964EC" w:rsidRPr="006B08E4">
        <w:rPr>
          <w:rFonts w:asciiTheme="majorBidi" w:hAnsiTheme="majorBidi" w:cstheme="majorBidi"/>
          <w:szCs w:val="24"/>
          <w:rtl/>
        </w:rPr>
        <w:t xml:space="preserve"> </w:t>
      </w:r>
      <w:r w:rsidR="005964EC" w:rsidRPr="006B08E4">
        <w:rPr>
          <w:rFonts w:asciiTheme="majorBidi" w:hAnsiTheme="majorBidi" w:cstheme="majorBidi"/>
          <w:szCs w:val="24"/>
        </w:rPr>
        <w:t>4Q496</w:t>
      </w:r>
      <w:r w:rsidR="005964EC" w:rsidRPr="006B08E4">
        <w:rPr>
          <w:rFonts w:asciiTheme="majorBidi" w:hAnsiTheme="majorBidi" w:cstheme="majorBidi"/>
          <w:szCs w:val="24"/>
          <w:rtl/>
          <w:lang w:bidi="he-IL"/>
        </w:rPr>
        <w:t>״התפילות</w:t>
      </w:r>
      <w:r w:rsidR="005964EC" w:rsidRPr="006B08E4">
        <w:rPr>
          <w:rFonts w:asciiTheme="majorBidi" w:hAnsiTheme="majorBidi" w:cstheme="majorBidi"/>
          <w:szCs w:val="24"/>
          <w:rtl/>
        </w:rPr>
        <w:t xml:space="preserve"> </w:t>
      </w:r>
      <w:r w:rsidR="005964EC" w:rsidRPr="006B08E4">
        <w:rPr>
          <w:rFonts w:asciiTheme="majorBidi" w:hAnsiTheme="majorBidi" w:cstheme="majorBidi"/>
          <w:szCs w:val="24"/>
          <w:rtl/>
          <w:lang w:bidi="he-IL"/>
        </w:rPr>
        <w:t>בספרות</w:t>
      </w:r>
      <w:r w:rsidR="005964EC" w:rsidRPr="006B08E4">
        <w:rPr>
          <w:rFonts w:asciiTheme="majorBidi" w:hAnsiTheme="majorBidi" w:cstheme="majorBidi"/>
          <w:szCs w:val="24"/>
          <w:rtl/>
        </w:rPr>
        <w:t xml:space="preserve"> </w:t>
      </w:r>
      <w:r w:rsidR="005964EC" w:rsidRPr="006B08E4">
        <w:rPr>
          <w:rFonts w:asciiTheme="majorBidi" w:hAnsiTheme="majorBidi" w:cstheme="majorBidi"/>
          <w:szCs w:val="24"/>
          <w:rtl/>
          <w:lang w:bidi="he-IL"/>
        </w:rPr>
        <w:t>המלחמה</w:t>
      </w:r>
      <w:r w:rsidR="005964EC" w:rsidRPr="006B08E4">
        <w:rPr>
          <w:rFonts w:asciiTheme="majorBidi" w:hAnsiTheme="majorBidi" w:cstheme="majorBidi"/>
          <w:szCs w:val="24"/>
          <w:rtl/>
        </w:rPr>
        <w:t xml:space="preserve"> </w:t>
      </w:r>
      <w:r w:rsidR="005964EC" w:rsidRPr="006B08E4">
        <w:rPr>
          <w:rFonts w:asciiTheme="majorBidi" w:hAnsiTheme="majorBidi" w:cstheme="majorBidi"/>
          <w:szCs w:val="24"/>
          <w:rtl/>
          <w:lang w:bidi="he-IL"/>
        </w:rPr>
        <w:t>האסכטולוגית</w:t>
      </w:r>
      <w:r w:rsidR="005964EC" w:rsidRPr="006B08E4">
        <w:rPr>
          <w:rFonts w:asciiTheme="majorBidi" w:hAnsiTheme="majorBidi" w:cstheme="majorBidi"/>
          <w:szCs w:val="24"/>
          <w:rtl/>
        </w:rPr>
        <w:t xml:space="preserve"> </w:t>
      </w:r>
      <w:r w:rsidR="005964EC" w:rsidRPr="006B08E4">
        <w:rPr>
          <w:rFonts w:asciiTheme="majorBidi" w:hAnsiTheme="majorBidi" w:cstheme="majorBidi"/>
          <w:szCs w:val="24"/>
          <w:rtl/>
          <w:lang w:bidi="he-IL"/>
        </w:rPr>
        <w:t xml:space="preserve">בקומראן: </w:t>
      </w:r>
      <w:r w:rsidR="009F4CAB" w:rsidRPr="006B08E4">
        <w:rPr>
          <w:rFonts w:asciiTheme="majorBidi" w:hAnsiTheme="majorBidi" w:cstheme="majorBidi"/>
          <w:szCs w:val="24"/>
        </w:rPr>
        <w:t>i</w:t>
      </w:r>
      <w:r w:rsidR="005964EC" w:rsidRPr="006B08E4">
        <w:rPr>
          <w:rFonts w:asciiTheme="majorBidi" w:hAnsiTheme="majorBidi" w:cstheme="majorBidi"/>
          <w:szCs w:val="24"/>
        </w:rPr>
        <w:t xml:space="preserve">n Moshe Bar-Asher and Emanuel Tov, eds., </w:t>
      </w:r>
      <w:r w:rsidR="005964EC" w:rsidRPr="006B08E4">
        <w:rPr>
          <w:rFonts w:asciiTheme="majorBidi" w:hAnsiTheme="majorBidi" w:cstheme="majorBidi"/>
          <w:i/>
          <w:iCs/>
          <w:szCs w:val="24"/>
        </w:rPr>
        <w:t>Meghillot</w:t>
      </w:r>
      <w:r w:rsidR="005964EC" w:rsidRPr="006B08E4">
        <w:rPr>
          <w:rFonts w:asciiTheme="majorBidi" w:hAnsiTheme="majorBidi" w:cstheme="majorBidi"/>
          <w:szCs w:val="24"/>
        </w:rPr>
        <w:t xml:space="preserve">: </w:t>
      </w:r>
      <w:r w:rsidR="005964EC" w:rsidRPr="006B08E4">
        <w:rPr>
          <w:rFonts w:asciiTheme="majorBidi" w:hAnsiTheme="majorBidi" w:cstheme="majorBidi"/>
          <w:i/>
          <w:iCs/>
          <w:szCs w:val="24"/>
        </w:rPr>
        <w:t>Studies in the Dead Sea Scrolls 5</w:t>
      </w:r>
      <w:r w:rsidR="006E28BB" w:rsidRPr="006B08E4">
        <w:rPr>
          <w:rFonts w:asciiTheme="majorBidi" w:hAnsiTheme="majorBidi" w:cstheme="majorBidi"/>
          <w:szCs w:val="24"/>
        </w:rPr>
        <w:t>–</w:t>
      </w:r>
      <w:r w:rsidR="005964EC" w:rsidRPr="006B08E4">
        <w:rPr>
          <w:rFonts w:asciiTheme="majorBidi" w:hAnsiTheme="majorBidi" w:cstheme="majorBidi"/>
          <w:i/>
          <w:iCs/>
          <w:szCs w:val="24"/>
        </w:rPr>
        <w:t>6. A Festschrift for Devorah Dimant</w:t>
      </w:r>
      <w:r w:rsidR="005964EC" w:rsidRPr="006B08E4">
        <w:rPr>
          <w:rFonts w:asciiTheme="majorBidi" w:hAnsiTheme="majorBidi" w:cstheme="majorBidi"/>
          <w:szCs w:val="24"/>
        </w:rPr>
        <w:t xml:space="preserve"> (Jerusalem: Bialik Institute and Haifa University Press, 2007), 129</w:t>
      </w:r>
      <w:r w:rsidR="006E28BB" w:rsidRPr="006B08E4">
        <w:rPr>
          <w:rFonts w:asciiTheme="majorBidi" w:hAnsiTheme="majorBidi" w:cstheme="majorBidi"/>
          <w:szCs w:val="24"/>
        </w:rPr>
        <w:t>–</w:t>
      </w:r>
      <w:r w:rsidR="005964EC" w:rsidRPr="006B08E4">
        <w:rPr>
          <w:rFonts w:asciiTheme="majorBidi" w:hAnsiTheme="majorBidi" w:cstheme="majorBidi"/>
          <w:szCs w:val="24"/>
        </w:rPr>
        <w:t>47, at 143</w:t>
      </w:r>
      <w:r w:rsidR="006E28BB" w:rsidRPr="006B08E4">
        <w:rPr>
          <w:rFonts w:asciiTheme="majorBidi" w:hAnsiTheme="majorBidi" w:cstheme="majorBidi"/>
          <w:szCs w:val="24"/>
        </w:rPr>
        <w:t>–</w:t>
      </w:r>
      <w:r w:rsidR="005964EC" w:rsidRPr="006B08E4">
        <w:rPr>
          <w:rFonts w:asciiTheme="majorBidi" w:hAnsiTheme="majorBidi" w:cstheme="majorBidi"/>
          <w:szCs w:val="24"/>
        </w:rPr>
        <w:t>46.</w:t>
      </w:r>
      <w:r w:rsidR="005964EC" w:rsidRPr="006B08E4">
        <w:rPr>
          <w:rFonts w:asciiTheme="majorBidi" w:hAnsiTheme="majorBidi" w:cstheme="majorBidi"/>
          <w:szCs w:val="24"/>
          <w:lang w:bidi="he-IL"/>
        </w:rPr>
        <w:t xml:space="preserve"> </w:t>
      </w:r>
      <w:r w:rsidRPr="006B08E4">
        <w:rPr>
          <w:rFonts w:asciiTheme="majorBidi" w:hAnsiTheme="majorBidi" w:cstheme="majorBidi"/>
          <w:szCs w:val="24"/>
        </w:rPr>
        <w:t>Schultz</w:t>
      </w:r>
      <w:r w:rsidR="005964EC" w:rsidRPr="006B08E4">
        <w:rPr>
          <w:rFonts w:asciiTheme="majorBidi" w:hAnsiTheme="majorBidi" w:cstheme="majorBidi"/>
          <w:szCs w:val="24"/>
        </w:rPr>
        <w:t xml:space="preserve"> argues that </w:t>
      </w:r>
      <w:r w:rsidRPr="006B08E4">
        <w:rPr>
          <w:rFonts w:asciiTheme="majorBidi" w:hAnsiTheme="majorBidi" w:cstheme="majorBidi"/>
          <w:szCs w:val="24"/>
        </w:rPr>
        <w:t>the fragments from Cave 4 contain abridged descriptions of the stages of the eschatological war (</w:t>
      </w:r>
      <w:r w:rsidRPr="006B08E4">
        <w:rPr>
          <w:rFonts w:asciiTheme="majorBidi" w:hAnsiTheme="majorBidi" w:cstheme="majorBidi"/>
          <w:i/>
          <w:iCs/>
          <w:szCs w:val="24"/>
        </w:rPr>
        <w:t xml:space="preserve">Conquering the World, </w:t>
      </w:r>
      <w:r w:rsidRPr="006B08E4">
        <w:rPr>
          <w:rFonts w:asciiTheme="majorBidi" w:hAnsiTheme="majorBidi" w:cstheme="majorBidi"/>
          <w:szCs w:val="24"/>
        </w:rPr>
        <w:t>16–30, 366–90).</w:t>
      </w:r>
    </w:p>
  </w:footnote>
  <w:footnote w:id="11">
    <w:p w14:paraId="125D67E1" w14:textId="77BCF26B" w:rsidR="007A49FC" w:rsidRPr="006B08E4" w:rsidRDefault="008A64B2" w:rsidP="006B08E4">
      <w:pPr>
        <w:pStyle w:val="FootnoteText"/>
        <w:rPr>
          <w:rFonts w:asciiTheme="majorBidi" w:hAnsiTheme="majorBidi" w:cstheme="majorBidi"/>
          <w:shd w:val="clear" w:color="auto" w:fill="FFFFFF"/>
          <w:rtl/>
          <w:lang w:bidi="he-IL"/>
        </w:rPr>
      </w:pPr>
      <w:r w:rsidRPr="006B08E4">
        <w:rPr>
          <w:rStyle w:val="FootnoteReference"/>
          <w:rFonts w:asciiTheme="majorBidi" w:hAnsiTheme="majorBidi" w:cstheme="majorBidi"/>
          <w:szCs w:val="24"/>
        </w:rPr>
        <w:footnoteRef/>
      </w:r>
      <w:r w:rsidRPr="006B08E4">
        <w:rPr>
          <w:rFonts w:asciiTheme="majorBidi" w:hAnsiTheme="majorBidi" w:cstheme="majorBidi"/>
          <w:szCs w:val="24"/>
          <w:rtl/>
        </w:rPr>
        <w:t xml:space="preserve"> </w:t>
      </w:r>
      <w:r w:rsidRPr="006B08E4">
        <w:rPr>
          <w:rFonts w:asciiTheme="majorBidi" w:hAnsiTheme="majorBidi" w:cstheme="majorBidi"/>
          <w:szCs w:val="24"/>
        </w:rPr>
        <w:t xml:space="preserve">Yadin, </w:t>
      </w:r>
      <w:r w:rsidRPr="006B08E4">
        <w:rPr>
          <w:rFonts w:asciiTheme="majorBidi" w:hAnsiTheme="majorBidi" w:cstheme="majorBidi"/>
          <w:i/>
          <w:iCs/>
          <w:szCs w:val="24"/>
        </w:rPr>
        <w:t>The Scroll of the War</w:t>
      </w:r>
      <w:r w:rsidRPr="006B08E4">
        <w:rPr>
          <w:rFonts w:asciiTheme="majorBidi" w:hAnsiTheme="majorBidi" w:cstheme="majorBidi"/>
          <w:szCs w:val="24"/>
        </w:rPr>
        <w:t>, 8</w:t>
      </w:r>
      <w:r w:rsidR="009C1774" w:rsidRPr="006B08E4">
        <w:rPr>
          <w:rFonts w:asciiTheme="majorBidi" w:hAnsiTheme="majorBidi" w:cstheme="majorBidi"/>
          <w:szCs w:val="24"/>
        </w:rPr>
        <w:t>7</w:t>
      </w:r>
      <w:r w:rsidRPr="006B08E4">
        <w:rPr>
          <w:rFonts w:asciiTheme="majorBidi" w:hAnsiTheme="majorBidi" w:cstheme="majorBidi"/>
          <w:szCs w:val="24"/>
        </w:rPr>
        <w:t>;</w:t>
      </w:r>
      <w:r w:rsidRPr="006B08E4">
        <w:rPr>
          <w:rFonts w:asciiTheme="majorBidi" w:hAnsiTheme="majorBidi" w:cstheme="majorBidi"/>
          <w:szCs w:val="24"/>
          <w:rtl/>
        </w:rPr>
        <w:t xml:space="preserve"> </w:t>
      </w:r>
      <w:r w:rsidRPr="006B08E4">
        <w:rPr>
          <w:rFonts w:asciiTheme="majorBidi" w:hAnsiTheme="majorBidi" w:cstheme="majorBidi"/>
          <w:szCs w:val="24"/>
        </w:rPr>
        <w:t xml:space="preserve">Markus N.A. Bockmuehl, “‘The Trumpet Shall Sound’: Shofar Symbolism and its Reception in Early Christianity,” in </w:t>
      </w:r>
      <w:r w:rsidRPr="006B08E4">
        <w:rPr>
          <w:rFonts w:asciiTheme="majorBidi" w:hAnsiTheme="majorBidi" w:cstheme="majorBidi"/>
          <w:i/>
          <w:iCs/>
          <w:szCs w:val="24"/>
        </w:rPr>
        <w:t>Templum Amicitiae: Essays on the Second Temple Presented to Ernst Bammel</w:t>
      </w:r>
      <w:r w:rsidRPr="006B08E4">
        <w:rPr>
          <w:rFonts w:asciiTheme="majorBidi" w:hAnsiTheme="majorBidi" w:cstheme="majorBidi"/>
          <w:szCs w:val="24"/>
        </w:rPr>
        <w:t>, ed. William Horbury (Sheffield: JSOT Press, 1991), 199–225, at 208</w:t>
      </w:r>
      <w:r w:rsidRPr="006B08E4">
        <w:rPr>
          <w:rFonts w:asciiTheme="majorBidi" w:hAnsiTheme="majorBidi" w:cstheme="majorBidi"/>
          <w:szCs w:val="24"/>
          <w:rtl/>
        </w:rPr>
        <w:t>.</w:t>
      </w:r>
      <w:r w:rsidRPr="006B08E4">
        <w:rPr>
          <w:rFonts w:asciiTheme="majorBidi" w:hAnsiTheme="majorBidi" w:cstheme="majorBidi"/>
          <w:szCs w:val="24"/>
        </w:rPr>
        <w:t xml:space="preserve"> It is interesting to note that the use of trumpets in eschatological war is also mentioned in rabbinic literature, in Sifre Bamidbar, 76:2–4. The Midrash expounds upon Num 10:9, “</w:t>
      </w:r>
      <w:r w:rsidRPr="006B08E4">
        <w:rPr>
          <w:rFonts w:asciiTheme="majorBidi" w:hAnsiTheme="majorBidi" w:cstheme="majorBidi"/>
          <w:szCs w:val="24"/>
          <w:shd w:val="clear" w:color="auto" w:fill="FFFFFF"/>
        </w:rPr>
        <w:t xml:space="preserve">When you </w:t>
      </w:r>
      <w:r w:rsidR="007A49FC" w:rsidRPr="006B08E4">
        <w:rPr>
          <w:rFonts w:asciiTheme="majorBidi" w:hAnsiTheme="majorBidi" w:cstheme="majorBidi"/>
          <w:szCs w:val="24"/>
          <w:shd w:val="clear" w:color="auto" w:fill="FFFFFF"/>
        </w:rPr>
        <w:t xml:space="preserve">are at </w:t>
      </w:r>
      <w:r w:rsidRPr="006B08E4">
        <w:rPr>
          <w:rFonts w:asciiTheme="majorBidi" w:hAnsiTheme="majorBidi" w:cstheme="majorBidi"/>
          <w:szCs w:val="24"/>
          <w:shd w:val="clear" w:color="auto" w:fill="FFFFFF"/>
        </w:rPr>
        <w:t xml:space="preserve">war in your land against </w:t>
      </w:r>
      <w:r w:rsidR="007A49FC" w:rsidRPr="006B08E4">
        <w:rPr>
          <w:rFonts w:asciiTheme="majorBidi" w:hAnsiTheme="majorBidi" w:cstheme="majorBidi"/>
          <w:szCs w:val="24"/>
          <w:shd w:val="clear" w:color="auto" w:fill="FFFFFF"/>
        </w:rPr>
        <w:t>an aggressor who attacks you</w:t>
      </w:r>
      <w:r w:rsidRPr="006B08E4">
        <w:rPr>
          <w:rFonts w:asciiTheme="majorBidi" w:hAnsiTheme="majorBidi" w:cstheme="majorBidi"/>
          <w:szCs w:val="24"/>
          <w:shd w:val="clear" w:color="auto" w:fill="FFFFFF"/>
        </w:rPr>
        <w:t>, you shall sound</w:t>
      </w:r>
      <w:r w:rsidR="007A49FC" w:rsidRPr="006B08E4">
        <w:rPr>
          <w:rFonts w:asciiTheme="majorBidi" w:hAnsiTheme="majorBidi" w:cstheme="majorBidi"/>
          <w:szCs w:val="24"/>
          <w:shd w:val="clear" w:color="auto" w:fill="FFFFFF"/>
        </w:rPr>
        <w:t xml:space="preserve"> short blasts on the</w:t>
      </w:r>
      <w:r w:rsidRPr="006B08E4">
        <w:rPr>
          <w:rFonts w:asciiTheme="majorBidi" w:hAnsiTheme="majorBidi" w:cstheme="majorBidi"/>
          <w:szCs w:val="24"/>
          <w:shd w:val="clear" w:color="auto" w:fill="FFFFFF"/>
        </w:rPr>
        <w:t xml:space="preserve"> trumpets, that you may be remembered before the </w:t>
      </w:r>
      <w:r w:rsidR="00627E20">
        <w:rPr>
          <w:rStyle w:val="small-caps"/>
          <w:rFonts w:asciiTheme="majorBidi" w:hAnsiTheme="majorBidi" w:cstheme="majorBidi"/>
          <w:smallCaps/>
          <w:szCs w:val="24"/>
          <w:shd w:val="clear" w:color="auto" w:fill="FFFFFF"/>
        </w:rPr>
        <w:t>LORD</w:t>
      </w:r>
      <w:r w:rsidRPr="006B08E4">
        <w:rPr>
          <w:rFonts w:asciiTheme="majorBidi" w:hAnsiTheme="majorBidi" w:cstheme="majorBidi"/>
          <w:szCs w:val="24"/>
          <w:shd w:val="clear" w:color="auto" w:fill="FFFFFF"/>
        </w:rPr>
        <w:t xml:space="preserve"> your God and be </w:t>
      </w:r>
      <w:r w:rsidR="006D11D4" w:rsidRPr="006B08E4">
        <w:rPr>
          <w:rFonts w:asciiTheme="majorBidi" w:hAnsiTheme="majorBidi" w:cstheme="majorBidi"/>
          <w:szCs w:val="24"/>
          <w:shd w:val="clear" w:color="auto" w:fill="FFFFFF"/>
        </w:rPr>
        <w:t>deliver</w:t>
      </w:r>
      <w:r w:rsidRPr="006B08E4">
        <w:rPr>
          <w:rFonts w:asciiTheme="majorBidi" w:hAnsiTheme="majorBidi" w:cstheme="majorBidi"/>
          <w:szCs w:val="24"/>
          <w:shd w:val="clear" w:color="auto" w:fill="FFFFFF"/>
        </w:rPr>
        <w:t xml:space="preserve">ed from your enemies.” It states: “Scripture refers to the war of Gog. You say that Scripture refers to the war of Gog, but perhaps it rather speaks of all of the wars in Torah? Therefore, Scripture specifies, “and you will be saved from your enemies.” Say: Go out and see. What war is it, from which Israel is saved and there is not a subsequent subjugation? You will find none other than the war of Gog.” </w:t>
      </w:r>
      <w:r w:rsidRPr="006B08E4">
        <w:rPr>
          <w:rFonts w:asciiTheme="majorBidi" w:hAnsiTheme="majorBidi" w:cstheme="majorBidi"/>
          <w:szCs w:val="24"/>
        </w:rPr>
        <w:t xml:space="preserve">(See </w:t>
      </w:r>
      <w:r w:rsidRPr="006B08E4">
        <w:rPr>
          <w:rFonts w:asciiTheme="majorBidi" w:hAnsiTheme="majorBidi" w:cstheme="majorBidi"/>
          <w:szCs w:val="24"/>
          <w:shd w:val="clear" w:color="auto" w:fill="FFFFFF"/>
        </w:rPr>
        <w:t>Menahem I. Kahana,</w:t>
      </w:r>
      <w:r w:rsidR="00CB373F" w:rsidRPr="006B08E4">
        <w:rPr>
          <w:rFonts w:asciiTheme="majorBidi" w:hAnsiTheme="majorBidi" w:cstheme="majorBidi"/>
          <w:szCs w:val="24"/>
          <w:shd w:val="clear" w:color="auto" w:fill="FFFFFF"/>
        </w:rPr>
        <w:t xml:space="preserve"> ed.,</w:t>
      </w:r>
      <w:r w:rsidRPr="006B08E4">
        <w:rPr>
          <w:rFonts w:asciiTheme="majorBidi" w:hAnsiTheme="majorBidi" w:cstheme="majorBidi"/>
          <w:szCs w:val="24"/>
          <w:shd w:val="clear" w:color="auto" w:fill="FFFFFF"/>
        </w:rPr>
        <w:t xml:space="preserve"> </w:t>
      </w:r>
      <w:r w:rsidR="00794095" w:rsidRPr="006B08E4">
        <w:rPr>
          <w:rFonts w:asciiTheme="majorBidi" w:hAnsiTheme="majorBidi" w:cstheme="majorBidi"/>
          <w:szCs w:val="24"/>
          <w:shd w:val="clear" w:color="auto" w:fill="FFFFFF"/>
          <w:rtl/>
          <w:lang w:bidi="he-IL"/>
        </w:rPr>
        <w:t>ספרי במדבר: מהדורה מבוארת</w:t>
      </w:r>
      <w:r w:rsidR="00794095" w:rsidRPr="006B08E4">
        <w:rPr>
          <w:rFonts w:asciiTheme="majorBidi" w:hAnsiTheme="majorBidi" w:cstheme="majorBidi"/>
          <w:szCs w:val="24"/>
          <w:shd w:val="clear" w:color="auto" w:fill="FFFFFF"/>
          <w:lang w:bidi="he-IL"/>
        </w:rPr>
        <w:t xml:space="preserve"> [</w:t>
      </w:r>
      <w:r w:rsidRPr="006B08E4">
        <w:rPr>
          <w:rFonts w:asciiTheme="majorBidi" w:hAnsiTheme="majorBidi" w:cstheme="majorBidi"/>
          <w:i/>
          <w:iCs/>
          <w:szCs w:val="24"/>
          <w:shd w:val="clear" w:color="auto" w:fill="FFFFFF"/>
        </w:rPr>
        <w:t>Sifre on Numbers: An Annotated Edition</w:t>
      </w:r>
      <w:r w:rsidR="00794095" w:rsidRPr="006B08E4">
        <w:rPr>
          <w:rFonts w:asciiTheme="majorBidi" w:hAnsiTheme="majorBidi" w:cstheme="majorBidi"/>
          <w:szCs w:val="24"/>
          <w:shd w:val="clear" w:color="auto" w:fill="FFFFFF"/>
        </w:rPr>
        <w:t>]</w:t>
      </w:r>
      <w:r w:rsidRPr="006B08E4">
        <w:rPr>
          <w:rFonts w:asciiTheme="majorBidi" w:hAnsiTheme="majorBidi" w:cstheme="majorBidi"/>
          <w:szCs w:val="24"/>
          <w:shd w:val="clear" w:color="auto" w:fill="FFFFFF"/>
        </w:rPr>
        <w:t xml:space="preserve">. Vol. 1 [Jerusalem: Magnes, 2011], </w:t>
      </w:r>
      <w:r w:rsidRPr="006B08E4">
        <w:rPr>
          <w:rFonts w:asciiTheme="majorBidi" w:hAnsiTheme="majorBidi" w:cstheme="majorBidi"/>
          <w:szCs w:val="24"/>
        </w:rPr>
        <w:t>180–81).</w:t>
      </w:r>
      <w:r w:rsidRPr="006B08E4">
        <w:rPr>
          <w:rFonts w:asciiTheme="majorBidi" w:hAnsiTheme="majorBidi" w:cstheme="majorBidi"/>
          <w:szCs w:val="24"/>
          <w:shd w:val="clear" w:color="auto" w:fill="FFFFFF"/>
        </w:rPr>
        <w:t xml:space="preserve"> </w:t>
      </w:r>
      <w:r w:rsidRPr="006B08E4">
        <w:rPr>
          <w:rFonts w:asciiTheme="majorBidi" w:hAnsiTheme="majorBidi" w:cstheme="majorBidi"/>
          <w:szCs w:val="24"/>
        </w:rPr>
        <w:t>According to thi</w:t>
      </w:r>
      <w:r w:rsidR="00287999" w:rsidRPr="006B08E4">
        <w:rPr>
          <w:rFonts w:asciiTheme="majorBidi" w:hAnsiTheme="majorBidi" w:cstheme="majorBidi"/>
          <w:szCs w:val="24"/>
        </w:rPr>
        <w:t xml:space="preserve">s </w:t>
      </w:r>
      <w:r w:rsidR="00850C5B" w:rsidRPr="006B08E4">
        <w:rPr>
          <w:rFonts w:asciiTheme="majorBidi" w:hAnsiTheme="majorBidi" w:cstheme="majorBidi"/>
          <w:szCs w:val="24"/>
        </w:rPr>
        <w:t xml:space="preserve">opinion in the </w:t>
      </w:r>
      <w:r w:rsidR="00287999" w:rsidRPr="006B08E4">
        <w:rPr>
          <w:rFonts w:asciiTheme="majorBidi" w:hAnsiTheme="majorBidi" w:cstheme="majorBidi"/>
          <w:szCs w:val="24"/>
        </w:rPr>
        <w:t>midrash,</w:t>
      </w:r>
      <w:r w:rsidRPr="006B08E4">
        <w:rPr>
          <w:rFonts w:asciiTheme="majorBidi" w:hAnsiTheme="majorBidi" w:cstheme="majorBidi"/>
          <w:szCs w:val="24"/>
        </w:rPr>
        <w:t xml:space="preserve"> the obligation of blowing the trumpets mentioned in Torah will apply only in the war of Gog and Magog, in the End of Days, for only then will there be complete fulfillment of the promise, “you will be saved from your enemies.” Kahana conjectures that this midrash might reflect polemic opposition to the extensive use of trumpets in in 1QM. See </w:t>
      </w:r>
      <w:r w:rsidR="00936824" w:rsidRPr="006B08E4">
        <w:rPr>
          <w:rFonts w:asciiTheme="majorBidi" w:hAnsiTheme="majorBidi" w:cstheme="majorBidi"/>
          <w:szCs w:val="24"/>
        </w:rPr>
        <w:t>Piamenta, “</w:t>
      </w:r>
      <w:r w:rsidR="00936824" w:rsidRPr="006B08E4">
        <w:rPr>
          <w:rFonts w:asciiTheme="majorBidi" w:hAnsiTheme="majorBidi" w:cstheme="majorBidi" w:hint="eastAsia"/>
          <w:szCs w:val="24"/>
          <w:rtl/>
          <w:lang w:bidi="he-IL"/>
        </w:rPr>
        <w:t>החצוצרה</w:t>
      </w:r>
      <w:r w:rsidR="00936824" w:rsidRPr="006B08E4">
        <w:rPr>
          <w:rFonts w:asciiTheme="majorBidi" w:hAnsiTheme="majorBidi" w:cstheme="majorBidi"/>
          <w:szCs w:val="24"/>
          <w:lang w:bidi="he-IL"/>
        </w:rPr>
        <w:t>,</w:t>
      </w:r>
      <w:r w:rsidR="00936824" w:rsidRPr="006B08E4">
        <w:rPr>
          <w:rFonts w:asciiTheme="majorBidi" w:hAnsiTheme="majorBidi" w:cstheme="majorBidi"/>
          <w:szCs w:val="24"/>
        </w:rPr>
        <w:t>”</w:t>
      </w:r>
      <w:r w:rsidR="00936824" w:rsidRPr="006B08E4">
        <w:rPr>
          <w:rFonts w:asciiTheme="majorBidi" w:hAnsiTheme="majorBidi" w:cstheme="majorBidi"/>
          <w:szCs w:val="24"/>
          <w:lang w:bidi="he-IL"/>
        </w:rPr>
        <w:t xml:space="preserve"> </w:t>
      </w:r>
      <w:r w:rsidRPr="006B08E4">
        <w:rPr>
          <w:rFonts w:asciiTheme="majorBidi" w:hAnsiTheme="majorBidi" w:cstheme="majorBidi"/>
          <w:szCs w:val="24"/>
        </w:rPr>
        <w:t>261–63.</w:t>
      </w:r>
    </w:p>
  </w:footnote>
  <w:footnote w:id="12">
    <w:p w14:paraId="4C2B53B3" w14:textId="4815EDA9" w:rsidR="00051CB0" w:rsidRPr="006B08E4" w:rsidRDefault="00051CB0">
      <w:pPr>
        <w:pStyle w:val="FootnoteText"/>
        <w:rPr>
          <w:rFonts w:asciiTheme="majorBidi" w:hAnsiTheme="majorBidi" w:cstheme="majorBidi"/>
          <w:szCs w:val="24"/>
        </w:rPr>
      </w:pPr>
      <w:r w:rsidRPr="006B08E4">
        <w:rPr>
          <w:rStyle w:val="FootnoteReference"/>
          <w:rFonts w:asciiTheme="majorBidi" w:hAnsiTheme="majorBidi" w:cstheme="majorBidi"/>
          <w:szCs w:val="24"/>
        </w:rPr>
        <w:footnoteRef/>
      </w:r>
      <w:r w:rsidRPr="006B08E4">
        <w:rPr>
          <w:rFonts w:asciiTheme="majorBidi" w:hAnsiTheme="majorBidi" w:cstheme="majorBidi"/>
          <w:szCs w:val="24"/>
          <w:rtl/>
        </w:rPr>
        <w:t xml:space="preserve"> </w:t>
      </w:r>
      <w:r w:rsidRPr="006B08E4">
        <w:rPr>
          <w:rFonts w:asciiTheme="majorBidi" w:hAnsiTheme="majorBidi" w:cstheme="majorBidi"/>
          <w:szCs w:val="24"/>
        </w:rPr>
        <w:t>Bockmuehl, “‘The Trumpet Shall Sound,’” 209; Yishay, “</w:t>
      </w:r>
      <w:r w:rsidR="00FA3C4C" w:rsidRPr="006B08E4">
        <w:rPr>
          <w:rFonts w:asciiTheme="majorBidi" w:hAnsiTheme="majorBidi" w:cstheme="majorBidi"/>
          <w:szCs w:val="24"/>
          <w:rtl/>
          <w:lang w:bidi="he-IL"/>
        </w:rPr>
        <w:t>ספרות</w:t>
      </w:r>
      <w:r w:rsidR="00FA3C4C" w:rsidRPr="006B08E4">
        <w:rPr>
          <w:rFonts w:asciiTheme="majorBidi" w:hAnsiTheme="majorBidi" w:cstheme="majorBidi"/>
          <w:szCs w:val="24"/>
          <w:rtl/>
        </w:rPr>
        <w:t xml:space="preserve"> </w:t>
      </w:r>
      <w:r w:rsidR="00FA3C4C" w:rsidRPr="006B08E4">
        <w:rPr>
          <w:rFonts w:asciiTheme="majorBidi" w:hAnsiTheme="majorBidi" w:cstheme="majorBidi"/>
          <w:szCs w:val="24"/>
          <w:rtl/>
          <w:lang w:bidi="he-IL"/>
        </w:rPr>
        <w:t>המלחמה</w:t>
      </w:r>
      <w:r w:rsidRPr="006B08E4">
        <w:rPr>
          <w:rFonts w:asciiTheme="majorBidi" w:hAnsiTheme="majorBidi" w:cstheme="majorBidi"/>
          <w:szCs w:val="24"/>
        </w:rPr>
        <w:t>,” 42–43.</w:t>
      </w:r>
    </w:p>
  </w:footnote>
  <w:footnote w:id="13">
    <w:p w14:paraId="0A2AC798" w14:textId="0CE7E21B" w:rsidR="00BD5251" w:rsidRPr="006B08E4" w:rsidRDefault="006B2BFF" w:rsidP="006B08E4">
      <w:pPr>
        <w:pStyle w:val="FootnoteText"/>
        <w:rPr>
          <w:rFonts w:asciiTheme="majorBidi" w:hAnsiTheme="majorBidi" w:cstheme="majorBidi"/>
        </w:rPr>
      </w:pPr>
      <w:r w:rsidRPr="006B08E4">
        <w:rPr>
          <w:rStyle w:val="FootnoteReference"/>
          <w:rFonts w:asciiTheme="majorBidi" w:hAnsiTheme="majorBidi" w:cstheme="majorBidi"/>
          <w:szCs w:val="24"/>
        </w:rPr>
        <w:footnoteRef/>
      </w:r>
      <w:r w:rsidRPr="006B08E4">
        <w:rPr>
          <w:rFonts w:asciiTheme="majorBidi" w:hAnsiTheme="majorBidi" w:cstheme="majorBidi"/>
          <w:szCs w:val="24"/>
          <w:rtl/>
        </w:rPr>
        <w:t xml:space="preserve"> </w:t>
      </w:r>
      <w:r w:rsidRPr="006B08E4">
        <w:rPr>
          <w:rFonts w:asciiTheme="majorBidi" w:hAnsiTheme="majorBidi" w:cstheme="majorBidi"/>
          <w:szCs w:val="24"/>
        </w:rPr>
        <w:t>Frank Harrison and Joan Rimmer</w:t>
      </w:r>
      <w:r w:rsidR="00D913D4" w:rsidRPr="006B08E4">
        <w:rPr>
          <w:rFonts w:asciiTheme="majorBidi" w:hAnsiTheme="majorBidi" w:cstheme="majorBidi"/>
          <w:szCs w:val="24"/>
        </w:rPr>
        <w:t xml:space="preserve">, </w:t>
      </w:r>
      <w:r w:rsidR="00D913D4" w:rsidRPr="006B08E4">
        <w:rPr>
          <w:rFonts w:asciiTheme="majorBidi" w:hAnsiTheme="majorBidi" w:cstheme="majorBidi"/>
          <w:i/>
          <w:iCs/>
          <w:szCs w:val="24"/>
        </w:rPr>
        <w:t>European Musical Instruments</w:t>
      </w:r>
      <w:r w:rsidR="00D913D4" w:rsidRPr="006B08E4">
        <w:rPr>
          <w:rFonts w:asciiTheme="majorBidi" w:hAnsiTheme="majorBidi" w:cstheme="majorBidi"/>
          <w:szCs w:val="24"/>
        </w:rPr>
        <w:t xml:space="preserve"> (New York: W.W. Norton, 1964), 9; </w:t>
      </w:r>
      <w:r w:rsidR="00D62643" w:rsidRPr="006B08E4">
        <w:rPr>
          <w:rFonts w:asciiTheme="majorBidi" w:hAnsiTheme="majorBidi" w:cstheme="majorBidi"/>
          <w:szCs w:val="24"/>
        </w:rPr>
        <w:t xml:space="preserve">Bezalel Bar-Kokhva, </w:t>
      </w:r>
      <w:r w:rsidR="00DB5A13" w:rsidRPr="006B08E4">
        <w:rPr>
          <w:rFonts w:asciiTheme="majorBidi" w:hAnsiTheme="majorBidi" w:cstheme="majorBidi"/>
          <w:i/>
          <w:iCs/>
          <w:szCs w:val="24"/>
        </w:rPr>
        <w:t>Judas Maccabaeus: the Jewish Struggle Against the Seleucids</w:t>
      </w:r>
      <w:r w:rsidR="00703975" w:rsidRPr="006B08E4">
        <w:rPr>
          <w:rFonts w:asciiTheme="majorBidi" w:hAnsiTheme="majorBidi" w:cstheme="majorBidi"/>
          <w:szCs w:val="24"/>
        </w:rPr>
        <w:t xml:space="preserve"> (</w:t>
      </w:r>
      <w:r w:rsidR="00DB5A13" w:rsidRPr="006B08E4">
        <w:rPr>
          <w:rFonts w:asciiTheme="majorBidi" w:hAnsiTheme="majorBidi" w:cstheme="majorBidi"/>
          <w:szCs w:val="24"/>
        </w:rPr>
        <w:t>Cambridge: Cambridge Univ. Press, 1989</w:t>
      </w:r>
      <w:r w:rsidR="00703975" w:rsidRPr="006B08E4">
        <w:rPr>
          <w:rFonts w:asciiTheme="majorBidi" w:hAnsiTheme="majorBidi" w:cstheme="majorBidi"/>
          <w:szCs w:val="24"/>
        </w:rPr>
        <w:t>)</w:t>
      </w:r>
      <w:r w:rsidR="00492E36" w:rsidRPr="006B08E4">
        <w:rPr>
          <w:rFonts w:asciiTheme="majorBidi" w:hAnsiTheme="majorBidi" w:cstheme="majorBidi"/>
          <w:szCs w:val="24"/>
        </w:rPr>
        <w:t xml:space="preserve"> 5, 394</w:t>
      </w:r>
      <w:r w:rsidR="00D62643" w:rsidRPr="006B08E4">
        <w:rPr>
          <w:rFonts w:asciiTheme="majorBidi" w:hAnsiTheme="majorBidi" w:cstheme="majorBidi"/>
          <w:szCs w:val="24"/>
        </w:rPr>
        <w:t xml:space="preserve">; Edward H. Tarr, </w:t>
      </w:r>
      <w:r w:rsidR="00D62643" w:rsidRPr="006B08E4">
        <w:rPr>
          <w:rFonts w:asciiTheme="majorBidi" w:hAnsiTheme="majorBidi" w:cstheme="majorBidi"/>
          <w:i/>
          <w:iCs/>
          <w:szCs w:val="24"/>
        </w:rPr>
        <w:t>The Trumpet</w:t>
      </w:r>
      <w:r w:rsidR="00D62643" w:rsidRPr="006B08E4">
        <w:rPr>
          <w:rFonts w:asciiTheme="majorBidi" w:hAnsiTheme="majorBidi" w:cstheme="majorBidi"/>
          <w:szCs w:val="24"/>
        </w:rPr>
        <w:t xml:space="preserve"> (London: Batsford, 1988), 25–27;</w:t>
      </w:r>
      <w:r w:rsidR="00D62643" w:rsidRPr="006B08E4">
        <w:rPr>
          <w:rFonts w:asciiTheme="majorBidi" w:hAnsiTheme="majorBidi" w:cstheme="majorBidi"/>
          <w:szCs w:val="24"/>
          <w:rtl/>
        </w:rPr>
        <w:t xml:space="preserve"> </w:t>
      </w:r>
      <w:r w:rsidR="00D62643" w:rsidRPr="006B08E4">
        <w:rPr>
          <w:rFonts w:asciiTheme="majorBidi" w:hAnsiTheme="majorBidi" w:cstheme="majorBidi"/>
          <w:szCs w:val="24"/>
        </w:rPr>
        <w:t xml:space="preserve">John Peddie, </w:t>
      </w:r>
      <w:r w:rsidR="00D62643" w:rsidRPr="006B08E4">
        <w:rPr>
          <w:rFonts w:asciiTheme="majorBidi" w:hAnsiTheme="majorBidi" w:cstheme="majorBidi"/>
          <w:i/>
          <w:iCs/>
          <w:szCs w:val="24"/>
        </w:rPr>
        <w:t>The Roman War Machine</w:t>
      </w:r>
      <w:r w:rsidR="00D62643" w:rsidRPr="006B08E4">
        <w:rPr>
          <w:rFonts w:asciiTheme="majorBidi" w:hAnsiTheme="majorBidi" w:cstheme="majorBidi"/>
          <w:szCs w:val="24"/>
        </w:rPr>
        <w:t xml:space="preserve"> (Stroud, Gloucestershire: Alan Sutton, 1994), 19–20, 28, 36–37; Margaret Sarkissian, “Lip-vibrated Instruments of the Ancient and Non-</w:t>
      </w:r>
      <w:r w:rsidR="006E28BB" w:rsidRPr="006B08E4">
        <w:rPr>
          <w:rFonts w:asciiTheme="majorBidi" w:hAnsiTheme="majorBidi" w:cstheme="majorBidi"/>
          <w:szCs w:val="24"/>
        </w:rPr>
        <w:t>W</w:t>
      </w:r>
      <w:r w:rsidR="00D62643" w:rsidRPr="006B08E4">
        <w:rPr>
          <w:rFonts w:asciiTheme="majorBidi" w:hAnsiTheme="majorBidi" w:cstheme="majorBidi"/>
          <w:szCs w:val="24"/>
        </w:rPr>
        <w:t xml:space="preserve">estern World,” in </w:t>
      </w:r>
      <w:r w:rsidR="00D62643" w:rsidRPr="006B08E4">
        <w:rPr>
          <w:rFonts w:asciiTheme="majorBidi" w:hAnsiTheme="majorBidi" w:cstheme="majorBidi"/>
          <w:i/>
          <w:iCs/>
          <w:szCs w:val="24"/>
        </w:rPr>
        <w:t>The Cambridge Companion to Brass Instruments</w:t>
      </w:r>
      <w:r w:rsidR="00D62643" w:rsidRPr="006B08E4">
        <w:rPr>
          <w:rFonts w:asciiTheme="majorBidi" w:hAnsiTheme="majorBidi" w:cstheme="majorBidi"/>
          <w:szCs w:val="24"/>
        </w:rPr>
        <w:t>, eds. Trevor Herbert and John Wallace (Cambridge: Cambridge University Press, 1997), 5–18;</w:t>
      </w:r>
      <w:r w:rsidR="00A2662D" w:rsidRPr="006B08E4">
        <w:rPr>
          <w:rFonts w:asciiTheme="majorBidi" w:hAnsiTheme="majorBidi" w:cstheme="majorBidi"/>
          <w:szCs w:val="24"/>
        </w:rPr>
        <w:t xml:space="preserve"> </w:t>
      </w:r>
      <w:r w:rsidRPr="006B08E4">
        <w:rPr>
          <w:rFonts w:asciiTheme="majorBidi" w:hAnsiTheme="majorBidi" w:cstheme="majorBidi"/>
          <w:szCs w:val="24"/>
        </w:rPr>
        <w:t xml:space="preserve">Martijn J. Nicasie, </w:t>
      </w:r>
      <w:r w:rsidRPr="006B08E4">
        <w:rPr>
          <w:rFonts w:asciiTheme="majorBidi" w:hAnsiTheme="majorBidi" w:cstheme="majorBidi"/>
          <w:i/>
          <w:iCs/>
          <w:szCs w:val="24"/>
        </w:rPr>
        <w:t>Twilight of Empire</w:t>
      </w:r>
      <w:r w:rsidR="00A2662D" w:rsidRPr="006B08E4">
        <w:rPr>
          <w:rFonts w:asciiTheme="majorBidi" w:hAnsiTheme="majorBidi" w:cstheme="majorBidi"/>
          <w:i/>
          <w:iCs/>
          <w:szCs w:val="24"/>
        </w:rPr>
        <w:t>—</w:t>
      </w:r>
      <w:r w:rsidRPr="006B08E4">
        <w:rPr>
          <w:rFonts w:asciiTheme="majorBidi" w:hAnsiTheme="majorBidi" w:cstheme="majorBidi"/>
          <w:i/>
          <w:iCs/>
          <w:szCs w:val="24"/>
        </w:rPr>
        <w:t>The Roman Army from the Reign of Diocletian Until the Battle of Adrianople</w:t>
      </w:r>
      <w:r w:rsidRPr="006B08E4">
        <w:rPr>
          <w:rFonts w:asciiTheme="majorBidi" w:hAnsiTheme="majorBidi" w:cstheme="majorBidi"/>
          <w:szCs w:val="24"/>
        </w:rPr>
        <w:t xml:space="preserve"> (Amsterdam: Gieben, 1998), 210;</w:t>
      </w:r>
      <w:r w:rsidRPr="006B08E4">
        <w:rPr>
          <w:rFonts w:asciiTheme="majorBidi" w:hAnsiTheme="majorBidi" w:cstheme="majorBidi"/>
          <w:szCs w:val="24"/>
          <w:rtl/>
        </w:rPr>
        <w:t xml:space="preserve"> </w:t>
      </w:r>
      <w:r w:rsidRPr="006B08E4">
        <w:rPr>
          <w:rFonts w:asciiTheme="majorBidi" w:hAnsiTheme="majorBidi" w:cstheme="majorBidi"/>
          <w:szCs w:val="24"/>
        </w:rPr>
        <w:t xml:space="preserve">John G. Landels, </w:t>
      </w:r>
      <w:r w:rsidRPr="006B08E4">
        <w:rPr>
          <w:rFonts w:asciiTheme="majorBidi" w:hAnsiTheme="majorBidi" w:cstheme="majorBidi"/>
          <w:i/>
          <w:iCs/>
          <w:szCs w:val="24"/>
        </w:rPr>
        <w:t>Music in Ancient Greece and Rome</w:t>
      </w:r>
      <w:r w:rsidRPr="006B08E4">
        <w:rPr>
          <w:rFonts w:asciiTheme="majorBidi" w:hAnsiTheme="majorBidi" w:cstheme="majorBidi"/>
          <w:szCs w:val="24"/>
        </w:rPr>
        <w:t xml:space="preserve"> (London and New York: Routledge, 1999), 180;</w:t>
      </w:r>
      <w:r w:rsidRPr="006B08E4">
        <w:rPr>
          <w:rFonts w:asciiTheme="majorBidi" w:hAnsiTheme="majorBidi" w:cstheme="majorBidi"/>
          <w:szCs w:val="24"/>
          <w:rtl/>
        </w:rPr>
        <w:t xml:space="preserve"> </w:t>
      </w:r>
      <w:r w:rsidRPr="006B08E4">
        <w:rPr>
          <w:rFonts w:asciiTheme="majorBidi" w:hAnsiTheme="majorBidi" w:cstheme="majorBidi"/>
          <w:szCs w:val="24"/>
        </w:rPr>
        <w:t xml:space="preserve">Margaret Sarkissian and Edward H. Tarr, </w:t>
      </w:r>
      <w:r w:rsidR="0048588D" w:rsidRPr="006B08E4">
        <w:rPr>
          <w:rFonts w:asciiTheme="majorBidi" w:hAnsiTheme="majorBidi" w:cstheme="majorBidi"/>
          <w:szCs w:val="24"/>
        </w:rPr>
        <w:t>“</w:t>
      </w:r>
      <w:r w:rsidRPr="006B08E4">
        <w:rPr>
          <w:rFonts w:asciiTheme="majorBidi" w:hAnsiTheme="majorBidi" w:cstheme="majorBidi"/>
          <w:szCs w:val="24"/>
        </w:rPr>
        <w:t>Trumpet,</w:t>
      </w:r>
      <w:r w:rsidR="0048588D" w:rsidRPr="006B08E4">
        <w:rPr>
          <w:rFonts w:asciiTheme="majorBidi" w:hAnsiTheme="majorBidi" w:cstheme="majorBidi"/>
          <w:szCs w:val="24"/>
        </w:rPr>
        <w:t>”</w:t>
      </w:r>
      <w:r w:rsidRPr="006B08E4">
        <w:rPr>
          <w:rFonts w:asciiTheme="majorBidi" w:hAnsiTheme="majorBidi" w:cstheme="majorBidi"/>
          <w:szCs w:val="24"/>
        </w:rPr>
        <w:t xml:space="preserve"> in</w:t>
      </w:r>
      <w:r w:rsidRPr="006B08E4">
        <w:rPr>
          <w:rFonts w:asciiTheme="majorBidi" w:hAnsiTheme="majorBidi" w:cstheme="majorBidi"/>
          <w:i/>
          <w:iCs/>
          <w:szCs w:val="24"/>
        </w:rPr>
        <w:t xml:space="preserve"> The New Grove Dictionary of Music and Musicians</w:t>
      </w:r>
      <w:r w:rsidRPr="006B08E4">
        <w:rPr>
          <w:rFonts w:asciiTheme="majorBidi" w:hAnsiTheme="majorBidi" w:cstheme="majorBidi"/>
          <w:szCs w:val="24"/>
        </w:rPr>
        <w:t>. Second Edition, Vol. 25, eds. Stanley Sadie and John Tyrrell</w:t>
      </w:r>
      <w:r w:rsidRPr="006B08E4">
        <w:rPr>
          <w:rFonts w:asciiTheme="majorBidi" w:hAnsiTheme="majorBidi" w:cstheme="majorBidi"/>
          <w:i/>
          <w:iCs/>
          <w:szCs w:val="24"/>
        </w:rPr>
        <w:t xml:space="preserve"> </w:t>
      </w:r>
      <w:r w:rsidRPr="006B08E4">
        <w:rPr>
          <w:rFonts w:asciiTheme="majorBidi" w:hAnsiTheme="majorBidi" w:cstheme="majorBidi"/>
          <w:szCs w:val="24"/>
        </w:rPr>
        <w:t>(London: Macmillan, 2001), 827;</w:t>
      </w:r>
      <w:r w:rsidRPr="006B08E4">
        <w:rPr>
          <w:rFonts w:asciiTheme="majorBidi" w:hAnsiTheme="majorBidi" w:cstheme="majorBidi"/>
          <w:szCs w:val="24"/>
          <w:rtl/>
        </w:rPr>
        <w:t xml:space="preserve"> </w:t>
      </w:r>
      <w:r w:rsidRPr="006B08E4">
        <w:rPr>
          <w:rFonts w:asciiTheme="majorBidi" w:hAnsiTheme="majorBidi" w:cstheme="majorBidi"/>
          <w:szCs w:val="24"/>
        </w:rPr>
        <w:t xml:space="preserve">David J. Woolliscroft, </w:t>
      </w:r>
      <w:r w:rsidRPr="006B08E4">
        <w:rPr>
          <w:rFonts w:asciiTheme="majorBidi" w:hAnsiTheme="majorBidi" w:cstheme="majorBidi"/>
          <w:i/>
          <w:iCs/>
          <w:szCs w:val="24"/>
        </w:rPr>
        <w:t>Roman Military Signaling</w:t>
      </w:r>
      <w:r w:rsidRPr="006B08E4">
        <w:rPr>
          <w:rFonts w:asciiTheme="majorBidi" w:hAnsiTheme="majorBidi" w:cstheme="majorBidi"/>
          <w:szCs w:val="24"/>
        </w:rPr>
        <w:t xml:space="preserve"> (</w:t>
      </w:r>
      <w:r w:rsidRPr="006B08E4">
        <w:rPr>
          <w:rFonts w:asciiTheme="majorBidi" w:hAnsiTheme="majorBidi" w:cstheme="majorBidi"/>
          <w:szCs w:val="24"/>
          <w:shd w:val="clear" w:color="auto" w:fill="FFFFFF"/>
        </w:rPr>
        <w:t>Gloucestershire: Tempus,</w:t>
      </w:r>
      <w:r w:rsidRPr="006B08E4">
        <w:rPr>
          <w:rFonts w:asciiTheme="majorBidi" w:hAnsiTheme="majorBidi" w:cstheme="majorBidi"/>
          <w:szCs w:val="24"/>
        </w:rPr>
        <w:t xml:space="preserve"> 2001), 21;</w:t>
      </w:r>
      <w:r w:rsidR="0048588D" w:rsidRPr="006B08E4">
        <w:rPr>
          <w:rFonts w:asciiTheme="majorBidi" w:hAnsiTheme="majorBidi" w:cstheme="majorBidi"/>
          <w:szCs w:val="24"/>
        </w:rPr>
        <w:t xml:space="preserve"> </w:t>
      </w:r>
      <w:r w:rsidRPr="006B08E4">
        <w:rPr>
          <w:rFonts w:asciiTheme="majorBidi" w:hAnsiTheme="majorBidi" w:cstheme="majorBidi"/>
          <w:szCs w:val="24"/>
        </w:rPr>
        <w:t>Michel Feug</w:t>
      </w:r>
      <w:r w:rsidR="0048588D" w:rsidRPr="006B08E4">
        <w:rPr>
          <w:rFonts w:asciiTheme="majorBidi" w:hAnsiTheme="majorBidi" w:cstheme="majorBidi"/>
          <w:szCs w:val="24"/>
        </w:rPr>
        <w:t>è</w:t>
      </w:r>
      <w:r w:rsidRPr="006B08E4">
        <w:rPr>
          <w:rFonts w:asciiTheme="majorBidi" w:hAnsiTheme="majorBidi" w:cstheme="majorBidi"/>
          <w:szCs w:val="24"/>
        </w:rPr>
        <w:t xml:space="preserve">re, </w:t>
      </w:r>
      <w:r w:rsidRPr="006B08E4">
        <w:rPr>
          <w:rFonts w:asciiTheme="majorBidi" w:hAnsiTheme="majorBidi" w:cstheme="majorBidi"/>
          <w:i/>
          <w:iCs/>
          <w:szCs w:val="24"/>
        </w:rPr>
        <w:t>Weapons of the Romans</w:t>
      </w:r>
      <w:r w:rsidRPr="006B08E4">
        <w:rPr>
          <w:rFonts w:asciiTheme="majorBidi" w:hAnsiTheme="majorBidi" w:cstheme="majorBidi"/>
          <w:szCs w:val="24"/>
        </w:rPr>
        <w:t xml:space="preserve"> (</w:t>
      </w:r>
      <w:r w:rsidR="0048588D" w:rsidRPr="006B08E4">
        <w:rPr>
          <w:rFonts w:asciiTheme="majorBidi" w:hAnsiTheme="majorBidi" w:cstheme="majorBidi"/>
          <w:szCs w:val="24"/>
        </w:rPr>
        <w:t xml:space="preserve">Stroud, </w:t>
      </w:r>
      <w:r w:rsidRPr="006B08E4">
        <w:rPr>
          <w:rFonts w:asciiTheme="majorBidi" w:hAnsiTheme="majorBidi" w:cstheme="majorBidi"/>
          <w:szCs w:val="24"/>
          <w:shd w:val="clear" w:color="auto" w:fill="FFFFFF"/>
        </w:rPr>
        <w:t>Gloucestershire: Tempus,</w:t>
      </w:r>
      <w:r w:rsidRPr="006B08E4">
        <w:rPr>
          <w:rFonts w:asciiTheme="majorBidi" w:hAnsiTheme="majorBidi" w:cstheme="majorBidi"/>
          <w:szCs w:val="24"/>
        </w:rPr>
        <w:t xml:space="preserve"> 2002</w:t>
      </w:r>
      <w:r w:rsidR="00492E36" w:rsidRPr="006B08E4">
        <w:rPr>
          <w:rFonts w:asciiTheme="majorBidi" w:hAnsiTheme="majorBidi" w:cstheme="majorBidi"/>
          <w:szCs w:val="24"/>
        </w:rPr>
        <w:t xml:space="preserve">; transl. of </w:t>
      </w:r>
      <w:r w:rsidR="00492E36" w:rsidRPr="006B08E4">
        <w:rPr>
          <w:rFonts w:asciiTheme="majorBidi" w:hAnsiTheme="majorBidi" w:cstheme="majorBidi"/>
          <w:i/>
          <w:iCs/>
          <w:szCs w:val="24"/>
          <w:shd w:val="clear" w:color="auto" w:fill="FFFFFF"/>
        </w:rPr>
        <w:t>Les Ames des Romains, de la République à l'Antiquité tardive</w:t>
      </w:r>
      <w:r w:rsidR="00492E36" w:rsidRPr="006B08E4">
        <w:rPr>
          <w:rFonts w:asciiTheme="majorBidi" w:hAnsiTheme="majorBidi" w:cstheme="majorBidi"/>
          <w:szCs w:val="24"/>
          <w:shd w:val="clear" w:color="auto" w:fill="FFFFFF"/>
        </w:rPr>
        <w:t xml:space="preserve">. Paris: Errnace, </w:t>
      </w:r>
      <w:r w:rsidR="00492E36" w:rsidRPr="006B08E4">
        <w:rPr>
          <w:rFonts w:asciiTheme="majorBidi" w:hAnsiTheme="majorBidi" w:cstheme="majorBidi"/>
          <w:szCs w:val="24"/>
        </w:rPr>
        <w:t>1993</w:t>
      </w:r>
      <w:r w:rsidRPr="006B08E4">
        <w:rPr>
          <w:rFonts w:asciiTheme="majorBidi" w:hAnsiTheme="majorBidi" w:cstheme="majorBidi"/>
          <w:szCs w:val="24"/>
        </w:rPr>
        <w:t>), 57;</w:t>
      </w:r>
      <w:r w:rsidRPr="006B08E4">
        <w:rPr>
          <w:rFonts w:asciiTheme="majorBidi" w:hAnsiTheme="majorBidi" w:cstheme="majorBidi"/>
          <w:szCs w:val="24"/>
          <w:rtl/>
        </w:rPr>
        <w:t xml:space="preserve"> </w:t>
      </w:r>
      <w:r w:rsidRPr="006B08E4">
        <w:rPr>
          <w:rFonts w:asciiTheme="majorBidi" w:hAnsiTheme="majorBidi" w:cstheme="majorBidi"/>
          <w:szCs w:val="24"/>
        </w:rPr>
        <w:t xml:space="preserve">Brian Campbell, </w:t>
      </w:r>
      <w:r w:rsidRPr="006B08E4">
        <w:rPr>
          <w:rFonts w:asciiTheme="majorBidi" w:hAnsiTheme="majorBidi" w:cstheme="majorBidi"/>
          <w:i/>
          <w:iCs/>
          <w:szCs w:val="24"/>
        </w:rPr>
        <w:t>Greek and Roman Military Writers</w:t>
      </w:r>
      <w:r w:rsidR="0048588D" w:rsidRPr="006B08E4">
        <w:rPr>
          <w:rFonts w:asciiTheme="majorBidi" w:hAnsiTheme="majorBidi" w:cstheme="majorBidi"/>
          <w:szCs w:val="24"/>
        </w:rPr>
        <w:t>—</w:t>
      </w:r>
      <w:r w:rsidRPr="006B08E4">
        <w:rPr>
          <w:rFonts w:asciiTheme="majorBidi" w:hAnsiTheme="majorBidi" w:cstheme="majorBidi"/>
          <w:szCs w:val="24"/>
        </w:rPr>
        <w:t>Selected Readings (London and New York: Routledge, 2004), 33–34, 40–41;</w:t>
      </w:r>
      <w:r w:rsidRPr="006B08E4">
        <w:rPr>
          <w:rFonts w:asciiTheme="majorBidi" w:hAnsiTheme="majorBidi" w:cstheme="majorBidi"/>
          <w:szCs w:val="24"/>
          <w:rtl/>
        </w:rPr>
        <w:t xml:space="preserve"> </w:t>
      </w:r>
      <w:r w:rsidRPr="006B08E4">
        <w:rPr>
          <w:rFonts w:asciiTheme="majorBidi" w:hAnsiTheme="majorBidi" w:cstheme="majorBidi"/>
          <w:szCs w:val="24"/>
        </w:rPr>
        <w:t xml:space="preserve">Pat Southern, </w:t>
      </w:r>
      <w:r w:rsidRPr="006B08E4">
        <w:rPr>
          <w:rFonts w:asciiTheme="majorBidi" w:hAnsiTheme="majorBidi" w:cstheme="majorBidi"/>
          <w:i/>
          <w:iCs/>
          <w:szCs w:val="24"/>
        </w:rPr>
        <w:t>The Roman Army: A Social and Institutional History</w:t>
      </w:r>
      <w:r w:rsidRPr="006B08E4">
        <w:rPr>
          <w:rFonts w:asciiTheme="majorBidi" w:hAnsiTheme="majorBidi" w:cstheme="majorBidi"/>
          <w:szCs w:val="24"/>
        </w:rPr>
        <w:t xml:space="preserve"> (California: Oxford University Press, 2006), 159</w:t>
      </w:r>
      <w:r w:rsidRPr="006B08E4">
        <w:rPr>
          <w:rFonts w:asciiTheme="majorBidi" w:hAnsiTheme="majorBidi" w:cstheme="majorBidi"/>
          <w:szCs w:val="24"/>
          <w:rtl/>
        </w:rPr>
        <w:t>.</w:t>
      </w:r>
    </w:p>
  </w:footnote>
  <w:footnote w:id="14">
    <w:p w14:paraId="27E5E501" w14:textId="22B5DF71" w:rsidR="006C2746" w:rsidRPr="00180C78" w:rsidRDefault="006C2746">
      <w:pPr>
        <w:pStyle w:val="FootnoteText"/>
        <w:rPr>
          <w:rFonts w:asciiTheme="majorBidi" w:hAnsiTheme="majorBidi" w:cstheme="majorBidi"/>
          <w:szCs w:val="24"/>
        </w:rPr>
      </w:pPr>
      <w:r w:rsidRPr="006B08E4">
        <w:rPr>
          <w:rStyle w:val="FootnoteReference"/>
          <w:rFonts w:asciiTheme="majorBidi" w:hAnsiTheme="majorBidi" w:cstheme="majorBidi"/>
          <w:szCs w:val="24"/>
        </w:rPr>
        <w:footnoteRef/>
      </w:r>
      <w:r w:rsidRPr="006B08E4">
        <w:rPr>
          <w:rFonts w:asciiTheme="majorBidi" w:hAnsiTheme="majorBidi" w:cstheme="majorBidi"/>
          <w:szCs w:val="24"/>
        </w:rPr>
        <w:t xml:space="preserve"> Yadin, </w:t>
      </w:r>
      <w:r w:rsidRPr="006B08E4">
        <w:rPr>
          <w:rFonts w:asciiTheme="majorBidi" w:hAnsiTheme="majorBidi" w:cstheme="majorBidi"/>
          <w:i/>
          <w:iCs/>
          <w:szCs w:val="24"/>
        </w:rPr>
        <w:t>The Scroll of the War</w:t>
      </w:r>
      <w:r w:rsidRPr="006B08E4">
        <w:rPr>
          <w:rFonts w:asciiTheme="majorBidi" w:hAnsiTheme="majorBidi" w:cstheme="majorBidi"/>
          <w:szCs w:val="24"/>
        </w:rPr>
        <w:t xml:space="preserve">, </w:t>
      </w:r>
      <w:r w:rsidR="00A228DC" w:rsidRPr="006B08E4">
        <w:rPr>
          <w:rFonts w:asciiTheme="majorBidi" w:hAnsiTheme="majorBidi" w:cstheme="majorBidi"/>
          <w:szCs w:val="24"/>
        </w:rPr>
        <w:t>100–101</w:t>
      </w:r>
      <w:r w:rsidRPr="006B08E4">
        <w:rPr>
          <w:rFonts w:asciiTheme="majorBidi" w:hAnsiTheme="majorBidi" w:cstheme="majorBidi"/>
          <w:szCs w:val="24"/>
        </w:rPr>
        <w:t>; Yishay, “</w:t>
      </w:r>
      <w:r w:rsidR="00FA3C4C" w:rsidRPr="006B08E4">
        <w:rPr>
          <w:rFonts w:asciiTheme="majorBidi" w:hAnsiTheme="majorBidi" w:cstheme="majorBidi"/>
          <w:szCs w:val="24"/>
          <w:rtl/>
          <w:lang w:bidi="he-IL"/>
        </w:rPr>
        <w:t>ספרות</w:t>
      </w:r>
      <w:r w:rsidR="00FA3C4C" w:rsidRPr="006B08E4">
        <w:rPr>
          <w:rFonts w:asciiTheme="majorBidi" w:hAnsiTheme="majorBidi" w:cstheme="majorBidi"/>
          <w:szCs w:val="24"/>
          <w:rtl/>
        </w:rPr>
        <w:t xml:space="preserve"> </w:t>
      </w:r>
      <w:r w:rsidR="00FA3C4C" w:rsidRPr="006B08E4">
        <w:rPr>
          <w:rFonts w:asciiTheme="majorBidi" w:hAnsiTheme="majorBidi" w:cstheme="majorBidi"/>
          <w:szCs w:val="24"/>
          <w:rtl/>
          <w:lang w:bidi="he-IL"/>
        </w:rPr>
        <w:t>המלחמה</w:t>
      </w:r>
      <w:r w:rsidRPr="006B08E4">
        <w:rPr>
          <w:rFonts w:asciiTheme="majorBidi" w:hAnsiTheme="majorBidi" w:cstheme="majorBidi"/>
          <w:szCs w:val="24"/>
        </w:rPr>
        <w:t>,” 144.</w:t>
      </w:r>
    </w:p>
  </w:footnote>
  <w:footnote w:id="15">
    <w:p w14:paraId="3DD24E9C" w14:textId="438D3EBB" w:rsidR="00014E46" w:rsidRPr="00507985" w:rsidRDefault="00014E46">
      <w:pPr>
        <w:pStyle w:val="FootnoteText"/>
        <w:rPr>
          <w:rFonts w:asciiTheme="majorBidi" w:hAnsiTheme="majorBidi" w:cstheme="majorBidi"/>
          <w:szCs w:val="24"/>
          <w:lang w:bidi="he-IL"/>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w:t>
      </w:r>
      <w:r w:rsidR="008A72F9" w:rsidRPr="00507985">
        <w:rPr>
          <w:rFonts w:asciiTheme="majorBidi" w:hAnsiTheme="majorBidi" w:cstheme="majorBidi"/>
          <w:szCs w:val="24"/>
        </w:rPr>
        <w:t xml:space="preserve">Moshe Zvi Segal, </w:t>
      </w:r>
      <w:r w:rsidR="008A72F9" w:rsidRPr="00507985">
        <w:rPr>
          <w:rFonts w:asciiTheme="majorBidi" w:hAnsiTheme="majorBidi" w:cstheme="majorBidi"/>
          <w:szCs w:val="24"/>
          <w:rtl/>
        </w:rPr>
        <w:t>"</w:t>
      </w:r>
      <w:r w:rsidR="00AA7E35" w:rsidRPr="00507985">
        <w:rPr>
          <w:rFonts w:asciiTheme="majorBidi" w:hAnsiTheme="majorBidi" w:cstheme="majorBidi"/>
          <w:szCs w:val="24"/>
          <w:rtl/>
          <w:lang w:bidi="he-IL"/>
        </w:rPr>
        <w:t>,</w:t>
      </w:r>
      <w:r w:rsidR="008A72F9" w:rsidRPr="00507985">
        <w:rPr>
          <w:rFonts w:asciiTheme="majorBidi" w:hAnsiTheme="majorBidi" w:cstheme="majorBidi"/>
          <w:szCs w:val="24"/>
          <w:rtl/>
          <w:lang w:bidi="he-IL"/>
        </w:rPr>
        <w:t>מגילת</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המלחמה</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וזמן</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חיבורה</w:t>
      </w:r>
      <w:r w:rsidR="008A72F9" w:rsidRPr="00507985">
        <w:rPr>
          <w:rFonts w:asciiTheme="majorBidi" w:hAnsiTheme="majorBidi" w:cstheme="majorBidi"/>
          <w:szCs w:val="24"/>
          <w:rtl/>
        </w:rPr>
        <w:t>"</w:t>
      </w:r>
      <w:r w:rsidR="008A72F9" w:rsidRPr="00507985">
        <w:rPr>
          <w:rFonts w:asciiTheme="majorBidi" w:hAnsiTheme="majorBidi" w:cstheme="majorBidi"/>
          <w:szCs w:val="24"/>
        </w:rPr>
        <w:t xml:space="preserve"> </w:t>
      </w:r>
      <w:r w:rsidR="008A72F9" w:rsidRPr="00507985">
        <w:rPr>
          <w:rFonts w:asciiTheme="majorBidi" w:hAnsiTheme="majorBidi" w:cstheme="majorBidi"/>
          <w:szCs w:val="24"/>
          <w:lang w:bidi="he-IL"/>
        </w:rPr>
        <w:t>i</w:t>
      </w:r>
      <w:r w:rsidR="008A72F9" w:rsidRPr="00507985">
        <w:rPr>
          <w:rFonts w:asciiTheme="majorBidi" w:hAnsiTheme="majorBidi" w:cstheme="majorBidi"/>
          <w:szCs w:val="24"/>
        </w:rPr>
        <w:t xml:space="preserve">n </w:t>
      </w:r>
      <w:r w:rsidR="008A72F9" w:rsidRPr="00507985">
        <w:rPr>
          <w:rFonts w:asciiTheme="majorBidi" w:hAnsiTheme="majorBidi" w:cstheme="majorBidi"/>
          <w:szCs w:val="24"/>
          <w:shd w:val="clear" w:color="auto" w:fill="FFFFFF"/>
        </w:rPr>
        <w:t>Chaim Rabin, Yigael Yadin, and Jacob Licht, eds.,</w:t>
      </w:r>
      <w:r w:rsidR="008A72F9" w:rsidRPr="00507985">
        <w:rPr>
          <w:rFonts w:asciiTheme="majorBidi" w:hAnsiTheme="majorBidi" w:cstheme="majorBidi"/>
          <w:szCs w:val="24"/>
        </w:rPr>
        <w:t xml:space="preserve"> </w:t>
      </w:r>
      <w:r w:rsidR="008A72F9" w:rsidRPr="00507985">
        <w:rPr>
          <w:rFonts w:asciiTheme="majorBidi" w:hAnsiTheme="majorBidi" w:cstheme="majorBidi"/>
          <w:szCs w:val="24"/>
          <w:rtl/>
          <w:lang w:bidi="he-IL"/>
        </w:rPr>
        <w:t>מחקרים</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במגילות</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הגנוזות</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ספר</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זכרון</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לאליעזר</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ליפא</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סוקניק</w:t>
      </w:r>
      <w:r w:rsidR="008A72F9" w:rsidRPr="00507985">
        <w:rPr>
          <w:rFonts w:asciiTheme="majorBidi" w:hAnsiTheme="majorBidi" w:cstheme="majorBidi"/>
          <w:szCs w:val="24"/>
          <w:shd w:val="clear" w:color="auto" w:fill="FFFFFF"/>
        </w:rPr>
        <w:t xml:space="preserve"> (Jerusalem: Shrine of the Book, (Hebrew), 11</w:t>
      </w:r>
      <w:r w:rsidR="008A72F9" w:rsidRPr="00507985">
        <w:rPr>
          <w:rFonts w:asciiTheme="majorBidi" w:hAnsiTheme="majorBidi" w:cstheme="majorBidi"/>
          <w:szCs w:val="24"/>
        </w:rPr>
        <w:t>–</w:t>
      </w:r>
      <w:r w:rsidR="008A72F9" w:rsidRPr="00507985">
        <w:rPr>
          <w:rFonts w:asciiTheme="majorBidi" w:hAnsiTheme="majorBidi" w:cstheme="majorBidi"/>
          <w:szCs w:val="24"/>
          <w:shd w:val="clear" w:color="auto" w:fill="FFFFFF"/>
        </w:rPr>
        <w:t>18, at 11;</w:t>
      </w:r>
      <w:r w:rsidR="008A72F9" w:rsidRPr="00507985">
        <w:rPr>
          <w:rFonts w:asciiTheme="majorBidi" w:hAnsiTheme="majorBidi" w:cstheme="majorBidi"/>
          <w:szCs w:val="24"/>
        </w:rPr>
        <w:t xml:space="preserve"> Yadin, </w:t>
      </w:r>
      <w:r w:rsidR="008A72F9" w:rsidRPr="00507985">
        <w:rPr>
          <w:rFonts w:asciiTheme="majorBidi" w:hAnsiTheme="majorBidi" w:cstheme="majorBidi"/>
          <w:i/>
          <w:iCs/>
          <w:szCs w:val="24"/>
        </w:rPr>
        <w:t>The Scroll of the War</w:t>
      </w:r>
      <w:r w:rsidR="008A72F9" w:rsidRPr="00507985">
        <w:rPr>
          <w:rFonts w:asciiTheme="majorBidi" w:hAnsiTheme="majorBidi" w:cstheme="majorBidi"/>
          <w:szCs w:val="24"/>
        </w:rPr>
        <w:t>, 101;</w:t>
      </w:r>
      <w:r w:rsidR="008A72F9" w:rsidRPr="00507985">
        <w:rPr>
          <w:rFonts w:asciiTheme="majorBidi" w:hAnsiTheme="majorBidi" w:cstheme="majorBidi"/>
          <w:szCs w:val="24"/>
          <w:shd w:val="clear" w:color="auto" w:fill="FFFFFF"/>
        </w:rPr>
        <w:t xml:space="preserve"> </w:t>
      </w:r>
      <w:r w:rsidR="008A72F9" w:rsidRPr="00507985">
        <w:rPr>
          <w:rFonts w:asciiTheme="majorBidi" w:hAnsiTheme="majorBidi" w:cstheme="majorBidi"/>
          <w:szCs w:val="24"/>
        </w:rPr>
        <w:t xml:space="preserve">Dean O. Wenthe, “The Use of the Hebrew Scriptures in 1QM,” </w:t>
      </w:r>
      <w:r w:rsidR="008A72F9" w:rsidRPr="00507985">
        <w:rPr>
          <w:rFonts w:asciiTheme="majorBidi" w:hAnsiTheme="majorBidi" w:cstheme="majorBidi"/>
          <w:i/>
          <w:iCs/>
          <w:szCs w:val="24"/>
        </w:rPr>
        <w:t>DSD</w:t>
      </w:r>
      <w:r w:rsidR="008A72F9" w:rsidRPr="00507985">
        <w:rPr>
          <w:rFonts w:asciiTheme="majorBidi" w:hAnsiTheme="majorBidi" w:cstheme="majorBidi"/>
          <w:szCs w:val="24"/>
        </w:rPr>
        <w:t xml:space="preserve"> 5 (1998): 290–319, at 306; </w:t>
      </w:r>
      <w:r w:rsidR="008A72F9" w:rsidRPr="00507985">
        <w:rPr>
          <w:rFonts w:asciiTheme="majorBidi" w:hAnsiTheme="majorBidi" w:cstheme="majorBidi"/>
          <w:szCs w:val="24"/>
          <w:shd w:val="clear" w:color="auto" w:fill="FFFFFF"/>
        </w:rPr>
        <w:t xml:space="preserve">Israel Shatzman, </w:t>
      </w:r>
      <w:r w:rsidR="008A72F9" w:rsidRPr="00507985">
        <w:rPr>
          <w:rFonts w:asciiTheme="majorBidi" w:hAnsiTheme="majorBidi" w:cstheme="majorBidi"/>
          <w:szCs w:val="24"/>
          <w:rtl/>
        </w:rPr>
        <w:t>"</w:t>
      </w:r>
      <w:r w:rsidR="008A72F9" w:rsidRPr="00507985">
        <w:rPr>
          <w:rFonts w:asciiTheme="majorBidi" w:hAnsiTheme="majorBidi" w:cstheme="majorBidi"/>
          <w:szCs w:val="24"/>
          <w:rtl/>
          <w:lang w:bidi="he-IL"/>
        </w:rPr>
        <w:t>,מגילת</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מלחמת</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בני</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אור</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בבני</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חושך</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היבטים</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צבאיים</w:t>
      </w:r>
      <w:r w:rsidR="008A72F9" w:rsidRPr="00507985">
        <w:rPr>
          <w:rFonts w:asciiTheme="majorBidi" w:hAnsiTheme="majorBidi" w:cstheme="majorBidi"/>
          <w:szCs w:val="24"/>
          <w:rtl/>
        </w:rPr>
        <w:t>"</w:t>
      </w:r>
      <w:r w:rsidR="008A72F9" w:rsidRPr="00507985">
        <w:rPr>
          <w:rFonts w:asciiTheme="majorBidi" w:hAnsiTheme="majorBidi" w:cstheme="majorBidi"/>
          <w:szCs w:val="24"/>
          <w:shd w:val="clear" w:color="auto" w:fill="FFFFFF"/>
        </w:rPr>
        <w:t xml:space="preserve"> in Kister, </w:t>
      </w:r>
      <w:r w:rsidR="008A72F9" w:rsidRPr="00507985">
        <w:rPr>
          <w:rFonts w:asciiTheme="majorBidi" w:hAnsiTheme="majorBidi" w:cstheme="majorBidi"/>
          <w:szCs w:val="24"/>
          <w:rtl/>
          <w:lang w:bidi="he-IL"/>
        </w:rPr>
        <w:t>מגילות</w:t>
      </w:r>
      <w:r w:rsidR="008A72F9" w:rsidRPr="00507985">
        <w:rPr>
          <w:rFonts w:asciiTheme="majorBidi" w:hAnsiTheme="majorBidi" w:cstheme="majorBidi"/>
          <w:szCs w:val="24"/>
          <w:rtl/>
        </w:rPr>
        <w:t xml:space="preserve"> </w:t>
      </w:r>
      <w:r w:rsidR="008A72F9" w:rsidRPr="00507985">
        <w:rPr>
          <w:rFonts w:asciiTheme="majorBidi" w:hAnsiTheme="majorBidi" w:cstheme="majorBidi"/>
          <w:szCs w:val="24"/>
          <w:rtl/>
          <w:lang w:bidi="he-IL"/>
        </w:rPr>
        <w:t>קומראן</w:t>
      </w:r>
      <w:r w:rsidR="008A72F9" w:rsidRPr="00507985">
        <w:rPr>
          <w:rFonts w:asciiTheme="majorBidi" w:hAnsiTheme="majorBidi" w:cstheme="majorBidi"/>
          <w:szCs w:val="24"/>
          <w:shd w:val="clear" w:color="auto" w:fill="FFFFFF"/>
        </w:rPr>
        <w:t>, 1:341</w:t>
      </w:r>
      <w:r w:rsidR="008A72F9" w:rsidRPr="00507985">
        <w:rPr>
          <w:rFonts w:asciiTheme="majorBidi" w:hAnsiTheme="majorBidi" w:cstheme="majorBidi"/>
          <w:szCs w:val="24"/>
        </w:rPr>
        <w:t>–</w:t>
      </w:r>
      <w:r w:rsidR="008A72F9" w:rsidRPr="00507985">
        <w:rPr>
          <w:rFonts w:asciiTheme="majorBidi" w:hAnsiTheme="majorBidi" w:cstheme="majorBidi"/>
          <w:szCs w:val="24"/>
          <w:shd w:val="clear" w:color="auto" w:fill="FFFFFF"/>
        </w:rPr>
        <w:t>83, at 368</w:t>
      </w:r>
      <w:r w:rsidR="008A72F9" w:rsidRPr="00507985">
        <w:rPr>
          <w:rFonts w:asciiTheme="majorBidi" w:hAnsiTheme="majorBidi" w:cstheme="majorBidi"/>
          <w:szCs w:val="24"/>
        </w:rPr>
        <w:t xml:space="preserve">; Schultz, </w:t>
      </w:r>
      <w:r w:rsidR="008A72F9" w:rsidRPr="00507985">
        <w:rPr>
          <w:rFonts w:asciiTheme="majorBidi" w:hAnsiTheme="majorBidi" w:cstheme="majorBidi"/>
          <w:i/>
          <w:iCs/>
          <w:szCs w:val="24"/>
        </w:rPr>
        <w:t>Conquering the World,</w:t>
      </w:r>
      <w:r w:rsidR="008A72F9" w:rsidRPr="00507985">
        <w:rPr>
          <w:rFonts w:asciiTheme="majorBidi" w:hAnsiTheme="majorBidi" w:cstheme="majorBidi"/>
          <w:szCs w:val="24"/>
        </w:rPr>
        <w:t xml:space="preserve"> 346.</w:t>
      </w:r>
    </w:p>
  </w:footnote>
  <w:footnote w:id="16">
    <w:p w14:paraId="26D423B6" w14:textId="528C2A19" w:rsidR="00013755" w:rsidRPr="00507985" w:rsidRDefault="00013755">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w:t>
      </w:r>
      <w:r w:rsidR="00AC23FF" w:rsidRPr="00507985">
        <w:rPr>
          <w:rFonts w:asciiTheme="majorBidi" w:hAnsiTheme="majorBidi" w:cstheme="majorBidi"/>
          <w:szCs w:val="24"/>
        </w:rPr>
        <w:t>Menahem M. Kasher</w:t>
      </w:r>
      <w:r w:rsidR="00DF3052" w:rsidRPr="00507985">
        <w:rPr>
          <w:rFonts w:asciiTheme="majorBidi" w:hAnsiTheme="majorBidi" w:cstheme="majorBidi"/>
          <w:szCs w:val="24"/>
        </w:rPr>
        <w:t xml:space="preserve">, </w:t>
      </w:r>
      <w:r w:rsidR="009F4CAB" w:rsidRPr="00507985">
        <w:rPr>
          <w:rFonts w:asciiTheme="majorBidi" w:hAnsiTheme="majorBidi" w:cstheme="majorBidi"/>
          <w:szCs w:val="24"/>
          <w:rtl/>
        </w:rPr>
        <w:t>"</w:t>
      </w:r>
      <w:r w:rsidR="0047363E" w:rsidRPr="00507985">
        <w:rPr>
          <w:rFonts w:asciiTheme="majorBidi" w:hAnsiTheme="majorBidi" w:cstheme="majorBidi"/>
          <w:szCs w:val="24"/>
          <w:rtl/>
        </w:rPr>
        <w:t>,</w:t>
      </w:r>
      <w:r w:rsidR="009F4CAB" w:rsidRPr="00507985">
        <w:rPr>
          <w:rFonts w:asciiTheme="majorBidi" w:hAnsiTheme="majorBidi" w:cstheme="majorBidi"/>
          <w:szCs w:val="24"/>
          <w:rtl/>
          <w:lang w:bidi="he-IL"/>
        </w:rPr>
        <w:t>חוות</w:t>
      </w:r>
      <w:r w:rsidR="009F4CAB" w:rsidRPr="00507985">
        <w:rPr>
          <w:rFonts w:asciiTheme="majorBidi" w:hAnsiTheme="majorBidi" w:cstheme="majorBidi"/>
          <w:szCs w:val="24"/>
          <w:rtl/>
        </w:rPr>
        <w:t xml:space="preserve"> </w:t>
      </w:r>
      <w:r w:rsidR="009F4CAB" w:rsidRPr="00507985">
        <w:rPr>
          <w:rFonts w:asciiTheme="majorBidi" w:hAnsiTheme="majorBidi" w:cstheme="majorBidi"/>
          <w:szCs w:val="24"/>
          <w:rtl/>
          <w:lang w:bidi="he-IL"/>
        </w:rPr>
        <w:t>דעת</w:t>
      </w:r>
      <w:r w:rsidR="009F4CAB" w:rsidRPr="00507985">
        <w:rPr>
          <w:rFonts w:asciiTheme="majorBidi" w:hAnsiTheme="majorBidi" w:cstheme="majorBidi"/>
          <w:szCs w:val="24"/>
          <w:rtl/>
        </w:rPr>
        <w:t xml:space="preserve"> </w:t>
      </w:r>
      <w:r w:rsidR="009F4CAB" w:rsidRPr="00507985">
        <w:rPr>
          <w:rFonts w:asciiTheme="majorBidi" w:hAnsiTheme="majorBidi" w:cstheme="majorBidi"/>
          <w:szCs w:val="24"/>
          <w:rtl/>
          <w:lang w:bidi="he-IL"/>
        </w:rPr>
        <w:t>על</w:t>
      </w:r>
      <w:r w:rsidR="009F4CAB" w:rsidRPr="00507985">
        <w:rPr>
          <w:rFonts w:asciiTheme="majorBidi" w:hAnsiTheme="majorBidi" w:cstheme="majorBidi"/>
          <w:szCs w:val="24"/>
          <w:rtl/>
        </w:rPr>
        <w:t xml:space="preserve"> </w:t>
      </w:r>
      <w:r w:rsidR="009F4CAB" w:rsidRPr="00507985">
        <w:rPr>
          <w:rFonts w:asciiTheme="majorBidi" w:hAnsiTheme="majorBidi" w:cstheme="majorBidi"/>
          <w:szCs w:val="24"/>
          <w:rtl/>
          <w:lang w:bidi="he-IL"/>
        </w:rPr>
        <w:t>דבר</w:t>
      </w:r>
      <w:r w:rsidR="009F4CAB" w:rsidRPr="00507985">
        <w:rPr>
          <w:rFonts w:asciiTheme="majorBidi" w:hAnsiTheme="majorBidi" w:cstheme="majorBidi"/>
          <w:szCs w:val="24"/>
          <w:rtl/>
        </w:rPr>
        <w:t xml:space="preserve"> </w:t>
      </w:r>
      <w:r w:rsidR="009F4CAB" w:rsidRPr="00507985">
        <w:rPr>
          <w:rFonts w:asciiTheme="majorBidi" w:hAnsiTheme="majorBidi" w:cstheme="majorBidi"/>
          <w:szCs w:val="24"/>
          <w:rtl/>
          <w:lang w:bidi="he-IL"/>
        </w:rPr>
        <w:t>המגילות</w:t>
      </w:r>
      <w:r w:rsidR="009F4CAB" w:rsidRPr="00507985">
        <w:rPr>
          <w:rFonts w:asciiTheme="majorBidi" w:hAnsiTheme="majorBidi" w:cstheme="majorBidi"/>
          <w:szCs w:val="24"/>
          <w:rtl/>
        </w:rPr>
        <w:t xml:space="preserve"> </w:t>
      </w:r>
      <w:r w:rsidR="009F4CAB" w:rsidRPr="00507985">
        <w:rPr>
          <w:rFonts w:asciiTheme="majorBidi" w:hAnsiTheme="majorBidi" w:cstheme="majorBidi"/>
          <w:szCs w:val="24"/>
          <w:rtl/>
          <w:lang w:bidi="he-IL"/>
        </w:rPr>
        <w:t>הגנוזות</w:t>
      </w:r>
      <w:r w:rsidR="009F4CAB" w:rsidRPr="00507985">
        <w:rPr>
          <w:rFonts w:asciiTheme="majorBidi" w:hAnsiTheme="majorBidi" w:cstheme="majorBidi"/>
          <w:szCs w:val="24"/>
          <w:rtl/>
        </w:rPr>
        <w:t>"</w:t>
      </w:r>
      <w:r w:rsidR="00AC23FF" w:rsidRPr="00507985">
        <w:rPr>
          <w:rFonts w:asciiTheme="majorBidi" w:hAnsiTheme="majorBidi" w:cstheme="majorBidi"/>
          <w:szCs w:val="24"/>
        </w:rPr>
        <w:t xml:space="preserve"> </w:t>
      </w:r>
      <w:r w:rsidR="00AC23FF" w:rsidRPr="00507985">
        <w:rPr>
          <w:rFonts w:asciiTheme="majorBidi" w:hAnsiTheme="majorBidi" w:cstheme="majorBidi"/>
          <w:i/>
          <w:iCs/>
          <w:szCs w:val="24"/>
        </w:rPr>
        <w:t>Talpiot</w:t>
      </w:r>
      <w:r w:rsidR="00AC23FF" w:rsidRPr="00507985">
        <w:rPr>
          <w:rFonts w:asciiTheme="majorBidi" w:hAnsiTheme="majorBidi" w:cstheme="majorBidi"/>
          <w:szCs w:val="24"/>
        </w:rPr>
        <w:t xml:space="preserve"> 4:3</w:t>
      </w:r>
      <w:r w:rsidR="006E28BB" w:rsidRPr="00507985">
        <w:rPr>
          <w:rFonts w:asciiTheme="majorBidi" w:hAnsiTheme="majorBidi" w:cstheme="majorBidi"/>
          <w:szCs w:val="24"/>
        </w:rPr>
        <w:t>–</w:t>
      </w:r>
      <w:r w:rsidR="00AC23FF" w:rsidRPr="00507985">
        <w:rPr>
          <w:rFonts w:asciiTheme="majorBidi" w:hAnsiTheme="majorBidi" w:cstheme="majorBidi"/>
          <w:szCs w:val="24"/>
        </w:rPr>
        <w:t>4 (1950): 677</w:t>
      </w:r>
      <w:r w:rsidR="009F4CAB" w:rsidRPr="00507985">
        <w:rPr>
          <w:rFonts w:asciiTheme="majorBidi" w:hAnsiTheme="majorBidi" w:cstheme="majorBidi"/>
          <w:szCs w:val="24"/>
          <w:rtl/>
        </w:rPr>
        <w:t>–</w:t>
      </w:r>
      <w:r w:rsidR="00AC23FF" w:rsidRPr="00507985">
        <w:rPr>
          <w:rFonts w:asciiTheme="majorBidi" w:hAnsiTheme="majorBidi" w:cstheme="majorBidi"/>
          <w:szCs w:val="24"/>
        </w:rPr>
        <w:t>91, at 681</w:t>
      </w:r>
      <w:r w:rsidR="00AC23FF" w:rsidRPr="00507985">
        <w:rPr>
          <w:rFonts w:asciiTheme="majorBidi" w:hAnsiTheme="majorBidi" w:cstheme="majorBidi"/>
          <w:szCs w:val="24"/>
          <w:rtl/>
        </w:rPr>
        <w:t>–</w:t>
      </w:r>
      <w:r w:rsidR="00AC23FF" w:rsidRPr="00507985">
        <w:rPr>
          <w:rFonts w:asciiTheme="majorBidi" w:hAnsiTheme="majorBidi" w:cstheme="majorBidi"/>
          <w:szCs w:val="24"/>
        </w:rPr>
        <w:t>82</w:t>
      </w:r>
      <w:r w:rsidR="009F4CAB" w:rsidRPr="00507985">
        <w:rPr>
          <w:rFonts w:asciiTheme="majorBidi" w:hAnsiTheme="majorBidi" w:cstheme="majorBidi"/>
          <w:szCs w:val="24"/>
        </w:rPr>
        <w:t xml:space="preserve">. </w:t>
      </w:r>
      <w:r w:rsidR="00AC23FF" w:rsidRPr="00507985">
        <w:rPr>
          <w:rFonts w:asciiTheme="majorBidi" w:hAnsiTheme="majorBidi" w:cstheme="majorBidi"/>
          <w:szCs w:val="24"/>
        </w:rPr>
        <w:t xml:space="preserve">On the meaning of various musical terms related to trumpets and </w:t>
      </w:r>
      <w:r w:rsidR="00AC19C4" w:rsidRPr="00507985">
        <w:rPr>
          <w:rFonts w:asciiTheme="majorBidi" w:hAnsiTheme="majorBidi" w:cstheme="majorBidi"/>
          <w:szCs w:val="24"/>
        </w:rPr>
        <w:t>shofarot</w:t>
      </w:r>
      <w:r w:rsidR="00AC23FF" w:rsidRPr="00507985">
        <w:rPr>
          <w:rFonts w:asciiTheme="majorBidi" w:hAnsiTheme="majorBidi" w:cstheme="majorBidi"/>
          <w:szCs w:val="24"/>
        </w:rPr>
        <w:t xml:space="preserve"> found in rabbinic literature</w:t>
      </w:r>
      <w:r w:rsidR="00911C45" w:rsidRPr="00507985">
        <w:rPr>
          <w:rFonts w:asciiTheme="majorBidi" w:hAnsiTheme="majorBidi" w:cstheme="majorBidi"/>
          <w:szCs w:val="24"/>
        </w:rPr>
        <w:t xml:space="preserve"> (</w:t>
      </w:r>
      <w:r w:rsidR="00911C45" w:rsidRPr="00507985">
        <w:rPr>
          <w:rFonts w:asciiTheme="majorBidi" w:hAnsiTheme="majorBidi" w:cstheme="majorBidi" w:hint="eastAsia"/>
          <w:szCs w:val="24"/>
          <w:rtl/>
          <w:lang w:bidi="he-IL"/>
        </w:rPr>
        <w:t>תקיעה</w:t>
      </w:r>
      <w:r w:rsidR="00911C45" w:rsidRPr="00507985">
        <w:rPr>
          <w:rFonts w:asciiTheme="majorBidi" w:hAnsiTheme="majorBidi" w:cstheme="majorBidi"/>
          <w:szCs w:val="24"/>
          <w:rtl/>
          <w:lang w:bidi="he-IL"/>
        </w:rPr>
        <w:t xml:space="preserve">, </w:t>
      </w:r>
      <w:r w:rsidR="00911C45" w:rsidRPr="00507985">
        <w:rPr>
          <w:rFonts w:asciiTheme="majorBidi" w:hAnsiTheme="majorBidi" w:cstheme="majorBidi" w:hint="eastAsia"/>
          <w:szCs w:val="24"/>
          <w:rtl/>
          <w:lang w:bidi="he-IL"/>
        </w:rPr>
        <w:t>תרועה</w:t>
      </w:r>
      <w:r w:rsidR="00911C45" w:rsidRPr="00507985">
        <w:rPr>
          <w:rFonts w:asciiTheme="majorBidi" w:hAnsiTheme="majorBidi" w:cstheme="majorBidi"/>
          <w:szCs w:val="24"/>
          <w:rtl/>
          <w:lang w:bidi="he-IL"/>
        </w:rPr>
        <w:t xml:space="preserve">, </w:t>
      </w:r>
      <w:r w:rsidR="00911C45" w:rsidRPr="00507985">
        <w:rPr>
          <w:rFonts w:asciiTheme="majorBidi" w:hAnsiTheme="majorBidi" w:cstheme="majorBidi" w:hint="eastAsia"/>
          <w:szCs w:val="24"/>
          <w:rtl/>
          <w:lang w:bidi="he-IL"/>
        </w:rPr>
        <w:t>שברים</w:t>
      </w:r>
      <w:r w:rsidR="00911C45" w:rsidRPr="00507985">
        <w:rPr>
          <w:rFonts w:asciiTheme="majorBidi" w:hAnsiTheme="majorBidi" w:cstheme="majorBidi"/>
          <w:szCs w:val="24"/>
          <w:rtl/>
          <w:lang w:bidi="he-IL"/>
        </w:rPr>
        <w:t xml:space="preserve">, </w:t>
      </w:r>
      <w:r w:rsidR="00911C45" w:rsidRPr="00507985">
        <w:rPr>
          <w:rFonts w:asciiTheme="majorBidi" w:hAnsiTheme="majorBidi" w:cstheme="majorBidi" w:hint="eastAsia"/>
          <w:szCs w:val="24"/>
          <w:rtl/>
          <w:lang w:bidi="he-IL"/>
        </w:rPr>
        <w:t>יבבה</w:t>
      </w:r>
      <w:r w:rsidR="00911C45" w:rsidRPr="00507985">
        <w:rPr>
          <w:rFonts w:asciiTheme="majorBidi" w:hAnsiTheme="majorBidi" w:cstheme="majorBidi"/>
          <w:szCs w:val="24"/>
          <w:rtl/>
          <w:lang w:bidi="he-IL"/>
        </w:rPr>
        <w:t xml:space="preserve">, </w:t>
      </w:r>
      <w:r w:rsidR="00911C45" w:rsidRPr="00507985">
        <w:rPr>
          <w:rFonts w:asciiTheme="majorBidi" w:hAnsiTheme="majorBidi" w:cstheme="majorBidi" w:hint="eastAsia"/>
          <w:szCs w:val="24"/>
          <w:rtl/>
          <w:lang w:bidi="he-IL"/>
        </w:rPr>
        <w:t>יללה</w:t>
      </w:r>
      <w:r w:rsidR="00911C45" w:rsidRPr="00507985">
        <w:rPr>
          <w:rFonts w:asciiTheme="majorBidi" w:hAnsiTheme="majorBidi" w:cstheme="majorBidi"/>
          <w:szCs w:val="24"/>
          <w:lang w:bidi="he-IL"/>
        </w:rPr>
        <w:t>)</w:t>
      </w:r>
      <w:r w:rsidR="00AC23FF" w:rsidRPr="00507985">
        <w:rPr>
          <w:rFonts w:asciiTheme="majorBidi" w:hAnsiTheme="majorBidi" w:cstheme="majorBidi"/>
          <w:szCs w:val="24"/>
        </w:rPr>
        <w:t xml:space="preserve">, see </w:t>
      </w:r>
      <w:r w:rsidR="00A349BA" w:rsidRPr="00507985">
        <w:rPr>
          <w:rFonts w:asciiTheme="majorBidi" w:hAnsiTheme="majorBidi" w:cstheme="majorBidi"/>
          <w:szCs w:val="24"/>
        </w:rPr>
        <w:t>Piamenta, “</w:t>
      </w:r>
      <w:r w:rsidR="00A349BA" w:rsidRPr="00507985">
        <w:rPr>
          <w:rFonts w:asciiTheme="majorBidi" w:hAnsiTheme="majorBidi" w:cstheme="majorBidi" w:hint="eastAsia"/>
          <w:szCs w:val="24"/>
          <w:rtl/>
          <w:lang w:bidi="he-IL"/>
        </w:rPr>
        <w:t>החצוצרה</w:t>
      </w:r>
      <w:r w:rsidR="00A349BA" w:rsidRPr="00507985">
        <w:rPr>
          <w:rFonts w:asciiTheme="majorBidi" w:hAnsiTheme="majorBidi" w:cstheme="majorBidi"/>
          <w:szCs w:val="24"/>
          <w:lang w:bidi="he-IL"/>
        </w:rPr>
        <w:t>,</w:t>
      </w:r>
      <w:r w:rsidR="00A349BA" w:rsidRPr="00507985">
        <w:rPr>
          <w:rFonts w:asciiTheme="majorBidi" w:hAnsiTheme="majorBidi" w:cstheme="majorBidi"/>
          <w:szCs w:val="24"/>
        </w:rPr>
        <w:t>”</w:t>
      </w:r>
      <w:r w:rsidR="00A349BA" w:rsidRPr="00507985">
        <w:rPr>
          <w:rFonts w:asciiTheme="majorBidi" w:hAnsiTheme="majorBidi" w:cstheme="majorBidi"/>
          <w:szCs w:val="24"/>
          <w:lang w:bidi="he-IL"/>
        </w:rPr>
        <w:t xml:space="preserve"> </w:t>
      </w:r>
      <w:r w:rsidR="00AC23FF" w:rsidRPr="00507985">
        <w:rPr>
          <w:rFonts w:asciiTheme="majorBidi" w:hAnsiTheme="majorBidi" w:cstheme="majorBidi"/>
          <w:szCs w:val="24"/>
        </w:rPr>
        <w:t>239</w:t>
      </w:r>
      <w:r w:rsidR="00AC23FF" w:rsidRPr="00507985">
        <w:rPr>
          <w:rFonts w:asciiTheme="majorBidi" w:hAnsiTheme="majorBidi" w:cstheme="majorBidi"/>
          <w:szCs w:val="24"/>
          <w:rtl/>
        </w:rPr>
        <w:t>–</w:t>
      </w:r>
      <w:r w:rsidR="00AC23FF" w:rsidRPr="00507985">
        <w:rPr>
          <w:rFonts w:asciiTheme="majorBidi" w:hAnsiTheme="majorBidi" w:cstheme="majorBidi"/>
          <w:szCs w:val="24"/>
        </w:rPr>
        <w:t>45.</w:t>
      </w:r>
    </w:p>
  </w:footnote>
  <w:footnote w:id="17">
    <w:p w14:paraId="2A2CF1B8" w14:textId="66DE7A00" w:rsidR="00FA3C4C" w:rsidRPr="00507985" w:rsidRDefault="005F372F" w:rsidP="00507985">
      <w:pPr>
        <w:pStyle w:val="FootnoteText"/>
        <w:rPr>
          <w:rFonts w:asciiTheme="majorBidi" w:hAnsiTheme="majorBidi" w:cstheme="majorBidi"/>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w:t>
      </w:r>
      <w:r w:rsidR="00BD5251" w:rsidRPr="00507985">
        <w:rPr>
          <w:rFonts w:asciiTheme="majorBidi" w:hAnsiTheme="majorBidi" w:cstheme="majorBidi"/>
          <w:szCs w:val="24"/>
        </w:rPr>
        <w:t xml:space="preserve">As described </w:t>
      </w:r>
      <w:r w:rsidR="00FA3C4C" w:rsidRPr="00507985">
        <w:rPr>
          <w:rFonts w:asciiTheme="majorBidi" w:hAnsiTheme="majorBidi" w:cstheme="majorBidi"/>
          <w:szCs w:val="24"/>
        </w:rPr>
        <w:t>in the discussion of the terminology</w:t>
      </w:r>
      <w:r w:rsidR="00BD5251" w:rsidRPr="00507985">
        <w:rPr>
          <w:rFonts w:asciiTheme="majorBidi" w:hAnsiTheme="majorBidi" w:cstheme="majorBidi"/>
          <w:szCs w:val="24"/>
        </w:rPr>
        <w:t xml:space="preserve">, the meaning of the musical terms in 1QM </w:t>
      </w:r>
      <w:r w:rsidR="00A602FA" w:rsidRPr="00507985">
        <w:rPr>
          <w:rFonts w:asciiTheme="majorBidi" w:hAnsiTheme="majorBidi" w:cstheme="majorBidi"/>
          <w:szCs w:val="24"/>
        </w:rPr>
        <w:t xml:space="preserve">has been the subject of extensive scholarship </w:t>
      </w:r>
      <w:r w:rsidR="00BD5251" w:rsidRPr="00507985">
        <w:rPr>
          <w:rFonts w:asciiTheme="majorBidi" w:hAnsiTheme="majorBidi" w:cstheme="majorBidi"/>
          <w:szCs w:val="24"/>
        </w:rPr>
        <w:t>by specialists in Qumran studies and ancient Judaism</w:t>
      </w:r>
      <w:r w:rsidR="00514CAB" w:rsidRPr="00507985">
        <w:rPr>
          <w:rFonts w:asciiTheme="majorBidi" w:hAnsiTheme="majorBidi" w:cstheme="majorBidi"/>
          <w:szCs w:val="24"/>
        </w:rPr>
        <w:t>. So</w:t>
      </w:r>
      <w:r w:rsidR="00A602FA" w:rsidRPr="00507985">
        <w:rPr>
          <w:rFonts w:asciiTheme="majorBidi" w:hAnsiTheme="majorBidi" w:cstheme="majorBidi"/>
          <w:szCs w:val="24"/>
        </w:rPr>
        <w:t xml:space="preserve">me of </w:t>
      </w:r>
      <w:r w:rsidR="00514CAB" w:rsidRPr="00507985">
        <w:rPr>
          <w:rFonts w:asciiTheme="majorBidi" w:hAnsiTheme="majorBidi" w:cstheme="majorBidi"/>
          <w:szCs w:val="24"/>
        </w:rPr>
        <w:t xml:space="preserve">this research </w:t>
      </w:r>
      <w:r w:rsidR="00BD5251" w:rsidRPr="00507985">
        <w:rPr>
          <w:rFonts w:asciiTheme="majorBidi" w:hAnsiTheme="majorBidi" w:cstheme="majorBidi"/>
          <w:szCs w:val="24"/>
        </w:rPr>
        <w:t xml:space="preserve">is marred by anachronism and lack of precision from a musical perspective. </w:t>
      </w:r>
      <w:r w:rsidR="00741974" w:rsidRPr="00507985">
        <w:rPr>
          <w:rFonts w:asciiTheme="majorBidi" w:hAnsiTheme="majorBidi" w:cstheme="majorBidi"/>
          <w:szCs w:val="24"/>
        </w:rPr>
        <w:t xml:space="preserve">See, for example, </w:t>
      </w:r>
      <w:r w:rsidR="00FA3C4C" w:rsidRPr="00507985">
        <w:rPr>
          <w:rFonts w:asciiTheme="majorBidi" w:hAnsiTheme="majorBidi" w:cstheme="majorBidi"/>
          <w:szCs w:val="24"/>
        </w:rPr>
        <w:t xml:space="preserve">E.L. Sukenik, </w:t>
      </w:r>
      <w:r w:rsidR="00FA3C4C" w:rsidRPr="00507985">
        <w:rPr>
          <w:rFonts w:asciiTheme="majorBidi" w:hAnsiTheme="majorBidi" w:cstheme="majorBidi"/>
          <w:szCs w:val="24"/>
          <w:rtl/>
          <w:lang w:bidi="he-IL"/>
        </w:rPr>
        <w:t>מגילות</w:t>
      </w:r>
      <w:r w:rsidR="00FA3C4C" w:rsidRPr="00507985">
        <w:rPr>
          <w:rFonts w:asciiTheme="majorBidi" w:hAnsiTheme="majorBidi" w:cstheme="majorBidi"/>
          <w:szCs w:val="24"/>
          <w:rtl/>
        </w:rPr>
        <w:t xml:space="preserve"> </w:t>
      </w:r>
      <w:r w:rsidR="00FA3C4C" w:rsidRPr="00507985">
        <w:rPr>
          <w:rFonts w:asciiTheme="majorBidi" w:hAnsiTheme="majorBidi" w:cstheme="majorBidi"/>
          <w:szCs w:val="24"/>
          <w:rtl/>
          <w:lang w:bidi="he-IL"/>
        </w:rPr>
        <w:t>גנוזות</w:t>
      </w:r>
      <w:r w:rsidR="00514CAB" w:rsidRPr="00507985">
        <w:rPr>
          <w:rFonts w:asciiTheme="majorBidi" w:hAnsiTheme="majorBidi" w:cstheme="majorBidi"/>
          <w:szCs w:val="24"/>
          <w:rtl/>
          <w:lang w:bidi="he-IL"/>
        </w:rPr>
        <w:t>:</w:t>
      </w:r>
      <w:r w:rsidR="00FA3C4C" w:rsidRPr="00507985">
        <w:rPr>
          <w:rFonts w:asciiTheme="majorBidi" w:hAnsiTheme="majorBidi" w:cstheme="majorBidi"/>
          <w:szCs w:val="24"/>
          <w:rtl/>
        </w:rPr>
        <w:t xml:space="preserve"> </w:t>
      </w:r>
      <w:r w:rsidR="00FA3C4C" w:rsidRPr="00507985">
        <w:rPr>
          <w:rFonts w:asciiTheme="majorBidi" w:hAnsiTheme="majorBidi" w:cstheme="majorBidi"/>
          <w:szCs w:val="24"/>
          <w:rtl/>
          <w:lang w:bidi="he-IL"/>
        </w:rPr>
        <w:t>מתוך</w:t>
      </w:r>
      <w:r w:rsidR="00FA3C4C" w:rsidRPr="00507985">
        <w:rPr>
          <w:rFonts w:asciiTheme="majorBidi" w:hAnsiTheme="majorBidi" w:cstheme="majorBidi"/>
          <w:szCs w:val="24"/>
          <w:rtl/>
        </w:rPr>
        <w:t xml:space="preserve"> </w:t>
      </w:r>
      <w:r w:rsidR="00FA3C4C" w:rsidRPr="00507985">
        <w:rPr>
          <w:rFonts w:asciiTheme="majorBidi" w:hAnsiTheme="majorBidi" w:cstheme="majorBidi"/>
          <w:szCs w:val="24"/>
          <w:rtl/>
          <w:lang w:bidi="he-IL"/>
        </w:rPr>
        <w:t>גניזה</w:t>
      </w:r>
      <w:r w:rsidR="00FA3C4C" w:rsidRPr="00507985">
        <w:rPr>
          <w:rFonts w:asciiTheme="majorBidi" w:hAnsiTheme="majorBidi" w:cstheme="majorBidi"/>
          <w:szCs w:val="24"/>
          <w:rtl/>
        </w:rPr>
        <w:t xml:space="preserve"> </w:t>
      </w:r>
      <w:r w:rsidR="00FA3C4C" w:rsidRPr="00507985">
        <w:rPr>
          <w:rFonts w:asciiTheme="majorBidi" w:hAnsiTheme="majorBidi" w:cstheme="majorBidi"/>
          <w:szCs w:val="24"/>
          <w:rtl/>
          <w:lang w:bidi="he-IL"/>
        </w:rPr>
        <w:t>קדומה</w:t>
      </w:r>
      <w:r w:rsidR="00FA3C4C" w:rsidRPr="00507985">
        <w:rPr>
          <w:rFonts w:asciiTheme="majorBidi" w:hAnsiTheme="majorBidi" w:cstheme="majorBidi"/>
          <w:szCs w:val="24"/>
          <w:rtl/>
        </w:rPr>
        <w:t xml:space="preserve"> </w:t>
      </w:r>
      <w:r w:rsidR="00FA3C4C" w:rsidRPr="00507985">
        <w:rPr>
          <w:rFonts w:asciiTheme="majorBidi" w:hAnsiTheme="majorBidi" w:cstheme="majorBidi"/>
          <w:szCs w:val="24"/>
          <w:rtl/>
          <w:lang w:bidi="he-IL"/>
        </w:rPr>
        <w:t>שנמצאה</w:t>
      </w:r>
      <w:r w:rsidR="00FA3C4C" w:rsidRPr="00507985">
        <w:rPr>
          <w:rFonts w:asciiTheme="majorBidi" w:hAnsiTheme="majorBidi" w:cstheme="majorBidi"/>
          <w:szCs w:val="24"/>
          <w:rtl/>
        </w:rPr>
        <w:t xml:space="preserve"> </w:t>
      </w:r>
      <w:r w:rsidR="00FA3C4C" w:rsidRPr="00507985">
        <w:rPr>
          <w:rFonts w:asciiTheme="majorBidi" w:hAnsiTheme="majorBidi" w:cstheme="majorBidi"/>
          <w:szCs w:val="24"/>
          <w:rtl/>
          <w:lang w:bidi="he-IL"/>
        </w:rPr>
        <w:t>במדבר</w:t>
      </w:r>
      <w:r w:rsidR="00FA3C4C" w:rsidRPr="00507985">
        <w:rPr>
          <w:rFonts w:asciiTheme="majorBidi" w:hAnsiTheme="majorBidi" w:cstheme="majorBidi"/>
          <w:szCs w:val="24"/>
          <w:rtl/>
        </w:rPr>
        <w:t xml:space="preserve"> </w:t>
      </w:r>
      <w:r w:rsidR="00FA3C4C" w:rsidRPr="00507985">
        <w:rPr>
          <w:rFonts w:asciiTheme="majorBidi" w:hAnsiTheme="majorBidi" w:cstheme="majorBidi"/>
          <w:szCs w:val="24"/>
          <w:rtl/>
          <w:lang w:bidi="he-IL"/>
        </w:rPr>
        <w:t>יהודה</w:t>
      </w:r>
      <w:r w:rsidR="00FA3C4C" w:rsidRPr="00507985">
        <w:rPr>
          <w:rFonts w:asciiTheme="majorBidi" w:hAnsiTheme="majorBidi" w:cstheme="majorBidi"/>
          <w:szCs w:val="24"/>
        </w:rPr>
        <w:t xml:space="preserve"> (Jerusalem: Bialik Institute, 1948</w:t>
      </w:r>
      <w:r w:rsidR="009F4CAB" w:rsidRPr="00507985">
        <w:rPr>
          <w:rFonts w:asciiTheme="majorBidi" w:hAnsiTheme="majorBidi" w:cstheme="majorBidi"/>
          <w:szCs w:val="24"/>
        </w:rPr>
        <w:t>)</w:t>
      </w:r>
      <w:r w:rsidR="00FA3C4C" w:rsidRPr="00507985">
        <w:rPr>
          <w:rFonts w:asciiTheme="majorBidi" w:hAnsiTheme="majorBidi" w:cstheme="majorBidi"/>
          <w:szCs w:val="24"/>
        </w:rPr>
        <w:t xml:space="preserve">, 25; H. Yalon, </w:t>
      </w:r>
      <w:r w:rsidR="00FA3C4C" w:rsidRPr="00507985">
        <w:rPr>
          <w:rFonts w:asciiTheme="majorBidi" w:hAnsiTheme="majorBidi" w:cstheme="majorBidi"/>
          <w:szCs w:val="24"/>
          <w:rtl/>
        </w:rPr>
        <w:t>"</w:t>
      </w:r>
      <w:r w:rsidR="00FA3C4C" w:rsidRPr="00507985">
        <w:rPr>
          <w:rFonts w:asciiTheme="majorBidi" w:hAnsiTheme="majorBidi" w:cstheme="majorBidi"/>
          <w:szCs w:val="24"/>
          <w:rtl/>
          <w:lang w:bidi="he-IL"/>
        </w:rPr>
        <w:t>,ללשון</w:t>
      </w:r>
      <w:r w:rsidR="00FA3C4C" w:rsidRPr="00507985">
        <w:rPr>
          <w:rFonts w:asciiTheme="majorBidi" w:hAnsiTheme="majorBidi" w:cstheme="majorBidi"/>
          <w:szCs w:val="24"/>
          <w:rtl/>
        </w:rPr>
        <w:t xml:space="preserve"> </w:t>
      </w:r>
      <w:r w:rsidR="00FA3C4C" w:rsidRPr="00507985">
        <w:rPr>
          <w:rFonts w:asciiTheme="majorBidi" w:hAnsiTheme="majorBidi" w:cstheme="majorBidi"/>
          <w:szCs w:val="24"/>
          <w:rtl/>
          <w:lang w:bidi="he-IL"/>
        </w:rPr>
        <w:t>המגילות</w:t>
      </w:r>
      <w:r w:rsidR="00FA3C4C" w:rsidRPr="00507985">
        <w:rPr>
          <w:rFonts w:asciiTheme="majorBidi" w:hAnsiTheme="majorBidi" w:cstheme="majorBidi"/>
          <w:szCs w:val="24"/>
          <w:rtl/>
        </w:rPr>
        <w:t xml:space="preserve"> </w:t>
      </w:r>
      <w:r w:rsidR="00FA3C4C" w:rsidRPr="00507985">
        <w:rPr>
          <w:rFonts w:asciiTheme="majorBidi" w:hAnsiTheme="majorBidi" w:cstheme="majorBidi"/>
          <w:szCs w:val="24"/>
          <w:rtl/>
          <w:lang w:bidi="he-IL"/>
        </w:rPr>
        <w:t>הגנוזות</w:t>
      </w:r>
      <w:r w:rsidR="00FA3C4C" w:rsidRPr="00507985">
        <w:rPr>
          <w:rFonts w:asciiTheme="majorBidi" w:hAnsiTheme="majorBidi" w:cstheme="majorBidi"/>
          <w:szCs w:val="24"/>
          <w:rtl/>
        </w:rPr>
        <w:t>"</w:t>
      </w:r>
      <w:r w:rsidR="00FA3C4C" w:rsidRPr="00507985">
        <w:rPr>
          <w:rFonts w:asciiTheme="majorBidi" w:hAnsiTheme="majorBidi" w:cstheme="majorBidi"/>
          <w:szCs w:val="24"/>
        </w:rPr>
        <w:t xml:space="preserve"> </w:t>
      </w:r>
      <w:r w:rsidR="00FA3C4C" w:rsidRPr="00507985">
        <w:rPr>
          <w:rFonts w:asciiTheme="majorBidi" w:hAnsiTheme="majorBidi" w:cstheme="majorBidi"/>
          <w:i/>
          <w:iCs/>
          <w:szCs w:val="24"/>
        </w:rPr>
        <w:t xml:space="preserve">Sinai </w:t>
      </w:r>
      <w:r w:rsidR="00FA3C4C" w:rsidRPr="00507985">
        <w:rPr>
          <w:rFonts w:asciiTheme="majorBidi" w:hAnsiTheme="majorBidi" w:cstheme="majorBidi"/>
          <w:szCs w:val="24"/>
        </w:rPr>
        <w:t>26 (1950):</w:t>
      </w:r>
      <w:r w:rsidR="00A602FA" w:rsidRPr="00507985">
        <w:rPr>
          <w:rFonts w:asciiTheme="majorBidi" w:hAnsiTheme="majorBidi" w:cstheme="majorBidi"/>
          <w:szCs w:val="24"/>
        </w:rPr>
        <w:t xml:space="preserve"> 283</w:t>
      </w:r>
      <w:r w:rsidR="009F4CAB" w:rsidRPr="00507985">
        <w:rPr>
          <w:rFonts w:asciiTheme="majorBidi" w:hAnsiTheme="majorBidi" w:cstheme="majorBidi"/>
          <w:szCs w:val="24"/>
          <w:rtl/>
        </w:rPr>
        <w:t>–</w:t>
      </w:r>
      <w:r w:rsidR="00A602FA" w:rsidRPr="00507985">
        <w:rPr>
          <w:rFonts w:asciiTheme="majorBidi" w:hAnsiTheme="majorBidi" w:cstheme="majorBidi"/>
          <w:szCs w:val="24"/>
        </w:rPr>
        <w:t>87</w:t>
      </w:r>
      <w:r w:rsidR="00FA3C4C" w:rsidRPr="00507985">
        <w:rPr>
          <w:rFonts w:asciiTheme="majorBidi" w:hAnsiTheme="majorBidi" w:cstheme="majorBidi"/>
          <w:szCs w:val="24"/>
        </w:rPr>
        <w:t>; Yadin,</w:t>
      </w:r>
      <w:r w:rsidR="00765F6A" w:rsidRPr="00507985">
        <w:rPr>
          <w:rFonts w:asciiTheme="majorBidi" w:hAnsiTheme="majorBidi" w:cstheme="majorBidi"/>
          <w:szCs w:val="24"/>
        </w:rPr>
        <w:t xml:space="preserve"> </w:t>
      </w:r>
      <w:r w:rsidR="00765F6A" w:rsidRPr="00507985">
        <w:rPr>
          <w:rFonts w:asciiTheme="majorBidi" w:hAnsiTheme="majorBidi" w:cstheme="majorBidi"/>
          <w:i/>
          <w:iCs/>
          <w:szCs w:val="24"/>
        </w:rPr>
        <w:t>The Scroll of the War</w:t>
      </w:r>
      <w:r w:rsidR="00765F6A" w:rsidRPr="00507985">
        <w:rPr>
          <w:rFonts w:asciiTheme="majorBidi" w:hAnsiTheme="majorBidi" w:cstheme="majorBidi"/>
          <w:szCs w:val="24"/>
        </w:rPr>
        <w:t>, 103–104</w:t>
      </w:r>
      <w:r w:rsidR="00FA3C4C" w:rsidRPr="00507985">
        <w:rPr>
          <w:rFonts w:asciiTheme="majorBidi" w:hAnsiTheme="majorBidi" w:cstheme="majorBidi"/>
          <w:szCs w:val="24"/>
        </w:rPr>
        <w:t xml:space="preserve">; Robert C. Stallman, </w:t>
      </w:r>
      <w:r w:rsidR="00A602FA" w:rsidRPr="00507985">
        <w:rPr>
          <w:rFonts w:asciiTheme="majorBidi" w:hAnsiTheme="majorBidi" w:cstheme="majorBidi"/>
          <w:szCs w:val="24"/>
        </w:rPr>
        <w:t>“</w:t>
      </w:r>
      <w:r w:rsidR="00FA3C4C" w:rsidRPr="00507985">
        <w:rPr>
          <w:rFonts w:asciiTheme="majorBidi" w:hAnsiTheme="majorBidi" w:cstheme="majorBidi"/>
          <w:szCs w:val="24"/>
        </w:rPr>
        <w:t>Levi and Levites in the Dead Sea Scrolls,</w:t>
      </w:r>
      <w:r w:rsidR="00A602FA" w:rsidRPr="00507985">
        <w:rPr>
          <w:rFonts w:asciiTheme="majorBidi" w:hAnsiTheme="majorBidi" w:cstheme="majorBidi"/>
          <w:szCs w:val="24"/>
        </w:rPr>
        <w:t>”</w:t>
      </w:r>
      <w:r w:rsidR="00FA3C4C" w:rsidRPr="00507985">
        <w:rPr>
          <w:rFonts w:asciiTheme="majorBidi" w:hAnsiTheme="majorBidi" w:cstheme="majorBidi"/>
          <w:szCs w:val="24"/>
        </w:rPr>
        <w:t xml:space="preserve"> </w:t>
      </w:r>
      <w:r w:rsidR="00FA3C4C" w:rsidRPr="00507985">
        <w:rPr>
          <w:rFonts w:asciiTheme="majorBidi" w:hAnsiTheme="majorBidi" w:cstheme="majorBidi"/>
          <w:i/>
          <w:iCs/>
          <w:szCs w:val="24"/>
        </w:rPr>
        <w:t>JSP</w:t>
      </w:r>
      <w:r w:rsidR="00FA3C4C" w:rsidRPr="00507985">
        <w:rPr>
          <w:rFonts w:asciiTheme="majorBidi" w:hAnsiTheme="majorBidi" w:cstheme="majorBidi"/>
          <w:szCs w:val="24"/>
        </w:rPr>
        <w:t xml:space="preserve"> 10 (1992)</w:t>
      </w:r>
      <w:r w:rsidR="00A602FA" w:rsidRPr="00507985">
        <w:rPr>
          <w:rFonts w:asciiTheme="majorBidi" w:hAnsiTheme="majorBidi" w:cstheme="majorBidi"/>
          <w:szCs w:val="24"/>
        </w:rPr>
        <w:t>:</w:t>
      </w:r>
      <w:r w:rsidR="00FA3C4C" w:rsidRPr="00507985">
        <w:rPr>
          <w:rFonts w:asciiTheme="majorBidi" w:hAnsiTheme="majorBidi" w:cstheme="majorBidi"/>
          <w:szCs w:val="24"/>
        </w:rPr>
        <w:t xml:space="preserve"> </w:t>
      </w:r>
      <w:r w:rsidR="00A602FA" w:rsidRPr="00507985">
        <w:rPr>
          <w:rFonts w:asciiTheme="majorBidi" w:hAnsiTheme="majorBidi" w:cstheme="majorBidi"/>
          <w:szCs w:val="24"/>
        </w:rPr>
        <w:t>163</w:t>
      </w:r>
      <w:r w:rsidR="00A602FA" w:rsidRPr="00507985">
        <w:rPr>
          <w:rFonts w:asciiTheme="majorBidi" w:hAnsiTheme="majorBidi" w:cstheme="majorBidi"/>
          <w:szCs w:val="24"/>
          <w:rtl/>
        </w:rPr>
        <w:t>–</w:t>
      </w:r>
      <w:r w:rsidR="00A602FA" w:rsidRPr="00507985">
        <w:rPr>
          <w:rFonts w:asciiTheme="majorBidi" w:hAnsiTheme="majorBidi" w:cstheme="majorBidi"/>
          <w:szCs w:val="24"/>
        </w:rPr>
        <w:t xml:space="preserve">189, at </w:t>
      </w:r>
      <w:r w:rsidR="00FA3C4C" w:rsidRPr="00507985">
        <w:rPr>
          <w:rFonts w:asciiTheme="majorBidi" w:hAnsiTheme="majorBidi" w:cstheme="majorBidi"/>
          <w:szCs w:val="24"/>
        </w:rPr>
        <w:t>174;</w:t>
      </w:r>
      <w:r w:rsidR="00FA3C4C" w:rsidRPr="00507985">
        <w:rPr>
          <w:rFonts w:asciiTheme="majorBidi" w:hAnsiTheme="majorBidi" w:cstheme="majorBidi"/>
          <w:szCs w:val="24"/>
          <w:rtl/>
        </w:rPr>
        <w:t xml:space="preserve"> </w:t>
      </w:r>
      <w:r w:rsidR="00FA3C4C" w:rsidRPr="00507985">
        <w:rPr>
          <w:rFonts w:asciiTheme="majorBidi" w:hAnsiTheme="majorBidi" w:cstheme="majorBidi"/>
          <w:szCs w:val="24"/>
        </w:rPr>
        <w:t>Florentino Garc</w:t>
      </w:r>
      <w:r w:rsidR="00A602FA" w:rsidRPr="00507985">
        <w:rPr>
          <w:rFonts w:asciiTheme="majorBidi" w:hAnsiTheme="majorBidi" w:cstheme="majorBidi"/>
          <w:szCs w:val="24"/>
        </w:rPr>
        <w:t>í</w:t>
      </w:r>
      <w:r w:rsidR="00FA3C4C" w:rsidRPr="00507985">
        <w:rPr>
          <w:rFonts w:asciiTheme="majorBidi" w:hAnsiTheme="majorBidi" w:cstheme="majorBidi"/>
          <w:szCs w:val="24"/>
        </w:rPr>
        <w:t>a Mart</w:t>
      </w:r>
      <w:r w:rsidR="00A602FA" w:rsidRPr="00507985">
        <w:rPr>
          <w:rFonts w:asciiTheme="majorBidi" w:hAnsiTheme="majorBidi" w:cstheme="majorBidi"/>
          <w:szCs w:val="24"/>
        </w:rPr>
        <w:t>í</w:t>
      </w:r>
      <w:r w:rsidR="00FA3C4C" w:rsidRPr="00507985">
        <w:rPr>
          <w:rFonts w:asciiTheme="majorBidi" w:hAnsiTheme="majorBidi" w:cstheme="majorBidi"/>
          <w:szCs w:val="24"/>
        </w:rPr>
        <w:t xml:space="preserve">nez, </w:t>
      </w:r>
      <w:r w:rsidR="00FA3C4C" w:rsidRPr="00507985">
        <w:rPr>
          <w:rFonts w:asciiTheme="majorBidi" w:hAnsiTheme="majorBidi" w:cstheme="majorBidi"/>
          <w:i/>
          <w:iCs/>
          <w:szCs w:val="24"/>
        </w:rPr>
        <w:t>The Dead Sea Scrolls Translated</w:t>
      </w:r>
      <w:r w:rsidR="00FA3C4C" w:rsidRPr="00507985">
        <w:rPr>
          <w:rFonts w:asciiTheme="majorBidi" w:hAnsiTheme="majorBidi" w:cstheme="majorBidi"/>
          <w:szCs w:val="24"/>
        </w:rPr>
        <w:t xml:space="preserve"> (Leiden: Brill, 1994), 10</w:t>
      </w:r>
      <w:r w:rsidR="00514CAB" w:rsidRPr="00507985">
        <w:rPr>
          <w:rFonts w:asciiTheme="majorBidi" w:hAnsiTheme="majorBidi" w:cstheme="majorBidi"/>
          <w:szCs w:val="24"/>
        </w:rPr>
        <w:t>;</w:t>
      </w:r>
      <w:r w:rsidR="00FA3C4C" w:rsidRPr="00507985">
        <w:rPr>
          <w:rFonts w:asciiTheme="majorBidi" w:hAnsiTheme="majorBidi" w:cstheme="majorBidi"/>
          <w:szCs w:val="24"/>
          <w:rtl/>
        </w:rPr>
        <w:t xml:space="preserve"> </w:t>
      </w:r>
      <w:r w:rsidR="00FA3C4C" w:rsidRPr="00507985">
        <w:rPr>
          <w:rFonts w:asciiTheme="majorBidi" w:hAnsiTheme="majorBidi" w:cstheme="majorBidi"/>
          <w:szCs w:val="24"/>
        </w:rPr>
        <w:t xml:space="preserve">Jean Duhaime, </w:t>
      </w:r>
      <w:r w:rsidR="00A602FA" w:rsidRPr="00507985">
        <w:rPr>
          <w:rFonts w:asciiTheme="majorBidi" w:hAnsiTheme="majorBidi" w:cstheme="majorBidi"/>
          <w:szCs w:val="24"/>
        </w:rPr>
        <w:t>“</w:t>
      </w:r>
      <w:r w:rsidR="00FA3C4C" w:rsidRPr="00507985">
        <w:rPr>
          <w:rFonts w:asciiTheme="majorBidi" w:hAnsiTheme="majorBidi" w:cstheme="majorBidi"/>
          <w:szCs w:val="24"/>
        </w:rPr>
        <w:t>War Scroll (1QM, 1Q33),</w:t>
      </w:r>
      <w:r w:rsidR="00A602FA" w:rsidRPr="00507985">
        <w:rPr>
          <w:rFonts w:asciiTheme="majorBidi" w:hAnsiTheme="majorBidi" w:cstheme="majorBidi"/>
          <w:szCs w:val="24"/>
        </w:rPr>
        <w:t>”</w:t>
      </w:r>
      <w:r w:rsidR="00FA3C4C" w:rsidRPr="00507985">
        <w:rPr>
          <w:rFonts w:asciiTheme="majorBidi" w:hAnsiTheme="majorBidi" w:cstheme="majorBidi"/>
          <w:szCs w:val="24"/>
        </w:rPr>
        <w:t xml:space="preserve"> in</w:t>
      </w:r>
      <w:r w:rsidR="00640811" w:rsidRPr="00507985">
        <w:rPr>
          <w:rFonts w:asciiTheme="majorBidi" w:hAnsiTheme="majorBidi" w:cstheme="majorBidi"/>
          <w:szCs w:val="24"/>
        </w:rPr>
        <w:t xml:space="preserve"> James H. Charlesworth et al., eds.,</w:t>
      </w:r>
      <w:r w:rsidR="00FA3C4C" w:rsidRPr="00507985">
        <w:rPr>
          <w:rFonts w:asciiTheme="majorBidi" w:hAnsiTheme="majorBidi" w:cstheme="majorBidi"/>
          <w:szCs w:val="24"/>
        </w:rPr>
        <w:t xml:space="preserve"> </w:t>
      </w:r>
      <w:r w:rsidR="00FA3C4C" w:rsidRPr="00507985">
        <w:rPr>
          <w:rFonts w:asciiTheme="majorBidi" w:hAnsiTheme="majorBidi" w:cstheme="majorBidi"/>
          <w:i/>
          <w:iCs/>
          <w:szCs w:val="24"/>
        </w:rPr>
        <w:t>The Dead Sea Scrolls: Hebrew, Aramaic, and Greek Texts with English Translations</w:t>
      </w:r>
      <w:r w:rsidR="004A4FD0" w:rsidRPr="00507985">
        <w:rPr>
          <w:rFonts w:asciiTheme="majorBidi" w:hAnsiTheme="majorBidi" w:cstheme="majorBidi"/>
          <w:i/>
          <w:iCs/>
          <w:szCs w:val="24"/>
        </w:rPr>
        <w:t xml:space="preserve">. Vol. 2. </w:t>
      </w:r>
      <w:r w:rsidR="004A4FD0" w:rsidRPr="00507985">
        <w:rPr>
          <w:rFonts w:asciiTheme="majorBidi" w:hAnsiTheme="majorBidi" w:cstheme="majorBidi"/>
          <w:szCs w:val="24"/>
          <w:shd w:val="clear" w:color="auto" w:fill="FFFFFF"/>
        </w:rPr>
        <w:t>Damascus Document, War Scroll, and Related Documents</w:t>
      </w:r>
      <w:r w:rsidR="00640811" w:rsidRPr="00507985">
        <w:rPr>
          <w:rFonts w:asciiTheme="majorBidi" w:hAnsiTheme="majorBidi" w:cstheme="majorBidi"/>
          <w:szCs w:val="24"/>
        </w:rPr>
        <w:t xml:space="preserve"> </w:t>
      </w:r>
      <w:r w:rsidR="00FA3C4C" w:rsidRPr="00507985">
        <w:rPr>
          <w:rFonts w:asciiTheme="majorBidi" w:hAnsiTheme="majorBidi" w:cstheme="majorBidi"/>
          <w:szCs w:val="24"/>
        </w:rPr>
        <w:t>(</w:t>
      </w:r>
      <w:r w:rsidR="00640811" w:rsidRPr="00507985">
        <w:rPr>
          <w:rFonts w:asciiTheme="majorBidi" w:hAnsiTheme="majorBidi" w:cstheme="majorBidi"/>
          <w:szCs w:val="24"/>
        </w:rPr>
        <w:t xml:space="preserve">PTSDSSP 2; </w:t>
      </w:r>
      <w:r w:rsidR="00FA3C4C" w:rsidRPr="00507985">
        <w:rPr>
          <w:rFonts w:asciiTheme="majorBidi" w:hAnsiTheme="majorBidi" w:cstheme="majorBidi"/>
          <w:szCs w:val="24"/>
        </w:rPr>
        <w:t>Tübingen: J.C.B Mohr P. Siebeck, 1995), 11;</w:t>
      </w:r>
      <w:r w:rsidR="00FA3C4C" w:rsidRPr="00507985">
        <w:rPr>
          <w:rFonts w:asciiTheme="majorBidi" w:hAnsiTheme="majorBidi" w:cstheme="majorBidi"/>
          <w:szCs w:val="24"/>
          <w:rtl/>
        </w:rPr>
        <w:t xml:space="preserve"> </w:t>
      </w:r>
      <w:r w:rsidR="00FA3C4C" w:rsidRPr="00507985">
        <w:rPr>
          <w:rFonts w:asciiTheme="majorBidi" w:hAnsiTheme="majorBidi" w:cstheme="majorBidi"/>
          <w:spacing w:val="-4"/>
          <w:szCs w:val="24"/>
        </w:rPr>
        <w:t xml:space="preserve">Geza Vermes, </w:t>
      </w:r>
      <w:r w:rsidR="00FA3C4C" w:rsidRPr="00507985">
        <w:rPr>
          <w:rFonts w:asciiTheme="majorBidi" w:hAnsiTheme="majorBidi" w:cstheme="majorBidi"/>
          <w:i/>
          <w:iCs/>
          <w:spacing w:val="-4"/>
          <w:szCs w:val="24"/>
        </w:rPr>
        <w:t>The Dead Sea Scrolls in English</w:t>
      </w:r>
      <w:r w:rsidR="00FA3C4C" w:rsidRPr="00507985">
        <w:rPr>
          <w:rFonts w:asciiTheme="majorBidi" w:hAnsiTheme="majorBidi" w:cstheme="majorBidi"/>
          <w:spacing w:val="-4"/>
          <w:szCs w:val="24"/>
        </w:rPr>
        <w:t xml:space="preserve"> (Sheffield: Sheffield Academic Press, 1995), 1</w:t>
      </w:r>
      <w:r w:rsidR="00514CAB" w:rsidRPr="00507985">
        <w:rPr>
          <w:rFonts w:asciiTheme="majorBidi" w:hAnsiTheme="majorBidi" w:cstheme="majorBidi"/>
          <w:spacing w:val="-4"/>
          <w:szCs w:val="24"/>
        </w:rPr>
        <w:t>3;</w:t>
      </w:r>
      <w:r w:rsidR="00FA3C4C" w:rsidRPr="00507985">
        <w:rPr>
          <w:rFonts w:asciiTheme="majorBidi" w:hAnsiTheme="majorBidi" w:cstheme="majorBidi"/>
          <w:szCs w:val="24"/>
          <w:rtl/>
        </w:rPr>
        <w:t xml:space="preserve"> </w:t>
      </w:r>
      <w:r w:rsidR="00FA3C4C" w:rsidRPr="00507985">
        <w:rPr>
          <w:rFonts w:asciiTheme="majorBidi" w:hAnsiTheme="majorBidi" w:cstheme="majorBidi"/>
          <w:spacing w:val="-4"/>
          <w:szCs w:val="24"/>
        </w:rPr>
        <w:t xml:space="preserve">Michael </w:t>
      </w:r>
      <w:r w:rsidR="00B978E9" w:rsidRPr="00507985">
        <w:rPr>
          <w:rFonts w:asciiTheme="majorBidi" w:hAnsiTheme="majorBidi" w:cstheme="majorBidi"/>
          <w:spacing w:val="-4"/>
          <w:szCs w:val="24"/>
        </w:rPr>
        <w:t xml:space="preserve">O. </w:t>
      </w:r>
      <w:r w:rsidR="00FA3C4C" w:rsidRPr="00507985">
        <w:rPr>
          <w:rFonts w:asciiTheme="majorBidi" w:hAnsiTheme="majorBidi" w:cstheme="majorBidi"/>
          <w:spacing w:val="-4"/>
          <w:szCs w:val="24"/>
        </w:rPr>
        <w:t>Wise, Martin G. Abegg</w:t>
      </w:r>
      <w:r w:rsidR="001C738D" w:rsidRPr="00507985">
        <w:rPr>
          <w:rFonts w:asciiTheme="majorBidi" w:hAnsiTheme="majorBidi" w:cstheme="majorBidi"/>
          <w:spacing w:val="-4"/>
          <w:szCs w:val="24"/>
        </w:rPr>
        <w:t xml:space="preserve"> </w:t>
      </w:r>
      <w:r w:rsidR="00FA3C4C" w:rsidRPr="00507985">
        <w:rPr>
          <w:rFonts w:asciiTheme="majorBidi" w:hAnsiTheme="majorBidi" w:cstheme="majorBidi"/>
          <w:spacing w:val="-4"/>
          <w:szCs w:val="24"/>
        </w:rPr>
        <w:t>Jr.</w:t>
      </w:r>
      <w:r w:rsidR="001C738D" w:rsidRPr="00507985">
        <w:rPr>
          <w:rFonts w:asciiTheme="majorBidi" w:hAnsiTheme="majorBidi" w:cstheme="majorBidi"/>
          <w:spacing w:val="-4"/>
          <w:szCs w:val="24"/>
        </w:rPr>
        <w:t>,</w:t>
      </w:r>
      <w:r w:rsidR="00FA3C4C" w:rsidRPr="00507985">
        <w:rPr>
          <w:rFonts w:asciiTheme="majorBidi" w:hAnsiTheme="majorBidi" w:cstheme="majorBidi"/>
          <w:spacing w:val="-4"/>
          <w:szCs w:val="24"/>
        </w:rPr>
        <w:t xml:space="preserve"> and Edward M. Cook, </w:t>
      </w:r>
      <w:r w:rsidR="00FA3C4C" w:rsidRPr="00507985">
        <w:rPr>
          <w:rFonts w:asciiTheme="majorBidi" w:hAnsiTheme="majorBidi" w:cstheme="majorBidi"/>
          <w:i/>
          <w:iCs/>
          <w:spacing w:val="-4"/>
          <w:szCs w:val="24"/>
        </w:rPr>
        <w:t>The Dead Sea Scrolls: A New Translation</w:t>
      </w:r>
      <w:r w:rsidR="00FA3C4C" w:rsidRPr="00507985">
        <w:rPr>
          <w:rFonts w:asciiTheme="majorBidi" w:hAnsiTheme="majorBidi" w:cstheme="majorBidi"/>
          <w:spacing w:val="-4"/>
          <w:szCs w:val="24"/>
        </w:rPr>
        <w:t xml:space="preserve"> (San Francisco: Harper Collins, 1996), 158; Yishay, “</w:t>
      </w:r>
      <w:r w:rsidR="00FA3C4C" w:rsidRPr="00507985">
        <w:rPr>
          <w:rFonts w:asciiTheme="majorBidi" w:hAnsiTheme="majorBidi" w:cstheme="majorBidi"/>
          <w:spacing w:val="-4"/>
          <w:szCs w:val="24"/>
          <w:rtl/>
          <w:lang w:bidi="he-IL"/>
        </w:rPr>
        <w:t>,</w:t>
      </w:r>
      <w:r w:rsidR="00FA3C4C" w:rsidRPr="00507985">
        <w:rPr>
          <w:rFonts w:asciiTheme="majorBidi" w:hAnsiTheme="majorBidi" w:cstheme="majorBidi"/>
          <w:szCs w:val="24"/>
          <w:rtl/>
          <w:lang w:bidi="he-IL"/>
        </w:rPr>
        <w:t>ספרות</w:t>
      </w:r>
      <w:r w:rsidR="00FA3C4C" w:rsidRPr="00507985">
        <w:rPr>
          <w:rFonts w:asciiTheme="majorBidi" w:hAnsiTheme="majorBidi" w:cstheme="majorBidi"/>
          <w:szCs w:val="24"/>
          <w:rtl/>
        </w:rPr>
        <w:t xml:space="preserve"> </w:t>
      </w:r>
      <w:r w:rsidR="00FA3C4C" w:rsidRPr="00507985">
        <w:rPr>
          <w:rFonts w:asciiTheme="majorBidi" w:hAnsiTheme="majorBidi" w:cstheme="majorBidi"/>
          <w:szCs w:val="24"/>
          <w:rtl/>
          <w:lang w:bidi="he-IL"/>
        </w:rPr>
        <w:t>המלחמה</w:t>
      </w:r>
      <w:r w:rsidR="00FA3C4C" w:rsidRPr="00507985">
        <w:rPr>
          <w:rFonts w:asciiTheme="majorBidi" w:hAnsiTheme="majorBidi" w:cstheme="majorBidi"/>
          <w:szCs w:val="24"/>
        </w:rPr>
        <w:t>”</w:t>
      </w:r>
      <w:r w:rsidR="00FA3C4C" w:rsidRPr="00507985">
        <w:rPr>
          <w:rFonts w:asciiTheme="majorBidi" w:hAnsiTheme="majorBidi" w:cstheme="majorBidi"/>
          <w:spacing w:val="-4"/>
          <w:szCs w:val="24"/>
        </w:rPr>
        <w:t xml:space="preserve"> 120, 144; </w:t>
      </w:r>
      <w:r w:rsidR="00514CAB" w:rsidRPr="00507985">
        <w:rPr>
          <w:rFonts w:asciiTheme="majorBidi" w:hAnsiTheme="majorBidi" w:cstheme="majorBidi"/>
          <w:spacing w:val="-4"/>
          <w:szCs w:val="24"/>
        </w:rPr>
        <w:t xml:space="preserve">and </w:t>
      </w:r>
      <w:r w:rsidR="00FA3C4C" w:rsidRPr="00507985">
        <w:rPr>
          <w:rFonts w:asciiTheme="majorBidi" w:hAnsiTheme="majorBidi" w:cstheme="majorBidi"/>
          <w:szCs w:val="24"/>
        </w:rPr>
        <w:t>David J. A. Clines</w:t>
      </w:r>
      <w:r w:rsidR="00824140" w:rsidRPr="00507985">
        <w:rPr>
          <w:rFonts w:asciiTheme="majorBidi" w:hAnsiTheme="majorBidi" w:cstheme="majorBidi"/>
          <w:szCs w:val="24"/>
        </w:rPr>
        <w:t>, ed.</w:t>
      </w:r>
      <w:r w:rsidR="00FA3C4C" w:rsidRPr="00507985">
        <w:rPr>
          <w:rFonts w:asciiTheme="majorBidi" w:hAnsiTheme="majorBidi" w:cstheme="majorBidi"/>
          <w:szCs w:val="24"/>
        </w:rPr>
        <w:t xml:space="preserve">, </w:t>
      </w:r>
      <w:r w:rsidR="00FA3C4C" w:rsidRPr="00507985">
        <w:rPr>
          <w:rFonts w:asciiTheme="majorBidi" w:hAnsiTheme="majorBidi" w:cstheme="majorBidi"/>
          <w:i/>
          <w:iCs/>
          <w:szCs w:val="24"/>
        </w:rPr>
        <w:t>The Dictionary of Classical Hebrew</w:t>
      </w:r>
      <w:r w:rsidR="00FA3C4C" w:rsidRPr="00507985">
        <w:rPr>
          <w:rFonts w:asciiTheme="majorBidi" w:hAnsiTheme="majorBidi" w:cstheme="majorBidi"/>
          <w:szCs w:val="24"/>
        </w:rPr>
        <w:t xml:space="preserve">, Vol. </w:t>
      </w:r>
      <w:r w:rsidR="00A602FA" w:rsidRPr="00507985">
        <w:rPr>
          <w:rFonts w:asciiTheme="majorBidi" w:hAnsiTheme="majorBidi" w:cstheme="majorBidi"/>
          <w:szCs w:val="24"/>
        </w:rPr>
        <w:t>7</w:t>
      </w:r>
      <w:r w:rsidR="00FA3C4C" w:rsidRPr="00507985">
        <w:rPr>
          <w:rFonts w:asciiTheme="majorBidi" w:hAnsiTheme="majorBidi" w:cstheme="majorBidi"/>
          <w:szCs w:val="24"/>
        </w:rPr>
        <w:t xml:space="preserve"> (Sheffield: Sheffield Academic Press, 2010), 220.</w:t>
      </w:r>
    </w:p>
  </w:footnote>
  <w:footnote w:id="18">
    <w:p w14:paraId="3A4765ED" w14:textId="33B2FEA9" w:rsidR="004203E3" w:rsidRPr="00507985" w:rsidRDefault="004203E3">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Menahem Kister, </w:t>
      </w:r>
      <w:r w:rsidRPr="00507985">
        <w:rPr>
          <w:rFonts w:asciiTheme="majorBidi" w:hAnsiTheme="majorBidi" w:cstheme="majorBidi"/>
          <w:szCs w:val="24"/>
          <w:rtl/>
        </w:rPr>
        <w:t>"</w:t>
      </w:r>
      <w:r w:rsidRPr="00507985">
        <w:rPr>
          <w:rFonts w:asciiTheme="majorBidi" w:hAnsiTheme="majorBidi" w:cstheme="majorBidi"/>
          <w:szCs w:val="24"/>
          <w:rtl/>
          <w:lang w:bidi="he-IL"/>
        </w:rPr>
        <w:t>קווים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לאוצר</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המילים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של</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כתבי</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קומראן</w:t>
      </w:r>
      <w:r w:rsidRPr="00507985">
        <w:rPr>
          <w:rFonts w:asciiTheme="majorBidi" w:hAnsiTheme="majorBidi" w:cstheme="majorBidi"/>
          <w:szCs w:val="24"/>
          <w:rtl/>
        </w:rPr>
        <w:t>,"</w:t>
      </w:r>
      <w:r w:rsidRPr="00507985">
        <w:rPr>
          <w:rFonts w:asciiTheme="majorBidi" w:hAnsiTheme="majorBidi" w:cstheme="majorBidi"/>
          <w:szCs w:val="24"/>
        </w:rPr>
        <w:t xml:space="preserve"> </w:t>
      </w:r>
      <w:r w:rsidR="00583F77" w:rsidRPr="00507985">
        <w:rPr>
          <w:rFonts w:asciiTheme="majorBidi" w:hAnsiTheme="majorBidi" w:cstheme="majorBidi"/>
          <w:szCs w:val="24"/>
        </w:rPr>
        <w:t xml:space="preserve">in </w:t>
      </w:r>
      <w:r w:rsidR="00583F77" w:rsidRPr="00507985">
        <w:rPr>
          <w:rFonts w:asciiTheme="majorBidi" w:hAnsiTheme="majorBidi" w:cstheme="majorBidi"/>
          <w:szCs w:val="24"/>
          <w:shd w:val="clear" w:color="auto" w:fill="FFFFFF"/>
        </w:rPr>
        <w:t xml:space="preserve">Kister, </w:t>
      </w:r>
      <w:r w:rsidR="00583F77" w:rsidRPr="00507985">
        <w:rPr>
          <w:rFonts w:asciiTheme="majorBidi" w:hAnsiTheme="majorBidi" w:cstheme="majorBidi"/>
          <w:szCs w:val="24"/>
          <w:rtl/>
          <w:lang w:bidi="he-IL"/>
        </w:rPr>
        <w:t>מגילות</w:t>
      </w:r>
      <w:r w:rsidR="00583F77" w:rsidRPr="00507985">
        <w:rPr>
          <w:rFonts w:asciiTheme="majorBidi" w:hAnsiTheme="majorBidi" w:cstheme="majorBidi"/>
          <w:szCs w:val="24"/>
          <w:rtl/>
        </w:rPr>
        <w:t xml:space="preserve"> </w:t>
      </w:r>
      <w:r w:rsidR="00583F77" w:rsidRPr="00507985">
        <w:rPr>
          <w:rFonts w:asciiTheme="majorBidi" w:hAnsiTheme="majorBidi" w:cstheme="majorBidi"/>
          <w:szCs w:val="24"/>
          <w:rtl/>
          <w:lang w:bidi="he-IL"/>
        </w:rPr>
        <w:t>קומראן</w:t>
      </w:r>
      <w:r w:rsidR="00583F77" w:rsidRPr="00507985">
        <w:rPr>
          <w:rFonts w:asciiTheme="majorBidi" w:hAnsiTheme="majorBidi" w:cstheme="majorBidi"/>
          <w:szCs w:val="24"/>
          <w:shd w:val="clear" w:color="auto" w:fill="FFFFFF"/>
        </w:rPr>
        <w:t>, 2:567</w:t>
      </w:r>
      <w:r w:rsidR="00583F77" w:rsidRPr="00507985">
        <w:rPr>
          <w:rFonts w:asciiTheme="majorBidi" w:hAnsiTheme="majorBidi" w:cstheme="majorBidi"/>
          <w:szCs w:val="24"/>
          <w:rtl/>
        </w:rPr>
        <w:t>–</w:t>
      </w:r>
      <w:r w:rsidR="00583F77" w:rsidRPr="00507985">
        <w:rPr>
          <w:rFonts w:asciiTheme="majorBidi" w:hAnsiTheme="majorBidi" w:cstheme="majorBidi"/>
          <w:szCs w:val="24"/>
        </w:rPr>
        <w:t>69.</w:t>
      </w:r>
    </w:p>
  </w:footnote>
  <w:footnote w:id="19">
    <w:p w14:paraId="4B04B4A6" w14:textId="74E06871" w:rsidR="0061719A" w:rsidRPr="00507985" w:rsidRDefault="0061719A">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Elisha Qimron, </w:t>
      </w:r>
      <w:r w:rsidRPr="00507985">
        <w:rPr>
          <w:rFonts w:asciiTheme="majorBidi" w:hAnsiTheme="majorBidi" w:cstheme="majorBidi"/>
          <w:szCs w:val="24"/>
          <w:rtl/>
        </w:rPr>
        <w:t>"</w:t>
      </w:r>
      <w:r w:rsidRPr="00507985">
        <w:rPr>
          <w:rFonts w:asciiTheme="majorBidi" w:hAnsiTheme="majorBidi" w:cstheme="majorBidi"/>
          <w:szCs w:val="24"/>
          <w:rtl/>
          <w:lang w:bidi="he-IL"/>
        </w:rPr>
        <w:t>הלשון</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והרקע</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הלשוני</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של</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כתבי</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קומראן</w:t>
      </w:r>
      <w:r w:rsidRPr="00507985">
        <w:rPr>
          <w:rFonts w:asciiTheme="majorBidi" w:hAnsiTheme="majorBidi" w:cstheme="majorBidi"/>
          <w:szCs w:val="24"/>
          <w:rtl/>
        </w:rPr>
        <w:t>,"</w:t>
      </w:r>
      <w:r w:rsidRPr="00507985">
        <w:rPr>
          <w:rFonts w:asciiTheme="majorBidi" w:hAnsiTheme="majorBidi" w:cstheme="majorBidi"/>
          <w:szCs w:val="24"/>
        </w:rPr>
        <w:t xml:space="preserve"> in </w:t>
      </w:r>
      <w:r w:rsidRPr="00507985">
        <w:rPr>
          <w:rFonts w:asciiTheme="majorBidi" w:hAnsiTheme="majorBidi" w:cstheme="majorBidi"/>
          <w:szCs w:val="24"/>
          <w:shd w:val="clear" w:color="auto" w:fill="FFFFFF"/>
        </w:rPr>
        <w:t xml:space="preserve">Kister, </w:t>
      </w:r>
      <w:r w:rsidRPr="00507985">
        <w:rPr>
          <w:rFonts w:asciiTheme="majorBidi" w:hAnsiTheme="majorBidi" w:cstheme="majorBidi"/>
          <w:szCs w:val="24"/>
          <w:rtl/>
          <w:lang w:bidi="he-IL"/>
        </w:rPr>
        <w:t>מגילות</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קומראן</w:t>
      </w:r>
      <w:r w:rsidRPr="00507985">
        <w:rPr>
          <w:rFonts w:asciiTheme="majorBidi" w:hAnsiTheme="majorBidi" w:cstheme="majorBidi"/>
          <w:szCs w:val="24"/>
          <w:shd w:val="clear" w:color="auto" w:fill="FFFFFF"/>
        </w:rPr>
        <w:t>, 2:553</w:t>
      </w:r>
      <w:r w:rsidRPr="00507985">
        <w:rPr>
          <w:rFonts w:asciiTheme="majorBidi" w:hAnsiTheme="majorBidi" w:cstheme="majorBidi"/>
          <w:szCs w:val="24"/>
          <w:rtl/>
        </w:rPr>
        <w:t>–</w:t>
      </w:r>
      <w:r w:rsidRPr="00507985">
        <w:rPr>
          <w:rFonts w:asciiTheme="majorBidi" w:hAnsiTheme="majorBidi" w:cstheme="majorBidi"/>
          <w:szCs w:val="24"/>
        </w:rPr>
        <w:t xml:space="preserve">555; Kister, </w:t>
      </w:r>
      <w:r w:rsidRPr="00507985">
        <w:rPr>
          <w:rFonts w:asciiTheme="majorBidi" w:hAnsiTheme="majorBidi" w:cstheme="majorBidi"/>
          <w:szCs w:val="24"/>
          <w:rtl/>
        </w:rPr>
        <w:t>"</w:t>
      </w:r>
      <w:r w:rsidRPr="00507985">
        <w:rPr>
          <w:rFonts w:asciiTheme="majorBidi" w:hAnsiTheme="majorBidi" w:cstheme="majorBidi"/>
          <w:szCs w:val="24"/>
          <w:rtl/>
          <w:lang w:bidi="he-IL"/>
        </w:rPr>
        <w:t>קווים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לאוצר</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המילים</w:t>
      </w:r>
      <w:r w:rsidRPr="00507985">
        <w:rPr>
          <w:rFonts w:asciiTheme="majorBidi" w:hAnsiTheme="majorBidi" w:cstheme="majorBidi"/>
          <w:szCs w:val="24"/>
          <w:rtl/>
        </w:rPr>
        <w:t>,"</w:t>
      </w:r>
      <w:r w:rsidRPr="00507985">
        <w:rPr>
          <w:rFonts w:asciiTheme="majorBidi" w:hAnsiTheme="majorBidi" w:cstheme="majorBidi"/>
          <w:szCs w:val="24"/>
        </w:rPr>
        <w:t xml:space="preserve"> 562; Moshe Bar-Asher, </w:t>
      </w:r>
      <w:r w:rsidRPr="00507985">
        <w:rPr>
          <w:rFonts w:asciiTheme="majorBidi" w:hAnsiTheme="majorBidi" w:cstheme="majorBidi"/>
          <w:szCs w:val="24"/>
          <w:rtl/>
          <w:lang w:bidi="he-IL"/>
        </w:rPr>
        <w:t>לשונות</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ראשונים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מחקרי</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לשון</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מחקרי</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לשון</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במקרא</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במגילות</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המלח</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ובארמית</w:t>
      </w:r>
      <w:r w:rsidRPr="00507985">
        <w:rPr>
          <w:rFonts w:asciiTheme="majorBidi" w:hAnsiTheme="majorBidi" w:cstheme="majorBidi"/>
          <w:szCs w:val="24"/>
        </w:rPr>
        <w:t xml:space="preserve"> (Jerusalem: Magnes, 2012), 97; Lewis Glinert, </w:t>
      </w:r>
      <w:r w:rsidRPr="00507985">
        <w:rPr>
          <w:rFonts w:asciiTheme="majorBidi" w:hAnsiTheme="majorBidi" w:cstheme="majorBidi"/>
          <w:i/>
          <w:iCs/>
          <w:szCs w:val="24"/>
        </w:rPr>
        <w:t>The Story of Hebrew</w:t>
      </w:r>
      <w:r w:rsidRPr="00507985">
        <w:rPr>
          <w:rFonts w:asciiTheme="majorBidi" w:hAnsiTheme="majorBidi" w:cstheme="majorBidi"/>
          <w:szCs w:val="24"/>
        </w:rPr>
        <w:t xml:space="preserve"> (Princeton: Princeton University Press, 2017), 37; Avi</w:t>
      </w:r>
      <w:r w:rsidR="0001514C" w:rsidRPr="00507985">
        <w:rPr>
          <w:rFonts w:asciiTheme="majorBidi" w:hAnsiTheme="majorBidi" w:cstheme="majorBidi"/>
          <w:szCs w:val="24"/>
        </w:rPr>
        <w:t xml:space="preserve"> Hurvitz,</w:t>
      </w:r>
      <w:r w:rsidRPr="00507985">
        <w:rPr>
          <w:rFonts w:asciiTheme="majorBidi" w:hAnsiTheme="majorBidi" w:cstheme="majorBidi"/>
          <w:szCs w:val="24"/>
        </w:rPr>
        <w:t xml:space="preserve"> </w:t>
      </w:r>
      <w:r w:rsidRPr="00507985">
        <w:rPr>
          <w:rFonts w:asciiTheme="majorBidi" w:hAnsiTheme="majorBidi" w:cstheme="majorBidi"/>
          <w:szCs w:val="24"/>
          <w:rtl/>
          <w:lang w:bidi="he-IL"/>
        </w:rPr>
        <w:t>ראשית</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לדברי</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הימים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פרקים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בהיסטוריה</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הלשונית</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של</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העברית</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המקראית</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אסופת</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מחקרים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בלשון</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המקרא</w:t>
      </w:r>
      <w:r w:rsidR="0001514C" w:rsidRPr="00507985">
        <w:rPr>
          <w:rFonts w:asciiTheme="majorBidi" w:hAnsiTheme="majorBidi" w:cstheme="majorBidi"/>
          <w:szCs w:val="24"/>
        </w:rPr>
        <w:t xml:space="preserve"> (Jerusalem: Bialik Institute, 2017), 38</w:t>
      </w:r>
      <w:r w:rsidR="0001514C" w:rsidRPr="00507985">
        <w:rPr>
          <w:rFonts w:asciiTheme="majorBidi" w:hAnsiTheme="majorBidi" w:cstheme="majorBidi"/>
          <w:szCs w:val="24"/>
          <w:rtl/>
        </w:rPr>
        <w:t>–</w:t>
      </w:r>
      <w:r w:rsidR="0001514C" w:rsidRPr="00507985">
        <w:rPr>
          <w:rFonts w:asciiTheme="majorBidi" w:hAnsiTheme="majorBidi" w:cstheme="majorBidi"/>
          <w:szCs w:val="24"/>
        </w:rPr>
        <w:t>40.</w:t>
      </w:r>
    </w:p>
  </w:footnote>
  <w:footnote w:id="20">
    <w:p w14:paraId="75AB910D" w14:textId="21165DA3" w:rsidR="0001514C" w:rsidRPr="00507985" w:rsidRDefault="0001514C">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Qimron argues that the language of the Dead Sea Scrolls is an independent dialect which might have its origins in the prevalent dialect in Jerusalem in the late Second Temple era, as its linguistic forms are very different from those of rabbinic Hebrew. See Qimron, </w:t>
      </w:r>
      <w:r w:rsidRPr="00507985">
        <w:rPr>
          <w:rFonts w:asciiTheme="majorBidi" w:hAnsiTheme="majorBidi" w:cstheme="majorBidi"/>
          <w:szCs w:val="24"/>
          <w:rtl/>
        </w:rPr>
        <w:t>"</w:t>
      </w:r>
      <w:r w:rsidR="007254CD" w:rsidRPr="00507985">
        <w:rPr>
          <w:rFonts w:asciiTheme="majorBidi" w:hAnsiTheme="majorBidi" w:cstheme="majorBidi"/>
          <w:szCs w:val="24"/>
          <w:rtl/>
          <w:lang w:bidi="he-IL"/>
        </w:rPr>
        <w:t>,</w:t>
      </w:r>
      <w:r w:rsidRPr="00507985">
        <w:rPr>
          <w:rFonts w:asciiTheme="majorBidi" w:hAnsiTheme="majorBidi" w:cstheme="majorBidi"/>
          <w:szCs w:val="24"/>
          <w:rtl/>
          <w:lang w:bidi="he-IL"/>
        </w:rPr>
        <w:t>הלשון</w:t>
      </w:r>
      <w:r w:rsidRPr="00507985">
        <w:rPr>
          <w:rFonts w:asciiTheme="majorBidi" w:hAnsiTheme="majorBidi" w:cstheme="majorBidi"/>
          <w:szCs w:val="24"/>
          <w:rtl/>
        </w:rPr>
        <w:t>"</w:t>
      </w:r>
      <w:r w:rsidRPr="00507985">
        <w:rPr>
          <w:rFonts w:asciiTheme="majorBidi" w:hAnsiTheme="majorBidi" w:cstheme="majorBidi"/>
          <w:szCs w:val="24"/>
        </w:rPr>
        <w:t xml:space="preserve"> </w:t>
      </w:r>
      <w:r w:rsidRPr="00507985">
        <w:rPr>
          <w:rFonts w:asciiTheme="majorBidi" w:hAnsiTheme="majorBidi" w:cstheme="majorBidi"/>
          <w:szCs w:val="24"/>
          <w:shd w:val="clear" w:color="auto" w:fill="FFFFFF"/>
        </w:rPr>
        <w:t>553</w:t>
      </w:r>
      <w:r w:rsidRPr="00507985">
        <w:rPr>
          <w:rFonts w:asciiTheme="majorBidi" w:hAnsiTheme="majorBidi" w:cstheme="majorBidi"/>
          <w:szCs w:val="24"/>
          <w:rtl/>
        </w:rPr>
        <w:t>–</w:t>
      </w:r>
      <w:r w:rsidRPr="00507985">
        <w:rPr>
          <w:rFonts w:asciiTheme="majorBidi" w:hAnsiTheme="majorBidi" w:cstheme="majorBidi"/>
          <w:szCs w:val="24"/>
        </w:rPr>
        <w:t xml:space="preserve">55. In his view, the similarity between the Hebrew of the scrolls and that of rabbinic literature is negligible and is mainly seen </w:t>
      </w:r>
      <w:r w:rsidR="005114AF" w:rsidRPr="00507985">
        <w:rPr>
          <w:rFonts w:asciiTheme="majorBidi" w:hAnsiTheme="majorBidi" w:cstheme="majorBidi"/>
          <w:szCs w:val="24"/>
        </w:rPr>
        <w:t xml:space="preserve">in nouns </w:t>
      </w:r>
      <w:r w:rsidRPr="00507985">
        <w:rPr>
          <w:rFonts w:asciiTheme="majorBidi" w:hAnsiTheme="majorBidi" w:cstheme="majorBidi"/>
          <w:szCs w:val="24"/>
        </w:rPr>
        <w:t>and in syntax.</w:t>
      </w:r>
    </w:p>
  </w:footnote>
  <w:footnote w:id="21">
    <w:p w14:paraId="5B9A48C8" w14:textId="1DB0C748" w:rsidR="005433A8" w:rsidRPr="00507985" w:rsidRDefault="005433A8">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See, for example, 1QM 8:5</w:t>
      </w:r>
      <w:r w:rsidRPr="00507985">
        <w:rPr>
          <w:rFonts w:asciiTheme="majorBidi" w:hAnsiTheme="majorBidi" w:cstheme="majorBidi"/>
          <w:szCs w:val="24"/>
          <w:rtl/>
        </w:rPr>
        <w:t>–</w:t>
      </w:r>
      <w:r w:rsidRPr="00507985">
        <w:rPr>
          <w:rFonts w:asciiTheme="majorBidi" w:hAnsiTheme="majorBidi" w:cstheme="majorBidi"/>
          <w:szCs w:val="24"/>
        </w:rPr>
        <w:t xml:space="preserve">6, “The priests shall blow on their trumpets </w:t>
      </w:r>
      <w:r w:rsidR="00396004" w:rsidRPr="00507985">
        <w:rPr>
          <w:rFonts w:asciiTheme="majorBidi" w:hAnsiTheme="majorBidi" w:cstheme="majorBidi"/>
          <w:szCs w:val="24"/>
        </w:rPr>
        <w:t xml:space="preserve">a </w:t>
      </w:r>
      <w:r w:rsidR="00396004" w:rsidRPr="00507985">
        <w:rPr>
          <w:rFonts w:asciiTheme="majorBidi" w:hAnsiTheme="majorBidi" w:cstheme="majorBidi"/>
          <w:szCs w:val="24"/>
          <w:lang w:bidi="he-IL"/>
        </w:rPr>
        <w:t>simple and sustained sound</w:t>
      </w:r>
      <w:r w:rsidRPr="00507985">
        <w:rPr>
          <w:rFonts w:asciiTheme="majorBidi" w:hAnsiTheme="majorBidi" w:cstheme="majorBidi"/>
          <w:szCs w:val="24"/>
        </w:rPr>
        <w:t xml:space="preserve">, </w:t>
      </w:r>
      <w:r w:rsidRPr="00507985">
        <w:rPr>
          <w:rFonts w:asciiTheme="majorBidi" w:hAnsiTheme="majorBidi" w:cstheme="majorBidi"/>
          <w:i/>
          <w:iCs/>
          <w:szCs w:val="24"/>
        </w:rPr>
        <w:t>signals</w:t>
      </w:r>
      <w:r w:rsidRPr="00507985">
        <w:rPr>
          <w:rFonts w:asciiTheme="majorBidi" w:hAnsiTheme="majorBidi" w:cstheme="majorBidi"/>
          <w:szCs w:val="24"/>
        </w:rPr>
        <w:t xml:space="preserve"> </w:t>
      </w:r>
      <w:r w:rsidRPr="00507985">
        <w:rPr>
          <w:rFonts w:asciiTheme="majorBidi" w:hAnsiTheme="majorBidi" w:cstheme="majorBidi"/>
          <w:i/>
          <w:iCs/>
          <w:szCs w:val="24"/>
        </w:rPr>
        <w:t>for</w:t>
      </w:r>
      <w:r w:rsidRPr="00507985">
        <w:rPr>
          <w:rFonts w:asciiTheme="majorBidi" w:hAnsiTheme="majorBidi" w:cstheme="majorBidi"/>
          <w:szCs w:val="24"/>
        </w:rPr>
        <w:t xml:space="preserve"> the order of battle. And the columns shall be deployed into their formations, each to his position.” </w:t>
      </w:r>
      <w:r w:rsidR="004849B8" w:rsidRPr="00507985">
        <w:rPr>
          <w:rFonts w:asciiTheme="majorBidi" w:hAnsiTheme="majorBidi" w:cstheme="majorBidi"/>
          <w:szCs w:val="24"/>
        </w:rPr>
        <w:t>(</w:t>
      </w:r>
      <w:r w:rsidRPr="00507985">
        <w:rPr>
          <w:rFonts w:asciiTheme="majorBidi" w:hAnsiTheme="majorBidi" w:cstheme="majorBidi"/>
          <w:szCs w:val="24"/>
          <w:rtl/>
          <w:lang w:bidi="he-IL"/>
        </w:rPr>
        <w:t>ותקעו</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הכוהנים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בחצוצרות</w:t>
      </w:r>
      <w:r w:rsidRPr="00507985">
        <w:rPr>
          <w:rFonts w:asciiTheme="majorBidi" w:hAnsiTheme="majorBidi" w:cstheme="majorBidi"/>
          <w:szCs w:val="24"/>
          <w:rtl/>
        </w:rPr>
        <w:t xml:space="preserve"> </w:t>
      </w:r>
      <w:r w:rsidRPr="00507985">
        <w:rPr>
          <w:rFonts w:asciiTheme="majorBidi" w:hAnsiTheme="majorBidi" w:cstheme="majorBidi"/>
          <w:szCs w:val="24"/>
          <w:u w:val="single"/>
          <w:rtl/>
          <w:lang w:bidi="he-IL"/>
        </w:rPr>
        <w:t>קול</w:t>
      </w:r>
      <w:r w:rsidRPr="00507985">
        <w:rPr>
          <w:rFonts w:asciiTheme="majorBidi" w:hAnsiTheme="majorBidi" w:cstheme="majorBidi"/>
          <w:szCs w:val="24"/>
          <w:u w:val="single"/>
          <w:rtl/>
        </w:rPr>
        <w:t xml:space="preserve"> </w:t>
      </w:r>
      <w:r w:rsidRPr="00507985">
        <w:rPr>
          <w:rFonts w:asciiTheme="majorBidi" w:hAnsiTheme="majorBidi" w:cstheme="majorBidi"/>
          <w:szCs w:val="24"/>
          <w:u w:val="single"/>
          <w:rtl/>
          <w:lang w:bidi="he-IL"/>
        </w:rPr>
        <w:t>מרודד</w:t>
      </w:r>
      <w:r w:rsidRPr="00507985">
        <w:rPr>
          <w:rFonts w:asciiTheme="majorBidi" w:hAnsiTheme="majorBidi" w:cstheme="majorBidi"/>
          <w:szCs w:val="24"/>
          <w:u w:val="single"/>
          <w:rtl/>
        </w:rPr>
        <w:t xml:space="preserve"> </w:t>
      </w:r>
      <w:r w:rsidRPr="00507985">
        <w:rPr>
          <w:rFonts w:asciiTheme="majorBidi" w:hAnsiTheme="majorBidi" w:cstheme="majorBidi"/>
          <w:szCs w:val="24"/>
          <w:u w:val="single"/>
          <w:rtl/>
          <w:lang w:bidi="he-IL"/>
        </w:rPr>
        <w:t>ידי</w:t>
      </w:r>
      <w:r w:rsidRPr="00507985">
        <w:rPr>
          <w:rFonts w:asciiTheme="majorBidi" w:hAnsiTheme="majorBidi" w:cstheme="majorBidi"/>
          <w:szCs w:val="24"/>
          <w:u w:val="single"/>
          <w:rtl/>
        </w:rPr>
        <w:t xml:space="preserve"> </w:t>
      </w:r>
      <w:r w:rsidRPr="00507985">
        <w:rPr>
          <w:rFonts w:asciiTheme="majorBidi" w:hAnsiTheme="majorBidi" w:cstheme="majorBidi"/>
          <w:szCs w:val="24"/>
          <w:u w:val="single"/>
          <w:rtl/>
          <w:lang w:bidi="he-IL"/>
        </w:rPr>
        <w:t>סדר</w:t>
      </w:r>
      <w:r w:rsidRPr="00507985">
        <w:rPr>
          <w:rFonts w:asciiTheme="majorBidi" w:hAnsiTheme="majorBidi" w:cstheme="majorBidi"/>
          <w:szCs w:val="24"/>
          <w:u w:val="single"/>
          <w:rtl/>
        </w:rPr>
        <w:t xml:space="preserve"> </w:t>
      </w:r>
      <w:r w:rsidRPr="00507985">
        <w:rPr>
          <w:rFonts w:asciiTheme="majorBidi" w:hAnsiTheme="majorBidi" w:cstheme="majorBidi"/>
          <w:szCs w:val="24"/>
          <w:u w:val="single"/>
          <w:rtl/>
          <w:lang w:bidi="he-IL"/>
        </w:rPr>
        <w:t>מלחמה</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והראשים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יהיו</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נפשטים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לסדריהם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איש</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למעמדו</w:t>
      </w:r>
      <w:r w:rsidRPr="00507985">
        <w:rPr>
          <w:rFonts w:asciiTheme="majorBidi" w:hAnsiTheme="majorBidi" w:cstheme="majorBidi"/>
          <w:szCs w:val="24"/>
        </w:rPr>
        <w:t>); 1QM 8:6</w:t>
      </w:r>
      <w:r w:rsidRPr="00507985">
        <w:rPr>
          <w:rFonts w:asciiTheme="majorBidi" w:hAnsiTheme="majorBidi" w:cstheme="majorBidi"/>
          <w:szCs w:val="24"/>
          <w:rtl/>
        </w:rPr>
        <w:t>–</w:t>
      </w:r>
      <w:r w:rsidRPr="00507985">
        <w:rPr>
          <w:rFonts w:asciiTheme="majorBidi" w:hAnsiTheme="majorBidi" w:cstheme="majorBidi"/>
          <w:szCs w:val="24"/>
        </w:rPr>
        <w:t>8, “When they have positioned themselves in three formations, the priests shall blow for them a second signal,</w:t>
      </w:r>
      <w:r w:rsidR="009A6761" w:rsidRPr="00507985">
        <w:rPr>
          <w:rFonts w:asciiTheme="majorBidi" w:hAnsiTheme="majorBidi" w:cstheme="majorBidi"/>
          <w:szCs w:val="24"/>
        </w:rPr>
        <w:t xml:space="preserve"> a low-pitched, </w:t>
      </w:r>
      <w:r w:rsidR="009A6761" w:rsidRPr="00507985">
        <w:rPr>
          <w:rFonts w:asciiTheme="majorBidi" w:hAnsiTheme="majorBidi" w:cstheme="majorBidi"/>
          <w:szCs w:val="24"/>
          <w:lang w:bidi="he-IL"/>
        </w:rPr>
        <w:t>strong and powerful</w:t>
      </w:r>
      <w:r w:rsidR="009A6761" w:rsidRPr="00507985">
        <w:rPr>
          <w:rFonts w:asciiTheme="majorBidi" w:hAnsiTheme="majorBidi" w:cstheme="majorBidi"/>
          <w:szCs w:val="24"/>
        </w:rPr>
        <w:t xml:space="preserve"> sound</w:t>
      </w:r>
      <w:r w:rsidRPr="00507985">
        <w:rPr>
          <w:rFonts w:asciiTheme="majorBidi" w:hAnsiTheme="majorBidi" w:cstheme="majorBidi"/>
          <w:szCs w:val="24"/>
        </w:rPr>
        <w:t xml:space="preserve">, </w:t>
      </w:r>
      <w:r w:rsidRPr="00507985">
        <w:rPr>
          <w:rFonts w:asciiTheme="majorBidi" w:hAnsiTheme="majorBidi" w:cstheme="majorBidi"/>
          <w:i/>
          <w:iCs/>
          <w:szCs w:val="24"/>
        </w:rPr>
        <w:t>signals</w:t>
      </w:r>
      <w:r w:rsidRPr="00507985">
        <w:rPr>
          <w:rFonts w:asciiTheme="majorBidi" w:hAnsiTheme="majorBidi" w:cstheme="majorBidi"/>
          <w:szCs w:val="24"/>
        </w:rPr>
        <w:t xml:space="preserve"> </w:t>
      </w:r>
      <w:r w:rsidRPr="00507985">
        <w:rPr>
          <w:rFonts w:asciiTheme="majorBidi" w:hAnsiTheme="majorBidi" w:cstheme="majorBidi"/>
          <w:i/>
          <w:iCs/>
          <w:szCs w:val="24"/>
        </w:rPr>
        <w:t>for</w:t>
      </w:r>
      <w:r w:rsidRPr="00507985">
        <w:rPr>
          <w:rFonts w:asciiTheme="majorBidi" w:hAnsiTheme="majorBidi" w:cstheme="majorBidi"/>
          <w:szCs w:val="24"/>
        </w:rPr>
        <w:t xml:space="preserve"> advance, until they draw near to the battle line of the enemy” (</w:t>
      </w:r>
      <w:r w:rsidRPr="00507985">
        <w:rPr>
          <w:rFonts w:asciiTheme="majorBidi" w:hAnsiTheme="majorBidi" w:cstheme="majorBidi"/>
          <w:szCs w:val="24"/>
          <w:rtl/>
          <w:lang w:bidi="he-IL"/>
        </w:rPr>
        <w:t>ובעומדם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שלושה</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סדרים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יתקעו</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להם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הכוהנים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תרועה</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שנית</w:t>
      </w:r>
      <w:r w:rsidRPr="00507985">
        <w:rPr>
          <w:rFonts w:asciiTheme="majorBidi" w:hAnsiTheme="majorBidi" w:cstheme="majorBidi"/>
          <w:szCs w:val="24"/>
          <w:rtl/>
        </w:rPr>
        <w:t xml:space="preserve"> </w:t>
      </w:r>
      <w:r w:rsidRPr="00507985">
        <w:rPr>
          <w:rFonts w:asciiTheme="majorBidi" w:hAnsiTheme="majorBidi" w:cstheme="majorBidi"/>
          <w:szCs w:val="24"/>
          <w:u w:val="single"/>
          <w:rtl/>
          <w:lang w:bidi="he-IL"/>
        </w:rPr>
        <w:t>קול</w:t>
      </w:r>
      <w:r w:rsidRPr="00507985">
        <w:rPr>
          <w:rFonts w:asciiTheme="majorBidi" w:hAnsiTheme="majorBidi" w:cstheme="majorBidi"/>
          <w:szCs w:val="24"/>
          <w:u w:val="single"/>
          <w:rtl/>
        </w:rPr>
        <w:t xml:space="preserve"> </w:t>
      </w:r>
      <w:r w:rsidRPr="00507985">
        <w:rPr>
          <w:rFonts w:asciiTheme="majorBidi" w:hAnsiTheme="majorBidi" w:cstheme="majorBidi"/>
          <w:szCs w:val="24"/>
          <w:u w:val="single"/>
          <w:rtl/>
          <w:lang w:bidi="he-IL"/>
        </w:rPr>
        <w:t>נוח</w:t>
      </w:r>
      <w:r w:rsidRPr="00507985">
        <w:rPr>
          <w:rFonts w:asciiTheme="majorBidi" w:hAnsiTheme="majorBidi" w:cstheme="majorBidi"/>
          <w:szCs w:val="24"/>
          <w:u w:val="single"/>
          <w:rtl/>
        </w:rPr>
        <w:t xml:space="preserve"> </w:t>
      </w:r>
      <w:r w:rsidRPr="00507985">
        <w:rPr>
          <w:rFonts w:asciiTheme="majorBidi" w:hAnsiTheme="majorBidi" w:cstheme="majorBidi"/>
          <w:szCs w:val="24"/>
          <w:u w:val="single"/>
          <w:rtl/>
          <w:lang w:bidi="he-IL"/>
        </w:rPr>
        <w:t>וסמוך</w:t>
      </w:r>
      <w:r w:rsidRPr="00507985">
        <w:rPr>
          <w:rFonts w:asciiTheme="majorBidi" w:hAnsiTheme="majorBidi" w:cstheme="majorBidi"/>
          <w:szCs w:val="24"/>
          <w:u w:val="single"/>
          <w:rtl/>
        </w:rPr>
        <w:t xml:space="preserve"> </w:t>
      </w:r>
      <w:r w:rsidRPr="00507985">
        <w:rPr>
          <w:rFonts w:asciiTheme="majorBidi" w:hAnsiTheme="majorBidi" w:cstheme="majorBidi"/>
          <w:szCs w:val="24"/>
          <w:u w:val="single"/>
          <w:rtl/>
          <w:lang w:bidi="he-IL"/>
        </w:rPr>
        <w:t>ידי</w:t>
      </w:r>
      <w:r w:rsidRPr="00507985">
        <w:rPr>
          <w:rFonts w:asciiTheme="majorBidi" w:hAnsiTheme="majorBidi" w:cstheme="majorBidi"/>
          <w:szCs w:val="24"/>
          <w:u w:val="single"/>
          <w:rtl/>
        </w:rPr>
        <w:t xml:space="preserve"> </w:t>
      </w:r>
      <w:r w:rsidRPr="00507985">
        <w:rPr>
          <w:rFonts w:asciiTheme="majorBidi" w:hAnsiTheme="majorBidi" w:cstheme="majorBidi"/>
          <w:szCs w:val="24"/>
          <w:u w:val="single"/>
          <w:rtl/>
          <w:lang w:bidi="he-IL"/>
        </w:rPr>
        <w:t>מפשע</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עד</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קורבם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למערכת</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האויב</w:t>
      </w:r>
      <w:r w:rsidRPr="00507985">
        <w:rPr>
          <w:rFonts w:asciiTheme="majorBidi" w:hAnsiTheme="majorBidi" w:cstheme="majorBidi"/>
          <w:szCs w:val="24"/>
        </w:rPr>
        <w:t>; so also in 1QM 8:11</w:t>
      </w:r>
      <w:r w:rsidRPr="00507985">
        <w:rPr>
          <w:rFonts w:asciiTheme="majorBidi" w:hAnsiTheme="majorBidi" w:cstheme="majorBidi"/>
          <w:szCs w:val="24"/>
          <w:rtl/>
        </w:rPr>
        <w:t>–</w:t>
      </w:r>
      <w:r w:rsidRPr="00507985">
        <w:rPr>
          <w:rFonts w:asciiTheme="majorBidi" w:hAnsiTheme="majorBidi" w:cstheme="majorBidi"/>
          <w:szCs w:val="24"/>
        </w:rPr>
        <w:t>13; 16:5</w:t>
      </w:r>
      <w:r w:rsidRPr="00507985">
        <w:rPr>
          <w:rFonts w:asciiTheme="majorBidi" w:hAnsiTheme="majorBidi" w:cstheme="majorBidi"/>
          <w:szCs w:val="24"/>
          <w:rtl/>
        </w:rPr>
        <w:t>–</w:t>
      </w:r>
      <w:r w:rsidRPr="00507985">
        <w:rPr>
          <w:rFonts w:asciiTheme="majorBidi" w:hAnsiTheme="majorBidi" w:cstheme="majorBidi"/>
          <w:szCs w:val="24"/>
        </w:rPr>
        <w:t>6; 17:11</w:t>
      </w:r>
      <w:r w:rsidRPr="00507985">
        <w:rPr>
          <w:rFonts w:asciiTheme="majorBidi" w:hAnsiTheme="majorBidi" w:cstheme="majorBidi"/>
          <w:szCs w:val="24"/>
          <w:rtl/>
        </w:rPr>
        <w:t>–</w:t>
      </w:r>
      <w:r w:rsidRPr="00507985">
        <w:rPr>
          <w:rFonts w:asciiTheme="majorBidi" w:hAnsiTheme="majorBidi" w:cstheme="majorBidi"/>
          <w:szCs w:val="24"/>
        </w:rPr>
        <w:t>12).</w:t>
      </w:r>
      <w:r w:rsidR="00440EE3" w:rsidRPr="00507985">
        <w:rPr>
          <w:rFonts w:asciiTheme="majorBidi" w:hAnsiTheme="majorBidi" w:cstheme="majorBidi"/>
          <w:szCs w:val="24"/>
        </w:rPr>
        <w:t xml:space="preserve"> </w:t>
      </w:r>
    </w:p>
  </w:footnote>
  <w:footnote w:id="22">
    <w:p w14:paraId="48E6FD44" w14:textId="77777777" w:rsidR="005433A8" w:rsidRPr="00507985" w:rsidRDefault="005433A8">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Sukenik, </w:t>
      </w:r>
      <w:r w:rsidRPr="00507985">
        <w:rPr>
          <w:rFonts w:asciiTheme="majorBidi" w:hAnsiTheme="majorBidi" w:cstheme="majorBidi"/>
          <w:szCs w:val="24"/>
          <w:rtl/>
          <w:lang w:bidi="he-IL"/>
        </w:rPr>
        <w:t>מגילות</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גנוזות</w:t>
      </w:r>
      <w:r w:rsidRPr="00507985">
        <w:rPr>
          <w:rFonts w:asciiTheme="majorBidi" w:hAnsiTheme="majorBidi" w:cstheme="majorBidi"/>
          <w:szCs w:val="24"/>
        </w:rPr>
        <w:t>, 25.</w:t>
      </w:r>
    </w:p>
  </w:footnote>
  <w:footnote w:id="23">
    <w:p w14:paraId="608F0706" w14:textId="21CD8464" w:rsidR="005433A8" w:rsidRPr="00507985" w:rsidRDefault="005433A8" w:rsidP="00507985">
      <w:pPr>
        <w:pStyle w:val="FootnoteText"/>
        <w:rPr>
          <w:rFonts w:asciiTheme="majorBidi" w:hAnsiTheme="majorBidi" w:cstheme="majorBidi"/>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Yadin, The Scroll of the War, 9</w:t>
      </w:r>
      <w:r w:rsidR="00E80886" w:rsidRPr="00507985">
        <w:rPr>
          <w:rFonts w:asciiTheme="majorBidi" w:hAnsiTheme="majorBidi" w:cstheme="majorBidi"/>
          <w:szCs w:val="24"/>
          <w:rtl/>
          <w:lang w:bidi="he-IL"/>
        </w:rPr>
        <w:t>9</w:t>
      </w:r>
      <w:r w:rsidRPr="00507985">
        <w:rPr>
          <w:rFonts w:asciiTheme="majorBidi" w:hAnsiTheme="majorBidi" w:cstheme="majorBidi"/>
          <w:szCs w:val="24"/>
        </w:rPr>
        <w:t>–</w:t>
      </w:r>
      <w:r w:rsidR="00E80886" w:rsidRPr="00507985">
        <w:rPr>
          <w:rFonts w:asciiTheme="majorBidi" w:hAnsiTheme="majorBidi" w:cstheme="majorBidi"/>
          <w:szCs w:val="24"/>
          <w:rtl/>
          <w:lang w:bidi="he-IL"/>
        </w:rPr>
        <w:t>100</w:t>
      </w:r>
      <w:r w:rsidRPr="00507985">
        <w:rPr>
          <w:rFonts w:asciiTheme="majorBidi" w:hAnsiTheme="majorBidi" w:cstheme="majorBidi"/>
          <w:szCs w:val="24"/>
        </w:rPr>
        <w:t xml:space="preserve">. </w:t>
      </w:r>
    </w:p>
  </w:footnote>
  <w:footnote w:id="24">
    <w:p w14:paraId="17FE6311" w14:textId="46D318EE" w:rsidR="005433A8" w:rsidRPr="00507985" w:rsidRDefault="005433A8" w:rsidP="00507985">
      <w:pPr>
        <w:pStyle w:val="FootnoteText"/>
        <w:rPr>
          <w:rFonts w:asciiTheme="majorBidi" w:hAnsiTheme="majorBidi" w:cstheme="majorBidi"/>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Yalon, </w:t>
      </w:r>
      <w:r w:rsidRPr="00507985">
        <w:rPr>
          <w:rFonts w:asciiTheme="majorBidi" w:hAnsiTheme="majorBidi" w:cstheme="majorBidi"/>
          <w:szCs w:val="24"/>
          <w:rtl/>
        </w:rPr>
        <w:t>"</w:t>
      </w:r>
      <w:r w:rsidRPr="00507985">
        <w:rPr>
          <w:rFonts w:asciiTheme="majorBidi" w:hAnsiTheme="majorBidi" w:cstheme="majorBidi"/>
          <w:szCs w:val="24"/>
          <w:rtl/>
          <w:lang w:bidi="he-IL"/>
        </w:rPr>
        <w:t>,ללשון</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המגילו</w:t>
      </w:r>
      <w:r w:rsidR="002C331F" w:rsidRPr="00507985">
        <w:rPr>
          <w:rFonts w:asciiTheme="majorBidi" w:hAnsiTheme="majorBidi" w:cstheme="majorBidi" w:hint="eastAsia"/>
          <w:szCs w:val="24"/>
          <w:rtl/>
          <w:lang w:bidi="he-IL"/>
        </w:rPr>
        <w:t>ת</w:t>
      </w:r>
      <w:r w:rsidRPr="00507985">
        <w:rPr>
          <w:rFonts w:asciiTheme="majorBidi" w:hAnsiTheme="majorBidi" w:cstheme="majorBidi"/>
          <w:szCs w:val="24"/>
          <w:rtl/>
        </w:rPr>
        <w:t>"</w:t>
      </w:r>
      <w:r w:rsidRPr="00507985">
        <w:rPr>
          <w:rFonts w:asciiTheme="majorBidi" w:hAnsiTheme="majorBidi" w:cstheme="majorBidi"/>
          <w:szCs w:val="24"/>
        </w:rPr>
        <w:t xml:space="preserve"> 287; Yadin, </w:t>
      </w:r>
      <w:r w:rsidRPr="00507985">
        <w:rPr>
          <w:rFonts w:asciiTheme="majorBidi" w:hAnsiTheme="majorBidi" w:cstheme="majorBidi"/>
          <w:i/>
          <w:iCs/>
          <w:szCs w:val="24"/>
        </w:rPr>
        <w:t>The Scroll of the War</w:t>
      </w:r>
      <w:r w:rsidRPr="00507985">
        <w:rPr>
          <w:rFonts w:asciiTheme="majorBidi" w:hAnsiTheme="majorBidi" w:cstheme="majorBidi"/>
          <w:szCs w:val="24"/>
        </w:rPr>
        <w:t xml:space="preserve">, </w:t>
      </w:r>
      <w:r w:rsidR="00F63D8F" w:rsidRPr="00507985">
        <w:rPr>
          <w:rFonts w:asciiTheme="majorBidi" w:hAnsiTheme="majorBidi" w:cstheme="majorBidi"/>
          <w:szCs w:val="24"/>
        </w:rPr>
        <w:t>103</w:t>
      </w:r>
      <w:r w:rsidR="00F63D8F" w:rsidRPr="00507985">
        <w:rPr>
          <w:rFonts w:asciiTheme="majorBidi" w:hAnsiTheme="majorBidi" w:cstheme="majorBidi"/>
          <w:szCs w:val="24"/>
          <w:rtl/>
        </w:rPr>
        <w:t>–</w:t>
      </w:r>
      <w:r w:rsidR="00F63D8F" w:rsidRPr="00507985">
        <w:rPr>
          <w:rFonts w:asciiTheme="majorBidi" w:hAnsiTheme="majorBidi" w:cstheme="majorBidi"/>
          <w:szCs w:val="24"/>
        </w:rPr>
        <w:t>104</w:t>
      </w:r>
      <w:r w:rsidRPr="00507985">
        <w:rPr>
          <w:rFonts w:asciiTheme="majorBidi" w:hAnsiTheme="majorBidi" w:cstheme="majorBidi"/>
          <w:szCs w:val="24"/>
        </w:rPr>
        <w:t xml:space="preserve">; Duhaime, “War Scroll,” 113; García Martínez, </w:t>
      </w:r>
      <w:r w:rsidRPr="00507985">
        <w:rPr>
          <w:rFonts w:asciiTheme="majorBidi" w:hAnsiTheme="majorBidi" w:cstheme="majorBidi"/>
          <w:i/>
          <w:iCs/>
          <w:szCs w:val="24"/>
        </w:rPr>
        <w:t>The Dead Sea Scrolls Translated</w:t>
      </w:r>
      <w:r w:rsidRPr="00507985">
        <w:rPr>
          <w:rFonts w:asciiTheme="majorBidi" w:hAnsiTheme="majorBidi" w:cstheme="majorBidi"/>
          <w:szCs w:val="24"/>
        </w:rPr>
        <w:t xml:space="preserve">, 101; </w:t>
      </w:r>
      <w:r w:rsidR="00F10E57" w:rsidRPr="00507985">
        <w:rPr>
          <w:rFonts w:asciiTheme="majorBidi" w:hAnsiTheme="majorBidi" w:cstheme="majorBidi"/>
          <w:spacing w:val="-4"/>
          <w:szCs w:val="24"/>
        </w:rPr>
        <w:t xml:space="preserve">Geza Vermes, </w:t>
      </w:r>
      <w:r w:rsidR="00F10E57" w:rsidRPr="00507985">
        <w:rPr>
          <w:rFonts w:asciiTheme="majorBidi" w:hAnsiTheme="majorBidi" w:cstheme="majorBidi"/>
          <w:i/>
          <w:iCs/>
          <w:spacing w:val="-4"/>
          <w:szCs w:val="24"/>
        </w:rPr>
        <w:t>The Dead Sea Scrolls in English</w:t>
      </w:r>
      <w:r w:rsidR="00F10E57" w:rsidRPr="00507985">
        <w:rPr>
          <w:rFonts w:asciiTheme="majorBidi" w:hAnsiTheme="majorBidi" w:cstheme="majorBidi"/>
          <w:spacing w:val="-4"/>
          <w:szCs w:val="24"/>
        </w:rPr>
        <w:t>, 133</w:t>
      </w:r>
      <w:r w:rsidR="00F10E57" w:rsidRPr="00507985">
        <w:rPr>
          <w:rFonts w:asciiTheme="majorBidi" w:hAnsiTheme="majorBidi" w:cstheme="majorBidi"/>
          <w:spacing w:val="-4"/>
          <w:szCs w:val="24"/>
          <w:lang w:bidi="he-IL"/>
        </w:rPr>
        <w:t xml:space="preserve">; </w:t>
      </w:r>
      <w:r w:rsidRPr="00507985">
        <w:rPr>
          <w:rFonts w:asciiTheme="majorBidi" w:hAnsiTheme="majorBidi" w:cstheme="majorBidi"/>
          <w:szCs w:val="24"/>
        </w:rPr>
        <w:t xml:space="preserve">Geza Vermes, </w:t>
      </w:r>
      <w:r w:rsidRPr="00507985">
        <w:rPr>
          <w:rFonts w:asciiTheme="majorBidi" w:hAnsiTheme="majorBidi" w:cstheme="majorBidi"/>
          <w:i/>
          <w:iCs/>
          <w:szCs w:val="24"/>
        </w:rPr>
        <w:t>The Complete Dead Sea Scrolls in English</w:t>
      </w:r>
      <w:r w:rsidRPr="00507985">
        <w:rPr>
          <w:rFonts w:asciiTheme="majorBidi" w:hAnsiTheme="majorBidi" w:cstheme="majorBidi"/>
          <w:szCs w:val="24"/>
        </w:rPr>
        <w:t xml:space="preserve"> (London: Allen Lane, 1997), 171; Wise, Abegg</w:t>
      </w:r>
      <w:r w:rsidR="00B978E9" w:rsidRPr="00507985">
        <w:rPr>
          <w:rFonts w:asciiTheme="majorBidi" w:hAnsiTheme="majorBidi" w:cstheme="majorBidi"/>
          <w:szCs w:val="24"/>
        </w:rPr>
        <w:t>,</w:t>
      </w:r>
      <w:r w:rsidRPr="00507985">
        <w:rPr>
          <w:rFonts w:asciiTheme="majorBidi" w:hAnsiTheme="majorBidi" w:cstheme="majorBidi"/>
          <w:szCs w:val="24"/>
        </w:rPr>
        <w:t xml:space="preserve"> and Cook, </w:t>
      </w:r>
      <w:r w:rsidRPr="00507985">
        <w:rPr>
          <w:rFonts w:asciiTheme="majorBidi" w:hAnsiTheme="majorBidi" w:cstheme="majorBidi"/>
          <w:i/>
          <w:iCs/>
          <w:szCs w:val="24"/>
        </w:rPr>
        <w:t>The Dead Sea Scrolls: A New Translation</w:t>
      </w:r>
      <w:r w:rsidR="001C738D" w:rsidRPr="00507985">
        <w:rPr>
          <w:rFonts w:asciiTheme="majorBidi" w:hAnsiTheme="majorBidi" w:cstheme="majorBidi"/>
          <w:szCs w:val="24"/>
        </w:rPr>
        <w:t xml:space="preserve">, </w:t>
      </w:r>
      <w:r w:rsidRPr="00507985">
        <w:rPr>
          <w:rFonts w:asciiTheme="majorBidi" w:hAnsiTheme="majorBidi" w:cstheme="majorBidi"/>
          <w:szCs w:val="24"/>
        </w:rPr>
        <w:t>158</w:t>
      </w:r>
      <w:r w:rsidR="00B978E9" w:rsidRPr="00507985">
        <w:rPr>
          <w:rFonts w:asciiTheme="majorBidi" w:hAnsiTheme="majorBidi" w:cstheme="majorBidi"/>
          <w:szCs w:val="24"/>
        </w:rPr>
        <w:t xml:space="preserve">; </w:t>
      </w:r>
      <w:r w:rsidRPr="00507985">
        <w:rPr>
          <w:rFonts w:asciiTheme="majorBidi" w:hAnsiTheme="majorBidi" w:cstheme="majorBidi"/>
          <w:szCs w:val="24"/>
        </w:rPr>
        <w:t xml:space="preserve">Ludwig Koehler and Walter Baumgartner, </w:t>
      </w:r>
      <w:r w:rsidRPr="00507985">
        <w:rPr>
          <w:rFonts w:asciiTheme="majorBidi" w:hAnsiTheme="majorBidi" w:cstheme="majorBidi"/>
          <w:i/>
          <w:iCs/>
          <w:szCs w:val="24"/>
        </w:rPr>
        <w:t>The Hebrew and Aramaic Lexicon of the Old Testament</w:t>
      </w:r>
      <w:r w:rsidR="00C669F0" w:rsidRPr="00507985">
        <w:rPr>
          <w:rFonts w:asciiTheme="majorBidi" w:hAnsiTheme="majorBidi" w:cstheme="majorBidi"/>
          <w:szCs w:val="24"/>
        </w:rPr>
        <w:t xml:space="preserve"> (</w:t>
      </w:r>
      <w:r w:rsidR="00C669F0" w:rsidRPr="00507985">
        <w:rPr>
          <w:rFonts w:asciiTheme="majorBidi" w:hAnsiTheme="majorBidi" w:cstheme="majorBidi"/>
          <w:i/>
          <w:iCs/>
          <w:szCs w:val="24"/>
        </w:rPr>
        <w:t>HALOT</w:t>
      </w:r>
      <w:r w:rsidR="00C669F0" w:rsidRPr="00507985">
        <w:rPr>
          <w:rFonts w:asciiTheme="majorBidi" w:hAnsiTheme="majorBidi" w:cstheme="majorBidi"/>
          <w:szCs w:val="24"/>
        </w:rPr>
        <w:t>)</w:t>
      </w:r>
      <w:r w:rsidRPr="00507985">
        <w:rPr>
          <w:rFonts w:asciiTheme="majorBidi" w:hAnsiTheme="majorBidi" w:cstheme="majorBidi"/>
          <w:szCs w:val="24"/>
        </w:rPr>
        <w:t xml:space="preserve"> </w:t>
      </w:r>
      <w:r w:rsidR="00025F85" w:rsidRPr="00507985">
        <w:rPr>
          <w:rFonts w:asciiTheme="majorBidi" w:hAnsiTheme="majorBidi" w:cstheme="majorBidi"/>
          <w:szCs w:val="24"/>
        </w:rPr>
        <w:t>5 vols.</w:t>
      </w:r>
      <w:r w:rsidRPr="00507985">
        <w:rPr>
          <w:rFonts w:asciiTheme="majorBidi" w:hAnsiTheme="majorBidi" w:cstheme="majorBidi"/>
          <w:szCs w:val="24"/>
        </w:rPr>
        <w:t xml:space="preserve"> (Leiden: Brill</w:t>
      </w:r>
      <w:r w:rsidR="00025F85" w:rsidRPr="00507985">
        <w:rPr>
          <w:rFonts w:asciiTheme="majorBidi" w:hAnsiTheme="majorBidi" w:cstheme="majorBidi"/>
          <w:szCs w:val="24"/>
        </w:rPr>
        <w:t>, 2001</w:t>
      </w:r>
      <w:r w:rsidRPr="00507985">
        <w:rPr>
          <w:rFonts w:asciiTheme="majorBidi" w:hAnsiTheme="majorBidi" w:cstheme="majorBidi"/>
          <w:szCs w:val="24"/>
        </w:rPr>
        <w:t>)</w:t>
      </w:r>
      <w:r w:rsidR="00025F85" w:rsidRPr="00507985">
        <w:rPr>
          <w:rFonts w:asciiTheme="majorBidi" w:hAnsiTheme="majorBidi" w:cstheme="majorBidi"/>
          <w:szCs w:val="24"/>
        </w:rPr>
        <w:t>, 4:</w:t>
      </w:r>
      <w:r w:rsidRPr="00507985">
        <w:rPr>
          <w:rFonts w:asciiTheme="majorBidi" w:hAnsiTheme="majorBidi" w:cstheme="majorBidi"/>
          <w:szCs w:val="24"/>
        </w:rPr>
        <w:t>1189;</w:t>
      </w:r>
      <w:r w:rsidRPr="00507985">
        <w:rPr>
          <w:rFonts w:asciiTheme="majorBidi" w:hAnsiTheme="majorBidi" w:cstheme="majorBidi"/>
          <w:szCs w:val="24"/>
          <w:rtl/>
        </w:rPr>
        <w:t xml:space="preserve"> </w:t>
      </w:r>
      <w:r w:rsidRPr="00507985">
        <w:rPr>
          <w:rFonts w:asciiTheme="majorBidi" w:hAnsiTheme="majorBidi" w:cstheme="majorBidi"/>
          <w:szCs w:val="24"/>
        </w:rPr>
        <w:t xml:space="preserve">Florentino García Martínez and Eibert J. C. Tigchelaar, </w:t>
      </w:r>
      <w:r w:rsidRPr="00507985">
        <w:rPr>
          <w:rFonts w:asciiTheme="majorBidi" w:hAnsiTheme="majorBidi" w:cstheme="majorBidi"/>
          <w:i/>
          <w:iCs/>
          <w:szCs w:val="24"/>
        </w:rPr>
        <w:t>The Dead Sea Scrolls Study Edition</w:t>
      </w:r>
      <w:r w:rsidRPr="00507985">
        <w:rPr>
          <w:rFonts w:asciiTheme="majorBidi" w:hAnsiTheme="majorBidi" w:cstheme="majorBidi"/>
          <w:szCs w:val="24"/>
        </w:rPr>
        <w:t>, Vol. 1 (Leiden: Brill, 1997), 127;</w:t>
      </w:r>
      <w:r w:rsidRPr="00507985">
        <w:rPr>
          <w:rFonts w:asciiTheme="majorBidi" w:hAnsiTheme="majorBidi" w:cstheme="majorBidi"/>
          <w:szCs w:val="24"/>
          <w:rtl/>
        </w:rPr>
        <w:t xml:space="preserve"> </w:t>
      </w:r>
      <w:r w:rsidRPr="00507985">
        <w:rPr>
          <w:rFonts w:asciiTheme="majorBidi" w:hAnsiTheme="majorBidi" w:cstheme="majorBidi"/>
          <w:szCs w:val="24"/>
        </w:rPr>
        <w:t xml:space="preserve">Parry, Tov and Clements, </w:t>
      </w:r>
      <w:r w:rsidRPr="00507985">
        <w:rPr>
          <w:rFonts w:asciiTheme="majorBidi" w:hAnsiTheme="majorBidi" w:cstheme="majorBidi"/>
          <w:i/>
          <w:iCs/>
          <w:szCs w:val="24"/>
        </w:rPr>
        <w:t>The Dead Sea Scrolls Reader</w:t>
      </w:r>
      <w:r w:rsidRPr="00507985">
        <w:rPr>
          <w:rFonts w:asciiTheme="majorBidi" w:hAnsiTheme="majorBidi" w:cstheme="majorBidi"/>
          <w:szCs w:val="24"/>
        </w:rPr>
        <w:t xml:space="preserve">, </w:t>
      </w:r>
      <w:r w:rsidR="00B978E9" w:rsidRPr="00507985">
        <w:rPr>
          <w:rFonts w:asciiTheme="majorBidi" w:hAnsiTheme="majorBidi" w:cstheme="majorBidi"/>
          <w:szCs w:val="24"/>
        </w:rPr>
        <w:t>1:</w:t>
      </w:r>
      <w:r w:rsidRPr="00507985">
        <w:rPr>
          <w:rFonts w:asciiTheme="majorBidi" w:hAnsiTheme="majorBidi" w:cstheme="majorBidi"/>
          <w:szCs w:val="24"/>
        </w:rPr>
        <w:t>255;</w:t>
      </w:r>
      <w:r w:rsidRPr="00507985">
        <w:rPr>
          <w:rFonts w:asciiTheme="majorBidi" w:hAnsiTheme="majorBidi" w:cstheme="majorBidi"/>
          <w:szCs w:val="24"/>
          <w:rtl/>
        </w:rPr>
        <w:t xml:space="preserve"> </w:t>
      </w:r>
      <w:r w:rsidRPr="00507985">
        <w:rPr>
          <w:rFonts w:asciiTheme="majorBidi" w:hAnsiTheme="majorBidi" w:cstheme="majorBidi"/>
          <w:szCs w:val="24"/>
        </w:rPr>
        <w:t>Robert D. Holmstedt and John Screnock, “Writing a Descriptive Gramm</w:t>
      </w:r>
      <w:r w:rsidR="00B978E9" w:rsidRPr="00507985">
        <w:rPr>
          <w:rFonts w:asciiTheme="majorBidi" w:hAnsiTheme="majorBidi" w:cstheme="majorBidi"/>
          <w:szCs w:val="24"/>
        </w:rPr>
        <w:t>a</w:t>
      </w:r>
      <w:r w:rsidRPr="00507985">
        <w:rPr>
          <w:rFonts w:asciiTheme="majorBidi" w:hAnsiTheme="majorBidi" w:cstheme="majorBidi"/>
          <w:szCs w:val="24"/>
        </w:rPr>
        <w:t>r of the Syntax and Semantics of the War Scroll (1QM): The Noun Phrase as Proof of Concept,” in</w:t>
      </w:r>
      <w:r w:rsidRPr="00507985">
        <w:rPr>
          <w:rFonts w:asciiTheme="majorBidi" w:hAnsiTheme="majorBidi" w:cstheme="majorBidi"/>
          <w:i/>
          <w:iCs/>
          <w:szCs w:val="24"/>
        </w:rPr>
        <w:t xml:space="preserve"> The War Scroll, Violence, War and Peace in the Dead Sea Scrolls and Related Literature: Essays in Honour of Martin G. Abegg on the Occasion of His 65</w:t>
      </w:r>
      <w:r w:rsidRPr="00507985">
        <w:rPr>
          <w:rFonts w:asciiTheme="majorBidi" w:hAnsiTheme="majorBidi" w:cstheme="majorBidi"/>
          <w:i/>
          <w:iCs/>
          <w:szCs w:val="24"/>
          <w:vertAlign w:val="superscript"/>
        </w:rPr>
        <w:t>th</w:t>
      </w:r>
      <w:r w:rsidRPr="00507985">
        <w:rPr>
          <w:rFonts w:asciiTheme="majorBidi" w:hAnsiTheme="majorBidi" w:cstheme="majorBidi"/>
          <w:i/>
          <w:iCs/>
          <w:szCs w:val="24"/>
        </w:rPr>
        <w:t xml:space="preserve"> Birthday</w:t>
      </w:r>
      <w:r w:rsidRPr="00507985">
        <w:rPr>
          <w:rFonts w:asciiTheme="majorBidi" w:hAnsiTheme="majorBidi" w:cstheme="majorBidi"/>
          <w:szCs w:val="24"/>
        </w:rPr>
        <w:t>, ed. Kipp Davis et al. (Leiden: Brill, 2016), 92</w:t>
      </w:r>
      <w:r w:rsidRPr="00507985">
        <w:rPr>
          <w:rFonts w:asciiTheme="majorBidi" w:hAnsiTheme="majorBidi" w:cstheme="majorBidi"/>
          <w:szCs w:val="24"/>
          <w:rtl/>
        </w:rPr>
        <w:t>.</w:t>
      </w:r>
    </w:p>
  </w:footnote>
  <w:footnote w:id="25">
    <w:p w14:paraId="152B3B00" w14:textId="77777777" w:rsidR="005433A8" w:rsidRPr="00507985" w:rsidRDefault="005433A8">
      <w:pPr>
        <w:pStyle w:val="FootnoteText"/>
        <w:rPr>
          <w:rFonts w:asciiTheme="majorBidi" w:hAnsiTheme="majorBidi" w:cstheme="majorBidi"/>
          <w:szCs w:val="24"/>
          <w:lang w:bidi="he-IL"/>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Sukenik, </w:t>
      </w:r>
      <w:r w:rsidRPr="00507985">
        <w:rPr>
          <w:rFonts w:asciiTheme="majorBidi" w:hAnsiTheme="majorBidi" w:cstheme="majorBidi"/>
          <w:szCs w:val="24"/>
          <w:rtl/>
          <w:lang w:bidi="he-IL"/>
        </w:rPr>
        <w:t>מגילות</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גנוזות</w:t>
      </w:r>
      <w:r w:rsidRPr="00507985">
        <w:rPr>
          <w:rFonts w:asciiTheme="majorBidi" w:hAnsiTheme="majorBidi" w:cstheme="majorBidi"/>
          <w:szCs w:val="24"/>
          <w:lang w:bidi="he-IL"/>
        </w:rPr>
        <w:t>, 25.</w:t>
      </w:r>
    </w:p>
  </w:footnote>
  <w:footnote w:id="26">
    <w:p w14:paraId="36832ED7" w14:textId="77777777" w:rsidR="005433A8" w:rsidRPr="00507985" w:rsidRDefault="005433A8">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tl/>
        </w:rPr>
        <w:t xml:space="preserve"> </w:t>
      </w:r>
      <w:r w:rsidRPr="00507985">
        <w:rPr>
          <w:rFonts w:asciiTheme="majorBidi" w:hAnsiTheme="majorBidi" w:cstheme="majorBidi"/>
          <w:szCs w:val="24"/>
        </w:rPr>
        <w:t xml:space="preserve">Godfrey R. Driver, </w:t>
      </w:r>
      <w:r w:rsidRPr="00507985">
        <w:rPr>
          <w:rFonts w:asciiTheme="majorBidi" w:hAnsiTheme="majorBidi" w:cstheme="majorBidi"/>
          <w:i/>
          <w:iCs/>
          <w:szCs w:val="24"/>
        </w:rPr>
        <w:t>The Judaean Scrolls: The Problem and a Solution</w:t>
      </w:r>
      <w:r w:rsidRPr="00507985">
        <w:rPr>
          <w:rFonts w:asciiTheme="majorBidi" w:hAnsiTheme="majorBidi" w:cstheme="majorBidi"/>
          <w:szCs w:val="24"/>
        </w:rPr>
        <w:t xml:space="preserve"> (Oxford: Blackwell, 1966), 173; On “ostinato,” see Michael Kennedy, Joyce Kennedy, and Tim Rutherford-Johnson, eds., </w:t>
      </w:r>
      <w:r w:rsidRPr="00507985">
        <w:rPr>
          <w:rFonts w:asciiTheme="majorBidi" w:hAnsiTheme="majorBidi" w:cstheme="majorBidi"/>
          <w:i/>
          <w:iCs/>
          <w:szCs w:val="24"/>
        </w:rPr>
        <w:t>The Oxford Dictionary of Music</w:t>
      </w:r>
      <w:r w:rsidRPr="00507985">
        <w:rPr>
          <w:rFonts w:asciiTheme="majorBidi" w:hAnsiTheme="majorBidi" w:cstheme="majorBidi"/>
          <w:szCs w:val="24"/>
        </w:rPr>
        <w:t>, 6</w:t>
      </w:r>
      <w:r w:rsidRPr="00507985">
        <w:rPr>
          <w:rFonts w:asciiTheme="majorBidi" w:hAnsiTheme="majorBidi" w:cstheme="majorBidi"/>
          <w:szCs w:val="24"/>
          <w:vertAlign w:val="superscript"/>
        </w:rPr>
        <w:t>th</w:t>
      </w:r>
      <w:r w:rsidRPr="00507985">
        <w:rPr>
          <w:rFonts w:asciiTheme="majorBidi" w:hAnsiTheme="majorBidi" w:cstheme="majorBidi"/>
          <w:szCs w:val="24"/>
        </w:rPr>
        <w:t xml:space="preserve"> ed. (Oxford: Oxford University Press, 2013), 624.</w:t>
      </w:r>
    </w:p>
  </w:footnote>
  <w:footnote w:id="27">
    <w:p w14:paraId="61A8BEA7" w14:textId="77777777" w:rsidR="005433A8" w:rsidRPr="00507985" w:rsidRDefault="005433A8">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John Screnock, “Word Order in the War Scroll (1QM) and Its Implications for Interpretation,” </w:t>
      </w:r>
      <w:r w:rsidRPr="00507985">
        <w:rPr>
          <w:rFonts w:asciiTheme="majorBidi" w:hAnsiTheme="majorBidi" w:cstheme="majorBidi"/>
          <w:i/>
          <w:iCs/>
          <w:szCs w:val="24"/>
        </w:rPr>
        <w:t>DSD</w:t>
      </w:r>
      <w:r w:rsidRPr="00507985">
        <w:rPr>
          <w:rFonts w:asciiTheme="majorBidi" w:hAnsiTheme="majorBidi" w:cstheme="majorBidi"/>
          <w:szCs w:val="24"/>
        </w:rPr>
        <w:t xml:space="preserve"> 18 (2011): 29</w:t>
      </w:r>
      <w:r w:rsidRPr="00507985">
        <w:rPr>
          <w:rFonts w:asciiTheme="majorBidi" w:hAnsiTheme="majorBidi" w:cstheme="majorBidi"/>
          <w:szCs w:val="24"/>
          <w:rtl/>
        </w:rPr>
        <w:t>–</w:t>
      </w:r>
      <w:r w:rsidRPr="00507985">
        <w:rPr>
          <w:rFonts w:asciiTheme="majorBidi" w:hAnsiTheme="majorBidi" w:cstheme="majorBidi"/>
          <w:szCs w:val="24"/>
        </w:rPr>
        <w:t>44, at 39 n.31. On “piano,” see</w:t>
      </w:r>
      <w:r w:rsidRPr="00507985">
        <w:rPr>
          <w:rFonts w:asciiTheme="majorBidi" w:hAnsiTheme="majorBidi" w:cstheme="majorBidi"/>
          <w:szCs w:val="24"/>
          <w:rtl/>
        </w:rPr>
        <w:t xml:space="preserve"> </w:t>
      </w:r>
      <w:r w:rsidRPr="00507985">
        <w:rPr>
          <w:rFonts w:asciiTheme="majorBidi" w:hAnsiTheme="majorBidi" w:cstheme="majorBidi"/>
          <w:szCs w:val="24"/>
        </w:rPr>
        <w:t xml:space="preserve">Kennedy, Kennedy, and Rutherford-Johnson, </w:t>
      </w:r>
      <w:r w:rsidRPr="00507985">
        <w:rPr>
          <w:rFonts w:asciiTheme="majorBidi" w:hAnsiTheme="majorBidi" w:cstheme="majorBidi"/>
          <w:i/>
          <w:iCs/>
          <w:szCs w:val="24"/>
        </w:rPr>
        <w:t>Oxford Dictionary of Music</w:t>
      </w:r>
      <w:r w:rsidRPr="00507985">
        <w:rPr>
          <w:rFonts w:asciiTheme="majorBidi" w:hAnsiTheme="majorBidi" w:cstheme="majorBidi"/>
          <w:szCs w:val="24"/>
        </w:rPr>
        <w:t>, 650.</w:t>
      </w:r>
    </w:p>
  </w:footnote>
  <w:footnote w:id="28">
    <w:p w14:paraId="21A6F0A0" w14:textId="739CD29F" w:rsidR="005433A8" w:rsidRPr="00507985" w:rsidRDefault="005433A8" w:rsidP="00507985">
      <w:pPr>
        <w:pStyle w:val="FootnoteText"/>
        <w:rPr>
          <w:rFonts w:asciiTheme="majorBidi" w:hAnsiTheme="majorBidi" w:cstheme="majorBidi"/>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Shlomo Morag, </w:t>
      </w:r>
      <w:r w:rsidRPr="00507985">
        <w:rPr>
          <w:rFonts w:asciiTheme="majorBidi" w:hAnsiTheme="majorBidi" w:cstheme="majorBidi"/>
          <w:szCs w:val="24"/>
          <w:rtl/>
          <w:lang w:bidi="he-IL"/>
        </w:rPr>
        <w:t>מחקרים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בלשון</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המקרא</w:t>
      </w:r>
      <w:r w:rsidRPr="00507985">
        <w:rPr>
          <w:rFonts w:asciiTheme="majorBidi" w:hAnsiTheme="majorBidi" w:cstheme="majorBidi"/>
          <w:szCs w:val="24"/>
        </w:rPr>
        <w:t xml:space="preserve"> (Jerusalem: Magnes, 1995), 227; </w:t>
      </w:r>
      <w:r w:rsidRPr="00507985">
        <w:rPr>
          <w:rFonts w:asciiTheme="majorBidi" w:hAnsiTheme="majorBidi" w:cstheme="majorBidi"/>
          <w:i/>
          <w:iCs/>
          <w:szCs w:val="24"/>
        </w:rPr>
        <w:t>HALOT</w:t>
      </w:r>
      <w:r w:rsidRPr="00507985">
        <w:rPr>
          <w:rFonts w:asciiTheme="majorBidi" w:hAnsiTheme="majorBidi" w:cstheme="majorBidi"/>
          <w:szCs w:val="24"/>
        </w:rPr>
        <w:t xml:space="preserve"> 4: 1189–1190; A</w:t>
      </w:r>
      <w:r w:rsidR="00E81A07" w:rsidRPr="00507985">
        <w:rPr>
          <w:rFonts w:asciiTheme="majorBidi" w:hAnsiTheme="majorBidi" w:cstheme="majorBidi"/>
          <w:szCs w:val="24"/>
        </w:rPr>
        <w:t>b</w:t>
      </w:r>
      <w:r w:rsidRPr="00507985">
        <w:rPr>
          <w:rFonts w:asciiTheme="majorBidi" w:hAnsiTheme="majorBidi" w:cstheme="majorBidi"/>
          <w:szCs w:val="24"/>
        </w:rPr>
        <w:t xml:space="preserve">raham Even-Shoshan, ed., </w:t>
      </w:r>
      <w:r w:rsidRPr="00507985">
        <w:rPr>
          <w:rFonts w:asciiTheme="majorBidi" w:hAnsiTheme="majorBidi" w:cstheme="majorBidi"/>
          <w:szCs w:val="24"/>
          <w:rtl/>
          <w:lang w:bidi="he-IL"/>
        </w:rPr>
        <w:t>קונקורדנציה</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חדשה</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לתורה</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נביאים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וכתובים</w:t>
      </w:r>
      <w:r w:rsidRPr="00507985">
        <w:rPr>
          <w:rFonts w:asciiTheme="majorBidi" w:hAnsiTheme="majorBidi" w:cstheme="majorBidi"/>
          <w:szCs w:val="24"/>
        </w:rPr>
        <w:t xml:space="preserve"> (</w:t>
      </w:r>
      <w:r w:rsidRPr="00507985">
        <w:rPr>
          <w:rFonts w:asciiTheme="majorBidi" w:hAnsiTheme="majorBidi" w:cstheme="majorBidi"/>
          <w:i/>
          <w:iCs/>
          <w:szCs w:val="24"/>
        </w:rPr>
        <w:t>A New Concordance of the Bible</w:t>
      </w:r>
      <w:r w:rsidRPr="00507985">
        <w:rPr>
          <w:rFonts w:asciiTheme="majorBidi" w:hAnsiTheme="majorBidi" w:cstheme="majorBidi"/>
          <w:szCs w:val="24"/>
        </w:rPr>
        <w:t>) (</w:t>
      </w:r>
      <w:r w:rsidR="006F200A" w:rsidRPr="00507985">
        <w:rPr>
          <w:rFonts w:asciiTheme="majorBidi" w:hAnsiTheme="majorBidi" w:cstheme="majorBidi"/>
          <w:szCs w:val="24"/>
        </w:rPr>
        <w:t>Jerusalem: ha-Milon he-Hadash</w:t>
      </w:r>
      <w:r w:rsidRPr="00507985">
        <w:rPr>
          <w:rFonts w:asciiTheme="majorBidi" w:hAnsiTheme="majorBidi" w:cstheme="majorBidi"/>
          <w:szCs w:val="24"/>
        </w:rPr>
        <w:t xml:space="preserve">, </w:t>
      </w:r>
      <w:r w:rsidR="009E052E" w:rsidRPr="00507985">
        <w:rPr>
          <w:rFonts w:asciiTheme="majorBidi" w:hAnsiTheme="majorBidi" w:cstheme="majorBidi"/>
          <w:szCs w:val="24"/>
        </w:rPr>
        <w:t>2007</w:t>
      </w:r>
      <w:r w:rsidRPr="00507985">
        <w:rPr>
          <w:rFonts w:asciiTheme="majorBidi" w:hAnsiTheme="majorBidi" w:cstheme="majorBidi"/>
          <w:szCs w:val="24"/>
        </w:rPr>
        <w:t>)</w:t>
      </w:r>
      <w:r w:rsidR="00E81A07" w:rsidRPr="00507985">
        <w:rPr>
          <w:rFonts w:asciiTheme="majorBidi" w:hAnsiTheme="majorBidi" w:cstheme="majorBidi"/>
          <w:szCs w:val="24"/>
        </w:rPr>
        <w:t>,</w:t>
      </w:r>
      <w:r w:rsidR="009E052E" w:rsidRPr="00507985">
        <w:rPr>
          <w:rFonts w:asciiTheme="majorBidi" w:hAnsiTheme="majorBidi" w:cstheme="majorBidi"/>
          <w:szCs w:val="24"/>
        </w:rPr>
        <w:t xml:space="preserve"> 1062;</w:t>
      </w:r>
      <w:r w:rsidR="00E81A07" w:rsidRPr="00507985">
        <w:rPr>
          <w:rFonts w:asciiTheme="majorBidi" w:hAnsiTheme="majorBidi" w:cstheme="majorBidi"/>
          <w:szCs w:val="24"/>
        </w:rPr>
        <w:t xml:space="preserve"> </w:t>
      </w:r>
      <w:r w:rsidRPr="00507985">
        <w:rPr>
          <w:rFonts w:asciiTheme="majorBidi" w:hAnsiTheme="majorBidi" w:cstheme="majorBidi"/>
          <w:szCs w:val="24"/>
        </w:rPr>
        <w:t xml:space="preserve">Menahem Zevi Kaddari, </w:t>
      </w:r>
      <w:r w:rsidRPr="00507985">
        <w:rPr>
          <w:rFonts w:asciiTheme="majorBidi" w:hAnsiTheme="majorBidi" w:cstheme="majorBidi"/>
          <w:szCs w:val="24"/>
          <w:rtl/>
          <w:lang w:bidi="he-IL"/>
        </w:rPr>
        <w:t>מילון</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העברית</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המקראית</w:t>
      </w:r>
      <w:r w:rsidRPr="00507985">
        <w:rPr>
          <w:rFonts w:asciiTheme="majorBidi" w:hAnsiTheme="majorBidi" w:cstheme="majorBidi"/>
          <w:szCs w:val="24"/>
          <w:rtl/>
        </w:rPr>
        <w:t xml:space="preserve"> - </w:t>
      </w:r>
      <w:r w:rsidRPr="00507985">
        <w:rPr>
          <w:rFonts w:asciiTheme="majorBidi" w:hAnsiTheme="majorBidi" w:cstheme="majorBidi"/>
          <w:szCs w:val="24"/>
          <w:rtl/>
          <w:lang w:bidi="he-IL"/>
        </w:rPr>
        <w:t>אוצר</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לשון</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המקרא</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מאל"ף</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עד</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תי"ו</w:t>
      </w:r>
      <w:r w:rsidRPr="00507985">
        <w:rPr>
          <w:rFonts w:asciiTheme="majorBidi" w:hAnsiTheme="majorBidi" w:cstheme="majorBidi"/>
          <w:szCs w:val="24"/>
        </w:rPr>
        <w:t xml:space="preserve"> (</w:t>
      </w:r>
      <w:r w:rsidRPr="00507985">
        <w:rPr>
          <w:rFonts w:asciiTheme="majorBidi" w:hAnsiTheme="majorBidi" w:cstheme="majorBidi"/>
          <w:i/>
          <w:iCs/>
          <w:szCs w:val="24"/>
          <w:shd w:val="clear" w:color="auto" w:fill="FFFFFF"/>
        </w:rPr>
        <w:t>Dictionary of Biblical Hebrew</w:t>
      </w:r>
      <w:r w:rsidRPr="00507985">
        <w:rPr>
          <w:rFonts w:asciiTheme="majorBidi" w:hAnsiTheme="majorBidi" w:cstheme="majorBidi"/>
          <w:szCs w:val="24"/>
          <w:shd w:val="clear" w:color="auto" w:fill="FFFFFF"/>
        </w:rPr>
        <w:t xml:space="preserve"> </w:t>
      </w:r>
      <w:r w:rsidR="003D1DB1" w:rsidRPr="00507985">
        <w:rPr>
          <w:rFonts w:asciiTheme="majorBidi" w:hAnsiTheme="majorBidi" w:cstheme="majorBidi"/>
          <w:szCs w:val="24"/>
          <w:shd w:val="clear" w:color="auto" w:fill="FFFFFF"/>
        </w:rPr>
        <w:t>[</w:t>
      </w:r>
      <w:r w:rsidRPr="00507985">
        <w:rPr>
          <w:rFonts w:asciiTheme="majorBidi" w:hAnsiTheme="majorBidi" w:cstheme="majorBidi"/>
          <w:szCs w:val="24"/>
          <w:shd w:val="clear" w:color="auto" w:fill="FFFFFF"/>
        </w:rPr>
        <w:t>Alef-Taw</w:t>
      </w:r>
      <w:r w:rsidR="003D1DB1" w:rsidRPr="00507985">
        <w:rPr>
          <w:rFonts w:asciiTheme="majorBidi" w:hAnsiTheme="majorBidi" w:cstheme="majorBidi"/>
          <w:szCs w:val="24"/>
          <w:shd w:val="clear" w:color="auto" w:fill="FFFFFF"/>
        </w:rPr>
        <w:t>]</w:t>
      </w:r>
      <w:r w:rsidRPr="00507985">
        <w:rPr>
          <w:rFonts w:asciiTheme="majorBidi" w:hAnsiTheme="majorBidi" w:cstheme="majorBidi"/>
          <w:szCs w:val="24"/>
        </w:rPr>
        <w:t xml:space="preserve">) (Ramat Gan: Bar-Ilan University, 2006), 990; Clines, </w:t>
      </w:r>
      <w:r w:rsidRPr="00507985">
        <w:rPr>
          <w:rFonts w:asciiTheme="majorBidi" w:hAnsiTheme="majorBidi" w:cstheme="majorBidi"/>
          <w:i/>
          <w:iCs/>
          <w:szCs w:val="24"/>
        </w:rPr>
        <w:t>Dictionary</w:t>
      </w:r>
      <w:r w:rsidRPr="00507985">
        <w:rPr>
          <w:rFonts w:asciiTheme="majorBidi" w:hAnsiTheme="majorBidi" w:cstheme="majorBidi"/>
          <w:szCs w:val="24"/>
        </w:rPr>
        <w:t>, 7:419.</w:t>
      </w:r>
    </w:p>
  </w:footnote>
  <w:footnote w:id="29">
    <w:p w14:paraId="1C69E971" w14:textId="77777777" w:rsidR="005433A8" w:rsidRPr="00507985" w:rsidRDefault="005433A8">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NRSV: “who subdues the peoples under me.”</w:t>
      </w:r>
    </w:p>
  </w:footnote>
  <w:footnote w:id="30">
    <w:p w14:paraId="3C8F36F2" w14:textId="2B70309D" w:rsidR="004D316D" w:rsidRPr="00507985" w:rsidRDefault="009574B5">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w:t>
      </w:r>
      <w:r w:rsidR="004D316D" w:rsidRPr="00507985">
        <w:rPr>
          <w:rFonts w:asciiTheme="majorBidi" w:hAnsiTheme="majorBidi" w:cstheme="majorBidi"/>
          <w:szCs w:val="24"/>
        </w:rPr>
        <w:t>Saul Lieberman</w:t>
      </w:r>
      <w:r w:rsidR="00CB373F" w:rsidRPr="00507985">
        <w:rPr>
          <w:rFonts w:asciiTheme="majorBidi" w:hAnsiTheme="majorBidi" w:cstheme="majorBidi"/>
          <w:szCs w:val="24"/>
        </w:rPr>
        <w:t xml:space="preserve">, ed., </w:t>
      </w:r>
      <w:r w:rsidR="00CB373F" w:rsidRPr="00507985">
        <w:rPr>
          <w:rFonts w:asciiTheme="majorBidi" w:hAnsiTheme="majorBidi" w:cstheme="majorBidi"/>
          <w:i/>
          <w:iCs/>
          <w:szCs w:val="24"/>
        </w:rPr>
        <w:t>The Tosefta</w:t>
      </w:r>
      <w:r w:rsidR="004D316D" w:rsidRPr="00507985">
        <w:rPr>
          <w:rFonts w:asciiTheme="majorBidi" w:hAnsiTheme="majorBidi" w:cstheme="majorBidi"/>
          <w:szCs w:val="24"/>
        </w:rPr>
        <w:t xml:space="preserve"> (New York: J</w:t>
      </w:r>
      <w:r w:rsidR="00CB373F" w:rsidRPr="00507985">
        <w:rPr>
          <w:rFonts w:asciiTheme="majorBidi" w:hAnsiTheme="majorBidi" w:cstheme="majorBidi"/>
          <w:szCs w:val="24"/>
        </w:rPr>
        <w:t xml:space="preserve">ewish </w:t>
      </w:r>
      <w:r w:rsidR="004D316D" w:rsidRPr="00507985">
        <w:rPr>
          <w:rFonts w:asciiTheme="majorBidi" w:hAnsiTheme="majorBidi" w:cstheme="majorBidi"/>
          <w:szCs w:val="24"/>
        </w:rPr>
        <w:t>T</w:t>
      </w:r>
      <w:r w:rsidR="00CB373F" w:rsidRPr="00507985">
        <w:rPr>
          <w:rFonts w:asciiTheme="majorBidi" w:hAnsiTheme="majorBidi" w:cstheme="majorBidi"/>
          <w:szCs w:val="24"/>
        </w:rPr>
        <w:t xml:space="preserve">heological </w:t>
      </w:r>
      <w:r w:rsidR="004D316D" w:rsidRPr="00507985">
        <w:rPr>
          <w:rFonts w:asciiTheme="majorBidi" w:hAnsiTheme="majorBidi" w:cstheme="majorBidi"/>
          <w:szCs w:val="24"/>
        </w:rPr>
        <w:t>S</w:t>
      </w:r>
      <w:r w:rsidR="00CB373F" w:rsidRPr="00507985">
        <w:rPr>
          <w:rFonts w:asciiTheme="majorBidi" w:hAnsiTheme="majorBidi" w:cstheme="majorBidi"/>
          <w:szCs w:val="24"/>
        </w:rPr>
        <w:t>eminary of America</w:t>
      </w:r>
      <w:r w:rsidR="004D316D" w:rsidRPr="00507985">
        <w:rPr>
          <w:rFonts w:asciiTheme="majorBidi" w:hAnsiTheme="majorBidi" w:cstheme="majorBidi"/>
          <w:szCs w:val="24"/>
        </w:rPr>
        <w:t>, 1955–1988)</w:t>
      </w:r>
      <w:r w:rsidR="00CB373F" w:rsidRPr="00507985">
        <w:rPr>
          <w:rFonts w:asciiTheme="majorBidi" w:hAnsiTheme="majorBidi" w:cstheme="majorBidi"/>
          <w:szCs w:val="24"/>
        </w:rPr>
        <w:t xml:space="preserve">, Part 3: </w:t>
      </w:r>
      <w:r w:rsidR="00CB373F" w:rsidRPr="00507985">
        <w:rPr>
          <w:rFonts w:asciiTheme="majorBidi" w:hAnsiTheme="majorBidi" w:cstheme="majorBidi"/>
          <w:i/>
          <w:iCs/>
          <w:szCs w:val="24"/>
        </w:rPr>
        <w:t>Seder</w:t>
      </w:r>
      <w:r w:rsidR="00CB373F" w:rsidRPr="00507985">
        <w:rPr>
          <w:rFonts w:asciiTheme="majorBidi" w:hAnsiTheme="majorBidi" w:cstheme="majorBidi"/>
          <w:szCs w:val="24"/>
        </w:rPr>
        <w:t xml:space="preserve"> </w:t>
      </w:r>
      <w:r w:rsidR="00CB373F" w:rsidRPr="00507985">
        <w:rPr>
          <w:rFonts w:asciiTheme="majorBidi" w:hAnsiTheme="majorBidi" w:cstheme="majorBidi"/>
          <w:i/>
          <w:iCs/>
          <w:szCs w:val="24"/>
        </w:rPr>
        <w:t>Mo‘ed</w:t>
      </w:r>
      <w:r w:rsidR="004D316D" w:rsidRPr="00507985">
        <w:rPr>
          <w:rFonts w:asciiTheme="majorBidi" w:hAnsiTheme="majorBidi" w:cstheme="majorBidi"/>
          <w:szCs w:val="24"/>
        </w:rPr>
        <w:t xml:space="preserve">, 46. </w:t>
      </w:r>
    </w:p>
  </w:footnote>
  <w:footnote w:id="31">
    <w:p w14:paraId="51E47FCB" w14:textId="6C89F410" w:rsidR="005433A8" w:rsidRPr="00507985" w:rsidRDefault="005433A8">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Lieberman</w:t>
      </w:r>
      <w:r w:rsidR="00CB373F" w:rsidRPr="00507985">
        <w:rPr>
          <w:rFonts w:asciiTheme="majorBidi" w:hAnsiTheme="majorBidi" w:cstheme="majorBidi"/>
          <w:szCs w:val="24"/>
        </w:rPr>
        <w:t xml:space="preserve">, </w:t>
      </w:r>
      <w:r w:rsidR="00CB373F" w:rsidRPr="00507985">
        <w:rPr>
          <w:rFonts w:asciiTheme="majorBidi" w:hAnsiTheme="majorBidi" w:cstheme="majorBidi"/>
          <w:i/>
          <w:iCs/>
          <w:szCs w:val="24"/>
        </w:rPr>
        <w:t>The Tosefta</w:t>
      </w:r>
      <w:r w:rsidRPr="00507985">
        <w:rPr>
          <w:rFonts w:asciiTheme="majorBidi" w:hAnsiTheme="majorBidi" w:cstheme="majorBidi"/>
          <w:szCs w:val="24"/>
        </w:rPr>
        <w:t xml:space="preserve">, </w:t>
      </w:r>
      <w:r w:rsidRPr="00507985">
        <w:rPr>
          <w:rFonts w:asciiTheme="majorBidi" w:hAnsiTheme="majorBidi" w:cstheme="majorBidi"/>
          <w:i/>
          <w:iCs/>
          <w:szCs w:val="24"/>
        </w:rPr>
        <w:t>Mo</w:t>
      </w:r>
      <w:r w:rsidR="000514E8" w:rsidRPr="00507985">
        <w:rPr>
          <w:rFonts w:asciiTheme="majorBidi" w:hAnsiTheme="majorBidi" w:cstheme="majorBidi"/>
          <w:i/>
          <w:iCs/>
          <w:szCs w:val="24"/>
        </w:rPr>
        <w:t>‘</w:t>
      </w:r>
      <w:r w:rsidRPr="00507985">
        <w:rPr>
          <w:rFonts w:asciiTheme="majorBidi" w:hAnsiTheme="majorBidi" w:cstheme="majorBidi"/>
          <w:i/>
          <w:iCs/>
          <w:szCs w:val="24"/>
        </w:rPr>
        <w:t>ed</w:t>
      </w:r>
      <w:r w:rsidRPr="00507985">
        <w:rPr>
          <w:rFonts w:asciiTheme="majorBidi" w:hAnsiTheme="majorBidi" w:cstheme="majorBidi"/>
          <w:szCs w:val="24"/>
        </w:rPr>
        <w:t xml:space="preserve">, 366. </w:t>
      </w:r>
    </w:p>
  </w:footnote>
  <w:footnote w:id="32">
    <w:p w14:paraId="46077313" w14:textId="77777777" w:rsidR="005433A8" w:rsidRPr="00507985" w:rsidRDefault="005433A8">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Kennedy, Kennedy, and Rutherford-Johnson, </w:t>
      </w:r>
      <w:r w:rsidRPr="00507985">
        <w:rPr>
          <w:rFonts w:asciiTheme="majorBidi" w:hAnsiTheme="majorBidi" w:cstheme="majorBidi"/>
          <w:i/>
          <w:iCs/>
          <w:szCs w:val="24"/>
        </w:rPr>
        <w:t>Dictionary of Music</w:t>
      </w:r>
      <w:r w:rsidRPr="00507985">
        <w:rPr>
          <w:rFonts w:asciiTheme="majorBidi" w:hAnsiTheme="majorBidi" w:cstheme="majorBidi"/>
          <w:szCs w:val="24"/>
        </w:rPr>
        <w:t>, 953.</w:t>
      </w:r>
    </w:p>
  </w:footnote>
  <w:footnote w:id="33">
    <w:p w14:paraId="4B8F10CD" w14:textId="687D98A0" w:rsidR="00997C10" w:rsidRPr="00507985" w:rsidRDefault="00997C10" w:rsidP="00507985">
      <w:pPr>
        <w:pStyle w:val="FootnoteText"/>
        <w:rPr>
          <w:rFonts w:asciiTheme="majorBidi" w:hAnsiTheme="majorBidi" w:cstheme="majorBidi"/>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w:t>
      </w:r>
      <w:r w:rsidR="00B978E9" w:rsidRPr="00507985">
        <w:rPr>
          <w:rFonts w:asciiTheme="majorBidi" w:hAnsiTheme="majorBidi" w:cstheme="majorBidi"/>
          <w:szCs w:val="24"/>
          <w:shd w:val="clear" w:color="auto" w:fill="FFFFFF"/>
        </w:rPr>
        <w:t>Abraham Meir Haberman</w:t>
      </w:r>
      <w:r w:rsidRPr="00507985">
        <w:rPr>
          <w:rFonts w:asciiTheme="majorBidi" w:hAnsiTheme="majorBidi" w:cstheme="majorBidi"/>
          <w:szCs w:val="24"/>
        </w:rPr>
        <w:t xml:space="preserve">, </w:t>
      </w:r>
      <w:r w:rsidRPr="00507985">
        <w:rPr>
          <w:rFonts w:asciiTheme="majorBidi" w:hAnsiTheme="majorBidi" w:cstheme="majorBidi"/>
          <w:szCs w:val="24"/>
          <w:rtl/>
          <w:lang w:bidi="he-IL"/>
        </w:rPr>
        <w:t>מגילות</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מדבר</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יהוד</w:t>
      </w:r>
      <w:r w:rsidR="00B978E9" w:rsidRPr="00507985">
        <w:rPr>
          <w:rFonts w:asciiTheme="majorBidi" w:hAnsiTheme="majorBidi" w:cstheme="majorBidi"/>
          <w:szCs w:val="24"/>
          <w:rtl/>
          <w:lang w:bidi="he-IL"/>
        </w:rPr>
        <w:t>ה</w:t>
      </w:r>
      <w:r w:rsidRPr="00507985">
        <w:rPr>
          <w:rFonts w:asciiTheme="majorBidi" w:hAnsiTheme="majorBidi" w:cstheme="majorBidi"/>
          <w:szCs w:val="24"/>
        </w:rPr>
        <w:t xml:space="preserve"> (Tel Aviv: </w:t>
      </w:r>
      <w:r w:rsidR="00B978E9" w:rsidRPr="00507985">
        <w:rPr>
          <w:rFonts w:asciiTheme="majorBidi" w:hAnsiTheme="majorBidi" w:cstheme="majorBidi"/>
          <w:szCs w:val="24"/>
        </w:rPr>
        <w:t>M</w:t>
      </w:r>
      <w:r w:rsidR="00B978E9" w:rsidRPr="00507985">
        <w:rPr>
          <w:rStyle w:val="Emphasis"/>
          <w:rFonts w:asciiTheme="majorBidi" w:hAnsiTheme="majorBidi" w:cstheme="majorBidi"/>
          <w:i w:val="0"/>
          <w:iCs w:val="0"/>
          <w:szCs w:val="24"/>
          <w:shd w:val="clear" w:color="auto" w:fill="FFFFFF"/>
        </w:rPr>
        <w:t>ahbarot</w:t>
      </w:r>
      <w:r w:rsidR="00B978E9" w:rsidRPr="00507985">
        <w:rPr>
          <w:rFonts w:asciiTheme="majorBidi" w:hAnsiTheme="majorBidi" w:cstheme="majorBidi"/>
          <w:szCs w:val="24"/>
          <w:shd w:val="clear" w:color="auto" w:fill="FFFFFF"/>
        </w:rPr>
        <w:t> Le-Sifrut,</w:t>
      </w:r>
      <w:r w:rsidR="00B978E9" w:rsidRPr="00507985">
        <w:rPr>
          <w:rFonts w:asciiTheme="majorBidi" w:hAnsiTheme="majorBidi" w:cstheme="majorBidi"/>
          <w:szCs w:val="24"/>
        </w:rPr>
        <w:t xml:space="preserve"> 1959</w:t>
      </w:r>
      <w:r w:rsidRPr="00507985">
        <w:rPr>
          <w:rFonts w:asciiTheme="majorBidi" w:hAnsiTheme="majorBidi" w:cstheme="majorBidi"/>
          <w:szCs w:val="24"/>
        </w:rPr>
        <w:t>)</w:t>
      </w:r>
      <w:r w:rsidR="00B978E9" w:rsidRPr="00507985">
        <w:rPr>
          <w:rFonts w:asciiTheme="majorBidi" w:hAnsiTheme="majorBidi" w:cstheme="majorBidi"/>
          <w:szCs w:val="24"/>
        </w:rPr>
        <w:t xml:space="preserve">, 199; Duhaime, “War Scroll,” 113; Wise, Abegg, and Cook, </w:t>
      </w:r>
      <w:r w:rsidR="00B978E9" w:rsidRPr="00507985">
        <w:rPr>
          <w:rFonts w:asciiTheme="majorBidi" w:hAnsiTheme="majorBidi" w:cstheme="majorBidi"/>
          <w:i/>
          <w:iCs/>
          <w:spacing w:val="-4"/>
          <w:szCs w:val="24"/>
        </w:rPr>
        <w:t>The Dead Sea Scrolls: A New Translation</w:t>
      </w:r>
      <w:r w:rsidR="00B978E9" w:rsidRPr="00507985">
        <w:rPr>
          <w:rFonts w:asciiTheme="majorBidi" w:hAnsiTheme="majorBidi" w:cstheme="majorBidi"/>
          <w:spacing w:val="-4"/>
          <w:szCs w:val="24"/>
        </w:rPr>
        <w:t xml:space="preserve">, 158; Parry, Tov, and Clements, </w:t>
      </w:r>
      <w:r w:rsidR="00B978E9" w:rsidRPr="00507985">
        <w:rPr>
          <w:rFonts w:asciiTheme="majorBidi" w:hAnsiTheme="majorBidi" w:cstheme="majorBidi"/>
          <w:i/>
          <w:iCs/>
          <w:szCs w:val="24"/>
        </w:rPr>
        <w:t>The Dead Sea Scrolls Reader</w:t>
      </w:r>
      <w:r w:rsidR="00B978E9" w:rsidRPr="00507985">
        <w:rPr>
          <w:rFonts w:asciiTheme="majorBidi" w:hAnsiTheme="majorBidi" w:cstheme="majorBidi"/>
          <w:szCs w:val="24"/>
        </w:rPr>
        <w:t xml:space="preserve">, 1:255; Holmstedt and Screnock, “Writing a Descriptive Grammar,” 90; Kennedy, Kennedy, and Rutherford-Johnson, </w:t>
      </w:r>
      <w:r w:rsidR="00B978E9" w:rsidRPr="00507985">
        <w:rPr>
          <w:rFonts w:asciiTheme="majorBidi" w:hAnsiTheme="majorBidi" w:cstheme="majorBidi"/>
          <w:i/>
          <w:iCs/>
          <w:szCs w:val="24"/>
        </w:rPr>
        <w:t>Dictionary of Music</w:t>
      </w:r>
      <w:r w:rsidR="00B978E9" w:rsidRPr="00507985">
        <w:rPr>
          <w:rFonts w:asciiTheme="majorBidi" w:hAnsiTheme="majorBidi" w:cstheme="majorBidi"/>
          <w:szCs w:val="24"/>
        </w:rPr>
        <w:t>, 484.</w:t>
      </w:r>
    </w:p>
  </w:footnote>
  <w:footnote w:id="34">
    <w:p w14:paraId="5919EE3C" w14:textId="3C208E37" w:rsidR="00B978E9" w:rsidRPr="00507985" w:rsidRDefault="00B978E9">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Yadin, The Scroll of the War, </w:t>
      </w:r>
      <w:r w:rsidR="00123EF6" w:rsidRPr="00507985">
        <w:rPr>
          <w:rFonts w:asciiTheme="majorBidi" w:hAnsiTheme="majorBidi" w:cstheme="majorBidi"/>
          <w:szCs w:val="24"/>
        </w:rPr>
        <w:t>103</w:t>
      </w:r>
      <w:r w:rsidRPr="00507985">
        <w:rPr>
          <w:rFonts w:asciiTheme="majorBidi" w:hAnsiTheme="majorBidi" w:cstheme="majorBidi"/>
          <w:szCs w:val="24"/>
        </w:rPr>
        <w:t>;</w:t>
      </w:r>
      <w:r w:rsidRPr="00507985">
        <w:rPr>
          <w:rFonts w:asciiTheme="majorBidi" w:hAnsiTheme="majorBidi" w:cstheme="majorBidi"/>
          <w:szCs w:val="24"/>
          <w:rtl/>
        </w:rPr>
        <w:t xml:space="preserve"> </w:t>
      </w:r>
      <w:r w:rsidRPr="00507985">
        <w:rPr>
          <w:rFonts w:asciiTheme="majorBidi" w:hAnsiTheme="majorBidi" w:cstheme="majorBidi"/>
          <w:szCs w:val="24"/>
        </w:rPr>
        <w:t>Driver, The Judaean Scrolls, 172;</w:t>
      </w:r>
      <w:r w:rsidR="00824140" w:rsidRPr="00507985">
        <w:rPr>
          <w:rFonts w:asciiTheme="majorBidi" w:hAnsiTheme="majorBidi" w:cstheme="majorBidi"/>
          <w:szCs w:val="24"/>
        </w:rPr>
        <w:t xml:space="preserve"> García Martínez, The Dead Sea Scrolls Translated, 101; </w:t>
      </w:r>
      <w:r w:rsidR="003036E2" w:rsidRPr="00507985">
        <w:rPr>
          <w:rFonts w:asciiTheme="majorBidi" w:hAnsiTheme="majorBidi" w:cstheme="majorBidi"/>
          <w:spacing w:val="-4"/>
          <w:szCs w:val="24"/>
        </w:rPr>
        <w:t>Geza Vermes, The Dead Sea Scrolls in English</w:t>
      </w:r>
      <w:r w:rsidR="003036E2" w:rsidRPr="00507985">
        <w:rPr>
          <w:rFonts w:asciiTheme="majorBidi" w:hAnsiTheme="majorBidi" w:cstheme="majorBidi"/>
          <w:szCs w:val="24"/>
        </w:rPr>
        <w:t>, 133</w:t>
      </w:r>
      <w:r w:rsidR="00824140" w:rsidRPr="00507985">
        <w:rPr>
          <w:rFonts w:asciiTheme="majorBidi" w:hAnsiTheme="majorBidi" w:cstheme="majorBidi"/>
          <w:szCs w:val="24"/>
        </w:rPr>
        <w:t>; García Martínez and Eibert J. C. Tigchelaar, Dead Sea Scrolls Study Edition, 1:127; Clines, Dictionary, 7:220.</w:t>
      </w:r>
    </w:p>
  </w:footnote>
  <w:footnote w:id="35">
    <w:p w14:paraId="60CA4F52" w14:textId="1073E247" w:rsidR="001D3723" w:rsidRPr="00507985" w:rsidRDefault="001D3723">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Parry and Tov translate this phrase as “I shall compass it close about.”</w:t>
      </w:r>
    </w:p>
  </w:footnote>
  <w:footnote w:id="36">
    <w:p w14:paraId="1973C9C2" w14:textId="7B29DE54" w:rsidR="008B2DD2" w:rsidRPr="00507985" w:rsidRDefault="00C9259A">
      <w:pPr>
        <w:pStyle w:val="FootnoteText"/>
        <w:rPr>
          <w:rFonts w:asciiTheme="majorBidi" w:hAnsiTheme="majorBidi" w:cstheme="majorBidi"/>
          <w:szCs w:val="24"/>
          <w:lang w:bidi="he-IL"/>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w:t>
      </w:r>
      <w:r w:rsidR="008B2DD2" w:rsidRPr="00507985">
        <w:rPr>
          <w:rFonts w:asciiTheme="majorBidi" w:hAnsiTheme="majorBidi" w:cstheme="majorBidi"/>
          <w:szCs w:val="24"/>
        </w:rPr>
        <w:t xml:space="preserve">Yair Zakovitz, </w:t>
      </w:r>
      <w:r w:rsidR="008B2DD2" w:rsidRPr="00507985">
        <w:rPr>
          <w:rFonts w:asciiTheme="majorBidi" w:hAnsiTheme="majorBidi" w:cstheme="majorBidi"/>
          <w:szCs w:val="24"/>
          <w:rtl/>
          <w:lang w:bidi="he-IL"/>
        </w:rPr>
        <w:t>מבוא</w:t>
      </w:r>
      <w:r w:rsidR="008B2DD2" w:rsidRPr="00507985">
        <w:rPr>
          <w:rFonts w:asciiTheme="majorBidi" w:hAnsiTheme="majorBidi" w:cstheme="majorBidi"/>
          <w:szCs w:val="24"/>
          <w:rtl/>
        </w:rPr>
        <w:t xml:space="preserve"> </w:t>
      </w:r>
      <w:r w:rsidR="008B2DD2" w:rsidRPr="00507985">
        <w:rPr>
          <w:rFonts w:asciiTheme="majorBidi" w:hAnsiTheme="majorBidi" w:cstheme="majorBidi"/>
          <w:szCs w:val="24"/>
          <w:rtl/>
          <w:lang w:bidi="he-IL"/>
        </w:rPr>
        <w:t>לפרשנות</w:t>
      </w:r>
      <w:r w:rsidR="008B2DD2" w:rsidRPr="00507985">
        <w:rPr>
          <w:rFonts w:asciiTheme="majorBidi" w:hAnsiTheme="majorBidi" w:cstheme="majorBidi"/>
          <w:szCs w:val="24"/>
          <w:rtl/>
        </w:rPr>
        <w:t xml:space="preserve"> </w:t>
      </w:r>
      <w:r w:rsidR="008B2DD2" w:rsidRPr="00507985">
        <w:rPr>
          <w:rFonts w:asciiTheme="majorBidi" w:hAnsiTheme="majorBidi" w:cstheme="majorBidi"/>
          <w:szCs w:val="24"/>
          <w:rtl/>
          <w:lang w:bidi="he-IL"/>
        </w:rPr>
        <w:t>פנים</w:t>
      </w:r>
      <w:r w:rsidR="008B2DD2" w:rsidRPr="00507985">
        <w:rPr>
          <w:rFonts w:asciiTheme="majorBidi" w:hAnsiTheme="majorBidi" w:cstheme="majorBidi"/>
          <w:szCs w:val="24"/>
          <w:rtl/>
        </w:rPr>
        <w:t xml:space="preserve"> </w:t>
      </w:r>
      <w:r w:rsidR="008B2DD2" w:rsidRPr="00507985">
        <w:rPr>
          <w:rFonts w:asciiTheme="majorBidi" w:hAnsiTheme="majorBidi" w:cstheme="majorBidi"/>
          <w:szCs w:val="24"/>
          <w:rtl/>
          <w:lang w:bidi="he-IL"/>
        </w:rPr>
        <w:t>מקראית</w:t>
      </w:r>
      <w:r w:rsidR="008B2DD2" w:rsidRPr="00507985">
        <w:rPr>
          <w:rFonts w:asciiTheme="majorBidi" w:hAnsiTheme="majorBidi" w:cstheme="majorBidi"/>
          <w:szCs w:val="24"/>
        </w:rPr>
        <w:t xml:space="preserve"> (Even Yehuda: Reches, 1992), 63; HALOT 2:759; </w:t>
      </w:r>
      <w:r w:rsidR="00C5403D" w:rsidRPr="00507985">
        <w:rPr>
          <w:rFonts w:asciiTheme="majorBidi" w:hAnsiTheme="majorBidi" w:cstheme="majorBidi"/>
          <w:szCs w:val="24"/>
        </w:rPr>
        <w:t xml:space="preserve">Even-Shoshan, </w:t>
      </w:r>
      <w:r w:rsidR="00C5403D" w:rsidRPr="00507985">
        <w:rPr>
          <w:rFonts w:asciiTheme="majorBidi" w:hAnsiTheme="majorBidi" w:cstheme="majorBidi"/>
          <w:szCs w:val="24"/>
          <w:rtl/>
          <w:lang w:bidi="he-IL"/>
        </w:rPr>
        <w:t>קונקורדנציה</w:t>
      </w:r>
      <w:r w:rsidR="00C5403D" w:rsidRPr="00507985">
        <w:rPr>
          <w:rFonts w:asciiTheme="majorBidi" w:hAnsiTheme="majorBidi" w:cstheme="majorBidi"/>
          <w:szCs w:val="24"/>
        </w:rPr>
        <w:t xml:space="preserve">, </w:t>
      </w:r>
      <w:r w:rsidR="00C5403D" w:rsidRPr="00507985">
        <w:rPr>
          <w:rFonts w:asciiTheme="majorBidi" w:hAnsiTheme="majorBidi" w:cstheme="majorBidi"/>
          <w:color w:val="FF0000"/>
          <w:szCs w:val="24"/>
        </w:rPr>
        <w:t>811</w:t>
      </w:r>
      <w:r w:rsidR="00C5403D" w:rsidRPr="00507985">
        <w:rPr>
          <w:rFonts w:asciiTheme="majorBidi" w:hAnsiTheme="majorBidi" w:cstheme="majorBidi"/>
          <w:szCs w:val="24"/>
        </w:rPr>
        <w:t xml:space="preserve">; Kaddari, </w:t>
      </w:r>
      <w:r w:rsidR="00C5403D" w:rsidRPr="00507985">
        <w:rPr>
          <w:rFonts w:asciiTheme="majorBidi" w:hAnsiTheme="majorBidi" w:cstheme="majorBidi"/>
          <w:szCs w:val="24"/>
          <w:rtl/>
          <w:lang w:bidi="he-IL"/>
        </w:rPr>
        <w:t>מילון</w:t>
      </w:r>
      <w:r w:rsidR="00C5403D" w:rsidRPr="00507985">
        <w:rPr>
          <w:rFonts w:asciiTheme="majorBidi" w:hAnsiTheme="majorBidi" w:cstheme="majorBidi"/>
          <w:szCs w:val="24"/>
          <w:rtl/>
        </w:rPr>
        <w:t xml:space="preserve"> </w:t>
      </w:r>
      <w:r w:rsidR="00C5403D" w:rsidRPr="00507985">
        <w:rPr>
          <w:rFonts w:asciiTheme="majorBidi" w:hAnsiTheme="majorBidi" w:cstheme="majorBidi"/>
          <w:szCs w:val="24"/>
          <w:rtl/>
          <w:lang w:bidi="he-IL"/>
        </w:rPr>
        <w:t>העברית</w:t>
      </w:r>
      <w:r w:rsidR="00C5403D" w:rsidRPr="00507985">
        <w:rPr>
          <w:rFonts w:asciiTheme="majorBidi" w:hAnsiTheme="majorBidi" w:cstheme="majorBidi"/>
          <w:szCs w:val="24"/>
        </w:rPr>
        <w:t xml:space="preserve">, 759; Clines, </w:t>
      </w:r>
      <w:r w:rsidR="00C5403D" w:rsidRPr="00507985">
        <w:rPr>
          <w:rFonts w:asciiTheme="majorBidi" w:hAnsiTheme="majorBidi" w:cstheme="majorBidi"/>
          <w:i/>
          <w:iCs/>
          <w:szCs w:val="24"/>
        </w:rPr>
        <w:t>Dictionary</w:t>
      </w:r>
      <w:r w:rsidR="00C5403D" w:rsidRPr="00507985">
        <w:rPr>
          <w:rFonts w:asciiTheme="majorBidi" w:hAnsiTheme="majorBidi" w:cstheme="majorBidi"/>
          <w:szCs w:val="24"/>
        </w:rPr>
        <w:t>, 7:168.</w:t>
      </w:r>
    </w:p>
  </w:footnote>
  <w:footnote w:id="37">
    <w:p w14:paraId="53EDB81B" w14:textId="5249140F" w:rsidR="00C5403D" w:rsidRPr="00507985" w:rsidRDefault="00C5403D">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Moshe Zvi Segal, </w:t>
      </w:r>
      <w:r w:rsidRPr="00507985">
        <w:rPr>
          <w:rFonts w:asciiTheme="majorBidi" w:hAnsiTheme="majorBidi" w:cstheme="majorBidi"/>
          <w:szCs w:val="24"/>
          <w:rtl/>
          <w:lang w:bidi="he-IL"/>
        </w:rPr>
        <w:t>ספר</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בן</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סירא</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השלם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כולל</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כל</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השרידים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שנתגלו</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מתוך</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הגניזה</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והחזרת</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הקטעים</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החסרים</w:t>
      </w:r>
      <w:r w:rsidRPr="00507985">
        <w:rPr>
          <w:rFonts w:asciiTheme="majorBidi" w:hAnsiTheme="majorBidi" w:cstheme="majorBidi"/>
          <w:szCs w:val="24"/>
        </w:rPr>
        <w:t xml:space="preserve"> (Jerusalem: Bialik Institute, 1972), 302.</w:t>
      </w:r>
    </w:p>
  </w:footnote>
  <w:footnote w:id="38">
    <w:p w14:paraId="24323CD6" w14:textId="13AE4CD2" w:rsidR="00C5403D" w:rsidRPr="00507985" w:rsidRDefault="00C5403D">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HALOT 2:759;</w:t>
      </w:r>
      <w:r w:rsidRPr="00507985">
        <w:rPr>
          <w:rFonts w:asciiTheme="majorBidi" w:hAnsiTheme="majorBidi" w:cstheme="majorBidi"/>
          <w:szCs w:val="24"/>
          <w:rtl/>
        </w:rPr>
        <w:t xml:space="preserve"> </w:t>
      </w:r>
      <w:r w:rsidRPr="00507985">
        <w:rPr>
          <w:rFonts w:asciiTheme="majorBidi" w:hAnsiTheme="majorBidi" w:cstheme="majorBidi"/>
          <w:szCs w:val="24"/>
        </w:rPr>
        <w:t xml:space="preserve">Kennedy, Kennedy, and Rutherford-Johnson, </w:t>
      </w:r>
      <w:r w:rsidRPr="00507985">
        <w:rPr>
          <w:rFonts w:asciiTheme="majorBidi" w:hAnsiTheme="majorBidi" w:cstheme="majorBidi"/>
          <w:i/>
          <w:iCs/>
          <w:szCs w:val="24"/>
        </w:rPr>
        <w:t>Dictionary of Music</w:t>
      </w:r>
      <w:r w:rsidRPr="00507985">
        <w:rPr>
          <w:rFonts w:asciiTheme="majorBidi" w:hAnsiTheme="majorBidi" w:cstheme="majorBidi"/>
          <w:szCs w:val="24"/>
        </w:rPr>
        <w:t>, 303</w:t>
      </w:r>
      <w:r w:rsidRPr="00507985">
        <w:rPr>
          <w:rFonts w:asciiTheme="majorBidi" w:hAnsiTheme="majorBidi" w:cstheme="majorBidi"/>
          <w:szCs w:val="24"/>
          <w:rtl/>
        </w:rPr>
        <w:t>.</w:t>
      </w:r>
    </w:p>
  </w:footnote>
  <w:footnote w:id="39">
    <w:p w14:paraId="57422DFC" w14:textId="3FF03CA9" w:rsidR="00825B58" w:rsidRPr="00627E20" w:rsidRDefault="00825B58" w:rsidP="00627E20">
      <w:pPr>
        <w:pStyle w:val="FootnoteText"/>
        <w:rPr>
          <w:rFonts w:asciiTheme="majorBidi" w:hAnsiTheme="majorBidi" w:cstheme="majorBidi"/>
          <w:rtl/>
        </w:rPr>
      </w:pPr>
      <w:r w:rsidRPr="00283890">
        <w:rPr>
          <w:rStyle w:val="FootnoteReference"/>
          <w:rFonts w:asciiTheme="majorBidi" w:hAnsiTheme="majorBidi" w:cstheme="majorBidi"/>
          <w:szCs w:val="24"/>
        </w:rPr>
        <w:footnoteRef/>
      </w:r>
      <w:r w:rsidRPr="00283890">
        <w:rPr>
          <w:rFonts w:asciiTheme="majorBidi" w:hAnsiTheme="majorBidi" w:cstheme="majorBidi"/>
          <w:szCs w:val="24"/>
        </w:rPr>
        <w:t xml:space="preserve"> Parry and Tov translate </w:t>
      </w:r>
      <w:r w:rsidRPr="00283890">
        <w:rPr>
          <w:rFonts w:asciiTheme="majorBidi" w:hAnsiTheme="majorBidi" w:cstheme="majorBidi" w:hint="eastAsia"/>
          <w:szCs w:val="24"/>
          <w:rtl/>
          <w:lang w:bidi="he-IL"/>
        </w:rPr>
        <w:t>יניחו</w:t>
      </w:r>
      <w:r w:rsidRPr="00283890">
        <w:rPr>
          <w:rFonts w:asciiTheme="majorBidi" w:hAnsiTheme="majorBidi" w:cstheme="majorBidi"/>
          <w:szCs w:val="24"/>
        </w:rPr>
        <w:t xml:space="preserve"> here as “stil[l].”</w:t>
      </w:r>
      <w:r w:rsidR="00FD0B6C" w:rsidRPr="00283890">
        <w:rPr>
          <w:rFonts w:asciiTheme="majorBidi" w:hAnsiTheme="majorBidi" w:cstheme="majorBidi"/>
          <w:szCs w:val="24"/>
        </w:rPr>
        <w:t xml:space="preserve"> The change to “pause</w:t>
      </w:r>
      <w:r w:rsidR="00FD0B6C" w:rsidRPr="00283890">
        <w:rPr>
          <w:rFonts w:asciiTheme="majorBidi" w:hAnsiTheme="majorBidi" w:cstheme="majorBidi"/>
          <w:szCs w:val="24"/>
          <w:rtl/>
          <w:lang w:bidi="he-IL"/>
        </w:rPr>
        <w:t>/</w:t>
      </w:r>
      <w:r w:rsidR="00FD0B6C" w:rsidRPr="00283890">
        <w:rPr>
          <w:rFonts w:asciiTheme="majorBidi" w:hAnsiTheme="majorBidi" w:cstheme="majorBidi"/>
          <w:szCs w:val="24"/>
        </w:rPr>
        <w:t>lower the pitch” reflects the ambiguity of the Hebrew, which can refer to a cessation of the sound or a reduction in pitch</w:t>
      </w:r>
      <w:r w:rsidRPr="00283890">
        <w:rPr>
          <w:rFonts w:asciiTheme="majorBidi" w:hAnsiTheme="majorBidi" w:cstheme="majorBidi"/>
          <w:szCs w:val="24"/>
        </w:rPr>
        <w:t>,</w:t>
      </w:r>
      <w:r w:rsidRPr="00627E20">
        <w:rPr>
          <w:rFonts w:asciiTheme="majorBidi" w:hAnsiTheme="majorBidi" w:cstheme="majorBidi"/>
          <w:szCs w:val="24"/>
        </w:rPr>
        <w:t xml:space="preserve"> as discussed in this section</w:t>
      </w:r>
      <w:r w:rsidR="0010516A" w:rsidRPr="00627E20">
        <w:rPr>
          <w:rFonts w:asciiTheme="majorBidi" w:hAnsiTheme="majorBidi" w:cstheme="majorBidi"/>
          <w:szCs w:val="24"/>
        </w:rPr>
        <w:t xml:space="preserve">. See Parry, Tov and Clements, </w:t>
      </w:r>
      <w:r w:rsidR="0010516A" w:rsidRPr="00627E20">
        <w:rPr>
          <w:rFonts w:asciiTheme="majorBidi" w:hAnsiTheme="majorBidi" w:cstheme="majorBidi"/>
          <w:i/>
          <w:iCs/>
          <w:szCs w:val="24"/>
        </w:rPr>
        <w:t>The Dead Sea Scrolls Reader</w:t>
      </w:r>
      <w:r w:rsidR="0010516A" w:rsidRPr="00627E20">
        <w:rPr>
          <w:rFonts w:asciiTheme="majorBidi" w:hAnsiTheme="majorBidi" w:cstheme="majorBidi"/>
          <w:szCs w:val="24"/>
        </w:rPr>
        <w:t>, 1:255.</w:t>
      </w:r>
    </w:p>
  </w:footnote>
  <w:footnote w:id="40">
    <w:p w14:paraId="61CEE7F0" w14:textId="69A2B934" w:rsidR="00A82806" w:rsidRPr="00627E20" w:rsidRDefault="00A82806">
      <w:pPr>
        <w:pStyle w:val="FootnoteText"/>
        <w:rPr>
          <w:rFonts w:asciiTheme="majorBidi" w:hAnsiTheme="majorBidi" w:cstheme="majorBidi"/>
          <w:szCs w:val="24"/>
          <w:rtl/>
          <w:lang w:bidi="he-IL"/>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Habermann, </w:t>
      </w:r>
      <w:r w:rsidR="003A36AA" w:rsidRPr="00627E20">
        <w:rPr>
          <w:rFonts w:asciiTheme="majorBidi" w:hAnsiTheme="majorBidi" w:cstheme="majorBidi"/>
          <w:szCs w:val="24"/>
          <w:rtl/>
          <w:lang w:bidi="he-IL"/>
        </w:rPr>
        <w:t>מגילות</w:t>
      </w:r>
      <w:r w:rsidR="003A36AA" w:rsidRPr="00627E20">
        <w:rPr>
          <w:rFonts w:asciiTheme="majorBidi" w:hAnsiTheme="majorBidi" w:cstheme="majorBidi"/>
          <w:szCs w:val="24"/>
          <w:rtl/>
        </w:rPr>
        <w:t xml:space="preserve"> </w:t>
      </w:r>
      <w:r w:rsidR="003A36AA" w:rsidRPr="00627E20">
        <w:rPr>
          <w:rFonts w:asciiTheme="majorBidi" w:hAnsiTheme="majorBidi" w:cstheme="majorBidi"/>
          <w:szCs w:val="24"/>
          <w:rtl/>
          <w:lang w:bidi="he-IL"/>
        </w:rPr>
        <w:t>מדבר</w:t>
      </w:r>
      <w:r w:rsidR="003A36AA" w:rsidRPr="00627E20">
        <w:rPr>
          <w:rFonts w:asciiTheme="majorBidi" w:hAnsiTheme="majorBidi" w:cstheme="majorBidi"/>
          <w:szCs w:val="24"/>
          <w:rtl/>
        </w:rPr>
        <w:t xml:space="preserve"> </w:t>
      </w:r>
      <w:r w:rsidR="003A36AA" w:rsidRPr="00627E20">
        <w:rPr>
          <w:rFonts w:asciiTheme="majorBidi" w:hAnsiTheme="majorBidi" w:cstheme="majorBidi"/>
          <w:szCs w:val="24"/>
          <w:rtl/>
          <w:lang w:bidi="he-IL"/>
        </w:rPr>
        <w:t>יהודה</w:t>
      </w:r>
      <w:r w:rsidR="003A36AA" w:rsidRPr="00627E20">
        <w:rPr>
          <w:rFonts w:asciiTheme="majorBidi" w:hAnsiTheme="majorBidi" w:cstheme="majorBidi"/>
          <w:szCs w:val="24"/>
          <w:lang w:bidi="he-IL"/>
        </w:rPr>
        <w:t xml:space="preserve">, 199; </w:t>
      </w:r>
      <w:r w:rsidR="00371969" w:rsidRPr="00627E20">
        <w:rPr>
          <w:rFonts w:asciiTheme="majorBidi" w:hAnsiTheme="majorBidi" w:cstheme="majorBidi"/>
          <w:szCs w:val="24"/>
        </w:rPr>
        <w:t xml:space="preserve">Yadin, </w:t>
      </w:r>
      <w:r w:rsidR="00371969" w:rsidRPr="00627E20">
        <w:rPr>
          <w:rFonts w:asciiTheme="majorBidi" w:hAnsiTheme="majorBidi" w:cstheme="majorBidi"/>
          <w:i/>
          <w:iCs/>
          <w:szCs w:val="24"/>
        </w:rPr>
        <w:t>The Scroll of the War</w:t>
      </w:r>
      <w:r w:rsidR="00371969" w:rsidRPr="00627E20">
        <w:rPr>
          <w:rFonts w:asciiTheme="majorBidi" w:hAnsiTheme="majorBidi" w:cstheme="majorBidi"/>
          <w:szCs w:val="24"/>
        </w:rPr>
        <w:t>, 103;</w:t>
      </w:r>
      <w:r w:rsidR="00371969" w:rsidRPr="00627E20">
        <w:rPr>
          <w:rFonts w:asciiTheme="majorBidi" w:hAnsiTheme="majorBidi" w:cstheme="majorBidi"/>
          <w:szCs w:val="24"/>
          <w:lang w:bidi="he-IL"/>
        </w:rPr>
        <w:t xml:space="preserve"> </w:t>
      </w:r>
      <w:r w:rsidR="003A36AA" w:rsidRPr="00627E20">
        <w:rPr>
          <w:rFonts w:asciiTheme="majorBidi" w:hAnsiTheme="majorBidi" w:cstheme="majorBidi"/>
          <w:szCs w:val="24"/>
          <w:lang w:bidi="he-IL"/>
        </w:rPr>
        <w:t xml:space="preserve">Driver, </w:t>
      </w:r>
      <w:r w:rsidR="003A36AA" w:rsidRPr="00627E20">
        <w:rPr>
          <w:rFonts w:asciiTheme="majorBidi" w:hAnsiTheme="majorBidi" w:cstheme="majorBidi"/>
          <w:i/>
          <w:iCs/>
          <w:szCs w:val="24"/>
        </w:rPr>
        <w:t>The Judaean Scrolls</w:t>
      </w:r>
      <w:r w:rsidR="003A36AA" w:rsidRPr="00627E20">
        <w:rPr>
          <w:rFonts w:asciiTheme="majorBidi" w:hAnsiTheme="majorBidi" w:cstheme="majorBidi"/>
          <w:szCs w:val="24"/>
        </w:rPr>
        <w:t>, 172; Stallman, “Levis and Levites</w:t>
      </w:r>
      <w:r w:rsidR="00D50E45" w:rsidRPr="00627E20">
        <w:rPr>
          <w:rFonts w:asciiTheme="majorBidi" w:hAnsiTheme="majorBidi" w:cstheme="majorBidi"/>
          <w:szCs w:val="24"/>
        </w:rPr>
        <w:t>,” 174</w:t>
      </w:r>
      <w:r w:rsidR="003A36AA" w:rsidRPr="00627E20">
        <w:rPr>
          <w:rFonts w:asciiTheme="majorBidi" w:hAnsiTheme="majorBidi" w:cstheme="majorBidi"/>
          <w:szCs w:val="24"/>
        </w:rPr>
        <w:t xml:space="preserve">; Duhaime, “War Scroll,” 113; García Martínez, </w:t>
      </w:r>
      <w:r w:rsidR="003A36AA" w:rsidRPr="00627E20">
        <w:rPr>
          <w:rFonts w:asciiTheme="majorBidi" w:hAnsiTheme="majorBidi" w:cstheme="majorBidi"/>
          <w:i/>
          <w:iCs/>
          <w:szCs w:val="24"/>
        </w:rPr>
        <w:t>The Dead Sea Scrolls Translated</w:t>
      </w:r>
      <w:r w:rsidR="003A36AA" w:rsidRPr="00627E20">
        <w:rPr>
          <w:rFonts w:asciiTheme="majorBidi" w:hAnsiTheme="majorBidi" w:cstheme="majorBidi"/>
          <w:szCs w:val="24"/>
        </w:rPr>
        <w:t xml:space="preserve">, 101; Wise, Abegg, and Cook, </w:t>
      </w:r>
      <w:r w:rsidR="003A36AA" w:rsidRPr="00627E20">
        <w:rPr>
          <w:rFonts w:asciiTheme="majorBidi" w:hAnsiTheme="majorBidi" w:cstheme="majorBidi"/>
          <w:i/>
          <w:iCs/>
          <w:spacing w:val="-4"/>
          <w:szCs w:val="24"/>
        </w:rPr>
        <w:t>The Dead Sea Scrolls: A New Translation</w:t>
      </w:r>
      <w:r w:rsidR="003A36AA" w:rsidRPr="00627E20">
        <w:rPr>
          <w:rFonts w:asciiTheme="majorBidi" w:hAnsiTheme="majorBidi" w:cstheme="majorBidi"/>
          <w:spacing w:val="-4"/>
          <w:szCs w:val="24"/>
        </w:rPr>
        <w:t xml:space="preserve">, 158; </w:t>
      </w:r>
      <w:r w:rsidR="003A36AA" w:rsidRPr="00627E20">
        <w:rPr>
          <w:rFonts w:asciiTheme="majorBidi" w:hAnsiTheme="majorBidi" w:cstheme="majorBidi"/>
          <w:szCs w:val="24"/>
        </w:rPr>
        <w:t xml:space="preserve">García Martínez and Eibert J. C. Tigchelaar, </w:t>
      </w:r>
      <w:r w:rsidR="003A36AA" w:rsidRPr="00627E20">
        <w:rPr>
          <w:rFonts w:asciiTheme="majorBidi" w:hAnsiTheme="majorBidi" w:cstheme="majorBidi"/>
          <w:i/>
          <w:iCs/>
          <w:szCs w:val="24"/>
        </w:rPr>
        <w:t>Dead Sea Scrolls Study Edition</w:t>
      </w:r>
      <w:r w:rsidR="003A36AA" w:rsidRPr="00627E20">
        <w:rPr>
          <w:rFonts w:asciiTheme="majorBidi" w:hAnsiTheme="majorBidi" w:cstheme="majorBidi"/>
          <w:szCs w:val="24"/>
        </w:rPr>
        <w:t xml:space="preserve">, 1:127; </w:t>
      </w:r>
      <w:r w:rsidRPr="00627E20">
        <w:rPr>
          <w:rFonts w:asciiTheme="majorBidi" w:hAnsiTheme="majorBidi" w:cstheme="majorBidi"/>
          <w:szCs w:val="24"/>
        </w:rPr>
        <w:t xml:space="preserve">Qimron, </w:t>
      </w:r>
      <w:r w:rsidR="00471C30" w:rsidRPr="00627E20">
        <w:rPr>
          <w:rFonts w:asciiTheme="majorBidi" w:hAnsiTheme="majorBidi" w:cstheme="majorBidi"/>
          <w:szCs w:val="24"/>
          <w:rtl/>
          <w:lang w:bidi="he-IL"/>
        </w:rPr>
        <w:t>מגילות</w:t>
      </w:r>
      <w:r w:rsidR="00471C30" w:rsidRPr="00627E20">
        <w:rPr>
          <w:rFonts w:asciiTheme="majorBidi" w:hAnsiTheme="majorBidi" w:cstheme="majorBidi"/>
          <w:szCs w:val="24"/>
          <w:rtl/>
        </w:rPr>
        <w:t xml:space="preserve"> </w:t>
      </w:r>
      <w:r w:rsidR="00471C30" w:rsidRPr="00627E20">
        <w:rPr>
          <w:rFonts w:asciiTheme="majorBidi" w:hAnsiTheme="majorBidi" w:cstheme="majorBidi"/>
          <w:szCs w:val="24"/>
          <w:rtl/>
          <w:lang w:bidi="he-IL"/>
        </w:rPr>
        <w:t>מדבר</w:t>
      </w:r>
      <w:r w:rsidR="00471C30" w:rsidRPr="00627E20">
        <w:rPr>
          <w:rFonts w:asciiTheme="majorBidi" w:hAnsiTheme="majorBidi" w:cstheme="majorBidi"/>
          <w:szCs w:val="24"/>
          <w:rtl/>
        </w:rPr>
        <w:t xml:space="preserve"> </w:t>
      </w:r>
      <w:r w:rsidR="00471C30" w:rsidRPr="00627E20">
        <w:rPr>
          <w:rFonts w:asciiTheme="majorBidi" w:hAnsiTheme="majorBidi" w:cstheme="majorBidi"/>
          <w:szCs w:val="24"/>
          <w:rtl/>
          <w:lang w:bidi="he-IL"/>
        </w:rPr>
        <w:t>יהודה</w:t>
      </w:r>
      <w:r w:rsidR="00471C30" w:rsidRPr="00627E20">
        <w:rPr>
          <w:rFonts w:asciiTheme="majorBidi" w:hAnsiTheme="majorBidi" w:cstheme="majorBidi"/>
          <w:szCs w:val="24"/>
          <w:rtl/>
        </w:rPr>
        <w:t xml:space="preserve">: </w:t>
      </w:r>
      <w:r w:rsidR="00471C30" w:rsidRPr="00627E20">
        <w:rPr>
          <w:rFonts w:asciiTheme="majorBidi" w:hAnsiTheme="majorBidi" w:cstheme="majorBidi"/>
          <w:szCs w:val="24"/>
          <w:rtl/>
          <w:lang w:bidi="he-IL"/>
        </w:rPr>
        <w:t>החיבורים</w:t>
      </w:r>
      <w:r w:rsidR="00471C30" w:rsidRPr="00627E20">
        <w:rPr>
          <w:rFonts w:asciiTheme="majorBidi" w:hAnsiTheme="majorBidi" w:cstheme="majorBidi"/>
          <w:szCs w:val="24"/>
          <w:rtl/>
        </w:rPr>
        <w:t xml:space="preserve"> </w:t>
      </w:r>
      <w:r w:rsidR="00471C30" w:rsidRPr="00627E20">
        <w:rPr>
          <w:rFonts w:asciiTheme="majorBidi" w:hAnsiTheme="majorBidi" w:cstheme="majorBidi"/>
          <w:szCs w:val="24"/>
          <w:rtl/>
          <w:lang w:bidi="he-IL"/>
        </w:rPr>
        <w:t>העבריים</w:t>
      </w:r>
      <w:r w:rsidR="00471C30" w:rsidRPr="00627E20">
        <w:rPr>
          <w:rFonts w:asciiTheme="majorBidi" w:hAnsiTheme="majorBidi" w:cstheme="majorBidi"/>
          <w:szCs w:val="24"/>
          <w:shd w:val="clear" w:color="auto" w:fill="FFFFFF"/>
        </w:rPr>
        <w:t xml:space="preserve">. Vol. 1 (Jerusalem: </w:t>
      </w:r>
      <w:r w:rsidR="00471C30" w:rsidRPr="00627E20">
        <w:rPr>
          <w:rFonts w:asciiTheme="majorBidi" w:hAnsiTheme="majorBidi" w:cstheme="majorBidi"/>
          <w:spacing w:val="-5"/>
          <w:szCs w:val="24"/>
          <w:shd w:val="clear" w:color="auto" w:fill="FFFFFF"/>
        </w:rPr>
        <w:t>Yad Ben-Zvi Press, 2010)</w:t>
      </w:r>
      <w:r w:rsidR="00925A5C" w:rsidRPr="00627E20">
        <w:rPr>
          <w:rFonts w:asciiTheme="majorBidi" w:hAnsiTheme="majorBidi" w:cstheme="majorBidi"/>
          <w:szCs w:val="24"/>
        </w:rPr>
        <w:t>, 119</w:t>
      </w:r>
      <w:r w:rsidR="006F200A" w:rsidRPr="00627E20">
        <w:rPr>
          <w:rFonts w:asciiTheme="majorBidi" w:hAnsiTheme="majorBidi" w:cstheme="majorBidi"/>
          <w:szCs w:val="24"/>
        </w:rPr>
        <w:t xml:space="preserve">; </w:t>
      </w:r>
      <w:r w:rsidR="003A36AA" w:rsidRPr="00627E20">
        <w:rPr>
          <w:rFonts w:asciiTheme="majorBidi" w:hAnsiTheme="majorBidi" w:cstheme="majorBidi"/>
          <w:szCs w:val="24"/>
        </w:rPr>
        <w:t>Holmstedt and Screnock, “Writing a Descriptive Grammar,” 92.</w:t>
      </w:r>
      <w:r w:rsidRPr="00627E20">
        <w:rPr>
          <w:rFonts w:asciiTheme="majorBidi" w:hAnsiTheme="majorBidi" w:cstheme="majorBidi"/>
          <w:szCs w:val="24"/>
          <w:rtl/>
        </w:rPr>
        <w:t xml:space="preserve"> </w:t>
      </w:r>
    </w:p>
  </w:footnote>
  <w:footnote w:id="41">
    <w:p w14:paraId="36946301" w14:textId="20F93B6B" w:rsidR="00A82806" w:rsidRPr="00627E20" w:rsidRDefault="00A82806">
      <w:pPr>
        <w:pStyle w:val="FootnoteText"/>
        <w:rPr>
          <w:rFonts w:asciiTheme="majorBidi" w:hAnsiTheme="majorBidi" w:cstheme="majorBidi"/>
          <w:szCs w:val="24"/>
          <w:lang w:bidi="he-IL"/>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w:t>
      </w:r>
      <w:r w:rsidR="00B1665B" w:rsidRPr="00627E20">
        <w:rPr>
          <w:rFonts w:asciiTheme="majorBidi" w:hAnsiTheme="majorBidi" w:cstheme="majorBidi"/>
          <w:spacing w:val="-4"/>
          <w:szCs w:val="24"/>
        </w:rPr>
        <w:t xml:space="preserve">Geza Vermes, </w:t>
      </w:r>
      <w:r w:rsidR="00B1665B" w:rsidRPr="00627E20">
        <w:rPr>
          <w:rFonts w:asciiTheme="majorBidi" w:hAnsiTheme="majorBidi" w:cstheme="majorBidi"/>
          <w:i/>
          <w:iCs/>
          <w:spacing w:val="-4"/>
          <w:szCs w:val="24"/>
        </w:rPr>
        <w:t>The Dead Sea Scrolls in English</w:t>
      </w:r>
      <w:r w:rsidR="00B1665B" w:rsidRPr="00627E20">
        <w:rPr>
          <w:rFonts w:asciiTheme="majorBidi" w:hAnsiTheme="majorBidi" w:cstheme="majorBidi"/>
          <w:spacing w:val="-4"/>
          <w:szCs w:val="24"/>
        </w:rPr>
        <w:t xml:space="preserve">, </w:t>
      </w:r>
      <w:r w:rsidR="00ED085E" w:rsidRPr="00627E20">
        <w:rPr>
          <w:rFonts w:asciiTheme="majorBidi" w:hAnsiTheme="majorBidi" w:cstheme="majorBidi"/>
          <w:szCs w:val="24"/>
          <w:lang w:bidi="he-IL"/>
        </w:rPr>
        <w:t xml:space="preserve">133; </w:t>
      </w:r>
      <w:r w:rsidR="00ED085E" w:rsidRPr="00627E20">
        <w:rPr>
          <w:rFonts w:asciiTheme="majorBidi" w:hAnsiTheme="majorBidi" w:cstheme="majorBidi"/>
          <w:szCs w:val="24"/>
        </w:rPr>
        <w:t xml:space="preserve">Martin G. Abegg, James E. Bowley and Edward M. Cook, </w:t>
      </w:r>
      <w:r w:rsidR="00ED085E" w:rsidRPr="00627E20">
        <w:rPr>
          <w:rFonts w:asciiTheme="majorBidi" w:hAnsiTheme="majorBidi" w:cstheme="majorBidi"/>
          <w:i/>
          <w:iCs/>
          <w:szCs w:val="24"/>
        </w:rPr>
        <w:t>The Dead Sea Scrolls Concordance: Volume One, The Non-Biblical Texts from Qumran</w:t>
      </w:r>
      <w:r w:rsidR="00ED085E" w:rsidRPr="00627E20">
        <w:rPr>
          <w:rFonts w:asciiTheme="majorBidi" w:hAnsiTheme="majorBidi" w:cstheme="majorBidi"/>
          <w:szCs w:val="24"/>
        </w:rPr>
        <w:t>, Part 1 (Leiden: Brill, 2003), 508.</w:t>
      </w:r>
    </w:p>
  </w:footnote>
  <w:footnote w:id="42">
    <w:p w14:paraId="587651CD" w14:textId="415A3029" w:rsidR="00225D3A" w:rsidRPr="00627E20" w:rsidRDefault="00225D3A">
      <w:pPr>
        <w:rPr>
          <w:rFonts w:asciiTheme="majorBidi" w:hAnsiTheme="majorBidi" w:cstheme="majorBidi"/>
        </w:rPr>
      </w:pPr>
      <w:r w:rsidRPr="00627E20">
        <w:rPr>
          <w:rStyle w:val="FootnoteReference"/>
          <w:rFonts w:asciiTheme="majorBidi" w:hAnsiTheme="majorBidi" w:cstheme="majorBidi"/>
        </w:rPr>
        <w:footnoteRef/>
      </w:r>
      <w:r w:rsidRPr="00627E20">
        <w:rPr>
          <w:rFonts w:asciiTheme="majorBidi" w:hAnsiTheme="majorBidi" w:cstheme="majorBidi"/>
        </w:rPr>
        <w:t xml:space="preserve"> For example, in 4Q252 1</w:t>
      </w:r>
      <w:r w:rsidR="006E28BB" w:rsidRPr="00627E20">
        <w:rPr>
          <w:rFonts w:asciiTheme="majorBidi" w:hAnsiTheme="majorBidi" w:cstheme="majorBidi"/>
        </w:rPr>
        <w:t>–</w:t>
      </w:r>
      <w:r w:rsidR="00025F85" w:rsidRPr="00627E20">
        <w:rPr>
          <w:rFonts w:asciiTheme="majorBidi" w:hAnsiTheme="majorBidi" w:cstheme="majorBidi"/>
        </w:rPr>
        <w:t>2 I,</w:t>
      </w:r>
      <w:r w:rsidRPr="00627E20">
        <w:rPr>
          <w:rFonts w:asciiTheme="majorBidi" w:hAnsiTheme="majorBidi" w:cstheme="majorBidi"/>
        </w:rPr>
        <w:t xml:space="preserve"> 9</w:t>
      </w:r>
      <w:r w:rsidR="006E28BB" w:rsidRPr="00627E20">
        <w:rPr>
          <w:rFonts w:asciiTheme="majorBidi" w:hAnsiTheme="majorBidi" w:cstheme="majorBidi"/>
        </w:rPr>
        <w:t>–</w:t>
      </w:r>
      <w:r w:rsidRPr="00627E20">
        <w:rPr>
          <w:rFonts w:asciiTheme="majorBidi" w:hAnsiTheme="majorBidi" w:cstheme="majorBidi"/>
        </w:rPr>
        <w:t xml:space="preserve">10, “and on the sixth day the ark came to rest </w:t>
      </w:r>
      <w:r w:rsidR="00E20970" w:rsidRPr="00627E20">
        <w:rPr>
          <w:rFonts w:asciiTheme="majorBidi" w:hAnsiTheme="majorBidi" w:cstheme="majorBidi"/>
        </w:rPr>
        <w:t>(</w:t>
      </w:r>
      <w:r w:rsidR="006A706F" w:rsidRPr="00627E20">
        <w:rPr>
          <w:rFonts w:asciiTheme="majorBidi" w:hAnsiTheme="majorBidi" w:cstheme="majorBidi"/>
          <w:rtl/>
          <w:lang w:bidi="he-IL"/>
        </w:rPr>
        <w:t>נחה</w:t>
      </w:r>
      <w:r w:rsidR="00E20970" w:rsidRPr="00627E20">
        <w:rPr>
          <w:rFonts w:asciiTheme="majorBidi" w:hAnsiTheme="majorBidi" w:cstheme="majorBidi"/>
        </w:rPr>
        <w:t xml:space="preserve">) </w:t>
      </w:r>
      <w:r w:rsidRPr="00627E20">
        <w:rPr>
          <w:rFonts w:asciiTheme="majorBidi" w:hAnsiTheme="majorBidi" w:cstheme="majorBidi"/>
        </w:rPr>
        <w:t>on the mountains of Hurarat</w:t>
      </w:r>
      <w:r w:rsidR="00025F85" w:rsidRPr="00627E20">
        <w:rPr>
          <w:rFonts w:asciiTheme="majorBidi" w:hAnsiTheme="majorBidi" w:cstheme="majorBidi"/>
        </w:rPr>
        <w:t>.</w:t>
      </w:r>
      <w:r w:rsidRPr="00627E20">
        <w:rPr>
          <w:rFonts w:asciiTheme="majorBidi" w:hAnsiTheme="majorBidi" w:cstheme="majorBidi"/>
        </w:rPr>
        <w:t>”</w:t>
      </w:r>
    </w:p>
  </w:footnote>
  <w:footnote w:id="43">
    <w:p w14:paraId="65282026" w14:textId="7BB0379E" w:rsidR="00025F85" w:rsidRPr="00627E20" w:rsidRDefault="00025F85">
      <w:pPr>
        <w:pStyle w:val="FootnoteText"/>
        <w:rPr>
          <w:rFonts w:asciiTheme="majorBidi" w:hAnsiTheme="majorBidi" w:cstheme="majorBidi"/>
          <w:szCs w:val="24"/>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HALOT 2:679–80; Clines, </w:t>
      </w:r>
      <w:r w:rsidRPr="00627E20">
        <w:rPr>
          <w:rFonts w:asciiTheme="majorBidi" w:hAnsiTheme="majorBidi" w:cstheme="majorBidi"/>
          <w:i/>
          <w:iCs/>
          <w:szCs w:val="24"/>
        </w:rPr>
        <w:t>Dictionary</w:t>
      </w:r>
      <w:r w:rsidRPr="00627E20">
        <w:rPr>
          <w:rFonts w:asciiTheme="majorBidi" w:hAnsiTheme="majorBidi" w:cstheme="majorBidi"/>
          <w:szCs w:val="24"/>
        </w:rPr>
        <w:t xml:space="preserve">, 5:638–40; Kaddari, </w:t>
      </w:r>
      <w:r w:rsidRPr="00627E20">
        <w:rPr>
          <w:rFonts w:asciiTheme="majorBidi" w:hAnsiTheme="majorBidi" w:cstheme="majorBidi"/>
          <w:szCs w:val="24"/>
          <w:rtl/>
          <w:lang w:bidi="he-IL"/>
        </w:rPr>
        <w:t>מילון</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העברית</w:t>
      </w:r>
      <w:r w:rsidRPr="00627E20">
        <w:rPr>
          <w:rFonts w:asciiTheme="majorBidi" w:hAnsiTheme="majorBidi" w:cstheme="majorBidi"/>
          <w:szCs w:val="24"/>
        </w:rPr>
        <w:t>, 702</w:t>
      </w:r>
      <w:r w:rsidRPr="00627E20">
        <w:rPr>
          <w:rFonts w:asciiTheme="majorBidi" w:hAnsiTheme="majorBidi" w:cstheme="majorBidi"/>
          <w:szCs w:val="24"/>
          <w:rtl/>
        </w:rPr>
        <w:t>.</w:t>
      </w:r>
    </w:p>
  </w:footnote>
  <w:footnote w:id="44">
    <w:p w14:paraId="02D038B6" w14:textId="20F39FED" w:rsidR="0010516A" w:rsidRPr="00627E20" w:rsidRDefault="0010516A">
      <w:pPr>
        <w:pStyle w:val="FootnoteText"/>
        <w:rPr>
          <w:rFonts w:asciiTheme="majorBidi" w:hAnsiTheme="majorBidi" w:cstheme="majorBidi"/>
          <w:szCs w:val="24"/>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Parry and Tov present the Hebrew text as follows: </w:t>
      </w:r>
    </w:p>
    <w:p w14:paraId="15013155" w14:textId="5E98107B" w:rsidR="0010516A" w:rsidRPr="00627E20" w:rsidRDefault="0010516A" w:rsidP="00627E20">
      <w:pPr>
        <w:pStyle w:val="FootnoteText"/>
        <w:rPr>
          <w:rFonts w:asciiTheme="majorBidi" w:hAnsiTheme="majorBidi" w:cstheme="majorBidi"/>
          <w:lang w:bidi="he-IL"/>
        </w:rPr>
      </w:pPr>
      <w:r w:rsidRPr="00627E20">
        <w:rPr>
          <w:rFonts w:asciiTheme="majorBidi" w:hAnsiTheme="majorBidi" w:cstheme="majorBidi"/>
          <w:szCs w:val="24"/>
          <w:rtl/>
          <w:lang w:bidi="he-IL"/>
        </w:rPr>
        <w:t>וששת[ ח]צוצרות החללים קול חד טרוד לנצח מלחמה והלוים</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וכול עם</w:t>
      </w:r>
      <w:r w:rsidRPr="00627E20">
        <w:rPr>
          <w:rFonts w:asciiTheme="majorBidi" w:hAnsiTheme="majorBidi" w:cstheme="majorBidi"/>
          <w:szCs w:val="24"/>
          <w:lang w:bidi="he-IL"/>
        </w:rPr>
        <w:t xml:space="preserve"> (</w:t>
      </w:r>
      <w:r w:rsidRPr="00627E20">
        <w:rPr>
          <w:rFonts w:asciiTheme="majorBidi" w:hAnsiTheme="majorBidi" w:cstheme="majorBidi"/>
          <w:szCs w:val="24"/>
        </w:rPr>
        <w:t xml:space="preserve">Parry, Tov and Clements, </w:t>
      </w:r>
      <w:r w:rsidRPr="00627E20">
        <w:rPr>
          <w:rFonts w:asciiTheme="majorBidi" w:hAnsiTheme="majorBidi" w:cstheme="majorBidi"/>
          <w:i/>
          <w:iCs/>
          <w:szCs w:val="24"/>
        </w:rPr>
        <w:t>The Dead Sea Scrolls Reader</w:t>
      </w:r>
      <w:r w:rsidRPr="00627E20">
        <w:rPr>
          <w:rFonts w:asciiTheme="majorBidi" w:hAnsiTheme="majorBidi" w:cstheme="majorBidi"/>
          <w:szCs w:val="24"/>
        </w:rPr>
        <w:t>, 1</w:t>
      </w:r>
      <w:r w:rsidR="001D5DD6" w:rsidRPr="00627E20">
        <w:rPr>
          <w:rFonts w:asciiTheme="majorBidi" w:hAnsiTheme="majorBidi" w:cstheme="majorBidi"/>
          <w:szCs w:val="24"/>
        </w:rPr>
        <w:t>: 268</w:t>
      </w:r>
      <w:r w:rsidRPr="00627E20">
        <w:rPr>
          <w:rFonts w:asciiTheme="majorBidi" w:hAnsiTheme="majorBidi" w:cstheme="majorBidi"/>
          <w:szCs w:val="24"/>
        </w:rPr>
        <w:t xml:space="preserve">). They do not reconstruct any text in the lacuna. Qimron’s text contains a few more letters, and a reconstruction of the missing text: </w:t>
      </w:r>
    </w:p>
    <w:p w14:paraId="07488D9B" w14:textId="2F050FFD" w:rsidR="0010516A" w:rsidRPr="00627E20" w:rsidRDefault="0010516A" w:rsidP="00627E20">
      <w:pPr>
        <w:pStyle w:val="FootnoteText"/>
        <w:rPr>
          <w:rFonts w:asciiTheme="majorBidi" w:hAnsiTheme="majorBidi" w:cstheme="majorBidi"/>
          <w:lang w:bidi="he-IL"/>
        </w:rPr>
      </w:pPr>
      <w:r w:rsidRPr="00627E20">
        <w:rPr>
          <w:rFonts w:asciiTheme="majorBidi" w:hAnsiTheme="majorBidi" w:cstheme="majorBidi"/>
          <w:szCs w:val="24"/>
          <w:rtl/>
          <w:lang w:bidi="he-IL"/>
        </w:rPr>
        <w:t>וששת</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הכו</w:t>
      </w:r>
      <w:r w:rsidRPr="00627E20">
        <w:rPr>
          <w:rFonts w:asciiTheme="majorBidi" w:hAnsiTheme="majorBidi" w:cstheme="majorBidi"/>
          <w:szCs w:val="24"/>
          <w:rtl/>
        </w:rPr>
        <w:t>]</w:t>
      </w:r>
      <w:r w:rsidRPr="00627E20">
        <w:rPr>
          <w:rFonts w:asciiTheme="majorBidi" w:hAnsiTheme="majorBidi" w:cstheme="majorBidi"/>
          <w:szCs w:val="24"/>
          <w:rtl/>
          <w:lang w:bidi="he-IL"/>
        </w:rPr>
        <w:t>הנ</w:t>
      </w:r>
      <w:r w:rsidRPr="00627E20">
        <w:rPr>
          <w:rFonts w:asciiTheme="majorBidi" w:hAnsiTheme="majorBidi" w:cstheme="majorBidi"/>
          <w:szCs w:val="24"/>
          <w:rtl/>
        </w:rPr>
        <w:t>[</w:t>
      </w:r>
      <w:r w:rsidRPr="00627E20">
        <w:rPr>
          <w:rFonts w:asciiTheme="majorBidi" w:hAnsiTheme="majorBidi" w:cstheme="majorBidi"/>
          <w:szCs w:val="24"/>
          <w:rtl/>
          <w:lang w:bidi="he-IL"/>
        </w:rPr>
        <w:t>ים</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יתקעו ב]חצוצרות</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החללים</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קול</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חד</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טרוד</w:t>
      </w:r>
      <w:r w:rsidRPr="00627E20">
        <w:rPr>
          <w:rFonts w:asciiTheme="majorBidi" w:hAnsiTheme="majorBidi" w:cstheme="majorBidi"/>
          <w:szCs w:val="24"/>
          <w:lang w:bidi="he-IL"/>
        </w:rPr>
        <w:t xml:space="preserve"> </w:t>
      </w:r>
      <w:r w:rsidRPr="00627E20">
        <w:rPr>
          <w:rFonts w:asciiTheme="majorBidi" w:hAnsiTheme="majorBidi" w:cstheme="majorBidi"/>
          <w:szCs w:val="24"/>
        </w:rPr>
        <w:t xml:space="preserve">(Qimron, </w:t>
      </w:r>
      <w:r w:rsidRPr="00627E20">
        <w:rPr>
          <w:rFonts w:asciiTheme="majorBidi" w:hAnsiTheme="majorBidi" w:cstheme="majorBidi"/>
          <w:szCs w:val="24"/>
          <w:rtl/>
          <w:lang w:bidi="he-IL"/>
        </w:rPr>
        <w:t>מגילות</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מדבר</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יהודה</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החיבורים</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העבריים</w:t>
      </w:r>
      <w:r w:rsidRPr="00627E20">
        <w:rPr>
          <w:rFonts w:asciiTheme="majorBidi" w:hAnsiTheme="majorBidi" w:cstheme="majorBidi"/>
          <w:szCs w:val="24"/>
        </w:rPr>
        <w:t>, 1:</w:t>
      </w:r>
      <w:r w:rsidR="005E5F67" w:rsidRPr="00627E20">
        <w:rPr>
          <w:rFonts w:asciiTheme="majorBidi" w:hAnsiTheme="majorBidi" w:cstheme="majorBidi"/>
          <w:szCs w:val="24"/>
        </w:rPr>
        <w:t>128</w:t>
      </w:r>
      <w:r w:rsidRPr="00627E20">
        <w:rPr>
          <w:rFonts w:asciiTheme="majorBidi" w:hAnsiTheme="majorBidi" w:cstheme="majorBidi"/>
          <w:szCs w:val="24"/>
        </w:rPr>
        <w:t>.)</w:t>
      </w:r>
      <w:r w:rsidRPr="00627E20">
        <w:rPr>
          <w:rFonts w:asciiTheme="majorBidi" w:hAnsiTheme="majorBidi" w:cstheme="majorBidi"/>
          <w:szCs w:val="24"/>
          <w:lang w:bidi="he-IL"/>
        </w:rPr>
        <w:t xml:space="preserve"> </w:t>
      </w:r>
      <w:r w:rsidR="005E5F67" w:rsidRPr="00627E20">
        <w:rPr>
          <w:rFonts w:asciiTheme="majorBidi" w:hAnsiTheme="majorBidi" w:cstheme="majorBidi"/>
          <w:szCs w:val="24"/>
        </w:rPr>
        <w:t xml:space="preserve">It is preferable to restore </w:t>
      </w:r>
      <w:r w:rsidR="005E5F67" w:rsidRPr="00627E20">
        <w:rPr>
          <w:rFonts w:asciiTheme="majorBidi" w:hAnsiTheme="majorBidi" w:cstheme="majorBidi"/>
          <w:szCs w:val="24"/>
          <w:rtl/>
          <w:lang w:bidi="he-IL"/>
        </w:rPr>
        <w:t>יריעו</w:t>
      </w:r>
      <w:r w:rsidR="005E5F67" w:rsidRPr="00627E20">
        <w:rPr>
          <w:rFonts w:asciiTheme="majorBidi" w:hAnsiTheme="majorBidi" w:cstheme="majorBidi"/>
          <w:szCs w:val="24"/>
          <w:lang w:bidi="he-IL"/>
        </w:rPr>
        <w:t xml:space="preserve"> rather than </w:t>
      </w:r>
      <w:r w:rsidR="005E5F67" w:rsidRPr="00627E20">
        <w:rPr>
          <w:rFonts w:asciiTheme="majorBidi" w:hAnsiTheme="majorBidi" w:cstheme="majorBidi"/>
          <w:szCs w:val="24"/>
          <w:rtl/>
          <w:lang w:bidi="he-IL"/>
        </w:rPr>
        <w:t>יתקעו</w:t>
      </w:r>
      <w:r w:rsidR="005E5F67" w:rsidRPr="00627E20">
        <w:rPr>
          <w:rFonts w:asciiTheme="majorBidi" w:hAnsiTheme="majorBidi" w:cstheme="majorBidi"/>
          <w:szCs w:val="24"/>
        </w:rPr>
        <w:t xml:space="preserve">, on the basis of 1QM 8:8, </w:t>
      </w:r>
      <w:r w:rsidR="005E5F67" w:rsidRPr="00627E20">
        <w:rPr>
          <w:rFonts w:asciiTheme="majorBidi" w:hAnsiTheme="majorBidi" w:cstheme="majorBidi"/>
          <w:szCs w:val="24"/>
          <w:rtl/>
          <w:lang w:bidi="he-IL"/>
        </w:rPr>
        <w:t>הכוהנים</w:t>
      </w:r>
      <w:r w:rsidR="005E5F67" w:rsidRPr="00627E20">
        <w:rPr>
          <w:rFonts w:asciiTheme="majorBidi" w:hAnsiTheme="majorBidi" w:cstheme="majorBidi"/>
          <w:szCs w:val="24"/>
          <w:rtl/>
        </w:rPr>
        <w:t xml:space="preserve"> </w:t>
      </w:r>
      <w:r w:rsidR="005E5F67" w:rsidRPr="00627E20">
        <w:rPr>
          <w:rFonts w:asciiTheme="majorBidi" w:hAnsiTheme="majorBidi" w:cstheme="majorBidi"/>
          <w:szCs w:val="24"/>
          <w:u w:val="single"/>
          <w:rtl/>
          <w:lang w:bidi="he-IL"/>
        </w:rPr>
        <w:t>יריעו</w:t>
      </w:r>
      <w:r w:rsidR="005E5F67" w:rsidRPr="00627E20">
        <w:rPr>
          <w:rFonts w:asciiTheme="majorBidi" w:hAnsiTheme="majorBidi" w:cstheme="majorBidi"/>
          <w:szCs w:val="24"/>
          <w:rtl/>
        </w:rPr>
        <w:t xml:space="preserve"> </w:t>
      </w:r>
      <w:r w:rsidR="005E5F67" w:rsidRPr="00627E20">
        <w:rPr>
          <w:rFonts w:asciiTheme="majorBidi" w:hAnsiTheme="majorBidi" w:cstheme="majorBidi"/>
          <w:szCs w:val="24"/>
          <w:rtl/>
          <w:lang w:bidi="he-IL"/>
        </w:rPr>
        <w:t>בשש</w:t>
      </w:r>
      <w:r w:rsidR="005E5F67" w:rsidRPr="00627E20">
        <w:rPr>
          <w:rFonts w:asciiTheme="majorBidi" w:hAnsiTheme="majorBidi" w:cstheme="majorBidi"/>
          <w:szCs w:val="24"/>
          <w:rtl/>
        </w:rPr>
        <w:t xml:space="preserve"> </w:t>
      </w:r>
      <w:r w:rsidR="005E5F67" w:rsidRPr="00627E20">
        <w:rPr>
          <w:rFonts w:asciiTheme="majorBidi" w:hAnsiTheme="majorBidi" w:cstheme="majorBidi"/>
          <w:szCs w:val="24"/>
          <w:rtl/>
          <w:lang w:bidi="he-IL"/>
        </w:rPr>
        <w:t>חצוצרות</w:t>
      </w:r>
      <w:r w:rsidR="005E5F67" w:rsidRPr="00627E20">
        <w:rPr>
          <w:rFonts w:asciiTheme="majorBidi" w:hAnsiTheme="majorBidi" w:cstheme="majorBidi"/>
          <w:szCs w:val="24"/>
          <w:rtl/>
        </w:rPr>
        <w:t xml:space="preserve"> </w:t>
      </w:r>
      <w:r w:rsidR="005E5F67" w:rsidRPr="00627E20">
        <w:rPr>
          <w:rFonts w:asciiTheme="majorBidi" w:hAnsiTheme="majorBidi" w:cstheme="majorBidi"/>
          <w:szCs w:val="24"/>
          <w:rtl/>
          <w:lang w:bidi="he-IL"/>
        </w:rPr>
        <w:t>החללים</w:t>
      </w:r>
      <w:r w:rsidR="005E5F67" w:rsidRPr="00627E20">
        <w:rPr>
          <w:rFonts w:asciiTheme="majorBidi" w:hAnsiTheme="majorBidi" w:cstheme="majorBidi"/>
          <w:szCs w:val="24"/>
        </w:rPr>
        <w:t xml:space="preserve">; 1QM 9:1-2, </w:t>
      </w:r>
      <w:r w:rsidR="005E5F67" w:rsidRPr="00627E20">
        <w:rPr>
          <w:rFonts w:asciiTheme="majorBidi" w:hAnsiTheme="majorBidi" w:cstheme="majorBidi"/>
          <w:szCs w:val="24"/>
          <w:rtl/>
          <w:lang w:bidi="he-IL"/>
        </w:rPr>
        <w:t>והכוהנים</w:t>
      </w:r>
      <w:r w:rsidR="005E5F67" w:rsidRPr="00627E20">
        <w:rPr>
          <w:rFonts w:asciiTheme="majorBidi" w:hAnsiTheme="majorBidi" w:cstheme="majorBidi"/>
          <w:szCs w:val="24"/>
          <w:rtl/>
        </w:rPr>
        <w:t xml:space="preserve"> </w:t>
      </w:r>
      <w:r w:rsidR="005E5F67" w:rsidRPr="00627E20">
        <w:rPr>
          <w:rFonts w:asciiTheme="majorBidi" w:hAnsiTheme="majorBidi" w:cstheme="majorBidi"/>
          <w:szCs w:val="24"/>
          <w:rtl/>
          <w:lang w:bidi="he-IL"/>
        </w:rPr>
        <w:t>יהיו</w:t>
      </w:r>
      <w:r w:rsidR="005E5F67" w:rsidRPr="00627E20">
        <w:rPr>
          <w:rFonts w:asciiTheme="majorBidi" w:hAnsiTheme="majorBidi" w:cstheme="majorBidi"/>
          <w:szCs w:val="24"/>
          <w:rtl/>
        </w:rPr>
        <w:t xml:space="preserve"> </w:t>
      </w:r>
      <w:r w:rsidR="005E5F67" w:rsidRPr="00627E20">
        <w:rPr>
          <w:rFonts w:asciiTheme="majorBidi" w:hAnsiTheme="majorBidi" w:cstheme="majorBidi"/>
          <w:szCs w:val="24"/>
          <w:u w:val="single"/>
          <w:rtl/>
          <w:lang w:bidi="he-IL"/>
        </w:rPr>
        <w:t>מריעים</w:t>
      </w:r>
      <w:r w:rsidR="005E5F67" w:rsidRPr="00627E20">
        <w:rPr>
          <w:rFonts w:asciiTheme="majorBidi" w:hAnsiTheme="majorBidi" w:cstheme="majorBidi"/>
          <w:szCs w:val="24"/>
          <w:rtl/>
        </w:rPr>
        <w:t xml:space="preserve"> </w:t>
      </w:r>
      <w:r w:rsidR="005E5F67" w:rsidRPr="00627E20">
        <w:rPr>
          <w:rFonts w:asciiTheme="majorBidi" w:hAnsiTheme="majorBidi" w:cstheme="majorBidi"/>
          <w:szCs w:val="24"/>
          <w:rtl/>
          <w:lang w:bidi="he-IL"/>
        </w:rPr>
        <w:t>בחצוצרות</w:t>
      </w:r>
      <w:r w:rsidR="005E5F67" w:rsidRPr="00627E20">
        <w:rPr>
          <w:rFonts w:asciiTheme="majorBidi" w:hAnsiTheme="majorBidi" w:cstheme="majorBidi"/>
          <w:szCs w:val="24"/>
          <w:rtl/>
        </w:rPr>
        <w:t xml:space="preserve"> </w:t>
      </w:r>
      <w:r w:rsidR="005E5F67" w:rsidRPr="00627E20">
        <w:rPr>
          <w:rFonts w:asciiTheme="majorBidi" w:hAnsiTheme="majorBidi" w:cstheme="majorBidi"/>
          <w:szCs w:val="24"/>
          <w:rtl/>
          <w:lang w:bidi="he-IL"/>
        </w:rPr>
        <w:t>החללים</w:t>
      </w:r>
      <w:r w:rsidR="005E5F67" w:rsidRPr="00627E20">
        <w:rPr>
          <w:rFonts w:asciiTheme="majorBidi" w:hAnsiTheme="majorBidi" w:cstheme="majorBidi"/>
          <w:szCs w:val="24"/>
        </w:rPr>
        <w:t xml:space="preserve">; 1QM 17:12, </w:t>
      </w:r>
      <w:r w:rsidR="005E5F67" w:rsidRPr="00627E20">
        <w:rPr>
          <w:rFonts w:asciiTheme="majorBidi" w:hAnsiTheme="majorBidi" w:cstheme="majorBidi"/>
          <w:szCs w:val="24"/>
          <w:rtl/>
          <w:lang w:bidi="he-IL"/>
        </w:rPr>
        <w:t>הכוהנים</w:t>
      </w:r>
      <w:r w:rsidR="005E5F67" w:rsidRPr="00627E20">
        <w:rPr>
          <w:rFonts w:asciiTheme="majorBidi" w:hAnsiTheme="majorBidi" w:cstheme="majorBidi"/>
          <w:szCs w:val="24"/>
          <w:rtl/>
        </w:rPr>
        <w:t xml:space="preserve"> </w:t>
      </w:r>
      <w:r w:rsidR="005E5F67" w:rsidRPr="00627E20">
        <w:rPr>
          <w:rFonts w:asciiTheme="majorBidi" w:hAnsiTheme="majorBidi" w:cstheme="majorBidi"/>
          <w:szCs w:val="24"/>
          <w:u w:val="single"/>
          <w:rtl/>
          <w:lang w:bidi="he-IL"/>
        </w:rPr>
        <w:t>יריעו</w:t>
      </w:r>
      <w:r w:rsidR="005E5F67" w:rsidRPr="00627E20">
        <w:rPr>
          <w:rFonts w:asciiTheme="majorBidi" w:hAnsiTheme="majorBidi" w:cstheme="majorBidi"/>
          <w:szCs w:val="24"/>
          <w:rtl/>
        </w:rPr>
        <w:t xml:space="preserve"> </w:t>
      </w:r>
      <w:r w:rsidR="005E5F67" w:rsidRPr="00627E20">
        <w:rPr>
          <w:rFonts w:asciiTheme="majorBidi" w:hAnsiTheme="majorBidi" w:cstheme="majorBidi"/>
          <w:szCs w:val="24"/>
          <w:rtl/>
          <w:lang w:bidi="he-IL"/>
        </w:rPr>
        <w:t>בחצוצרות</w:t>
      </w:r>
      <w:r w:rsidR="005E5F67" w:rsidRPr="00627E20">
        <w:rPr>
          <w:rFonts w:asciiTheme="majorBidi" w:hAnsiTheme="majorBidi" w:cstheme="majorBidi"/>
          <w:szCs w:val="24"/>
          <w:rtl/>
        </w:rPr>
        <w:t xml:space="preserve"> </w:t>
      </w:r>
      <w:r w:rsidR="005E5F67" w:rsidRPr="00627E20">
        <w:rPr>
          <w:rFonts w:asciiTheme="majorBidi" w:hAnsiTheme="majorBidi" w:cstheme="majorBidi"/>
          <w:szCs w:val="24"/>
          <w:rtl/>
          <w:lang w:bidi="he-IL"/>
        </w:rPr>
        <w:t>החללים</w:t>
      </w:r>
      <w:r w:rsidR="005E5F67" w:rsidRPr="00627E20">
        <w:rPr>
          <w:rFonts w:asciiTheme="majorBidi" w:hAnsiTheme="majorBidi" w:cstheme="majorBidi"/>
          <w:szCs w:val="24"/>
        </w:rPr>
        <w:t>; and 4Q491 11 ii, 21, “</w:t>
      </w:r>
      <w:r w:rsidR="005E5F67" w:rsidRPr="00627E20">
        <w:rPr>
          <w:rFonts w:asciiTheme="majorBidi" w:hAnsiTheme="majorBidi" w:cstheme="majorBidi"/>
          <w:szCs w:val="24"/>
          <w:rtl/>
          <w:lang w:bidi="he-IL"/>
        </w:rPr>
        <w:t>והכוהנים</w:t>
      </w:r>
      <w:r w:rsidR="005E5F67" w:rsidRPr="00627E20">
        <w:rPr>
          <w:rFonts w:asciiTheme="majorBidi" w:hAnsiTheme="majorBidi" w:cstheme="majorBidi"/>
          <w:szCs w:val="24"/>
          <w:rtl/>
        </w:rPr>
        <w:t xml:space="preserve"> </w:t>
      </w:r>
      <w:r w:rsidR="005E5F67" w:rsidRPr="00627E20">
        <w:rPr>
          <w:rFonts w:asciiTheme="majorBidi" w:hAnsiTheme="majorBidi" w:cstheme="majorBidi"/>
          <w:szCs w:val="24"/>
          <w:u w:val="single"/>
          <w:rtl/>
          <w:lang w:bidi="he-IL"/>
        </w:rPr>
        <w:t>יר</w:t>
      </w:r>
      <w:r w:rsidR="005E5F67" w:rsidRPr="00627E20">
        <w:rPr>
          <w:rFonts w:asciiTheme="majorBidi" w:hAnsiTheme="majorBidi" w:cstheme="majorBidi"/>
          <w:szCs w:val="24"/>
          <w:u w:val="single"/>
          <w:rtl/>
        </w:rPr>
        <w:t>[</w:t>
      </w:r>
      <w:r w:rsidR="005E5F67" w:rsidRPr="00627E20">
        <w:rPr>
          <w:rFonts w:asciiTheme="majorBidi" w:hAnsiTheme="majorBidi" w:cstheme="majorBidi"/>
          <w:szCs w:val="24"/>
          <w:u w:val="single"/>
          <w:rtl/>
          <w:lang w:bidi="he-IL"/>
        </w:rPr>
        <w:t>יע</w:t>
      </w:r>
      <w:r w:rsidR="005E5F67" w:rsidRPr="00627E20">
        <w:rPr>
          <w:rFonts w:asciiTheme="majorBidi" w:hAnsiTheme="majorBidi" w:cstheme="majorBidi"/>
          <w:szCs w:val="24"/>
          <w:u w:val="single"/>
          <w:rtl/>
        </w:rPr>
        <w:t>]</w:t>
      </w:r>
      <w:r w:rsidR="005E5F67" w:rsidRPr="00627E20">
        <w:rPr>
          <w:rFonts w:asciiTheme="majorBidi" w:hAnsiTheme="majorBidi" w:cstheme="majorBidi"/>
          <w:szCs w:val="24"/>
          <w:u w:val="single"/>
          <w:rtl/>
          <w:lang w:bidi="he-IL"/>
        </w:rPr>
        <w:t>ו</w:t>
      </w:r>
      <w:r w:rsidR="005E5F67" w:rsidRPr="00627E20">
        <w:rPr>
          <w:rFonts w:asciiTheme="majorBidi" w:hAnsiTheme="majorBidi" w:cstheme="majorBidi"/>
          <w:szCs w:val="24"/>
          <w:rtl/>
        </w:rPr>
        <w:t xml:space="preserve"> </w:t>
      </w:r>
      <w:r w:rsidR="005E5F67" w:rsidRPr="00627E20">
        <w:rPr>
          <w:rFonts w:asciiTheme="majorBidi" w:hAnsiTheme="majorBidi" w:cstheme="majorBidi"/>
          <w:szCs w:val="24"/>
          <w:rtl/>
          <w:lang w:bidi="he-IL"/>
        </w:rPr>
        <w:t>בחצו</w:t>
      </w:r>
      <w:r w:rsidR="005E5F67" w:rsidRPr="00627E20">
        <w:rPr>
          <w:rFonts w:asciiTheme="majorBidi" w:hAnsiTheme="majorBidi" w:cstheme="majorBidi"/>
          <w:szCs w:val="24"/>
          <w:rtl/>
        </w:rPr>
        <w:t>[</w:t>
      </w:r>
      <w:r w:rsidR="005E5F67" w:rsidRPr="00627E20">
        <w:rPr>
          <w:rFonts w:asciiTheme="majorBidi" w:hAnsiTheme="majorBidi" w:cstheme="majorBidi"/>
          <w:szCs w:val="24"/>
          <w:rtl/>
          <w:lang w:bidi="he-IL"/>
        </w:rPr>
        <w:t>צר</w:t>
      </w:r>
      <w:r w:rsidR="005E5F67" w:rsidRPr="00627E20">
        <w:rPr>
          <w:rFonts w:asciiTheme="majorBidi" w:hAnsiTheme="majorBidi" w:cstheme="majorBidi"/>
          <w:szCs w:val="24"/>
          <w:rtl/>
        </w:rPr>
        <w:t>]</w:t>
      </w:r>
      <w:r w:rsidR="005E5F67" w:rsidRPr="00627E20">
        <w:rPr>
          <w:rFonts w:asciiTheme="majorBidi" w:hAnsiTheme="majorBidi" w:cstheme="majorBidi"/>
          <w:szCs w:val="24"/>
          <w:rtl/>
          <w:lang w:bidi="he-IL"/>
        </w:rPr>
        <w:t>ות ה[חללים</w:t>
      </w:r>
      <w:r w:rsidR="005E5F67" w:rsidRPr="00627E20">
        <w:rPr>
          <w:rFonts w:asciiTheme="majorBidi" w:hAnsiTheme="majorBidi" w:cstheme="majorBidi"/>
          <w:szCs w:val="24"/>
        </w:rPr>
        <w:t>.”</w:t>
      </w:r>
      <w:r w:rsidRPr="00627E20">
        <w:rPr>
          <w:rFonts w:asciiTheme="majorBidi" w:hAnsiTheme="majorBidi" w:cstheme="majorBidi"/>
          <w:szCs w:val="24"/>
          <w:rtl/>
          <w:lang w:bidi="he-IL"/>
        </w:rPr>
        <w:t xml:space="preserve"> </w:t>
      </w:r>
    </w:p>
  </w:footnote>
  <w:footnote w:id="45">
    <w:p w14:paraId="42B43BA5" w14:textId="537004C7" w:rsidR="00D50E45" w:rsidRPr="00627E20" w:rsidRDefault="00D50E45">
      <w:pPr>
        <w:pStyle w:val="FootnoteText"/>
        <w:rPr>
          <w:rFonts w:asciiTheme="majorBidi" w:hAnsiTheme="majorBidi" w:cstheme="majorBidi"/>
          <w:szCs w:val="24"/>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Habermann, </w:t>
      </w:r>
      <w:r w:rsidRPr="00627E20">
        <w:rPr>
          <w:rFonts w:asciiTheme="majorBidi" w:hAnsiTheme="majorBidi" w:cstheme="majorBidi"/>
          <w:szCs w:val="24"/>
          <w:rtl/>
          <w:lang w:bidi="he-IL"/>
        </w:rPr>
        <w:t>מגילות</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מדבר</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יהודה</w:t>
      </w:r>
      <w:r w:rsidRPr="00627E20">
        <w:rPr>
          <w:rFonts w:asciiTheme="majorBidi" w:hAnsiTheme="majorBidi" w:cstheme="majorBidi"/>
          <w:szCs w:val="24"/>
          <w:lang w:bidi="he-IL"/>
        </w:rPr>
        <w:t xml:space="preserve">, 199; </w:t>
      </w:r>
      <w:r w:rsidR="00B66DFE" w:rsidRPr="00627E20">
        <w:rPr>
          <w:rFonts w:asciiTheme="majorBidi" w:hAnsiTheme="majorBidi" w:cstheme="majorBidi"/>
          <w:szCs w:val="24"/>
        </w:rPr>
        <w:t xml:space="preserve">Yadin, </w:t>
      </w:r>
      <w:r w:rsidR="00B66DFE" w:rsidRPr="00627E20">
        <w:rPr>
          <w:rFonts w:asciiTheme="majorBidi" w:hAnsiTheme="majorBidi" w:cstheme="majorBidi"/>
          <w:i/>
          <w:iCs/>
          <w:szCs w:val="24"/>
        </w:rPr>
        <w:t>The Scroll of the War</w:t>
      </w:r>
      <w:r w:rsidR="00B66DFE" w:rsidRPr="00627E20">
        <w:rPr>
          <w:rFonts w:asciiTheme="majorBidi" w:hAnsiTheme="majorBidi" w:cstheme="majorBidi"/>
          <w:szCs w:val="24"/>
        </w:rPr>
        <w:t>, 103;</w:t>
      </w:r>
      <w:r w:rsidR="00B66DFE" w:rsidRPr="00627E20">
        <w:rPr>
          <w:rFonts w:asciiTheme="majorBidi" w:hAnsiTheme="majorBidi" w:cstheme="majorBidi"/>
          <w:szCs w:val="24"/>
          <w:lang w:bidi="he-IL"/>
        </w:rPr>
        <w:t xml:space="preserve"> </w:t>
      </w:r>
      <w:r w:rsidRPr="00627E20">
        <w:rPr>
          <w:rFonts w:asciiTheme="majorBidi" w:hAnsiTheme="majorBidi" w:cstheme="majorBidi"/>
          <w:szCs w:val="24"/>
          <w:lang w:bidi="he-IL"/>
        </w:rPr>
        <w:t xml:space="preserve">Stallman, “Levi and Levites,” 174; </w:t>
      </w:r>
      <w:r w:rsidRPr="00627E20">
        <w:rPr>
          <w:rFonts w:asciiTheme="majorBidi" w:hAnsiTheme="majorBidi" w:cstheme="majorBidi"/>
          <w:szCs w:val="24"/>
        </w:rPr>
        <w:t xml:space="preserve">Duhaime, “War Scroll,” 113, 131; García Martínez, </w:t>
      </w:r>
      <w:r w:rsidRPr="00627E20">
        <w:rPr>
          <w:rFonts w:asciiTheme="majorBidi" w:hAnsiTheme="majorBidi" w:cstheme="majorBidi"/>
          <w:i/>
          <w:iCs/>
          <w:szCs w:val="24"/>
        </w:rPr>
        <w:t>The Dead Sea Scrolls Translated</w:t>
      </w:r>
      <w:r w:rsidRPr="00627E20">
        <w:rPr>
          <w:rFonts w:asciiTheme="majorBidi" w:hAnsiTheme="majorBidi" w:cstheme="majorBidi"/>
          <w:szCs w:val="24"/>
        </w:rPr>
        <w:t>, 101, 111;</w:t>
      </w:r>
      <w:r w:rsidR="00561489" w:rsidRPr="00627E20">
        <w:rPr>
          <w:rFonts w:asciiTheme="majorBidi" w:hAnsiTheme="majorBidi" w:cstheme="majorBidi"/>
          <w:szCs w:val="24"/>
        </w:rPr>
        <w:t xml:space="preserve"> </w:t>
      </w:r>
      <w:r w:rsidR="00561489" w:rsidRPr="00627E20">
        <w:rPr>
          <w:rFonts w:asciiTheme="majorBidi" w:hAnsiTheme="majorBidi" w:cstheme="majorBidi"/>
          <w:spacing w:val="-4"/>
          <w:szCs w:val="24"/>
        </w:rPr>
        <w:t xml:space="preserve">Geza Vermes, </w:t>
      </w:r>
      <w:r w:rsidR="00561489" w:rsidRPr="00627E20">
        <w:rPr>
          <w:rFonts w:asciiTheme="majorBidi" w:hAnsiTheme="majorBidi" w:cstheme="majorBidi"/>
          <w:i/>
          <w:iCs/>
          <w:spacing w:val="-4"/>
          <w:szCs w:val="24"/>
        </w:rPr>
        <w:t>The Dead Sea Scrolls in English</w:t>
      </w:r>
      <w:r w:rsidR="00561489" w:rsidRPr="00627E20">
        <w:rPr>
          <w:rFonts w:asciiTheme="majorBidi" w:hAnsiTheme="majorBidi" w:cstheme="majorBidi"/>
          <w:szCs w:val="24"/>
        </w:rPr>
        <w:t xml:space="preserve">, 133, 142; </w:t>
      </w:r>
      <w:r w:rsidR="00A95998" w:rsidRPr="00627E20">
        <w:rPr>
          <w:rFonts w:asciiTheme="majorBidi" w:hAnsiTheme="majorBidi" w:cstheme="majorBidi"/>
          <w:szCs w:val="24"/>
        </w:rPr>
        <w:t xml:space="preserve">García Martínez and Tigchelaar, </w:t>
      </w:r>
      <w:r w:rsidR="00A95998" w:rsidRPr="00627E20">
        <w:rPr>
          <w:rFonts w:asciiTheme="majorBidi" w:hAnsiTheme="majorBidi" w:cstheme="majorBidi"/>
          <w:i/>
          <w:iCs/>
          <w:szCs w:val="24"/>
        </w:rPr>
        <w:t>The Dead Sea Scrolls Study Edition</w:t>
      </w:r>
      <w:r w:rsidR="00A95998" w:rsidRPr="00627E20">
        <w:rPr>
          <w:rFonts w:asciiTheme="majorBidi" w:hAnsiTheme="majorBidi" w:cstheme="majorBidi"/>
          <w:szCs w:val="24"/>
        </w:rPr>
        <w:t>, 1:127, 139</w:t>
      </w:r>
      <w:r w:rsidRPr="00627E20">
        <w:rPr>
          <w:rFonts w:asciiTheme="majorBidi" w:hAnsiTheme="majorBidi" w:cstheme="majorBidi"/>
          <w:szCs w:val="24"/>
          <w:rtl/>
        </w:rPr>
        <w:t>.</w:t>
      </w:r>
    </w:p>
  </w:footnote>
  <w:footnote w:id="46">
    <w:p w14:paraId="6E0277BE" w14:textId="2BAFE0C0" w:rsidR="001C738D" w:rsidRPr="00627E20" w:rsidRDefault="00D50E45">
      <w:pPr>
        <w:pStyle w:val="FootnoteText"/>
        <w:rPr>
          <w:rFonts w:asciiTheme="majorBidi" w:hAnsiTheme="majorBidi" w:cstheme="majorBidi"/>
          <w:szCs w:val="24"/>
          <w:rtl/>
          <w:lang w:bidi="he-IL"/>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w:t>
      </w:r>
      <w:r w:rsidR="001C738D" w:rsidRPr="00627E20">
        <w:rPr>
          <w:rFonts w:asciiTheme="majorBidi" w:hAnsiTheme="majorBidi" w:cstheme="majorBidi"/>
          <w:szCs w:val="24"/>
        </w:rPr>
        <w:t xml:space="preserve">Driver, </w:t>
      </w:r>
      <w:r w:rsidR="001C738D" w:rsidRPr="00627E20">
        <w:rPr>
          <w:rFonts w:asciiTheme="majorBidi" w:hAnsiTheme="majorBidi" w:cstheme="majorBidi"/>
          <w:i/>
          <w:iCs/>
          <w:szCs w:val="24"/>
        </w:rPr>
        <w:t>The Judaean Scrolls</w:t>
      </w:r>
      <w:r w:rsidR="001C738D" w:rsidRPr="00627E20">
        <w:rPr>
          <w:rFonts w:asciiTheme="majorBidi" w:hAnsiTheme="majorBidi" w:cstheme="majorBidi"/>
          <w:szCs w:val="24"/>
        </w:rPr>
        <w:t xml:space="preserve">, 172; Wise, Abegg, and Cook, </w:t>
      </w:r>
      <w:r w:rsidR="001C738D" w:rsidRPr="00627E20">
        <w:rPr>
          <w:rFonts w:asciiTheme="majorBidi" w:hAnsiTheme="majorBidi" w:cstheme="majorBidi"/>
          <w:i/>
          <w:iCs/>
          <w:spacing w:val="-4"/>
          <w:szCs w:val="24"/>
        </w:rPr>
        <w:t>The Dead Sea Scrolls: A New Translation</w:t>
      </w:r>
      <w:r w:rsidR="001C738D" w:rsidRPr="00627E20">
        <w:rPr>
          <w:rFonts w:asciiTheme="majorBidi" w:hAnsiTheme="majorBidi" w:cstheme="majorBidi"/>
          <w:spacing w:val="-4"/>
          <w:szCs w:val="24"/>
        </w:rPr>
        <w:t xml:space="preserve">, </w:t>
      </w:r>
      <w:r w:rsidR="001C738D" w:rsidRPr="00627E20">
        <w:rPr>
          <w:rFonts w:asciiTheme="majorBidi" w:hAnsiTheme="majorBidi" w:cstheme="majorBidi"/>
          <w:szCs w:val="24"/>
        </w:rPr>
        <w:t>158</w:t>
      </w:r>
      <w:r w:rsidR="001C738D" w:rsidRPr="00627E20">
        <w:rPr>
          <w:rFonts w:asciiTheme="majorBidi" w:hAnsiTheme="majorBidi" w:cstheme="majorBidi"/>
          <w:szCs w:val="24"/>
          <w:rtl/>
        </w:rPr>
        <w:t>–</w:t>
      </w:r>
      <w:r w:rsidR="001C738D" w:rsidRPr="00627E20">
        <w:rPr>
          <w:rFonts w:asciiTheme="majorBidi" w:hAnsiTheme="majorBidi" w:cstheme="majorBidi"/>
          <w:szCs w:val="24"/>
        </w:rPr>
        <w:t xml:space="preserve">65; Parry, Tov, and Clements, </w:t>
      </w:r>
      <w:r w:rsidR="001C738D" w:rsidRPr="00627E20">
        <w:rPr>
          <w:rFonts w:asciiTheme="majorBidi" w:hAnsiTheme="majorBidi" w:cstheme="majorBidi"/>
          <w:i/>
          <w:iCs/>
          <w:szCs w:val="24"/>
        </w:rPr>
        <w:t>The Dead Sea Scrolls Reader</w:t>
      </w:r>
      <w:r w:rsidR="001C738D" w:rsidRPr="00627E20">
        <w:rPr>
          <w:rFonts w:asciiTheme="majorBidi" w:hAnsiTheme="majorBidi" w:cstheme="majorBidi"/>
          <w:szCs w:val="24"/>
        </w:rPr>
        <w:t>, 1:255; Holmstedt and Screnock, “Writing a Descriptive Grammar,”</w:t>
      </w:r>
      <w:r w:rsidR="00985AF3" w:rsidRPr="00627E20">
        <w:rPr>
          <w:rFonts w:asciiTheme="majorBidi" w:hAnsiTheme="majorBidi" w:cstheme="majorBidi"/>
          <w:szCs w:val="24"/>
        </w:rPr>
        <w:t xml:space="preserve"> 80.</w:t>
      </w:r>
    </w:p>
  </w:footnote>
  <w:footnote w:id="47">
    <w:p w14:paraId="7C6037B3" w14:textId="238B1E66" w:rsidR="00985AF3" w:rsidRPr="00627E20" w:rsidRDefault="00985AF3">
      <w:pPr>
        <w:pStyle w:val="FootnoteText"/>
        <w:rPr>
          <w:rFonts w:asciiTheme="majorBidi" w:hAnsiTheme="majorBidi" w:cstheme="majorBidi"/>
          <w:szCs w:val="24"/>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Yishay, “</w:t>
      </w:r>
      <w:r w:rsidRPr="00627E20">
        <w:rPr>
          <w:rFonts w:asciiTheme="majorBidi" w:hAnsiTheme="majorBidi" w:cstheme="majorBidi"/>
          <w:szCs w:val="24"/>
          <w:rtl/>
          <w:lang w:bidi="he-IL"/>
        </w:rPr>
        <w:t>ספרות</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המלחמה</w:t>
      </w:r>
      <w:r w:rsidRPr="00627E20">
        <w:rPr>
          <w:rFonts w:asciiTheme="majorBidi" w:hAnsiTheme="majorBidi" w:cstheme="majorBidi"/>
          <w:szCs w:val="24"/>
        </w:rPr>
        <w:t>,” 120, 144.</w:t>
      </w:r>
    </w:p>
  </w:footnote>
  <w:footnote w:id="48">
    <w:p w14:paraId="2A92A45B" w14:textId="7AC4B8EA" w:rsidR="0057511C" w:rsidRPr="00627E20" w:rsidRDefault="0057511C">
      <w:pPr>
        <w:pStyle w:val="FootnoteText"/>
        <w:rPr>
          <w:rFonts w:asciiTheme="majorBidi" w:hAnsiTheme="majorBidi" w:cstheme="majorBidi"/>
          <w:szCs w:val="24"/>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w:t>
      </w:r>
      <w:r w:rsidRPr="00627E20">
        <w:rPr>
          <w:rFonts w:asciiTheme="majorBidi" w:hAnsiTheme="majorBidi" w:cstheme="majorBidi"/>
          <w:i/>
          <w:iCs/>
          <w:szCs w:val="24"/>
        </w:rPr>
        <w:t>HALOT</w:t>
      </w:r>
      <w:r w:rsidRPr="00627E20">
        <w:rPr>
          <w:rFonts w:asciiTheme="majorBidi" w:hAnsiTheme="majorBidi" w:cstheme="majorBidi"/>
          <w:szCs w:val="24"/>
        </w:rPr>
        <w:t xml:space="preserve"> 1, 291; Clines, </w:t>
      </w:r>
      <w:r w:rsidRPr="00627E20">
        <w:rPr>
          <w:rFonts w:asciiTheme="majorBidi" w:hAnsiTheme="majorBidi" w:cstheme="majorBidi"/>
          <w:i/>
          <w:iCs/>
          <w:szCs w:val="24"/>
        </w:rPr>
        <w:t>Dictionary</w:t>
      </w:r>
      <w:r w:rsidRPr="00627E20">
        <w:rPr>
          <w:rFonts w:asciiTheme="majorBidi" w:hAnsiTheme="majorBidi" w:cstheme="majorBidi"/>
          <w:szCs w:val="24"/>
        </w:rPr>
        <w:t xml:space="preserve">, 3:161; Even-Shoshan, </w:t>
      </w:r>
      <w:r w:rsidRPr="00627E20">
        <w:rPr>
          <w:rFonts w:asciiTheme="majorBidi" w:hAnsiTheme="majorBidi" w:cstheme="majorBidi"/>
          <w:szCs w:val="24"/>
          <w:rtl/>
          <w:lang w:bidi="he-IL"/>
        </w:rPr>
        <w:t>קונקורדנציה</w:t>
      </w:r>
      <w:r w:rsidRPr="00627E20">
        <w:rPr>
          <w:rFonts w:asciiTheme="majorBidi" w:hAnsiTheme="majorBidi" w:cstheme="majorBidi"/>
          <w:szCs w:val="24"/>
        </w:rPr>
        <w:t xml:space="preserve">, 347; Kaddari, </w:t>
      </w:r>
      <w:r w:rsidRPr="00627E20">
        <w:rPr>
          <w:rFonts w:asciiTheme="majorBidi" w:hAnsiTheme="majorBidi" w:cstheme="majorBidi"/>
          <w:szCs w:val="24"/>
          <w:rtl/>
          <w:lang w:bidi="he-IL"/>
        </w:rPr>
        <w:t>מילון</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העברית</w:t>
      </w:r>
      <w:r w:rsidRPr="00627E20">
        <w:rPr>
          <w:rFonts w:asciiTheme="majorBidi" w:hAnsiTheme="majorBidi" w:cstheme="majorBidi"/>
          <w:szCs w:val="24"/>
        </w:rPr>
        <w:t>, 275.</w:t>
      </w:r>
    </w:p>
  </w:footnote>
  <w:footnote w:id="49">
    <w:p w14:paraId="167B60F2" w14:textId="154874CF" w:rsidR="00AE7323" w:rsidRPr="00627E20" w:rsidRDefault="00AE7323">
      <w:pPr>
        <w:pStyle w:val="FootnoteText"/>
        <w:rPr>
          <w:rFonts w:asciiTheme="majorBidi" w:hAnsiTheme="majorBidi" w:cstheme="majorBidi"/>
          <w:szCs w:val="24"/>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Kennedy, Kennedy, and Rutherford-Johnson, </w:t>
      </w:r>
      <w:r w:rsidRPr="00627E20">
        <w:rPr>
          <w:rFonts w:asciiTheme="majorBidi" w:hAnsiTheme="majorBidi" w:cstheme="majorBidi"/>
          <w:i/>
          <w:iCs/>
          <w:szCs w:val="24"/>
        </w:rPr>
        <w:t>Dictionary of Music</w:t>
      </w:r>
      <w:r w:rsidRPr="00627E20">
        <w:rPr>
          <w:rFonts w:asciiTheme="majorBidi" w:hAnsiTheme="majorBidi" w:cstheme="majorBidi"/>
          <w:szCs w:val="24"/>
        </w:rPr>
        <w:t>, 805.</w:t>
      </w:r>
    </w:p>
  </w:footnote>
  <w:footnote w:id="50">
    <w:p w14:paraId="5E54CEB3" w14:textId="1A815A62" w:rsidR="00AE7323" w:rsidRPr="00627E20" w:rsidRDefault="00AE7323">
      <w:pPr>
        <w:pStyle w:val="FootnoteText"/>
        <w:rPr>
          <w:rFonts w:asciiTheme="majorBidi" w:hAnsiTheme="majorBidi" w:cstheme="majorBidi"/>
          <w:szCs w:val="24"/>
        </w:rPr>
      </w:pPr>
      <w:r w:rsidRPr="00627E20">
        <w:rPr>
          <w:rStyle w:val="FootnoteReference"/>
          <w:rFonts w:asciiTheme="majorBidi" w:hAnsiTheme="majorBidi" w:cstheme="majorBidi"/>
          <w:szCs w:val="24"/>
        </w:rPr>
        <w:footnoteRef/>
      </w:r>
      <w:r w:rsidR="009149D2" w:rsidRPr="00627E20">
        <w:rPr>
          <w:rFonts w:asciiTheme="majorBidi" w:hAnsiTheme="majorBidi" w:cstheme="majorBidi"/>
          <w:szCs w:val="24"/>
        </w:rPr>
        <w:t xml:space="preserve"> </w:t>
      </w:r>
      <w:r w:rsidR="007D7212" w:rsidRPr="00627E20">
        <w:rPr>
          <w:rFonts w:asciiTheme="majorBidi" w:hAnsiTheme="majorBidi" w:cstheme="majorBidi"/>
          <w:szCs w:val="24"/>
        </w:rPr>
        <w:t>The text is cited according to the MT of Hab 1:8:</w:t>
      </w:r>
      <w:r w:rsidRPr="00627E20">
        <w:rPr>
          <w:rFonts w:asciiTheme="majorBidi" w:hAnsiTheme="majorBidi" w:cstheme="majorBidi"/>
          <w:szCs w:val="24"/>
        </w:rPr>
        <w:t xml:space="preserve"> </w:t>
      </w:r>
      <w:r w:rsidR="007D7212" w:rsidRPr="00627E20">
        <w:rPr>
          <w:rFonts w:asciiTheme="majorBidi" w:hAnsiTheme="majorBidi" w:cstheme="majorBidi"/>
          <w:szCs w:val="24"/>
          <w:rtl/>
          <w:lang w:bidi="he-IL"/>
        </w:rPr>
        <w:t>וקלו</w:t>
      </w:r>
      <w:r w:rsidR="007D7212" w:rsidRPr="00627E20">
        <w:rPr>
          <w:rFonts w:asciiTheme="majorBidi" w:hAnsiTheme="majorBidi" w:cstheme="majorBidi"/>
          <w:szCs w:val="24"/>
          <w:rtl/>
        </w:rPr>
        <w:t xml:space="preserve"> </w:t>
      </w:r>
      <w:r w:rsidR="007D7212" w:rsidRPr="00627E20">
        <w:rPr>
          <w:rFonts w:asciiTheme="majorBidi" w:hAnsiTheme="majorBidi" w:cstheme="majorBidi"/>
          <w:szCs w:val="24"/>
          <w:rtl/>
          <w:lang w:bidi="he-IL"/>
        </w:rPr>
        <w:t>מנמרים</w:t>
      </w:r>
      <w:r w:rsidR="007D7212" w:rsidRPr="00627E20">
        <w:rPr>
          <w:rFonts w:asciiTheme="majorBidi" w:hAnsiTheme="majorBidi" w:cstheme="majorBidi"/>
          <w:szCs w:val="24"/>
          <w:rtl/>
        </w:rPr>
        <w:t xml:space="preserve"> </w:t>
      </w:r>
      <w:r w:rsidR="007D7212" w:rsidRPr="00627E20">
        <w:rPr>
          <w:rFonts w:asciiTheme="majorBidi" w:hAnsiTheme="majorBidi" w:cstheme="majorBidi"/>
          <w:szCs w:val="24"/>
          <w:rtl/>
          <w:lang w:bidi="he-IL"/>
        </w:rPr>
        <w:t>סוסיו</w:t>
      </w:r>
      <w:r w:rsidR="007D7212" w:rsidRPr="00627E20">
        <w:rPr>
          <w:rFonts w:asciiTheme="majorBidi" w:hAnsiTheme="majorBidi" w:cstheme="majorBidi"/>
          <w:szCs w:val="24"/>
          <w:rtl/>
        </w:rPr>
        <w:t xml:space="preserve"> </w:t>
      </w:r>
      <w:r w:rsidR="007D7212" w:rsidRPr="00627E20">
        <w:rPr>
          <w:rFonts w:asciiTheme="majorBidi" w:hAnsiTheme="majorBidi" w:cstheme="majorBidi"/>
          <w:szCs w:val="24"/>
          <w:rtl/>
          <w:lang w:bidi="he-IL"/>
        </w:rPr>
        <w:t>וחדו</w:t>
      </w:r>
      <w:r w:rsidR="007D7212" w:rsidRPr="00627E20">
        <w:rPr>
          <w:rFonts w:asciiTheme="majorBidi" w:hAnsiTheme="majorBidi" w:cstheme="majorBidi"/>
          <w:szCs w:val="24"/>
          <w:rtl/>
        </w:rPr>
        <w:t xml:space="preserve"> </w:t>
      </w:r>
      <w:r w:rsidR="007D7212" w:rsidRPr="00627E20">
        <w:rPr>
          <w:rFonts w:asciiTheme="majorBidi" w:hAnsiTheme="majorBidi" w:cstheme="majorBidi"/>
          <w:szCs w:val="24"/>
          <w:rtl/>
          <w:lang w:bidi="he-IL"/>
        </w:rPr>
        <w:t>מזאבי</w:t>
      </w:r>
      <w:r w:rsidR="007D7212" w:rsidRPr="00627E20">
        <w:rPr>
          <w:rFonts w:asciiTheme="majorBidi" w:hAnsiTheme="majorBidi" w:cstheme="majorBidi"/>
          <w:szCs w:val="24"/>
          <w:rtl/>
        </w:rPr>
        <w:t xml:space="preserve"> </w:t>
      </w:r>
      <w:r w:rsidR="007D7212" w:rsidRPr="00627E20">
        <w:rPr>
          <w:rFonts w:asciiTheme="majorBidi" w:hAnsiTheme="majorBidi" w:cstheme="majorBidi"/>
          <w:szCs w:val="24"/>
          <w:rtl/>
          <w:lang w:bidi="he-IL"/>
        </w:rPr>
        <w:t>ערב</w:t>
      </w:r>
      <w:r w:rsidR="007D7212" w:rsidRPr="00627E20">
        <w:rPr>
          <w:rFonts w:asciiTheme="majorBidi" w:hAnsiTheme="majorBidi" w:cstheme="majorBidi"/>
          <w:szCs w:val="24"/>
          <w:lang w:bidi="he-IL"/>
        </w:rPr>
        <w:t xml:space="preserve">. </w:t>
      </w:r>
      <w:r w:rsidR="00993227" w:rsidRPr="00627E20">
        <w:rPr>
          <w:rFonts w:asciiTheme="majorBidi" w:hAnsiTheme="majorBidi" w:cstheme="majorBidi"/>
          <w:szCs w:val="24"/>
        </w:rPr>
        <w:t>In 1QpHab</w:t>
      </w:r>
      <w:r w:rsidR="007D7212" w:rsidRPr="00627E20">
        <w:rPr>
          <w:rFonts w:asciiTheme="majorBidi" w:hAnsiTheme="majorBidi" w:cstheme="majorBidi"/>
          <w:szCs w:val="24"/>
        </w:rPr>
        <w:t>, the lemma is presented as</w:t>
      </w:r>
      <w:r w:rsidR="00993227" w:rsidRPr="00627E20">
        <w:rPr>
          <w:rFonts w:asciiTheme="majorBidi" w:hAnsiTheme="majorBidi" w:cstheme="majorBidi"/>
          <w:szCs w:val="24"/>
        </w:rPr>
        <w:t xml:space="preserve"> “</w:t>
      </w:r>
      <w:r w:rsidR="00993227" w:rsidRPr="00627E20">
        <w:rPr>
          <w:rFonts w:asciiTheme="majorBidi" w:hAnsiTheme="majorBidi" w:cstheme="majorBidi"/>
          <w:szCs w:val="24"/>
          <w:rtl/>
          <w:lang w:bidi="he-IL"/>
        </w:rPr>
        <w:t>וקול</w:t>
      </w:r>
      <w:r w:rsidR="00993227" w:rsidRPr="00627E20">
        <w:rPr>
          <w:rFonts w:asciiTheme="majorBidi" w:hAnsiTheme="majorBidi" w:cstheme="majorBidi"/>
          <w:szCs w:val="24"/>
          <w:rtl/>
        </w:rPr>
        <w:t xml:space="preserve"> </w:t>
      </w:r>
      <w:r w:rsidR="00993227" w:rsidRPr="00627E20">
        <w:rPr>
          <w:rFonts w:asciiTheme="majorBidi" w:hAnsiTheme="majorBidi" w:cstheme="majorBidi"/>
          <w:szCs w:val="24"/>
          <w:rtl/>
          <w:lang w:bidi="he-IL"/>
        </w:rPr>
        <w:t>מנמרים</w:t>
      </w:r>
      <w:r w:rsidR="00993227" w:rsidRPr="00627E20">
        <w:rPr>
          <w:rFonts w:asciiTheme="majorBidi" w:hAnsiTheme="majorBidi" w:cstheme="majorBidi"/>
          <w:szCs w:val="24"/>
          <w:rtl/>
        </w:rPr>
        <w:t xml:space="preserve"> </w:t>
      </w:r>
      <w:r w:rsidR="00993227" w:rsidRPr="00627E20">
        <w:rPr>
          <w:rFonts w:asciiTheme="majorBidi" w:hAnsiTheme="majorBidi" w:cstheme="majorBidi"/>
          <w:szCs w:val="24"/>
          <w:rtl/>
          <w:lang w:bidi="he-IL"/>
        </w:rPr>
        <w:t>סוסו</w:t>
      </w:r>
      <w:r w:rsidR="00993227" w:rsidRPr="00627E20">
        <w:rPr>
          <w:rFonts w:asciiTheme="majorBidi" w:hAnsiTheme="majorBidi" w:cstheme="majorBidi"/>
          <w:szCs w:val="24"/>
          <w:rtl/>
        </w:rPr>
        <w:t xml:space="preserve"> </w:t>
      </w:r>
      <w:r w:rsidR="00993227" w:rsidRPr="00627E20">
        <w:rPr>
          <w:rFonts w:asciiTheme="majorBidi" w:hAnsiTheme="majorBidi" w:cstheme="majorBidi"/>
          <w:szCs w:val="24"/>
          <w:rtl/>
          <w:lang w:bidi="he-IL"/>
        </w:rPr>
        <w:t>וחדו</w:t>
      </w:r>
      <w:r w:rsidR="00993227" w:rsidRPr="00627E20">
        <w:rPr>
          <w:rFonts w:asciiTheme="majorBidi" w:hAnsiTheme="majorBidi" w:cstheme="majorBidi"/>
          <w:szCs w:val="24"/>
          <w:rtl/>
        </w:rPr>
        <w:t xml:space="preserve"> </w:t>
      </w:r>
      <w:r w:rsidR="00993227" w:rsidRPr="00627E20">
        <w:rPr>
          <w:rFonts w:asciiTheme="majorBidi" w:hAnsiTheme="majorBidi" w:cstheme="majorBidi"/>
          <w:szCs w:val="24"/>
          <w:rtl/>
          <w:lang w:bidi="he-IL"/>
        </w:rPr>
        <w:t>מ</w:t>
      </w:r>
      <w:r w:rsidR="00993227" w:rsidRPr="00627E20">
        <w:rPr>
          <w:rFonts w:asciiTheme="majorBidi" w:hAnsiTheme="majorBidi" w:cstheme="majorBidi"/>
          <w:szCs w:val="24"/>
          <w:vertAlign w:val="superscript"/>
          <w:rtl/>
          <w:lang w:bidi="he-IL"/>
        </w:rPr>
        <w:t>ז</w:t>
      </w:r>
      <w:r w:rsidR="00993227" w:rsidRPr="00627E20">
        <w:rPr>
          <w:rFonts w:asciiTheme="majorBidi" w:hAnsiTheme="majorBidi" w:cstheme="majorBidi"/>
          <w:szCs w:val="24"/>
          <w:rtl/>
          <w:lang w:bidi="he-IL"/>
        </w:rPr>
        <w:t>אבי</w:t>
      </w:r>
      <w:r w:rsidR="00993227" w:rsidRPr="00627E20">
        <w:rPr>
          <w:rFonts w:asciiTheme="majorBidi" w:hAnsiTheme="majorBidi" w:cstheme="majorBidi"/>
          <w:szCs w:val="24"/>
          <w:rtl/>
        </w:rPr>
        <w:t xml:space="preserve"> </w:t>
      </w:r>
      <w:r w:rsidR="00993227" w:rsidRPr="00627E20">
        <w:rPr>
          <w:rFonts w:asciiTheme="majorBidi" w:hAnsiTheme="majorBidi" w:cstheme="majorBidi"/>
          <w:szCs w:val="24"/>
          <w:rtl/>
          <w:lang w:bidi="he-IL"/>
        </w:rPr>
        <w:t>ערב</w:t>
      </w:r>
      <w:r w:rsidR="00993227" w:rsidRPr="00627E20">
        <w:rPr>
          <w:rFonts w:asciiTheme="majorBidi" w:hAnsiTheme="majorBidi" w:cstheme="majorBidi"/>
          <w:szCs w:val="24"/>
        </w:rPr>
        <w:t xml:space="preserve">.” </w:t>
      </w:r>
      <w:r w:rsidRPr="00627E20">
        <w:rPr>
          <w:rFonts w:asciiTheme="majorBidi" w:hAnsiTheme="majorBidi" w:cstheme="majorBidi"/>
          <w:szCs w:val="24"/>
        </w:rPr>
        <w:t xml:space="preserve">According to Nitzan, the scribe erred in writing </w:t>
      </w:r>
      <w:r w:rsidRPr="00627E20">
        <w:rPr>
          <w:rFonts w:asciiTheme="majorBidi" w:hAnsiTheme="majorBidi" w:cstheme="majorBidi"/>
          <w:szCs w:val="24"/>
          <w:rtl/>
        </w:rPr>
        <w:t>"</w:t>
      </w:r>
      <w:r w:rsidRPr="00627E20">
        <w:rPr>
          <w:rFonts w:asciiTheme="majorBidi" w:hAnsiTheme="majorBidi" w:cstheme="majorBidi"/>
          <w:szCs w:val="24"/>
          <w:rtl/>
          <w:lang w:bidi="he-IL"/>
        </w:rPr>
        <w:t>וקול</w:t>
      </w:r>
      <w:r w:rsidRPr="00627E20">
        <w:rPr>
          <w:rFonts w:asciiTheme="majorBidi" w:hAnsiTheme="majorBidi" w:cstheme="majorBidi"/>
          <w:szCs w:val="24"/>
          <w:rtl/>
        </w:rPr>
        <w:t>"</w:t>
      </w:r>
      <w:r w:rsidRPr="00627E20">
        <w:rPr>
          <w:rFonts w:asciiTheme="majorBidi" w:hAnsiTheme="majorBidi" w:cstheme="majorBidi"/>
          <w:szCs w:val="24"/>
          <w:lang w:bidi="he-IL"/>
        </w:rPr>
        <w:t xml:space="preserve"> rather than </w:t>
      </w:r>
      <w:r w:rsidRPr="00627E20">
        <w:rPr>
          <w:rFonts w:asciiTheme="majorBidi" w:hAnsiTheme="majorBidi" w:cstheme="majorBidi"/>
          <w:szCs w:val="24"/>
          <w:rtl/>
        </w:rPr>
        <w:t>"</w:t>
      </w:r>
      <w:r w:rsidRPr="00627E20">
        <w:rPr>
          <w:rFonts w:asciiTheme="majorBidi" w:hAnsiTheme="majorBidi" w:cstheme="majorBidi"/>
          <w:szCs w:val="24"/>
          <w:rtl/>
          <w:lang w:bidi="he-IL"/>
        </w:rPr>
        <w:t>.וקלו</w:t>
      </w:r>
      <w:r w:rsidRPr="00627E20">
        <w:rPr>
          <w:rFonts w:asciiTheme="majorBidi" w:hAnsiTheme="majorBidi" w:cstheme="majorBidi"/>
          <w:szCs w:val="24"/>
          <w:rtl/>
        </w:rPr>
        <w:t>"</w:t>
      </w:r>
      <w:r w:rsidRPr="00627E20">
        <w:rPr>
          <w:rFonts w:asciiTheme="majorBidi" w:hAnsiTheme="majorBidi" w:cstheme="majorBidi"/>
          <w:szCs w:val="24"/>
          <w:rtl/>
          <w:lang w:bidi="he-IL"/>
        </w:rPr>
        <w:t xml:space="preserve"> </w:t>
      </w:r>
      <w:r w:rsidR="00993227" w:rsidRPr="00627E20">
        <w:rPr>
          <w:rFonts w:asciiTheme="majorBidi" w:hAnsiTheme="majorBidi" w:cstheme="majorBidi"/>
          <w:szCs w:val="24"/>
          <w:lang w:bidi="he-IL"/>
        </w:rPr>
        <w:t xml:space="preserve">See Bilhah Nitzan, </w:t>
      </w:r>
      <w:r w:rsidR="00993227" w:rsidRPr="00627E20">
        <w:rPr>
          <w:rFonts w:asciiTheme="majorBidi" w:hAnsiTheme="majorBidi" w:cstheme="majorBidi"/>
          <w:szCs w:val="24"/>
          <w:rtl/>
          <w:lang w:bidi="he-IL"/>
        </w:rPr>
        <w:t>מגילת</w:t>
      </w:r>
      <w:r w:rsidR="00993227" w:rsidRPr="00627E20">
        <w:rPr>
          <w:rFonts w:asciiTheme="majorBidi" w:hAnsiTheme="majorBidi" w:cstheme="majorBidi"/>
          <w:szCs w:val="24"/>
          <w:rtl/>
        </w:rPr>
        <w:t xml:space="preserve"> </w:t>
      </w:r>
      <w:r w:rsidR="00993227" w:rsidRPr="00627E20">
        <w:rPr>
          <w:rFonts w:asciiTheme="majorBidi" w:hAnsiTheme="majorBidi" w:cstheme="majorBidi"/>
          <w:szCs w:val="24"/>
          <w:rtl/>
          <w:lang w:bidi="he-IL"/>
        </w:rPr>
        <w:t>פשר</w:t>
      </w:r>
      <w:r w:rsidR="00993227" w:rsidRPr="00627E20">
        <w:rPr>
          <w:rFonts w:asciiTheme="majorBidi" w:hAnsiTheme="majorBidi" w:cstheme="majorBidi"/>
          <w:szCs w:val="24"/>
          <w:rtl/>
        </w:rPr>
        <w:t xml:space="preserve"> </w:t>
      </w:r>
      <w:r w:rsidR="00993227" w:rsidRPr="00627E20">
        <w:rPr>
          <w:rFonts w:asciiTheme="majorBidi" w:hAnsiTheme="majorBidi" w:cstheme="majorBidi"/>
          <w:szCs w:val="24"/>
          <w:rtl/>
          <w:lang w:bidi="he-IL"/>
        </w:rPr>
        <w:t>חבקוק</w:t>
      </w:r>
      <w:r w:rsidR="00993227" w:rsidRPr="00627E20">
        <w:rPr>
          <w:rFonts w:asciiTheme="majorBidi" w:hAnsiTheme="majorBidi" w:cstheme="majorBidi"/>
          <w:szCs w:val="24"/>
          <w:rtl/>
        </w:rPr>
        <w:t xml:space="preserve"> </w:t>
      </w:r>
      <w:r w:rsidR="00993227" w:rsidRPr="00627E20">
        <w:rPr>
          <w:rFonts w:asciiTheme="majorBidi" w:hAnsiTheme="majorBidi" w:cstheme="majorBidi"/>
          <w:szCs w:val="24"/>
          <w:rtl/>
          <w:lang w:bidi="he-IL"/>
        </w:rPr>
        <w:t>ממגילות</w:t>
      </w:r>
      <w:r w:rsidR="00993227" w:rsidRPr="00627E20">
        <w:rPr>
          <w:rFonts w:asciiTheme="majorBidi" w:hAnsiTheme="majorBidi" w:cstheme="majorBidi"/>
          <w:szCs w:val="24"/>
          <w:rtl/>
        </w:rPr>
        <w:t xml:space="preserve"> </w:t>
      </w:r>
      <w:r w:rsidR="00993227" w:rsidRPr="00627E20">
        <w:rPr>
          <w:rFonts w:asciiTheme="majorBidi" w:hAnsiTheme="majorBidi" w:cstheme="majorBidi"/>
          <w:szCs w:val="24"/>
          <w:rtl/>
          <w:lang w:bidi="he-IL"/>
        </w:rPr>
        <w:t>מדבר</w:t>
      </w:r>
      <w:r w:rsidR="00993227" w:rsidRPr="00627E20">
        <w:rPr>
          <w:rFonts w:asciiTheme="majorBidi" w:hAnsiTheme="majorBidi" w:cstheme="majorBidi"/>
          <w:szCs w:val="24"/>
          <w:rtl/>
        </w:rPr>
        <w:t xml:space="preserve"> </w:t>
      </w:r>
      <w:r w:rsidR="00993227" w:rsidRPr="00627E20">
        <w:rPr>
          <w:rFonts w:asciiTheme="majorBidi" w:hAnsiTheme="majorBidi" w:cstheme="majorBidi"/>
          <w:szCs w:val="24"/>
          <w:rtl/>
          <w:lang w:bidi="he-IL"/>
        </w:rPr>
        <w:t>יהודה</w:t>
      </w:r>
      <w:r w:rsidR="00993227" w:rsidRPr="00627E20">
        <w:rPr>
          <w:rFonts w:asciiTheme="majorBidi" w:hAnsiTheme="majorBidi" w:cstheme="majorBidi"/>
          <w:szCs w:val="24"/>
        </w:rPr>
        <w:t xml:space="preserve"> (Jerusalem: Bialik Institute, 1986), 159.</w:t>
      </w:r>
    </w:p>
  </w:footnote>
  <w:footnote w:id="51">
    <w:p w14:paraId="2B1DFC3B" w14:textId="03BBF9E9" w:rsidR="00A2243A" w:rsidRPr="00627E20" w:rsidRDefault="00A2243A">
      <w:pPr>
        <w:pStyle w:val="FootnoteText"/>
        <w:rPr>
          <w:rFonts w:asciiTheme="majorBidi" w:hAnsiTheme="majorBidi" w:cstheme="majorBidi"/>
          <w:szCs w:val="24"/>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William H. Brownlee, </w:t>
      </w:r>
      <w:r w:rsidRPr="00627E20">
        <w:rPr>
          <w:rFonts w:asciiTheme="majorBidi" w:hAnsiTheme="majorBidi" w:cstheme="majorBidi"/>
          <w:i/>
          <w:iCs/>
          <w:szCs w:val="24"/>
        </w:rPr>
        <w:t>The Midrash Pesher of Habakkuk</w:t>
      </w:r>
      <w:r w:rsidRPr="00627E20">
        <w:rPr>
          <w:rFonts w:asciiTheme="majorBidi" w:hAnsiTheme="majorBidi" w:cstheme="majorBidi"/>
          <w:szCs w:val="24"/>
        </w:rPr>
        <w:t xml:space="preserve"> (Missoula: Scholars Press, 1979), 68; </w:t>
      </w:r>
      <w:r w:rsidRPr="00627E20">
        <w:rPr>
          <w:rFonts w:asciiTheme="majorBidi" w:hAnsiTheme="majorBidi" w:cstheme="majorBidi"/>
          <w:i/>
          <w:iCs/>
          <w:szCs w:val="24"/>
        </w:rPr>
        <w:t>HALOT</w:t>
      </w:r>
      <w:r w:rsidRPr="00627E20">
        <w:rPr>
          <w:rFonts w:asciiTheme="majorBidi" w:hAnsiTheme="majorBidi" w:cstheme="majorBidi"/>
          <w:szCs w:val="24"/>
        </w:rPr>
        <w:t xml:space="preserve"> 1:291;</w:t>
      </w:r>
      <w:r w:rsidR="003D1DB1" w:rsidRPr="00627E20">
        <w:rPr>
          <w:rFonts w:asciiTheme="majorBidi" w:hAnsiTheme="majorBidi" w:cstheme="majorBidi"/>
          <w:szCs w:val="24"/>
        </w:rPr>
        <w:t xml:space="preserve"> Clines, </w:t>
      </w:r>
      <w:r w:rsidR="003D1DB1" w:rsidRPr="00627E20">
        <w:rPr>
          <w:rFonts w:asciiTheme="majorBidi" w:hAnsiTheme="majorBidi" w:cstheme="majorBidi"/>
          <w:i/>
          <w:iCs/>
          <w:szCs w:val="24"/>
        </w:rPr>
        <w:t>Dictionary</w:t>
      </w:r>
      <w:r w:rsidR="003D1DB1" w:rsidRPr="00627E20">
        <w:rPr>
          <w:rFonts w:asciiTheme="majorBidi" w:hAnsiTheme="majorBidi" w:cstheme="majorBidi"/>
          <w:szCs w:val="24"/>
        </w:rPr>
        <w:t xml:space="preserve">, 3:161; Wise, Abegg, and Cook, </w:t>
      </w:r>
      <w:r w:rsidR="003D1DB1" w:rsidRPr="00627E20">
        <w:rPr>
          <w:rFonts w:asciiTheme="majorBidi" w:hAnsiTheme="majorBidi" w:cstheme="majorBidi"/>
          <w:i/>
          <w:iCs/>
          <w:szCs w:val="24"/>
        </w:rPr>
        <w:t>The Dead Sea Scrolls: A New Translation</w:t>
      </w:r>
      <w:r w:rsidR="003D1DB1" w:rsidRPr="00627E20">
        <w:rPr>
          <w:rFonts w:asciiTheme="majorBidi" w:hAnsiTheme="majorBidi" w:cstheme="majorBidi"/>
          <w:szCs w:val="24"/>
        </w:rPr>
        <w:t xml:space="preserve">, 117; </w:t>
      </w:r>
      <w:r w:rsidR="001B4B81" w:rsidRPr="00627E20">
        <w:rPr>
          <w:rFonts w:asciiTheme="majorBidi" w:hAnsiTheme="majorBidi" w:cstheme="majorBidi"/>
          <w:szCs w:val="24"/>
        </w:rPr>
        <w:t xml:space="preserve">Geza Vermes, </w:t>
      </w:r>
      <w:r w:rsidR="001B4B81" w:rsidRPr="00627E20">
        <w:rPr>
          <w:rFonts w:asciiTheme="majorBidi" w:hAnsiTheme="majorBidi" w:cstheme="majorBidi"/>
          <w:i/>
          <w:iCs/>
          <w:szCs w:val="24"/>
        </w:rPr>
        <w:t>The Complete Dead Sea Scrolls in English</w:t>
      </w:r>
      <w:r w:rsidR="001B4B81" w:rsidRPr="00627E20">
        <w:rPr>
          <w:rFonts w:asciiTheme="majorBidi" w:hAnsiTheme="majorBidi" w:cstheme="majorBidi"/>
          <w:szCs w:val="24"/>
        </w:rPr>
        <w:t xml:space="preserve">, 479; </w:t>
      </w:r>
      <w:r w:rsidR="003D1DB1" w:rsidRPr="00627E20">
        <w:rPr>
          <w:rFonts w:asciiTheme="majorBidi" w:hAnsiTheme="majorBidi" w:cstheme="majorBidi"/>
          <w:szCs w:val="24"/>
        </w:rPr>
        <w:t xml:space="preserve">Parry, Tov, and Clements, </w:t>
      </w:r>
      <w:r w:rsidR="003D1DB1" w:rsidRPr="00627E20">
        <w:rPr>
          <w:rFonts w:asciiTheme="majorBidi" w:hAnsiTheme="majorBidi" w:cstheme="majorBidi"/>
          <w:i/>
          <w:iCs/>
          <w:szCs w:val="24"/>
        </w:rPr>
        <w:t>The Dead Sea Scrolls Reader</w:t>
      </w:r>
      <w:r w:rsidR="003D1DB1" w:rsidRPr="00627E20">
        <w:rPr>
          <w:rFonts w:asciiTheme="majorBidi" w:hAnsiTheme="majorBidi" w:cstheme="majorBidi"/>
          <w:szCs w:val="24"/>
        </w:rPr>
        <w:t>, 1:447.</w:t>
      </w:r>
    </w:p>
  </w:footnote>
  <w:footnote w:id="52">
    <w:p w14:paraId="342EAD13" w14:textId="6F26204B" w:rsidR="003D1DB1" w:rsidRPr="00627E20" w:rsidRDefault="00A2243A">
      <w:pPr>
        <w:pStyle w:val="FootnoteText"/>
        <w:rPr>
          <w:rFonts w:asciiTheme="majorBidi" w:hAnsiTheme="majorBidi" w:cstheme="majorBidi"/>
          <w:szCs w:val="24"/>
          <w:lang w:bidi="he-IL"/>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w:t>
      </w:r>
      <w:r w:rsidR="003D1DB1" w:rsidRPr="00627E20">
        <w:rPr>
          <w:rFonts w:asciiTheme="majorBidi" w:hAnsiTheme="majorBidi" w:cstheme="majorBidi"/>
          <w:szCs w:val="24"/>
        </w:rPr>
        <w:t xml:space="preserve">García Martínez, </w:t>
      </w:r>
      <w:r w:rsidR="003D1DB1" w:rsidRPr="00627E20">
        <w:rPr>
          <w:rFonts w:asciiTheme="majorBidi" w:hAnsiTheme="majorBidi" w:cstheme="majorBidi"/>
          <w:i/>
          <w:iCs/>
          <w:szCs w:val="24"/>
        </w:rPr>
        <w:t>The Dead Sea Scrolls Translated</w:t>
      </w:r>
      <w:r w:rsidR="003D1DB1" w:rsidRPr="00627E20">
        <w:rPr>
          <w:rFonts w:asciiTheme="majorBidi" w:hAnsiTheme="majorBidi" w:cstheme="majorBidi"/>
          <w:szCs w:val="24"/>
        </w:rPr>
        <w:t xml:space="preserve">, 198; García Martínez and Eibert J. C. Tigchelaar, </w:t>
      </w:r>
      <w:r w:rsidR="003D1DB1" w:rsidRPr="00627E20">
        <w:rPr>
          <w:rFonts w:asciiTheme="majorBidi" w:hAnsiTheme="majorBidi" w:cstheme="majorBidi"/>
          <w:i/>
          <w:iCs/>
          <w:szCs w:val="24"/>
        </w:rPr>
        <w:t>Dead Sea Scrolls Study Edition</w:t>
      </w:r>
      <w:r w:rsidR="003D1DB1" w:rsidRPr="00627E20">
        <w:rPr>
          <w:rFonts w:asciiTheme="majorBidi" w:hAnsiTheme="majorBidi" w:cstheme="majorBidi"/>
          <w:szCs w:val="24"/>
        </w:rPr>
        <w:t xml:space="preserve">, 1:13; Kaddari, </w:t>
      </w:r>
      <w:r w:rsidR="003D1DB1" w:rsidRPr="00627E20">
        <w:rPr>
          <w:rFonts w:asciiTheme="majorBidi" w:hAnsiTheme="majorBidi" w:cstheme="majorBidi"/>
          <w:szCs w:val="24"/>
          <w:rtl/>
          <w:lang w:bidi="he-IL"/>
        </w:rPr>
        <w:t>מילון</w:t>
      </w:r>
      <w:r w:rsidR="003D1DB1" w:rsidRPr="00627E20">
        <w:rPr>
          <w:rFonts w:asciiTheme="majorBidi" w:hAnsiTheme="majorBidi" w:cstheme="majorBidi"/>
          <w:szCs w:val="24"/>
          <w:rtl/>
        </w:rPr>
        <w:t xml:space="preserve"> </w:t>
      </w:r>
      <w:r w:rsidR="003D1DB1" w:rsidRPr="00627E20">
        <w:rPr>
          <w:rFonts w:asciiTheme="majorBidi" w:hAnsiTheme="majorBidi" w:cstheme="majorBidi"/>
          <w:szCs w:val="24"/>
          <w:rtl/>
          <w:lang w:bidi="he-IL"/>
        </w:rPr>
        <w:t>העברית</w:t>
      </w:r>
      <w:r w:rsidR="003D1DB1" w:rsidRPr="00627E20">
        <w:rPr>
          <w:rFonts w:asciiTheme="majorBidi" w:hAnsiTheme="majorBidi" w:cstheme="majorBidi"/>
          <w:szCs w:val="24"/>
        </w:rPr>
        <w:t xml:space="preserve">, </w:t>
      </w:r>
      <w:r w:rsidR="00D95D85" w:rsidRPr="00627E20">
        <w:rPr>
          <w:rFonts w:asciiTheme="majorBidi" w:hAnsiTheme="majorBidi" w:cstheme="majorBidi"/>
          <w:szCs w:val="24"/>
        </w:rPr>
        <w:t xml:space="preserve">275. Nitzan suggests that the reference is to the sharpness of the wolves’ teeth. (See Bilhah Nitzan, </w:t>
      </w:r>
      <w:r w:rsidR="00D95D85" w:rsidRPr="00627E20">
        <w:rPr>
          <w:rFonts w:asciiTheme="majorBidi" w:hAnsiTheme="majorBidi" w:cstheme="majorBidi"/>
          <w:szCs w:val="24"/>
          <w:rtl/>
        </w:rPr>
        <w:t>"</w:t>
      </w:r>
      <w:r w:rsidR="00D95D85" w:rsidRPr="00627E20">
        <w:rPr>
          <w:rFonts w:asciiTheme="majorBidi" w:hAnsiTheme="majorBidi" w:cstheme="majorBidi"/>
          <w:szCs w:val="24"/>
          <w:rtl/>
          <w:lang w:bidi="he-IL"/>
        </w:rPr>
        <w:t>,</w:t>
      </w:r>
      <w:r w:rsidR="00D95D85" w:rsidRPr="00627E20">
        <w:rPr>
          <w:rFonts w:asciiTheme="majorBidi" w:hAnsiTheme="majorBidi" w:cstheme="majorBidi" w:hint="eastAsia"/>
          <w:szCs w:val="24"/>
          <w:rtl/>
          <w:lang w:bidi="he-IL"/>
        </w:rPr>
        <w:t>מגילות</w:t>
      </w:r>
      <w:r w:rsidR="00D95D85" w:rsidRPr="00627E20">
        <w:rPr>
          <w:rFonts w:asciiTheme="majorBidi" w:hAnsiTheme="majorBidi" w:cstheme="majorBidi"/>
          <w:szCs w:val="24"/>
          <w:rtl/>
        </w:rPr>
        <w:t xml:space="preserve"> </w:t>
      </w:r>
      <w:r w:rsidR="00D95D85" w:rsidRPr="00627E20">
        <w:rPr>
          <w:rFonts w:asciiTheme="majorBidi" w:hAnsiTheme="majorBidi" w:cstheme="majorBidi" w:hint="eastAsia"/>
          <w:szCs w:val="24"/>
          <w:rtl/>
          <w:lang w:bidi="he-IL"/>
        </w:rPr>
        <w:t>הפשרים</w:t>
      </w:r>
      <w:r w:rsidR="00D95D85" w:rsidRPr="00627E20">
        <w:rPr>
          <w:rFonts w:asciiTheme="majorBidi" w:hAnsiTheme="majorBidi" w:cstheme="majorBidi"/>
          <w:szCs w:val="24"/>
          <w:rtl/>
        </w:rPr>
        <w:t xml:space="preserve"> </w:t>
      </w:r>
      <w:r w:rsidR="00D95D85" w:rsidRPr="00627E20">
        <w:rPr>
          <w:rFonts w:asciiTheme="majorBidi" w:hAnsiTheme="majorBidi" w:cstheme="majorBidi" w:hint="eastAsia"/>
          <w:szCs w:val="24"/>
          <w:rtl/>
          <w:lang w:bidi="he-IL"/>
        </w:rPr>
        <w:t>מקומראן</w:t>
      </w:r>
      <w:r w:rsidR="00D95D85" w:rsidRPr="00627E20">
        <w:rPr>
          <w:rFonts w:asciiTheme="majorBidi" w:hAnsiTheme="majorBidi" w:cstheme="majorBidi"/>
          <w:szCs w:val="24"/>
          <w:rtl/>
        </w:rPr>
        <w:t>"</w:t>
      </w:r>
      <w:r w:rsidR="00D95D85" w:rsidRPr="00627E20">
        <w:rPr>
          <w:rFonts w:asciiTheme="majorBidi" w:hAnsiTheme="majorBidi" w:cstheme="majorBidi"/>
          <w:szCs w:val="24"/>
        </w:rPr>
        <w:t xml:space="preserve">in Kister, ed., </w:t>
      </w:r>
      <w:r w:rsidR="00D95D85" w:rsidRPr="00627E20">
        <w:rPr>
          <w:rFonts w:asciiTheme="majorBidi" w:hAnsiTheme="majorBidi" w:cstheme="majorBidi" w:hint="eastAsia"/>
          <w:szCs w:val="24"/>
          <w:rtl/>
          <w:lang w:bidi="he-IL"/>
        </w:rPr>
        <w:t>מגילות</w:t>
      </w:r>
      <w:r w:rsidR="00D95D85" w:rsidRPr="00627E20">
        <w:rPr>
          <w:rFonts w:asciiTheme="majorBidi" w:hAnsiTheme="majorBidi" w:cstheme="majorBidi"/>
          <w:szCs w:val="24"/>
          <w:rtl/>
        </w:rPr>
        <w:t xml:space="preserve"> </w:t>
      </w:r>
      <w:r w:rsidR="00D95D85" w:rsidRPr="00627E20">
        <w:rPr>
          <w:rFonts w:asciiTheme="majorBidi" w:hAnsiTheme="majorBidi" w:cstheme="majorBidi" w:hint="eastAsia"/>
          <w:szCs w:val="24"/>
          <w:rtl/>
          <w:lang w:bidi="he-IL"/>
        </w:rPr>
        <w:t>קומראן</w:t>
      </w:r>
      <w:r w:rsidR="00D95D85" w:rsidRPr="00627E20">
        <w:rPr>
          <w:rFonts w:asciiTheme="majorBidi" w:hAnsiTheme="majorBidi" w:cstheme="majorBidi"/>
          <w:szCs w:val="24"/>
        </w:rPr>
        <w:t>, 181). This would perhaps be similar to 1QH 13:9</w:t>
      </w:r>
      <w:r w:rsidR="00D95D85" w:rsidRPr="00627E20">
        <w:rPr>
          <w:rFonts w:asciiTheme="majorBidi" w:hAnsiTheme="majorBidi" w:cstheme="majorBidi"/>
          <w:szCs w:val="24"/>
          <w:rtl/>
        </w:rPr>
        <w:t>–</w:t>
      </w:r>
      <w:r w:rsidR="00D95D85" w:rsidRPr="00627E20">
        <w:rPr>
          <w:rFonts w:asciiTheme="majorBidi" w:hAnsiTheme="majorBidi" w:cstheme="majorBidi"/>
          <w:szCs w:val="24"/>
        </w:rPr>
        <w:t>10, cited above.</w:t>
      </w:r>
    </w:p>
  </w:footnote>
  <w:footnote w:id="53">
    <w:p w14:paraId="60D53142" w14:textId="24B1D309" w:rsidR="0047363E" w:rsidRPr="00627E20" w:rsidRDefault="0047363E">
      <w:pPr>
        <w:pStyle w:val="FootnoteText"/>
        <w:rPr>
          <w:rFonts w:asciiTheme="majorBidi" w:hAnsiTheme="majorBidi" w:cstheme="majorBidi"/>
          <w:szCs w:val="24"/>
          <w:lang w:bidi="he-IL"/>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Sukenik, </w:t>
      </w:r>
      <w:r w:rsidRPr="00627E20">
        <w:rPr>
          <w:rFonts w:asciiTheme="majorBidi" w:hAnsiTheme="majorBidi" w:cstheme="majorBidi" w:hint="eastAsia"/>
          <w:szCs w:val="24"/>
          <w:rtl/>
          <w:lang w:bidi="he-IL"/>
        </w:rPr>
        <w:t>מגילות</w:t>
      </w:r>
      <w:r w:rsidRPr="00627E20">
        <w:rPr>
          <w:rFonts w:asciiTheme="majorBidi" w:hAnsiTheme="majorBidi" w:cstheme="majorBidi"/>
          <w:szCs w:val="24"/>
          <w:rtl/>
        </w:rPr>
        <w:t xml:space="preserve"> </w:t>
      </w:r>
      <w:r w:rsidRPr="00627E20">
        <w:rPr>
          <w:rFonts w:asciiTheme="majorBidi" w:hAnsiTheme="majorBidi" w:cstheme="majorBidi" w:hint="eastAsia"/>
          <w:szCs w:val="24"/>
          <w:rtl/>
          <w:lang w:bidi="he-IL"/>
        </w:rPr>
        <w:t>גנוזות</w:t>
      </w:r>
      <w:r w:rsidRPr="00627E20">
        <w:rPr>
          <w:rFonts w:asciiTheme="majorBidi" w:hAnsiTheme="majorBidi" w:cstheme="majorBidi"/>
          <w:szCs w:val="24"/>
        </w:rPr>
        <w:t xml:space="preserve">, 25; Kasher, </w:t>
      </w:r>
      <w:r w:rsidRPr="00627E20">
        <w:rPr>
          <w:rFonts w:asciiTheme="majorBidi" w:hAnsiTheme="majorBidi" w:cstheme="majorBidi" w:hint="eastAsia"/>
          <w:szCs w:val="24"/>
          <w:rtl/>
          <w:lang w:bidi="he-IL"/>
        </w:rPr>
        <w:t>חוות</w:t>
      </w:r>
      <w:r w:rsidRPr="00627E20">
        <w:rPr>
          <w:rFonts w:asciiTheme="majorBidi" w:hAnsiTheme="majorBidi" w:cstheme="majorBidi"/>
          <w:szCs w:val="24"/>
          <w:rtl/>
        </w:rPr>
        <w:t xml:space="preserve"> </w:t>
      </w:r>
      <w:r w:rsidRPr="00627E20">
        <w:rPr>
          <w:rFonts w:asciiTheme="majorBidi" w:hAnsiTheme="majorBidi" w:cstheme="majorBidi" w:hint="eastAsia"/>
          <w:szCs w:val="24"/>
          <w:rtl/>
          <w:lang w:bidi="he-IL"/>
        </w:rPr>
        <w:t>דעת״</w:t>
      </w:r>
      <w:r w:rsidRPr="00627E20">
        <w:rPr>
          <w:rFonts w:asciiTheme="majorBidi" w:hAnsiTheme="majorBidi" w:cstheme="majorBidi"/>
          <w:szCs w:val="24"/>
        </w:rPr>
        <w:t>,</w:t>
      </w:r>
      <w:r w:rsidRPr="00627E20">
        <w:rPr>
          <w:rFonts w:asciiTheme="majorBidi" w:hAnsiTheme="majorBidi" w:cstheme="majorBidi" w:hint="eastAsia"/>
          <w:szCs w:val="24"/>
          <w:rtl/>
          <w:lang w:bidi="he-IL"/>
        </w:rPr>
        <w:t>״</w:t>
      </w:r>
      <w:r w:rsidRPr="00627E20">
        <w:rPr>
          <w:rFonts w:asciiTheme="majorBidi" w:hAnsiTheme="majorBidi" w:cstheme="majorBidi"/>
          <w:szCs w:val="24"/>
        </w:rPr>
        <w:t xml:space="preserve"> 682;</w:t>
      </w:r>
      <w:r w:rsidR="00DC1021" w:rsidRPr="00627E20">
        <w:rPr>
          <w:rFonts w:asciiTheme="majorBidi" w:hAnsiTheme="majorBidi" w:cstheme="majorBidi"/>
          <w:szCs w:val="24"/>
          <w:rtl/>
          <w:lang w:bidi="he-IL"/>
        </w:rPr>
        <w:t xml:space="preserve"> </w:t>
      </w:r>
      <w:r w:rsidR="00DC1021" w:rsidRPr="00627E20">
        <w:rPr>
          <w:rFonts w:asciiTheme="majorBidi" w:hAnsiTheme="majorBidi" w:cstheme="majorBidi"/>
          <w:szCs w:val="24"/>
          <w:lang w:bidi="he-IL"/>
        </w:rPr>
        <w:t xml:space="preserve">Rony Yishay, </w:t>
      </w:r>
      <w:r w:rsidR="00DC1021" w:rsidRPr="00627E20">
        <w:rPr>
          <w:rFonts w:asciiTheme="majorBidi" w:hAnsiTheme="majorBidi" w:cstheme="majorBidi"/>
          <w:szCs w:val="24"/>
          <w:rtl/>
        </w:rPr>
        <w:t>"</w:t>
      </w:r>
      <w:r w:rsidR="00DC1021" w:rsidRPr="00627E20">
        <w:rPr>
          <w:rFonts w:asciiTheme="majorBidi" w:hAnsiTheme="majorBidi" w:cstheme="majorBidi"/>
          <w:szCs w:val="24"/>
          <w:rtl/>
          <w:lang w:bidi="he-IL"/>
        </w:rPr>
        <w:t>,</w:t>
      </w:r>
      <w:r w:rsidR="00DC1021" w:rsidRPr="00627E20">
        <w:rPr>
          <w:rFonts w:asciiTheme="majorBidi" w:hAnsiTheme="majorBidi" w:cstheme="majorBidi" w:hint="eastAsia"/>
          <w:szCs w:val="24"/>
          <w:rtl/>
          <w:lang w:bidi="he-IL"/>
        </w:rPr>
        <w:t>הדגם</w:t>
      </w:r>
      <w:r w:rsidR="00DC1021" w:rsidRPr="00627E20">
        <w:rPr>
          <w:rFonts w:asciiTheme="majorBidi" w:hAnsiTheme="majorBidi" w:cstheme="majorBidi"/>
          <w:szCs w:val="24"/>
          <w:rtl/>
        </w:rPr>
        <w:t xml:space="preserve"> </w:t>
      </w:r>
      <w:r w:rsidR="00DC1021" w:rsidRPr="00627E20">
        <w:rPr>
          <w:rFonts w:asciiTheme="majorBidi" w:hAnsiTheme="majorBidi" w:cstheme="majorBidi" w:hint="eastAsia"/>
          <w:szCs w:val="24"/>
          <w:rtl/>
          <w:lang w:bidi="he-IL"/>
        </w:rPr>
        <w:t>של</w:t>
      </w:r>
      <w:r w:rsidR="00DC1021" w:rsidRPr="00627E20">
        <w:rPr>
          <w:rFonts w:asciiTheme="majorBidi" w:hAnsiTheme="majorBidi" w:cstheme="majorBidi"/>
          <w:szCs w:val="24"/>
          <w:rtl/>
        </w:rPr>
        <w:t xml:space="preserve"> </w:t>
      </w:r>
      <w:r w:rsidR="00DC1021" w:rsidRPr="00627E20">
        <w:rPr>
          <w:rFonts w:asciiTheme="majorBidi" w:hAnsiTheme="majorBidi" w:cstheme="majorBidi" w:hint="eastAsia"/>
          <w:szCs w:val="24"/>
          <w:rtl/>
          <w:lang w:bidi="he-IL"/>
        </w:rPr>
        <w:t>תיאור</w:t>
      </w:r>
      <w:r w:rsidR="00DC1021" w:rsidRPr="00627E20">
        <w:rPr>
          <w:rFonts w:asciiTheme="majorBidi" w:hAnsiTheme="majorBidi" w:cstheme="majorBidi"/>
          <w:szCs w:val="24"/>
          <w:rtl/>
        </w:rPr>
        <w:t xml:space="preserve"> </w:t>
      </w:r>
      <w:r w:rsidR="00DC1021" w:rsidRPr="00627E20">
        <w:rPr>
          <w:rFonts w:asciiTheme="majorBidi" w:hAnsiTheme="majorBidi" w:cstheme="majorBidi" w:hint="eastAsia"/>
          <w:szCs w:val="24"/>
          <w:rtl/>
          <w:lang w:bidi="he-IL"/>
        </w:rPr>
        <w:t>מלחמת</w:t>
      </w:r>
      <w:r w:rsidR="00DC1021" w:rsidRPr="00627E20">
        <w:rPr>
          <w:rFonts w:asciiTheme="majorBidi" w:hAnsiTheme="majorBidi" w:cstheme="majorBidi"/>
          <w:szCs w:val="24"/>
          <w:rtl/>
        </w:rPr>
        <w:t xml:space="preserve"> </w:t>
      </w:r>
      <w:r w:rsidR="00DC1021" w:rsidRPr="00627E20">
        <w:rPr>
          <w:rFonts w:asciiTheme="majorBidi" w:hAnsiTheme="majorBidi" w:cstheme="majorBidi" w:hint="eastAsia"/>
          <w:szCs w:val="24"/>
          <w:rtl/>
          <w:lang w:bidi="he-IL"/>
        </w:rPr>
        <w:t>הקץ</w:t>
      </w:r>
      <w:r w:rsidR="00DC1021" w:rsidRPr="00627E20">
        <w:rPr>
          <w:rFonts w:asciiTheme="majorBidi" w:hAnsiTheme="majorBidi" w:cstheme="majorBidi"/>
          <w:szCs w:val="24"/>
          <w:rtl/>
        </w:rPr>
        <w:t xml:space="preserve"> </w:t>
      </w:r>
      <w:r w:rsidR="00DC1021" w:rsidRPr="00627E20">
        <w:rPr>
          <w:rFonts w:asciiTheme="majorBidi" w:hAnsiTheme="majorBidi" w:cstheme="majorBidi" w:hint="eastAsia"/>
          <w:szCs w:val="24"/>
          <w:rtl/>
          <w:lang w:bidi="he-IL"/>
        </w:rPr>
        <w:t>בספרות</w:t>
      </w:r>
      <w:r w:rsidR="00DC1021" w:rsidRPr="00627E20">
        <w:rPr>
          <w:rFonts w:asciiTheme="majorBidi" w:hAnsiTheme="majorBidi" w:cstheme="majorBidi"/>
          <w:szCs w:val="24"/>
          <w:rtl/>
        </w:rPr>
        <w:t xml:space="preserve"> </w:t>
      </w:r>
      <w:r w:rsidR="00DC1021" w:rsidRPr="00627E20">
        <w:rPr>
          <w:rFonts w:asciiTheme="majorBidi" w:hAnsiTheme="majorBidi" w:cstheme="majorBidi" w:hint="eastAsia"/>
          <w:szCs w:val="24"/>
          <w:rtl/>
          <w:lang w:bidi="he-IL"/>
        </w:rPr>
        <w:t>קומראן״</w:t>
      </w:r>
      <w:r w:rsidR="00DC1021" w:rsidRPr="00627E20">
        <w:rPr>
          <w:rFonts w:asciiTheme="majorBidi" w:hAnsiTheme="majorBidi" w:cstheme="majorBidi"/>
          <w:szCs w:val="24"/>
          <w:lang w:bidi="he-IL"/>
        </w:rPr>
        <w:t xml:space="preserve"> </w:t>
      </w:r>
      <w:r w:rsidR="00DC1021" w:rsidRPr="00627E20">
        <w:rPr>
          <w:rFonts w:asciiTheme="majorBidi" w:hAnsiTheme="majorBidi" w:cstheme="majorBidi"/>
          <w:i/>
          <w:iCs/>
          <w:szCs w:val="24"/>
          <w:lang w:bidi="he-IL"/>
        </w:rPr>
        <w:t>Meghillot</w:t>
      </w:r>
      <w:r w:rsidR="00DC1021" w:rsidRPr="00627E20">
        <w:rPr>
          <w:rFonts w:asciiTheme="majorBidi" w:hAnsiTheme="majorBidi" w:cstheme="majorBidi"/>
          <w:szCs w:val="24"/>
          <w:lang w:bidi="he-IL"/>
        </w:rPr>
        <w:t xml:space="preserve"> 4 (2006): </w:t>
      </w:r>
      <w:r w:rsidR="002810C3" w:rsidRPr="00627E20">
        <w:rPr>
          <w:rFonts w:asciiTheme="majorBidi" w:hAnsiTheme="majorBidi" w:cstheme="majorBidi"/>
          <w:szCs w:val="24"/>
        </w:rPr>
        <w:t>121</w:t>
      </w:r>
      <w:r w:rsidR="002810C3" w:rsidRPr="00627E20">
        <w:rPr>
          <w:rFonts w:asciiTheme="majorBidi" w:hAnsiTheme="majorBidi" w:cstheme="majorBidi"/>
          <w:szCs w:val="24"/>
          <w:rtl/>
        </w:rPr>
        <w:t>–</w:t>
      </w:r>
      <w:r w:rsidR="002810C3" w:rsidRPr="00627E20">
        <w:rPr>
          <w:rFonts w:asciiTheme="majorBidi" w:hAnsiTheme="majorBidi" w:cstheme="majorBidi"/>
          <w:szCs w:val="24"/>
          <w:lang w:bidi="he-IL"/>
        </w:rPr>
        <w:t xml:space="preserve">139 at 127. </w:t>
      </w:r>
    </w:p>
  </w:footnote>
  <w:footnote w:id="54">
    <w:p w14:paraId="73418C5F" w14:textId="3945F105" w:rsidR="00DC1021" w:rsidRPr="00627E20" w:rsidRDefault="0047363E">
      <w:pPr>
        <w:pStyle w:val="FootnoteText"/>
        <w:rPr>
          <w:rFonts w:asciiTheme="majorBidi" w:hAnsiTheme="majorBidi" w:cstheme="majorBidi"/>
          <w:szCs w:val="24"/>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w:t>
      </w:r>
      <w:r w:rsidR="00BD1422" w:rsidRPr="00627E20">
        <w:rPr>
          <w:rFonts w:asciiTheme="majorBidi" w:hAnsiTheme="majorBidi" w:cstheme="majorBidi"/>
          <w:szCs w:val="24"/>
        </w:rPr>
        <w:t xml:space="preserve">Yadin, </w:t>
      </w:r>
      <w:r w:rsidR="00BD1422" w:rsidRPr="00627E20">
        <w:rPr>
          <w:rFonts w:asciiTheme="majorBidi" w:hAnsiTheme="majorBidi" w:cstheme="majorBidi"/>
          <w:i/>
          <w:iCs/>
          <w:szCs w:val="24"/>
        </w:rPr>
        <w:t>The Scroll of the War</w:t>
      </w:r>
      <w:r w:rsidR="00BD1422" w:rsidRPr="00627E20">
        <w:rPr>
          <w:rFonts w:asciiTheme="majorBidi" w:hAnsiTheme="majorBidi" w:cstheme="majorBidi"/>
          <w:szCs w:val="24"/>
        </w:rPr>
        <w:t>, 103</w:t>
      </w:r>
      <w:r w:rsidR="00DC1021" w:rsidRPr="00627E20">
        <w:rPr>
          <w:rFonts w:asciiTheme="majorBidi" w:hAnsiTheme="majorBidi" w:cstheme="majorBidi"/>
          <w:szCs w:val="24"/>
        </w:rPr>
        <w:t xml:space="preserve">; Stallman, “Levi and Levites,” 175; Duhaime, “War Scroll,” 113; García Martínez, </w:t>
      </w:r>
      <w:r w:rsidR="00DC1021" w:rsidRPr="00627E20">
        <w:rPr>
          <w:rFonts w:asciiTheme="majorBidi" w:hAnsiTheme="majorBidi" w:cstheme="majorBidi"/>
          <w:i/>
          <w:iCs/>
          <w:szCs w:val="24"/>
        </w:rPr>
        <w:t>The Dead Sea Scrolls Translated</w:t>
      </w:r>
      <w:r w:rsidR="00DC1021" w:rsidRPr="00627E20">
        <w:rPr>
          <w:rFonts w:asciiTheme="majorBidi" w:hAnsiTheme="majorBidi" w:cstheme="majorBidi"/>
          <w:szCs w:val="24"/>
        </w:rPr>
        <w:t xml:space="preserve">, 101, 111; </w:t>
      </w:r>
      <w:r w:rsidR="00153120" w:rsidRPr="00627E20">
        <w:rPr>
          <w:rFonts w:asciiTheme="majorBidi" w:hAnsiTheme="majorBidi" w:cstheme="majorBidi"/>
          <w:spacing w:val="-4"/>
          <w:szCs w:val="24"/>
        </w:rPr>
        <w:t xml:space="preserve">Geza Vermes, </w:t>
      </w:r>
      <w:r w:rsidR="00153120" w:rsidRPr="00627E20">
        <w:rPr>
          <w:rFonts w:asciiTheme="majorBidi" w:hAnsiTheme="majorBidi" w:cstheme="majorBidi"/>
          <w:i/>
          <w:iCs/>
          <w:spacing w:val="-4"/>
          <w:szCs w:val="24"/>
        </w:rPr>
        <w:t>The Dead Sea Scrolls in English</w:t>
      </w:r>
      <w:r w:rsidR="00153120" w:rsidRPr="00627E20">
        <w:rPr>
          <w:rFonts w:asciiTheme="majorBidi" w:hAnsiTheme="majorBidi" w:cstheme="majorBidi"/>
          <w:szCs w:val="24"/>
        </w:rPr>
        <w:t>, 133</w:t>
      </w:r>
      <w:r w:rsidR="00093939" w:rsidRPr="00627E20">
        <w:rPr>
          <w:rFonts w:asciiTheme="majorBidi" w:hAnsiTheme="majorBidi" w:cstheme="majorBidi"/>
          <w:szCs w:val="24"/>
        </w:rPr>
        <w:t>, 142</w:t>
      </w:r>
      <w:r w:rsidR="00DC1021" w:rsidRPr="00627E20">
        <w:rPr>
          <w:rFonts w:asciiTheme="majorBidi" w:hAnsiTheme="majorBidi" w:cstheme="majorBidi"/>
          <w:szCs w:val="24"/>
        </w:rPr>
        <w:t xml:space="preserve">; Wise, Abegg, and Cook, </w:t>
      </w:r>
      <w:r w:rsidR="00DC1021" w:rsidRPr="00627E20">
        <w:rPr>
          <w:rFonts w:asciiTheme="majorBidi" w:hAnsiTheme="majorBidi" w:cstheme="majorBidi"/>
          <w:i/>
          <w:iCs/>
          <w:szCs w:val="24"/>
        </w:rPr>
        <w:t>The Dead Sea Scrolls: A New Translation</w:t>
      </w:r>
      <w:r w:rsidR="00DC1021" w:rsidRPr="00627E20">
        <w:rPr>
          <w:rFonts w:asciiTheme="majorBidi" w:hAnsiTheme="majorBidi" w:cstheme="majorBidi"/>
          <w:szCs w:val="24"/>
        </w:rPr>
        <w:t xml:space="preserve">, 158, 165; García Martínez and Eibert J. C. Tigchelaar, </w:t>
      </w:r>
      <w:r w:rsidR="00DC1021" w:rsidRPr="00627E20">
        <w:rPr>
          <w:rFonts w:asciiTheme="majorBidi" w:hAnsiTheme="majorBidi" w:cstheme="majorBidi"/>
          <w:i/>
          <w:iCs/>
          <w:szCs w:val="24"/>
        </w:rPr>
        <w:t>Dead Sea Scrolls Study Edition</w:t>
      </w:r>
      <w:r w:rsidR="00DC1021" w:rsidRPr="00627E20">
        <w:rPr>
          <w:rFonts w:asciiTheme="majorBidi" w:hAnsiTheme="majorBidi" w:cstheme="majorBidi"/>
          <w:szCs w:val="24"/>
        </w:rPr>
        <w:t xml:space="preserve">, 1:127, 139; Parry, Tov, and Clements, </w:t>
      </w:r>
      <w:r w:rsidR="00DC1021" w:rsidRPr="00627E20">
        <w:rPr>
          <w:rFonts w:asciiTheme="majorBidi" w:hAnsiTheme="majorBidi" w:cstheme="majorBidi"/>
          <w:i/>
          <w:iCs/>
          <w:szCs w:val="24"/>
        </w:rPr>
        <w:t>The Dead Sea Scrolls Reader</w:t>
      </w:r>
      <w:r w:rsidR="00DC1021" w:rsidRPr="00627E20">
        <w:rPr>
          <w:rFonts w:asciiTheme="majorBidi" w:hAnsiTheme="majorBidi" w:cstheme="majorBidi"/>
          <w:szCs w:val="24"/>
        </w:rPr>
        <w:t>, 1:255, 269; Holmstedt and Screnock, “Writing a Descriptive Grammar,” 80.</w:t>
      </w:r>
      <w:r w:rsidR="00DC1021" w:rsidRPr="00627E20">
        <w:rPr>
          <w:rFonts w:asciiTheme="majorBidi" w:hAnsiTheme="majorBidi" w:cstheme="majorBidi"/>
          <w:szCs w:val="24"/>
          <w:rtl/>
        </w:rPr>
        <w:t xml:space="preserve"> </w:t>
      </w:r>
    </w:p>
  </w:footnote>
  <w:footnote w:id="55">
    <w:p w14:paraId="6D676159" w14:textId="648644B3" w:rsidR="0047363E" w:rsidRPr="00627E20" w:rsidRDefault="0047363E">
      <w:pPr>
        <w:pStyle w:val="FootnoteText"/>
        <w:rPr>
          <w:rFonts w:asciiTheme="majorBidi" w:hAnsiTheme="majorBidi" w:cstheme="majorBidi"/>
          <w:szCs w:val="24"/>
          <w:rtl/>
          <w:lang w:bidi="he-IL"/>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w:t>
      </w:r>
      <w:r w:rsidR="00DC1021" w:rsidRPr="00627E20">
        <w:rPr>
          <w:rFonts w:asciiTheme="majorBidi" w:hAnsiTheme="majorBidi" w:cstheme="majorBidi"/>
          <w:szCs w:val="24"/>
        </w:rPr>
        <w:t xml:space="preserve">Yishay, </w:t>
      </w:r>
      <w:r w:rsidR="00DC1021" w:rsidRPr="00627E20">
        <w:rPr>
          <w:rFonts w:asciiTheme="majorBidi" w:hAnsiTheme="majorBidi" w:cstheme="majorBidi" w:hint="eastAsia"/>
          <w:szCs w:val="24"/>
          <w:rtl/>
          <w:lang w:bidi="he-IL"/>
        </w:rPr>
        <w:t>״</w:t>
      </w:r>
      <w:r w:rsidR="00DC1021" w:rsidRPr="00627E20">
        <w:rPr>
          <w:rFonts w:asciiTheme="majorBidi" w:hAnsiTheme="majorBidi" w:cstheme="majorBidi"/>
          <w:szCs w:val="24"/>
          <w:rtl/>
          <w:lang w:bidi="he-IL"/>
        </w:rPr>
        <w:t>,</w:t>
      </w:r>
      <w:r w:rsidR="00DC1021" w:rsidRPr="00627E20">
        <w:rPr>
          <w:rFonts w:asciiTheme="majorBidi" w:hAnsiTheme="majorBidi" w:cstheme="majorBidi" w:hint="eastAsia"/>
          <w:szCs w:val="24"/>
          <w:rtl/>
          <w:lang w:bidi="he-IL"/>
        </w:rPr>
        <w:t>ספרות</w:t>
      </w:r>
      <w:r w:rsidR="00DC1021" w:rsidRPr="00627E20">
        <w:rPr>
          <w:rFonts w:asciiTheme="majorBidi" w:hAnsiTheme="majorBidi" w:cstheme="majorBidi"/>
          <w:szCs w:val="24"/>
          <w:rtl/>
        </w:rPr>
        <w:t xml:space="preserve"> </w:t>
      </w:r>
      <w:r w:rsidR="00DC1021" w:rsidRPr="00627E20">
        <w:rPr>
          <w:rFonts w:asciiTheme="majorBidi" w:hAnsiTheme="majorBidi" w:cstheme="majorBidi" w:hint="eastAsia"/>
          <w:szCs w:val="24"/>
          <w:rtl/>
          <w:lang w:bidi="he-IL"/>
        </w:rPr>
        <w:t>המלחמה״</w:t>
      </w:r>
      <w:r w:rsidR="00C669F0" w:rsidRPr="00627E20">
        <w:rPr>
          <w:rFonts w:asciiTheme="majorBidi" w:hAnsiTheme="majorBidi" w:cstheme="majorBidi"/>
          <w:szCs w:val="24"/>
          <w:lang w:bidi="he-IL"/>
        </w:rPr>
        <w:t xml:space="preserve"> </w:t>
      </w:r>
      <w:r w:rsidR="00DC1021" w:rsidRPr="00627E20">
        <w:rPr>
          <w:rFonts w:asciiTheme="majorBidi" w:hAnsiTheme="majorBidi" w:cstheme="majorBidi"/>
          <w:szCs w:val="24"/>
          <w:lang w:bidi="he-IL"/>
        </w:rPr>
        <w:t>120.</w:t>
      </w:r>
    </w:p>
  </w:footnote>
  <w:footnote w:id="56">
    <w:p w14:paraId="24B67645" w14:textId="55882B3B" w:rsidR="00CE3520" w:rsidRPr="00627E20" w:rsidRDefault="00CE3520">
      <w:pPr>
        <w:pStyle w:val="FootnoteText"/>
        <w:rPr>
          <w:rFonts w:asciiTheme="majorBidi" w:hAnsiTheme="majorBidi" w:cstheme="majorBidi"/>
          <w:szCs w:val="24"/>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Habermann, </w:t>
      </w:r>
      <w:r w:rsidRPr="00627E20">
        <w:rPr>
          <w:rFonts w:asciiTheme="majorBidi" w:hAnsiTheme="majorBidi" w:cstheme="majorBidi" w:hint="eastAsia"/>
          <w:szCs w:val="24"/>
          <w:rtl/>
          <w:lang w:bidi="he-IL"/>
        </w:rPr>
        <w:t>מגילות</w:t>
      </w:r>
      <w:r w:rsidRPr="00627E20">
        <w:rPr>
          <w:rFonts w:asciiTheme="majorBidi" w:hAnsiTheme="majorBidi" w:cstheme="majorBidi"/>
          <w:szCs w:val="24"/>
        </w:rPr>
        <w:t>, 199.</w:t>
      </w:r>
    </w:p>
  </w:footnote>
  <w:footnote w:id="57">
    <w:p w14:paraId="6D28F57E" w14:textId="11BFA478" w:rsidR="006F07D0" w:rsidRPr="00627E20" w:rsidRDefault="006935ED">
      <w:pPr>
        <w:pStyle w:val="FootnoteText"/>
        <w:rPr>
          <w:rFonts w:asciiTheme="majorBidi" w:hAnsiTheme="majorBidi" w:cstheme="majorBidi"/>
          <w:szCs w:val="24"/>
        </w:rPr>
      </w:pPr>
      <w:r w:rsidRPr="00627E20">
        <w:rPr>
          <w:rStyle w:val="FootnoteReference"/>
          <w:rFonts w:asciiTheme="majorBidi" w:hAnsiTheme="majorBidi" w:cstheme="majorBidi"/>
          <w:szCs w:val="24"/>
        </w:rPr>
        <w:footnoteRef/>
      </w:r>
      <w:r w:rsidRPr="00627E20">
        <w:rPr>
          <w:rFonts w:asciiTheme="majorBidi" w:hAnsiTheme="majorBidi" w:cstheme="majorBidi"/>
          <w:szCs w:val="24"/>
        </w:rPr>
        <w:t xml:space="preserve"> Cana Werman and Aharon Shemesh, </w:t>
      </w:r>
      <w:r w:rsidRPr="00627E20">
        <w:rPr>
          <w:rFonts w:asciiTheme="majorBidi" w:hAnsiTheme="majorBidi" w:cstheme="majorBidi"/>
          <w:szCs w:val="24"/>
          <w:rtl/>
          <w:lang w:bidi="he-IL"/>
        </w:rPr>
        <w:t>לגלות</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נסתרות:</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פרשנות</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והלכה</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במגילות</w:t>
      </w:r>
      <w:r w:rsidRPr="00627E20">
        <w:rPr>
          <w:rFonts w:asciiTheme="majorBidi" w:hAnsiTheme="majorBidi" w:cstheme="majorBidi"/>
          <w:szCs w:val="24"/>
          <w:rtl/>
        </w:rPr>
        <w:t xml:space="preserve"> </w:t>
      </w:r>
      <w:r w:rsidRPr="00627E20">
        <w:rPr>
          <w:rFonts w:asciiTheme="majorBidi" w:hAnsiTheme="majorBidi" w:cstheme="majorBidi"/>
          <w:szCs w:val="24"/>
          <w:rtl/>
          <w:lang w:bidi="he-IL"/>
        </w:rPr>
        <w:t>קומראן</w:t>
      </w:r>
      <w:r w:rsidRPr="00627E20">
        <w:rPr>
          <w:rFonts w:asciiTheme="majorBidi" w:hAnsiTheme="majorBidi" w:cstheme="majorBidi"/>
          <w:szCs w:val="24"/>
        </w:rPr>
        <w:t xml:space="preserve"> (Jerusalem: Bialik Institute, 2011), 29.</w:t>
      </w:r>
      <w:r w:rsidR="006F07D0" w:rsidRPr="00627E20">
        <w:rPr>
          <w:rFonts w:asciiTheme="majorBidi" w:hAnsiTheme="majorBidi" w:cstheme="majorBidi"/>
          <w:szCs w:val="24"/>
        </w:rPr>
        <w:t xml:space="preserve"> </w:t>
      </w:r>
      <w:r w:rsidR="00C71330" w:rsidRPr="00627E20">
        <w:rPr>
          <w:rFonts w:asciiTheme="majorBidi" w:hAnsiTheme="majorBidi" w:cstheme="majorBidi"/>
          <w:szCs w:val="24"/>
        </w:rPr>
        <w:t xml:space="preserve">Note that the text of the passage has been reconstructed as a composite of three fragmentary manuscripts of the Damascus Document: 4Q266, 4Q267, and 4Q273. The word </w:t>
      </w:r>
      <w:r w:rsidR="00C71330" w:rsidRPr="00627E20">
        <w:rPr>
          <w:rFonts w:asciiTheme="majorBidi" w:hAnsiTheme="majorBidi" w:cstheme="majorBidi" w:hint="eastAsia"/>
          <w:szCs w:val="24"/>
          <w:rtl/>
          <w:lang w:bidi="he-IL"/>
        </w:rPr>
        <w:t>טרוד</w:t>
      </w:r>
      <w:r w:rsidR="00C71330" w:rsidRPr="00627E20">
        <w:rPr>
          <w:rFonts w:asciiTheme="majorBidi" w:hAnsiTheme="majorBidi" w:cstheme="majorBidi"/>
          <w:szCs w:val="24"/>
        </w:rPr>
        <w:t xml:space="preserve"> is preserved specifically in 4Q267. Parry and Tov (Parry, Tov and Clements, </w:t>
      </w:r>
      <w:r w:rsidR="00C71330" w:rsidRPr="00627E20">
        <w:rPr>
          <w:rFonts w:asciiTheme="majorBidi" w:hAnsiTheme="majorBidi" w:cstheme="majorBidi"/>
          <w:i/>
          <w:iCs/>
          <w:szCs w:val="24"/>
        </w:rPr>
        <w:t>The Dead Sea Scrolls Reader</w:t>
      </w:r>
      <w:r w:rsidR="00C71330" w:rsidRPr="00627E20">
        <w:rPr>
          <w:rFonts w:asciiTheme="majorBidi" w:hAnsiTheme="majorBidi" w:cstheme="majorBidi"/>
          <w:szCs w:val="24"/>
        </w:rPr>
        <w:t>, 1:155) translate the word here as “staccato,” but this is probably incorrect, as argued below. We have left the word in the Hebrew here to reflect its ambiguity.</w:t>
      </w:r>
    </w:p>
  </w:footnote>
  <w:footnote w:id="58">
    <w:p w14:paraId="33067AE2" w14:textId="721A5675" w:rsidR="00CE67BD" w:rsidRPr="00507985" w:rsidRDefault="00CE67BD" w:rsidP="00507985">
      <w:pPr>
        <w:pStyle w:val="FootnoteText"/>
        <w:rPr>
          <w:rFonts w:asciiTheme="majorBidi" w:hAnsiTheme="majorBidi" w:cstheme="majorBidi"/>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w:t>
      </w:r>
      <w:r w:rsidR="004B2478" w:rsidRPr="00507985">
        <w:rPr>
          <w:rFonts w:asciiTheme="majorBidi" w:hAnsiTheme="majorBidi" w:cstheme="majorBidi"/>
          <w:szCs w:val="24"/>
        </w:rPr>
        <w:t xml:space="preserve">Geza Vermes, </w:t>
      </w:r>
      <w:r w:rsidR="004B2478" w:rsidRPr="00507985">
        <w:rPr>
          <w:rFonts w:asciiTheme="majorBidi" w:hAnsiTheme="majorBidi" w:cstheme="majorBidi"/>
          <w:i/>
          <w:iCs/>
          <w:szCs w:val="24"/>
        </w:rPr>
        <w:t>The Complete Dead Sea Scrolls in English</w:t>
      </w:r>
      <w:r w:rsidR="004B2478" w:rsidRPr="00507985">
        <w:rPr>
          <w:rFonts w:asciiTheme="majorBidi" w:hAnsiTheme="majorBidi" w:cstheme="majorBidi"/>
          <w:szCs w:val="24"/>
        </w:rPr>
        <w:t xml:space="preserve">, 146; </w:t>
      </w:r>
      <w:r w:rsidR="00C669F0" w:rsidRPr="00507985">
        <w:rPr>
          <w:rFonts w:asciiTheme="majorBidi" w:hAnsiTheme="majorBidi" w:cstheme="majorBidi"/>
          <w:szCs w:val="24"/>
        </w:rPr>
        <w:t xml:space="preserve">García Martínez </w:t>
      </w:r>
      <w:r w:rsidR="00703470" w:rsidRPr="00507985">
        <w:rPr>
          <w:rFonts w:asciiTheme="majorBidi" w:hAnsiTheme="majorBidi" w:cstheme="majorBidi"/>
          <w:szCs w:val="24"/>
        </w:rPr>
        <w:t xml:space="preserve">and </w:t>
      </w:r>
      <w:r w:rsidR="00C669F0" w:rsidRPr="00507985">
        <w:rPr>
          <w:rFonts w:asciiTheme="majorBidi" w:hAnsiTheme="majorBidi" w:cstheme="majorBidi"/>
          <w:szCs w:val="24"/>
        </w:rPr>
        <w:t xml:space="preserve">Tigchelaar, </w:t>
      </w:r>
      <w:r w:rsidR="00C669F0" w:rsidRPr="00507985">
        <w:rPr>
          <w:rFonts w:asciiTheme="majorBidi" w:hAnsiTheme="majorBidi" w:cstheme="majorBidi"/>
          <w:i/>
          <w:iCs/>
          <w:szCs w:val="24"/>
        </w:rPr>
        <w:t>Dead Sea Scrolls Study Edition</w:t>
      </w:r>
      <w:r w:rsidR="00C669F0" w:rsidRPr="00507985">
        <w:rPr>
          <w:rFonts w:asciiTheme="majorBidi" w:hAnsiTheme="majorBidi" w:cstheme="majorBidi"/>
          <w:szCs w:val="24"/>
        </w:rPr>
        <w:t>, 1:</w:t>
      </w:r>
      <w:r w:rsidR="00640811" w:rsidRPr="00507985">
        <w:rPr>
          <w:rFonts w:asciiTheme="majorBidi" w:hAnsiTheme="majorBidi" w:cstheme="majorBidi"/>
          <w:szCs w:val="24"/>
        </w:rPr>
        <w:t>601</w:t>
      </w:r>
      <w:r w:rsidR="00C669F0" w:rsidRPr="00507985">
        <w:rPr>
          <w:rFonts w:asciiTheme="majorBidi" w:hAnsiTheme="majorBidi" w:cstheme="majorBidi"/>
          <w:szCs w:val="24"/>
        </w:rPr>
        <w:t>;</w:t>
      </w:r>
      <w:r w:rsidR="00640811" w:rsidRPr="00507985">
        <w:rPr>
          <w:rFonts w:asciiTheme="majorBidi" w:hAnsiTheme="majorBidi" w:cstheme="majorBidi"/>
          <w:szCs w:val="24"/>
        </w:rPr>
        <w:t xml:space="preserve"> </w:t>
      </w:r>
      <w:r w:rsidRPr="00507985">
        <w:rPr>
          <w:rFonts w:asciiTheme="majorBidi" w:hAnsiTheme="majorBidi" w:cstheme="majorBidi"/>
          <w:szCs w:val="24"/>
        </w:rPr>
        <w:t xml:space="preserve">Joseph M. Baumgarten, James H. Charlesworth, Lidija Novakovic and Henry W. M. Rietz, </w:t>
      </w:r>
      <w:r w:rsidR="00640811" w:rsidRPr="00507985">
        <w:rPr>
          <w:rFonts w:asciiTheme="majorBidi" w:hAnsiTheme="majorBidi" w:cstheme="majorBidi"/>
          <w:szCs w:val="24"/>
        </w:rPr>
        <w:t>“</w:t>
      </w:r>
      <w:r w:rsidRPr="00507985">
        <w:rPr>
          <w:rFonts w:asciiTheme="majorBidi" w:hAnsiTheme="majorBidi" w:cstheme="majorBidi"/>
          <w:szCs w:val="24"/>
        </w:rPr>
        <w:t>Damascus Document 4Q266</w:t>
      </w:r>
      <w:r w:rsidR="006E28BB" w:rsidRPr="00507985">
        <w:rPr>
          <w:rFonts w:asciiTheme="majorBidi" w:hAnsiTheme="majorBidi" w:cstheme="majorBidi"/>
          <w:szCs w:val="24"/>
        </w:rPr>
        <w:t>–</w:t>
      </w:r>
      <w:r w:rsidRPr="00507985">
        <w:rPr>
          <w:rFonts w:asciiTheme="majorBidi" w:hAnsiTheme="majorBidi" w:cstheme="majorBidi"/>
          <w:szCs w:val="24"/>
        </w:rPr>
        <w:t>273 (4QD</w:t>
      </w:r>
      <w:r w:rsidRPr="00507985">
        <w:rPr>
          <w:rFonts w:asciiTheme="majorBidi" w:hAnsiTheme="majorBidi" w:cstheme="majorBidi"/>
          <w:szCs w:val="24"/>
          <w:vertAlign w:val="superscript"/>
        </w:rPr>
        <w:t>a-h</w:t>
      </w:r>
      <w:r w:rsidRPr="00507985">
        <w:rPr>
          <w:rFonts w:asciiTheme="majorBidi" w:hAnsiTheme="majorBidi" w:cstheme="majorBidi"/>
          <w:szCs w:val="24"/>
        </w:rPr>
        <w:t>),</w:t>
      </w:r>
      <w:r w:rsidR="00640811" w:rsidRPr="00507985">
        <w:rPr>
          <w:rFonts w:asciiTheme="majorBidi" w:hAnsiTheme="majorBidi" w:cstheme="majorBidi"/>
          <w:szCs w:val="24"/>
        </w:rPr>
        <w:t>”</w:t>
      </w:r>
      <w:r w:rsidRPr="00507985">
        <w:rPr>
          <w:rFonts w:asciiTheme="majorBidi" w:hAnsiTheme="majorBidi" w:cstheme="majorBidi"/>
          <w:szCs w:val="24"/>
        </w:rPr>
        <w:t xml:space="preserve"> in </w:t>
      </w:r>
      <w:r w:rsidR="00640811" w:rsidRPr="00507985">
        <w:rPr>
          <w:rFonts w:asciiTheme="majorBidi" w:hAnsiTheme="majorBidi" w:cstheme="majorBidi"/>
          <w:szCs w:val="24"/>
        </w:rPr>
        <w:t xml:space="preserve">James H. Charlesworth et al., eds., </w:t>
      </w:r>
      <w:r w:rsidR="00640811" w:rsidRPr="00507985">
        <w:rPr>
          <w:rFonts w:asciiTheme="majorBidi" w:hAnsiTheme="majorBidi" w:cstheme="majorBidi"/>
          <w:i/>
          <w:iCs/>
          <w:szCs w:val="24"/>
        </w:rPr>
        <w:t>The Dead Sea Scrolls: Hebrew, Aramaic, and Greek Texts with English Translations</w:t>
      </w:r>
      <w:r w:rsidR="004A4FD0" w:rsidRPr="00507985">
        <w:rPr>
          <w:rFonts w:asciiTheme="majorBidi" w:hAnsiTheme="majorBidi" w:cstheme="majorBidi"/>
          <w:i/>
          <w:iCs/>
          <w:szCs w:val="24"/>
        </w:rPr>
        <w:t>. Vol. 3:</w:t>
      </w:r>
      <w:r w:rsidR="004A4FD0" w:rsidRPr="00507985">
        <w:rPr>
          <w:rFonts w:asciiTheme="majorBidi" w:hAnsiTheme="majorBidi" w:cstheme="majorBidi"/>
          <w:szCs w:val="24"/>
          <w:shd w:val="clear" w:color="auto" w:fill="FFFFFF"/>
        </w:rPr>
        <w:t xml:space="preserve"> Damascus Document II, Some Works of the Torah, and Related Documents</w:t>
      </w:r>
      <w:r w:rsidR="00640811" w:rsidRPr="00507985">
        <w:rPr>
          <w:rFonts w:asciiTheme="majorBidi" w:hAnsiTheme="majorBidi" w:cstheme="majorBidi"/>
          <w:szCs w:val="24"/>
        </w:rPr>
        <w:t xml:space="preserve"> (PTSDSSP 3; Tübingen: Mohr</w:t>
      </w:r>
      <w:r w:rsidR="00A22555" w:rsidRPr="00507985">
        <w:rPr>
          <w:rFonts w:asciiTheme="majorBidi" w:hAnsiTheme="majorBidi" w:cstheme="majorBidi"/>
          <w:szCs w:val="24"/>
        </w:rPr>
        <w:t xml:space="preserve"> </w:t>
      </w:r>
      <w:r w:rsidR="00640811" w:rsidRPr="00507985">
        <w:rPr>
          <w:rFonts w:asciiTheme="majorBidi" w:hAnsiTheme="majorBidi" w:cstheme="majorBidi"/>
          <w:szCs w:val="24"/>
        </w:rPr>
        <w:t xml:space="preserve">Siebeck, </w:t>
      </w:r>
      <w:r w:rsidRPr="00507985">
        <w:rPr>
          <w:rFonts w:asciiTheme="majorBidi" w:hAnsiTheme="majorBidi" w:cstheme="majorBidi"/>
          <w:szCs w:val="24"/>
        </w:rPr>
        <w:t>2006), 88–89;</w:t>
      </w:r>
      <w:r w:rsidRPr="00507985">
        <w:rPr>
          <w:rFonts w:asciiTheme="majorBidi" w:hAnsiTheme="majorBidi" w:cstheme="majorBidi"/>
          <w:szCs w:val="24"/>
          <w:rtl/>
        </w:rPr>
        <w:t xml:space="preserve"> </w:t>
      </w:r>
      <w:r w:rsidRPr="00507985">
        <w:rPr>
          <w:rFonts w:asciiTheme="majorBidi" w:hAnsiTheme="majorBidi" w:cstheme="majorBidi"/>
          <w:szCs w:val="24"/>
        </w:rPr>
        <w:t xml:space="preserve">Florentino </w:t>
      </w:r>
      <w:r w:rsidR="00640811" w:rsidRPr="00507985">
        <w:rPr>
          <w:rFonts w:asciiTheme="majorBidi" w:hAnsiTheme="majorBidi" w:cstheme="majorBidi"/>
          <w:szCs w:val="24"/>
        </w:rPr>
        <w:t>García Martínez</w:t>
      </w:r>
      <w:r w:rsidRPr="00507985">
        <w:rPr>
          <w:rFonts w:asciiTheme="majorBidi" w:hAnsiTheme="majorBidi" w:cstheme="majorBidi"/>
          <w:szCs w:val="24"/>
        </w:rPr>
        <w:t xml:space="preserve">, </w:t>
      </w:r>
      <w:r w:rsidRPr="00507985">
        <w:rPr>
          <w:rFonts w:asciiTheme="majorBidi" w:hAnsiTheme="majorBidi" w:cstheme="majorBidi"/>
          <w:i/>
          <w:iCs/>
          <w:szCs w:val="24"/>
        </w:rPr>
        <w:t xml:space="preserve">Qumranica Minora II - </w:t>
      </w:r>
      <w:r w:rsidRPr="00507985">
        <w:rPr>
          <w:rFonts w:asciiTheme="majorBidi" w:hAnsiTheme="majorBidi" w:cstheme="majorBidi"/>
          <w:i/>
          <w:iCs/>
          <w:szCs w:val="24"/>
          <w:shd w:val="clear" w:color="auto" w:fill="FFFFFF"/>
        </w:rPr>
        <w:t>Thematic Studies on the Dead Sea Scrolls</w:t>
      </w:r>
      <w:r w:rsidRPr="00507985">
        <w:rPr>
          <w:rFonts w:asciiTheme="majorBidi" w:hAnsiTheme="majorBidi" w:cstheme="majorBidi"/>
          <w:szCs w:val="24"/>
        </w:rPr>
        <w:t>, ed. Eibert J. C. Tigchelaar (</w:t>
      </w:r>
      <w:r w:rsidR="00B82A96" w:rsidRPr="00507985">
        <w:rPr>
          <w:rFonts w:asciiTheme="majorBidi" w:hAnsiTheme="majorBidi" w:cstheme="majorBidi"/>
          <w:szCs w:val="24"/>
        </w:rPr>
        <w:t xml:space="preserve">STDJ 64; </w:t>
      </w:r>
      <w:r w:rsidRPr="00507985">
        <w:rPr>
          <w:rFonts w:asciiTheme="majorBidi" w:hAnsiTheme="majorBidi" w:cstheme="majorBidi"/>
          <w:szCs w:val="24"/>
        </w:rPr>
        <w:t>Leiden: Brill, 2007), 86;</w:t>
      </w:r>
      <w:r w:rsidR="00B82A96" w:rsidRPr="00507985">
        <w:rPr>
          <w:rFonts w:asciiTheme="majorBidi" w:hAnsiTheme="majorBidi" w:cstheme="majorBidi"/>
          <w:szCs w:val="24"/>
        </w:rPr>
        <w:t xml:space="preserve"> Parry, Tov and Clements, </w:t>
      </w:r>
      <w:r w:rsidR="00B82A96" w:rsidRPr="00507985">
        <w:rPr>
          <w:rFonts w:asciiTheme="majorBidi" w:hAnsiTheme="majorBidi" w:cstheme="majorBidi"/>
          <w:i/>
          <w:iCs/>
          <w:szCs w:val="24"/>
        </w:rPr>
        <w:t>The Dead Sea Scrolls Reader</w:t>
      </w:r>
      <w:r w:rsidR="00B82A96" w:rsidRPr="00507985">
        <w:rPr>
          <w:rFonts w:asciiTheme="majorBidi" w:hAnsiTheme="majorBidi" w:cstheme="majorBidi"/>
          <w:szCs w:val="24"/>
        </w:rPr>
        <w:t>, 1:155.</w:t>
      </w:r>
    </w:p>
  </w:footnote>
  <w:footnote w:id="59">
    <w:p w14:paraId="540864C8" w14:textId="5496414E" w:rsidR="00B82A96" w:rsidRPr="00507985" w:rsidRDefault="00B82A96">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w:t>
      </w:r>
      <w:r w:rsidR="00B82E19" w:rsidRPr="00507985">
        <w:rPr>
          <w:rFonts w:asciiTheme="majorBidi" w:hAnsiTheme="majorBidi" w:cstheme="majorBidi"/>
          <w:szCs w:val="24"/>
        </w:rPr>
        <w:t xml:space="preserve">Qimron, </w:t>
      </w:r>
      <w:r w:rsidR="00B82E19" w:rsidRPr="00507985">
        <w:rPr>
          <w:rFonts w:asciiTheme="majorBidi" w:hAnsiTheme="majorBidi" w:cstheme="majorBidi" w:hint="eastAsia"/>
          <w:szCs w:val="24"/>
          <w:rtl/>
          <w:lang w:bidi="he-IL"/>
        </w:rPr>
        <w:t>מגילות</w:t>
      </w:r>
      <w:r w:rsidR="00B82E19" w:rsidRPr="00507985">
        <w:rPr>
          <w:rFonts w:asciiTheme="majorBidi" w:hAnsiTheme="majorBidi" w:cstheme="majorBidi"/>
          <w:szCs w:val="24"/>
          <w:rtl/>
          <w:lang w:bidi="he-IL"/>
        </w:rPr>
        <w:t xml:space="preserve"> </w:t>
      </w:r>
      <w:r w:rsidR="00B82E19" w:rsidRPr="00507985">
        <w:rPr>
          <w:rFonts w:asciiTheme="majorBidi" w:hAnsiTheme="majorBidi" w:cstheme="majorBidi" w:hint="eastAsia"/>
          <w:szCs w:val="24"/>
          <w:rtl/>
          <w:lang w:bidi="he-IL"/>
        </w:rPr>
        <w:t>מדבר</w:t>
      </w:r>
      <w:r w:rsidR="00B82E19" w:rsidRPr="00507985">
        <w:rPr>
          <w:rFonts w:asciiTheme="majorBidi" w:hAnsiTheme="majorBidi" w:cstheme="majorBidi"/>
          <w:szCs w:val="24"/>
          <w:rtl/>
          <w:lang w:bidi="he-IL"/>
        </w:rPr>
        <w:t xml:space="preserve"> </w:t>
      </w:r>
      <w:r w:rsidR="00B82E19" w:rsidRPr="00507985">
        <w:rPr>
          <w:rFonts w:asciiTheme="majorBidi" w:hAnsiTheme="majorBidi" w:cstheme="majorBidi" w:hint="eastAsia"/>
          <w:szCs w:val="24"/>
          <w:rtl/>
          <w:lang w:bidi="he-IL"/>
        </w:rPr>
        <w:t>יהודה</w:t>
      </w:r>
      <w:r w:rsidR="00B82E19" w:rsidRPr="00507985">
        <w:rPr>
          <w:rFonts w:asciiTheme="majorBidi" w:hAnsiTheme="majorBidi" w:cstheme="majorBidi"/>
          <w:szCs w:val="24"/>
        </w:rPr>
        <w:t xml:space="preserve">, </w:t>
      </w:r>
      <w:r w:rsidR="00AA7E35" w:rsidRPr="00507985">
        <w:rPr>
          <w:rFonts w:asciiTheme="majorBidi" w:hAnsiTheme="majorBidi" w:cstheme="majorBidi"/>
          <w:szCs w:val="24"/>
        </w:rPr>
        <w:t>1:</w:t>
      </w:r>
      <w:r w:rsidR="00B82E19" w:rsidRPr="00507985">
        <w:rPr>
          <w:rFonts w:asciiTheme="majorBidi" w:hAnsiTheme="majorBidi" w:cstheme="majorBidi"/>
          <w:szCs w:val="24"/>
        </w:rPr>
        <w:t>26.</w:t>
      </w:r>
    </w:p>
  </w:footnote>
  <w:footnote w:id="60">
    <w:p w14:paraId="7C8BDCA8" w14:textId="1ECE22CA" w:rsidR="00496129" w:rsidRPr="00627E20" w:rsidRDefault="000A423C" w:rsidP="00507985">
      <w:pPr>
        <w:pStyle w:val="FootnoteText"/>
        <w:rPr>
          <w:rFonts w:asciiTheme="majorBidi" w:hAnsiTheme="majorBidi" w:cstheme="majorBidi"/>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See</w:t>
      </w:r>
      <w:r w:rsidR="00496129" w:rsidRPr="002F31C5">
        <w:rPr>
          <w:rFonts w:asciiTheme="majorBidi" w:hAnsiTheme="majorBidi" w:cstheme="majorBidi"/>
          <w:i/>
          <w:iCs/>
          <w:szCs w:val="24"/>
        </w:rPr>
        <w:t xml:space="preserve"> HALOT</w:t>
      </w:r>
      <w:r w:rsidR="00496129" w:rsidRPr="002F31C5">
        <w:rPr>
          <w:rFonts w:asciiTheme="majorBidi" w:hAnsiTheme="majorBidi" w:cstheme="majorBidi"/>
          <w:szCs w:val="24"/>
        </w:rPr>
        <w:t xml:space="preserve"> 2, 379; </w:t>
      </w:r>
      <w:r w:rsidR="00496129" w:rsidRPr="00507985">
        <w:rPr>
          <w:rFonts w:asciiTheme="majorBidi" w:hAnsiTheme="majorBidi" w:cstheme="majorBidi"/>
          <w:szCs w:val="24"/>
        </w:rPr>
        <w:t xml:space="preserve">Clines, </w:t>
      </w:r>
      <w:r w:rsidR="00496129" w:rsidRPr="00507985">
        <w:rPr>
          <w:rFonts w:asciiTheme="majorBidi" w:hAnsiTheme="majorBidi" w:cstheme="majorBidi"/>
          <w:i/>
          <w:iCs/>
          <w:szCs w:val="24"/>
        </w:rPr>
        <w:t>Dictionary</w:t>
      </w:r>
      <w:r w:rsidR="00496129" w:rsidRPr="00507985">
        <w:rPr>
          <w:rFonts w:asciiTheme="majorBidi" w:hAnsiTheme="majorBidi" w:cstheme="majorBidi"/>
          <w:szCs w:val="24"/>
        </w:rPr>
        <w:t xml:space="preserve">, 3:374; </w:t>
      </w:r>
      <w:r w:rsidRPr="00507985">
        <w:rPr>
          <w:rFonts w:asciiTheme="majorBidi" w:hAnsiTheme="majorBidi" w:cstheme="majorBidi"/>
          <w:szCs w:val="24"/>
        </w:rPr>
        <w:t xml:space="preserve">Kaddari, </w:t>
      </w:r>
      <w:r w:rsidRPr="00507985">
        <w:rPr>
          <w:rFonts w:asciiTheme="majorBidi" w:hAnsiTheme="majorBidi" w:cstheme="majorBidi"/>
          <w:szCs w:val="24"/>
          <w:rtl/>
          <w:lang w:bidi="he-IL"/>
        </w:rPr>
        <w:t>מילון</w:t>
      </w:r>
      <w:r w:rsidRPr="00507985">
        <w:rPr>
          <w:rFonts w:asciiTheme="majorBidi" w:hAnsiTheme="majorBidi" w:cstheme="majorBidi"/>
          <w:szCs w:val="24"/>
          <w:rtl/>
        </w:rPr>
        <w:t xml:space="preserve"> </w:t>
      </w:r>
      <w:r w:rsidRPr="00507985">
        <w:rPr>
          <w:rFonts w:asciiTheme="majorBidi" w:hAnsiTheme="majorBidi" w:cstheme="majorBidi"/>
          <w:szCs w:val="24"/>
          <w:rtl/>
          <w:lang w:bidi="he-IL"/>
        </w:rPr>
        <w:t>העברית</w:t>
      </w:r>
      <w:r w:rsidRPr="00507985">
        <w:rPr>
          <w:rFonts w:asciiTheme="majorBidi" w:hAnsiTheme="majorBidi" w:cstheme="majorBidi"/>
          <w:szCs w:val="24"/>
        </w:rPr>
        <w:t>, 385</w:t>
      </w:r>
      <w:r w:rsidR="00496129" w:rsidRPr="00507985">
        <w:rPr>
          <w:rFonts w:asciiTheme="majorBidi" w:hAnsiTheme="majorBidi" w:cstheme="majorBidi"/>
          <w:szCs w:val="24"/>
        </w:rPr>
        <w:t>.</w:t>
      </w:r>
    </w:p>
  </w:footnote>
  <w:footnote w:id="61">
    <w:p w14:paraId="1971DEB8" w14:textId="0942AB6D" w:rsidR="000A423C" w:rsidRPr="00507985" w:rsidRDefault="000A423C">
      <w:pPr>
        <w:pStyle w:val="CommentText"/>
        <w:rPr>
          <w:rFonts w:asciiTheme="majorBidi" w:hAnsiTheme="majorBidi" w:cstheme="majorBidi"/>
          <w:sz w:val="24"/>
          <w:szCs w:val="24"/>
        </w:rPr>
      </w:pPr>
      <w:r w:rsidRPr="00507985">
        <w:rPr>
          <w:rStyle w:val="FootnoteReference"/>
          <w:rFonts w:asciiTheme="majorBidi" w:hAnsiTheme="majorBidi" w:cstheme="majorBidi"/>
          <w:sz w:val="24"/>
          <w:szCs w:val="24"/>
        </w:rPr>
        <w:footnoteRef/>
      </w:r>
      <w:r w:rsidRPr="00507985">
        <w:rPr>
          <w:rFonts w:asciiTheme="majorBidi" w:hAnsiTheme="majorBidi" w:cstheme="majorBidi"/>
          <w:sz w:val="24"/>
          <w:szCs w:val="24"/>
        </w:rPr>
        <w:t xml:space="preserve"> </w:t>
      </w:r>
      <w:r w:rsidR="00F31B74" w:rsidRPr="00507985">
        <w:rPr>
          <w:rFonts w:asciiTheme="majorBidi" w:hAnsiTheme="majorBidi" w:cstheme="majorBidi"/>
          <w:sz w:val="24"/>
          <w:szCs w:val="24"/>
        </w:rPr>
        <w:t xml:space="preserve">Moses Samuel Zuckermandel, ed., </w:t>
      </w:r>
      <w:r w:rsidR="00F31B74" w:rsidRPr="00507985">
        <w:rPr>
          <w:rFonts w:asciiTheme="majorBidi" w:hAnsiTheme="majorBidi" w:cstheme="majorBidi"/>
          <w:i/>
          <w:iCs/>
          <w:sz w:val="24"/>
          <w:szCs w:val="24"/>
        </w:rPr>
        <w:t>Tosefta</w:t>
      </w:r>
      <w:r w:rsidR="00F31B74" w:rsidRPr="00507985">
        <w:rPr>
          <w:rFonts w:asciiTheme="majorBidi" w:hAnsiTheme="majorBidi" w:cstheme="majorBidi"/>
          <w:sz w:val="24"/>
          <w:szCs w:val="24"/>
        </w:rPr>
        <w:t xml:space="preserve"> (Pasewalk: M. S. Zuckermandel, 1880, Repr., Jerusalem: Wahrmann, 1970) </w:t>
      </w:r>
      <w:r w:rsidR="00F31B74" w:rsidRPr="00507985">
        <w:rPr>
          <w:rFonts w:asciiTheme="majorBidi" w:hAnsiTheme="majorBidi" w:cstheme="majorBidi"/>
          <w:i/>
          <w:iCs/>
          <w:sz w:val="24"/>
          <w:szCs w:val="24"/>
        </w:rPr>
        <w:t>Taharoth</w:t>
      </w:r>
      <w:r w:rsidR="00F31B74" w:rsidRPr="00507985">
        <w:rPr>
          <w:rFonts w:asciiTheme="majorBidi" w:hAnsiTheme="majorBidi" w:cstheme="majorBidi"/>
          <w:sz w:val="24"/>
          <w:szCs w:val="24"/>
        </w:rPr>
        <w:t>, 577.</w:t>
      </w:r>
      <w:r w:rsidRPr="00507985">
        <w:rPr>
          <w:rFonts w:asciiTheme="majorBidi" w:hAnsiTheme="majorBidi" w:cstheme="majorBidi"/>
          <w:sz w:val="24"/>
          <w:szCs w:val="24"/>
          <w:rtl/>
        </w:rPr>
        <w:t xml:space="preserve"> </w:t>
      </w:r>
    </w:p>
  </w:footnote>
  <w:footnote w:id="62">
    <w:p w14:paraId="76261EBC" w14:textId="3F1D2B9B" w:rsidR="000A423C" w:rsidRPr="003D0D8B" w:rsidRDefault="000A423C">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w:t>
      </w:r>
      <w:r w:rsidR="00F31B74" w:rsidRPr="00507985">
        <w:rPr>
          <w:rFonts w:asciiTheme="majorBidi" w:hAnsiTheme="majorBidi" w:cstheme="majorBidi"/>
          <w:szCs w:val="24"/>
        </w:rPr>
        <w:t xml:space="preserve">Tosefta, </w:t>
      </w:r>
      <w:r w:rsidR="00A629AD" w:rsidRPr="00507985">
        <w:rPr>
          <w:rFonts w:asciiTheme="majorBidi" w:hAnsiTheme="majorBidi" w:cstheme="majorBidi"/>
          <w:szCs w:val="24"/>
        </w:rPr>
        <w:t>Zuckermandel ed., 674.</w:t>
      </w:r>
    </w:p>
  </w:footnote>
  <w:footnote w:id="63">
    <w:p w14:paraId="02043D9F" w14:textId="1E6F34E1" w:rsidR="00A629AD" w:rsidRPr="003D0D8B" w:rsidRDefault="00A629AD">
      <w:pPr>
        <w:pStyle w:val="FootnoteText"/>
        <w:rPr>
          <w:rFonts w:asciiTheme="majorBidi" w:hAnsiTheme="majorBidi" w:cstheme="majorBidi"/>
          <w:szCs w:val="24"/>
        </w:rPr>
      </w:pPr>
      <w:r w:rsidRPr="003D0D8B">
        <w:rPr>
          <w:rStyle w:val="FootnoteReference"/>
          <w:rFonts w:asciiTheme="majorBidi" w:hAnsiTheme="majorBidi" w:cstheme="majorBidi"/>
          <w:szCs w:val="24"/>
        </w:rPr>
        <w:footnoteRef/>
      </w:r>
      <w:r w:rsidRPr="003D0D8B">
        <w:rPr>
          <w:rFonts w:asciiTheme="majorBidi" w:hAnsiTheme="majorBidi" w:cstheme="majorBidi"/>
          <w:szCs w:val="24"/>
        </w:rPr>
        <w:t xml:space="preserve"> See above, </w:t>
      </w:r>
      <w:r w:rsidR="00EE1FB9" w:rsidRPr="003D0D8B">
        <w:rPr>
          <w:rFonts w:asciiTheme="majorBidi" w:hAnsiTheme="majorBidi" w:cstheme="majorBidi"/>
          <w:szCs w:val="24"/>
        </w:rPr>
        <w:t xml:space="preserve">n. 000 </w:t>
      </w:r>
      <w:r w:rsidRPr="003D0D8B">
        <w:rPr>
          <w:rFonts w:asciiTheme="majorBidi" w:hAnsiTheme="majorBidi" w:cstheme="majorBidi"/>
          <w:szCs w:val="24"/>
        </w:rPr>
        <w:t>&lt;&lt;confirm in final draft&gt;&gt;.</w:t>
      </w:r>
    </w:p>
  </w:footnote>
  <w:footnote w:id="64">
    <w:p w14:paraId="7E051DBB" w14:textId="77777777" w:rsidR="00752E73" w:rsidRPr="003D0D8B" w:rsidRDefault="00752E73" w:rsidP="00752E73">
      <w:pPr>
        <w:pStyle w:val="FootnoteText"/>
        <w:rPr>
          <w:rFonts w:asciiTheme="majorBidi" w:hAnsiTheme="majorBidi" w:cstheme="majorBidi"/>
          <w:szCs w:val="24"/>
        </w:rPr>
      </w:pPr>
      <w:r w:rsidRPr="003D0D8B">
        <w:rPr>
          <w:rStyle w:val="FootnoteReference"/>
          <w:rFonts w:asciiTheme="majorBidi" w:hAnsiTheme="majorBidi" w:cstheme="majorBidi"/>
          <w:szCs w:val="24"/>
        </w:rPr>
        <w:footnoteRef/>
      </w:r>
      <w:r w:rsidRPr="003D0D8B">
        <w:rPr>
          <w:rFonts w:asciiTheme="majorBidi" w:hAnsiTheme="majorBidi" w:cstheme="majorBidi"/>
          <w:szCs w:val="24"/>
        </w:rPr>
        <w:t xml:space="preserve"> The word is left untranslated in these passages for now, to reflect its ambiguity, which is the subject of this section.</w:t>
      </w:r>
    </w:p>
  </w:footnote>
  <w:footnote w:id="65">
    <w:p w14:paraId="6ADFA53E" w14:textId="43D998D1" w:rsidR="00C764F8" w:rsidRPr="00B036AC" w:rsidRDefault="00C764F8">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See above, </w:t>
      </w:r>
      <w:r w:rsidR="00EE1FB9" w:rsidRPr="00B036AC">
        <w:rPr>
          <w:rFonts w:asciiTheme="majorBidi" w:hAnsiTheme="majorBidi" w:cstheme="majorBidi"/>
          <w:szCs w:val="24"/>
        </w:rPr>
        <w:t>nn. 000</w:t>
      </w:r>
      <w:r w:rsidR="00EE1FB9" w:rsidRPr="00B036AC">
        <w:rPr>
          <w:rFonts w:asciiTheme="majorBidi" w:hAnsiTheme="majorBidi" w:cstheme="majorBidi"/>
          <w:szCs w:val="24"/>
          <w:rtl/>
        </w:rPr>
        <w:t>–</w:t>
      </w:r>
      <w:r w:rsidR="00EE1FB9" w:rsidRPr="00B036AC">
        <w:rPr>
          <w:rFonts w:asciiTheme="majorBidi" w:hAnsiTheme="majorBidi" w:cstheme="majorBidi"/>
          <w:szCs w:val="24"/>
        </w:rPr>
        <w:t>000 &lt;&lt;confirm in final draft&gt;&gt;.</w:t>
      </w:r>
      <w:r w:rsidRPr="00B036AC">
        <w:rPr>
          <w:rFonts w:asciiTheme="majorBidi" w:hAnsiTheme="majorBidi" w:cstheme="majorBidi"/>
          <w:szCs w:val="24"/>
        </w:rPr>
        <w:t>.</w:t>
      </w:r>
    </w:p>
  </w:footnote>
  <w:footnote w:id="66">
    <w:p w14:paraId="310CB64A" w14:textId="0328B4CF" w:rsidR="00BF6DDF" w:rsidRPr="00B036AC" w:rsidRDefault="00BF6DDF">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Bockmuehl, “‘The Trumpet Shall Sound,’</w:t>
      </w:r>
      <w:r w:rsidR="006D07D8" w:rsidRPr="00B036AC">
        <w:rPr>
          <w:rFonts w:asciiTheme="majorBidi" w:hAnsiTheme="majorBidi" w:cstheme="majorBidi"/>
          <w:szCs w:val="24"/>
        </w:rPr>
        <w:t>”</w:t>
      </w:r>
      <w:r w:rsidRPr="00B036AC">
        <w:rPr>
          <w:rFonts w:asciiTheme="majorBidi" w:hAnsiTheme="majorBidi" w:cstheme="majorBidi"/>
          <w:szCs w:val="24"/>
        </w:rPr>
        <w:t xml:space="preserve"> 209</w:t>
      </w:r>
      <w:r w:rsidRPr="00B036AC">
        <w:rPr>
          <w:rFonts w:asciiTheme="majorBidi" w:hAnsiTheme="majorBidi" w:cstheme="majorBidi"/>
          <w:szCs w:val="24"/>
          <w:rtl/>
        </w:rPr>
        <w:t>–</w:t>
      </w:r>
      <w:r w:rsidRPr="00B036AC">
        <w:rPr>
          <w:rFonts w:asciiTheme="majorBidi" w:hAnsiTheme="majorBidi" w:cstheme="majorBidi"/>
          <w:szCs w:val="24"/>
        </w:rPr>
        <w:t>10.</w:t>
      </w:r>
    </w:p>
  </w:footnote>
  <w:footnote w:id="67">
    <w:p w14:paraId="30306870" w14:textId="515A9D59" w:rsidR="00333E8E" w:rsidRPr="00B036AC" w:rsidRDefault="00333E8E">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w:t>
      </w:r>
      <w:r w:rsidR="00C5650E" w:rsidRPr="00B036AC">
        <w:rPr>
          <w:rFonts w:asciiTheme="majorBidi" w:hAnsiTheme="majorBidi" w:cstheme="majorBidi"/>
          <w:szCs w:val="24"/>
        </w:rPr>
        <w:t>Yadin, The Scroll of the War, 107 n.1.</w:t>
      </w:r>
    </w:p>
  </w:footnote>
  <w:footnote w:id="68">
    <w:p w14:paraId="453DD4C6" w14:textId="3E7B33DF" w:rsidR="00110CCE" w:rsidRPr="00B036AC" w:rsidRDefault="00110CCE">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w:t>
      </w:r>
      <w:r w:rsidR="006F324E" w:rsidRPr="00B036AC">
        <w:rPr>
          <w:rFonts w:asciiTheme="majorBidi" w:hAnsiTheme="majorBidi" w:cstheme="majorBidi"/>
          <w:szCs w:val="24"/>
        </w:rPr>
        <w:t>On the differences, see Piamenta, “</w:t>
      </w:r>
      <w:r w:rsidR="006F324E" w:rsidRPr="00B036AC">
        <w:rPr>
          <w:rFonts w:asciiTheme="majorBidi" w:hAnsiTheme="majorBidi" w:cstheme="majorBidi"/>
          <w:szCs w:val="24"/>
          <w:rtl/>
          <w:lang w:bidi="he-IL"/>
        </w:rPr>
        <w:t>החצוצרה</w:t>
      </w:r>
      <w:r w:rsidR="006F324E" w:rsidRPr="00B036AC">
        <w:rPr>
          <w:rFonts w:asciiTheme="majorBidi" w:hAnsiTheme="majorBidi" w:cstheme="majorBidi"/>
          <w:szCs w:val="24"/>
          <w:lang w:bidi="he-IL"/>
        </w:rPr>
        <w:t>,</w:t>
      </w:r>
      <w:r w:rsidR="006F324E" w:rsidRPr="00B036AC">
        <w:rPr>
          <w:rFonts w:asciiTheme="majorBidi" w:hAnsiTheme="majorBidi" w:cstheme="majorBidi"/>
          <w:szCs w:val="24"/>
        </w:rPr>
        <w:t>”</w:t>
      </w:r>
      <w:r w:rsidR="006F324E" w:rsidRPr="00B036AC">
        <w:rPr>
          <w:rFonts w:asciiTheme="majorBidi" w:hAnsiTheme="majorBidi" w:cstheme="majorBidi"/>
          <w:szCs w:val="24"/>
          <w:lang w:bidi="he-IL"/>
        </w:rPr>
        <w:t xml:space="preserve"> </w:t>
      </w:r>
      <w:r w:rsidR="006F324E" w:rsidRPr="00B036AC">
        <w:rPr>
          <w:rFonts w:asciiTheme="majorBidi" w:hAnsiTheme="majorBidi" w:cstheme="majorBidi"/>
          <w:szCs w:val="24"/>
        </w:rPr>
        <w:t xml:space="preserve">78–79. On the independence, see also </w:t>
      </w:r>
      <w:r w:rsidR="00AC00A7" w:rsidRPr="00B036AC">
        <w:rPr>
          <w:rFonts w:asciiTheme="majorBidi" w:hAnsiTheme="majorBidi" w:cstheme="majorBidi"/>
          <w:szCs w:val="24"/>
        </w:rPr>
        <w:t xml:space="preserve">Yadin, </w:t>
      </w:r>
      <w:r w:rsidR="00AC00A7" w:rsidRPr="00B036AC">
        <w:rPr>
          <w:rFonts w:asciiTheme="majorBidi" w:hAnsiTheme="majorBidi" w:cstheme="majorBidi"/>
          <w:i/>
          <w:iCs/>
          <w:szCs w:val="24"/>
        </w:rPr>
        <w:t>The Scroll of the War</w:t>
      </w:r>
      <w:r w:rsidR="00AC00A7" w:rsidRPr="00B036AC">
        <w:rPr>
          <w:rFonts w:asciiTheme="majorBidi" w:hAnsiTheme="majorBidi" w:cstheme="majorBidi"/>
          <w:szCs w:val="24"/>
        </w:rPr>
        <w:t>, 87</w:t>
      </w:r>
      <w:r w:rsidRPr="00B036AC">
        <w:rPr>
          <w:rFonts w:asciiTheme="majorBidi" w:hAnsiTheme="majorBidi" w:cstheme="majorBidi"/>
          <w:szCs w:val="24"/>
        </w:rPr>
        <w:t>; Wenthe, “The Use,” 304</w:t>
      </w:r>
      <w:r w:rsidR="006E28BB" w:rsidRPr="00B036AC">
        <w:rPr>
          <w:rFonts w:asciiTheme="majorBidi" w:hAnsiTheme="majorBidi" w:cstheme="majorBidi"/>
          <w:szCs w:val="24"/>
        </w:rPr>
        <w:t>–</w:t>
      </w:r>
      <w:r w:rsidRPr="00B036AC">
        <w:rPr>
          <w:rFonts w:asciiTheme="majorBidi" w:hAnsiTheme="majorBidi" w:cstheme="majorBidi"/>
          <w:szCs w:val="24"/>
        </w:rPr>
        <w:t xml:space="preserve">6; Florentino García Martínez, </w:t>
      </w:r>
      <w:r w:rsidRPr="00B036AC">
        <w:rPr>
          <w:rFonts w:asciiTheme="majorBidi" w:hAnsiTheme="majorBidi" w:cstheme="majorBidi"/>
          <w:i/>
          <w:iCs/>
          <w:szCs w:val="24"/>
        </w:rPr>
        <w:t>Qumranica Minora I: Qumran Origins and Apocalypticism</w:t>
      </w:r>
      <w:r w:rsidRPr="00B036AC">
        <w:rPr>
          <w:rFonts w:asciiTheme="majorBidi" w:hAnsiTheme="majorBidi" w:cstheme="majorBidi"/>
          <w:szCs w:val="24"/>
        </w:rPr>
        <w:t>, ed. Eibert J. C. Tigchelaar (STDJ 63; Leiden: Brill, 2007), 224</w:t>
      </w:r>
      <w:r w:rsidRPr="00B036AC">
        <w:rPr>
          <w:rFonts w:asciiTheme="majorBidi" w:hAnsiTheme="majorBidi" w:cstheme="majorBidi"/>
          <w:szCs w:val="24"/>
          <w:rtl/>
        </w:rPr>
        <w:t>.</w:t>
      </w:r>
    </w:p>
  </w:footnote>
  <w:footnote w:id="69">
    <w:p w14:paraId="63B5FFD2" w14:textId="29332670" w:rsidR="009574B5" w:rsidRPr="00B036AC" w:rsidRDefault="006D07D8" w:rsidP="00B036AC">
      <w:pPr>
        <w:rPr>
          <w:rFonts w:asciiTheme="majorBidi" w:hAnsiTheme="majorBidi" w:cstheme="majorBidi"/>
          <w:color w:val="222222"/>
        </w:rPr>
      </w:pPr>
      <w:r w:rsidRPr="00B036AC">
        <w:rPr>
          <w:rStyle w:val="FootnoteReference"/>
          <w:rFonts w:asciiTheme="majorBidi" w:hAnsiTheme="majorBidi" w:cstheme="majorBidi"/>
        </w:rPr>
        <w:footnoteRef/>
      </w:r>
      <w:r w:rsidRPr="00B036AC">
        <w:rPr>
          <w:rFonts w:asciiTheme="majorBidi" w:hAnsiTheme="majorBidi" w:cstheme="majorBidi"/>
        </w:rPr>
        <w:t xml:space="preserve"> </w:t>
      </w:r>
      <w:r w:rsidR="0025045A" w:rsidRPr="00B036AC">
        <w:rPr>
          <w:rFonts w:asciiTheme="majorBidi" w:hAnsiTheme="majorBidi" w:cstheme="majorBidi"/>
        </w:rPr>
        <w:t xml:space="preserve">Yadin, </w:t>
      </w:r>
      <w:r w:rsidR="0025045A" w:rsidRPr="00B036AC">
        <w:rPr>
          <w:rFonts w:asciiTheme="majorBidi" w:hAnsiTheme="majorBidi" w:cstheme="majorBidi"/>
          <w:i/>
          <w:iCs/>
        </w:rPr>
        <w:t>The Scroll of the War</w:t>
      </w:r>
      <w:r w:rsidR="0025045A" w:rsidRPr="00B036AC">
        <w:rPr>
          <w:rFonts w:asciiTheme="majorBidi" w:hAnsiTheme="majorBidi" w:cstheme="majorBidi"/>
        </w:rPr>
        <w:t>, 107–108</w:t>
      </w:r>
      <w:r w:rsidRPr="00B036AC">
        <w:rPr>
          <w:rFonts w:asciiTheme="majorBidi" w:hAnsiTheme="majorBidi" w:cstheme="majorBidi"/>
        </w:rPr>
        <w:t xml:space="preserve">; Stallman, “Levi and Levites,” 175; Yishay, </w:t>
      </w:r>
      <w:r w:rsidRPr="00B036AC">
        <w:rPr>
          <w:rFonts w:asciiTheme="majorBidi" w:hAnsiTheme="majorBidi" w:cstheme="majorBidi"/>
          <w:rtl/>
          <w:lang w:bidi="he-IL"/>
        </w:rPr>
        <w:t>הדגם</w:t>
      </w:r>
      <w:r w:rsidRPr="00B036AC">
        <w:rPr>
          <w:rFonts w:asciiTheme="majorBidi" w:hAnsiTheme="majorBidi" w:cstheme="majorBidi"/>
          <w:lang w:bidi="he-IL"/>
        </w:rPr>
        <w:t xml:space="preserve">, 127; </w:t>
      </w:r>
      <w:r w:rsidRPr="00B036AC">
        <w:rPr>
          <w:rFonts w:asciiTheme="majorBidi" w:hAnsiTheme="majorBidi" w:cstheme="majorBidi"/>
          <w:rtl/>
          <w:lang w:bidi="he-IL"/>
        </w:rPr>
        <w:t>ספרות</w:t>
      </w:r>
      <w:r w:rsidRPr="00B036AC">
        <w:rPr>
          <w:rFonts w:asciiTheme="majorBidi" w:hAnsiTheme="majorBidi" w:cstheme="majorBidi"/>
          <w:rtl/>
        </w:rPr>
        <w:t xml:space="preserve"> </w:t>
      </w:r>
      <w:r w:rsidRPr="00B036AC">
        <w:rPr>
          <w:rFonts w:asciiTheme="majorBidi" w:hAnsiTheme="majorBidi" w:cstheme="majorBidi"/>
          <w:rtl/>
          <w:lang w:bidi="he-IL"/>
        </w:rPr>
        <w:t>המלחמה</w:t>
      </w:r>
      <w:r w:rsidRPr="00B036AC">
        <w:rPr>
          <w:rFonts w:asciiTheme="majorBidi" w:hAnsiTheme="majorBidi" w:cstheme="majorBidi"/>
        </w:rPr>
        <w:t>, 120. The exclusivity of the use of trumpets by the priests is also found in Sifre Bamidbar</w:t>
      </w:r>
      <w:r w:rsidR="00F95C23" w:rsidRPr="00B036AC">
        <w:rPr>
          <w:rFonts w:asciiTheme="majorBidi" w:hAnsiTheme="majorBidi" w:cstheme="majorBidi"/>
        </w:rPr>
        <w:t xml:space="preserve"> 75: 1</w:t>
      </w:r>
      <w:r w:rsidR="006E28BB" w:rsidRPr="00B036AC">
        <w:rPr>
          <w:rFonts w:asciiTheme="majorBidi" w:hAnsiTheme="majorBidi" w:cstheme="majorBidi"/>
        </w:rPr>
        <w:t>–</w:t>
      </w:r>
      <w:r w:rsidR="00F95C23" w:rsidRPr="00B036AC">
        <w:rPr>
          <w:rFonts w:asciiTheme="majorBidi" w:hAnsiTheme="majorBidi" w:cstheme="majorBidi"/>
        </w:rPr>
        <w:t>2: “</w:t>
      </w:r>
      <w:r w:rsidR="00427355" w:rsidRPr="00B036AC">
        <w:rPr>
          <w:rFonts w:asciiTheme="majorBidi" w:hAnsiTheme="majorBidi" w:cstheme="majorBidi"/>
          <w:color w:val="000000"/>
        </w:rPr>
        <w:t xml:space="preserve">‘And the children of Aaron, the priests, will sound a blast.’ Why is it said? Because </w:t>
      </w:r>
      <w:r w:rsidR="00F31B74" w:rsidRPr="00B036AC">
        <w:rPr>
          <w:rFonts w:asciiTheme="majorBidi" w:hAnsiTheme="majorBidi" w:cstheme="majorBidi"/>
          <w:color w:val="000000"/>
        </w:rPr>
        <w:t>had it</w:t>
      </w:r>
      <w:r w:rsidR="00427355" w:rsidRPr="00B036AC">
        <w:rPr>
          <w:rFonts w:asciiTheme="majorBidi" w:hAnsiTheme="majorBidi" w:cstheme="majorBidi"/>
          <w:color w:val="000000"/>
        </w:rPr>
        <w:t xml:space="preserve"> said ‘if he will sound one [horn]…,’ I might have understood that the meaning [of ‘sounding a blast’] includes even an Israelite [as opposed to a priest]. The [Torah’s] teaching [therefore] says: ‘And the children of Aaron, the priests…’”</w:t>
      </w:r>
      <w:r w:rsidR="00F31B74" w:rsidRPr="00B036AC">
        <w:rPr>
          <w:rFonts w:asciiTheme="majorBidi" w:hAnsiTheme="majorBidi" w:cstheme="majorBidi"/>
          <w:color w:val="000000"/>
        </w:rPr>
        <w:t xml:space="preserve"> (</w:t>
      </w:r>
      <w:r w:rsidR="00F31B74" w:rsidRPr="00B036AC">
        <w:rPr>
          <w:rFonts w:asciiTheme="majorBidi" w:hAnsiTheme="majorBidi" w:cstheme="majorBidi"/>
          <w:rtl/>
          <w:lang w:bidi="he-IL"/>
        </w:rPr>
        <w:t>ובני</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אהרן</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הכהנים</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יתקעו</w:t>
      </w:r>
      <w:r w:rsidR="00F31B74" w:rsidRPr="00B036AC">
        <w:rPr>
          <w:rFonts w:asciiTheme="majorBidi" w:hAnsiTheme="majorBidi" w:cstheme="majorBidi"/>
          <w:rtl/>
        </w:rPr>
        <w:t xml:space="preserve"> - </w:t>
      </w:r>
      <w:r w:rsidR="00F31B74" w:rsidRPr="00B036AC">
        <w:rPr>
          <w:rFonts w:asciiTheme="majorBidi" w:hAnsiTheme="majorBidi" w:cstheme="majorBidi"/>
          <w:rtl/>
          <w:lang w:bidi="he-IL"/>
        </w:rPr>
        <w:t>למ</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נא</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לפי</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שהוא</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או</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ואם</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באחת</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יתק</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שומע</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אני</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אף</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יש</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במשמע</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ת"ל</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ובני</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אה</w:t>
      </w:r>
      <w:r w:rsidR="00F31B74" w:rsidRPr="00B036AC">
        <w:rPr>
          <w:rFonts w:asciiTheme="majorBidi" w:hAnsiTheme="majorBidi" w:cstheme="majorBidi"/>
          <w:rtl/>
        </w:rPr>
        <w:t xml:space="preserve">' </w:t>
      </w:r>
      <w:r w:rsidR="00F31B74" w:rsidRPr="00B036AC">
        <w:rPr>
          <w:rFonts w:asciiTheme="majorBidi" w:hAnsiTheme="majorBidi" w:cstheme="majorBidi"/>
          <w:rtl/>
          <w:lang w:bidi="he-IL"/>
        </w:rPr>
        <w:t>הכהנ</w:t>
      </w:r>
      <w:r w:rsidR="00F31B74" w:rsidRPr="00B036AC">
        <w:rPr>
          <w:rFonts w:asciiTheme="majorBidi" w:hAnsiTheme="majorBidi" w:cstheme="majorBidi"/>
          <w:rtl/>
        </w:rPr>
        <w:t>'</w:t>
      </w:r>
      <w:r w:rsidR="00F31B74" w:rsidRPr="00B036AC">
        <w:rPr>
          <w:rFonts w:asciiTheme="majorBidi" w:hAnsiTheme="majorBidi" w:cstheme="majorBidi"/>
        </w:rPr>
        <w:t xml:space="preserve">; </w:t>
      </w:r>
      <w:r w:rsidR="00F95C23" w:rsidRPr="00B036AC">
        <w:rPr>
          <w:rFonts w:asciiTheme="majorBidi" w:hAnsiTheme="majorBidi" w:cstheme="majorBidi"/>
        </w:rPr>
        <w:t>(</w:t>
      </w:r>
      <w:r w:rsidRPr="00B036AC">
        <w:rPr>
          <w:rFonts w:asciiTheme="majorBidi" w:hAnsiTheme="majorBidi" w:cstheme="majorBidi"/>
          <w:shd w:val="clear" w:color="auto" w:fill="FFFFFF"/>
        </w:rPr>
        <w:t xml:space="preserve">Kahana, </w:t>
      </w:r>
      <w:r w:rsidRPr="00B036AC">
        <w:rPr>
          <w:rFonts w:asciiTheme="majorBidi" w:hAnsiTheme="majorBidi" w:cstheme="majorBidi"/>
          <w:shd w:val="clear" w:color="auto" w:fill="FFFFFF"/>
          <w:rtl/>
          <w:lang w:bidi="he-IL"/>
        </w:rPr>
        <w:t>ספרי במדבר</w:t>
      </w:r>
      <w:r w:rsidR="00F95C23" w:rsidRPr="00B036AC">
        <w:rPr>
          <w:rFonts w:asciiTheme="majorBidi" w:hAnsiTheme="majorBidi" w:cstheme="majorBidi"/>
          <w:shd w:val="clear" w:color="auto" w:fill="FFFFFF"/>
          <w:lang w:bidi="he-IL"/>
        </w:rPr>
        <w:t xml:space="preserve"> </w:t>
      </w:r>
      <w:r w:rsidRPr="00B036AC">
        <w:rPr>
          <w:rFonts w:asciiTheme="majorBidi" w:hAnsiTheme="majorBidi" w:cstheme="majorBidi"/>
        </w:rPr>
        <w:t>1</w:t>
      </w:r>
      <w:r w:rsidR="00F95C23" w:rsidRPr="00B036AC">
        <w:rPr>
          <w:rFonts w:asciiTheme="majorBidi" w:hAnsiTheme="majorBidi" w:cstheme="majorBidi"/>
        </w:rPr>
        <w:t>:178</w:t>
      </w:r>
      <w:r w:rsidRPr="00B036AC">
        <w:rPr>
          <w:rFonts w:asciiTheme="majorBidi" w:hAnsiTheme="majorBidi" w:cstheme="majorBidi"/>
        </w:rPr>
        <w:t>)</w:t>
      </w:r>
      <w:r w:rsidR="00F95C23" w:rsidRPr="00B036AC">
        <w:rPr>
          <w:rFonts w:asciiTheme="majorBidi" w:hAnsiTheme="majorBidi" w:cstheme="majorBidi"/>
        </w:rPr>
        <w:t xml:space="preserve"> and in </w:t>
      </w:r>
      <w:r w:rsidR="00B036AC" w:rsidRPr="00B036AC">
        <w:rPr>
          <w:rFonts w:asciiTheme="majorBidi" w:hAnsiTheme="majorBidi" w:cstheme="majorBidi"/>
        </w:rPr>
        <w:t>and the children of Aaron’… the [Torah’s] teaching [therefore] says: ‘the priests’” (</w:t>
      </w:r>
      <w:r w:rsidR="00B036AC" w:rsidRPr="00B036AC">
        <w:rPr>
          <w:rFonts w:asciiTheme="majorBidi" w:hAnsiTheme="majorBidi" w:cstheme="majorBidi"/>
          <w:rtl/>
          <w:lang w:bidi="he-IL"/>
        </w:rPr>
        <w:t>ובני</w:t>
      </w:r>
      <w:r w:rsidR="00B036AC" w:rsidRPr="00B036AC">
        <w:rPr>
          <w:rFonts w:asciiTheme="majorBidi" w:hAnsiTheme="majorBidi" w:cstheme="majorBidi"/>
          <w:rtl/>
        </w:rPr>
        <w:t xml:space="preserve"> </w:t>
      </w:r>
      <w:r w:rsidR="00B036AC" w:rsidRPr="00B036AC">
        <w:rPr>
          <w:rFonts w:asciiTheme="majorBidi" w:hAnsiTheme="majorBidi" w:cstheme="majorBidi"/>
          <w:rtl/>
          <w:lang w:bidi="he-IL"/>
        </w:rPr>
        <w:t>אהרן</w:t>
      </w:r>
      <w:r w:rsidR="00B036AC" w:rsidRPr="00B036AC">
        <w:rPr>
          <w:rFonts w:asciiTheme="majorBidi" w:hAnsiTheme="majorBidi" w:cstheme="majorBidi"/>
          <w:rtl/>
        </w:rPr>
        <w:t>...</w:t>
      </w:r>
      <w:r w:rsidR="00B036AC" w:rsidRPr="00B036AC">
        <w:rPr>
          <w:rFonts w:asciiTheme="majorBidi" w:hAnsiTheme="majorBidi" w:cstheme="majorBidi"/>
          <w:rtl/>
          <w:lang w:bidi="he-IL"/>
        </w:rPr>
        <w:t>ת"ל</w:t>
      </w:r>
      <w:r w:rsidR="00B036AC" w:rsidRPr="00B036AC">
        <w:rPr>
          <w:rFonts w:asciiTheme="majorBidi" w:hAnsiTheme="majorBidi" w:cstheme="majorBidi"/>
          <w:rtl/>
        </w:rPr>
        <w:t xml:space="preserve"> </w:t>
      </w:r>
      <w:r w:rsidR="00B036AC" w:rsidRPr="00B036AC">
        <w:rPr>
          <w:rFonts w:asciiTheme="majorBidi" w:hAnsiTheme="majorBidi" w:cstheme="majorBidi"/>
          <w:rtl/>
          <w:lang w:bidi="he-IL"/>
        </w:rPr>
        <w:t>הכהנים</w:t>
      </w:r>
      <w:r w:rsidR="00B036AC" w:rsidRPr="00B036AC">
        <w:rPr>
          <w:rFonts w:asciiTheme="majorBidi" w:hAnsiTheme="majorBidi" w:cstheme="majorBidi"/>
        </w:rPr>
        <w:t xml:space="preserve">; Chaim Saul Horowitz, ed., </w:t>
      </w:r>
      <w:r w:rsidR="00B036AC" w:rsidRPr="00B036AC">
        <w:rPr>
          <w:rFonts w:asciiTheme="majorBidi" w:hAnsiTheme="majorBidi" w:cstheme="majorBidi"/>
          <w:rtl/>
          <w:lang w:bidi="he-IL"/>
        </w:rPr>
        <w:t>ספרי</w:t>
      </w:r>
      <w:r w:rsidR="00B036AC" w:rsidRPr="00B036AC">
        <w:rPr>
          <w:rFonts w:asciiTheme="majorBidi" w:hAnsiTheme="majorBidi" w:cstheme="majorBidi"/>
          <w:rtl/>
        </w:rPr>
        <w:t xml:space="preserve"> </w:t>
      </w:r>
      <w:r w:rsidR="00B036AC" w:rsidRPr="00B036AC">
        <w:rPr>
          <w:rFonts w:asciiTheme="majorBidi" w:hAnsiTheme="majorBidi" w:cstheme="majorBidi"/>
          <w:rtl/>
          <w:lang w:bidi="he-IL"/>
        </w:rPr>
        <w:t>זוטא</w:t>
      </w:r>
      <w:r w:rsidR="00B036AC" w:rsidRPr="00B036AC">
        <w:rPr>
          <w:rFonts w:asciiTheme="majorBidi" w:hAnsiTheme="majorBidi" w:cstheme="majorBidi"/>
          <w:rtl/>
        </w:rPr>
        <w:t xml:space="preserve"> </w:t>
      </w:r>
      <w:r w:rsidR="00B036AC" w:rsidRPr="00B036AC">
        <w:rPr>
          <w:rFonts w:asciiTheme="majorBidi" w:hAnsiTheme="majorBidi" w:cstheme="majorBidi"/>
          <w:rtl/>
          <w:lang w:bidi="he-IL"/>
        </w:rPr>
        <w:t>על</w:t>
      </w:r>
      <w:r w:rsidR="00B036AC" w:rsidRPr="00B036AC">
        <w:rPr>
          <w:rFonts w:asciiTheme="majorBidi" w:hAnsiTheme="majorBidi" w:cstheme="majorBidi"/>
          <w:rtl/>
        </w:rPr>
        <w:t xml:space="preserve"> </w:t>
      </w:r>
      <w:r w:rsidR="00B036AC" w:rsidRPr="00B036AC">
        <w:rPr>
          <w:rFonts w:asciiTheme="majorBidi" w:hAnsiTheme="majorBidi" w:cstheme="majorBidi"/>
          <w:rtl/>
          <w:lang w:bidi="he-IL"/>
        </w:rPr>
        <w:t>ספר</w:t>
      </w:r>
      <w:r w:rsidR="00B036AC" w:rsidRPr="00B036AC">
        <w:rPr>
          <w:rFonts w:asciiTheme="majorBidi" w:hAnsiTheme="majorBidi" w:cstheme="majorBidi"/>
          <w:rtl/>
        </w:rPr>
        <w:t xml:space="preserve"> </w:t>
      </w:r>
      <w:r w:rsidR="00B036AC" w:rsidRPr="00B036AC">
        <w:rPr>
          <w:rFonts w:asciiTheme="majorBidi" w:hAnsiTheme="majorBidi" w:cstheme="majorBidi"/>
          <w:rtl/>
          <w:lang w:bidi="he-IL"/>
        </w:rPr>
        <w:t>במדבר</w:t>
      </w:r>
      <w:r w:rsidR="00B036AC" w:rsidRPr="00B036AC">
        <w:rPr>
          <w:rFonts w:asciiTheme="majorBidi" w:hAnsiTheme="majorBidi" w:cstheme="majorBidi"/>
          <w:rtl/>
        </w:rPr>
        <w:t xml:space="preserve"> </w:t>
      </w:r>
      <w:r w:rsidR="00B036AC" w:rsidRPr="00B036AC">
        <w:rPr>
          <w:rFonts w:asciiTheme="majorBidi" w:hAnsiTheme="majorBidi" w:cstheme="majorBidi"/>
          <w:rtl/>
          <w:lang w:bidi="he-IL"/>
        </w:rPr>
        <w:t>עם</w:t>
      </w:r>
      <w:r w:rsidR="00B036AC" w:rsidRPr="00B036AC">
        <w:rPr>
          <w:rFonts w:asciiTheme="majorBidi" w:hAnsiTheme="majorBidi" w:cstheme="majorBidi"/>
          <w:rtl/>
        </w:rPr>
        <w:t xml:space="preserve"> </w:t>
      </w:r>
      <w:r w:rsidR="00B036AC" w:rsidRPr="00B036AC">
        <w:rPr>
          <w:rFonts w:asciiTheme="majorBidi" w:hAnsiTheme="majorBidi" w:cstheme="majorBidi"/>
          <w:rtl/>
          <w:lang w:bidi="he-IL"/>
        </w:rPr>
        <w:t>חלופי</w:t>
      </w:r>
      <w:r w:rsidR="00B036AC" w:rsidRPr="00B036AC">
        <w:rPr>
          <w:rFonts w:asciiTheme="majorBidi" w:hAnsiTheme="majorBidi" w:cstheme="majorBidi"/>
          <w:rtl/>
        </w:rPr>
        <w:t xml:space="preserve"> </w:t>
      </w:r>
      <w:r w:rsidR="00B036AC" w:rsidRPr="00B036AC">
        <w:rPr>
          <w:rFonts w:asciiTheme="majorBidi" w:hAnsiTheme="majorBidi" w:cstheme="majorBidi"/>
          <w:rtl/>
          <w:lang w:bidi="he-IL"/>
        </w:rPr>
        <w:t>גרסאות</w:t>
      </w:r>
      <w:r w:rsidR="00B036AC" w:rsidRPr="00B036AC">
        <w:rPr>
          <w:rFonts w:asciiTheme="majorBidi" w:hAnsiTheme="majorBidi" w:cstheme="majorBidi"/>
          <w:rtl/>
        </w:rPr>
        <w:t xml:space="preserve"> </w:t>
      </w:r>
      <w:r w:rsidR="00B036AC" w:rsidRPr="00B036AC">
        <w:rPr>
          <w:rFonts w:asciiTheme="majorBidi" w:hAnsiTheme="majorBidi" w:cstheme="majorBidi"/>
          <w:rtl/>
          <w:lang w:bidi="he-IL"/>
        </w:rPr>
        <w:t>והערות</w:t>
      </w:r>
      <w:r w:rsidR="00B036AC" w:rsidRPr="00B036AC">
        <w:rPr>
          <w:rFonts w:asciiTheme="majorBidi" w:hAnsiTheme="majorBidi" w:cstheme="majorBidi"/>
        </w:rPr>
        <w:t xml:space="preserve"> [Jerusalem: Wahrman Books, 1966], 262). In addition, as in 1QM, the passage in Sifre Zuta specified that the sounding of the shofarot should not be done by the priests: </w:t>
      </w:r>
      <w:r w:rsidR="00F95C23" w:rsidRPr="00B036AC">
        <w:rPr>
          <w:rFonts w:asciiTheme="majorBidi" w:hAnsiTheme="majorBidi" w:cstheme="majorBidi"/>
        </w:rPr>
        <w:t xml:space="preserve">Sifre Zuta 10:8, </w:t>
      </w:r>
      <w:r w:rsidR="00427355" w:rsidRPr="00B036AC">
        <w:rPr>
          <w:rFonts w:asciiTheme="majorBidi" w:hAnsiTheme="majorBidi" w:cstheme="majorBidi"/>
        </w:rPr>
        <w:t>“</w:t>
      </w:r>
      <w:r w:rsidR="00427355" w:rsidRPr="00B036AC">
        <w:rPr>
          <w:rFonts w:asciiTheme="majorBidi" w:hAnsiTheme="majorBidi" w:cstheme="majorBidi"/>
          <w:color w:val="222222"/>
        </w:rPr>
        <w:t>And the children of Aaron…</w:t>
      </w:r>
      <w:r w:rsidR="00427355" w:rsidRPr="00B036AC">
        <w:rPr>
          <w:rFonts w:asciiTheme="majorBidi" w:hAnsiTheme="majorBidi" w:cstheme="majorBidi"/>
          <w:color w:val="000000"/>
        </w:rPr>
        <w:t xml:space="preserve"> the [Torah’s] teaching [therefore] says </w:t>
      </w:r>
      <w:r w:rsidR="00B036AC">
        <w:rPr>
          <w:rFonts w:asciiTheme="majorBidi" w:hAnsiTheme="majorBidi" w:cstheme="majorBidi"/>
          <w:color w:val="000000"/>
        </w:rPr>
        <w:t>‘</w:t>
      </w:r>
      <w:r w:rsidR="00427355" w:rsidRPr="00B036AC">
        <w:rPr>
          <w:rFonts w:asciiTheme="majorBidi" w:hAnsiTheme="majorBidi" w:cstheme="majorBidi"/>
          <w:color w:val="000000"/>
        </w:rPr>
        <w:t>the priests</w:t>
      </w:r>
      <w:r w:rsidR="00B036AC">
        <w:rPr>
          <w:rFonts w:asciiTheme="majorBidi" w:hAnsiTheme="majorBidi" w:cstheme="majorBidi"/>
          <w:color w:val="000000"/>
        </w:rPr>
        <w:t>’</w:t>
      </w:r>
      <w:r w:rsidR="00427355" w:rsidRPr="00B036AC">
        <w:rPr>
          <w:rFonts w:asciiTheme="majorBidi" w:hAnsiTheme="majorBidi" w:cstheme="majorBidi"/>
          <w:color w:val="000000"/>
        </w:rPr>
        <w:t xml:space="preserve"> shall blow the horns, not the shofarot…</w:t>
      </w:r>
      <w:r w:rsidR="00427355" w:rsidRPr="00B036AC">
        <w:rPr>
          <w:rFonts w:asciiTheme="majorBidi" w:hAnsiTheme="majorBidi" w:cstheme="majorBidi"/>
        </w:rPr>
        <w:t>(</w:t>
      </w:r>
      <w:r w:rsidR="00757786" w:rsidRPr="00B036AC">
        <w:rPr>
          <w:rFonts w:asciiTheme="majorBidi" w:hAnsiTheme="majorBidi" w:cstheme="majorBidi"/>
          <w:rtl/>
          <w:lang w:bidi="he-IL"/>
        </w:rPr>
        <w:t>יתקעו</w:t>
      </w:r>
      <w:r w:rsidR="00757786" w:rsidRPr="00B036AC">
        <w:rPr>
          <w:rFonts w:asciiTheme="majorBidi" w:hAnsiTheme="majorBidi" w:cstheme="majorBidi"/>
          <w:rtl/>
        </w:rPr>
        <w:t xml:space="preserve"> </w:t>
      </w:r>
      <w:r w:rsidR="00757786" w:rsidRPr="00B036AC">
        <w:rPr>
          <w:rFonts w:asciiTheme="majorBidi" w:hAnsiTheme="majorBidi" w:cstheme="majorBidi"/>
          <w:rtl/>
          <w:lang w:bidi="he-IL"/>
        </w:rPr>
        <w:t>בחצוצרות</w:t>
      </w:r>
      <w:r w:rsidR="00757786" w:rsidRPr="00B036AC">
        <w:rPr>
          <w:rFonts w:asciiTheme="majorBidi" w:hAnsiTheme="majorBidi" w:cstheme="majorBidi"/>
          <w:rtl/>
        </w:rPr>
        <w:t xml:space="preserve"> </w:t>
      </w:r>
      <w:r w:rsidR="00757786" w:rsidRPr="00B036AC">
        <w:rPr>
          <w:rFonts w:asciiTheme="majorBidi" w:hAnsiTheme="majorBidi" w:cstheme="majorBidi"/>
          <w:rtl/>
          <w:lang w:bidi="he-IL"/>
        </w:rPr>
        <w:t>לא</w:t>
      </w:r>
      <w:r w:rsidR="00757786" w:rsidRPr="00B036AC">
        <w:rPr>
          <w:rFonts w:asciiTheme="majorBidi" w:hAnsiTheme="majorBidi" w:cstheme="majorBidi"/>
          <w:rtl/>
        </w:rPr>
        <w:t xml:space="preserve"> </w:t>
      </w:r>
      <w:r w:rsidR="00757786" w:rsidRPr="00B036AC">
        <w:rPr>
          <w:rFonts w:asciiTheme="majorBidi" w:hAnsiTheme="majorBidi" w:cstheme="majorBidi"/>
          <w:rtl/>
          <w:lang w:bidi="he-IL"/>
        </w:rPr>
        <w:t>בשופרות</w:t>
      </w:r>
      <w:r w:rsidR="00427355" w:rsidRPr="00B036AC">
        <w:rPr>
          <w:rFonts w:asciiTheme="majorBidi" w:hAnsiTheme="majorBidi" w:cstheme="majorBidi"/>
        </w:rPr>
        <w:t>).</w:t>
      </w:r>
      <w:r w:rsidRPr="00B036AC">
        <w:rPr>
          <w:rFonts w:asciiTheme="majorBidi" w:hAnsiTheme="majorBidi" w:cstheme="majorBidi"/>
          <w:rtl/>
        </w:rPr>
        <w:t xml:space="preserve"> </w:t>
      </w:r>
      <w:r w:rsidR="00427355" w:rsidRPr="00B036AC">
        <w:rPr>
          <w:rFonts w:asciiTheme="majorBidi" w:hAnsiTheme="majorBidi" w:cstheme="majorBidi"/>
        </w:rPr>
        <w:t>”</w:t>
      </w:r>
    </w:p>
  </w:footnote>
  <w:footnote w:id="70">
    <w:p w14:paraId="4C336A45" w14:textId="1762C361" w:rsidR="00C71330" w:rsidRPr="00B036AC" w:rsidRDefault="00C71330">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The word is left untranslated in these passages for now, to reflect its ambiguity, which is the subject of this section.</w:t>
      </w:r>
    </w:p>
  </w:footnote>
  <w:footnote w:id="71">
    <w:p w14:paraId="1A2D1951" w14:textId="2813F3B0" w:rsidR="005E5F67" w:rsidRPr="00B036AC" w:rsidRDefault="00B3780D">
      <w:pPr>
        <w:pStyle w:val="FootnoteText"/>
        <w:rPr>
          <w:rFonts w:asciiTheme="majorBidi" w:hAnsiTheme="majorBidi" w:cstheme="majorBidi"/>
          <w:szCs w:val="24"/>
          <w:lang w:bidi="he-IL"/>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w:t>
      </w:r>
      <w:r w:rsidR="005E5F67" w:rsidRPr="00B036AC">
        <w:rPr>
          <w:rFonts w:asciiTheme="majorBidi" w:hAnsiTheme="majorBidi" w:cstheme="majorBidi"/>
          <w:szCs w:val="24"/>
          <w:lang w:bidi="he-IL"/>
        </w:rPr>
        <w:t>See n</w:t>
      </w:r>
      <w:r w:rsidR="007A41B6" w:rsidRPr="00B036AC">
        <w:rPr>
          <w:rFonts w:asciiTheme="majorBidi" w:hAnsiTheme="majorBidi" w:cstheme="majorBidi"/>
          <w:szCs w:val="24"/>
          <w:lang w:bidi="he-IL"/>
        </w:rPr>
        <w:t>.</w:t>
      </w:r>
      <w:r w:rsidR="005E5F67" w:rsidRPr="00B036AC">
        <w:rPr>
          <w:rFonts w:asciiTheme="majorBidi" w:hAnsiTheme="majorBidi" w:cstheme="majorBidi"/>
          <w:szCs w:val="24"/>
          <w:lang w:bidi="he-IL"/>
        </w:rPr>
        <w:t xml:space="preserve"> 000 above</w:t>
      </w:r>
      <w:r w:rsidR="00C71330" w:rsidRPr="00B036AC">
        <w:rPr>
          <w:rFonts w:asciiTheme="majorBidi" w:hAnsiTheme="majorBidi" w:cstheme="majorBidi"/>
          <w:szCs w:val="24"/>
          <w:lang w:bidi="he-IL"/>
        </w:rPr>
        <w:t xml:space="preserve"> on the reading and reconstruction of this passage</w:t>
      </w:r>
      <w:r w:rsidR="005E5F67" w:rsidRPr="00B036AC">
        <w:rPr>
          <w:rFonts w:asciiTheme="majorBidi" w:hAnsiTheme="majorBidi" w:cstheme="majorBidi"/>
          <w:szCs w:val="24"/>
          <w:lang w:bidi="he-IL"/>
        </w:rPr>
        <w:t>.</w:t>
      </w:r>
    </w:p>
  </w:footnote>
  <w:footnote w:id="72">
    <w:p w14:paraId="2CAD4825" w14:textId="2D4B6BF5" w:rsidR="007A41B6" w:rsidRPr="00B036AC" w:rsidRDefault="007A41B6">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The Hebrew word here is </w:t>
      </w:r>
      <w:r w:rsidRPr="00B036AC">
        <w:rPr>
          <w:rFonts w:asciiTheme="majorBidi" w:hAnsiTheme="majorBidi" w:cstheme="majorBidi" w:hint="eastAsia"/>
          <w:szCs w:val="24"/>
          <w:rtl/>
          <w:lang w:bidi="he-IL"/>
        </w:rPr>
        <w:t>יניח</w:t>
      </w:r>
      <w:r w:rsidRPr="00B036AC">
        <w:rPr>
          <w:rFonts w:asciiTheme="majorBidi" w:hAnsiTheme="majorBidi" w:cstheme="majorBidi"/>
          <w:szCs w:val="24"/>
          <w:rtl/>
          <w:lang w:bidi="he-IL"/>
        </w:rPr>
        <w:t>[ו]</w:t>
      </w:r>
      <w:r w:rsidRPr="00B036AC">
        <w:rPr>
          <w:rStyle w:val="CommentReference"/>
          <w:rFonts w:asciiTheme="majorBidi" w:hAnsiTheme="majorBidi" w:cstheme="majorBidi"/>
          <w:sz w:val="24"/>
          <w:szCs w:val="24"/>
        </w:rPr>
        <w:annotationRef/>
      </w:r>
      <w:r w:rsidRPr="00B036AC">
        <w:rPr>
          <w:rStyle w:val="CommentReference"/>
          <w:rFonts w:asciiTheme="majorBidi" w:hAnsiTheme="majorBidi" w:cstheme="majorBidi"/>
          <w:sz w:val="24"/>
          <w:szCs w:val="24"/>
        </w:rPr>
        <w:annotationRef/>
      </w:r>
      <w:r w:rsidRPr="00B036AC">
        <w:rPr>
          <w:rFonts w:asciiTheme="majorBidi" w:hAnsiTheme="majorBidi" w:cstheme="majorBidi"/>
          <w:szCs w:val="24"/>
          <w:lang w:bidi="he-IL"/>
        </w:rPr>
        <w:t>. See n. 000 above and the discussion of this term below.</w:t>
      </w:r>
    </w:p>
  </w:footnote>
  <w:footnote w:id="73">
    <w:p w14:paraId="60089ED8" w14:textId="68FFE65C" w:rsidR="00703470" w:rsidRPr="00B036AC" w:rsidRDefault="00703470">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Duhaime, “War Scroll,” 113 </w:t>
      </w:r>
      <w:r w:rsidR="00B2127C" w:rsidRPr="00B036AC">
        <w:rPr>
          <w:rFonts w:asciiTheme="majorBidi" w:hAnsiTheme="majorBidi" w:cstheme="majorBidi"/>
          <w:szCs w:val="24"/>
        </w:rPr>
        <w:t>render</w:t>
      </w:r>
      <w:r w:rsidRPr="00B036AC">
        <w:rPr>
          <w:rFonts w:asciiTheme="majorBidi" w:hAnsiTheme="majorBidi" w:cstheme="majorBidi"/>
          <w:szCs w:val="24"/>
        </w:rPr>
        <w:t>s this as “a great sound of alarm</w:t>
      </w:r>
      <w:r w:rsidR="00B2127C" w:rsidRPr="00B036AC">
        <w:rPr>
          <w:rFonts w:asciiTheme="majorBidi" w:hAnsiTheme="majorBidi" w:cstheme="majorBidi"/>
          <w:szCs w:val="24"/>
        </w:rPr>
        <w:t>.</w:t>
      </w:r>
      <w:r w:rsidRPr="00B036AC">
        <w:rPr>
          <w:rFonts w:asciiTheme="majorBidi" w:hAnsiTheme="majorBidi" w:cstheme="majorBidi"/>
          <w:szCs w:val="24"/>
        </w:rPr>
        <w:t>”</w:t>
      </w:r>
      <w:r w:rsidR="00B2127C" w:rsidRPr="00B036AC">
        <w:rPr>
          <w:rFonts w:asciiTheme="majorBidi" w:hAnsiTheme="majorBidi" w:cstheme="majorBidi"/>
          <w:szCs w:val="24"/>
        </w:rPr>
        <w:t xml:space="preserve"> </w:t>
      </w:r>
      <w:r w:rsidRPr="00B036AC">
        <w:rPr>
          <w:rFonts w:asciiTheme="majorBidi" w:hAnsiTheme="majorBidi" w:cstheme="majorBidi"/>
          <w:szCs w:val="24"/>
        </w:rPr>
        <w:t xml:space="preserve">García Martínez, </w:t>
      </w:r>
      <w:r w:rsidRPr="00B036AC">
        <w:rPr>
          <w:rFonts w:asciiTheme="majorBidi" w:hAnsiTheme="majorBidi" w:cstheme="majorBidi"/>
          <w:i/>
          <w:iCs/>
          <w:szCs w:val="24"/>
        </w:rPr>
        <w:t>The Dead Sea Scrolls Translated</w:t>
      </w:r>
      <w:r w:rsidRPr="00B036AC">
        <w:rPr>
          <w:rFonts w:asciiTheme="majorBidi" w:hAnsiTheme="majorBidi" w:cstheme="majorBidi"/>
          <w:szCs w:val="24"/>
        </w:rPr>
        <w:t xml:space="preserve">, 101 and García Martínez and Tigchelaar, </w:t>
      </w:r>
      <w:r w:rsidRPr="00B036AC">
        <w:rPr>
          <w:rFonts w:asciiTheme="majorBidi" w:hAnsiTheme="majorBidi" w:cstheme="majorBidi"/>
          <w:i/>
          <w:iCs/>
          <w:szCs w:val="24"/>
        </w:rPr>
        <w:t>Dead Sea Scrolls Study Edition</w:t>
      </w:r>
      <w:r w:rsidRPr="00B036AC">
        <w:rPr>
          <w:rFonts w:asciiTheme="majorBidi" w:hAnsiTheme="majorBidi" w:cstheme="majorBidi"/>
          <w:szCs w:val="24"/>
        </w:rPr>
        <w:t>, 1:127</w:t>
      </w:r>
      <w:r w:rsidR="00B2127C" w:rsidRPr="00B036AC">
        <w:rPr>
          <w:rFonts w:asciiTheme="majorBidi" w:hAnsiTheme="majorBidi" w:cstheme="majorBidi"/>
          <w:szCs w:val="24"/>
        </w:rPr>
        <w:t xml:space="preserve"> translate:</w:t>
      </w:r>
      <w:r w:rsidRPr="00B036AC">
        <w:rPr>
          <w:rFonts w:asciiTheme="majorBidi" w:hAnsiTheme="majorBidi" w:cstheme="majorBidi"/>
          <w:szCs w:val="24"/>
        </w:rPr>
        <w:t xml:space="preserve"> “a deafening war alarm”</w:t>
      </w:r>
      <w:r w:rsidR="00B2127C" w:rsidRPr="00B036AC">
        <w:rPr>
          <w:rFonts w:asciiTheme="majorBidi" w:hAnsiTheme="majorBidi" w:cstheme="majorBidi"/>
          <w:szCs w:val="24"/>
        </w:rPr>
        <w:t>.</w:t>
      </w:r>
      <w:r w:rsidR="00FF3A88" w:rsidRPr="00B036AC">
        <w:rPr>
          <w:rFonts w:asciiTheme="majorBidi" w:hAnsiTheme="majorBidi" w:cstheme="majorBidi"/>
          <w:szCs w:val="24"/>
        </w:rPr>
        <w:t xml:space="preserve"> Geza Vermes, </w:t>
      </w:r>
      <w:r w:rsidR="00FF3A88" w:rsidRPr="00B036AC">
        <w:rPr>
          <w:rFonts w:asciiTheme="majorBidi" w:hAnsiTheme="majorBidi" w:cstheme="majorBidi"/>
          <w:i/>
          <w:iCs/>
          <w:szCs w:val="24"/>
        </w:rPr>
        <w:t>The Complete Dead Sea Scrolls in English</w:t>
      </w:r>
      <w:r w:rsidR="00FF3A88" w:rsidRPr="00B036AC">
        <w:rPr>
          <w:rFonts w:asciiTheme="majorBidi" w:hAnsiTheme="majorBidi" w:cstheme="majorBidi"/>
          <w:szCs w:val="24"/>
        </w:rPr>
        <w:t>, 171:</w:t>
      </w:r>
      <w:r w:rsidR="00B2127C" w:rsidRPr="00B036AC">
        <w:rPr>
          <w:rFonts w:asciiTheme="majorBidi" w:hAnsiTheme="majorBidi" w:cstheme="majorBidi"/>
          <w:szCs w:val="24"/>
        </w:rPr>
        <w:t xml:space="preserve"> “a mighty alarm.” Wise, Abegg, and Cook, </w:t>
      </w:r>
      <w:r w:rsidR="00B2127C" w:rsidRPr="00B036AC">
        <w:rPr>
          <w:rFonts w:asciiTheme="majorBidi" w:hAnsiTheme="majorBidi" w:cstheme="majorBidi"/>
          <w:i/>
          <w:iCs/>
          <w:spacing w:val="-4"/>
          <w:szCs w:val="24"/>
        </w:rPr>
        <w:t>The Dead Sea Scrolls: A New Translation</w:t>
      </w:r>
      <w:r w:rsidR="00B2127C" w:rsidRPr="00B036AC">
        <w:rPr>
          <w:rFonts w:asciiTheme="majorBidi" w:hAnsiTheme="majorBidi" w:cstheme="majorBidi"/>
          <w:spacing w:val="-4"/>
          <w:szCs w:val="24"/>
        </w:rPr>
        <w:t xml:space="preserve">, </w:t>
      </w:r>
      <w:r w:rsidR="00B2127C" w:rsidRPr="00B036AC">
        <w:rPr>
          <w:rFonts w:asciiTheme="majorBidi" w:hAnsiTheme="majorBidi" w:cstheme="majorBidi"/>
          <w:szCs w:val="24"/>
        </w:rPr>
        <w:t xml:space="preserve">158; Parry, Tov, and Clements, </w:t>
      </w:r>
      <w:r w:rsidR="00B2127C" w:rsidRPr="00B036AC">
        <w:rPr>
          <w:rFonts w:asciiTheme="majorBidi" w:hAnsiTheme="majorBidi" w:cstheme="majorBidi"/>
          <w:i/>
          <w:iCs/>
          <w:szCs w:val="24"/>
        </w:rPr>
        <w:t>The Dead Sea Scrolls Reader</w:t>
      </w:r>
      <w:r w:rsidR="00B2127C" w:rsidRPr="00B036AC">
        <w:rPr>
          <w:rFonts w:asciiTheme="majorBidi" w:hAnsiTheme="majorBidi" w:cstheme="majorBidi"/>
          <w:szCs w:val="24"/>
        </w:rPr>
        <w:t>, 1:255; and Holmstedt and Screnock, “Writing a Descriptive Grammar,” 80: “a great alarm.”</w:t>
      </w:r>
    </w:p>
  </w:footnote>
  <w:footnote w:id="74">
    <w:p w14:paraId="74087807" w14:textId="798B86EE" w:rsidR="00B2127C" w:rsidRPr="00B036AC" w:rsidRDefault="00B2127C">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w:t>
      </w:r>
      <w:r w:rsidR="00A24C22" w:rsidRPr="00B036AC">
        <w:rPr>
          <w:rFonts w:asciiTheme="majorBidi" w:hAnsiTheme="majorBidi" w:cstheme="majorBidi"/>
          <w:szCs w:val="24"/>
        </w:rPr>
        <w:t xml:space="preserve">The reconstruction of the Hebrew follows Qimron, </w:t>
      </w:r>
      <w:r w:rsidR="00A24C22" w:rsidRPr="00B036AC">
        <w:rPr>
          <w:rFonts w:asciiTheme="majorBidi" w:hAnsiTheme="majorBidi" w:cstheme="majorBidi" w:hint="eastAsia"/>
          <w:szCs w:val="24"/>
          <w:rtl/>
          <w:lang w:bidi="he-IL"/>
        </w:rPr>
        <w:t>מגילות</w:t>
      </w:r>
      <w:r w:rsidR="00A24C22" w:rsidRPr="00B036AC">
        <w:rPr>
          <w:rFonts w:asciiTheme="majorBidi" w:hAnsiTheme="majorBidi" w:cstheme="majorBidi"/>
          <w:szCs w:val="24"/>
          <w:rtl/>
          <w:lang w:bidi="he-IL"/>
        </w:rPr>
        <w:t xml:space="preserve"> </w:t>
      </w:r>
      <w:r w:rsidR="00A24C22" w:rsidRPr="00B036AC">
        <w:rPr>
          <w:rFonts w:asciiTheme="majorBidi" w:hAnsiTheme="majorBidi" w:cstheme="majorBidi" w:hint="eastAsia"/>
          <w:szCs w:val="24"/>
          <w:rtl/>
          <w:lang w:bidi="he-IL"/>
        </w:rPr>
        <w:t>מדבר</w:t>
      </w:r>
      <w:r w:rsidR="00A24C22" w:rsidRPr="00B036AC">
        <w:rPr>
          <w:rFonts w:asciiTheme="majorBidi" w:hAnsiTheme="majorBidi" w:cstheme="majorBidi"/>
          <w:szCs w:val="24"/>
          <w:rtl/>
          <w:lang w:bidi="he-IL"/>
        </w:rPr>
        <w:t xml:space="preserve"> </w:t>
      </w:r>
      <w:r w:rsidR="00A24C22" w:rsidRPr="00B036AC">
        <w:rPr>
          <w:rFonts w:asciiTheme="majorBidi" w:hAnsiTheme="majorBidi" w:cstheme="majorBidi" w:hint="eastAsia"/>
          <w:szCs w:val="24"/>
          <w:rtl/>
          <w:lang w:bidi="he-IL"/>
        </w:rPr>
        <w:t>יהודה</w:t>
      </w:r>
      <w:r w:rsidR="00A24C22" w:rsidRPr="00B036AC">
        <w:rPr>
          <w:rFonts w:asciiTheme="majorBidi" w:hAnsiTheme="majorBidi" w:cstheme="majorBidi"/>
          <w:szCs w:val="24"/>
        </w:rPr>
        <w:t xml:space="preserve">, 1:128. For the interpretation and translation, see </w:t>
      </w:r>
      <w:r w:rsidRPr="00B036AC">
        <w:rPr>
          <w:rFonts w:asciiTheme="majorBidi" w:hAnsiTheme="majorBidi" w:cstheme="majorBidi"/>
          <w:szCs w:val="24"/>
        </w:rPr>
        <w:t xml:space="preserve">Duhaime, “War Scroll,” 113: “a great sound”; García Martínez, </w:t>
      </w:r>
      <w:r w:rsidRPr="00B036AC">
        <w:rPr>
          <w:rFonts w:asciiTheme="majorBidi" w:hAnsiTheme="majorBidi" w:cstheme="majorBidi"/>
          <w:i/>
          <w:iCs/>
          <w:szCs w:val="24"/>
        </w:rPr>
        <w:t>The Dead Sea Scrolls Translated</w:t>
      </w:r>
      <w:r w:rsidRPr="00B036AC">
        <w:rPr>
          <w:rFonts w:asciiTheme="majorBidi" w:hAnsiTheme="majorBidi" w:cstheme="majorBidi"/>
          <w:szCs w:val="24"/>
        </w:rPr>
        <w:t xml:space="preserve">, 111 and García Martínez and Tigchelaar, </w:t>
      </w:r>
      <w:r w:rsidRPr="00B036AC">
        <w:rPr>
          <w:rFonts w:asciiTheme="majorBidi" w:hAnsiTheme="majorBidi" w:cstheme="majorBidi"/>
          <w:i/>
          <w:iCs/>
          <w:szCs w:val="24"/>
        </w:rPr>
        <w:t>Dead Sea Scrolls Study Edition</w:t>
      </w:r>
      <w:r w:rsidRPr="00B036AC">
        <w:rPr>
          <w:rFonts w:asciiTheme="majorBidi" w:hAnsiTheme="majorBidi" w:cstheme="majorBidi"/>
          <w:szCs w:val="24"/>
        </w:rPr>
        <w:t xml:space="preserve">, 1:127: “a deafening noise”; </w:t>
      </w:r>
      <w:r w:rsidR="00E367BE" w:rsidRPr="00B036AC">
        <w:rPr>
          <w:rFonts w:asciiTheme="majorBidi" w:hAnsiTheme="majorBidi" w:cstheme="majorBidi"/>
          <w:szCs w:val="24"/>
        </w:rPr>
        <w:t xml:space="preserve">Geza Vermes, </w:t>
      </w:r>
      <w:r w:rsidR="00E367BE" w:rsidRPr="00B036AC">
        <w:rPr>
          <w:rFonts w:asciiTheme="majorBidi" w:hAnsiTheme="majorBidi" w:cstheme="majorBidi"/>
          <w:i/>
          <w:iCs/>
          <w:szCs w:val="24"/>
        </w:rPr>
        <w:t>The Complete Dead Sea Scrolls in English</w:t>
      </w:r>
      <w:r w:rsidR="00E367BE" w:rsidRPr="00B036AC">
        <w:rPr>
          <w:rFonts w:asciiTheme="majorBidi" w:hAnsiTheme="majorBidi" w:cstheme="majorBidi"/>
          <w:szCs w:val="24"/>
        </w:rPr>
        <w:t>, 180:</w:t>
      </w:r>
      <w:r w:rsidRPr="00B036AC">
        <w:rPr>
          <w:rFonts w:asciiTheme="majorBidi" w:hAnsiTheme="majorBidi" w:cstheme="majorBidi"/>
          <w:szCs w:val="24"/>
        </w:rPr>
        <w:t xml:space="preserve"> “a mighty clamour”; Wise, Abegg, and Cook, </w:t>
      </w:r>
      <w:r w:rsidRPr="00B036AC">
        <w:rPr>
          <w:rFonts w:asciiTheme="majorBidi" w:hAnsiTheme="majorBidi" w:cstheme="majorBidi"/>
          <w:i/>
          <w:iCs/>
          <w:spacing w:val="-4"/>
          <w:szCs w:val="24"/>
        </w:rPr>
        <w:t>The Dead Sea Scrolls: A New Translation</w:t>
      </w:r>
      <w:r w:rsidRPr="00B036AC">
        <w:rPr>
          <w:rFonts w:asciiTheme="majorBidi" w:hAnsiTheme="majorBidi" w:cstheme="majorBidi"/>
          <w:spacing w:val="-4"/>
          <w:szCs w:val="24"/>
        </w:rPr>
        <w:t xml:space="preserve">, </w:t>
      </w:r>
      <w:r w:rsidRPr="00B036AC">
        <w:rPr>
          <w:rFonts w:asciiTheme="majorBidi" w:hAnsiTheme="majorBidi" w:cstheme="majorBidi"/>
          <w:szCs w:val="24"/>
        </w:rPr>
        <w:t xml:space="preserve">165, as well as Parry, Tov, and Clements, </w:t>
      </w:r>
      <w:r w:rsidRPr="00B036AC">
        <w:rPr>
          <w:rFonts w:asciiTheme="majorBidi" w:hAnsiTheme="majorBidi" w:cstheme="majorBidi"/>
          <w:i/>
          <w:iCs/>
          <w:szCs w:val="24"/>
        </w:rPr>
        <w:t>The Dead Sea Scrolls Reader</w:t>
      </w:r>
      <w:r w:rsidRPr="00B036AC">
        <w:rPr>
          <w:rFonts w:asciiTheme="majorBidi" w:hAnsiTheme="majorBidi" w:cstheme="majorBidi"/>
          <w:szCs w:val="24"/>
        </w:rPr>
        <w:t>, 1:269: “a loud noise.”</w:t>
      </w:r>
    </w:p>
  </w:footnote>
  <w:footnote w:id="75">
    <w:p w14:paraId="7AFBC64B" w14:textId="260A0DD5" w:rsidR="00FE3ECB" w:rsidRPr="00B036AC" w:rsidRDefault="00FE3ECB">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Stallman, “Levi and Levites,” 175; Duhaime, “War Scroll,” 113, 115, 131, 135; García Martínez, </w:t>
      </w:r>
      <w:r w:rsidRPr="00B036AC">
        <w:rPr>
          <w:rFonts w:asciiTheme="majorBidi" w:hAnsiTheme="majorBidi" w:cstheme="majorBidi"/>
          <w:i/>
          <w:iCs/>
          <w:szCs w:val="24"/>
        </w:rPr>
        <w:t>The Dead Sea Scrolls Translated</w:t>
      </w:r>
      <w:r w:rsidRPr="00B036AC">
        <w:rPr>
          <w:rFonts w:asciiTheme="majorBidi" w:hAnsiTheme="majorBidi" w:cstheme="majorBidi"/>
          <w:szCs w:val="24"/>
        </w:rPr>
        <w:t>, 101, 111, 11</w:t>
      </w:r>
      <w:r w:rsidR="003A547E" w:rsidRPr="00B036AC">
        <w:rPr>
          <w:rFonts w:asciiTheme="majorBidi" w:hAnsiTheme="majorBidi" w:cstheme="majorBidi"/>
          <w:szCs w:val="24"/>
        </w:rPr>
        <w:t>3</w:t>
      </w:r>
      <w:r w:rsidRPr="00B036AC">
        <w:rPr>
          <w:rFonts w:asciiTheme="majorBidi" w:hAnsiTheme="majorBidi" w:cstheme="majorBidi"/>
          <w:szCs w:val="24"/>
        </w:rPr>
        <w:t xml:space="preserve">; </w:t>
      </w:r>
      <w:r w:rsidR="004F77A9" w:rsidRPr="00B036AC">
        <w:rPr>
          <w:rFonts w:asciiTheme="majorBidi" w:hAnsiTheme="majorBidi" w:cstheme="majorBidi"/>
          <w:spacing w:val="-4"/>
          <w:szCs w:val="24"/>
        </w:rPr>
        <w:t xml:space="preserve">Geza Vermes, </w:t>
      </w:r>
      <w:r w:rsidR="004F77A9" w:rsidRPr="00B036AC">
        <w:rPr>
          <w:rFonts w:asciiTheme="majorBidi" w:hAnsiTheme="majorBidi" w:cstheme="majorBidi"/>
          <w:i/>
          <w:iCs/>
          <w:spacing w:val="-4"/>
          <w:szCs w:val="24"/>
        </w:rPr>
        <w:t>The Dead Sea Scrolls in English</w:t>
      </w:r>
      <w:r w:rsidR="004F77A9" w:rsidRPr="00B036AC">
        <w:rPr>
          <w:rFonts w:asciiTheme="majorBidi" w:hAnsiTheme="majorBidi" w:cstheme="majorBidi"/>
          <w:spacing w:val="-4"/>
          <w:szCs w:val="24"/>
        </w:rPr>
        <w:t xml:space="preserve">, </w:t>
      </w:r>
      <w:r w:rsidRPr="00B036AC">
        <w:rPr>
          <w:rFonts w:asciiTheme="majorBidi" w:hAnsiTheme="majorBidi" w:cstheme="majorBidi"/>
          <w:szCs w:val="24"/>
        </w:rPr>
        <w:t>133</w:t>
      </w:r>
      <w:r w:rsidRPr="00B036AC">
        <w:rPr>
          <w:rFonts w:asciiTheme="majorBidi" w:hAnsiTheme="majorBidi" w:cstheme="majorBidi"/>
          <w:szCs w:val="24"/>
          <w:rtl/>
        </w:rPr>
        <w:t>–</w:t>
      </w:r>
      <w:r w:rsidRPr="00B036AC">
        <w:rPr>
          <w:rFonts w:asciiTheme="majorBidi" w:hAnsiTheme="majorBidi" w:cstheme="majorBidi"/>
          <w:szCs w:val="24"/>
        </w:rPr>
        <w:t>34, 142</w:t>
      </w:r>
      <w:r w:rsidRPr="00B036AC">
        <w:rPr>
          <w:rFonts w:asciiTheme="majorBidi" w:hAnsiTheme="majorBidi" w:cstheme="majorBidi"/>
          <w:szCs w:val="24"/>
          <w:rtl/>
        </w:rPr>
        <w:t>–</w:t>
      </w:r>
      <w:r w:rsidRPr="00B036AC">
        <w:rPr>
          <w:rFonts w:asciiTheme="majorBidi" w:hAnsiTheme="majorBidi" w:cstheme="majorBidi"/>
          <w:szCs w:val="24"/>
        </w:rPr>
        <w:t xml:space="preserve">43; Clines, </w:t>
      </w:r>
      <w:r w:rsidRPr="00B036AC">
        <w:rPr>
          <w:rFonts w:asciiTheme="majorBidi" w:hAnsiTheme="majorBidi" w:cstheme="majorBidi"/>
          <w:i/>
          <w:iCs/>
          <w:szCs w:val="24"/>
        </w:rPr>
        <w:t>Dictionary</w:t>
      </w:r>
      <w:r w:rsidRPr="00B036AC">
        <w:rPr>
          <w:rFonts w:asciiTheme="majorBidi" w:hAnsiTheme="majorBidi" w:cstheme="majorBidi"/>
          <w:szCs w:val="24"/>
        </w:rPr>
        <w:t xml:space="preserve">, 3:330; 7:220; Wise, Abegg, and Cook, </w:t>
      </w:r>
      <w:r w:rsidRPr="00B036AC">
        <w:rPr>
          <w:rFonts w:asciiTheme="majorBidi" w:hAnsiTheme="majorBidi" w:cstheme="majorBidi"/>
          <w:i/>
          <w:iCs/>
          <w:spacing w:val="-4"/>
          <w:szCs w:val="24"/>
        </w:rPr>
        <w:t>The Dead Sea Scrolls: A New Translation</w:t>
      </w:r>
      <w:r w:rsidRPr="00B036AC">
        <w:rPr>
          <w:rFonts w:asciiTheme="majorBidi" w:hAnsiTheme="majorBidi" w:cstheme="majorBidi"/>
          <w:spacing w:val="-4"/>
          <w:szCs w:val="24"/>
        </w:rPr>
        <w:t>, 158, 165</w:t>
      </w:r>
      <w:r w:rsidRPr="00B036AC">
        <w:rPr>
          <w:rFonts w:asciiTheme="majorBidi" w:hAnsiTheme="majorBidi" w:cstheme="majorBidi"/>
          <w:szCs w:val="24"/>
          <w:rtl/>
        </w:rPr>
        <w:t>–</w:t>
      </w:r>
      <w:r w:rsidRPr="00B036AC">
        <w:rPr>
          <w:rFonts w:asciiTheme="majorBidi" w:hAnsiTheme="majorBidi" w:cstheme="majorBidi"/>
          <w:szCs w:val="24"/>
        </w:rPr>
        <w:t xml:space="preserve">66; García Martínez and Tigchelaar, </w:t>
      </w:r>
      <w:r w:rsidRPr="00B036AC">
        <w:rPr>
          <w:rFonts w:asciiTheme="majorBidi" w:hAnsiTheme="majorBidi" w:cstheme="majorBidi"/>
          <w:i/>
          <w:iCs/>
          <w:szCs w:val="24"/>
        </w:rPr>
        <w:t>Dead Sea Scrolls Study Edition</w:t>
      </w:r>
      <w:r w:rsidRPr="00B036AC">
        <w:rPr>
          <w:rFonts w:asciiTheme="majorBidi" w:hAnsiTheme="majorBidi" w:cstheme="majorBidi"/>
          <w:szCs w:val="24"/>
        </w:rPr>
        <w:t xml:space="preserve">, 1:127, 139, 141; Abegg, Bowley, and Cook, </w:t>
      </w:r>
      <w:r w:rsidRPr="00B036AC">
        <w:rPr>
          <w:rFonts w:asciiTheme="majorBidi" w:hAnsiTheme="majorBidi" w:cstheme="majorBidi"/>
          <w:i/>
          <w:iCs/>
          <w:szCs w:val="24"/>
        </w:rPr>
        <w:t>Concordance, Vol. 1</w:t>
      </w:r>
      <w:r w:rsidRPr="00B036AC">
        <w:rPr>
          <w:rFonts w:asciiTheme="majorBidi" w:hAnsiTheme="majorBidi" w:cstheme="majorBidi"/>
          <w:szCs w:val="24"/>
        </w:rPr>
        <w:t xml:space="preserve">, 1:508; Yishay, </w:t>
      </w:r>
      <w:r w:rsidRPr="00B036AC">
        <w:rPr>
          <w:rFonts w:asciiTheme="majorBidi" w:hAnsiTheme="majorBidi" w:cstheme="majorBidi" w:hint="eastAsia"/>
          <w:szCs w:val="24"/>
          <w:rtl/>
          <w:lang w:bidi="he-IL"/>
        </w:rPr>
        <w:t>ספרות</w:t>
      </w:r>
      <w:r w:rsidRPr="00B036AC">
        <w:rPr>
          <w:rFonts w:asciiTheme="majorBidi" w:hAnsiTheme="majorBidi" w:cstheme="majorBidi"/>
          <w:szCs w:val="24"/>
          <w:rtl/>
        </w:rPr>
        <w:t xml:space="preserve"> </w:t>
      </w:r>
      <w:r w:rsidRPr="00B036AC">
        <w:rPr>
          <w:rFonts w:asciiTheme="majorBidi" w:hAnsiTheme="majorBidi" w:cstheme="majorBidi" w:hint="eastAsia"/>
          <w:szCs w:val="24"/>
          <w:rtl/>
          <w:lang w:bidi="he-IL"/>
        </w:rPr>
        <w:t>המלחמה</w:t>
      </w:r>
      <w:r w:rsidRPr="00B036AC">
        <w:rPr>
          <w:rFonts w:asciiTheme="majorBidi" w:hAnsiTheme="majorBidi" w:cstheme="majorBidi"/>
          <w:szCs w:val="24"/>
        </w:rPr>
        <w:t xml:space="preserve">, 166; Screnock, “Word Order,” 36; Parry, Tov, and Clements, eds., </w:t>
      </w:r>
      <w:r w:rsidRPr="00B036AC">
        <w:rPr>
          <w:rFonts w:asciiTheme="majorBidi" w:hAnsiTheme="majorBidi" w:cstheme="majorBidi"/>
          <w:i/>
          <w:iCs/>
          <w:szCs w:val="24"/>
        </w:rPr>
        <w:t>The Dead Sea Scrolls Reader</w:t>
      </w:r>
      <w:r w:rsidRPr="00B036AC">
        <w:rPr>
          <w:rFonts w:asciiTheme="majorBidi" w:hAnsiTheme="majorBidi" w:cstheme="majorBidi"/>
          <w:szCs w:val="24"/>
        </w:rPr>
        <w:t>, 1: 255, 269, 271; Holmstedt and Screnock, “Writing a Descriptive Grammar,” 90.</w:t>
      </w:r>
    </w:p>
  </w:footnote>
  <w:footnote w:id="76">
    <w:p w14:paraId="309D504C" w14:textId="171BB8A5" w:rsidR="00266D84" w:rsidRPr="00B036AC" w:rsidRDefault="00266D84">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Kennedy, Kennedy, and Rutherford-Johnson, </w:t>
      </w:r>
      <w:r w:rsidRPr="00B036AC">
        <w:rPr>
          <w:rFonts w:asciiTheme="majorBidi" w:hAnsiTheme="majorBidi" w:cstheme="majorBidi"/>
          <w:i/>
          <w:iCs/>
          <w:szCs w:val="24"/>
        </w:rPr>
        <w:t>Dictionary of Music</w:t>
      </w:r>
      <w:r w:rsidRPr="00B036AC">
        <w:rPr>
          <w:rFonts w:asciiTheme="majorBidi" w:hAnsiTheme="majorBidi" w:cstheme="majorBidi"/>
          <w:szCs w:val="24"/>
        </w:rPr>
        <w:t>, 640.</w:t>
      </w:r>
    </w:p>
  </w:footnote>
  <w:footnote w:id="77">
    <w:p w14:paraId="5155FBC7" w14:textId="2F122163" w:rsidR="00266D84" w:rsidRPr="00283890" w:rsidRDefault="00266D84">
      <w:pPr>
        <w:pStyle w:val="FootnoteText"/>
        <w:rPr>
          <w:rFonts w:asciiTheme="majorBidi" w:hAnsiTheme="majorBidi" w:cstheme="majorBidi"/>
          <w:szCs w:val="24"/>
          <w:rtl/>
          <w:lang w:bidi="he-IL"/>
        </w:rPr>
      </w:pPr>
      <w:r w:rsidRPr="00283890">
        <w:rPr>
          <w:rStyle w:val="FootnoteReference"/>
          <w:rFonts w:asciiTheme="majorBidi" w:hAnsiTheme="majorBidi" w:cstheme="majorBidi"/>
          <w:szCs w:val="24"/>
        </w:rPr>
        <w:footnoteRef/>
      </w:r>
      <w:r w:rsidRPr="00283890">
        <w:rPr>
          <w:rFonts w:asciiTheme="majorBidi" w:hAnsiTheme="majorBidi" w:cstheme="majorBidi"/>
          <w:szCs w:val="24"/>
        </w:rPr>
        <w:t xml:space="preserve"> </w:t>
      </w:r>
      <w:r w:rsidR="0037547C" w:rsidRPr="00283890">
        <w:rPr>
          <w:rFonts w:asciiTheme="majorBidi" w:hAnsiTheme="majorBidi" w:cstheme="majorBidi"/>
          <w:szCs w:val="24"/>
        </w:rPr>
        <w:t xml:space="preserve">Yadin, </w:t>
      </w:r>
      <w:r w:rsidR="0037547C" w:rsidRPr="00283890">
        <w:rPr>
          <w:rFonts w:asciiTheme="majorBidi" w:hAnsiTheme="majorBidi" w:cstheme="majorBidi"/>
          <w:i/>
          <w:iCs/>
          <w:szCs w:val="24"/>
        </w:rPr>
        <w:t>The Scroll of the War</w:t>
      </w:r>
      <w:r w:rsidR="0037547C" w:rsidRPr="00283890">
        <w:rPr>
          <w:rFonts w:asciiTheme="majorBidi" w:hAnsiTheme="majorBidi" w:cstheme="majorBidi"/>
          <w:szCs w:val="24"/>
        </w:rPr>
        <w:t>, 107–108, 160.</w:t>
      </w:r>
    </w:p>
  </w:footnote>
  <w:footnote w:id="78">
    <w:p w14:paraId="54B7195B" w14:textId="77777777" w:rsidR="003068C2" w:rsidRPr="00B036AC" w:rsidRDefault="003068C2">
      <w:pPr>
        <w:pStyle w:val="FootnoteText"/>
        <w:rPr>
          <w:rFonts w:asciiTheme="majorBidi" w:hAnsiTheme="majorBidi" w:cstheme="majorBidi"/>
          <w:szCs w:val="24"/>
        </w:rPr>
      </w:pPr>
      <w:r w:rsidRPr="00283890">
        <w:rPr>
          <w:rStyle w:val="FootnoteReference"/>
          <w:rFonts w:asciiTheme="majorBidi" w:hAnsiTheme="majorBidi" w:cstheme="majorBidi"/>
          <w:szCs w:val="24"/>
        </w:rPr>
        <w:footnoteRef/>
      </w:r>
      <w:r w:rsidRPr="00283890">
        <w:rPr>
          <w:rFonts w:asciiTheme="majorBidi" w:hAnsiTheme="majorBidi" w:cstheme="majorBidi"/>
          <w:szCs w:val="24"/>
        </w:rPr>
        <w:t xml:space="preserve"> </w:t>
      </w:r>
      <w:r w:rsidRPr="00283890">
        <w:rPr>
          <w:rFonts w:asciiTheme="majorBidi" w:hAnsiTheme="majorBidi" w:cstheme="majorBidi"/>
          <w:i/>
          <w:iCs/>
          <w:szCs w:val="24"/>
        </w:rPr>
        <w:t>HALOT</w:t>
      </w:r>
      <w:r w:rsidRPr="00283890">
        <w:rPr>
          <w:rFonts w:asciiTheme="majorBidi" w:hAnsiTheme="majorBidi" w:cstheme="majorBidi"/>
          <w:szCs w:val="24"/>
        </w:rPr>
        <w:t xml:space="preserve"> 1:361; Even-Shoshan, </w:t>
      </w:r>
      <w:r w:rsidRPr="00283890">
        <w:rPr>
          <w:rFonts w:asciiTheme="majorBidi" w:hAnsiTheme="majorBidi" w:cstheme="majorBidi" w:hint="eastAsia"/>
          <w:szCs w:val="24"/>
          <w:rtl/>
          <w:lang w:bidi="he-IL"/>
        </w:rPr>
        <w:t>קונקורדנציה</w:t>
      </w:r>
      <w:r w:rsidRPr="00283890">
        <w:rPr>
          <w:rFonts w:asciiTheme="majorBidi" w:hAnsiTheme="majorBidi" w:cstheme="majorBidi"/>
          <w:szCs w:val="24"/>
        </w:rPr>
        <w:t xml:space="preserve">, </w:t>
      </w:r>
      <w:r w:rsidRPr="00283890">
        <w:rPr>
          <w:rFonts w:asciiTheme="majorBidi" w:hAnsiTheme="majorBidi" w:cstheme="majorBidi"/>
          <w:color w:val="FF0000"/>
          <w:szCs w:val="24"/>
        </w:rPr>
        <w:t>405</w:t>
      </w:r>
      <w:r w:rsidRPr="00283890">
        <w:rPr>
          <w:rFonts w:asciiTheme="majorBidi" w:hAnsiTheme="majorBidi" w:cstheme="majorBidi"/>
          <w:szCs w:val="24"/>
        </w:rPr>
        <w:t xml:space="preserve">; Clines, </w:t>
      </w:r>
      <w:r w:rsidRPr="00283890">
        <w:rPr>
          <w:rFonts w:asciiTheme="majorBidi" w:hAnsiTheme="majorBidi" w:cstheme="majorBidi"/>
          <w:i/>
          <w:iCs/>
          <w:szCs w:val="24"/>
        </w:rPr>
        <w:t>Dictionary</w:t>
      </w:r>
      <w:r w:rsidRPr="00283890">
        <w:rPr>
          <w:rFonts w:asciiTheme="majorBidi" w:hAnsiTheme="majorBidi" w:cstheme="majorBidi"/>
          <w:szCs w:val="24"/>
        </w:rPr>
        <w:t xml:space="preserve">, </w:t>
      </w:r>
      <w:r w:rsidRPr="00B036AC">
        <w:rPr>
          <w:rFonts w:asciiTheme="majorBidi" w:hAnsiTheme="majorBidi" w:cstheme="majorBidi"/>
          <w:szCs w:val="24"/>
        </w:rPr>
        <w:t xml:space="preserve">3:330; Kaddari, </w:t>
      </w:r>
      <w:r w:rsidRPr="00B036AC">
        <w:rPr>
          <w:rFonts w:asciiTheme="majorBidi" w:hAnsiTheme="majorBidi" w:cstheme="majorBidi"/>
          <w:szCs w:val="24"/>
          <w:rtl/>
          <w:lang w:bidi="he-IL"/>
        </w:rPr>
        <w:t>מילון</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העברית</w:t>
      </w:r>
      <w:r w:rsidRPr="00B036AC">
        <w:rPr>
          <w:rFonts w:asciiTheme="majorBidi" w:hAnsiTheme="majorBidi" w:cstheme="majorBidi"/>
          <w:szCs w:val="24"/>
        </w:rPr>
        <w:t>, 361.</w:t>
      </w:r>
    </w:p>
  </w:footnote>
  <w:footnote w:id="79">
    <w:p w14:paraId="0F549DAA" w14:textId="77777777" w:rsidR="003068C2" w:rsidRPr="00B036AC" w:rsidRDefault="003068C2">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The initial translation is from Parry, Tov, and Clements, </w:t>
      </w:r>
      <w:r w:rsidRPr="00B036AC">
        <w:rPr>
          <w:rFonts w:asciiTheme="majorBidi" w:hAnsiTheme="majorBidi" w:cstheme="majorBidi"/>
          <w:i/>
          <w:iCs/>
          <w:szCs w:val="24"/>
        </w:rPr>
        <w:t>The Dead Sea Scrolls Reader</w:t>
      </w:r>
      <w:r w:rsidRPr="00B036AC">
        <w:rPr>
          <w:rFonts w:asciiTheme="majorBidi" w:hAnsiTheme="majorBidi" w:cstheme="majorBidi"/>
          <w:szCs w:val="24"/>
        </w:rPr>
        <w:t>, 1:243; the second translation is an alternative possibility, as discussed in this section.</w:t>
      </w:r>
    </w:p>
  </w:footnote>
  <w:footnote w:id="80">
    <w:p w14:paraId="48BAD94B" w14:textId="77777777" w:rsidR="003068C2" w:rsidRPr="00B036AC" w:rsidRDefault="003068C2">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Habermann, </w:t>
      </w:r>
      <w:r w:rsidRPr="00B036AC">
        <w:rPr>
          <w:rFonts w:asciiTheme="majorBidi" w:hAnsiTheme="majorBidi" w:cstheme="majorBidi" w:hint="eastAsia"/>
          <w:szCs w:val="24"/>
          <w:rtl/>
          <w:lang w:bidi="he-IL"/>
        </w:rPr>
        <w:t>מגילות</w:t>
      </w:r>
      <w:r w:rsidRPr="00B036AC">
        <w:rPr>
          <w:rFonts w:asciiTheme="majorBidi" w:hAnsiTheme="majorBidi" w:cstheme="majorBidi"/>
          <w:szCs w:val="24"/>
        </w:rPr>
        <w:t xml:space="preserve">, 198; Duhaime, “War Scroll,” 97; García Martínez, </w:t>
      </w:r>
      <w:r w:rsidRPr="00B036AC">
        <w:rPr>
          <w:rFonts w:asciiTheme="majorBidi" w:hAnsiTheme="majorBidi" w:cstheme="majorBidi"/>
          <w:i/>
          <w:iCs/>
          <w:szCs w:val="24"/>
        </w:rPr>
        <w:t>The Dead Sea Scrolls Translated</w:t>
      </w:r>
      <w:r w:rsidRPr="00B036AC">
        <w:rPr>
          <w:rFonts w:asciiTheme="majorBidi" w:hAnsiTheme="majorBidi" w:cstheme="majorBidi"/>
          <w:szCs w:val="24"/>
        </w:rPr>
        <w:t xml:space="preserve">, 95; Wise, Abegg, and Cook, </w:t>
      </w:r>
      <w:r w:rsidRPr="00B036AC">
        <w:rPr>
          <w:rFonts w:asciiTheme="majorBidi" w:hAnsiTheme="majorBidi" w:cstheme="majorBidi"/>
          <w:i/>
          <w:iCs/>
          <w:spacing w:val="-4"/>
          <w:szCs w:val="24"/>
        </w:rPr>
        <w:t>The Dead Sea Scrolls: A New Translation</w:t>
      </w:r>
      <w:r w:rsidRPr="00B036AC">
        <w:rPr>
          <w:rFonts w:asciiTheme="majorBidi" w:hAnsiTheme="majorBidi" w:cstheme="majorBidi"/>
          <w:spacing w:val="-4"/>
          <w:szCs w:val="24"/>
        </w:rPr>
        <w:t xml:space="preserve">, 152; </w:t>
      </w:r>
      <w:r w:rsidRPr="00B036AC">
        <w:rPr>
          <w:rFonts w:asciiTheme="majorBidi" w:hAnsiTheme="majorBidi" w:cstheme="majorBidi"/>
          <w:szCs w:val="24"/>
        </w:rPr>
        <w:t xml:space="preserve">García Martínez and Tigchelaar, </w:t>
      </w:r>
      <w:r w:rsidRPr="00B036AC">
        <w:rPr>
          <w:rFonts w:asciiTheme="majorBidi" w:hAnsiTheme="majorBidi" w:cstheme="majorBidi"/>
          <w:i/>
          <w:iCs/>
          <w:szCs w:val="24"/>
        </w:rPr>
        <w:t>Dead Sea Scrolls Study Edition</w:t>
      </w:r>
      <w:r w:rsidRPr="00B036AC">
        <w:rPr>
          <w:rFonts w:asciiTheme="majorBidi" w:hAnsiTheme="majorBidi" w:cstheme="majorBidi"/>
          <w:szCs w:val="24"/>
        </w:rPr>
        <w:t xml:space="preserve">, 1:115; Schultz, </w:t>
      </w:r>
      <w:r w:rsidRPr="00B036AC">
        <w:rPr>
          <w:rFonts w:asciiTheme="majorBidi" w:hAnsiTheme="majorBidi" w:cstheme="majorBidi"/>
          <w:i/>
          <w:iCs/>
          <w:szCs w:val="24"/>
        </w:rPr>
        <w:t>Conquering the World,</w:t>
      </w:r>
      <w:r w:rsidRPr="00B036AC">
        <w:rPr>
          <w:rFonts w:asciiTheme="majorBidi" w:hAnsiTheme="majorBidi" w:cstheme="majorBidi"/>
          <w:szCs w:val="24"/>
        </w:rPr>
        <w:t xml:space="preserve"> 98; Parry, Tov, and Clements, </w:t>
      </w:r>
      <w:r w:rsidRPr="00B036AC">
        <w:rPr>
          <w:rFonts w:asciiTheme="majorBidi" w:hAnsiTheme="majorBidi" w:cstheme="majorBidi"/>
          <w:i/>
          <w:iCs/>
          <w:szCs w:val="24"/>
        </w:rPr>
        <w:t>The Dead Sea Scrolls Reader</w:t>
      </w:r>
      <w:r w:rsidRPr="00B036AC">
        <w:rPr>
          <w:rFonts w:asciiTheme="majorBidi" w:hAnsiTheme="majorBidi" w:cstheme="majorBidi"/>
          <w:szCs w:val="24"/>
        </w:rPr>
        <w:t>, 1:243.</w:t>
      </w:r>
    </w:p>
  </w:footnote>
  <w:footnote w:id="81">
    <w:p w14:paraId="2BF96CCD" w14:textId="77777777" w:rsidR="00873F6E" w:rsidRPr="00B036AC" w:rsidRDefault="003068C2">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Jacob Licht, </w:t>
      </w:r>
      <w:r w:rsidRPr="00B036AC">
        <w:rPr>
          <w:rFonts w:asciiTheme="majorBidi" w:hAnsiTheme="majorBidi" w:cstheme="majorBidi" w:hint="eastAsia"/>
          <w:szCs w:val="24"/>
          <w:rtl/>
          <w:lang w:bidi="he-IL"/>
        </w:rPr>
        <w:t>מגילת</w:t>
      </w:r>
      <w:r w:rsidRPr="00B036AC">
        <w:rPr>
          <w:rFonts w:asciiTheme="majorBidi" w:hAnsiTheme="majorBidi" w:cstheme="majorBidi"/>
          <w:szCs w:val="24"/>
          <w:rtl/>
        </w:rPr>
        <w:t xml:space="preserve"> </w:t>
      </w:r>
      <w:r w:rsidRPr="00B036AC">
        <w:rPr>
          <w:rFonts w:asciiTheme="majorBidi" w:hAnsiTheme="majorBidi" w:cstheme="majorBidi" w:hint="eastAsia"/>
          <w:szCs w:val="24"/>
          <w:rtl/>
          <w:lang w:bidi="he-IL"/>
        </w:rPr>
        <w:t>ההודיות</w:t>
      </w:r>
      <w:r w:rsidRPr="00B036AC">
        <w:rPr>
          <w:rFonts w:asciiTheme="majorBidi" w:hAnsiTheme="majorBidi" w:cstheme="majorBidi"/>
          <w:szCs w:val="24"/>
          <w:rtl/>
        </w:rPr>
        <w:t xml:space="preserve"> </w:t>
      </w:r>
      <w:r w:rsidRPr="00B036AC">
        <w:rPr>
          <w:rFonts w:asciiTheme="majorBidi" w:hAnsiTheme="majorBidi" w:cstheme="majorBidi" w:hint="eastAsia"/>
          <w:szCs w:val="24"/>
          <w:rtl/>
          <w:lang w:bidi="he-IL"/>
        </w:rPr>
        <w:t>ממגילות</w:t>
      </w:r>
      <w:r w:rsidRPr="00B036AC">
        <w:rPr>
          <w:rFonts w:asciiTheme="majorBidi" w:hAnsiTheme="majorBidi" w:cstheme="majorBidi"/>
          <w:szCs w:val="24"/>
          <w:rtl/>
        </w:rPr>
        <w:t xml:space="preserve"> </w:t>
      </w:r>
      <w:r w:rsidRPr="00B036AC">
        <w:rPr>
          <w:rFonts w:asciiTheme="majorBidi" w:hAnsiTheme="majorBidi" w:cstheme="majorBidi" w:hint="eastAsia"/>
          <w:szCs w:val="24"/>
          <w:rtl/>
          <w:lang w:bidi="he-IL"/>
        </w:rPr>
        <w:t>מדבר</w:t>
      </w:r>
      <w:r w:rsidRPr="00B036AC">
        <w:rPr>
          <w:rFonts w:asciiTheme="majorBidi" w:hAnsiTheme="majorBidi" w:cstheme="majorBidi"/>
          <w:szCs w:val="24"/>
          <w:rtl/>
        </w:rPr>
        <w:t xml:space="preserve"> </w:t>
      </w:r>
      <w:r w:rsidRPr="00B036AC">
        <w:rPr>
          <w:rFonts w:asciiTheme="majorBidi" w:hAnsiTheme="majorBidi" w:cstheme="majorBidi" w:hint="eastAsia"/>
          <w:szCs w:val="24"/>
          <w:rtl/>
          <w:lang w:bidi="he-IL"/>
        </w:rPr>
        <w:t>יהודה</w:t>
      </w:r>
      <w:r w:rsidRPr="00B036AC">
        <w:rPr>
          <w:rFonts w:asciiTheme="majorBidi" w:hAnsiTheme="majorBidi" w:cstheme="majorBidi"/>
          <w:szCs w:val="24"/>
        </w:rPr>
        <w:t xml:space="preserve"> (Jerusalem: Bialik Institute, 1996), 117</w:t>
      </w:r>
      <w:r w:rsidRPr="00B036AC">
        <w:rPr>
          <w:rFonts w:asciiTheme="majorBidi" w:hAnsiTheme="majorBidi" w:cstheme="majorBidi"/>
          <w:szCs w:val="24"/>
          <w:rtl/>
        </w:rPr>
        <w:t>–</w:t>
      </w:r>
      <w:r w:rsidRPr="00B036AC">
        <w:rPr>
          <w:rFonts w:asciiTheme="majorBidi" w:hAnsiTheme="majorBidi" w:cstheme="majorBidi"/>
          <w:szCs w:val="24"/>
        </w:rPr>
        <w:t xml:space="preserve">18; </w:t>
      </w:r>
      <w:r w:rsidRPr="00B036AC">
        <w:rPr>
          <w:rFonts w:asciiTheme="majorBidi" w:hAnsiTheme="majorBidi" w:cstheme="majorBidi"/>
          <w:i/>
          <w:iCs/>
          <w:szCs w:val="24"/>
        </w:rPr>
        <w:t>HALOT</w:t>
      </w:r>
      <w:r w:rsidRPr="00B036AC">
        <w:rPr>
          <w:rFonts w:asciiTheme="majorBidi" w:hAnsiTheme="majorBidi" w:cstheme="majorBidi"/>
          <w:szCs w:val="24"/>
        </w:rPr>
        <w:t xml:space="preserve"> 1:300; </w:t>
      </w:r>
    </w:p>
    <w:p w14:paraId="432EF4ED" w14:textId="442BA5A9" w:rsidR="003068C2" w:rsidRPr="00B036AC" w:rsidRDefault="00873F6E">
      <w:pPr>
        <w:pStyle w:val="FootnoteText"/>
        <w:rPr>
          <w:rFonts w:asciiTheme="majorBidi" w:hAnsiTheme="majorBidi" w:cstheme="majorBidi"/>
          <w:szCs w:val="24"/>
        </w:rPr>
      </w:pPr>
      <w:r w:rsidRPr="00B036AC">
        <w:rPr>
          <w:rFonts w:asciiTheme="majorBidi" w:hAnsiTheme="majorBidi" w:cstheme="majorBidi"/>
          <w:szCs w:val="24"/>
        </w:rPr>
        <w:t>Geza Vermes, The Dead Sea Scrolls in English, 126;</w:t>
      </w:r>
      <w:r w:rsidR="003068C2" w:rsidRPr="00B036AC">
        <w:rPr>
          <w:rFonts w:asciiTheme="majorBidi" w:hAnsiTheme="majorBidi" w:cstheme="majorBidi"/>
          <w:szCs w:val="24"/>
        </w:rPr>
        <w:t xml:space="preserve"> Clines, Dictionary, 3:179.</w:t>
      </w:r>
    </w:p>
  </w:footnote>
  <w:footnote w:id="82">
    <w:p w14:paraId="20D6F73F" w14:textId="63B7716D" w:rsidR="003068C2" w:rsidRPr="00B036AC" w:rsidRDefault="003068C2">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Licht, </w:t>
      </w:r>
      <w:r w:rsidRPr="00B036AC">
        <w:rPr>
          <w:rFonts w:asciiTheme="majorBidi" w:hAnsiTheme="majorBidi" w:cstheme="majorBidi" w:hint="eastAsia"/>
          <w:szCs w:val="24"/>
          <w:rtl/>
          <w:lang w:bidi="he-IL"/>
        </w:rPr>
        <w:t>מגילת</w:t>
      </w:r>
      <w:r w:rsidRPr="00B036AC">
        <w:rPr>
          <w:rFonts w:asciiTheme="majorBidi" w:hAnsiTheme="majorBidi" w:cstheme="majorBidi"/>
          <w:szCs w:val="24"/>
          <w:rtl/>
        </w:rPr>
        <w:t xml:space="preserve"> </w:t>
      </w:r>
      <w:r w:rsidRPr="00B036AC">
        <w:rPr>
          <w:rFonts w:asciiTheme="majorBidi" w:hAnsiTheme="majorBidi" w:cstheme="majorBidi" w:hint="eastAsia"/>
          <w:szCs w:val="24"/>
          <w:rtl/>
          <w:lang w:bidi="he-IL"/>
        </w:rPr>
        <w:t>ההודיות</w:t>
      </w:r>
      <w:r w:rsidRPr="00B036AC">
        <w:rPr>
          <w:rFonts w:asciiTheme="majorBidi" w:hAnsiTheme="majorBidi" w:cstheme="majorBidi"/>
          <w:szCs w:val="24"/>
        </w:rPr>
        <w:t xml:space="preserve">, 175; García Martínez, </w:t>
      </w:r>
      <w:r w:rsidRPr="00B036AC">
        <w:rPr>
          <w:rFonts w:asciiTheme="majorBidi" w:hAnsiTheme="majorBidi" w:cstheme="majorBidi"/>
          <w:i/>
          <w:iCs/>
          <w:szCs w:val="24"/>
        </w:rPr>
        <w:t>The Dead Sea Scrolls Translated</w:t>
      </w:r>
      <w:r w:rsidRPr="00B036AC">
        <w:rPr>
          <w:rFonts w:asciiTheme="majorBidi" w:hAnsiTheme="majorBidi" w:cstheme="majorBidi"/>
          <w:szCs w:val="24"/>
        </w:rPr>
        <w:t xml:space="preserve">, 12; Elisha Qimron and James H. Charlesworth, “Rule of the Community (1QS; cf. 4QS MSS A-J, 5Q11),” in James H. Charlesworth et al., eds., </w:t>
      </w:r>
      <w:r w:rsidRPr="00B036AC">
        <w:rPr>
          <w:rFonts w:asciiTheme="majorBidi" w:hAnsiTheme="majorBidi" w:cstheme="majorBidi"/>
          <w:i/>
          <w:iCs/>
          <w:szCs w:val="24"/>
        </w:rPr>
        <w:t>The Dead Sea Scrolls</w:t>
      </w:r>
      <w:r w:rsidR="006E33C6" w:rsidRPr="00B036AC">
        <w:rPr>
          <w:rFonts w:asciiTheme="majorBidi" w:hAnsiTheme="majorBidi" w:cstheme="majorBidi"/>
          <w:i/>
          <w:iCs/>
          <w:szCs w:val="24"/>
        </w:rPr>
        <w:t xml:space="preserve">: </w:t>
      </w:r>
      <w:r w:rsidRPr="00B036AC">
        <w:rPr>
          <w:rFonts w:asciiTheme="majorBidi" w:hAnsiTheme="majorBidi" w:cstheme="majorBidi"/>
          <w:i/>
          <w:iCs/>
          <w:szCs w:val="24"/>
        </w:rPr>
        <w:t>Hebrew, Aramaic, and Greek Texts with English Translation</w:t>
      </w:r>
      <w:r w:rsidR="004A4FD0" w:rsidRPr="00B036AC">
        <w:rPr>
          <w:rFonts w:asciiTheme="majorBidi" w:hAnsiTheme="majorBidi" w:cstheme="majorBidi"/>
          <w:i/>
          <w:iCs/>
          <w:szCs w:val="24"/>
        </w:rPr>
        <w:t>. Vol. 1: Rule of the Community and Related Documents</w:t>
      </w:r>
      <w:r w:rsidRPr="00B036AC">
        <w:rPr>
          <w:rFonts w:asciiTheme="majorBidi" w:hAnsiTheme="majorBidi" w:cstheme="majorBidi"/>
          <w:szCs w:val="24"/>
        </w:rPr>
        <w:t xml:space="preserve"> (PTSDSSP 1: Tübingen: Mohr Siebeck</w:t>
      </w:r>
      <w:r w:rsidR="00CF653F" w:rsidRPr="00B036AC">
        <w:rPr>
          <w:rFonts w:asciiTheme="majorBidi" w:hAnsiTheme="majorBidi" w:cstheme="majorBidi"/>
          <w:szCs w:val="24"/>
        </w:rPr>
        <w:t xml:space="preserve">, </w:t>
      </w:r>
      <w:r w:rsidR="006E33C6" w:rsidRPr="00B036AC">
        <w:rPr>
          <w:rFonts w:asciiTheme="majorBidi" w:hAnsiTheme="majorBidi" w:cstheme="majorBidi"/>
          <w:szCs w:val="24"/>
        </w:rPr>
        <w:t>1994</w:t>
      </w:r>
      <w:r w:rsidRPr="00B036AC">
        <w:rPr>
          <w:rFonts w:asciiTheme="majorBidi" w:hAnsiTheme="majorBidi" w:cstheme="majorBidi"/>
          <w:szCs w:val="24"/>
        </w:rPr>
        <w:t xml:space="preserve">), 35; Clines, </w:t>
      </w:r>
      <w:r w:rsidRPr="00B036AC">
        <w:rPr>
          <w:rFonts w:asciiTheme="majorBidi" w:hAnsiTheme="majorBidi" w:cstheme="majorBidi"/>
          <w:i/>
          <w:iCs/>
          <w:szCs w:val="24"/>
        </w:rPr>
        <w:t>Dictionary</w:t>
      </w:r>
      <w:r w:rsidRPr="00B036AC">
        <w:rPr>
          <w:rFonts w:asciiTheme="majorBidi" w:hAnsiTheme="majorBidi" w:cstheme="majorBidi"/>
          <w:szCs w:val="24"/>
        </w:rPr>
        <w:t xml:space="preserve">, 3:179; Wise, Abegg, and Cook, </w:t>
      </w:r>
      <w:r w:rsidRPr="00B036AC">
        <w:rPr>
          <w:rFonts w:asciiTheme="majorBidi" w:hAnsiTheme="majorBidi" w:cstheme="majorBidi"/>
          <w:i/>
          <w:iCs/>
          <w:spacing w:val="-4"/>
          <w:szCs w:val="24"/>
        </w:rPr>
        <w:t>The Dead Sea Scrolls: A New Translation</w:t>
      </w:r>
      <w:r w:rsidRPr="00B036AC">
        <w:rPr>
          <w:rFonts w:asciiTheme="majorBidi" w:hAnsiTheme="majorBidi" w:cstheme="majorBidi"/>
          <w:spacing w:val="-4"/>
          <w:szCs w:val="24"/>
        </w:rPr>
        <w:t xml:space="preserve">, 137; </w:t>
      </w:r>
      <w:r w:rsidRPr="00B036AC">
        <w:rPr>
          <w:rFonts w:asciiTheme="majorBidi" w:hAnsiTheme="majorBidi" w:cstheme="majorBidi"/>
          <w:szCs w:val="24"/>
        </w:rPr>
        <w:t xml:space="preserve">García Martínez and Tigchelaar, </w:t>
      </w:r>
      <w:r w:rsidRPr="00B036AC">
        <w:rPr>
          <w:rFonts w:asciiTheme="majorBidi" w:hAnsiTheme="majorBidi" w:cstheme="majorBidi"/>
          <w:i/>
          <w:iCs/>
          <w:szCs w:val="24"/>
        </w:rPr>
        <w:t>Dead Sea Scrolls Study Edition</w:t>
      </w:r>
      <w:r w:rsidRPr="00B036AC">
        <w:rPr>
          <w:rFonts w:asciiTheme="majorBidi" w:hAnsiTheme="majorBidi" w:cstheme="majorBidi"/>
          <w:szCs w:val="24"/>
        </w:rPr>
        <w:t xml:space="preserve">, 1:89; Parry, Tov, and Clements, eds., </w:t>
      </w:r>
      <w:r w:rsidRPr="00B036AC">
        <w:rPr>
          <w:rFonts w:asciiTheme="majorBidi" w:hAnsiTheme="majorBidi" w:cstheme="majorBidi"/>
          <w:i/>
          <w:iCs/>
          <w:szCs w:val="24"/>
        </w:rPr>
        <w:t>The Dead Sea Scrolls Reader</w:t>
      </w:r>
      <w:r w:rsidRPr="00B036AC">
        <w:rPr>
          <w:rFonts w:asciiTheme="majorBidi" w:hAnsiTheme="majorBidi" w:cstheme="majorBidi"/>
          <w:szCs w:val="24"/>
        </w:rPr>
        <w:t>, 1:23.</w:t>
      </w:r>
    </w:p>
  </w:footnote>
  <w:footnote w:id="83">
    <w:p w14:paraId="06860C13" w14:textId="1382B9C5" w:rsidR="003068C2" w:rsidRPr="00B036AC" w:rsidRDefault="003068C2">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García Martínez, The Dead Sea Scrolls Translated, 331, 342; Wise, Abegg, and Cook, </w:t>
      </w:r>
      <w:r w:rsidRPr="00B036AC">
        <w:rPr>
          <w:rFonts w:asciiTheme="majorBidi" w:hAnsiTheme="majorBidi" w:cstheme="majorBidi"/>
          <w:spacing w:val="-4"/>
          <w:szCs w:val="24"/>
        </w:rPr>
        <w:t xml:space="preserve">The Dead Sea Scrolls: A New Translation, 94, 100; </w:t>
      </w:r>
      <w:r w:rsidR="00D7154D" w:rsidRPr="00B036AC">
        <w:rPr>
          <w:rFonts w:asciiTheme="majorBidi" w:hAnsiTheme="majorBidi" w:cstheme="majorBidi"/>
          <w:szCs w:val="24"/>
        </w:rPr>
        <w:t>Geza Vermes, The Complete Dead Sea Scrolls in English</w:t>
      </w:r>
      <w:r w:rsidR="00D7154D" w:rsidRPr="00B036AC">
        <w:rPr>
          <w:rFonts w:asciiTheme="majorBidi" w:hAnsiTheme="majorBidi" w:cstheme="majorBidi"/>
          <w:spacing w:val="-4"/>
          <w:szCs w:val="24"/>
        </w:rPr>
        <w:t>, 260, 273;</w:t>
      </w:r>
      <w:r w:rsidRPr="00B036AC">
        <w:rPr>
          <w:rFonts w:asciiTheme="majorBidi" w:hAnsiTheme="majorBidi" w:cstheme="majorBidi"/>
          <w:spacing w:val="-4"/>
          <w:szCs w:val="24"/>
        </w:rPr>
        <w:t xml:space="preserve"> </w:t>
      </w:r>
      <w:r w:rsidRPr="00B036AC">
        <w:rPr>
          <w:rFonts w:asciiTheme="majorBidi" w:hAnsiTheme="majorBidi" w:cstheme="majorBidi"/>
          <w:szCs w:val="24"/>
        </w:rPr>
        <w:t>García Martínez and Tigchelaar, Dead Sea Scrolls Study Edition, 1:165, 177; Parry, Tov, and Clements, eds., The Dead Sea Scrolls Reader, 2: 293, 306.</w:t>
      </w:r>
    </w:p>
  </w:footnote>
  <w:footnote w:id="84">
    <w:p w14:paraId="5F89EE5F" w14:textId="386ADAA7" w:rsidR="003068C2" w:rsidRPr="00B036AC" w:rsidRDefault="003068C2">
      <w:pPr>
        <w:pStyle w:val="FootnoteText"/>
        <w:rPr>
          <w:rFonts w:asciiTheme="majorBidi" w:hAnsiTheme="majorBidi" w:cstheme="majorBidi"/>
          <w:szCs w:val="24"/>
          <w:lang w:bidi="he-IL"/>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Licht, </w:t>
      </w:r>
      <w:r w:rsidRPr="00B036AC">
        <w:rPr>
          <w:rFonts w:asciiTheme="majorBidi" w:hAnsiTheme="majorBidi" w:cstheme="majorBidi" w:hint="eastAsia"/>
          <w:szCs w:val="24"/>
          <w:rtl/>
          <w:lang w:bidi="he-IL"/>
        </w:rPr>
        <w:t>מגילת</w:t>
      </w:r>
      <w:r w:rsidRPr="00B036AC">
        <w:rPr>
          <w:rFonts w:asciiTheme="majorBidi" w:hAnsiTheme="majorBidi" w:cstheme="majorBidi"/>
          <w:szCs w:val="24"/>
          <w:rtl/>
        </w:rPr>
        <w:t xml:space="preserve"> </w:t>
      </w:r>
      <w:r w:rsidRPr="00B036AC">
        <w:rPr>
          <w:rFonts w:asciiTheme="majorBidi" w:hAnsiTheme="majorBidi" w:cstheme="majorBidi" w:hint="eastAsia"/>
          <w:szCs w:val="24"/>
          <w:rtl/>
          <w:lang w:bidi="he-IL"/>
        </w:rPr>
        <w:t>ההודיות</w:t>
      </w:r>
      <w:r w:rsidRPr="00B036AC">
        <w:rPr>
          <w:rFonts w:asciiTheme="majorBidi" w:hAnsiTheme="majorBidi" w:cstheme="majorBidi"/>
          <w:szCs w:val="24"/>
        </w:rPr>
        <w:t>, 80, 17</w:t>
      </w:r>
      <w:r w:rsidR="0007249B" w:rsidRPr="00B036AC">
        <w:rPr>
          <w:rFonts w:asciiTheme="majorBidi" w:hAnsiTheme="majorBidi" w:cstheme="majorBidi"/>
          <w:szCs w:val="24"/>
        </w:rPr>
        <w:t xml:space="preserve">5; Clines, </w:t>
      </w:r>
      <w:r w:rsidR="0007249B" w:rsidRPr="00B036AC">
        <w:rPr>
          <w:rFonts w:asciiTheme="majorBidi" w:hAnsiTheme="majorBidi" w:cstheme="majorBidi"/>
          <w:i/>
          <w:iCs/>
          <w:szCs w:val="24"/>
        </w:rPr>
        <w:t>Dictionary</w:t>
      </w:r>
      <w:r w:rsidR="0007249B" w:rsidRPr="00B036AC">
        <w:rPr>
          <w:rFonts w:asciiTheme="majorBidi" w:hAnsiTheme="majorBidi" w:cstheme="majorBidi"/>
          <w:szCs w:val="24"/>
        </w:rPr>
        <w:t>, 3:179.</w:t>
      </w:r>
    </w:p>
  </w:footnote>
  <w:footnote w:id="85">
    <w:p w14:paraId="650BB549" w14:textId="77777777" w:rsidR="003068C2" w:rsidRPr="00B036AC" w:rsidRDefault="003068C2">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Carol A. Newsom, </w:t>
      </w:r>
      <w:r w:rsidRPr="00B036AC">
        <w:rPr>
          <w:rFonts w:asciiTheme="majorBidi" w:hAnsiTheme="majorBidi" w:cstheme="majorBidi"/>
          <w:i/>
          <w:iCs/>
          <w:szCs w:val="24"/>
        </w:rPr>
        <w:t>Songs of the Sabbath Sacrifice: A Critical Edition</w:t>
      </w:r>
      <w:r w:rsidRPr="00B036AC">
        <w:rPr>
          <w:rFonts w:asciiTheme="majorBidi" w:hAnsiTheme="majorBidi" w:cstheme="majorBidi"/>
          <w:szCs w:val="24"/>
        </w:rPr>
        <w:t xml:space="preserve"> (Atlanta: Scholars Press, 1985), 229; García Martínez, </w:t>
      </w:r>
      <w:r w:rsidRPr="00B036AC">
        <w:rPr>
          <w:rFonts w:asciiTheme="majorBidi" w:hAnsiTheme="majorBidi" w:cstheme="majorBidi"/>
          <w:i/>
          <w:iCs/>
          <w:szCs w:val="24"/>
        </w:rPr>
        <w:t>The Dead Sea Scrolls Translated</w:t>
      </w:r>
      <w:r w:rsidRPr="00B036AC">
        <w:rPr>
          <w:rFonts w:asciiTheme="majorBidi" w:hAnsiTheme="majorBidi" w:cstheme="majorBidi"/>
          <w:szCs w:val="24"/>
        </w:rPr>
        <w:t xml:space="preserve">, 423; Wise, Abegg, and Cook, </w:t>
      </w:r>
      <w:r w:rsidRPr="00B036AC">
        <w:rPr>
          <w:rFonts w:asciiTheme="majorBidi" w:hAnsiTheme="majorBidi" w:cstheme="majorBidi"/>
          <w:i/>
          <w:iCs/>
          <w:spacing w:val="-4"/>
          <w:szCs w:val="24"/>
        </w:rPr>
        <w:t>The Dead Sea Scrolls: A New Translation</w:t>
      </w:r>
      <w:r w:rsidRPr="00B036AC">
        <w:rPr>
          <w:rFonts w:asciiTheme="majorBidi" w:hAnsiTheme="majorBidi" w:cstheme="majorBidi"/>
          <w:spacing w:val="-4"/>
          <w:szCs w:val="24"/>
        </w:rPr>
        <w:t xml:space="preserve">, 372; </w:t>
      </w:r>
      <w:r w:rsidRPr="00B036AC">
        <w:rPr>
          <w:rFonts w:asciiTheme="majorBidi" w:hAnsiTheme="majorBidi" w:cstheme="majorBidi"/>
          <w:szCs w:val="24"/>
        </w:rPr>
        <w:t xml:space="preserve">García Martínez and Tigchelaar, </w:t>
      </w:r>
      <w:r w:rsidRPr="00B036AC">
        <w:rPr>
          <w:rFonts w:asciiTheme="majorBidi" w:hAnsiTheme="majorBidi" w:cstheme="majorBidi"/>
          <w:i/>
          <w:iCs/>
          <w:szCs w:val="24"/>
        </w:rPr>
        <w:t>Dead Sea Scrolls Study Edition</w:t>
      </w:r>
      <w:r w:rsidRPr="00B036AC">
        <w:rPr>
          <w:rFonts w:asciiTheme="majorBidi" w:hAnsiTheme="majorBidi" w:cstheme="majorBidi"/>
          <w:szCs w:val="24"/>
        </w:rPr>
        <w:t xml:space="preserve">, 2:821; Parry, Tov, and Clements, </w:t>
      </w:r>
      <w:r w:rsidRPr="00B036AC">
        <w:rPr>
          <w:rFonts w:asciiTheme="majorBidi" w:hAnsiTheme="majorBidi" w:cstheme="majorBidi"/>
          <w:i/>
          <w:iCs/>
          <w:szCs w:val="24"/>
        </w:rPr>
        <w:t>The Dead Sea Scrolls Reader</w:t>
      </w:r>
      <w:r w:rsidRPr="00B036AC">
        <w:rPr>
          <w:rFonts w:asciiTheme="majorBidi" w:hAnsiTheme="majorBidi" w:cstheme="majorBidi"/>
          <w:szCs w:val="24"/>
        </w:rPr>
        <w:t>, 2:589.</w:t>
      </w:r>
    </w:p>
  </w:footnote>
  <w:footnote w:id="86">
    <w:p w14:paraId="0D369DB8" w14:textId="77777777" w:rsidR="003068C2" w:rsidRPr="00B036AC" w:rsidRDefault="003068C2">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w:t>
      </w:r>
      <w:r w:rsidRPr="00B036AC">
        <w:rPr>
          <w:rFonts w:asciiTheme="majorBidi" w:hAnsiTheme="majorBidi" w:cstheme="majorBidi"/>
          <w:i/>
          <w:iCs/>
          <w:szCs w:val="24"/>
        </w:rPr>
        <w:t>HALOT</w:t>
      </w:r>
      <w:r w:rsidRPr="00B036AC">
        <w:rPr>
          <w:rFonts w:asciiTheme="majorBidi" w:hAnsiTheme="majorBidi" w:cstheme="majorBidi"/>
          <w:szCs w:val="24"/>
        </w:rPr>
        <w:t xml:space="preserve"> 1:300; Even-Shoshan, </w:t>
      </w:r>
      <w:r w:rsidRPr="00B036AC">
        <w:rPr>
          <w:rFonts w:asciiTheme="majorBidi" w:hAnsiTheme="majorBidi" w:cstheme="majorBidi"/>
          <w:szCs w:val="24"/>
          <w:rtl/>
          <w:lang w:bidi="he-IL"/>
        </w:rPr>
        <w:t>קונקורדנציה</w:t>
      </w:r>
      <w:r w:rsidRPr="00B036AC">
        <w:rPr>
          <w:rFonts w:asciiTheme="majorBidi" w:hAnsiTheme="majorBidi" w:cstheme="majorBidi"/>
          <w:szCs w:val="24"/>
        </w:rPr>
        <w:t xml:space="preserve">, </w:t>
      </w:r>
      <w:r w:rsidRPr="00B036AC">
        <w:rPr>
          <w:rFonts w:asciiTheme="majorBidi" w:hAnsiTheme="majorBidi" w:cstheme="majorBidi"/>
          <w:color w:val="FF0000"/>
          <w:szCs w:val="24"/>
        </w:rPr>
        <w:t>353</w:t>
      </w:r>
      <w:r w:rsidRPr="00B036AC">
        <w:rPr>
          <w:rFonts w:asciiTheme="majorBidi" w:hAnsiTheme="majorBidi" w:cstheme="majorBidi"/>
          <w:szCs w:val="24"/>
        </w:rPr>
        <w:t xml:space="preserve">; Clines, </w:t>
      </w:r>
      <w:r w:rsidRPr="00B036AC">
        <w:rPr>
          <w:rFonts w:asciiTheme="majorBidi" w:hAnsiTheme="majorBidi" w:cstheme="majorBidi"/>
          <w:i/>
          <w:iCs/>
          <w:szCs w:val="24"/>
        </w:rPr>
        <w:t>Dictionary</w:t>
      </w:r>
      <w:r w:rsidRPr="00B036AC">
        <w:rPr>
          <w:rFonts w:asciiTheme="majorBidi" w:hAnsiTheme="majorBidi" w:cstheme="majorBidi"/>
          <w:szCs w:val="24"/>
        </w:rPr>
        <w:t>, 3:178</w:t>
      </w:r>
      <w:r w:rsidRPr="00B036AC">
        <w:rPr>
          <w:rFonts w:asciiTheme="majorBidi" w:hAnsiTheme="majorBidi" w:cstheme="majorBidi"/>
          <w:szCs w:val="24"/>
          <w:rtl/>
        </w:rPr>
        <w:t>–</w:t>
      </w:r>
      <w:r w:rsidRPr="00B036AC">
        <w:rPr>
          <w:rFonts w:asciiTheme="majorBidi" w:hAnsiTheme="majorBidi" w:cstheme="majorBidi"/>
          <w:szCs w:val="24"/>
        </w:rPr>
        <w:t xml:space="preserve">79; Kaddari, </w:t>
      </w:r>
      <w:r w:rsidRPr="00B036AC">
        <w:rPr>
          <w:rFonts w:asciiTheme="majorBidi" w:hAnsiTheme="majorBidi" w:cstheme="majorBidi"/>
          <w:szCs w:val="24"/>
          <w:rtl/>
          <w:lang w:bidi="he-IL"/>
        </w:rPr>
        <w:t>מילון</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העברית</w:t>
      </w:r>
      <w:r w:rsidRPr="00B036AC">
        <w:rPr>
          <w:rFonts w:asciiTheme="majorBidi" w:hAnsiTheme="majorBidi" w:cstheme="majorBidi"/>
          <w:szCs w:val="24"/>
        </w:rPr>
        <w:t>, 283.</w:t>
      </w:r>
    </w:p>
  </w:footnote>
  <w:footnote w:id="87">
    <w:p w14:paraId="631C8A4A" w14:textId="1161BEEE" w:rsidR="006E33C6" w:rsidRPr="00B036AC" w:rsidRDefault="003068C2">
      <w:pPr>
        <w:rPr>
          <w:rFonts w:asciiTheme="majorBidi" w:hAnsiTheme="majorBidi" w:cstheme="majorBidi"/>
        </w:rPr>
      </w:pPr>
      <w:r w:rsidRPr="00B036AC">
        <w:rPr>
          <w:rStyle w:val="FootnoteReference"/>
          <w:rFonts w:asciiTheme="majorBidi" w:hAnsiTheme="majorBidi" w:cstheme="majorBidi"/>
        </w:rPr>
        <w:footnoteRef/>
      </w:r>
      <w:r w:rsidRPr="00B036AC">
        <w:rPr>
          <w:rFonts w:asciiTheme="majorBidi" w:hAnsiTheme="majorBidi" w:cstheme="majorBidi"/>
        </w:rPr>
        <w:t xml:space="preserve"> Segal, </w:t>
      </w:r>
      <w:r w:rsidRPr="00B036AC">
        <w:rPr>
          <w:rFonts w:asciiTheme="majorBidi" w:hAnsiTheme="majorBidi" w:cstheme="majorBidi"/>
          <w:rtl/>
          <w:lang w:bidi="he-IL"/>
        </w:rPr>
        <w:t>ספר בן סירא</w:t>
      </w:r>
      <w:r w:rsidRPr="00B036AC">
        <w:rPr>
          <w:rFonts w:asciiTheme="majorBidi" w:hAnsiTheme="majorBidi" w:cstheme="majorBidi"/>
          <w:lang w:bidi="he-IL"/>
        </w:rPr>
        <w:t xml:space="preserve">, 227; </w:t>
      </w:r>
      <w:r w:rsidRPr="00B036AC">
        <w:rPr>
          <w:rFonts w:asciiTheme="majorBidi" w:hAnsiTheme="majorBidi" w:cstheme="majorBidi"/>
          <w:i/>
          <w:iCs/>
          <w:lang w:bidi="he-IL"/>
        </w:rPr>
        <w:t>HALOT</w:t>
      </w:r>
      <w:r w:rsidRPr="00B036AC">
        <w:rPr>
          <w:rFonts w:asciiTheme="majorBidi" w:hAnsiTheme="majorBidi" w:cstheme="majorBidi"/>
          <w:lang w:bidi="he-IL"/>
        </w:rPr>
        <w:t xml:space="preserve"> 1:300; </w:t>
      </w:r>
      <w:r w:rsidRPr="00B036AC">
        <w:rPr>
          <w:rFonts w:asciiTheme="majorBidi" w:hAnsiTheme="majorBidi" w:cstheme="majorBidi"/>
        </w:rPr>
        <w:t xml:space="preserve">Clines, </w:t>
      </w:r>
      <w:r w:rsidRPr="00B036AC">
        <w:rPr>
          <w:rFonts w:asciiTheme="majorBidi" w:hAnsiTheme="majorBidi" w:cstheme="majorBidi"/>
          <w:i/>
          <w:iCs/>
        </w:rPr>
        <w:t>Dictionary</w:t>
      </w:r>
      <w:r w:rsidRPr="00B036AC">
        <w:rPr>
          <w:rFonts w:asciiTheme="majorBidi" w:hAnsiTheme="majorBidi" w:cstheme="majorBidi"/>
        </w:rPr>
        <w:t xml:space="preserve">, 3:179. However, Ben Sira 35:20 raises a similar ambiguity to the uncertainty regarding </w:t>
      </w:r>
      <w:r w:rsidRPr="00B036AC">
        <w:rPr>
          <w:rFonts w:asciiTheme="majorBidi" w:hAnsiTheme="majorBidi" w:cstheme="majorBidi"/>
          <w:rtl/>
          <w:lang w:bidi="he-IL"/>
        </w:rPr>
        <w:t>יחישו</w:t>
      </w:r>
      <w:r w:rsidRPr="00B036AC">
        <w:rPr>
          <w:rFonts w:asciiTheme="majorBidi" w:hAnsiTheme="majorBidi" w:cstheme="majorBidi"/>
        </w:rPr>
        <w:t xml:space="preserve"> and </w:t>
      </w:r>
      <w:r w:rsidRPr="00B036AC">
        <w:rPr>
          <w:rFonts w:asciiTheme="majorBidi" w:hAnsiTheme="majorBidi" w:cstheme="majorBidi"/>
          <w:rtl/>
          <w:lang w:bidi="he-IL"/>
        </w:rPr>
        <w:t>יחשו</w:t>
      </w:r>
      <w:r w:rsidRPr="00B036AC">
        <w:rPr>
          <w:rFonts w:asciiTheme="majorBidi" w:hAnsiTheme="majorBidi" w:cstheme="majorBidi"/>
        </w:rPr>
        <w:t xml:space="preserve"> in 1QM</w:t>
      </w:r>
      <w:r w:rsidR="006E33C6" w:rsidRPr="00B036AC">
        <w:rPr>
          <w:rFonts w:asciiTheme="majorBidi" w:hAnsiTheme="majorBidi" w:cstheme="majorBidi"/>
        </w:rPr>
        <w:t>: “</w:t>
      </w:r>
      <w:r w:rsidR="006E33C6" w:rsidRPr="00B036AC">
        <w:rPr>
          <w:rFonts w:asciiTheme="majorBidi" w:hAnsiTheme="majorBidi" w:cstheme="majorBidi"/>
          <w:color w:val="000000"/>
          <w:shd w:val="clear" w:color="auto" w:fill="FFFFFF"/>
        </w:rPr>
        <w:t>their petition reaches the clouds.</w:t>
      </w:r>
    </w:p>
    <w:p w14:paraId="034D5A6A" w14:textId="2A841997" w:rsidR="003068C2" w:rsidRPr="00B036AC" w:rsidRDefault="006E33C6">
      <w:pPr>
        <w:pStyle w:val="FootnoteText"/>
        <w:rPr>
          <w:rFonts w:asciiTheme="majorBidi" w:hAnsiTheme="majorBidi" w:cstheme="majorBidi"/>
          <w:szCs w:val="24"/>
        </w:rPr>
      </w:pPr>
      <w:r w:rsidRPr="00B036AC">
        <w:rPr>
          <w:rFonts w:asciiTheme="majorBidi" w:hAnsiTheme="majorBidi" w:cstheme="majorBidi"/>
          <w:szCs w:val="24"/>
          <w:rtl/>
          <w:lang w:bidi="he-IL"/>
        </w:rPr>
        <w:t>וצעקה</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ענן</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חשתה</w:t>
      </w:r>
      <w:r w:rsidRPr="00B036AC">
        <w:rPr>
          <w:rFonts w:asciiTheme="majorBidi" w:hAnsiTheme="majorBidi" w:cstheme="majorBidi"/>
          <w:szCs w:val="24"/>
        </w:rPr>
        <w:t xml:space="preserve">). </w:t>
      </w:r>
      <w:r w:rsidR="003068C2" w:rsidRPr="00B036AC">
        <w:rPr>
          <w:rFonts w:asciiTheme="majorBidi" w:hAnsiTheme="majorBidi" w:cstheme="majorBidi"/>
          <w:szCs w:val="24"/>
        </w:rPr>
        <w:t xml:space="preserve">If the root of </w:t>
      </w:r>
      <w:r w:rsidR="003068C2" w:rsidRPr="00B036AC">
        <w:rPr>
          <w:rFonts w:asciiTheme="majorBidi" w:hAnsiTheme="majorBidi" w:cstheme="majorBidi"/>
          <w:szCs w:val="24"/>
          <w:rtl/>
          <w:lang w:bidi="he-IL"/>
        </w:rPr>
        <w:t>חשתה</w:t>
      </w:r>
      <w:r w:rsidR="003068C2" w:rsidRPr="00B036AC">
        <w:rPr>
          <w:rFonts w:asciiTheme="majorBidi" w:hAnsiTheme="majorBidi" w:cstheme="majorBidi"/>
          <w:szCs w:val="24"/>
        </w:rPr>
        <w:t xml:space="preserve"> is </w:t>
      </w:r>
      <w:r w:rsidR="003068C2" w:rsidRPr="00B036AC">
        <w:rPr>
          <w:rFonts w:asciiTheme="majorBidi" w:hAnsiTheme="majorBidi" w:cstheme="majorBidi"/>
          <w:i/>
          <w:iCs/>
          <w:szCs w:val="24"/>
          <w:shd w:val="clear" w:color="auto" w:fill="FFFFFF"/>
          <w:lang w:bidi="ar"/>
        </w:rPr>
        <w:t>ḥ.w.</w:t>
      </w:r>
      <w:r w:rsidR="003068C2" w:rsidRPr="00B036AC">
        <w:rPr>
          <w:rFonts w:asciiTheme="majorBidi" w:hAnsiTheme="majorBidi" w:cstheme="majorBidi"/>
          <w:i/>
          <w:iCs/>
          <w:szCs w:val="24"/>
          <w:shd w:val="clear" w:color="auto" w:fill="F8F9FA"/>
        </w:rPr>
        <w:t>š</w:t>
      </w:r>
      <w:r w:rsidR="003068C2" w:rsidRPr="00B036AC">
        <w:rPr>
          <w:rFonts w:asciiTheme="majorBidi" w:hAnsiTheme="majorBidi" w:cstheme="majorBidi"/>
          <w:i/>
          <w:iCs/>
          <w:szCs w:val="24"/>
          <w:shd w:val="clear" w:color="auto" w:fill="FFFFFF"/>
          <w:lang w:bidi="ar"/>
        </w:rPr>
        <w:t>.</w:t>
      </w:r>
      <w:r w:rsidR="003068C2" w:rsidRPr="00B036AC">
        <w:rPr>
          <w:rFonts w:asciiTheme="majorBidi" w:hAnsiTheme="majorBidi" w:cstheme="majorBidi"/>
          <w:szCs w:val="24"/>
        </w:rPr>
        <w:t xml:space="preserve"> then this word is to be understood as signifying the speed of the rising of the shout (Segal, </w:t>
      </w:r>
      <w:r w:rsidR="003068C2" w:rsidRPr="00B036AC">
        <w:rPr>
          <w:rFonts w:asciiTheme="majorBidi" w:hAnsiTheme="majorBidi" w:cstheme="majorBidi"/>
          <w:szCs w:val="24"/>
          <w:rtl/>
          <w:lang w:bidi="he-IL"/>
        </w:rPr>
        <w:t>ספר בן סירא</w:t>
      </w:r>
      <w:r w:rsidR="003068C2" w:rsidRPr="00B036AC">
        <w:rPr>
          <w:rFonts w:asciiTheme="majorBidi" w:hAnsiTheme="majorBidi" w:cstheme="majorBidi"/>
          <w:szCs w:val="24"/>
          <w:lang w:bidi="he-IL"/>
        </w:rPr>
        <w:t>, 223; Clines</w:t>
      </w:r>
      <w:r w:rsidR="00C729FB" w:rsidRPr="00B036AC">
        <w:rPr>
          <w:rFonts w:asciiTheme="majorBidi" w:hAnsiTheme="majorBidi" w:cstheme="majorBidi"/>
          <w:szCs w:val="24"/>
          <w:lang w:bidi="he-IL"/>
        </w:rPr>
        <w:t>,</w:t>
      </w:r>
      <w:r w:rsidR="003068C2" w:rsidRPr="00B036AC">
        <w:rPr>
          <w:rFonts w:asciiTheme="majorBidi" w:hAnsiTheme="majorBidi" w:cstheme="majorBidi"/>
          <w:szCs w:val="24"/>
          <w:lang w:bidi="he-IL"/>
        </w:rPr>
        <w:t xml:space="preserve"> </w:t>
      </w:r>
      <w:r w:rsidR="003068C2" w:rsidRPr="00B036AC">
        <w:rPr>
          <w:rFonts w:asciiTheme="majorBidi" w:hAnsiTheme="majorBidi" w:cstheme="majorBidi"/>
          <w:i/>
          <w:iCs/>
          <w:szCs w:val="24"/>
        </w:rPr>
        <w:t>Dictionary</w:t>
      </w:r>
      <w:r w:rsidR="003068C2" w:rsidRPr="00B036AC">
        <w:rPr>
          <w:rFonts w:asciiTheme="majorBidi" w:hAnsiTheme="majorBidi" w:cstheme="majorBidi"/>
          <w:szCs w:val="24"/>
        </w:rPr>
        <w:t xml:space="preserve">, 3:179). If, instead, the root is </w:t>
      </w:r>
      <w:r w:rsidR="003068C2" w:rsidRPr="00B036AC">
        <w:rPr>
          <w:rFonts w:asciiTheme="majorBidi" w:hAnsiTheme="majorBidi" w:cstheme="majorBidi"/>
          <w:i/>
          <w:iCs/>
          <w:szCs w:val="24"/>
          <w:shd w:val="clear" w:color="auto" w:fill="FFFFFF"/>
          <w:lang w:bidi="ar"/>
        </w:rPr>
        <w:t>ḥ.</w:t>
      </w:r>
      <w:r w:rsidR="003068C2" w:rsidRPr="00B036AC">
        <w:rPr>
          <w:rFonts w:asciiTheme="majorBidi" w:hAnsiTheme="majorBidi" w:cstheme="majorBidi"/>
          <w:i/>
          <w:iCs/>
          <w:szCs w:val="24"/>
          <w:shd w:val="clear" w:color="auto" w:fill="F8F9FA"/>
        </w:rPr>
        <w:t>š</w:t>
      </w:r>
      <w:r w:rsidR="003068C2" w:rsidRPr="00B036AC">
        <w:rPr>
          <w:rFonts w:asciiTheme="majorBidi" w:hAnsiTheme="majorBidi" w:cstheme="majorBidi"/>
          <w:i/>
          <w:iCs/>
          <w:szCs w:val="24"/>
          <w:shd w:val="clear" w:color="auto" w:fill="FFFFFF"/>
          <w:lang w:bidi="ar"/>
        </w:rPr>
        <w:t>.h</w:t>
      </w:r>
      <w:r w:rsidR="003068C2" w:rsidRPr="00B036AC">
        <w:rPr>
          <w:rFonts w:asciiTheme="majorBidi" w:hAnsiTheme="majorBidi" w:cstheme="majorBidi"/>
          <w:szCs w:val="24"/>
        </w:rPr>
        <w:t>, then the word refers to the silencing of the shout.</w:t>
      </w:r>
    </w:p>
  </w:footnote>
  <w:footnote w:id="88">
    <w:p w14:paraId="2BA7C8EC" w14:textId="2E224751" w:rsidR="0098154B" w:rsidRPr="00B036AC" w:rsidRDefault="003068C2">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The simultaneous sounding of the two instrument classes is indicated by the conjunctive </w:t>
      </w:r>
      <w:r w:rsidRPr="00B036AC">
        <w:rPr>
          <w:rFonts w:asciiTheme="majorBidi" w:hAnsiTheme="majorBidi" w:cstheme="majorBidi"/>
          <w:i/>
          <w:iCs/>
          <w:szCs w:val="24"/>
        </w:rPr>
        <w:t>waw</w:t>
      </w:r>
      <w:r w:rsidRPr="00B036AC">
        <w:rPr>
          <w:rFonts w:asciiTheme="majorBidi" w:hAnsiTheme="majorBidi" w:cstheme="majorBidi"/>
          <w:szCs w:val="24"/>
        </w:rPr>
        <w:t xml:space="preserve"> in these two descriptions, which joins the use of the trumpets to the use of the shofarot. </w:t>
      </w:r>
      <w:r w:rsidR="00CF653F" w:rsidRPr="00B036AC">
        <w:rPr>
          <w:rFonts w:asciiTheme="majorBidi" w:hAnsiTheme="majorBidi" w:cstheme="majorBidi"/>
          <w:szCs w:val="24"/>
        </w:rPr>
        <w:t>Thus, in</w:t>
      </w:r>
      <w:r w:rsidRPr="00B036AC">
        <w:rPr>
          <w:rFonts w:asciiTheme="majorBidi" w:hAnsiTheme="majorBidi" w:cstheme="majorBidi"/>
          <w:szCs w:val="24"/>
        </w:rPr>
        <w:t xml:space="preserve"> 1QM 8:8</w:t>
      </w:r>
      <w:r w:rsidRPr="00B036AC">
        <w:rPr>
          <w:rFonts w:asciiTheme="majorBidi" w:hAnsiTheme="majorBidi" w:cstheme="majorBidi"/>
          <w:szCs w:val="24"/>
          <w:rtl/>
        </w:rPr>
        <w:t>–</w:t>
      </w:r>
      <w:r w:rsidRPr="00B036AC">
        <w:rPr>
          <w:rFonts w:asciiTheme="majorBidi" w:hAnsiTheme="majorBidi" w:cstheme="majorBidi"/>
          <w:szCs w:val="24"/>
        </w:rPr>
        <w:t xml:space="preserve">10: </w:t>
      </w:r>
      <w:r w:rsidR="00CF653F" w:rsidRPr="00B036AC">
        <w:rPr>
          <w:rFonts w:asciiTheme="majorBidi" w:hAnsiTheme="majorBidi" w:cstheme="majorBidi"/>
          <w:szCs w:val="24"/>
        </w:rPr>
        <w:t>“Then the priests shall blow on the six trumpets of the slain</w:t>
      </w:r>
      <w:r w:rsidR="00CF653F" w:rsidRPr="00B036AC">
        <w:rPr>
          <w:rStyle w:val="CommentReference"/>
          <w:rFonts w:asciiTheme="majorBidi" w:hAnsiTheme="majorBidi" w:cstheme="majorBidi"/>
          <w:sz w:val="24"/>
          <w:szCs w:val="24"/>
        </w:rPr>
        <w:annotationRef/>
      </w:r>
      <w:r w:rsidR="00CF653F" w:rsidRPr="00B036AC">
        <w:rPr>
          <w:rFonts w:asciiTheme="majorBidi" w:hAnsiTheme="majorBidi" w:cstheme="majorBidi"/>
          <w:szCs w:val="24"/>
        </w:rPr>
        <w:t xml:space="preserve">... </w:t>
      </w:r>
      <w:r w:rsidR="00CF653F" w:rsidRPr="00B036AC">
        <w:rPr>
          <w:rFonts w:asciiTheme="majorBidi" w:hAnsiTheme="majorBidi" w:cstheme="majorBidi"/>
          <w:i/>
          <w:iCs/>
          <w:szCs w:val="24"/>
        </w:rPr>
        <w:t>and</w:t>
      </w:r>
      <w:r w:rsidR="00CF653F" w:rsidRPr="00B036AC">
        <w:rPr>
          <w:rFonts w:asciiTheme="majorBidi" w:hAnsiTheme="majorBidi" w:cstheme="majorBidi"/>
          <w:szCs w:val="24"/>
        </w:rPr>
        <w:t xml:space="preserve"> all the Levites </w:t>
      </w:r>
      <w:r w:rsidR="00C94EC7" w:rsidRPr="00B036AC">
        <w:rPr>
          <w:rFonts w:asciiTheme="majorBidi" w:hAnsiTheme="majorBidi" w:cstheme="majorBidi"/>
          <w:szCs w:val="24"/>
        </w:rPr>
        <w:t>(</w:t>
      </w:r>
      <w:r w:rsidR="00C94EC7" w:rsidRPr="00B036AC">
        <w:rPr>
          <w:rFonts w:asciiTheme="majorBidi" w:hAnsiTheme="majorBidi" w:cstheme="majorBidi"/>
          <w:szCs w:val="24"/>
          <w:rtl/>
          <w:lang w:bidi="he-IL"/>
        </w:rPr>
        <w:t>והלוים</w:t>
      </w:r>
      <w:r w:rsidR="00C94EC7" w:rsidRPr="00B036AC">
        <w:rPr>
          <w:rFonts w:asciiTheme="majorBidi" w:hAnsiTheme="majorBidi" w:cstheme="majorBidi"/>
          <w:szCs w:val="24"/>
        </w:rPr>
        <w:t xml:space="preserve">) </w:t>
      </w:r>
      <w:r w:rsidR="00CF653F" w:rsidRPr="00B036AC">
        <w:rPr>
          <w:rFonts w:asciiTheme="majorBidi" w:hAnsiTheme="majorBidi" w:cstheme="majorBidi"/>
          <w:szCs w:val="24"/>
        </w:rPr>
        <w:t xml:space="preserve">and all the people with shofarot </w:t>
      </w:r>
      <w:r w:rsidR="00CF653F" w:rsidRPr="00B036AC">
        <w:rPr>
          <w:rStyle w:val="CommentReference"/>
          <w:rFonts w:asciiTheme="majorBidi" w:hAnsiTheme="majorBidi" w:cstheme="majorBidi"/>
          <w:sz w:val="24"/>
          <w:szCs w:val="24"/>
        </w:rPr>
        <w:annotationRef/>
      </w:r>
      <w:r w:rsidR="00CF653F" w:rsidRPr="00B036AC">
        <w:rPr>
          <w:rFonts w:asciiTheme="majorBidi" w:hAnsiTheme="majorBidi" w:cstheme="majorBidi"/>
          <w:szCs w:val="24"/>
        </w:rPr>
        <w:t xml:space="preserve">shall blow a great battle alarm together”; and </w:t>
      </w:r>
      <w:r w:rsidRPr="00B036AC">
        <w:rPr>
          <w:rFonts w:asciiTheme="majorBidi" w:hAnsiTheme="majorBidi" w:cstheme="majorBidi"/>
          <w:szCs w:val="24"/>
        </w:rPr>
        <w:t>in 1QM 16:7</w:t>
      </w:r>
      <w:r w:rsidR="00C94EC7" w:rsidRPr="00B036AC">
        <w:rPr>
          <w:rFonts w:asciiTheme="majorBidi" w:hAnsiTheme="majorBidi" w:cstheme="majorBidi"/>
          <w:szCs w:val="24"/>
          <w:rtl/>
        </w:rPr>
        <w:t>–</w:t>
      </w:r>
      <w:r w:rsidRPr="00B036AC">
        <w:rPr>
          <w:rFonts w:asciiTheme="majorBidi" w:hAnsiTheme="majorBidi" w:cstheme="majorBidi"/>
          <w:szCs w:val="24"/>
        </w:rPr>
        <w:t>8:</w:t>
      </w:r>
      <w:r w:rsidR="00C94EC7" w:rsidRPr="00B036AC">
        <w:rPr>
          <w:rFonts w:asciiTheme="majorBidi" w:hAnsiTheme="majorBidi" w:cstheme="majorBidi"/>
          <w:szCs w:val="24"/>
        </w:rPr>
        <w:t xml:space="preserve"> “Then the six [… the tr]umpets of the slain … </w:t>
      </w:r>
      <w:r w:rsidR="00C94EC7" w:rsidRPr="00B036AC">
        <w:rPr>
          <w:rFonts w:asciiTheme="majorBidi" w:hAnsiTheme="majorBidi" w:cstheme="majorBidi"/>
          <w:i/>
          <w:iCs/>
          <w:szCs w:val="24"/>
        </w:rPr>
        <w:t>and</w:t>
      </w:r>
      <w:r w:rsidR="00C94EC7" w:rsidRPr="00B036AC">
        <w:rPr>
          <w:rFonts w:asciiTheme="majorBidi" w:hAnsiTheme="majorBidi" w:cstheme="majorBidi"/>
          <w:szCs w:val="24"/>
        </w:rPr>
        <w:t xml:space="preserve"> the Levites (</w:t>
      </w:r>
      <w:r w:rsidR="00C94EC7" w:rsidRPr="00B036AC">
        <w:rPr>
          <w:rFonts w:asciiTheme="majorBidi" w:hAnsiTheme="majorBidi" w:cstheme="majorBidi"/>
          <w:szCs w:val="24"/>
          <w:rtl/>
          <w:lang w:bidi="he-IL"/>
        </w:rPr>
        <w:t>והלוים</w:t>
      </w:r>
      <w:r w:rsidR="00C94EC7" w:rsidRPr="00B036AC">
        <w:rPr>
          <w:rFonts w:asciiTheme="majorBidi" w:hAnsiTheme="majorBidi" w:cstheme="majorBidi"/>
          <w:szCs w:val="24"/>
        </w:rPr>
        <w:t>).</w:t>
      </w:r>
      <w:r w:rsidR="0098154B" w:rsidRPr="00B036AC">
        <w:rPr>
          <w:rFonts w:asciiTheme="majorBidi" w:hAnsiTheme="majorBidi" w:cstheme="majorBidi"/>
          <w:szCs w:val="24"/>
        </w:rPr>
        <w:t xml:space="preserve"> Qimron’s Hebrew text reads:</w:t>
      </w:r>
    </w:p>
    <w:p w14:paraId="2D088DD5" w14:textId="120BB694" w:rsidR="003068C2" w:rsidRPr="00B036AC" w:rsidRDefault="0098154B">
      <w:pPr>
        <w:pStyle w:val="FootnoteText"/>
        <w:rPr>
          <w:rFonts w:asciiTheme="majorBidi" w:hAnsiTheme="majorBidi" w:cstheme="majorBidi"/>
          <w:szCs w:val="24"/>
          <w:rtl/>
          <w:lang w:bidi="he-IL"/>
        </w:rPr>
      </w:pPr>
      <w:r w:rsidRPr="00B036AC">
        <w:rPr>
          <w:rFonts w:asciiTheme="majorBidi" w:hAnsiTheme="majorBidi" w:cstheme="majorBidi"/>
          <w:szCs w:val="24"/>
          <w:rtl/>
          <w:lang w:bidi="he-IL"/>
        </w:rPr>
        <w:t>וששת</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הכו</w:t>
      </w:r>
      <w:r w:rsidRPr="00B036AC">
        <w:rPr>
          <w:rFonts w:asciiTheme="majorBidi" w:hAnsiTheme="majorBidi" w:cstheme="majorBidi"/>
          <w:szCs w:val="24"/>
          <w:rtl/>
        </w:rPr>
        <w:t>]</w:t>
      </w:r>
      <w:r w:rsidRPr="00B036AC">
        <w:rPr>
          <w:rFonts w:asciiTheme="majorBidi" w:hAnsiTheme="majorBidi" w:cstheme="majorBidi"/>
          <w:szCs w:val="24"/>
          <w:rtl/>
          <w:lang w:bidi="he-IL"/>
        </w:rPr>
        <w:t>הנ</w:t>
      </w:r>
      <w:r w:rsidRPr="00B036AC">
        <w:rPr>
          <w:rFonts w:asciiTheme="majorBidi" w:hAnsiTheme="majorBidi" w:cstheme="majorBidi"/>
          <w:szCs w:val="24"/>
          <w:rtl/>
        </w:rPr>
        <w:t>[</w:t>
      </w:r>
      <w:r w:rsidRPr="00B036AC">
        <w:rPr>
          <w:rFonts w:asciiTheme="majorBidi" w:hAnsiTheme="majorBidi" w:cstheme="majorBidi"/>
          <w:szCs w:val="24"/>
          <w:rtl/>
          <w:lang w:bidi="he-IL"/>
        </w:rPr>
        <w:t>ים</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יתקעו ב]חצוצרות</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החללים</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קול</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חד</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טרוד</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לנצח</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מלחמה</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והלוים</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וכול</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עם</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השופרות</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יריע</w:t>
      </w:r>
      <w:r w:rsidRPr="00B036AC">
        <w:rPr>
          <w:rFonts w:asciiTheme="majorBidi" w:hAnsiTheme="majorBidi" w:cstheme="majorBidi"/>
          <w:szCs w:val="24"/>
          <w:rtl/>
        </w:rPr>
        <w:t>[</w:t>
      </w:r>
      <w:r w:rsidRPr="00B036AC">
        <w:rPr>
          <w:rFonts w:asciiTheme="majorBidi" w:hAnsiTheme="majorBidi" w:cstheme="majorBidi"/>
          <w:szCs w:val="24"/>
          <w:rtl/>
          <w:lang w:bidi="he-IL"/>
        </w:rPr>
        <w:t>ו תרוע</w:t>
      </w:r>
      <w:r w:rsidRPr="00B036AC">
        <w:rPr>
          <w:rFonts w:asciiTheme="majorBidi" w:hAnsiTheme="majorBidi" w:cstheme="majorBidi"/>
          <w:szCs w:val="24"/>
          <w:rtl/>
        </w:rPr>
        <w:t>]</w:t>
      </w:r>
      <w:r w:rsidRPr="00B036AC">
        <w:rPr>
          <w:rFonts w:asciiTheme="majorBidi" w:hAnsiTheme="majorBidi" w:cstheme="majorBidi"/>
          <w:szCs w:val="24"/>
          <w:rtl/>
          <w:lang w:bidi="he-IL"/>
        </w:rPr>
        <w:t>ת</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מ[לחמה</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בקול</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גדול</w:t>
      </w:r>
      <w:r w:rsidRPr="00B036AC">
        <w:rPr>
          <w:rFonts w:asciiTheme="majorBidi" w:hAnsiTheme="majorBidi" w:cstheme="majorBidi"/>
          <w:szCs w:val="24"/>
        </w:rPr>
        <w:t xml:space="preserve"> (Qimron, </w:t>
      </w:r>
      <w:r w:rsidRPr="00B036AC">
        <w:rPr>
          <w:rFonts w:asciiTheme="majorBidi" w:hAnsiTheme="majorBidi" w:cstheme="majorBidi"/>
          <w:szCs w:val="24"/>
          <w:rtl/>
          <w:lang w:bidi="he-IL"/>
        </w:rPr>
        <w:t>מגילות</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מדבר</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יהודה</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החיבורים</w:t>
      </w:r>
      <w:r w:rsidRPr="00B036AC">
        <w:rPr>
          <w:rFonts w:asciiTheme="majorBidi" w:hAnsiTheme="majorBidi" w:cstheme="majorBidi"/>
          <w:szCs w:val="24"/>
          <w:rtl/>
        </w:rPr>
        <w:t xml:space="preserve"> </w:t>
      </w:r>
      <w:r w:rsidRPr="00B036AC">
        <w:rPr>
          <w:rFonts w:asciiTheme="majorBidi" w:hAnsiTheme="majorBidi" w:cstheme="majorBidi"/>
          <w:szCs w:val="24"/>
          <w:rtl/>
          <w:lang w:bidi="he-IL"/>
        </w:rPr>
        <w:t>העבריים</w:t>
      </w:r>
      <w:r w:rsidRPr="00B036AC">
        <w:rPr>
          <w:rFonts w:asciiTheme="majorBidi" w:hAnsiTheme="majorBidi" w:cstheme="majorBidi"/>
          <w:szCs w:val="24"/>
        </w:rPr>
        <w:t xml:space="preserve">, 1:128). See n. 000 above on his reconstruction, and my argument for restoring </w:t>
      </w:r>
      <w:r w:rsidRPr="00B036AC">
        <w:rPr>
          <w:rFonts w:asciiTheme="majorBidi" w:hAnsiTheme="majorBidi" w:cstheme="majorBidi"/>
          <w:szCs w:val="24"/>
          <w:rtl/>
          <w:lang w:bidi="he-IL"/>
        </w:rPr>
        <w:t>יריעו</w:t>
      </w:r>
      <w:r w:rsidRPr="00B036AC">
        <w:rPr>
          <w:rFonts w:asciiTheme="majorBidi" w:hAnsiTheme="majorBidi" w:cstheme="majorBidi"/>
          <w:szCs w:val="24"/>
          <w:lang w:bidi="he-IL"/>
        </w:rPr>
        <w:t xml:space="preserve"> rather than </w:t>
      </w:r>
      <w:r w:rsidRPr="00B036AC">
        <w:rPr>
          <w:rFonts w:asciiTheme="majorBidi" w:hAnsiTheme="majorBidi" w:cstheme="majorBidi"/>
          <w:szCs w:val="24"/>
          <w:rtl/>
          <w:lang w:bidi="he-IL"/>
        </w:rPr>
        <w:t>יתקעו</w:t>
      </w:r>
      <w:r w:rsidRPr="00B036AC">
        <w:rPr>
          <w:rFonts w:asciiTheme="majorBidi" w:hAnsiTheme="majorBidi" w:cstheme="majorBidi"/>
          <w:szCs w:val="24"/>
        </w:rPr>
        <w:t>.</w:t>
      </w:r>
    </w:p>
  </w:footnote>
  <w:footnote w:id="89">
    <w:p w14:paraId="3C35F42E" w14:textId="77777777" w:rsidR="003068C2" w:rsidRPr="00B036AC" w:rsidRDefault="003068C2">
      <w:pPr>
        <w:pStyle w:val="FootnoteText"/>
        <w:rPr>
          <w:rFonts w:asciiTheme="majorBidi" w:hAnsiTheme="majorBidi" w:cstheme="majorBidi"/>
          <w:szCs w:val="24"/>
        </w:rPr>
      </w:pPr>
      <w:r w:rsidRPr="00B036AC">
        <w:rPr>
          <w:rStyle w:val="FootnoteReference"/>
          <w:rFonts w:asciiTheme="majorBidi" w:hAnsiTheme="majorBidi" w:cstheme="majorBidi"/>
          <w:szCs w:val="24"/>
        </w:rPr>
        <w:footnoteRef/>
      </w:r>
      <w:r w:rsidRPr="00B036AC">
        <w:rPr>
          <w:rFonts w:asciiTheme="majorBidi" w:hAnsiTheme="majorBidi" w:cstheme="majorBidi"/>
          <w:szCs w:val="24"/>
        </w:rPr>
        <w:t xml:space="preserve"> Kennedy, Kennedy, and Rutherford-Johnson, </w:t>
      </w:r>
      <w:r w:rsidRPr="00B036AC">
        <w:rPr>
          <w:rFonts w:asciiTheme="majorBidi" w:hAnsiTheme="majorBidi" w:cstheme="majorBidi"/>
          <w:i/>
          <w:iCs/>
          <w:szCs w:val="24"/>
        </w:rPr>
        <w:t>Dictionary of Music</w:t>
      </w:r>
      <w:r w:rsidRPr="00B036AC">
        <w:rPr>
          <w:rFonts w:asciiTheme="majorBidi" w:hAnsiTheme="majorBidi" w:cstheme="majorBidi"/>
          <w:szCs w:val="24"/>
        </w:rPr>
        <w:t>, 4.</w:t>
      </w:r>
    </w:p>
  </w:footnote>
  <w:footnote w:id="90">
    <w:p w14:paraId="3BD867C6" w14:textId="6B6D5AC8" w:rsidR="009C60DA" w:rsidRPr="00283890" w:rsidRDefault="009C60DA">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w:t>
      </w:r>
      <w:r w:rsidR="00DE7B31" w:rsidRPr="00507985">
        <w:rPr>
          <w:rFonts w:asciiTheme="majorBidi" w:hAnsiTheme="majorBidi" w:cstheme="majorBidi"/>
          <w:szCs w:val="24"/>
        </w:rPr>
        <w:t xml:space="preserve">Clines, </w:t>
      </w:r>
      <w:r w:rsidR="00DE7B31" w:rsidRPr="00507985">
        <w:rPr>
          <w:rFonts w:asciiTheme="majorBidi" w:hAnsiTheme="majorBidi" w:cstheme="majorBidi"/>
          <w:i/>
          <w:iCs/>
          <w:szCs w:val="24"/>
        </w:rPr>
        <w:t>Dictionary</w:t>
      </w:r>
      <w:r w:rsidR="00DE7B31" w:rsidRPr="00507985">
        <w:rPr>
          <w:rFonts w:asciiTheme="majorBidi" w:hAnsiTheme="majorBidi" w:cstheme="majorBidi"/>
          <w:szCs w:val="24"/>
        </w:rPr>
        <w:t>, 1:180; Duhaime, “War Scroll,” 113;</w:t>
      </w:r>
      <w:r w:rsidRPr="00507985">
        <w:rPr>
          <w:rFonts w:asciiTheme="majorBidi" w:hAnsiTheme="majorBidi" w:cstheme="majorBidi"/>
          <w:szCs w:val="24"/>
        </w:rPr>
        <w:t xml:space="preserve"> </w:t>
      </w:r>
      <w:r w:rsidR="00DE7B31" w:rsidRPr="00507985">
        <w:rPr>
          <w:rFonts w:asciiTheme="majorBidi" w:hAnsiTheme="majorBidi" w:cstheme="majorBidi"/>
          <w:szCs w:val="24"/>
        </w:rPr>
        <w:t xml:space="preserve">Parry, Tov, and Clements, </w:t>
      </w:r>
      <w:r w:rsidR="00DE7B31" w:rsidRPr="00507985">
        <w:rPr>
          <w:rFonts w:asciiTheme="majorBidi" w:hAnsiTheme="majorBidi" w:cstheme="majorBidi"/>
          <w:i/>
          <w:iCs/>
          <w:szCs w:val="24"/>
        </w:rPr>
        <w:t>The Dead Sea Scrolls Reader</w:t>
      </w:r>
      <w:r w:rsidR="00DE7B31" w:rsidRPr="00507985">
        <w:rPr>
          <w:rFonts w:asciiTheme="majorBidi" w:hAnsiTheme="majorBidi" w:cstheme="majorBidi"/>
          <w:szCs w:val="24"/>
        </w:rPr>
        <w:t>, 1:255.</w:t>
      </w:r>
      <w:r w:rsidR="003B120E" w:rsidRPr="00507985">
        <w:rPr>
          <w:rFonts w:asciiTheme="majorBidi" w:hAnsiTheme="majorBidi" w:cstheme="majorBidi"/>
          <w:szCs w:val="24"/>
        </w:rPr>
        <w:t xml:space="preserve"> </w:t>
      </w:r>
      <w:r w:rsidR="00DE7B31" w:rsidRPr="00507985">
        <w:rPr>
          <w:rFonts w:asciiTheme="majorBidi" w:hAnsiTheme="majorBidi" w:cstheme="majorBidi"/>
          <w:szCs w:val="24"/>
        </w:rPr>
        <w:t>See also</w:t>
      </w:r>
      <w:r w:rsidR="007A41B6" w:rsidRPr="00507985">
        <w:rPr>
          <w:rFonts w:asciiTheme="majorBidi" w:hAnsiTheme="majorBidi" w:cstheme="majorBidi"/>
          <w:szCs w:val="24"/>
        </w:rPr>
        <w:t xml:space="preserve"> </w:t>
      </w:r>
      <w:r w:rsidRPr="00507985">
        <w:rPr>
          <w:rFonts w:asciiTheme="majorBidi" w:hAnsiTheme="majorBidi" w:cstheme="majorBidi"/>
          <w:szCs w:val="24"/>
        </w:rPr>
        <w:t xml:space="preserve">Yadin, </w:t>
      </w:r>
      <w:r w:rsidR="00611798" w:rsidRPr="00507985">
        <w:rPr>
          <w:rFonts w:asciiTheme="majorBidi" w:hAnsiTheme="majorBidi" w:cstheme="majorBidi" w:hint="eastAsia"/>
          <w:szCs w:val="24"/>
          <w:rtl/>
          <w:lang w:bidi="he-IL"/>
        </w:rPr>
        <w:t>מגילת</w:t>
      </w:r>
      <w:r w:rsidR="00611798" w:rsidRPr="00507985">
        <w:rPr>
          <w:rFonts w:asciiTheme="majorBidi" w:hAnsiTheme="majorBidi" w:cstheme="majorBidi"/>
          <w:szCs w:val="24"/>
          <w:rtl/>
          <w:lang w:bidi="he-IL"/>
        </w:rPr>
        <w:t xml:space="preserve"> </w:t>
      </w:r>
      <w:r w:rsidR="00611798" w:rsidRPr="00507985">
        <w:rPr>
          <w:rFonts w:asciiTheme="majorBidi" w:hAnsiTheme="majorBidi" w:cstheme="majorBidi" w:hint="eastAsia"/>
          <w:szCs w:val="24"/>
          <w:rtl/>
          <w:lang w:bidi="he-IL"/>
        </w:rPr>
        <w:t>מלחמת</w:t>
      </w:r>
      <w:r w:rsidR="00611798" w:rsidRPr="00507985">
        <w:rPr>
          <w:rFonts w:asciiTheme="majorBidi" w:hAnsiTheme="majorBidi" w:cstheme="majorBidi"/>
          <w:szCs w:val="24"/>
          <w:rtl/>
          <w:lang w:bidi="he-IL"/>
        </w:rPr>
        <w:t xml:space="preserve"> </w:t>
      </w:r>
      <w:r w:rsidR="00611798" w:rsidRPr="00507985">
        <w:rPr>
          <w:rFonts w:asciiTheme="majorBidi" w:hAnsiTheme="majorBidi" w:cstheme="majorBidi" w:hint="eastAsia"/>
          <w:szCs w:val="24"/>
          <w:rtl/>
          <w:lang w:bidi="he-IL"/>
        </w:rPr>
        <w:t>בני</w:t>
      </w:r>
      <w:r w:rsidR="00611798" w:rsidRPr="00507985">
        <w:rPr>
          <w:rFonts w:asciiTheme="majorBidi" w:hAnsiTheme="majorBidi" w:cstheme="majorBidi"/>
          <w:szCs w:val="24"/>
          <w:rtl/>
          <w:lang w:bidi="he-IL"/>
        </w:rPr>
        <w:t xml:space="preserve"> </w:t>
      </w:r>
      <w:r w:rsidR="00611798" w:rsidRPr="00507985">
        <w:rPr>
          <w:rFonts w:asciiTheme="majorBidi" w:hAnsiTheme="majorBidi" w:cstheme="majorBidi" w:hint="eastAsia"/>
          <w:szCs w:val="24"/>
          <w:rtl/>
          <w:lang w:bidi="he-IL"/>
        </w:rPr>
        <w:t>אור</w:t>
      </w:r>
      <w:r w:rsidR="00611798" w:rsidRPr="00507985">
        <w:rPr>
          <w:rFonts w:asciiTheme="majorBidi" w:hAnsiTheme="majorBidi" w:cstheme="majorBidi"/>
          <w:szCs w:val="24"/>
          <w:rtl/>
          <w:lang w:bidi="he-IL"/>
        </w:rPr>
        <w:t xml:space="preserve"> </w:t>
      </w:r>
      <w:r w:rsidR="00611798" w:rsidRPr="00507985">
        <w:rPr>
          <w:rFonts w:asciiTheme="majorBidi" w:hAnsiTheme="majorBidi" w:cstheme="majorBidi" w:hint="eastAsia"/>
          <w:szCs w:val="24"/>
          <w:rtl/>
          <w:lang w:bidi="he-IL"/>
        </w:rPr>
        <w:t>בבני</w:t>
      </w:r>
      <w:r w:rsidR="00611798" w:rsidRPr="00507985">
        <w:rPr>
          <w:rFonts w:asciiTheme="majorBidi" w:hAnsiTheme="majorBidi" w:cstheme="majorBidi"/>
          <w:szCs w:val="24"/>
          <w:rtl/>
          <w:lang w:bidi="he-IL"/>
        </w:rPr>
        <w:t xml:space="preserve"> </w:t>
      </w:r>
      <w:r w:rsidR="00611798" w:rsidRPr="00507985">
        <w:rPr>
          <w:rFonts w:asciiTheme="majorBidi" w:hAnsiTheme="majorBidi" w:cstheme="majorBidi" w:hint="eastAsia"/>
          <w:szCs w:val="24"/>
          <w:rtl/>
          <w:lang w:bidi="he-IL"/>
        </w:rPr>
        <w:t>חושך</w:t>
      </w:r>
      <w:r w:rsidR="003B120E" w:rsidRPr="00507985">
        <w:rPr>
          <w:rFonts w:asciiTheme="majorBidi" w:hAnsiTheme="majorBidi" w:cstheme="majorBidi"/>
          <w:szCs w:val="24"/>
          <w:lang w:bidi="he-IL"/>
        </w:rPr>
        <w:t>, 101</w:t>
      </w:r>
      <w:r w:rsidR="001360E0" w:rsidRPr="00507985">
        <w:rPr>
          <w:rFonts w:asciiTheme="majorBidi" w:hAnsiTheme="majorBidi" w:cstheme="majorBidi"/>
          <w:szCs w:val="24"/>
          <w:lang w:bidi="he-IL"/>
        </w:rPr>
        <w:t xml:space="preserve">, </w:t>
      </w:r>
      <w:r w:rsidR="003B120E" w:rsidRPr="00507985">
        <w:rPr>
          <w:rFonts w:asciiTheme="majorBidi" w:hAnsiTheme="majorBidi" w:cstheme="majorBidi"/>
          <w:szCs w:val="24"/>
          <w:lang w:bidi="he-IL"/>
        </w:rPr>
        <w:t>n.</w:t>
      </w:r>
      <w:r w:rsidR="00A24C22" w:rsidRPr="00507985">
        <w:rPr>
          <w:rFonts w:asciiTheme="majorBidi" w:hAnsiTheme="majorBidi" w:cstheme="majorBidi"/>
          <w:szCs w:val="24"/>
          <w:rtl/>
          <w:lang w:bidi="he-IL"/>
        </w:rPr>
        <w:t xml:space="preserve"> </w:t>
      </w:r>
      <w:r w:rsidR="003B120E" w:rsidRPr="00507985">
        <w:rPr>
          <w:rFonts w:asciiTheme="majorBidi" w:hAnsiTheme="majorBidi" w:cstheme="majorBidi"/>
          <w:szCs w:val="24"/>
          <w:lang w:bidi="he-IL"/>
        </w:rPr>
        <w:t>64</w:t>
      </w:r>
      <w:r w:rsidR="00A24C22" w:rsidRPr="00B036AC">
        <w:rPr>
          <w:rFonts w:asciiTheme="majorBidi" w:hAnsiTheme="majorBidi" w:cstheme="majorBidi"/>
          <w:szCs w:val="24"/>
          <w:lang w:bidi="he-IL"/>
        </w:rPr>
        <w:t xml:space="preserve">: </w:t>
      </w:r>
      <w:r w:rsidR="007A41B6" w:rsidRPr="00B036AC">
        <w:rPr>
          <w:rFonts w:asciiTheme="majorBidi" w:hAnsiTheme="majorBidi" w:cstheme="majorBidi" w:hint="eastAsia"/>
          <w:szCs w:val="24"/>
          <w:rtl/>
          <w:lang w:bidi="he-IL"/>
        </w:rPr>
        <w:t>בצוותא</w:t>
      </w:r>
      <w:r w:rsidR="007A41B6" w:rsidRPr="00283890">
        <w:rPr>
          <w:rFonts w:asciiTheme="majorBidi" w:hAnsiTheme="majorBidi" w:cstheme="majorBidi"/>
          <w:szCs w:val="24"/>
          <w:lang w:bidi="he-IL"/>
        </w:rPr>
        <w:t>.</w:t>
      </w:r>
    </w:p>
  </w:footnote>
  <w:footnote w:id="91">
    <w:p w14:paraId="009134C6" w14:textId="630B6680" w:rsidR="00DE7B31" w:rsidRPr="00D87D69" w:rsidRDefault="00DE7B31">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Eric Werner, </w:t>
      </w:r>
      <w:r w:rsidRPr="00507985">
        <w:rPr>
          <w:rFonts w:asciiTheme="majorBidi" w:hAnsiTheme="majorBidi" w:cstheme="majorBidi"/>
          <w:i/>
          <w:iCs/>
          <w:szCs w:val="24"/>
        </w:rPr>
        <w:t>The Sacred Bridge: The Interdependence of Liturgy and Music in Synagogue and Church During the First Millennium</w:t>
      </w:r>
      <w:r w:rsidRPr="00507985">
        <w:rPr>
          <w:rFonts w:asciiTheme="majorBidi" w:hAnsiTheme="majorBidi" w:cstheme="majorBidi"/>
          <w:szCs w:val="24"/>
        </w:rPr>
        <w:t xml:space="preserve"> (New York: Ktav Pub. House, 1984), 37–38;</w:t>
      </w:r>
      <w:r w:rsidRPr="00507985">
        <w:rPr>
          <w:rFonts w:asciiTheme="majorBidi" w:hAnsiTheme="majorBidi" w:cstheme="majorBidi"/>
          <w:szCs w:val="24"/>
          <w:rtl/>
        </w:rPr>
        <w:t xml:space="preserve"> </w:t>
      </w:r>
      <w:r w:rsidRPr="00507985">
        <w:rPr>
          <w:rFonts w:asciiTheme="majorBidi" w:hAnsiTheme="majorBidi" w:cstheme="majorBidi"/>
          <w:szCs w:val="24"/>
        </w:rPr>
        <w:t>Stallman, “Levi and Levites,” 175;</w:t>
      </w:r>
      <w:r w:rsidRPr="00507985">
        <w:rPr>
          <w:rFonts w:asciiTheme="majorBidi" w:hAnsiTheme="majorBidi" w:cstheme="majorBidi"/>
          <w:szCs w:val="24"/>
          <w:rtl/>
        </w:rPr>
        <w:t xml:space="preserve"> </w:t>
      </w:r>
      <w:r w:rsidRPr="00507985">
        <w:rPr>
          <w:rFonts w:asciiTheme="majorBidi" w:hAnsiTheme="majorBidi" w:cstheme="majorBidi"/>
          <w:szCs w:val="24"/>
        </w:rPr>
        <w:t xml:space="preserve">Kennedy, Kennedy, and Rutherford-Johnson, </w:t>
      </w:r>
      <w:r w:rsidRPr="00507985">
        <w:rPr>
          <w:rFonts w:asciiTheme="majorBidi" w:hAnsiTheme="majorBidi" w:cstheme="majorBidi"/>
          <w:i/>
          <w:iCs/>
          <w:szCs w:val="24"/>
        </w:rPr>
        <w:t>Dictionary of Music</w:t>
      </w:r>
      <w:r w:rsidRPr="00507985">
        <w:rPr>
          <w:rFonts w:asciiTheme="majorBidi" w:hAnsiTheme="majorBidi" w:cstheme="majorBidi"/>
          <w:szCs w:val="24"/>
        </w:rPr>
        <w:t>, 875</w:t>
      </w:r>
      <w:r w:rsidRPr="00507985">
        <w:rPr>
          <w:rFonts w:asciiTheme="majorBidi" w:hAnsiTheme="majorBidi" w:cstheme="majorBidi"/>
          <w:szCs w:val="24"/>
          <w:rtl/>
        </w:rPr>
        <w:t>.</w:t>
      </w:r>
    </w:p>
  </w:footnote>
  <w:footnote w:id="92">
    <w:p w14:paraId="1484FF1C" w14:textId="5F98A954" w:rsidR="00865838" w:rsidRPr="00507985" w:rsidRDefault="00865838">
      <w:pPr>
        <w:pStyle w:val="FootnoteText"/>
        <w:rPr>
          <w:rFonts w:asciiTheme="majorBidi" w:hAnsiTheme="majorBidi" w:cstheme="majorBidi"/>
          <w:szCs w:val="24"/>
        </w:rPr>
      </w:pPr>
      <w:r w:rsidRPr="00507985">
        <w:rPr>
          <w:rStyle w:val="FootnoteReference"/>
          <w:rFonts w:asciiTheme="majorBidi" w:hAnsiTheme="majorBidi" w:cstheme="majorBidi"/>
          <w:szCs w:val="24"/>
        </w:rPr>
        <w:footnoteRef/>
      </w:r>
      <w:r w:rsidRPr="00507985">
        <w:rPr>
          <w:rFonts w:asciiTheme="majorBidi" w:hAnsiTheme="majorBidi" w:cstheme="majorBidi"/>
          <w:szCs w:val="24"/>
        </w:rPr>
        <w:t xml:space="preserve"> </w:t>
      </w:r>
      <w:r w:rsidR="002C159F" w:rsidRPr="00507985">
        <w:rPr>
          <w:rFonts w:asciiTheme="majorBidi" w:hAnsiTheme="majorBidi" w:cstheme="majorBidi"/>
          <w:szCs w:val="24"/>
        </w:rPr>
        <w:t xml:space="preserve">García Martínez, </w:t>
      </w:r>
      <w:r w:rsidR="002C159F" w:rsidRPr="00507985">
        <w:rPr>
          <w:rFonts w:asciiTheme="majorBidi" w:hAnsiTheme="majorBidi" w:cstheme="majorBidi"/>
          <w:i/>
          <w:iCs/>
          <w:szCs w:val="24"/>
        </w:rPr>
        <w:t>The Dead Sea Scrolls Translated</w:t>
      </w:r>
      <w:r w:rsidR="002C159F" w:rsidRPr="00507985">
        <w:rPr>
          <w:rFonts w:asciiTheme="majorBidi" w:hAnsiTheme="majorBidi" w:cstheme="majorBidi"/>
          <w:szCs w:val="24"/>
        </w:rPr>
        <w:t xml:space="preserve">, 101; García Martínez and Tigchelaar, </w:t>
      </w:r>
      <w:r w:rsidR="002C159F" w:rsidRPr="00507985">
        <w:rPr>
          <w:rFonts w:asciiTheme="majorBidi" w:hAnsiTheme="majorBidi" w:cstheme="majorBidi"/>
          <w:i/>
          <w:iCs/>
          <w:szCs w:val="24"/>
        </w:rPr>
        <w:t>Dead Sea Scrolls Study Edition</w:t>
      </w:r>
      <w:r w:rsidR="002C159F" w:rsidRPr="00507985">
        <w:rPr>
          <w:rFonts w:asciiTheme="majorBidi" w:hAnsiTheme="majorBidi" w:cstheme="majorBidi"/>
          <w:szCs w:val="24"/>
        </w:rPr>
        <w:t xml:space="preserve">, 1:127; </w:t>
      </w:r>
      <w:r w:rsidRPr="00507985">
        <w:rPr>
          <w:rFonts w:asciiTheme="majorBidi" w:hAnsiTheme="majorBidi" w:cstheme="majorBidi"/>
          <w:szCs w:val="24"/>
        </w:rPr>
        <w:t>Holmstedt and Screnock, “Writing a Descriptive Grammar,”</w:t>
      </w:r>
      <w:r w:rsidR="005E0B91" w:rsidRPr="00507985">
        <w:rPr>
          <w:rFonts w:asciiTheme="majorBidi" w:hAnsiTheme="majorBidi" w:cstheme="majorBidi"/>
          <w:szCs w:val="24"/>
        </w:rPr>
        <w:t xml:space="preserve"> 92</w:t>
      </w:r>
      <w:r w:rsidR="002C159F" w:rsidRPr="00507985">
        <w:rPr>
          <w:rFonts w:asciiTheme="majorBidi" w:hAnsiTheme="majorBidi" w:cstheme="majorBidi"/>
          <w:szCs w:val="24"/>
        </w:rPr>
        <w:t>.</w:t>
      </w:r>
      <w:r w:rsidRPr="00507985">
        <w:rPr>
          <w:rFonts w:asciiTheme="majorBidi" w:hAnsiTheme="majorBidi" w:cstheme="majorBidi"/>
          <w:szCs w:val="24"/>
        </w:rPr>
        <w:t xml:space="preserve"> </w:t>
      </w:r>
    </w:p>
  </w:footnote>
  <w:footnote w:id="93">
    <w:p w14:paraId="432EBB93" w14:textId="4CB2EEE0" w:rsidR="00BB7D5F" w:rsidRPr="002F6529" w:rsidRDefault="00BB7D5F">
      <w:pPr>
        <w:rPr>
          <w:rFonts w:asciiTheme="majorBidi" w:hAnsiTheme="majorBidi" w:cstheme="majorBidi"/>
        </w:rPr>
      </w:pPr>
      <w:r w:rsidRPr="00507985">
        <w:rPr>
          <w:rStyle w:val="FootnoteReference"/>
          <w:rFonts w:asciiTheme="majorBidi" w:eastAsia="Calibri" w:hAnsiTheme="majorBidi" w:cstheme="majorBidi"/>
        </w:rPr>
        <w:footnoteRef/>
      </w:r>
      <w:r w:rsidRPr="00507985">
        <w:rPr>
          <w:rFonts w:asciiTheme="majorBidi" w:hAnsiTheme="majorBidi" w:cstheme="majorBidi"/>
          <w:rtl/>
        </w:rPr>
        <w:t xml:space="preserve"> </w:t>
      </w:r>
      <w:r w:rsidR="00A23986" w:rsidRPr="00507985">
        <w:rPr>
          <w:rFonts w:asciiTheme="majorBidi" w:hAnsiTheme="majorBidi" w:cstheme="majorBidi"/>
        </w:rPr>
        <w:t xml:space="preserve">Qimron, </w:t>
      </w:r>
      <w:r w:rsidR="00A23986" w:rsidRPr="00507985">
        <w:rPr>
          <w:rFonts w:asciiTheme="majorBidi" w:hAnsiTheme="majorBidi" w:cstheme="majorBidi" w:hint="eastAsia"/>
          <w:rtl/>
          <w:lang w:bidi="he-IL"/>
        </w:rPr>
        <w:t>מגילות</w:t>
      </w:r>
      <w:r w:rsidR="00A23986" w:rsidRPr="00507985">
        <w:rPr>
          <w:rFonts w:asciiTheme="majorBidi" w:hAnsiTheme="majorBidi" w:cstheme="majorBidi"/>
          <w:rtl/>
          <w:lang w:bidi="he-IL"/>
        </w:rPr>
        <w:t xml:space="preserve"> </w:t>
      </w:r>
      <w:r w:rsidR="00A23986" w:rsidRPr="00507985">
        <w:rPr>
          <w:rFonts w:asciiTheme="majorBidi" w:hAnsiTheme="majorBidi" w:cstheme="majorBidi" w:hint="eastAsia"/>
          <w:rtl/>
          <w:lang w:bidi="he-IL"/>
        </w:rPr>
        <w:t>מדבר</w:t>
      </w:r>
      <w:r w:rsidR="00A23986" w:rsidRPr="00507985">
        <w:rPr>
          <w:rFonts w:asciiTheme="majorBidi" w:hAnsiTheme="majorBidi" w:cstheme="majorBidi"/>
          <w:rtl/>
          <w:lang w:bidi="he-IL"/>
        </w:rPr>
        <w:t xml:space="preserve"> </w:t>
      </w:r>
      <w:r w:rsidR="00A23986" w:rsidRPr="00507985">
        <w:rPr>
          <w:rFonts w:asciiTheme="majorBidi" w:hAnsiTheme="majorBidi" w:cstheme="majorBidi" w:hint="eastAsia"/>
          <w:rtl/>
          <w:lang w:bidi="he-IL"/>
        </w:rPr>
        <w:t>יהודה</w:t>
      </w:r>
      <w:r w:rsidR="00A23986" w:rsidRPr="00507985">
        <w:rPr>
          <w:rFonts w:asciiTheme="majorBidi" w:hAnsiTheme="majorBidi" w:cstheme="majorBidi"/>
        </w:rPr>
        <w:t xml:space="preserve">, </w:t>
      </w:r>
      <w:r w:rsidR="00A24C22" w:rsidRPr="00507985">
        <w:rPr>
          <w:rFonts w:asciiTheme="majorBidi" w:hAnsiTheme="majorBidi" w:cstheme="majorBidi"/>
        </w:rPr>
        <w:t>1:</w:t>
      </w:r>
      <w:r w:rsidR="00A23986" w:rsidRPr="00507985">
        <w:rPr>
          <w:rFonts w:asciiTheme="majorBidi" w:hAnsiTheme="majorBidi" w:cstheme="majorBidi"/>
        </w:rPr>
        <w:t xml:space="preserve">119. </w:t>
      </w:r>
    </w:p>
  </w:footnote>
  <w:footnote w:id="94">
    <w:p w14:paraId="72DEC333" w14:textId="41ED1954" w:rsidR="00BB7D5F" w:rsidRPr="002F6529" w:rsidRDefault="00BB7D5F">
      <w:pPr>
        <w:rPr>
          <w:rFonts w:asciiTheme="majorBidi" w:hAnsiTheme="majorBidi" w:cstheme="majorBidi"/>
        </w:rPr>
      </w:pPr>
      <w:r w:rsidRPr="00507985">
        <w:rPr>
          <w:rStyle w:val="FootnoteReference"/>
          <w:rFonts w:asciiTheme="majorBidi" w:eastAsia="Calibri" w:hAnsiTheme="majorBidi" w:cstheme="majorBidi"/>
        </w:rPr>
        <w:footnoteRef/>
      </w:r>
      <w:r w:rsidRPr="00507985">
        <w:rPr>
          <w:rFonts w:asciiTheme="majorBidi" w:hAnsiTheme="majorBidi" w:cstheme="majorBidi"/>
          <w:rtl/>
        </w:rPr>
        <w:t xml:space="preserve"> </w:t>
      </w:r>
      <w:r w:rsidR="00A23986" w:rsidRPr="00507985">
        <w:rPr>
          <w:rFonts w:asciiTheme="majorBidi" w:hAnsiTheme="majorBidi" w:cstheme="majorBidi"/>
        </w:rPr>
        <w:t xml:space="preserve">Qimron, </w:t>
      </w:r>
      <w:r w:rsidR="00A23986" w:rsidRPr="00507985">
        <w:rPr>
          <w:rFonts w:asciiTheme="majorBidi" w:hAnsiTheme="majorBidi" w:cstheme="majorBidi" w:hint="eastAsia"/>
          <w:rtl/>
          <w:lang w:bidi="he-IL"/>
        </w:rPr>
        <w:t>מגילות</w:t>
      </w:r>
      <w:r w:rsidR="00A23986" w:rsidRPr="00507985">
        <w:rPr>
          <w:rFonts w:asciiTheme="majorBidi" w:hAnsiTheme="majorBidi" w:cstheme="majorBidi"/>
          <w:rtl/>
          <w:lang w:bidi="he-IL"/>
        </w:rPr>
        <w:t xml:space="preserve"> </w:t>
      </w:r>
      <w:r w:rsidR="00A23986" w:rsidRPr="00507985">
        <w:rPr>
          <w:rFonts w:asciiTheme="majorBidi" w:hAnsiTheme="majorBidi" w:cstheme="majorBidi" w:hint="eastAsia"/>
          <w:rtl/>
          <w:lang w:bidi="he-IL"/>
        </w:rPr>
        <w:t>מדבר</w:t>
      </w:r>
      <w:r w:rsidR="00A23986" w:rsidRPr="00507985">
        <w:rPr>
          <w:rFonts w:asciiTheme="majorBidi" w:hAnsiTheme="majorBidi" w:cstheme="majorBidi"/>
          <w:rtl/>
          <w:lang w:bidi="he-IL"/>
        </w:rPr>
        <w:t xml:space="preserve"> </w:t>
      </w:r>
      <w:r w:rsidR="00A23986" w:rsidRPr="00507985">
        <w:rPr>
          <w:rFonts w:asciiTheme="majorBidi" w:hAnsiTheme="majorBidi" w:cstheme="majorBidi" w:hint="eastAsia"/>
          <w:rtl/>
          <w:lang w:bidi="he-IL"/>
        </w:rPr>
        <w:t>יהודה</w:t>
      </w:r>
      <w:r w:rsidR="00A23986" w:rsidRPr="00507985">
        <w:rPr>
          <w:rFonts w:asciiTheme="majorBidi" w:hAnsiTheme="majorBidi" w:cstheme="majorBidi"/>
        </w:rPr>
        <w:t xml:space="preserve">, </w:t>
      </w:r>
      <w:r w:rsidR="00A24C22" w:rsidRPr="00507985">
        <w:rPr>
          <w:rFonts w:asciiTheme="majorBidi" w:hAnsiTheme="majorBidi" w:cstheme="majorBidi"/>
        </w:rPr>
        <w:t>1:</w:t>
      </w:r>
      <w:r w:rsidR="00A23986" w:rsidRPr="00507985">
        <w:rPr>
          <w:rFonts w:asciiTheme="majorBidi" w:hAnsiTheme="majorBidi" w:cstheme="majorBidi"/>
        </w:rPr>
        <w:t xml:space="preserve">120. </w:t>
      </w:r>
    </w:p>
  </w:footnote>
  <w:footnote w:id="95">
    <w:p w14:paraId="66F382B2" w14:textId="2CCCE5CE" w:rsidR="00BB7D5F" w:rsidRPr="002F6529" w:rsidRDefault="00BB7D5F">
      <w:pPr>
        <w:rPr>
          <w:rFonts w:asciiTheme="majorBidi" w:hAnsiTheme="majorBidi" w:cstheme="majorBidi"/>
        </w:rPr>
      </w:pPr>
      <w:r w:rsidRPr="00507985">
        <w:rPr>
          <w:rStyle w:val="FootnoteReference"/>
          <w:rFonts w:asciiTheme="majorBidi" w:eastAsia="Calibri" w:hAnsiTheme="majorBidi" w:cstheme="majorBidi"/>
        </w:rPr>
        <w:footnoteRef/>
      </w:r>
      <w:r w:rsidRPr="00507985">
        <w:rPr>
          <w:rFonts w:asciiTheme="majorBidi" w:hAnsiTheme="majorBidi" w:cstheme="majorBidi"/>
          <w:rtl/>
        </w:rPr>
        <w:t xml:space="preserve"> </w:t>
      </w:r>
      <w:r w:rsidR="00A23986" w:rsidRPr="00507985">
        <w:rPr>
          <w:rFonts w:asciiTheme="majorBidi" w:hAnsiTheme="majorBidi" w:cstheme="majorBidi"/>
        </w:rPr>
        <w:t xml:space="preserve">Qimron, </w:t>
      </w:r>
      <w:r w:rsidR="00A23986" w:rsidRPr="00507985">
        <w:rPr>
          <w:rFonts w:asciiTheme="majorBidi" w:hAnsiTheme="majorBidi" w:cstheme="majorBidi" w:hint="eastAsia"/>
          <w:rtl/>
          <w:lang w:bidi="he-IL"/>
        </w:rPr>
        <w:t>מגילות</w:t>
      </w:r>
      <w:r w:rsidR="00A23986" w:rsidRPr="00507985">
        <w:rPr>
          <w:rFonts w:asciiTheme="majorBidi" w:hAnsiTheme="majorBidi" w:cstheme="majorBidi"/>
          <w:rtl/>
          <w:lang w:bidi="he-IL"/>
        </w:rPr>
        <w:t xml:space="preserve"> </w:t>
      </w:r>
      <w:r w:rsidR="00A23986" w:rsidRPr="00507985">
        <w:rPr>
          <w:rFonts w:asciiTheme="majorBidi" w:hAnsiTheme="majorBidi" w:cstheme="majorBidi" w:hint="eastAsia"/>
          <w:rtl/>
          <w:lang w:bidi="he-IL"/>
        </w:rPr>
        <w:t>מדבר</w:t>
      </w:r>
      <w:r w:rsidR="00A23986" w:rsidRPr="00507985">
        <w:rPr>
          <w:rFonts w:asciiTheme="majorBidi" w:hAnsiTheme="majorBidi" w:cstheme="majorBidi"/>
          <w:rtl/>
          <w:lang w:bidi="he-IL"/>
        </w:rPr>
        <w:t xml:space="preserve"> </w:t>
      </w:r>
      <w:r w:rsidR="00A23986" w:rsidRPr="00507985">
        <w:rPr>
          <w:rFonts w:asciiTheme="majorBidi" w:hAnsiTheme="majorBidi" w:cstheme="majorBidi" w:hint="eastAsia"/>
          <w:rtl/>
          <w:lang w:bidi="he-IL"/>
        </w:rPr>
        <w:t>יהודה</w:t>
      </w:r>
      <w:r w:rsidR="00A23986" w:rsidRPr="00507985">
        <w:rPr>
          <w:rFonts w:asciiTheme="majorBidi" w:hAnsiTheme="majorBidi" w:cstheme="majorBidi"/>
        </w:rPr>
        <w:t xml:space="preserve">, </w:t>
      </w:r>
      <w:r w:rsidR="00A24C22" w:rsidRPr="00507985">
        <w:rPr>
          <w:rFonts w:asciiTheme="majorBidi" w:hAnsiTheme="majorBidi" w:cstheme="majorBidi"/>
        </w:rPr>
        <w:t>1:</w:t>
      </w:r>
      <w:r w:rsidR="00A23986" w:rsidRPr="00507985">
        <w:rPr>
          <w:rFonts w:asciiTheme="majorBidi" w:hAnsiTheme="majorBidi" w:cstheme="majorBidi"/>
        </w:rPr>
        <w:t>128.</w:t>
      </w:r>
    </w:p>
  </w:footnote>
  <w:footnote w:id="96">
    <w:p w14:paraId="26E9DA94" w14:textId="56A33B73" w:rsidR="00BB7D5F" w:rsidRPr="002F6529" w:rsidRDefault="00BB7D5F">
      <w:pPr>
        <w:rPr>
          <w:rFonts w:asciiTheme="majorBidi" w:hAnsiTheme="majorBidi" w:cstheme="majorBidi"/>
        </w:rPr>
      </w:pPr>
      <w:r w:rsidRPr="00507985">
        <w:rPr>
          <w:rStyle w:val="FootnoteReference"/>
          <w:rFonts w:asciiTheme="majorBidi" w:eastAsia="Calibri" w:hAnsiTheme="majorBidi" w:cstheme="majorBidi"/>
        </w:rPr>
        <w:footnoteRef/>
      </w:r>
      <w:r w:rsidRPr="00507985">
        <w:rPr>
          <w:rFonts w:asciiTheme="majorBidi" w:hAnsiTheme="majorBidi" w:cstheme="majorBidi"/>
          <w:rtl/>
        </w:rPr>
        <w:t xml:space="preserve"> </w:t>
      </w:r>
      <w:r w:rsidR="00F73A0A" w:rsidRPr="00507985">
        <w:rPr>
          <w:rFonts w:asciiTheme="majorBidi" w:hAnsiTheme="majorBidi" w:cstheme="majorBidi"/>
        </w:rPr>
        <w:t xml:space="preserve">Qimron, </w:t>
      </w:r>
      <w:r w:rsidR="00F73A0A" w:rsidRPr="00507985">
        <w:rPr>
          <w:rFonts w:asciiTheme="majorBidi" w:hAnsiTheme="majorBidi" w:cstheme="majorBidi" w:hint="eastAsia"/>
          <w:rtl/>
          <w:lang w:bidi="he-IL"/>
        </w:rPr>
        <w:t>מגילות</w:t>
      </w:r>
      <w:r w:rsidR="00F73A0A" w:rsidRPr="00507985">
        <w:rPr>
          <w:rFonts w:asciiTheme="majorBidi" w:hAnsiTheme="majorBidi" w:cstheme="majorBidi"/>
          <w:rtl/>
          <w:lang w:bidi="he-IL"/>
        </w:rPr>
        <w:t xml:space="preserve"> </w:t>
      </w:r>
      <w:r w:rsidR="00F73A0A" w:rsidRPr="00507985">
        <w:rPr>
          <w:rFonts w:asciiTheme="majorBidi" w:hAnsiTheme="majorBidi" w:cstheme="majorBidi" w:hint="eastAsia"/>
          <w:rtl/>
          <w:lang w:bidi="he-IL"/>
        </w:rPr>
        <w:t>מדבר</w:t>
      </w:r>
      <w:r w:rsidR="00F73A0A" w:rsidRPr="00507985">
        <w:rPr>
          <w:rFonts w:asciiTheme="majorBidi" w:hAnsiTheme="majorBidi" w:cstheme="majorBidi"/>
          <w:rtl/>
          <w:lang w:bidi="he-IL"/>
        </w:rPr>
        <w:t xml:space="preserve"> </w:t>
      </w:r>
      <w:r w:rsidR="00F73A0A" w:rsidRPr="00507985">
        <w:rPr>
          <w:rFonts w:asciiTheme="majorBidi" w:hAnsiTheme="majorBidi" w:cstheme="majorBidi" w:hint="eastAsia"/>
          <w:rtl/>
          <w:lang w:bidi="he-IL"/>
        </w:rPr>
        <w:t>יהודה</w:t>
      </w:r>
      <w:r w:rsidR="00F73A0A" w:rsidRPr="00507985">
        <w:rPr>
          <w:rFonts w:asciiTheme="majorBidi" w:hAnsiTheme="majorBidi" w:cstheme="majorBidi"/>
        </w:rPr>
        <w:t xml:space="preserve">, </w:t>
      </w:r>
      <w:r w:rsidR="003C1A06" w:rsidRPr="00507985">
        <w:rPr>
          <w:rFonts w:asciiTheme="majorBidi" w:hAnsiTheme="majorBidi" w:cstheme="majorBidi"/>
        </w:rPr>
        <w:t>1:</w:t>
      </w:r>
      <w:r w:rsidR="00F73A0A" w:rsidRPr="00507985">
        <w:rPr>
          <w:rFonts w:asciiTheme="majorBidi" w:hAnsiTheme="majorBidi" w:cstheme="majorBidi"/>
        </w:rPr>
        <w:t xml:space="preserve">129.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299"/>
    <w:multiLevelType w:val="multilevel"/>
    <w:tmpl w:val="BCF0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86092"/>
    <w:multiLevelType w:val="hybridMultilevel"/>
    <w:tmpl w:val="2FF89D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093C2B"/>
    <w:multiLevelType w:val="hybridMultilevel"/>
    <w:tmpl w:val="0E96135A"/>
    <w:lvl w:ilvl="0" w:tplc="19B817A8">
      <w:start w:val="1"/>
      <w:numFmt w:val="decimal"/>
      <w:lvlText w:val="%1)"/>
      <w:lvlJc w:val="left"/>
      <w:pPr>
        <w:ind w:left="1211"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241E61"/>
    <w:multiLevelType w:val="hybridMultilevel"/>
    <w:tmpl w:val="E8A833F8"/>
    <w:lvl w:ilvl="0" w:tplc="D340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05A97"/>
    <w:multiLevelType w:val="hybridMultilevel"/>
    <w:tmpl w:val="37BEE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C2960"/>
    <w:multiLevelType w:val="hybridMultilevel"/>
    <w:tmpl w:val="7DF4607E"/>
    <w:lvl w:ilvl="0" w:tplc="245649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56036"/>
    <w:multiLevelType w:val="hybridMultilevel"/>
    <w:tmpl w:val="74289192"/>
    <w:lvl w:ilvl="0" w:tplc="D34A7AA4">
      <w:start w:val="1"/>
      <w:numFmt w:val="decimal"/>
      <w:lvlText w:val="%1."/>
      <w:lvlJc w:val="left"/>
      <w:pPr>
        <w:ind w:left="920" w:hanging="5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B47AC"/>
    <w:multiLevelType w:val="hybridMultilevel"/>
    <w:tmpl w:val="74289192"/>
    <w:lvl w:ilvl="0" w:tplc="D34A7AA4">
      <w:start w:val="1"/>
      <w:numFmt w:val="decimal"/>
      <w:lvlText w:val="%1."/>
      <w:lvlJc w:val="left"/>
      <w:pPr>
        <w:ind w:left="920" w:hanging="5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34839"/>
    <w:multiLevelType w:val="multilevel"/>
    <w:tmpl w:val="C9E8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2419C"/>
    <w:multiLevelType w:val="hybridMultilevel"/>
    <w:tmpl w:val="AA7AB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6722F"/>
    <w:multiLevelType w:val="hybridMultilevel"/>
    <w:tmpl w:val="522E3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AC568F"/>
    <w:multiLevelType w:val="hybridMultilevel"/>
    <w:tmpl w:val="74289192"/>
    <w:lvl w:ilvl="0" w:tplc="D34A7AA4">
      <w:start w:val="1"/>
      <w:numFmt w:val="decimal"/>
      <w:lvlText w:val="%1."/>
      <w:lvlJc w:val="left"/>
      <w:pPr>
        <w:ind w:left="560" w:hanging="5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E34CD1"/>
    <w:multiLevelType w:val="hybridMultilevel"/>
    <w:tmpl w:val="D846A680"/>
    <w:lvl w:ilvl="0" w:tplc="4BD4537A">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B6347"/>
    <w:multiLevelType w:val="hybridMultilevel"/>
    <w:tmpl w:val="DDF6BD5A"/>
    <w:lvl w:ilvl="0" w:tplc="90CC70CC">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01505"/>
    <w:multiLevelType w:val="multilevel"/>
    <w:tmpl w:val="270C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748E6"/>
    <w:multiLevelType w:val="hybridMultilevel"/>
    <w:tmpl w:val="84A4E88C"/>
    <w:lvl w:ilvl="0" w:tplc="82A459AC">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46DEB"/>
    <w:multiLevelType w:val="hybridMultilevel"/>
    <w:tmpl w:val="E8A833F8"/>
    <w:lvl w:ilvl="0" w:tplc="D340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706645"/>
    <w:multiLevelType w:val="multilevel"/>
    <w:tmpl w:val="8070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CE0F44"/>
    <w:multiLevelType w:val="multilevel"/>
    <w:tmpl w:val="8C94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8"/>
  </w:num>
  <w:num w:numId="4">
    <w:abstractNumId w:val="15"/>
  </w:num>
  <w:num w:numId="5">
    <w:abstractNumId w:val="12"/>
  </w:num>
  <w:num w:numId="6">
    <w:abstractNumId w:val="5"/>
  </w:num>
  <w:num w:numId="7">
    <w:abstractNumId w:val="10"/>
  </w:num>
  <w:num w:numId="8">
    <w:abstractNumId w:val="11"/>
  </w:num>
  <w:num w:numId="9">
    <w:abstractNumId w:val="13"/>
  </w:num>
  <w:num w:numId="10">
    <w:abstractNumId w:val="14"/>
  </w:num>
  <w:num w:numId="11">
    <w:abstractNumId w:val="17"/>
  </w:num>
  <w:num w:numId="12">
    <w:abstractNumId w:val="7"/>
  </w:num>
  <w:num w:numId="13">
    <w:abstractNumId w:val="6"/>
  </w:num>
  <w:num w:numId="14">
    <w:abstractNumId w:val="1"/>
  </w:num>
  <w:num w:numId="15">
    <w:abstractNumId w:val="9"/>
  </w:num>
  <w:num w:numId="16">
    <w:abstractNumId w:val="2"/>
  </w:num>
  <w:num w:numId="17">
    <w:abstractNumId w:val="3"/>
  </w:num>
  <w:num w:numId="18">
    <w:abstractNumId w:val="16"/>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rson w15:author="Shani Tzoref">
    <w15:presenceInfo w15:providerId="Windows Live" w15:userId="0f7005e01727c948"/>
  </w15:person>
  <w15:person w15:author="משה פיאמנטה">
    <w15:presenceInfo w15:providerId="Windows Live" w15:userId="2006fbb8a01eb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wszQ2NjU0tTAwMDNT0lEKTi0uzszPAykwrQUA7D9SGSwAAAA="/>
  </w:docVars>
  <w:rsids>
    <w:rsidRoot w:val="008872BE"/>
    <w:rsid w:val="000004F5"/>
    <w:rsid w:val="000009D5"/>
    <w:rsid w:val="00000CB0"/>
    <w:rsid w:val="00000F9C"/>
    <w:rsid w:val="0000151C"/>
    <w:rsid w:val="00004FA8"/>
    <w:rsid w:val="00006451"/>
    <w:rsid w:val="00006640"/>
    <w:rsid w:val="00006CCB"/>
    <w:rsid w:val="00007986"/>
    <w:rsid w:val="000103A0"/>
    <w:rsid w:val="00010BF5"/>
    <w:rsid w:val="00011787"/>
    <w:rsid w:val="0001337B"/>
    <w:rsid w:val="00013755"/>
    <w:rsid w:val="00013782"/>
    <w:rsid w:val="00014E46"/>
    <w:rsid w:val="0001514C"/>
    <w:rsid w:val="00023B28"/>
    <w:rsid w:val="00023FB2"/>
    <w:rsid w:val="00025F85"/>
    <w:rsid w:val="000269C5"/>
    <w:rsid w:val="00031D6E"/>
    <w:rsid w:val="00033BBE"/>
    <w:rsid w:val="00037866"/>
    <w:rsid w:val="00037AFE"/>
    <w:rsid w:val="00037B10"/>
    <w:rsid w:val="00040CC5"/>
    <w:rsid w:val="00041F11"/>
    <w:rsid w:val="00041F54"/>
    <w:rsid w:val="00044065"/>
    <w:rsid w:val="00044DD3"/>
    <w:rsid w:val="00046061"/>
    <w:rsid w:val="000508DA"/>
    <w:rsid w:val="000514E8"/>
    <w:rsid w:val="00051CB0"/>
    <w:rsid w:val="00053242"/>
    <w:rsid w:val="000535A1"/>
    <w:rsid w:val="00054795"/>
    <w:rsid w:val="000547B2"/>
    <w:rsid w:val="000551FF"/>
    <w:rsid w:val="0005691B"/>
    <w:rsid w:val="00056A1A"/>
    <w:rsid w:val="000639D9"/>
    <w:rsid w:val="000646F8"/>
    <w:rsid w:val="0006619A"/>
    <w:rsid w:val="000664A8"/>
    <w:rsid w:val="00066696"/>
    <w:rsid w:val="000678ED"/>
    <w:rsid w:val="000706FD"/>
    <w:rsid w:val="0007249B"/>
    <w:rsid w:val="00072AB0"/>
    <w:rsid w:val="00072CE5"/>
    <w:rsid w:val="00074423"/>
    <w:rsid w:val="00077B72"/>
    <w:rsid w:val="000820D3"/>
    <w:rsid w:val="00083495"/>
    <w:rsid w:val="0008357C"/>
    <w:rsid w:val="00083BF1"/>
    <w:rsid w:val="00084951"/>
    <w:rsid w:val="000900ED"/>
    <w:rsid w:val="00091A72"/>
    <w:rsid w:val="000920D6"/>
    <w:rsid w:val="00093259"/>
    <w:rsid w:val="00093939"/>
    <w:rsid w:val="0009442A"/>
    <w:rsid w:val="00094F5A"/>
    <w:rsid w:val="00096116"/>
    <w:rsid w:val="000A081B"/>
    <w:rsid w:val="000A0B01"/>
    <w:rsid w:val="000A37C5"/>
    <w:rsid w:val="000A423C"/>
    <w:rsid w:val="000A498B"/>
    <w:rsid w:val="000A5552"/>
    <w:rsid w:val="000A7932"/>
    <w:rsid w:val="000A7968"/>
    <w:rsid w:val="000B0FD1"/>
    <w:rsid w:val="000B2F53"/>
    <w:rsid w:val="000B459C"/>
    <w:rsid w:val="000B546D"/>
    <w:rsid w:val="000B7390"/>
    <w:rsid w:val="000C59CC"/>
    <w:rsid w:val="000C5D07"/>
    <w:rsid w:val="000C7BDC"/>
    <w:rsid w:val="000D0E50"/>
    <w:rsid w:val="000D13AA"/>
    <w:rsid w:val="000D3A09"/>
    <w:rsid w:val="000D6E58"/>
    <w:rsid w:val="000E1B18"/>
    <w:rsid w:val="000E3462"/>
    <w:rsid w:val="000E3560"/>
    <w:rsid w:val="000F4DC5"/>
    <w:rsid w:val="00101B81"/>
    <w:rsid w:val="001028E1"/>
    <w:rsid w:val="001028F8"/>
    <w:rsid w:val="00103955"/>
    <w:rsid w:val="0010516A"/>
    <w:rsid w:val="001055BB"/>
    <w:rsid w:val="00105F63"/>
    <w:rsid w:val="00107D39"/>
    <w:rsid w:val="00110CCE"/>
    <w:rsid w:val="00113FA3"/>
    <w:rsid w:val="00116A58"/>
    <w:rsid w:val="0011728C"/>
    <w:rsid w:val="00123EF6"/>
    <w:rsid w:val="00132D44"/>
    <w:rsid w:val="001360E0"/>
    <w:rsid w:val="00142CBF"/>
    <w:rsid w:val="00143618"/>
    <w:rsid w:val="001468DE"/>
    <w:rsid w:val="0015198F"/>
    <w:rsid w:val="00153120"/>
    <w:rsid w:val="001553A4"/>
    <w:rsid w:val="00155F7C"/>
    <w:rsid w:val="00157147"/>
    <w:rsid w:val="0015737A"/>
    <w:rsid w:val="00157D52"/>
    <w:rsid w:val="001602D8"/>
    <w:rsid w:val="001635D3"/>
    <w:rsid w:val="00167511"/>
    <w:rsid w:val="00171153"/>
    <w:rsid w:val="001716D2"/>
    <w:rsid w:val="00171939"/>
    <w:rsid w:val="001721CA"/>
    <w:rsid w:val="00174375"/>
    <w:rsid w:val="001743FB"/>
    <w:rsid w:val="00176276"/>
    <w:rsid w:val="00177032"/>
    <w:rsid w:val="001806CB"/>
    <w:rsid w:val="001809AB"/>
    <w:rsid w:val="00180C78"/>
    <w:rsid w:val="00187770"/>
    <w:rsid w:val="001900EF"/>
    <w:rsid w:val="00190A76"/>
    <w:rsid w:val="00192E77"/>
    <w:rsid w:val="00194F53"/>
    <w:rsid w:val="001950D8"/>
    <w:rsid w:val="001959D0"/>
    <w:rsid w:val="0019652C"/>
    <w:rsid w:val="001969EB"/>
    <w:rsid w:val="001970B6"/>
    <w:rsid w:val="001A4A96"/>
    <w:rsid w:val="001A5B63"/>
    <w:rsid w:val="001A767B"/>
    <w:rsid w:val="001B1B5D"/>
    <w:rsid w:val="001B4B0C"/>
    <w:rsid w:val="001B4B81"/>
    <w:rsid w:val="001B5148"/>
    <w:rsid w:val="001B5A6D"/>
    <w:rsid w:val="001B68CD"/>
    <w:rsid w:val="001B6BA9"/>
    <w:rsid w:val="001B7542"/>
    <w:rsid w:val="001B7843"/>
    <w:rsid w:val="001C089B"/>
    <w:rsid w:val="001C39D3"/>
    <w:rsid w:val="001C738D"/>
    <w:rsid w:val="001D0164"/>
    <w:rsid w:val="001D1378"/>
    <w:rsid w:val="001D3723"/>
    <w:rsid w:val="001D46DD"/>
    <w:rsid w:val="001D53FB"/>
    <w:rsid w:val="001D5BAA"/>
    <w:rsid w:val="001D5DD6"/>
    <w:rsid w:val="001D60B0"/>
    <w:rsid w:val="001E121B"/>
    <w:rsid w:val="001E3FE7"/>
    <w:rsid w:val="001E66A4"/>
    <w:rsid w:val="001F1373"/>
    <w:rsid w:val="001F5374"/>
    <w:rsid w:val="001F538B"/>
    <w:rsid w:val="001F6520"/>
    <w:rsid w:val="001F7AF9"/>
    <w:rsid w:val="001F7BC0"/>
    <w:rsid w:val="001F7EFD"/>
    <w:rsid w:val="002019DD"/>
    <w:rsid w:val="002037E5"/>
    <w:rsid w:val="0021086A"/>
    <w:rsid w:val="00211373"/>
    <w:rsid w:val="00212770"/>
    <w:rsid w:val="00213710"/>
    <w:rsid w:val="00213D20"/>
    <w:rsid w:val="00216266"/>
    <w:rsid w:val="00220091"/>
    <w:rsid w:val="002214D1"/>
    <w:rsid w:val="002215E7"/>
    <w:rsid w:val="0022301D"/>
    <w:rsid w:val="00223653"/>
    <w:rsid w:val="00223E0A"/>
    <w:rsid w:val="00223E68"/>
    <w:rsid w:val="00225D3A"/>
    <w:rsid w:val="00226FC2"/>
    <w:rsid w:val="00231661"/>
    <w:rsid w:val="0023183D"/>
    <w:rsid w:val="0023387A"/>
    <w:rsid w:val="00236158"/>
    <w:rsid w:val="00236A79"/>
    <w:rsid w:val="002402E9"/>
    <w:rsid w:val="00244050"/>
    <w:rsid w:val="00246CCB"/>
    <w:rsid w:val="00247134"/>
    <w:rsid w:val="002500E0"/>
    <w:rsid w:val="002503E6"/>
    <w:rsid w:val="0025045A"/>
    <w:rsid w:val="0025551C"/>
    <w:rsid w:val="00260463"/>
    <w:rsid w:val="00263708"/>
    <w:rsid w:val="002638FB"/>
    <w:rsid w:val="002643FA"/>
    <w:rsid w:val="0026599B"/>
    <w:rsid w:val="00266D84"/>
    <w:rsid w:val="00267593"/>
    <w:rsid w:val="00267C5F"/>
    <w:rsid w:val="0027090B"/>
    <w:rsid w:val="00270F02"/>
    <w:rsid w:val="002716E2"/>
    <w:rsid w:val="00271F8A"/>
    <w:rsid w:val="002745E2"/>
    <w:rsid w:val="00274B11"/>
    <w:rsid w:val="00277CBD"/>
    <w:rsid w:val="00280399"/>
    <w:rsid w:val="002810C3"/>
    <w:rsid w:val="00282704"/>
    <w:rsid w:val="002832F1"/>
    <w:rsid w:val="00283890"/>
    <w:rsid w:val="00284671"/>
    <w:rsid w:val="00285007"/>
    <w:rsid w:val="00287113"/>
    <w:rsid w:val="002874DE"/>
    <w:rsid w:val="00287999"/>
    <w:rsid w:val="00290768"/>
    <w:rsid w:val="00290E83"/>
    <w:rsid w:val="00290E96"/>
    <w:rsid w:val="002912C4"/>
    <w:rsid w:val="00292CC3"/>
    <w:rsid w:val="00296576"/>
    <w:rsid w:val="002A1B31"/>
    <w:rsid w:val="002A3029"/>
    <w:rsid w:val="002A4F16"/>
    <w:rsid w:val="002A5F23"/>
    <w:rsid w:val="002A7729"/>
    <w:rsid w:val="002B03C0"/>
    <w:rsid w:val="002B134A"/>
    <w:rsid w:val="002B148D"/>
    <w:rsid w:val="002B1718"/>
    <w:rsid w:val="002B26D3"/>
    <w:rsid w:val="002B54E8"/>
    <w:rsid w:val="002B58D1"/>
    <w:rsid w:val="002B60D3"/>
    <w:rsid w:val="002B6B75"/>
    <w:rsid w:val="002C159F"/>
    <w:rsid w:val="002C1A5B"/>
    <w:rsid w:val="002C23A6"/>
    <w:rsid w:val="002C2B8B"/>
    <w:rsid w:val="002C331F"/>
    <w:rsid w:val="002C62D2"/>
    <w:rsid w:val="002D0A5D"/>
    <w:rsid w:val="002D1CC8"/>
    <w:rsid w:val="002D1D4C"/>
    <w:rsid w:val="002D1F44"/>
    <w:rsid w:val="002D4B3B"/>
    <w:rsid w:val="002D5336"/>
    <w:rsid w:val="002D779D"/>
    <w:rsid w:val="002D7B09"/>
    <w:rsid w:val="002E1997"/>
    <w:rsid w:val="002E7391"/>
    <w:rsid w:val="002F0049"/>
    <w:rsid w:val="002F0AB8"/>
    <w:rsid w:val="002F31C5"/>
    <w:rsid w:val="002F3F65"/>
    <w:rsid w:val="002F6529"/>
    <w:rsid w:val="002F69D0"/>
    <w:rsid w:val="003036E2"/>
    <w:rsid w:val="00304687"/>
    <w:rsid w:val="00304CF1"/>
    <w:rsid w:val="00305421"/>
    <w:rsid w:val="003068C2"/>
    <w:rsid w:val="00313DC7"/>
    <w:rsid w:val="003170A9"/>
    <w:rsid w:val="00321DDE"/>
    <w:rsid w:val="00324EB2"/>
    <w:rsid w:val="0032610F"/>
    <w:rsid w:val="0032709D"/>
    <w:rsid w:val="003273F2"/>
    <w:rsid w:val="003277D8"/>
    <w:rsid w:val="00332E7C"/>
    <w:rsid w:val="00333E8E"/>
    <w:rsid w:val="0033473B"/>
    <w:rsid w:val="00336BCC"/>
    <w:rsid w:val="003460A4"/>
    <w:rsid w:val="003478E6"/>
    <w:rsid w:val="00347EFF"/>
    <w:rsid w:val="00351410"/>
    <w:rsid w:val="003568C3"/>
    <w:rsid w:val="0036127B"/>
    <w:rsid w:val="0036233A"/>
    <w:rsid w:val="00362478"/>
    <w:rsid w:val="00363BF4"/>
    <w:rsid w:val="003647AC"/>
    <w:rsid w:val="00364AB9"/>
    <w:rsid w:val="00367B70"/>
    <w:rsid w:val="00371969"/>
    <w:rsid w:val="0037547C"/>
    <w:rsid w:val="003755B1"/>
    <w:rsid w:val="0037648A"/>
    <w:rsid w:val="0038149B"/>
    <w:rsid w:val="0038437C"/>
    <w:rsid w:val="003913CE"/>
    <w:rsid w:val="00391747"/>
    <w:rsid w:val="00392E26"/>
    <w:rsid w:val="00396004"/>
    <w:rsid w:val="003975D3"/>
    <w:rsid w:val="003A36AA"/>
    <w:rsid w:val="003A3A89"/>
    <w:rsid w:val="003A439D"/>
    <w:rsid w:val="003A43AB"/>
    <w:rsid w:val="003A547E"/>
    <w:rsid w:val="003A5857"/>
    <w:rsid w:val="003A5DD1"/>
    <w:rsid w:val="003A6A66"/>
    <w:rsid w:val="003B120E"/>
    <w:rsid w:val="003B7D8C"/>
    <w:rsid w:val="003B7DD8"/>
    <w:rsid w:val="003C0291"/>
    <w:rsid w:val="003C0439"/>
    <w:rsid w:val="003C1A06"/>
    <w:rsid w:val="003D068B"/>
    <w:rsid w:val="003D0D8B"/>
    <w:rsid w:val="003D0FAC"/>
    <w:rsid w:val="003D13A2"/>
    <w:rsid w:val="003D1DB1"/>
    <w:rsid w:val="003D20D8"/>
    <w:rsid w:val="003D2777"/>
    <w:rsid w:val="003D295A"/>
    <w:rsid w:val="003D3A71"/>
    <w:rsid w:val="003D5B4B"/>
    <w:rsid w:val="003E0912"/>
    <w:rsid w:val="003E25DC"/>
    <w:rsid w:val="003E316A"/>
    <w:rsid w:val="003E5DF1"/>
    <w:rsid w:val="003E7081"/>
    <w:rsid w:val="003F24C0"/>
    <w:rsid w:val="003F2F1F"/>
    <w:rsid w:val="003F4102"/>
    <w:rsid w:val="003F43B3"/>
    <w:rsid w:val="003F6279"/>
    <w:rsid w:val="00400281"/>
    <w:rsid w:val="004013F9"/>
    <w:rsid w:val="0040169B"/>
    <w:rsid w:val="00402322"/>
    <w:rsid w:val="00402B4C"/>
    <w:rsid w:val="004056F3"/>
    <w:rsid w:val="00405CB4"/>
    <w:rsid w:val="004150BC"/>
    <w:rsid w:val="0041716A"/>
    <w:rsid w:val="004203E3"/>
    <w:rsid w:val="004206C8"/>
    <w:rsid w:val="0042232F"/>
    <w:rsid w:val="00424B92"/>
    <w:rsid w:val="00425F98"/>
    <w:rsid w:val="00427355"/>
    <w:rsid w:val="004327C2"/>
    <w:rsid w:val="00433F83"/>
    <w:rsid w:val="0043472C"/>
    <w:rsid w:val="0043669C"/>
    <w:rsid w:val="00437627"/>
    <w:rsid w:val="00440E3C"/>
    <w:rsid w:val="00440EE3"/>
    <w:rsid w:val="004421BA"/>
    <w:rsid w:val="004432BB"/>
    <w:rsid w:val="00447447"/>
    <w:rsid w:val="004528F7"/>
    <w:rsid w:val="00453B0E"/>
    <w:rsid w:val="00453E31"/>
    <w:rsid w:val="0045675B"/>
    <w:rsid w:val="00460DDB"/>
    <w:rsid w:val="004636F4"/>
    <w:rsid w:val="00470EFC"/>
    <w:rsid w:val="00471C30"/>
    <w:rsid w:val="0047363E"/>
    <w:rsid w:val="0047581F"/>
    <w:rsid w:val="0048034C"/>
    <w:rsid w:val="00483313"/>
    <w:rsid w:val="00484069"/>
    <w:rsid w:val="004849B8"/>
    <w:rsid w:val="0048588D"/>
    <w:rsid w:val="00486243"/>
    <w:rsid w:val="00487926"/>
    <w:rsid w:val="00490B8A"/>
    <w:rsid w:val="00492E36"/>
    <w:rsid w:val="00493DF0"/>
    <w:rsid w:val="00496129"/>
    <w:rsid w:val="00496BAC"/>
    <w:rsid w:val="004A48A2"/>
    <w:rsid w:val="004A4FD0"/>
    <w:rsid w:val="004A5C3F"/>
    <w:rsid w:val="004A5FCC"/>
    <w:rsid w:val="004A7A10"/>
    <w:rsid w:val="004B2478"/>
    <w:rsid w:val="004B2C18"/>
    <w:rsid w:val="004B6706"/>
    <w:rsid w:val="004B7079"/>
    <w:rsid w:val="004B7229"/>
    <w:rsid w:val="004C02E4"/>
    <w:rsid w:val="004C1C95"/>
    <w:rsid w:val="004C4319"/>
    <w:rsid w:val="004C4B4E"/>
    <w:rsid w:val="004C4B92"/>
    <w:rsid w:val="004C52F3"/>
    <w:rsid w:val="004C775D"/>
    <w:rsid w:val="004D0C89"/>
    <w:rsid w:val="004D2756"/>
    <w:rsid w:val="004D316D"/>
    <w:rsid w:val="004D3A23"/>
    <w:rsid w:val="004D4297"/>
    <w:rsid w:val="004D65FB"/>
    <w:rsid w:val="004D713B"/>
    <w:rsid w:val="004E0D03"/>
    <w:rsid w:val="004E13C2"/>
    <w:rsid w:val="004E1AA6"/>
    <w:rsid w:val="004E7CB1"/>
    <w:rsid w:val="004F061C"/>
    <w:rsid w:val="004F0BD6"/>
    <w:rsid w:val="004F1332"/>
    <w:rsid w:val="004F1AA7"/>
    <w:rsid w:val="004F3B40"/>
    <w:rsid w:val="004F52ED"/>
    <w:rsid w:val="004F687B"/>
    <w:rsid w:val="004F6B19"/>
    <w:rsid w:val="004F77A9"/>
    <w:rsid w:val="00501A28"/>
    <w:rsid w:val="00505F62"/>
    <w:rsid w:val="00507985"/>
    <w:rsid w:val="00510921"/>
    <w:rsid w:val="005114AF"/>
    <w:rsid w:val="00512EBE"/>
    <w:rsid w:val="00513D68"/>
    <w:rsid w:val="00514BC2"/>
    <w:rsid w:val="00514CAB"/>
    <w:rsid w:val="00517BF5"/>
    <w:rsid w:val="00517D61"/>
    <w:rsid w:val="00520B1B"/>
    <w:rsid w:val="005216D1"/>
    <w:rsid w:val="005234FB"/>
    <w:rsid w:val="00524BF2"/>
    <w:rsid w:val="00525815"/>
    <w:rsid w:val="00525D42"/>
    <w:rsid w:val="00530406"/>
    <w:rsid w:val="005350E7"/>
    <w:rsid w:val="005356B7"/>
    <w:rsid w:val="005369F5"/>
    <w:rsid w:val="00536BC7"/>
    <w:rsid w:val="00537A9F"/>
    <w:rsid w:val="005433A8"/>
    <w:rsid w:val="00543CD3"/>
    <w:rsid w:val="00544A95"/>
    <w:rsid w:val="00546DA5"/>
    <w:rsid w:val="00553E22"/>
    <w:rsid w:val="005566B3"/>
    <w:rsid w:val="00560376"/>
    <w:rsid w:val="00560BAF"/>
    <w:rsid w:val="00561048"/>
    <w:rsid w:val="00561489"/>
    <w:rsid w:val="00561C74"/>
    <w:rsid w:val="005622F3"/>
    <w:rsid w:val="00574EB6"/>
    <w:rsid w:val="0057511C"/>
    <w:rsid w:val="00575979"/>
    <w:rsid w:val="00575B35"/>
    <w:rsid w:val="005774C4"/>
    <w:rsid w:val="00583F77"/>
    <w:rsid w:val="00584E4E"/>
    <w:rsid w:val="005850D7"/>
    <w:rsid w:val="00586726"/>
    <w:rsid w:val="00590464"/>
    <w:rsid w:val="00595C49"/>
    <w:rsid w:val="00595E3A"/>
    <w:rsid w:val="005964EC"/>
    <w:rsid w:val="00597381"/>
    <w:rsid w:val="005B15C6"/>
    <w:rsid w:val="005B1867"/>
    <w:rsid w:val="005B3060"/>
    <w:rsid w:val="005B49C5"/>
    <w:rsid w:val="005B58FF"/>
    <w:rsid w:val="005C04C3"/>
    <w:rsid w:val="005C5047"/>
    <w:rsid w:val="005C5B39"/>
    <w:rsid w:val="005C5F26"/>
    <w:rsid w:val="005C6B19"/>
    <w:rsid w:val="005D0115"/>
    <w:rsid w:val="005D38F1"/>
    <w:rsid w:val="005D446E"/>
    <w:rsid w:val="005D516D"/>
    <w:rsid w:val="005D54AA"/>
    <w:rsid w:val="005D6745"/>
    <w:rsid w:val="005D7156"/>
    <w:rsid w:val="005E0B91"/>
    <w:rsid w:val="005E5814"/>
    <w:rsid w:val="005E5F67"/>
    <w:rsid w:val="005E7EC1"/>
    <w:rsid w:val="005F2CD9"/>
    <w:rsid w:val="005F372F"/>
    <w:rsid w:val="005F4270"/>
    <w:rsid w:val="005F54C1"/>
    <w:rsid w:val="005F6F46"/>
    <w:rsid w:val="005F6F92"/>
    <w:rsid w:val="00600F2B"/>
    <w:rsid w:val="00601283"/>
    <w:rsid w:val="006020EE"/>
    <w:rsid w:val="00604702"/>
    <w:rsid w:val="00606A48"/>
    <w:rsid w:val="00606E9C"/>
    <w:rsid w:val="00611798"/>
    <w:rsid w:val="006131F1"/>
    <w:rsid w:val="0061377C"/>
    <w:rsid w:val="006151EE"/>
    <w:rsid w:val="00615E63"/>
    <w:rsid w:val="00616A5E"/>
    <w:rsid w:val="0061719A"/>
    <w:rsid w:val="006202B0"/>
    <w:rsid w:val="00620B9B"/>
    <w:rsid w:val="00626A6D"/>
    <w:rsid w:val="006272B1"/>
    <w:rsid w:val="00627E20"/>
    <w:rsid w:val="00634992"/>
    <w:rsid w:val="00635D52"/>
    <w:rsid w:val="006401CC"/>
    <w:rsid w:val="00640811"/>
    <w:rsid w:val="00641C5C"/>
    <w:rsid w:val="006438A8"/>
    <w:rsid w:val="006441F9"/>
    <w:rsid w:val="00652579"/>
    <w:rsid w:val="00654B66"/>
    <w:rsid w:val="00660944"/>
    <w:rsid w:val="00661C82"/>
    <w:rsid w:val="00663214"/>
    <w:rsid w:val="006646AF"/>
    <w:rsid w:val="00672F58"/>
    <w:rsid w:val="00674147"/>
    <w:rsid w:val="006742D4"/>
    <w:rsid w:val="0068051C"/>
    <w:rsid w:val="00681110"/>
    <w:rsid w:val="0068191F"/>
    <w:rsid w:val="00681BF9"/>
    <w:rsid w:val="00685333"/>
    <w:rsid w:val="00685C51"/>
    <w:rsid w:val="00690057"/>
    <w:rsid w:val="00691666"/>
    <w:rsid w:val="00692872"/>
    <w:rsid w:val="006935ED"/>
    <w:rsid w:val="0069575D"/>
    <w:rsid w:val="0069708D"/>
    <w:rsid w:val="0069718C"/>
    <w:rsid w:val="006A5A6E"/>
    <w:rsid w:val="006A6244"/>
    <w:rsid w:val="006A706F"/>
    <w:rsid w:val="006B058B"/>
    <w:rsid w:val="006B08E4"/>
    <w:rsid w:val="006B2BFF"/>
    <w:rsid w:val="006B3E7F"/>
    <w:rsid w:val="006B64D8"/>
    <w:rsid w:val="006B72F6"/>
    <w:rsid w:val="006C2746"/>
    <w:rsid w:val="006C4520"/>
    <w:rsid w:val="006C4D2B"/>
    <w:rsid w:val="006C5F4D"/>
    <w:rsid w:val="006C69F1"/>
    <w:rsid w:val="006C7D4C"/>
    <w:rsid w:val="006D07D8"/>
    <w:rsid w:val="006D11D4"/>
    <w:rsid w:val="006D25AC"/>
    <w:rsid w:val="006D31F1"/>
    <w:rsid w:val="006D6297"/>
    <w:rsid w:val="006D7F27"/>
    <w:rsid w:val="006E21F4"/>
    <w:rsid w:val="006E28BB"/>
    <w:rsid w:val="006E2C7E"/>
    <w:rsid w:val="006E33C6"/>
    <w:rsid w:val="006E3A26"/>
    <w:rsid w:val="006E417A"/>
    <w:rsid w:val="006E4E87"/>
    <w:rsid w:val="006E5BEF"/>
    <w:rsid w:val="006E71CA"/>
    <w:rsid w:val="006F07D0"/>
    <w:rsid w:val="006F200A"/>
    <w:rsid w:val="006F324E"/>
    <w:rsid w:val="006F5907"/>
    <w:rsid w:val="007004ED"/>
    <w:rsid w:val="007011A1"/>
    <w:rsid w:val="00702A67"/>
    <w:rsid w:val="00703470"/>
    <w:rsid w:val="00703975"/>
    <w:rsid w:val="00705497"/>
    <w:rsid w:val="007055F2"/>
    <w:rsid w:val="00705848"/>
    <w:rsid w:val="00707ADB"/>
    <w:rsid w:val="00711021"/>
    <w:rsid w:val="0071127B"/>
    <w:rsid w:val="007129C1"/>
    <w:rsid w:val="00713718"/>
    <w:rsid w:val="00716A50"/>
    <w:rsid w:val="007200FA"/>
    <w:rsid w:val="00721957"/>
    <w:rsid w:val="007254CD"/>
    <w:rsid w:val="00731EB5"/>
    <w:rsid w:val="00731FB2"/>
    <w:rsid w:val="0073658E"/>
    <w:rsid w:val="00740982"/>
    <w:rsid w:val="00741974"/>
    <w:rsid w:val="00744C82"/>
    <w:rsid w:val="007459A7"/>
    <w:rsid w:val="00747B41"/>
    <w:rsid w:val="00751CC2"/>
    <w:rsid w:val="00752E73"/>
    <w:rsid w:val="00753052"/>
    <w:rsid w:val="007564B1"/>
    <w:rsid w:val="00756D2C"/>
    <w:rsid w:val="00757786"/>
    <w:rsid w:val="00761532"/>
    <w:rsid w:val="00761C0B"/>
    <w:rsid w:val="007641F2"/>
    <w:rsid w:val="007648FD"/>
    <w:rsid w:val="00765F6A"/>
    <w:rsid w:val="0076682B"/>
    <w:rsid w:val="00766D82"/>
    <w:rsid w:val="00772068"/>
    <w:rsid w:val="00773E58"/>
    <w:rsid w:val="00774470"/>
    <w:rsid w:val="00776D52"/>
    <w:rsid w:val="007804A5"/>
    <w:rsid w:val="00781070"/>
    <w:rsid w:val="00783054"/>
    <w:rsid w:val="00783B0A"/>
    <w:rsid w:val="00784C7C"/>
    <w:rsid w:val="0078564F"/>
    <w:rsid w:val="00785651"/>
    <w:rsid w:val="007864D5"/>
    <w:rsid w:val="007924C1"/>
    <w:rsid w:val="00793D09"/>
    <w:rsid w:val="00794095"/>
    <w:rsid w:val="00796A53"/>
    <w:rsid w:val="0079719A"/>
    <w:rsid w:val="007A102A"/>
    <w:rsid w:val="007A41B6"/>
    <w:rsid w:val="007A49FC"/>
    <w:rsid w:val="007A4C01"/>
    <w:rsid w:val="007A53CD"/>
    <w:rsid w:val="007A78DF"/>
    <w:rsid w:val="007B62A8"/>
    <w:rsid w:val="007B7010"/>
    <w:rsid w:val="007C06B1"/>
    <w:rsid w:val="007C1BA0"/>
    <w:rsid w:val="007C3616"/>
    <w:rsid w:val="007C3929"/>
    <w:rsid w:val="007C4BB4"/>
    <w:rsid w:val="007C6BBB"/>
    <w:rsid w:val="007D2BE4"/>
    <w:rsid w:val="007D2F7F"/>
    <w:rsid w:val="007D2FCA"/>
    <w:rsid w:val="007D396F"/>
    <w:rsid w:val="007D7212"/>
    <w:rsid w:val="007D7C80"/>
    <w:rsid w:val="007D7F80"/>
    <w:rsid w:val="007E00EC"/>
    <w:rsid w:val="007E18E9"/>
    <w:rsid w:val="007E1F72"/>
    <w:rsid w:val="007E6CE1"/>
    <w:rsid w:val="007F0B8C"/>
    <w:rsid w:val="007F22F2"/>
    <w:rsid w:val="007F6CD1"/>
    <w:rsid w:val="00801C4C"/>
    <w:rsid w:val="00804AB4"/>
    <w:rsid w:val="00813A7E"/>
    <w:rsid w:val="0082125C"/>
    <w:rsid w:val="00822688"/>
    <w:rsid w:val="00822A8A"/>
    <w:rsid w:val="00822B7D"/>
    <w:rsid w:val="00824140"/>
    <w:rsid w:val="00824204"/>
    <w:rsid w:val="00825745"/>
    <w:rsid w:val="00825804"/>
    <w:rsid w:val="00825B58"/>
    <w:rsid w:val="00825F8E"/>
    <w:rsid w:val="00826B7F"/>
    <w:rsid w:val="0083185E"/>
    <w:rsid w:val="00831C3C"/>
    <w:rsid w:val="00832D4E"/>
    <w:rsid w:val="00840870"/>
    <w:rsid w:val="00841819"/>
    <w:rsid w:val="008421A7"/>
    <w:rsid w:val="00842A93"/>
    <w:rsid w:val="00850C5B"/>
    <w:rsid w:val="00851922"/>
    <w:rsid w:val="00851B06"/>
    <w:rsid w:val="00851BFD"/>
    <w:rsid w:val="00851E0F"/>
    <w:rsid w:val="008538D0"/>
    <w:rsid w:val="008620A5"/>
    <w:rsid w:val="0086274E"/>
    <w:rsid w:val="00863FDE"/>
    <w:rsid w:val="0086539C"/>
    <w:rsid w:val="00865838"/>
    <w:rsid w:val="008704CA"/>
    <w:rsid w:val="00873F6E"/>
    <w:rsid w:val="00874DEC"/>
    <w:rsid w:val="0087500C"/>
    <w:rsid w:val="00880B4F"/>
    <w:rsid w:val="00881995"/>
    <w:rsid w:val="0088199C"/>
    <w:rsid w:val="00882E85"/>
    <w:rsid w:val="00885700"/>
    <w:rsid w:val="00886705"/>
    <w:rsid w:val="008872BE"/>
    <w:rsid w:val="00891135"/>
    <w:rsid w:val="00892650"/>
    <w:rsid w:val="00892F50"/>
    <w:rsid w:val="00895224"/>
    <w:rsid w:val="008A1B3F"/>
    <w:rsid w:val="008A3B42"/>
    <w:rsid w:val="008A3F1D"/>
    <w:rsid w:val="008A61CF"/>
    <w:rsid w:val="008A64B2"/>
    <w:rsid w:val="008A72F9"/>
    <w:rsid w:val="008B2DD2"/>
    <w:rsid w:val="008B42DF"/>
    <w:rsid w:val="008B4329"/>
    <w:rsid w:val="008B52D4"/>
    <w:rsid w:val="008B7A06"/>
    <w:rsid w:val="008C5AAB"/>
    <w:rsid w:val="008D0006"/>
    <w:rsid w:val="008D1BE5"/>
    <w:rsid w:val="008D5ACC"/>
    <w:rsid w:val="008D628B"/>
    <w:rsid w:val="008D73A4"/>
    <w:rsid w:val="008E212D"/>
    <w:rsid w:val="008E5AE8"/>
    <w:rsid w:val="008E6906"/>
    <w:rsid w:val="008E7F40"/>
    <w:rsid w:val="008F1189"/>
    <w:rsid w:val="008F1A2B"/>
    <w:rsid w:val="008F238E"/>
    <w:rsid w:val="008F31B3"/>
    <w:rsid w:val="008F5523"/>
    <w:rsid w:val="008F636A"/>
    <w:rsid w:val="008F7527"/>
    <w:rsid w:val="0090008B"/>
    <w:rsid w:val="00901C07"/>
    <w:rsid w:val="00907E7F"/>
    <w:rsid w:val="00911B2C"/>
    <w:rsid w:val="00911C45"/>
    <w:rsid w:val="00911E67"/>
    <w:rsid w:val="009143FE"/>
    <w:rsid w:val="009149D2"/>
    <w:rsid w:val="009166B9"/>
    <w:rsid w:val="00916859"/>
    <w:rsid w:val="00917944"/>
    <w:rsid w:val="00920B70"/>
    <w:rsid w:val="00922BE4"/>
    <w:rsid w:val="00922E79"/>
    <w:rsid w:val="0092364A"/>
    <w:rsid w:val="00925A5C"/>
    <w:rsid w:val="00926AF6"/>
    <w:rsid w:val="0093283C"/>
    <w:rsid w:val="0093377D"/>
    <w:rsid w:val="00933E51"/>
    <w:rsid w:val="009344BF"/>
    <w:rsid w:val="00935281"/>
    <w:rsid w:val="00936824"/>
    <w:rsid w:val="00942FA2"/>
    <w:rsid w:val="009464D2"/>
    <w:rsid w:val="00951B5E"/>
    <w:rsid w:val="009528D4"/>
    <w:rsid w:val="00952CF3"/>
    <w:rsid w:val="00954F2E"/>
    <w:rsid w:val="00956357"/>
    <w:rsid w:val="009574B5"/>
    <w:rsid w:val="00962AF3"/>
    <w:rsid w:val="00964028"/>
    <w:rsid w:val="00964086"/>
    <w:rsid w:val="00966A54"/>
    <w:rsid w:val="009675D3"/>
    <w:rsid w:val="00970011"/>
    <w:rsid w:val="009744ED"/>
    <w:rsid w:val="009773FB"/>
    <w:rsid w:val="0098154B"/>
    <w:rsid w:val="00981CFD"/>
    <w:rsid w:val="00983DC0"/>
    <w:rsid w:val="00985AF3"/>
    <w:rsid w:val="009878C4"/>
    <w:rsid w:val="00993227"/>
    <w:rsid w:val="00993908"/>
    <w:rsid w:val="00995559"/>
    <w:rsid w:val="00995771"/>
    <w:rsid w:val="00997C10"/>
    <w:rsid w:val="009A04A2"/>
    <w:rsid w:val="009A2CAD"/>
    <w:rsid w:val="009A489C"/>
    <w:rsid w:val="009A5461"/>
    <w:rsid w:val="009A6149"/>
    <w:rsid w:val="009A6402"/>
    <w:rsid w:val="009A6761"/>
    <w:rsid w:val="009B246C"/>
    <w:rsid w:val="009B7AC7"/>
    <w:rsid w:val="009C0817"/>
    <w:rsid w:val="009C0CE0"/>
    <w:rsid w:val="009C1774"/>
    <w:rsid w:val="009C4E65"/>
    <w:rsid w:val="009C5CFE"/>
    <w:rsid w:val="009C60DA"/>
    <w:rsid w:val="009D2B03"/>
    <w:rsid w:val="009D30BE"/>
    <w:rsid w:val="009D42C4"/>
    <w:rsid w:val="009D53B5"/>
    <w:rsid w:val="009D67A5"/>
    <w:rsid w:val="009E052E"/>
    <w:rsid w:val="009E0B98"/>
    <w:rsid w:val="009E214F"/>
    <w:rsid w:val="009E565F"/>
    <w:rsid w:val="009E6564"/>
    <w:rsid w:val="009F2688"/>
    <w:rsid w:val="009F2CAF"/>
    <w:rsid w:val="009F4CAB"/>
    <w:rsid w:val="009F5806"/>
    <w:rsid w:val="009F6380"/>
    <w:rsid w:val="009F7415"/>
    <w:rsid w:val="00A01F21"/>
    <w:rsid w:val="00A0214A"/>
    <w:rsid w:val="00A0315C"/>
    <w:rsid w:val="00A06818"/>
    <w:rsid w:val="00A06E8F"/>
    <w:rsid w:val="00A07227"/>
    <w:rsid w:val="00A07CA4"/>
    <w:rsid w:val="00A137EC"/>
    <w:rsid w:val="00A13CF2"/>
    <w:rsid w:val="00A14B98"/>
    <w:rsid w:val="00A1522B"/>
    <w:rsid w:val="00A16C49"/>
    <w:rsid w:val="00A2014B"/>
    <w:rsid w:val="00A20526"/>
    <w:rsid w:val="00A207EB"/>
    <w:rsid w:val="00A2243A"/>
    <w:rsid w:val="00A22555"/>
    <w:rsid w:val="00A228DC"/>
    <w:rsid w:val="00A23986"/>
    <w:rsid w:val="00A241A3"/>
    <w:rsid w:val="00A24798"/>
    <w:rsid w:val="00A24866"/>
    <w:rsid w:val="00A24C22"/>
    <w:rsid w:val="00A251DF"/>
    <w:rsid w:val="00A2662D"/>
    <w:rsid w:val="00A301F1"/>
    <w:rsid w:val="00A30A60"/>
    <w:rsid w:val="00A30ACA"/>
    <w:rsid w:val="00A31020"/>
    <w:rsid w:val="00A310D1"/>
    <w:rsid w:val="00A319F0"/>
    <w:rsid w:val="00A33300"/>
    <w:rsid w:val="00A3485E"/>
    <w:rsid w:val="00A349BA"/>
    <w:rsid w:val="00A35364"/>
    <w:rsid w:val="00A3574B"/>
    <w:rsid w:val="00A35BBB"/>
    <w:rsid w:val="00A40FA5"/>
    <w:rsid w:val="00A42F34"/>
    <w:rsid w:val="00A43243"/>
    <w:rsid w:val="00A45857"/>
    <w:rsid w:val="00A47308"/>
    <w:rsid w:val="00A507C0"/>
    <w:rsid w:val="00A51320"/>
    <w:rsid w:val="00A51504"/>
    <w:rsid w:val="00A5267E"/>
    <w:rsid w:val="00A52BF6"/>
    <w:rsid w:val="00A54C8E"/>
    <w:rsid w:val="00A602FA"/>
    <w:rsid w:val="00A608EF"/>
    <w:rsid w:val="00A629AD"/>
    <w:rsid w:val="00A63B55"/>
    <w:rsid w:val="00A63E74"/>
    <w:rsid w:val="00A64247"/>
    <w:rsid w:val="00A65CD4"/>
    <w:rsid w:val="00A66E07"/>
    <w:rsid w:val="00A7279B"/>
    <w:rsid w:val="00A72C7E"/>
    <w:rsid w:val="00A75B57"/>
    <w:rsid w:val="00A76029"/>
    <w:rsid w:val="00A818E1"/>
    <w:rsid w:val="00A82806"/>
    <w:rsid w:val="00A82EBD"/>
    <w:rsid w:val="00A8574F"/>
    <w:rsid w:val="00A901B0"/>
    <w:rsid w:val="00A91630"/>
    <w:rsid w:val="00A94C59"/>
    <w:rsid w:val="00A95998"/>
    <w:rsid w:val="00A965FE"/>
    <w:rsid w:val="00AA117B"/>
    <w:rsid w:val="00AA1B9E"/>
    <w:rsid w:val="00AA317E"/>
    <w:rsid w:val="00AA7E23"/>
    <w:rsid w:val="00AA7E35"/>
    <w:rsid w:val="00AB1E9D"/>
    <w:rsid w:val="00AB50EC"/>
    <w:rsid w:val="00AB68AA"/>
    <w:rsid w:val="00AB6D56"/>
    <w:rsid w:val="00AB7293"/>
    <w:rsid w:val="00AB7C6A"/>
    <w:rsid w:val="00AB7DCD"/>
    <w:rsid w:val="00AB7F8B"/>
    <w:rsid w:val="00AC00A7"/>
    <w:rsid w:val="00AC06CE"/>
    <w:rsid w:val="00AC0BD1"/>
    <w:rsid w:val="00AC19C4"/>
    <w:rsid w:val="00AC23FF"/>
    <w:rsid w:val="00AC4ECB"/>
    <w:rsid w:val="00AC78FD"/>
    <w:rsid w:val="00AC7FC2"/>
    <w:rsid w:val="00AD1C47"/>
    <w:rsid w:val="00AD24E8"/>
    <w:rsid w:val="00AD2F94"/>
    <w:rsid w:val="00AD3D84"/>
    <w:rsid w:val="00AD4657"/>
    <w:rsid w:val="00AD4FA9"/>
    <w:rsid w:val="00AD7DFF"/>
    <w:rsid w:val="00AE20C0"/>
    <w:rsid w:val="00AE386E"/>
    <w:rsid w:val="00AE3E53"/>
    <w:rsid w:val="00AE488A"/>
    <w:rsid w:val="00AE4B75"/>
    <w:rsid w:val="00AE7323"/>
    <w:rsid w:val="00AE7CD4"/>
    <w:rsid w:val="00AF3CD7"/>
    <w:rsid w:val="00AF6BCF"/>
    <w:rsid w:val="00AF7E3A"/>
    <w:rsid w:val="00B01389"/>
    <w:rsid w:val="00B01B6A"/>
    <w:rsid w:val="00B025EC"/>
    <w:rsid w:val="00B036AC"/>
    <w:rsid w:val="00B04D38"/>
    <w:rsid w:val="00B057E9"/>
    <w:rsid w:val="00B0736A"/>
    <w:rsid w:val="00B07472"/>
    <w:rsid w:val="00B16240"/>
    <w:rsid w:val="00B1665B"/>
    <w:rsid w:val="00B20D2F"/>
    <w:rsid w:val="00B2127C"/>
    <w:rsid w:val="00B2329D"/>
    <w:rsid w:val="00B246CE"/>
    <w:rsid w:val="00B248CF"/>
    <w:rsid w:val="00B254A7"/>
    <w:rsid w:val="00B25ACE"/>
    <w:rsid w:val="00B279C0"/>
    <w:rsid w:val="00B33002"/>
    <w:rsid w:val="00B33855"/>
    <w:rsid w:val="00B35103"/>
    <w:rsid w:val="00B3780D"/>
    <w:rsid w:val="00B40280"/>
    <w:rsid w:val="00B439FE"/>
    <w:rsid w:val="00B4646B"/>
    <w:rsid w:val="00B50783"/>
    <w:rsid w:val="00B510D3"/>
    <w:rsid w:val="00B56F68"/>
    <w:rsid w:val="00B60A18"/>
    <w:rsid w:val="00B627A0"/>
    <w:rsid w:val="00B62BB5"/>
    <w:rsid w:val="00B64B98"/>
    <w:rsid w:val="00B66DFE"/>
    <w:rsid w:val="00B67B50"/>
    <w:rsid w:val="00B70861"/>
    <w:rsid w:val="00B70B25"/>
    <w:rsid w:val="00B71CA9"/>
    <w:rsid w:val="00B727E8"/>
    <w:rsid w:val="00B7359D"/>
    <w:rsid w:val="00B75132"/>
    <w:rsid w:val="00B774A2"/>
    <w:rsid w:val="00B82A96"/>
    <w:rsid w:val="00B82E19"/>
    <w:rsid w:val="00B83A26"/>
    <w:rsid w:val="00B8603F"/>
    <w:rsid w:val="00B86593"/>
    <w:rsid w:val="00B9221E"/>
    <w:rsid w:val="00B9322B"/>
    <w:rsid w:val="00B9334A"/>
    <w:rsid w:val="00B95349"/>
    <w:rsid w:val="00B978E9"/>
    <w:rsid w:val="00BA3119"/>
    <w:rsid w:val="00BA3C90"/>
    <w:rsid w:val="00BA4AEA"/>
    <w:rsid w:val="00BA5E7B"/>
    <w:rsid w:val="00BA6B5A"/>
    <w:rsid w:val="00BA7949"/>
    <w:rsid w:val="00BB0F5B"/>
    <w:rsid w:val="00BB4373"/>
    <w:rsid w:val="00BB688F"/>
    <w:rsid w:val="00BB77A0"/>
    <w:rsid w:val="00BB7D5F"/>
    <w:rsid w:val="00BC182D"/>
    <w:rsid w:val="00BC2447"/>
    <w:rsid w:val="00BC24D2"/>
    <w:rsid w:val="00BC3DA0"/>
    <w:rsid w:val="00BC61CA"/>
    <w:rsid w:val="00BC6A4C"/>
    <w:rsid w:val="00BD1422"/>
    <w:rsid w:val="00BD2742"/>
    <w:rsid w:val="00BD3D6D"/>
    <w:rsid w:val="00BD5251"/>
    <w:rsid w:val="00BE0458"/>
    <w:rsid w:val="00BE1C93"/>
    <w:rsid w:val="00BE2DA6"/>
    <w:rsid w:val="00BE4956"/>
    <w:rsid w:val="00BE525F"/>
    <w:rsid w:val="00BE5875"/>
    <w:rsid w:val="00BF2562"/>
    <w:rsid w:val="00BF39D0"/>
    <w:rsid w:val="00BF3B34"/>
    <w:rsid w:val="00BF6DDF"/>
    <w:rsid w:val="00C0085E"/>
    <w:rsid w:val="00C01140"/>
    <w:rsid w:val="00C019C0"/>
    <w:rsid w:val="00C06968"/>
    <w:rsid w:val="00C06E8B"/>
    <w:rsid w:val="00C10CF2"/>
    <w:rsid w:val="00C13C8D"/>
    <w:rsid w:val="00C15EBC"/>
    <w:rsid w:val="00C17182"/>
    <w:rsid w:val="00C23FDC"/>
    <w:rsid w:val="00C26075"/>
    <w:rsid w:val="00C26336"/>
    <w:rsid w:val="00C330FB"/>
    <w:rsid w:val="00C37002"/>
    <w:rsid w:val="00C37A1B"/>
    <w:rsid w:val="00C43B8B"/>
    <w:rsid w:val="00C444FC"/>
    <w:rsid w:val="00C52ECB"/>
    <w:rsid w:val="00C53CFD"/>
    <w:rsid w:val="00C5403D"/>
    <w:rsid w:val="00C54263"/>
    <w:rsid w:val="00C55718"/>
    <w:rsid w:val="00C55B99"/>
    <w:rsid w:val="00C56498"/>
    <w:rsid w:val="00C5650E"/>
    <w:rsid w:val="00C614CA"/>
    <w:rsid w:val="00C61A72"/>
    <w:rsid w:val="00C627AB"/>
    <w:rsid w:val="00C650E3"/>
    <w:rsid w:val="00C669F0"/>
    <w:rsid w:val="00C675AF"/>
    <w:rsid w:val="00C70B02"/>
    <w:rsid w:val="00C71330"/>
    <w:rsid w:val="00C71F52"/>
    <w:rsid w:val="00C729FB"/>
    <w:rsid w:val="00C72FC2"/>
    <w:rsid w:val="00C75630"/>
    <w:rsid w:val="00C764F8"/>
    <w:rsid w:val="00C81CFE"/>
    <w:rsid w:val="00C81F71"/>
    <w:rsid w:val="00C83BDA"/>
    <w:rsid w:val="00C85466"/>
    <w:rsid w:val="00C90A86"/>
    <w:rsid w:val="00C9180B"/>
    <w:rsid w:val="00C9209F"/>
    <w:rsid w:val="00C9259A"/>
    <w:rsid w:val="00C9294E"/>
    <w:rsid w:val="00C92D30"/>
    <w:rsid w:val="00C94102"/>
    <w:rsid w:val="00C94119"/>
    <w:rsid w:val="00C94311"/>
    <w:rsid w:val="00C94EC7"/>
    <w:rsid w:val="00C94FD0"/>
    <w:rsid w:val="00C961E4"/>
    <w:rsid w:val="00CA1D86"/>
    <w:rsid w:val="00CA2CCC"/>
    <w:rsid w:val="00CA3855"/>
    <w:rsid w:val="00CA38B5"/>
    <w:rsid w:val="00CA3B42"/>
    <w:rsid w:val="00CA3E93"/>
    <w:rsid w:val="00CA4F54"/>
    <w:rsid w:val="00CA5C9D"/>
    <w:rsid w:val="00CB244E"/>
    <w:rsid w:val="00CB373F"/>
    <w:rsid w:val="00CB5788"/>
    <w:rsid w:val="00CB68AB"/>
    <w:rsid w:val="00CC3E80"/>
    <w:rsid w:val="00CC4B38"/>
    <w:rsid w:val="00CC50FF"/>
    <w:rsid w:val="00CC610B"/>
    <w:rsid w:val="00CC695D"/>
    <w:rsid w:val="00CD2571"/>
    <w:rsid w:val="00CE048D"/>
    <w:rsid w:val="00CE0BA8"/>
    <w:rsid w:val="00CE3520"/>
    <w:rsid w:val="00CE40DA"/>
    <w:rsid w:val="00CE6215"/>
    <w:rsid w:val="00CE67BD"/>
    <w:rsid w:val="00CE6C00"/>
    <w:rsid w:val="00CE778C"/>
    <w:rsid w:val="00CF0353"/>
    <w:rsid w:val="00CF20D3"/>
    <w:rsid w:val="00CF653F"/>
    <w:rsid w:val="00CF6A00"/>
    <w:rsid w:val="00CF721A"/>
    <w:rsid w:val="00CF749C"/>
    <w:rsid w:val="00CF76C5"/>
    <w:rsid w:val="00CF7789"/>
    <w:rsid w:val="00D02A31"/>
    <w:rsid w:val="00D02C1A"/>
    <w:rsid w:val="00D02E2A"/>
    <w:rsid w:val="00D041F0"/>
    <w:rsid w:val="00D046A0"/>
    <w:rsid w:val="00D055D1"/>
    <w:rsid w:val="00D0627B"/>
    <w:rsid w:val="00D07EC5"/>
    <w:rsid w:val="00D11FBE"/>
    <w:rsid w:val="00D15225"/>
    <w:rsid w:val="00D213B9"/>
    <w:rsid w:val="00D242B7"/>
    <w:rsid w:val="00D275C4"/>
    <w:rsid w:val="00D332FA"/>
    <w:rsid w:val="00D356AE"/>
    <w:rsid w:val="00D41284"/>
    <w:rsid w:val="00D4336E"/>
    <w:rsid w:val="00D44998"/>
    <w:rsid w:val="00D45153"/>
    <w:rsid w:val="00D45BDD"/>
    <w:rsid w:val="00D46483"/>
    <w:rsid w:val="00D473AE"/>
    <w:rsid w:val="00D509E7"/>
    <w:rsid w:val="00D50E45"/>
    <w:rsid w:val="00D517FE"/>
    <w:rsid w:val="00D61D68"/>
    <w:rsid w:val="00D62643"/>
    <w:rsid w:val="00D6487E"/>
    <w:rsid w:val="00D678AD"/>
    <w:rsid w:val="00D7154D"/>
    <w:rsid w:val="00D72100"/>
    <w:rsid w:val="00D72B1A"/>
    <w:rsid w:val="00D73407"/>
    <w:rsid w:val="00D75355"/>
    <w:rsid w:val="00D75E32"/>
    <w:rsid w:val="00D76DE3"/>
    <w:rsid w:val="00D82408"/>
    <w:rsid w:val="00D841E7"/>
    <w:rsid w:val="00D85553"/>
    <w:rsid w:val="00D861C8"/>
    <w:rsid w:val="00D87D69"/>
    <w:rsid w:val="00D87D76"/>
    <w:rsid w:val="00D913D4"/>
    <w:rsid w:val="00D95D85"/>
    <w:rsid w:val="00DA0426"/>
    <w:rsid w:val="00DA6D78"/>
    <w:rsid w:val="00DB024B"/>
    <w:rsid w:val="00DB284E"/>
    <w:rsid w:val="00DB53D8"/>
    <w:rsid w:val="00DB5A13"/>
    <w:rsid w:val="00DB5E2E"/>
    <w:rsid w:val="00DC1021"/>
    <w:rsid w:val="00DC1441"/>
    <w:rsid w:val="00DC34C6"/>
    <w:rsid w:val="00DC3DB5"/>
    <w:rsid w:val="00DC4902"/>
    <w:rsid w:val="00DC501C"/>
    <w:rsid w:val="00DC52E7"/>
    <w:rsid w:val="00DC5F80"/>
    <w:rsid w:val="00DD3019"/>
    <w:rsid w:val="00DD35F7"/>
    <w:rsid w:val="00DD52D7"/>
    <w:rsid w:val="00DD7C09"/>
    <w:rsid w:val="00DE177C"/>
    <w:rsid w:val="00DE577B"/>
    <w:rsid w:val="00DE6A88"/>
    <w:rsid w:val="00DE7B31"/>
    <w:rsid w:val="00DE7C1F"/>
    <w:rsid w:val="00DF0804"/>
    <w:rsid w:val="00DF2D27"/>
    <w:rsid w:val="00DF3052"/>
    <w:rsid w:val="00DF43DD"/>
    <w:rsid w:val="00DF7380"/>
    <w:rsid w:val="00DF7689"/>
    <w:rsid w:val="00E01157"/>
    <w:rsid w:val="00E06B6B"/>
    <w:rsid w:val="00E12624"/>
    <w:rsid w:val="00E12A5A"/>
    <w:rsid w:val="00E13790"/>
    <w:rsid w:val="00E14205"/>
    <w:rsid w:val="00E17D1B"/>
    <w:rsid w:val="00E20970"/>
    <w:rsid w:val="00E249E2"/>
    <w:rsid w:val="00E26B59"/>
    <w:rsid w:val="00E2716A"/>
    <w:rsid w:val="00E31E3A"/>
    <w:rsid w:val="00E32361"/>
    <w:rsid w:val="00E33765"/>
    <w:rsid w:val="00E367BE"/>
    <w:rsid w:val="00E3696C"/>
    <w:rsid w:val="00E378D9"/>
    <w:rsid w:val="00E41DBB"/>
    <w:rsid w:val="00E4334E"/>
    <w:rsid w:val="00E4582F"/>
    <w:rsid w:val="00E46AEB"/>
    <w:rsid w:val="00E52189"/>
    <w:rsid w:val="00E57DB7"/>
    <w:rsid w:val="00E60841"/>
    <w:rsid w:val="00E61918"/>
    <w:rsid w:val="00E66418"/>
    <w:rsid w:val="00E66CF2"/>
    <w:rsid w:val="00E80886"/>
    <w:rsid w:val="00E81A07"/>
    <w:rsid w:val="00E81DD1"/>
    <w:rsid w:val="00E91298"/>
    <w:rsid w:val="00E91761"/>
    <w:rsid w:val="00E94DBF"/>
    <w:rsid w:val="00E961A3"/>
    <w:rsid w:val="00E9710E"/>
    <w:rsid w:val="00EA06B0"/>
    <w:rsid w:val="00EA4FF8"/>
    <w:rsid w:val="00EA5D2C"/>
    <w:rsid w:val="00EB1B56"/>
    <w:rsid w:val="00EB22FA"/>
    <w:rsid w:val="00EB67D9"/>
    <w:rsid w:val="00EC014F"/>
    <w:rsid w:val="00EC0698"/>
    <w:rsid w:val="00EC1A86"/>
    <w:rsid w:val="00EC33AA"/>
    <w:rsid w:val="00EC5118"/>
    <w:rsid w:val="00EC5317"/>
    <w:rsid w:val="00ED085E"/>
    <w:rsid w:val="00ED7AE5"/>
    <w:rsid w:val="00EE156A"/>
    <w:rsid w:val="00EE1A79"/>
    <w:rsid w:val="00EE1FB9"/>
    <w:rsid w:val="00EE2C7E"/>
    <w:rsid w:val="00EE3454"/>
    <w:rsid w:val="00EE4801"/>
    <w:rsid w:val="00EE510D"/>
    <w:rsid w:val="00EE7066"/>
    <w:rsid w:val="00EE7D37"/>
    <w:rsid w:val="00EF2C36"/>
    <w:rsid w:val="00EF5D31"/>
    <w:rsid w:val="00EF5DD4"/>
    <w:rsid w:val="00F0272D"/>
    <w:rsid w:val="00F0316E"/>
    <w:rsid w:val="00F06FE8"/>
    <w:rsid w:val="00F07645"/>
    <w:rsid w:val="00F10E57"/>
    <w:rsid w:val="00F11884"/>
    <w:rsid w:val="00F1288E"/>
    <w:rsid w:val="00F12C83"/>
    <w:rsid w:val="00F12D5C"/>
    <w:rsid w:val="00F1394C"/>
    <w:rsid w:val="00F22483"/>
    <w:rsid w:val="00F31B74"/>
    <w:rsid w:val="00F325C6"/>
    <w:rsid w:val="00F356BE"/>
    <w:rsid w:val="00F375AA"/>
    <w:rsid w:val="00F41907"/>
    <w:rsid w:val="00F42135"/>
    <w:rsid w:val="00F45359"/>
    <w:rsid w:val="00F50DDC"/>
    <w:rsid w:val="00F51E33"/>
    <w:rsid w:val="00F53FB7"/>
    <w:rsid w:val="00F56400"/>
    <w:rsid w:val="00F56D00"/>
    <w:rsid w:val="00F63D8F"/>
    <w:rsid w:val="00F704AC"/>
    <w:rsid w:val="00F73A0A"/>
    <w:rsid w:val="00F73CDA"/>
    <w:rsid w:val="00F747A4"/>
    <w:rsid w:val="00F7515F"/>
    <w:rsid w:val="00F7609E"/>
    <w:rsid w:val="00F76A5A"/>
    <w:rsid w:val="00F775BC"/>
    <w:rsid w:val="00F80F61"/>
    <w:rsid w:val="00F8357A"/>
    <w:rsid w:val="00F84F95"/>
    <w:rsid w:val="00F86188"/>
    <w:rsid w:val="00F90328"/>
    <w:rsid w:val="00F9451D"/>
    <w:rsid w:val="00F95C23"/>
    <w:rsid w:val="00FA0A12"/>
    <w:rsid w:val="00FA3C4C"/>
    <w:rsid w:val="00FA41B2"/>
    <w:rsid w:val="00FA4B5A"/>
    <w:rsid w:val="00FA5700"/>
    <w:rsid w:val="00FA7C1D"/>
    <w:rsid w:val="00FB08D4"/>
    <w:rsid w:val="00FB1B9F"/>
    <w:rsid w:val="00FB410A"/>
    <w:rsid w:val="00FB45D8"/>
    <w:rsid w:val="00FB6648"/>
    <w:rsid w:val="00FC17F5"/>
    <w:rsid w:val="00FC4454"/>
    <w:rsid w:val="00FC5626"/>
    <w:rsid w:val="00FC70B9"/>
    <w:rsid w:val="00FD0B6C"/>
    <w:rsid w:val="00FD0C23"/>
    <w:rsid w:val="00FD1CDB"/>
    <w:rsid w:val="00FD5A16"/>
    <w:rsid w:val="00FD642A"/>
    <w:rsid w:val="00FD6621"/>
    <w:rsid w:val="00FE3ECB"/>
    <w:rsid w:val="00FE4472"/>
    <w:rsid w:val="00FE4AF7"/>
    <w:rsid w:val="00FE7624"/>
    <w:rsid w:val="00FE771A"/>
    <w:rsid w:val="00FF1326"/>
    <w:rsid w:val="00FF2CA4"/>
    <w:rsid w:val="00FF2DEB"/>
    <w:rsid w:val="00FF3A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31D90"/>
  <w15:chartTrackingRefBased/>
  <w15:docId w15:val="{A908B1A1-1D60-5848-A995-C4600043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532"/>
    <w:pPr>
      <w:spacing w:before="120" w:line="480" w:lineRule="auto"/>
      <w:jc w:val="both"/>
    </w:pPr>
    <w:rPr>
      <w:rFonts w:ascii="Times New Roman" w:eastAsia="Times New Roman" w:hAnsi="Times New Roman" w:cs="David"/>
      <w:color w:val="000000" w:themeColor="text1"/>
    </w:rPr>
  </w:style>
  <w:style w:type="paragraph" w:styleId="Heading1">
    <w:name w:val="heading 1"/>
    <w:basedOn w:val="Normal"/>
    <w:next w:val="Normal"/>
    <w:link w:val="Heading1Char"/>
    <w:uiPriority w:val="9"/>
    <w:qFormat/>
    <w:rsid w:val="00784C7C"/>
    <w:pPr>
      <w:spacing w:line="360" w:lineRule="auto"/>
      <w:outlineLvl w:val="0"/>
    </w:pPr>
    <w:rPr>
      <w:b/>
      <w:bCs/>
    </w:rPr>
  </w:style>
  <w:style w:type="paragraph" w:styleId="Heading2">
    <w:name w:val="heading 2"/>
    <w:basedOn w:val="Normal"/>
    <w:link w:val="Heading2Char"/>
    <w:uiPriority w:val="9"/>
    <w:qFormat/>
    <w:rsid w:val="00C81F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538B"/>
    <w:rPr>
      <w:sz w:val="16"/>
      <w:szCs w:val="16"/>
    </w:rPr>
  </w:style>
  <w:style w:type="paragraph" w:styleId="CommentText">
    <w:name w:val="annotation text"/>
    <w:basedOn w:val="Normal"/>
    <w:link w:val="CommentTextChar"/>
    <w:uiPriority w:val="99"/>
    <w:unhideWhenUsed/>
    <w:rsid w:val="001F538B"/>
    <w:rPr>
      <w:sz w:val="20"/>
      <w:szCs w:val="20"/>
    </w:rPr>
  </w:style>
  <w:style w:type="character" w:customStyle="1" w:styleId="CommentTextChar">
    <w:name w:val="Comment Text Char"/>
    <w:basedOn w:val="DefaultParagraphFont"/>
    <w:link w:val="CommentText"/>
    <w:uiPriority w:val="99"/>
    <w:rsid w:val="001F538B"/>
    <w:rPr>
      <w:rFonts w:ascii="Calibri" w:eastAsia="Calibri" w:hAnsi="Calibri" w:cs="Arial"/>
      <w:sz w:val="20"/>
      <w:szCs w:val="20"/>
      <w:lang w:val="en-US" w:bidi="he-IL"/>
    </w:rPr>
  </w:style>
  <w:style w:type="paragraph" w:styleId="CommentSubject">
    <w:name w:val="annotation subject"/>
    <w:basedOn w:val="CommentText"/>
    <w:next w:val="CommentText"/>
    <w:link w:val="CommentSubjectChar"/>
    <w:uiPriority w:val="99"/>
    <w:semiHidden/>
    <w:unhideWhenUsed/>
    <w:rsid w:val="001F538B"/>
    <w:rPr>
      <w:b/>
      <w:bCs/>
    </w:rPr>
  </w:style>
  <w:style w:type="character" w:customStyle="1" w:styleId="CommentSubjectChar">
    <w:name w:val="Comment Subject Char"/>
    <w:basedOn w:val="CommentTextChar"/>
    <w:link w:val="CommentSubject"/>
    <w:uiPriority w:val="99"/>
    <w:semiHidden/>
    <w:rsid w:val="001F538B"/>
    <w:rPr>
      <w:rFonts w:ascii="Calibri" w:eastAsia="Calibri" w:hAnsi="Calibri" w:cs="Arial"/>
      <w:b/>
      <w:bCs/>
      <w:sz w:val="20"/>
      <w:szCs w:val="20"/>
      <w:lang w:val="en-US" w:bidi="he-IL"/>
    </w:rPr>
  </w:style>
  <w:style w:type="paragraph" w:styleId="FootnoteText">
    <w:name w:val="footnote text"/>
    <w:basedOn w:val="Normal"/>
    <w:link w:val="FootnoteTextChar"/>
    <w:uiPriority w:val="99"/>
    <w:unhideWhenUsed/>
    <w:qFormat/>
    <w:rsid w:val="00901C07"/>
    <w:rPr>
      <w:szCs w:val="20"/>
    </w:rPr>
  </w:style>
  <w:style w:type="character" w:customStyle="1" w:styleId="FootnoteTextChar">
    <w:name w:val="Footnote Text Char"/>
    <w:basedOn w:val="DefaultParagraphFont"/>
    <w:link w:val="FootnoteText"/>
    <w:uiPriority w:val="99"/>
    <w:rsid w:val="00901C07"/>
    <w:rPr>
      <w:rFonts w:ascii="Times New Roman" w:eastAsia="Times New Roman" w:hAnsi="Times New Roman" w:cs="David"/>
      <w:color w:val="000000" w:themeColor="text1"/>
      <w:szCs w:val="20"/>
    </w:rPr>
  </w:style>
  <w:style w:type="character" w:styleId="FootnoteReference">
    <w:name w:val="footnote reference"/>
    <w:basedOn w:val="DefaultParagraphFont"/>
    <w:uiPriority w:val="99"/>
    <w:semiHidden/>
    <w:unhideWhenUsed/>
    <w:rsid w:val="002716E2"/>
    <w:rPr>
      <w:vertAlign w:val="superscript"/>
    </w:rPr>
  </w:style>
  <w:style w:type="character" w:styleId="Hyperlink">
    <w:name w:val="Hyperlink"/>
    <w:basedOn w:val="DefaultParagraphFont"/>
    <w:uiPriority w:val="99"/>
    <w:unhideWhenUsed/>
    <w:rsid w:val="00C81F71"/>
    <w:rPr>
      <w:color w:val="0563C1" w:themeColor="hyperlink"/>
      <w:u w:val="single"/>
    </w:rPr>
  </w:style>
  <w:style w:type="character" w:styleId="UnresolvedMention">
    <w:name w:val="Unresolved Mention"/>
    <w:basedOn w:val="DefaultParagraphFont"/>
    <w:uiPriority w:val="99"/>
    <w:semiHidden/>
    <w:unhideWhenUsed/>
    <w:rsid w:val="00C81F71"/>
    <w:rPr>
      <w:color w:val="605E5C"/>
      <w:shd w:val="clear" w:color="auto" w:fill="E1DFDD"/>
    </w:rPr>
  </w:style>
  <w:style w:type="character" w:customStyle="1" w:styleId="Heading2Char">
    <w:name w:val="Heading 2 Char"/>
    <w:basedOn w:val="DefaultParagraphFont"/>
    <w:link w:val="Heading2"/>
    <w:uiPriority w:val="9"/>
    <w:rsid w:val="00C81F71"/>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unhideWhenUsed/>
    <w:rsid w:val="00334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3473B"/>
    <w:rPr>
      <w:rFonts w:ascii="Courier New" w:eastAsia="Times New Roman" w:hAnsi="Courier New" w:cs="Courier New"/>
      <w:sz w:val="20"/>
      <w:szCs w:val="20"/>
    </w:rPr>
  </w:style>
  <w:style w:type="character" w:customStyle="1" w:styleId="y2iqfc">
    <w:name w:val="y2iqfc"/>
    <w:basedOn w:val="DefaultParagraphFont"/>
    <w:rsid w:val="0033473B"/>
  </w:style>
  <w:style w:type="character" w:styleId="HTMLCite">
    <w:name w:val="HTML Cite"/>
    <w:basedOn w:val="DefaultParagraphFont"/>
    <w:uiPriority w:val="99"/>
    <w:semiHidden/>
    <w:unhideWhenUsed/>
    <w:rsid w:val="005D38F1"/>
    <w:rPr>
      <w:i/>
      <w:iCs/>
    </w:rPr>
  </w:style>
  <w:style w:type="character" w:styleId="Emphasis">
    <w:name w:val="Emphasis"/>
    <w:basedOn w:val="DefaultParagraphFont"/>
    <w:uiPriority w:val="20"/>
    <w:rsid w:val="00B9322B"/>
    <w:rPr>
      <w:i/>
      <w:iCs/>
    </w:rPr>
  </w:style>
  <w:style w:type="character" w:customStyle="1" w:styleId="Heading1Char">
    <w:name w:val="Heading 1 Char"/>
    <w:basedOn w:val="DefaultParagraphFont"/>
    <w:link w:val="Heading1"/>
    <w:uiPriority w:val="9"/>
    <w:rsid w:val="00784C7C"/>
    <w:rPr>
      <w:rFonts w:ascii="Times New Roman" w:eastAsia="Times New Roman" w:hAnsi="Times New Roman" w:cs="Times New Roman"/>
      <w:b/>
      <w:bCs/>
    </w:rPr>
  </w:style>
  <w:style w:type="paragraph" w:styleId="ListParagraph">
    <w:name w:val="List Paragraph"/>
    <w:basedOn w:val="Normal"/>
    <w:uiPriority w:val="34"/>
    <w:rsid w:val="0048588D"/>
    <w:pPr>
      <w:ind w:left="720"/>
      <w:contextualSpacing/>
    </w:pPr>
  </w:style>
  <w:style w:type="character" w:customStyle="1" w:styleId="small-caps">
    <w:name w:val="small-caps"/>
    <w:basedOn w:val="DefaultParagraphFont"/>
    <w:rsid w:val="00FD5A16"/>
  </w:style>
  <w:style w:type="character" w:styleId="FollowedHyperlink">
    <w:name w:val="FollowedHyperlink"/>
    <w:basedOn w:val="DefaultParagraphFont"/>
    <w:uiPriority w:val="99"/>
    <w:semiHidden/>
    <w:unhideWhenUsed/>
    <w:rsid w:val="00267C5F"/>
    <w:rPr>
      <w:color w:val="954F72" w:themeColor="followedHyperlink"/>
      <w:u w:val="single"/>
    </w:rPr>
  </w:style>
  <w:style w:type="character" w:customStyle="1" w:styleId="il">
    <w:name w:val="il"/>
    <w:basedOn w:val="DefaultParagraphFont"/>
    <w:rsid w:val="006C7D4C"/>
  </w:style>
  <w:style w:type="character" w:customStyle="1" w:styleId="jlqj4b">
    <w:name w:val="jlqj4b"/>
    <w:basedOn w:val="DefaultParagraphFont"/>
    <w:rsid w:val="002500E0"/>
  </w:style>
  <w:style w:type="character" w:customStyle="1" w:styleId="material-icons-extended">
    <w:name w:val="material-icons-extended"/>
    <w:basedOn w:val="DefaultParagraphFont"/>
    <w:rsid w:val="00A241A3"/>
  </w:style>
  <w:style w:type="character" w:customStyle="1" w:styleId="text">
    <w:name w:val="text"/>
    <w:basedOn w:val="DefaultParagraphFont"/>
    <w:rsid w:val="00880B4F"/>
  </w:style>
  <w:style w:type="character" w:customStyle="1" w:styleId="indent-1-breaks">
    <w:name w:val="indent-1-breaks"/>
    <w:basedOn w:val="DefaultParagraphFont"/>
    <w:rsid w:val="00880B4F"/>
  </w:style>
  <w:style w:type="character" w:styleId="Strong">
    <w:name w:val="Strong"/>
    <w:basedOn w:val="DefaultParagraphFont"/>
    <w:uiPriority w:val="22"/>
    <w:rsid w:val="00CA2CCC"/>
    <w:rPr>
      <w:b/>
      <w:bCs/>
    </w:rPr>
  </w:style>
  <w:style w:type="paragraph" w:styleId="NormalWeb">
    <w:name w:val="Normal (Web)"/>
    <w:basedOn w:val="Normal"/>
    <w:uiPriority w:val="99"/>
    <w:semiHidden/>
    <w:unhideWhenUsed/>
    <w:rsid w:val="00CA2CCC"/>
    <w:pPr>
      <w:spacing w:before="100" w:beforeAutospacing="1" w:after="100" w:afterAutospacing="1"/>
    </w:pPr>
  </w:style>
  <w:style w:type="paragraph" w:styleId="Revision">
    <w:name w:val="Revision"/>
    <w:hidden/>
    <w:uiPriority w:val="99"/>
    <w:semiHidden/>
    <w:rsid w:val="00492E36"/>
    <w:rPr>
      <w:rFonts w:ascii="Times New Roman" w:eastAsia="Times New Roman" w:hAnsi="Times New Roman" w:cs="Times New Roman"/>
    </w:rPr>
  </w:style>
  <w:style w:type="paragraph" w:styleId="Title">
    <w:name w:val="Title"/>
    <w:basedOn w:val="Normal"/>
    <w:next w:val="Normal"/>
    <w:link w:val="TitleChar"/>
    <w:uiPriority w:val="10"/>
    <w:qFormat/>
    <w:rsid w:val="00761532"/>
    <w:pPr>
      <w:jc w:val="center"/>
    </w:pPr>
    <w:rPr>
      <w:b/>
      <w:bCs/>
      <w:sz w:val="32"/>
      <w:szCs w:val="32"/>
    </w:rPr>
  </w:style>
  <w:style w:type="character" w:customStyle="1" w:styleId="TitleChar">
    <w:name w:val="Title Char"/>
    <w:basedOn w:val="DefaultParagraphFont"/>
    <w:link w:val="Title"/>
    <w:uiPriority w:val="10"/>
    <w:rsid w:val="00761532"/>
    <w:rPr>
      <w:rFonts w:ascii="Times New Roman" w:eastAsia="Times New Roman" w:hAnsi="Times New Roman" w:cs="David"/>
      <w:b/>
      <w:bCs/>
      <w:color w:val="000000" w:themeColor="text1"/>
      <w:sz w:val="32"/>
      <w:szCs w:val="32"/>
    </w:rPr>
  </w:style>
  <w:style w:type="paragraph" w:styleId="NoSpacing">
    <w:name w:val="No Spacing"/>
    <w:uiPriority w:val="1"/>
    <w:qFormat/>
    <w:rsid w:val="00761532"/>
    <w:pPr>
      <w:jc w:val="both"/>
    </w:pPr>
    <w:rPr>
      <w:rFonts w:ascii="Times New Roman" w:eastAsia="Times New Roman" w:hAnsi="Times New Roman" w:cs="David"/>
      <w:color w:val="000000" w:themeColor="text1"/>
    </w:rPr>
  </w:style>
  <w:style w:type="paragraph" w:styleId="Quote">
    <w:name w:val="Quote"/>
    <w:basedOn w:val="Normal"/>
    <w:next w:val="Normal"/>
    <w:link w:val="QuoteChar"/>
    <w:uiPriority w:val="29"/>
    <w:qFormat/>
    <w:rsid w:val="008F5523"/>
    <w:pPr>
      <w:ind w:left="720" w:right="720"/>
    </w:pPr>
  </w:style>
  <w:style w:type="character" w:customStyle="1" w:styleId="QuoteChar">
    <w:name w:val="Quote Char"/>
    <w:basedOn w:val="DefaultParagraphFont"/>
    <w:link w:val="Quote"/>
    <w:uiPriority w:val="29"/>
    <w:rsid w:val="008F5523"/>
    <w:rPr>
      <w:rFonts w:ascii="Times New Roman" w:eastAsia="Times New Roman" w:hAnsi="Times New Roman" w:cs="David"/>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37">
      <w:bodyDiv w:val="1"/>
      <w:marLeft w:val="0"/>
      <w:marRight w:val="0"/>
      <w:marTop w:val="0"/>
      <w:marBottom w:val="0"/>
      <w:divBdr>
        <w:top w:val="none" w:sz="0" w:space="0" w:color="auto"/>
        <w:left w:val="none" w:sz="0" w:space="0" w:color="auto"/>
        <w:bottom w:val="none" w:sz="0" w:space="0" w:color="auto"/>
        <w:right w:val="none" w:sz="0" w:space="0" w:color="auto"/>
      </w:divBdr>
    </w:div>
    <w:div w:id="43717769">
      <w:bodyDiv w:val="1"/>
      <w:marLeft w:val="0"/>
      <w:marRight w:val="0"/>
      <w:marTop w:val="0"/>
      <w:marBottom w:val="0"/>
      <w:divBdr>
        <w:top w:val="none" w:sz="0" w:space="0" w:color="auto"/>
        <w:left w:val="none" w:sz="0" w:space="0" w:color="auto"/>
        <w:bottom w:val="none" w:sz="0" w:space="0" w:color="auto"/>
        <w:right w:val="none" w:sz="0" w:space="0" w:color="auto"/>
      </w:divBdr>
    </w:div>
    <w:div w:id="81462708">
      <w:bodyDiv w:val="1"/>
      <w:marLeft w:val="0"/>
      <w:marRight w:val="0"/>
      <w:marTop w:val="0"/>
      <w:marBottom w:val="0"/>
      <w:divBdr>
        <w:top w:val="none" w:sz="0" w:space="0" w:color="auto"/>
        <w:left w:val="none" w:sz="0" w:space="0" w:color="auto"/>
        <w:bottom w:val="none" w:sz="0" w:space="0" w:color="auto"/>
        <w:right w:val="none" w:sz="0" w:space="0" w:color="auto"/>
      </w:divBdr>
    </w:div>
    <w:div w:id="111360953">
      <w:bodyDiv w:val="1"/>
      <w:marLeft w:val="0"/>
      <w:marRight w:val="0"/>
      <w:marTop w:val="0"/>
      <w:marBottom w:val="0"/>
      <w:divBdr>
        <w:top w:val="none" w:sz="0" w:space="0" w:color="auto"/>
        <w:left w:val="none" w:sz="0" w:space="0" w:color="auto"/>
        <w:bottom w:val="none" w:sz="0" w:space="0" w:color="auto"/>
        <w:right w:val="none" w:sz="0" w:space="0" w:color="auto"/>
      </w:divBdr>
    </w:div>
    <w:div w:id="155466039">
      <w:bodyDiv w:val="1"/>
      <w:marLeft w:val="0"/>
      <w:marRight w:val="0"/>
      <w:marTop w:val="0"/>
      <w:marBottom w:val="0"/>
      <w:divBdr>
        <w:top w:val="none" w:sz="0" w:space="0" w:color="auto"/>
        <w:left w:val="none" w:sz="0" w:space="0" w:color="auto"/>
        <w:bottom w:val="none" w:sz="0" w:space="0" w:color="auto"/>
        <w:right w:val="none" w:sz="0" w:space="0" w:color="auto"/>
      </w:divBdr>
    </w:div>
    <w:div w:id="192354308">
      <w:bodyDiv w:val="1"/>
      <w:marLeft w:val="0"/>
      <w:marRight w:val="0"/>
      <w:marTop w:val="0"/>
      <w:marBottom w:val="0"/>
      <w:divBdr>
        <w:top w:val="none" w:sz="0" w:space="0" w:color="auto"/>
        <w:left w:val="none" w:sz="0" w:space="0" w:color="auto"/>
        <w:bottom w:val="none" w:sz="0" w:space="0" w:color="auto"/>
        <w:right w:val="none" w:sz="0" w:space="0" w:color="auto"/>
      </w:divBdr>
    </w:div>
    <w:div w:id="219220090">
      <w:bodyDiv w:val="1"/>
      <w:marLeft w:val="0"/>
      <w:marRight w:val="0"/>
      <w:marTop w:val="0"/>
      <w:marBottom w:val="0"/>
      <w:divBdr>
        <w:top w:val="none" w:sz="0" w:space="0" w:color="auto"/>
        <w:left w:val="none" w:sz="0" w:space="0" w:color="auto"/>
        <w:bottom w:val="none" w:sz="0" w:space="0" w:color="auto"/>
        <w:right w:val="none" w:sz="0" w:space="0" w:color="auto"/>
      </w:divBdr>
    </w:div>
    <w:div w:id="257181824">
      <w:bodyDiv w:val="1"/>
      <w:marLeft w:val="0"/>
      <w:marRight w:val="0"/>
      <w:marTop w:val="0"/>
      <w:marBottom w:val="0"/>
      <w:divBdr>
        <w:top w:val="none" w:sz="0" w:space="0" w:color="auto"/>
        <w:left w:val="none" w:sz="0" w:space="0" w:color="auto"/>
        <w:bottom w:val="none" w:sz="0" w:space="0" w:color="auto"/>
        <w:right w:val="none" w:sz="0" w:space="0" w:color="auto"/>
      </w:divBdr>
      <w:divsChild>
        <w:div w:id="726535335">
          <w:marLeft w:val="0"/>
          <w:marRight w:val="0"/>
          <w:marTop w:val="0"/>
          <w:marBottom w:val="0"/>
          <w:divBdr>
            <w:top w:val="none" w:sz="0" w:space="0" w:color="auto"/>
            <w:left w:val="none" w:sz="0" w:space="0" w:color="auto"/>
            <w:bottom w:val="none" w:sz="0" w:space="0" w:color="auto"/>
            <w:right w:val="none" w:sz="0" w:space="0" w:color="auto"/>
          </w:divBdr>
          <w:divsChild>
            <w:div w:id="37780953">
              <w:marLeft w:val="0"/>
              <w:marRight w:val="0"/>
              <w:marTop w:val="0"/>
              <w:marBottom w:val="0"/>
              <w:divBdr>
                <w:top w:val="none" w:sz="0" w:space="0" w:color="auto"/>
                <w:left w:val="none" w:sz="0" w:space="0" w:color="auto"/>
                <w:bottom w:val="none" w:sz="0" w:space="0" w:color="auto"/>
                <w:right w:val="none" w:sz="0" w:space="0" w:color="auto"/>
              </w:divBdr>
            </w:div>
          </w:divsChild>
        </w:div>
        <w:div w:id="253827247">
          <w:marLeft w:val="0"/>
          <w:marRight w:val="0"/>
          <w:marTop w:val="0"/>
          <w:marBottom w:val="0"/>
          <w:divBdr>
            <w:top w:val="none" w:sz="0" w:space="0" w:color="auto"/>
            <w:left w:val="none" w:sz="0" w:space="0" w:color="auto"/>
            <w:bottom w:val="none" w:sz="0" w:space="0" w:color="auto"/>
            <w:right w:val="none" w:sz="0" w:space="0" w:color="auto"/>
          </w:divBdr>
          <w:divsChild>
            <w:div w:id="16687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6889">
      <w:bodyDiv w:val="1"/>
      <w:marLeft w:val="0"/>
      <w:marRight w:val="0"/>
      <w:marTop w:val="0"/>
      <w:marBottom w:val="0"/>
      <w:divBdr>
        <w:top w:val="none" w:sz="0" w:space="0" w:color="auto"/>
        <w:left w:val="none" w:sz="0" w:space="0" w:color="auto"/>
        <w:bottom w:val="none" w:sz="0" w:space="0" w:color="auto"/>
        <w:right w:val="none" w:sz="0" w:space="0" w:color="auto"/>
      </w:divBdr>
    </w:div>
    <w:div w:id="289239854">
      <w:bodyDiv w:val="1"/>
      <w:marLeft w:val="0"/>
      <w:marRight w:val="0"/>
      <w:marTop w:val="0"/>
      <w:marBottom w:val="0"/>
      <w:divBdr>
        <w:top w:val="none" w:sz="0" w:space="0" w:color="auto"/>
        <w:left w:val="none" w:sz="0" w:space="0" w:color="auto"/>
        <w:bottom w:val="none" w:sz="0" w:space="0" w:color="auto"/>
        <w:right w:val="none" w:sz="0" w:space="0" w:color="auto"/>
      </w:divBdr>
    </w:div>
    <w:div w:id="306739093">
      <w:bodyDiv w:val="1"/>
      <w:marLeft w:val="0"/>
      <w:marRight w:val="0"/>
      <w:marTop w:val="0"/>
      <w:marBottom w:val="0"/>
      <w:divBdr>
        <w:top w:val="none" w:sz="0" w:space="0" w:color="auto"/>
        <w:left w:val="none" w:sz="0" w:space="0" w:color="auto"/>
        <w:bottom w:val="none" w:sz="0" w:space="0" w:color="auto"/>
        <w:right w:val="none" w:sz="0" w:space="0" w:color="auto"/>
      </w:divBdr>
    </w:div>
    <w:div w:id="334502993">
      <w:bodyDiv w:val="1"/>
      <w:marLeft w:val="0"/>
      <w:marRight w:val="0"/>
      <w:marTop w:val="0"/>
      <w:marBottom w:val="0"/>
      <w:divBdr>
        <w:top w:val="none" w:sz="0" w:space="0" w:color="auto"/>
        <w:left w:val="none" w:sz="0" w:space="0" w:color="auto"/>
        <w:bottom w:val="none" w:sz="0" w:space="0" w:color="auto"/>
        <w:right w:val="none" w:sz="0" w:space="0" w:color="auto"/>
      </w:divBdr>
    </w:div>
    <w:div w:id="353700627">
      <w:bodyDiv w:val="1"/>
      <w:marLeft w:val="0"/>
      <w:marRight w:val="0"/>
      <w:marTop w:val="0"/>
      <w:marBottom w:val="0"/>
      <w:divBdr>
        <w:top w:val="none" w:sz="0" w:space="0" w:color="auto"/>
        <w:left w:val="none" w:sz="0" w:space="0" w:color="auto"/>
        <w:bottom w:val="none" w:sz="0" w:space="0" w:color="auto"/>
        <w:right w:val="none" w:sz="0" w:space="0" w:color="auto"/>
      </w:divBdr>
    </w:div>
    <w:div w:id="386731342">
      <w:bodyDiv w:val="1"/>
      <w:marLeft w:val="0"/>
      <w:marRight w:val="0"/>
      <w:marTop w:val="0"/>
      <w:marBottom w:val="0"/>
      <w:divBdr>
        <w:top w:val="none" w:sz="0" w:space="0" w:color="auto"/>
        <w:left w:val="none" w:sz="0" w:space="0" w:color="auto"/>
        <w:bottom w:val="none" w:sz="0" w:space="0" w:color="auto"/>
        <w:right w:val="none" w:sz="0" w:space="0" w:color="auto"/>
      </w:divBdr>
    </w:div>
    <w:div w:id="438527450">
      <w:bodyDiv w:val="1"/>
      <w:marLeft w:val="0"/>
      <w:marRight w:val="0"/>
      <w:marTop w:val="0"/>
      <w:marBottom w:val="0"/>
      <w:divBdr>
        <w:top w:val="none" w:sz="0" w:space="0" w:color="auto"/>
        <w:left w:val="none" w:sz="0" w:space="0" w:color="auto"/>
        <w:bottom w:val="none" w:sz="0" w:space="0" w:color="auto"/>
        <w:right w:val="none" w:sz="0" w:space="0" w:color="auto"/>
      </w:divBdr>
    </w:div>
    <w:div w:id="479930301">
      <w:bodyDiv w:val="1"/>
      <w:marLeft w:val="0"/>
      <w:marRight w:val="0"/>
      <w:marTop w:val="0"/>
      <w:marBottom w:val="0"/>
      <w:divBdr>
        <w:top w:val="none" w:sz="0" w:space="0" w:color="auto"/>
        <w:left w:val="none" w:sz="0" w:space="0" w:color="auto"/>
        <w:bottom w:val="none" w:sz="0" w:space="0" w:color="auto"/>
        <w:right w:val="none" w:sz="0" w:space="0" w:color="auto"/>
      </w:divBdr>
    </w:div>
    <w:div w:id="499320848">
      <w:bodyDiv w:val="1"/>
      <w:marLeft w:val="0"/>
      <w:marRight w:val="0"/>
      <w:marTop w:val="0"/>
      <w:marBottom w:val="0"/>
      <w:divBdr>
        <w:top w:val="none" w:sz="0" w:space="0" w:color="auto"/>
        <w:left w:val="none" w:sz="0" w:space="0" w:color="auto"/>
        <w:bottom w:val="none" w:sz="0" w:space="0" w:color="auto"/>
        <w:right w:val="none" w:sz="0" w:space="0" w:color="auto"/>
      </w:divBdr>
    </w:div>
    <w:div w:id="508104652">
      <w:bodyDiv w:val="1"/>
      <w:marLeft w:val="0"/>
      <w:marRight w:val="0"/>
      <w:marTop w:val="0"/>
      <w:marBottom w:val="0"/>
      <w:divBdr>
        <w:top w:val="none" w:sz="0" w:space="0" w:color="auto"/>
        <w:left w:val="none" w:sz="0" w:space="0" w:color="auto"/>
        <w:bottom w:val="none" w:sz="0" w:space="0" w:color="auto"/>
        <w:right w:val="none" w:sz="0" w:space="0" w:color="auto"/>
      </w:divBdr>
    </w:div>
    <w:div w:id="509371898">
      <w:bodyDiv w:val="1"/>
      <w:marLeft w:val="0"/>
      <w:marRight w:val="0"/>
      <w:marTop w:val="0"/>
      <w:marBottom w:val="0"/>
      <w:divBdr>
        <w:top w:val="none" w:sz="0" w:space="0" w:color="auto"/>
        <w:left w:val="none" w:sz="0" w:space="0" w:color="auto"/>
        <w:bottom w:val="none" w:sz="0" w:space="0" w:color="auto"/>
        <w:right w:val="none" w:sz="0" w:space="0" w:color="auto"/>
      </w:divBdr>
    </w:div>
    <w:div w:id="514658230">
      <w:bodyDiv w:val="1"/>
      <w:marLeft w:val="0"/>
      <w:marRight w:val="0"/>
      <w:marTop w:val="0"/>
      <w:marBottom w:val="0"/>
      <w:divBdr>
        <w:top w:val="none" w:sz="0" w:space="0" w:color="auto"/>
        <w:left w:val="none" w:sz="0" w:space="0" w:color="auto"/>
        <w:bottom w:val="none" w:sz="0" w:space="0" w:color="auto"/>
        <w:right w:val="none" w:sz="0" w:space="0" w:color="auto"/>
      </w:divBdr>
    </w:div>
    <w:div w:id="542135436">
      <w:bodyDiv w:val="1"/>
      <w:marLeft w:val="0"/>
      <w:marRight w:val="0"/>
      <w:marTop w:val="0"/>
      <w:marBottom w:val="0"/>
      <w:divBdr>
        <w:top w:val="none" w:sz="0" w:space="0" w:color="auto"/>
        <w:left w:val="none" w:sz="0" w:space="0" w:color="auto"/>
        <w:bottom w:val="none" w:sz="0" w:space="0" w:color="auto"/>
        <w:right w:val="none" w:sz="0" w:space="0" w:color="auto"/>
      </w:divBdr>
    </w:div>
    <w:div w:id="558637191">
      <w:bodyDiv w:val="1"/>
      <w:marLeft w:val="0"/>
      <w:marRight w:val="0"/>
      <w:marTop w:val="0"/>
      <w:marBottom w:val="0"/>
      <w:divBdr>
        <w:top w:val="none" w:sz="0" w:space="0" w:color="auto"/>
        <w:left w:val="none" w:sz="0" w:space="0" w:color="auto"/>
        <w:bottom w:val="none" w:sz="0" w:space="0" w:color="auto"/>
        <w:right w:val="none" w:sz="0" w:space="0" w:color="auto"/>
      </w:divBdr>
    </w:div>
    <w:div w:id="569392385">
      <w:bodyDiv w:val="1"/>
      <w:marLeft w:val="0"/>
      <w:marRight w:val="0"/>
      <w:marTop w:val="0"/>
      <w:marBottom w:val="0"/>
      <w:divBdr>
        <w:top w:val="none" w:sz="0" w:space="0" w:color="auto"/>
        <w:left w:val="none" w:sz="0" w:space="0" w:color="auto"/>
        <w:bottom w:val="none" w:sz="0" w:space="0" w:color="auto"/>
        <w:right w:val="none" w:sz="0" w:space="0" w:color="auto"/>
      </w:divBdr>
    </w:div>
    <w:div w:id="577440356">
      <w:bodyDiv w:val="1"/>
      <w:marLeft w:val="0"/>
      <w:marRight w:val="0"/>
      <w:marTop w:val="0"/>
      <w:marBottom w:val="0"/>
      <w:divBdr>
        <w:top w:val="none" w:sz="0" w:space="0" w:color="auto"/>
        <w:left w:val="none" w:sz="0" w:space="0" w:color="auto"/>
        <w:bottom w:val="none" w:sz="0" w:space="0" w:color="auto"/>
        <w:right w:val="none" w:sz="0" w:space="0" w:color="auto"/>
      </w:divBdr>
    </w:div>
    <w:div w:id="580918062">
      <w:bodyDiv w:val="1"/>
      <w:marLeft w:val="0"/>
      <w:marRight w:val="0"/>
      <w:marTop w:val="0"/>
      <w:marBottom w:val="0"/>
      <w:divBdr>
        <w:top w:val="none" w:sz="0" w:space="0" w:color="auto"/>
        <w:left w:val="none" w:sz="0" w:space="0" w:color="auto"/>
        <w:bottom w:val="none" w:sz="0" w:space="0" w:color="auto"/>
        <w:right w:val="none" w:sz="0" w:space="0" w:color="auto"/>
      </w:divBdr>
    </w:div>
    <w:div w:id="584457135">
      <w:bodyDiv w:val="1"/>
      <w:marLeft w:val="0"/>
      <w:marRight w:val="0"/>
      <w:marTop w:val="0"/>
      <w:marBottom w:val="0"/>
      <w:divBdr>
        <w:top w:val="none" w:sz="0" w:space="0" w:color="auto"/>
        <w:left w:val="none" w:sz="0" w:space="0" w:color="auto"/>
        <w:bottom w:val="none" w:sz="0" w:space="0" w:color="auto"/>
        <w:right w:val="none" w:sz="0" w:space="0" w:color="auto"/>
      </w:divBdr>
    </w:div>
    <w:div w:id="594018637">
      <w:bodyDiv w:val="1"/>
      <w:marLeft w:val="0"/>
      <w:marRight w:val="0"/>
      <w:marTop w:val="0"/>
      <w:marBottom w:val="0"/>
      <w:divBdr>
        <w:top w:val="none" w:sz="0" w:space="0" w:color="auto"/>
        <w:left w:val="none" w:sz="0" w:space="0" w:color="auto"/>
        <w:bottom w:val="none" w:sz="0" w:space="0" w:color="auto"/>
        <w:right w:val="none" w:sz="0" w:space="0" w:color="auto"/>
      </w:divBdr>
    </w:div>
    <w:div w:id="616521239">
      <w:bodyDiv w:val="1"/>
      <w:marLeft w:val="0"/>
      <w:marRight w:val="0"/>
      <w:marTop w:val="0"/>
      <w:marBottom w:val="0"/>
      <w:divBdr>
        <w:top w:val="none" w:sz="0" w:space="0" w:color="auto"/>
        <w:left w:val="none" w:sz="0" w:space="0" w:color="auto"/>
        <w:bottom w:val="none" w:sz="0" w:space="0" w:color="auto"/>
        <w:right w:val="none" w:sz="0" w:space="0" w:color="auto"/>
      </w:divBdr>
    </w:div>
    <w:div w:id="617491433">
      <w:bodyDiv w:val="1"/>
      <w:marLeft w:val="0"/>
      <w:marRight w:val="0"/>
      <w:marTop w:val="0"/>
      <w:marBottom w:val="0"/>
      <w:divBdr>
        <w:top w:val="none" w:sz="0" w:space="0" w:color="auto"/>
        <w:left w:val="none" w:sz="0" w:space="0" w:color="auto"/>
        <w:bottom w:val="none" w:sz="0" w:space="0" w:color="auto"/>
        <w:right w:val="none" w:sz="0" w:space="0" w:color="auto"/>
      </w:divBdr>
    </w:div>
    <w:div w:id="621376331">
      <w:bodyDiv w:val="1"/>
      <w:marLeft w:val="0"/>
      <w:marRight w:val="0"/>
      <w:marTop w:val="0"/>
      <w:marBottom w:val="0"/>
      <w:divBdr>
        <w:top w:val="none" w:sz="0" w:space="0" w:color="auto"/>
        <w:left w:val="none" w:sz="0" w:space="0" w:color="auto"/>
        <w:bottom w:val="none" w:sz="0" w:space="0" w:color="auto"/>
        <w:right w:val="none" w:sz="0" w:space="0" w:color="auto"/>
      </w:divBdr>
    </w:div>
    <w:div w:id="636377233">
      <w:bodyDiv w:val="1"/>
      <w:marLeft w:val="0"/>
      <w:marRight w:val="0"/>
      <w:marTop w:val="0"/>
      <w:marBottom w:val="0"/>
      <w:divBdr>
        <w:top w:val="none" w:sz="0" w:space="0" w:color="auto"/>
        <w:left w:val="none" w:sz="0" w:space="0" w:color="auto"/>
        <w:bottom w:val="none" w:sz="0" w:space="0" w:color="auto"/>
        <w:right w:val="none" w:sz="0" w:space="0" w:color="auto"/>
      </w:divBdr>
    </w:div>
    <w:div w:id="644701642">
      <w:bodyDiv w:val="1"/>
      <w:marLeft w:val="0"/>
      <w:marRight w:val="0"/>
      <w:marTop w:val="0"/>
      <w:marBottom w:val="0"/>
      <w:divBdr>
        <w:top w:val="none" w:sz="0" w:space="0" w:color="auto"/>
        <w:left w:val="none" w:sz="0" w:space="0" w:color="auto"/>
        <w:bottom w:val="none" w:sz="0" w:space="0" w:color="auto"/>
        <w:right w:val="none" w:sz="0" w:space="0" w:color="auto"/>
      </w:divBdr>
    </w:div>
    <w:div w:id="647706554">
      <w:bodyDiv w:val="1"/>
      <w:marLeft w:val="0"/>
      <w:marRight w:val="0"/>
      <w:marTop w:val="0"/>
      <w:marBottom w:val="0"/>
      <w:divBdr>
        <w:top w:val="none" w:sz="0" w:space="0" w:color="auto"/>
        <w:left w:val="none" w:sz="0" w:space="0" w:color="auto"/>
        <w:bottom w:val="none" w:sz="0" w:space="0" w:color="auto"/>
        <w:right w:val="none" w:sz="0" w:space="0" w:color="auto"/>
      </w:divBdr>
    </w:div>
    <w:div w:id="674648676">
      <w:bodyDiv w:val="1"/>
      <w:marLeft w:val="0"/>
      <w:marRight w:val="0"/>
      <w:marTop w:val="0"/>
      <w:marBottom w:val="0"/>
      <w:divBdr>
        <w:top w:val="none" w:sz="0" w:space="0" w:color="auto"/>
        <w:left w:val="none" w:sz="0" w:space="0" w:color="auto"/>
        <w:bottom w:val="none" w:sz="0" w:space="0" w:color="auto"/>
        <w:right w:val="none" w:sz="0" w:space="0" w:color="auto"/>
      </w:divBdr>
    </w:div>
    <w:div w:id="682636252">
      <w:bodyDiv w:val="1"/>
      <w:marLeft w:val="0"/>
      <w:marRight w:val="0"/>
      <w:marTop w:val="0"/>
      <w:marBottom w:val="0"/>
      <w:divBdr>
        <w:top w:val="none" w:sz="0" w:space="0" w:color="auto"/>
        <w:left w:val="none" w:sz="0" w:space="0" w:color="auto"/>
        <w:bottom w:val="none" w:sz="0" w:space="0" w:color="auto"/>
        <w:right w:val="none" w:sz="0" w:space="0" w:color="auto"/>
      </w:divBdr>
    </w:div>
    <w:div w:id="699860825">
      <w:bodyDiv w:val="1"/>
      <w:marLeft w:val="0"/>
      <w:marRight w:val="0"/>
      <w:marTop w:val="0"/>
      <w:marBottom w:val="0"/>
      <w:divBdr>
        <w:top w:val="none" w:sz="0" w:space="0" w:color="auto"/>
        <w:left w:val="none" w:sz="0" w:space="0" w:color="auto"/>
        <w:bottom w:val="none" w:sz="0" w:space="0" w:color="auto"/>
        <w:right w:val="none" w:sz="0" w:space="0" w:color="auto"/>
      </w:divBdr>
    </w:div>
    <w:div w:id="714814416">
      <w:bodyDiv w:val="1"/>
      <w:marLeft w:val="0"/>
      <w:marRight w:val="0"/>
      <w:marTop w:val="0"/>
      <w:marBottom w:val="0"/>
      <w:divBdr>
        <w:top w:val="none" w:sz="0" w:space="0" w:color="auto"/>
        <w:left w:val="none" w:sz="0" w:space="0" w:color="auto"/>
        <w:bottom w:val="none" w:sz="0" w:space="0" w:color="auto"/>
        <w:right w:val="none" w:sz="0" w:space="0" w:color="auto"/>
      </w:divBdr>
    </w:div>
    <w:div w:id="733629002">
      <w:bodyDiv w:val="1"/>
      <w:marLeft w:val="0"/>
      <w:marRight w:val="0"/>
      <w:marTop w:val="0"/>
      <w:marBottom w:val="0"/>
      <w:divBdr>
        <w:top w:val="none" w:sz="0" w:space="0" w:color="auto"/>
        <w:left w:val="none" w:sz="0" w:space="0" w:color="auto"/>
        <w:bottom w:val="none" w:sz="0" w:space="0" w:color="auto"/>
        <w:right w:val="none" w:sz="0" w:space="0" w:color="auto"/>
      </w:divBdr>
    </w:div>
    <w:div w:id="737752422">
      <w:bodyDiv w:val="1"/>
      <w:marLeft w:val="0"/>
      <w:marRight w:val="0"/>
      <w:marTop w:val="0"/>
      <w:marBottom w:val="0"/>
      <w:divBdr>
        <w:top w:val="none" w:sz="0" w:space="0" w:color="auto"/>
        <w:left w:val="none" w:sz="0" w:space="0" w:color="auto"/>
        <w:bottom w:val="none" w:sz="0" w:space="0" w:color="auto"/>
        <w:right w:val="none" w:sz="0" w:space="0" w:color="auto"/>
      </w:divBdr>
    </w:div>
    <w:div w:id="814839530">
      <w:bodyDiv w:val="1"/>
      <w:marLeft w:val="0"/>
      <w:marRight w:val="0"/>
      <w:marTop w:val="0"/>
      <w:marBottom w:val="0"/>
      <w:divBdr>
        <w:top w:val="none" w:sz="0" w:space="0" w:color="auto"/>
        <w:left w:val="none" w:sz="0" w:space="0" w:color="auto"/>
        <w:bottom w:val="none" w:sz="0" w:space="0" w:color="auto"/>
        <w:right w:val="none" w:sz="0" w:space="0" w:color="auto"/>
      </w:divBdr>
      <w:divsChild>
        <w:div w:id="61998526">
          <w:marLeft w:val="0"/>
          <w:marRight w:val="0"/>
          <w:marTop w:val="0"/>
          <w:marBottom w:val="0"/>
          <w:divBdr>
            <w:top w:val="none" w:sz="0" w:space="0" w:color="auto"/>
            <w:left w:val="none" w:sz="0" w:space="0" w:color="auto"/>
            <w:bottom w:val="none" w:sz="0" w:space="0" w:color="auto"/>
            <w:right w:val="none" w:sz="0" w:space="0" w:color="auto"/>
          </w:divBdr>
          <w:divsChild>
            <w:div w:id="231430954">
              <w:marLeft w:val="0"/>
              <w:marRight w:val="0"/>
              <w:marTop w:val="0"/>
              <w:marBottom w:val="0"/>
              <w:divBdr>
                <w:top w:val="none" w:sz="0" w:space="0" w:color="auto"/>
                <w:left w:val="none" w:sz="0" w:space="0" w:color="auto"/>
                <w:bottom w:val="none" w:sz="0" w:space="0" w:color="auto"/>
                <w:right w:val="none" w:sz="0" w:space="0" w:color="auto"/>
              </w:divBdr>
              <w:divsChild>
                <w:div w:id="56167795">
                  <w:marLeft w:val="0"/>
                  <w:marRight w:val="0"/>
                  <w:marTop w:val="0"/>
                  <w:marBottom w:val="0"/>
                  <w:divBdr>
                    <w:top w:val="none" w:sz="0" w:space="0" w:color="auto"/>
                    <w:left w:val="none" w:sz="0" w:space="0" w:color="auto"/>
                    <w:bottom w:val="none" w:sz="0" w:space="0" w:color="auto"/>
                    <w:right w:val="none" w:sz="0" w:space="0" w:color="auto"/>
                  </w:divBdr>
                  <w:divsChild>
                    <w:div w:id="2055959356">
                      <w:marLeft w:val="0"/>
                      <w:marRight w:val="0"/>
                      <w:marTop w:val="100"/>
                      <w:marBottom w:val="0"/>
                      <w:divBdr>
                        <w:top w:val="none" w:sz="0" w:space="0" w:color="auto"/>
                        <w:left w:val="none" w:sz="0" w:space="0" w:color="auto"/>
                        <w:bottom w:val="none" w:sz="0" w:space="0" w:color="auto"/>
                        <w:right w:val="none" w:sz="0" w:space="0" w:color="auto"/>
                      </w:divBdr>
                      <w:divsChild>
                        <w:div w:id="810292619">
                          <w:marLeft w:val="0"/>
                          <w:marRight w:val="0"/>
                          <w:marTop w:val="60"/>
                          <w:marBottom w:val="0"/>
                          <w:divBdr>
                            <w:top w:val="none" w:sz="0" w:space="0" w:color="auto"/>
                            <w:left w:val="none" w:sz="0" w:space="0" w:color="auto"/>
                            <w:bottom w:val="none" w:sz="0" w:space="0" w:color="auto"/>
                            <w:right w:val="none" w:sz="0" w:space="0" w:color="auto"/>
                          </w:divBdr>
                        </w:div>
                      </w:divsChild>
                    </w:div>
                    <w:div w:id="1738170089">
                      <w:marLeft w:val="0"/>
                      <w:marRight w:val="0"/>
                      <w:marTop w:val="0"/>
                      <w:marBottom w:val="0"/>
                      <w:divBdr>
                        <w:top w:val="none" w:sz="0" w:space="0" w:color="auto"/>
                        <w:left w:val="none" w:sz="0" w:space="0" w:color="auto"/>
                        <w:bottom w:val="none" w:sz="0" w:space="0" w:color="auto"/>
                        <w:right w:val="none" w:sz="0" w:space="0" w:color="auto"/>
                      </w:divBdr>
                      <w:divsChild>
                        <w:div w:id="1898782168">
                          <w:marLeft w:val="0"/>
                          <w:marRight w:val="0"/>
                          <w:marTop w:val="0"/>
                          <w:marBottom w:val="0"/>
                          <w:divBdr>
                            <w:top w:val="none" w:sz="0" w:space="0" w:color="auto"/>
                            <w:left w:val="none" w:sz="0" w:space="0" w:color="auto"/>
                            <w:bottom w:val="none" w:sz="0" w:space="0" w:color="auto"/>
                            <w:right w:val="none" w:sz="0" w:space="0" w:color="auto"/>
                          </w:divBdr>
                          <w:divsChild>
                            <w:div w:id="2112508526">
                              <w:marLeft w:val="0"/>
                              <w:marRight w:val="0"/>
                              <w:marTop w:val="0"/>
                              <w:marBottom w:val="0"/>
                              <w:divBdr>
                                <w:top w:val="none" w:sz="0" w:space="0" w:color="auto"/>
                                <w:left w:val="none" w:sz="0" w:space="0" w:color="auto"/>
                                <w:bottom w:val="none" w:sz="0" w:space="0" w:color="auto"/>
                                <w:right w:val="none" w:sz="0" w:space="0" w:color="auto"/>
                              </w:divBdr>
                            </w:div>
                            <w:div w:id="573202285">
                              <w:marLeft w:val="0"/>
                              <w:marRight w:val="0"/>
                              <w:marTop w:val="0"/>
                              <w:marBottom w:val="0"/>
                              <w:divBdr>
                                <w:top w:val="none" w:sz="0" w:space="0" w:color="auto"/>
                                <w:left w:val="none" w:sz="0" w:space="0" w:color="auto"/>
                                <w:bottom w:val="none" w:sz="0" w:space="0" w:color="auto"/>
                                <w:right w:val="none" w:sz="0" w:space="0" w:color="auto"/>
                              </w:divBdr>
                              <w:divsChild>
                                <w:div w:id="824205813">
                                  <w:marLeft w:val="0"/>
                                  <w:marRight w:val="0"/>
                                  <w:marTop w:val="0"/>
                                  <w:marBottom w:val="0"/>
                                  <w:divBdr>
                                    <w:top w:val="none" w:sz="0" w:space="0" w:color="auto"/>
                                    <w:left w:val="none" w:sz="0" w:space="0" w:color="auto"/>
                                    <w:bottom w:val="none" w:sz="0" w:space="0" w:color="auto"/>
                                    <w:right w:val="none" w:sz="0" w:space="0" w:color="auto"/>
                                  </w:divBdr>
                                  <w:divsChild>
                                    <w:div w:id="369495979">
                                      <w:marLeft w:val="0"/>
                                      <w:marRight w:val="0"/>
                                      <w:marTop w:val="0"/>
                                      <w:marBottom w:val="0"/>
                                      <w:divBdr>
                                        <w:top w:val="none" w:sz="0" w:space="0" w:color="auto"/>
                                        <w:left w:val="none" w:sz="0" w:space="0" w:color="auto"/>
                                        <w:bottom w:val="none" w:sz="0" w:space="0" w:color="auto"/>
                                        <w:right w:val="none" w:sz="0" w:space="0" w:color="auto"/>
                                      </w:divBdr>
                                      <w:divsChild>
                                        <w:div w:id="1863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537231">
                                  <w:marLeft w:val="0"/>
                                  <w:marRight w:val="0"/>
                                  <w:marTop w:val="0"/>
                                  <w:marBottom w:val="0"/>
                                  <w:divBdr>
                                    <w:top w:val="none" w:sz="0" w:space="0" w:color="auto"/>
                                    <w:left w:val="none" w:sz="0" w:space="0" w:color="auto"/>
                                    <w:bottom w:val="none" w:sz="0" w:space="0" w:color="auto"/>
                                    <w:right w:val="none" w:sz="0" w:space="0" w:color="auto"/>
                                  </w:divBdr>
                                  <w:divsChild>
                                    <w:div w:id="286814518">
                                      <w:marLeft w:val="0"/>
                                      <w:marRight w:val="0"/>
                                      <w:marTop w:val="0"/>
                                      <w:marBottom w:val="0"/>
                                      <w:divBdr>
                                        <w:top w:val="none" w:sz="0" w:space="0" w:color="auto"/>
                                        <w:left w:val="none" w:sz="0" w:space="0" w:color="auto"/>
                                        <w:bottom w:val="none" w:sz="0" w:space="0" w:color="auto"/>
                                        <w:right w:val="none" w:sz="0" w:space="0" w:color="auto"/>
                                      </w:divBdr>
                                    </w:div>
                                  </w:divsChild>
                                </w:div>
                                <w:div w:id="489173737">
                                  <w:marLeft w:val="0"/>
                                  <w:marRight w:val="0"/>
                                  <w:marTop w:val="0"/>
                                  <w:marBottom w:val="0"/>
                                  <w:divBdr>
                                    <w:top w:val="none" w:sz="0" w:space="0" w:color="auto"/>
                                    <w:left w:val="none" w:sz="0" w:space="0" w:color="auto"/>
                                    <w:bottom w:val="none" w:sz="0" w:space="0" w:color="auto"/>
                                    <w:right w:val="none" w:sz="0" w:space="0" w:color="auto"/>
                                  </w:divBdr>
                                  <w:divsChild>
                                    <w:div w:id="255753199">
                                      <w:marLeft w:val="0"/>
                                      <w:marRight w:val="0"/>
                                      <w:marTop w:val="0"/>
                                      <w:marBottom w:val="0"/>
                                      <w:divBdr>
                                        <w:top w:val="none" w:sz="0" w:space="0" w:color="auto"/>
                                        <w:left w:val="none" w:sz="0" w:space="0" w:color="auto"/>
                                        <w:bottom w:val="none" w:sz="0" w:space="0" w:color="auto"/>
                                        <w:right w:val="none" w:sz="0" w:space="0" w:color="auto"/>
                                      </w:divBdr>
                                      <w:divsChild>
                                        <w:div w:id="1564875374">
                                          <w:marLeft w:val="0"/>
                                          <w:marRight w:val="0"/>
                                          <w:marTop w:val="0"/>
                                          <w:marBottom w:val="0"/>
                                          <w:divBdr>
                                            <w:top w:val="none" w:sz="0" w:space="0" w:color="auto"/>
                                            <w:left w:val="none" w:sz="0" w:space="0" w:color="auto"/>
                                            <w:bottom w:val="none" w:sz="0" w:space="0" w:color="auto"/>
                                            <w:right w:val="none" w:sz="0" w:space="0" w:color="auto"/>
                                          </w:divBdr>
                                          <w:divsChild>
                                            <w:div w:id="1819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7538">
                      <w:marLeft w:val="0"/>
                      <w:marRight w:val="0"/>
                      <w:marTop w:val="0"/>
                      <w:marBottom w:val="0"/>
                      <w:divBdr>
                        <w:top w:val="none" w:sz="0" w:space="0" w:color="auto"/>
                        <w:left w:val="none" w:sz="0" w:space="0" w:color="auto"/>
                        <w:bottom w:val="none" w:sz="0" w:space="0" w:color="auto"/>
                        <w:right w:val="none" w:sz="0" w:space="0" w:color="auto"/>
                      </w:divBdr>
                      <w:divsChild>
                        <w:div w:id="855726045">
                          <w:marLeft w:val="0"/>
                          <w:marRight w:val="0"/>
                          <w:marTop w:val="0"/>
                          <w:marBottom w:val="0"/>
                          <w:divBdr>
                            <w:top w:val="none" w:sz="0" w:space="0" w:color="auto"/>
                            <w:left w:val="none" w:sz="0" w:space="0" w:color="auto"/>
                            <w:bottom w:val="none" w:sz="0" w:space="0" w:color="auto"/>
                            <w:right w:val="none" w:sz="0" w:space="0" w:color="auto"/>
                          </w:divBdr>
                          <w:divsChild>
                            <w:div w:id="858004099">
                              <w:marLeft w:val="0"/>
                              <w:marRight w:val="0"/>
                              <w:marTop w:val="0"/>
                              <w:marBottom w:val="0"/>
                              <w:divBdr>
                                <w:top w:val="none" w:sz="0" w:space="0" w:color="auto"/>
                                <w:left w:val="none" w:sz="0" w:space="0" w:color="auto"/>
                                <w:bottom w:val="none" w:sz="0" w:space="0" w:color="auto"/>
                                <w:right w:val="none" w:sz="0" w:space="0" w:color="auto"/>
                              </w:divBdr>
                              <w:divsChild>
                                <w:div w:id="11166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405313">
          <w:marLeft w:val="0"/>
          <w:marRight w:val="0"/>
          <w:marTop w:val="0"/>
          <w:marBottom w:val="0"/>
          <w:divBdr>
            <w:top w:val="none" w:sz="0" w:space="0" w:color="auto"/>
            <w:left w:val="none" w:sz="0" w:space="0" w:color="auto"/>
            <w:bottom w:val="none" w:sz="0" w:space="0" w:color="auto"/>
            <w:right w:val="none" w:sz="0" w:space="0" w:color="auto"/>
          </w:divBdr>
        </w:div>
      </w:divsChild>
    </w:div>
    <w:div w:id="815994106">
      <w:bodyDiv w:val="1"/>
      <w:marLeft w:val="0"/>
      <w:marRight w:val="0"/>
      <w:marTop w:val="0"/>
      <w:marBottom w:val="0"/>
      <w:divBdr>
        <w:top w:val="none" w:sz="0" w:space="0" w:color="auto"/>
        <w:left w:val="none" w:sz="0" w:space="0" w:color="auto"/>
        <w:bottom w:val="none" w:sz="0" w:space="0" w:color="auto"/>
        <w:right w:val="none" w:sz="0" w:space="0" w:color="auto"/>
      </w:divBdr>
    </w:div>
    <w:div w:id="824853726">
      <w:bodyDiv w:val="1"/>
      <w:marLeft w:val="0"/>
      <w:marRight w:val="0"/>
      <w:marTop w:val="0"/>
      <w:marBottom w:val="0"/>
      <w:divBdr>
        <w:top w:val="none" w:sz="0" w:space="0" w:color="auto"/>
        <w:left w:val="none" w:sz="0" w:space="0" w:color="auto"/>
        <w:bottom w:val="none" w:sz="0" w:space="0" w:color="auto"/>
        <w:right w:val="none" w:sz="0" w:space="0" w:color="auto"/>
      </w:divBdr>
    </w:div>
    <w:div w:id="865169519">
      <w:bodyDiv w:val="1"/>
      <w:marLeft w:val="0"/>
      <w:marRight w:val="0"/>
      <w:marTop w:val="0"/>
      <w:marBottom w:val="0"/>
      <w:divBdr>
        <w:top w:val="none" w:sz="0" w:space="0" w:color="auto"/>
        <w:left w:val="none" w:sz="0" w:space="0" w:color="auto"/>
        <w:bottom w:val="none" w:sz="0" w:space="0" w:color="auto"/>
        <w:right w:val="none" w:sz="0" w:space="0" w:color="auto"/>
      </w:divBdr>
    </w:div>
    <w:div w:id="870341264">
      <w:bodyDiv w:val="1"/>
      <w:marLeft w:val="0"/>
      <w:marRight w:val="0"/>
      <w:marTop w:val="0"/>
      <w:marBottom w:val="0"/>
      <w:divBdr>
        <w:top w:val="none" w:sz="0" w:space="0" w:color="auto"/>
        <w:left w:val="none" w:sz="0" w:space="0" w:color="auto"/>
        <w:bottom w:val="none" w:sz="0" w:space="0" w:color="auto"/>
        <w:right w:val="none" w:sz="0" w:space="0" w:color="auto"/>
      </w:divBdr>
    </w:div>
    <w:div w:id="902762689">
      <w:bodyDiv w:val="1"/>
      <w:marLeft w:val="0"/>
      <w:marRight w:val="0"/>
      <w:marTop w:val="0"/>
      <w:marBottom w:val="0"/>
      <w:divBdr>
        <w:top w:val="none" w:sz="0" w:space="0" w:color="auto"/>
        <w:left w:val="none" w:sz="0" w:space="0" w:color="auto"/>
        <w:bottom w:val="none" w:sz="0" w:space="0" w:color="auto"/>
        <w:right w:val="none" w:sz="0" w:space="0" w:color="auto"/>
      </w:divBdr>
    </w:div>
    <w:div w:id="921255581">
      <w:bodyDiv w:val="1"/>
      <w:marLeft w:val="0"/>
      <w:marRight w:val="0"/>
      <w:marTop w:val="0"/>
      <w:marBottom w:val="0"/>
      <w:divBdr>
        <w:top w:val="none" w:sz="0" w:space="0" w:color="auto"/>
        <w:left w:val="none" w:sz="0" w:space="0" w:color="auto"/>
        <w:bottom w:val="none" w:sz="0" w:space="0" w:color="auto"/>
        <w:right w:val="none" w:sz="0" w:space="0" w:color="auto"/>
      </w:divBdr>
    </w:div>
    <w:div w:id="926116267">
      <w:bodyDiv w:val="1"/>
      <w:marLeft w:val="0"/>
      <w:marRight w:val="0"/>
      <w:marTop w:val="0"/>
      <w:marBottom w:val="0"/>
      <w:divBdr>
        <w:top w:val="none" w:sz="0" w:space="0" w:color="auto"/>
        <w:left w:val="none" w:sz="0" w:space="0" w:color="auto"/>
        <w:bottom w:val="none" w:sz="0" w:space="0" w:color="auto"/>
        <w:right w:val="none" w:sz="0" w:space="0" w:color="auto"/>
      </w:divBdr>
    </w:div>
    <w:div w:id="955449672">
      <w:bodyDiv w:val="1"/>
      <w:marLeft w:val="0"/>
      <w:marRight w:val="0"/>
      <w:marTop w:val="0"/>
      <w:marBottom w:val="0"/>
      <w:divBdr>
        <w:top w:val="none" w:sz="0" w:space="0" w:color="auto"/>
        <w:left w:val="none" w:sz="0" w:space="0" w:color="auto"/>
        <w:bottom w:val="none" w:sz="0" w:space="0" w:color="auto"/>
        <w:right w:val="none" w:sz="0" w:space="0" w:color="auto"/>
      </w:divBdr>
    </w:div>
    <w:div w:id="958222297">
      <w:bodyDiv w:val="1"/>
      <w:marLeft w:val="0"/>
      <w:marRight w:val="0"/>
      <w:marTop w:val="0"/>
      <w:marBottom w:val="0"/>
      <w:divBdr>
        <w:top w:val="none" w:sz="0" w:space="0" w:color="auto"/>
        <w:left w:val="none" w:sz="0" w:space="0" w:color="auto"/>
        <w:bottom w:val="none" w:sz="0" w:space="0" w:color="auto"/>
        <w:right w:val="none" w:sz="0" w:space="0" w:color="auto"/>
      </w:divBdr>
    </w:div>
    <w:div w:id="988051011">
      <w:bodyDiv w:val="1"/>
      <w:marLeft w:val="0"/>
      <w:marRight w:val="0"/>
      <w:marTop w:val="0"/>
      <w:marBottom w:val="0"/>
      <w:divBdr>
        <w:top w:val="none" w:sz="0" w:space="0" w:color="auto"/>
        <w:left w:val="none" w:sz="0" w:space="0" w:color="auto"/>
        <w:bottom w:val="none" w:sz="0" w:space="0" w:color="auto"/>
        <w:right w:val="none" w:sz="0" w:space="0" w:color="auto"/>
      </w:divBdr>
    </w:div>
    <w:div w:id="996498958">
      <w:bodyDiv w:val="1"/>
      <w:marLeft w:val="0"/>
      <w:marRight w:val="0"/>
      <w:marTop w:val="0"/>
      <w:marBottom w:val="0"/>
      <w:divBdr>
        <w:top w:val="none" w:sz="0" w:space="0" w:color="auto"/>
        <w:left w:val="none" w:sz="0" w:space="0" w:color="auto"/>
        <w:bottom w:val="none" w:sz="0" w:space="0" w:color="auto"/>
        <w:right w:val="none" w:sz="0" w:space="0" w:color="auto"/>
      </w:divBdr>
    </w:div>
    <w:div w:id="1013335893">
      <w:bodyDiv w:val="1"/>
      <w:marLeft w:val="0"/>
      <w:marRight w:val="0"/>
      <w:marTop w:val="0"/>
      <w:marBottom w:val="0"/>
      <w:divBdr>
        <w:top w:val="none" w:sz="0" w:space="0" w:color="auto"/>
        <w:left w:val="none" w:sz="0" w:space="0" w:color="auto"/>
        <w:bottom w:val="none" w:sz="0" w:space="0" w:color="auto"/>
        <w:right w:val="none" w:sz="0" w:space="0" w:color="auto"/>
      </w:divBdr>
    </w:div>
    <w:div w:id="1025058187">
      <w:bodyDiv w:val="1"/>
      <w:marLeft w:val="0"/>
      <w:marRight w:val="0"/>
      <w:marTop w:val="0"/>
      <w:marBottom w:val="0"/>
      <w:divBdr>
        <w:top w:val="none" w:sz="0" w:space="0" w:color="auto"/>
        <w:left w:val="none" w:sz="0" w:space="0" w:color="auto"/>
        <w:bottom w:val="none" w:sz="0" w:space="0" w:color="auto"/>
        <w:right w:val="none" w:sz="0" w:space="0" w:color="auto"/>
      </w:divBdr>
    </w:div>
    <w:div w:id="1032343154">
      <w:bodyDiv w:val="1"/>
      <w:marLeft w:val="0"/>
      <w:marRight w:val="0"/>
      <w:marTop w:val="0"/>
      <w:marBottom w:val="0"/>
      <w:divBdr>
        <w:top w:val="none" w:sz="0" w:space="0" w:color="auto"/>
        <w:left w:val="none" w:sz="0" w:space="0" w:color="auto"/>
        <w:bottom w:val="none" w:sz="0" w:space="0" w:color="auto"/>
        <w:right w:val="none" w:sz="0" w:space="0" w:color="auto"/>
      </w:divBdr>
    </w:div>
    <w:div w:id="1087386943">
      <w:bodyDiv w:val="1"/>
      <w:marLeft w:val="0"/>
      <w:marRight w:val="0"/>
      <w:marTop w:val="0"/>
      <w:marBottom w:val="0"/>
      <w:divBdr>
        <w:top w:val="none" w:sz="0" w:space="0" w:color="auto"/>
        <w:left w:val="none" w:sz="0" w:space="0" w:color="auto"/>
        <w:bottom w:val="none" w:sz="0" w:space="0" w:color="auto"/>
        <w:right w:val="none" w:sz="0" w:space="0" w:color="auto"/>
      </w:divBdr>
    </w:div>
    <w:div w:id="1087578212">
      <w:bodyDiv w:val="1"/>
      <w:marLeft w:val="0"/>
      <w:marRight w:val="0"/>
      <w:marTop w:val="0"/>
      <w:marBottom w:val="0"/>
      <w:divBdr>
        <w:top w:val="none" w:sz="0" w:space="0" w:color="auto"/>
        <w:left w:val="none" w:sz="0" w:space="0" w:color="auto"/>
        <w:bottom w:val="none" w:sz="0" w:space="0" w:color="auto"/>
        <w:right w:val="none" w:sz="0" w:space="0" w:color="auto"/>
      </w:divBdr>
    </w:div>
    <w:div w:id="1116827312">
      <w:bodyDiv w:val="1"/>
      <w:marLeft w:val="0"/>
      <w:marRight w:val="0"/>
      <w:marTop w:val="0"/>
      <w:marBottom w:val="0"/>
      <w:divBdr>
        <w:top w:val="none" w:sz="0" w:space="0" w:color="auto"/>
        <w:left w:val="none" w:sz="0" w:space="0" w:color="auto"/>
        <w:bottom w:val="none" w:sz="0" w:space="0" w:color="auto"/>
        <w:right w:val="none" w:sz="0" w:space="0" w:color="auto"/>
      </w:divBdr>
      <w:divsChild>
        <w:div w:id="17122350">
          <w:marLeft w:val="0"/>
          <w:marRight w:val="0"/>
          <w:marTop w:val="100"/>
          <w:marBottom w:val="0"/>
          <w:divBdr>
            <w:top w:val="none" w:sz="0" w:space="0" w:color="auto"/>
            <w:left w:val="none" w:sz="0" w:space="0" w:color="auto"/>
            <w:bottom w:val="none" w:sz="0" w:space="0" w:color="auto"/>
            <w:right w:val="none" w:sz="0" w:space="0" w:color="auto"/>
          </w:divBdr>
          <w:divsChild>
            <w:div w:id="1394082596">
              <w:marLeft w:val="0"/>
              <w:marRight w:val="0"/>
              <w:marTop w:val="60"/>
              <w:marBottom w:val="0"/>
              <w:divBdr>
                <w:top w:val="none" w:sz="0" w:space="0" w:color="auto"/>
                <w:left w:val="none" w:sz="0" w:space="0" w:color="auto"/>
                <w:bottom w:val="none" w:sz="0" w:space="0" w:color="auto"/>
                <w:right w:val="none" w:sz="0" w:space="0" w:color="auto"/>
              </w:divBdr>
            </w:div>
          </w:divsChild>
        </w:div>
        <w:div w:id="1567377888">
          <w:marLeft w:val="0"/>
          <w:marRight w:val="0"/>
          <w:marTop w:val="0"/>
          <w:marBottom w:val="0"/>
          <w:divBdr>
            <w:top w:val="none" w:sz="0" w:space="0" w:color="auto"/>
            <w:left w:val="none" w:sz="0" w:space="0" w:color="auto"/>
            <w:bottom w:val="none" w:sz="0" w:space="0" w:color="auto"/>
            <w:right w:val="none" w:sz="0" w:space="0" w:color="auto"/>
          </w:divBdr>
          <w:divsChild>
            <w:div w:id="1636137211">
              <w:marLeft w:val="0"/>
              <w:marRight w:val="0"/>
              <w:marTop w:val="0"/>
              <w:marBottom w:val="0"/>
              <w:divBdr>
                <w:top w:val="none" w:sz="0" w:space="0" w:color="auto"/>
                <w:left w:val="none" w:sz="0" w:space="0" w:color="auto"/>
                <w:bottom w:val="none" w:sz="0" w:space="0" w:color="auto"/>
                <w:right w:val="none" w:sz="0" w:space="0" w:color="auto"/>
              </w:divBdr>
              <w:divsChild>
                <w:div w:id="9922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3671">
      <w:bodyDiv w:val="1"/>
      <w:marLeft w:val="0"/>
      <w:marRight w:val="0"/>
      <w:marTop w:val="0"/>
      <w:marBottom w:val="0"/>
      <w:divBdr>
        <w:top w:val="none" w:sz="0" w:space="0" w:color="auto"/>
        <w:left w:val="none" w:sz="0" w:space="0" w:color="auto"/>
        <w:bottom w:val="none" w:sz="0" w:space="0" w:color="auto"/>
        <w:right w:val="none" w:sz="0" w:space="0" w:color="auto"/>
      </w:divBdr>
    </w:div>
    <w:div w:id="1131290919">
      <w:bodyDiv w:val="1"/>
      <w:marLeft w:val="0"/>
      <w:marRight w:val="0"/>
      <w:marTop w:val="0"/>
      <w:marBottom w:val="0"/>
      <w:divBdr>
        <w:top w:val="none" w:sz="0" w:space="0" w:color="auto"/>
        <w:left w:val="none" w:sz="0" w:space="0" w:color="auto"/>
        <w:bottom w:val="none" w:sz="0" w:space="0" w:color="auto"/>
        <w:right w:val="none" w:sz="0" w:space="0" w:color="auto"/>
      </w:divBdr>
    </w:div>
    <w:div w:id="1147935585">
      <w:bodyDiv w:val="1"/>
      <w:marLeft w:val="0"/>
      <w:marRight w:val="0"/>
      <w:marTop w:val="0"/>
      <w:marBottom w:val="0"/>
      <w:divBdr>
        <w:top w:val="none" w:sz="0" w:space="0" w:color="auto"/>
        <w:left w:val="none" w:sz="0" w:space="0" w:color="auto"/>
        <w:bottom w:val="none" w:sz="0" w:space="0" w:color="auto"/>
        <w:right w:val="none" w:sz="0" w:space="0" w:color="auto"/>
      </w:divBdr>
    </w:div>
    <w:div w:id="1158963873">
      <w:bodyDiv w:val="1"/>
      <w:marLeft w:val="0"/>
      <w:marRight w:val="0"/>
      <w:marTop w:val="0"/>
      <w:marBottom w:val="0"/>
      <w:divBdr>
        <w:top w:val="none" w:sz="0" w:space="0" w:color="auto"/>
        <w:left w:val="none" w:sz="0" w:space="0" w:color="auto"/>
        <w:bottom w:val="none" w:sz="0" w:space="0" w:color="auto"/>
        <w:right w:val="none" w:sz="0" w:space="0" w:color="auto"/>
      </w:divBdr>
    </w:div>
    <w:div w:id="1170682111">
      <w:bodyDiv w:val="1"/>
      <w:marLeft w:val="0"/>
      <w:marRight w:val="0"/>
      <w:marTop w:val="0"/>
      <w:marBottom w:val="0"/>
      <w:divBdr>
        <w:top w:val="none" w:sz="0" w:space="0" w:color="auto"/>
        <w:left w:val="none" w:sz="0" w:space="0" w:color="auto"/>
        <w:bottom w:val="none" w:sz="0" w:space="0" w:color="auto"/>
        <w:right w:val="none" w:sz="0" w:space="0" w:color="auto"/>
      </w:divBdr>
    </w:div>
    <w:div w:id="1185170961">
      <w:bodyDiv w:val="1"/>
      <w:marLeft w:val="0"/>
      <w:marRight w:val="0"/>
      <w:marTop w:val="0"/>
      <w:marBottom w:val="0"/>
      <w:divBdr>
        <w:top w:val="none" w:sz="0" w:space="0" w:color="auto"/>
        <w:left w:val="none" w:sz="0" w:space="0" w:color="auto"/>
        <w:bottom w:val="none" w:sz="0" w:space="0" w:color="auto"/>
        <w:right w:val="none" w:sz="0" w:space="0" w:color="auto"/>
      </w:divBdr>
    </w:div>
    <w:div w:id="1193228918">
      <w:bodyDiv w:val="1"/>
      <w:marLeft w:val="0"/>
      <w:marRight w:val="0"/>
      <w:marTop w:val="0"/>
      <w:marBottom w:val="0"/>
      <w:divBdr>
        <w:top w:val="none" w:sz="0" w:space="0" w:color="auto"/>
        <w:left w:val="none" w:sz="0" w:space="0" w:color="auto"/>
        <w:bottom w:val="none" w:sz="0" w:space="0" w:color="auto"/>
        <w:right w:val="none" w:sz="0" w:space="0" w:color="auto"/>
      </w:divBdr>
    </w:div>
    <w:div w:id="1198010005">
      <w:bodyDiv w:val="1"/>
      <w:marLeft w:val="0"/>
      <w:marRight w:val="0"/>
      <w:marTop w:val="0"/>
      <w:marBottom w:val="0"/>
      <w:divBdr>
        <w:top w:val="none" w:sz="0" w:space="0" w:color="auto"/>
        <w:left w:val="none" w:sz="0" w:space="0" w:color="auto"/>
        <w:bottom w:val="none" w:sz="0" w:space="0" w:color="auto"/>
        <w:right w:val="none" w:sz="0" w:space="0" w:color="auto"/>
      </w:divBdr>
    </w:div>
    <w:div w:id="1198085883">
      <w:bodyDiv w:val="1"/>
      <w:marLeft w:val="0"/>
      <w:marRight w:val="0"/>
      <w:marTop w:val="0"/>
      <w:marBottom w:val="0"/>
      <w:divBdr>
        <w:top w:val="none" w:sz="0" w:space="0" w:color="auto"/>
        <w:left w:val="none" w:sz="0" w:space="0" w:color="auto"/>
        <w:bottom w:val="none" w:sz="0" w:space="0" w:color="auto"/>
        <w:right w:val="none" w:sz="0" w:space="0" w:color="auto"/>
      </w:divBdr>
    </w:div>
    <w:div w:id="1208761260">
      <w:bodyDiv w:val="1"/>
      <w:marLeft w:val="0"/>
      <w:marRight w:val="0"/>
      <w:marTop w:val="0"/>
      <w:marBottom w:val="0"/>
      <w:divBdr>
        <w:top w:val="none" w:sz="0" w:space="0" w:color="auto"/>
        <w:left w:val="none" w:sz="0" w:space="0" w:color="auto"/>
        <w:bottom w:val="none" w:sz="0" w:space="0" w:color="auto"/>
        <w:right w:val="none" w:sz="0" w:space="0" w:color="auto"/>
      </w:divBdr>
    </w:div>
    <w:div w:id="1213468215">
      <w:bodyDiv w:val="1"/>
      <w:marLeft w:val="0"/>
      <w:marRight w:val="0"/>
      <w:marTop w:val="0"/>
      <w:marBottom w:val="0"/>
      <w:divBdr>
        <w:top w:val="none" w:sz="0" w:space="0" w:color="auto"/>
        <w:left w:val="none" w:sz="0" w:space="0" w:color="auto"/>
        <w:bottom w:val="none" w:sz="0" w:space="0" w:color="auto"/>
        <w:right w:val="none" w:sz="0" w:space="0" w:color="auto"/>
      </w:divBdr>
    </w:div>
    <w:div w:id="1216314676">
      <w:bodyDiv w:val="1"/>
      <w:marLeft w:val="0"/>
      <w:marRight w:val="0"/>
      <w:marTop w:val="0"/>
      <w:marBottom w:val="0"/>
      <w:divBdr>
        <w:top w:val="none" w:sz="0" w:space="0" w:color="auto"/>
        <w:left w:val="none" w:sz="0" w:space="0" w:color="auto"/>
        <w:bottom w:val="none" w:sz="0" w:space="0" w:color="auto"/>
        <w:right w:val="none" w:sz="0" w:space="0" w:color="auto"/>
      </w:divBdr>
    </w:div>
    <w:div w:id="1218130446">
      <w:bodyDiv w:val="1"/>
      <w:marLeft w:val="0"/>
      <w:marRight w:val="0"/>
      <w:marTop w:val="0"/>
      <w:marBottom w:val="0"/>
      <w:divBdr>
        <w:top w:val="none" w:sz="0" w:space="0" w:color="auto"/>
        <w:left w:val="none" w:sz="0" w:space="0" w:color="auto"/>
        <w:bottom w:val="none" w:sz="0" w:space="0" w:color="auto"/>
        <w:right w:val="none" w:sz="0" w:space="0" w:color="auto"/>
      </w:divBdr>
      <w:divsChild>
        <w:div w:id="1375883591">
          <w:marLeft w:val="0"/>
          <w:marRight w:val="0"/>
          <w:marTop w:val="0"/>
          <w:marBottom w:val="0"/>
          <w:divBdr>
            <w:top w:val="none" w:sz="0" w:space="0" w:color="auto"/>
            <w:left w:val="none" w:sz="0" w:space="0" w:color="auto"/>
            <w:bottom w:val="none" w:sz="0" w:space="0" w:color="auto"/>
            <w:right w:val="none" w:sz="0" w:space="0" w:color="auto"/>
          </w:divBdr>
          <w:divsChild>
            <w:div w:id="227423960">
              <w:marLeft w:val="0"/>
              <w:marRight w:val="0"/>
              <w:marTop w:val="0"/>
              <w:marBottom w:val="0"/>
              <w:divBdr>
                <w:top w:val="none" w:sz="0" w:space="0" w:color="auto"/>
                <w:left w:val="none" w:sz="0" w:space="0" w:color="auto"/>
                <w:bottom w:val="none" w:sz="0" w:space="0" w:color="auto"/>
                <w:right w:val="none" w:sz="0" w:space="0" w:color="auto"/>
              </w:divBdr>
            </w:div>
            <w:div w:id="2011250895">
              <w:marLeft w:val="0"/>
              <w:marRight w:val="0"/>
              <w:marTop w:val="0"/>
              <w:marBottom w:val="0"/>
              <w:divBdr>
                <w:top w:val="none" w:sz="0" w:space="0" w:color="auto"/>
                <w:left w:val="none" w:sz="0" w:space="0" w:color="auto"/>
                <w:bottom w:val="none" w:sz="0" w:space="0" w:color="auto"/>
                <w:right w:val="none" w:sz="0" w:space="0" w:color="auto"/>
              </w:divBdr>
              <w:divsChild>
                <w:div w:id="205680791">
                  <w:marLeft w:val="0"/>
                  <w:marRight w:val="0"/>
                  <w:marTop w:val="0"/>
                  <w:marBottom w:val="0"/>
                  <w:divBdr>
                    <w:top w:val="none" w:sz="0" w:space="0" w:color="auto"/>
                    <w:left w:val="none" w:sz="0" w:space="0" w:color="auto"/>
                    <w:bottom w:val="none" w:sz="0" w:space="0" w:color="auto"/>
                    <w:right w:val="none" w:sz="0" w:space="0" w:color="auto"/>
                  </w:divBdr>
                </w:div>
              </w:divsChild>
            </w:div>
            <w:div w:id="1292903532">
              <w:marLeft w:val="0"/>
              <w:marRight w:val="0"/>
              <w:marTop w:val="0"/>
              <w:marBottom w:val="0"/>
              <w:divBdr>
                <w:top w:val="none" w:sz="0" w:space="0" w:color="auto"/>
                <w:left w:val="none" w:sz="0" w:space="0" w:color="auto"/>
                <w:bottom w:val="none" w:sz="0" w:space="0" w:color="auto"/>
                <w:right w:val="none" w:sz="0" w:space="0" w:color="auto"/>
              </w:divBdr>
              <w:divsChild>
                <w:div w:id="13038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7947">
          <w:marLeft w:val="0"/>
          <w:marRight w:val="0"/>
          <w:marTop w:val="0"/>
          <w:marBottom w:val="0"/>
          <w:divBdr>
            <w:top w:val="none" w:sz="0" w:space="0" w:color="auto"/>
            <w:left w:val="none" w:sz="0" w:space="0" w:color="auto"/>
            <w:bottom w:val="none" w:sz="0" w:space="0" w:color="auto"/>
            <w:right w:val="none" w:sz="0" w:space="0" w:color="auto"/>
          </w:divBdr>
          <w:divsChild>
            <w:div w:id="1056591749">
              <w:marLeft w:val="0"/>
              <w:marRight w:val="0"/>
              <w:marTop w:val="0"/>
              <w:marBottom w:val="0"/>
              <w:divBdr>
                <w:top w:val="none" w:sz="0" w:space="0" w:color="auto"/>
                <w:left w:val="none" w:sz="0" w:space="0" w:color="auto"/>
                <w:bottom w:val="none" w:sz="0" w:space="0" w:color="auto"/>
                <w:right w:val="none" w:sz="0" w:space="0" w:color="auto"/>
              </w:divBdr>
            </w:div>
            <w:div w:id="778377912">
              <w:marLeft w:val="0"/>
              <w:marRight w:val="0"/>
              <w:marTop w:val="0"/>
              <w:marBottom w:val="0"/>
              <w:divBdr>
                <w:top w:val="none" w:sz="0" w:space="0" w:color="auto"/>
                <w:left w:val="none" w:sz="0" w:space="0" w:color="auto"/>
                <w:bottom w:val="none" w:sz="0" w:space="0" w:color="auto"/>
                <w:right w:val="none" w:sz="0" w:space="0" w:color="auto"/>
              </w:divBdr>
              <w:divsChild>
                <w:div w:id="1292131302">
                  <w:marLeft w:val="0"/>
                  <w:marRight w:val="0"/>
                  <w:marTop w:val="0"/>
                  <w:marBottom w:val="0"/>
                  <w:divBdr>
                    <w:top w:val="none" w:sz="0" w:space="0" w:color="auto"/>
                    <w:left w:val="none" w:sz="0" w:space="0" w:color="auto"/>
                    <w:bottom w:val="none" w:sz="0" w:space="0" w:color="auto"/>
                    <w:right w:val="none" w:sz="0" w:space="0" w:color="auto"/>
                  </w:divBdr>
                </w:div>
              </w:divsChild>
            </w:div>
            <w:div w:id="1998995580">
              <w:marLeft w:val="0"/>
              <w:marRight w:val="0"/>
              <w:marTop w:val="0"/>
              <w:marBottom w:val="0"/>
              <w:divBdr>
                <w:top w:val="none" w:sz="0" w:space="0" w:color="auto"/>
                <w:left w:val="none" w:sz="0" w:space="0" w:color="auto"/>
                <w:bottom w:val="none" w:sz="0" w:space="0" w:color="auto"/>
                <w:right w:val="none" w:sz="0" w:space="0" w:color="auto"/>
              </w:divBdr>
              <w:divsChild>
                <w:div w:id="34243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89117">
          <w:marLeft w:val="0"/>
          <w:marRight w:val="0"/>
          <w:marTop w:val="0"/>
          <w:marBottom w:val="0"/>
          <w:divBdr>
            <w:top w:val="none" w:sz="0" w:space="0" w:color="auto"/>
            <w:left w:val="none" w:sz="0" w:space="0" w:color="auto"/>
            <w:bottom w:val="none" w:sz="0" w:space="0" w:color="auto"/>
            <w:right w:val="none" w:sz="0" w:space="0" w:color="auto"/>
          </w:divBdr>
          <w:divsChild>
            <w:div w:id="920215321">
              <w:marLeft w:val="0"/>
              <w:marRight w:val="0"/>
              <w:marTop w:val="0"/>
              <w:marBottom w:val="0"/>
              <w:divBdr>
                <w:top w:val="none" w:sz="0" w:space="0" w:color="auto"/>
                <w:left w:val="none" w:sz="0" w:space="0" w:color="auto"/>
                <w:bottom w:val="none" w:sz="0" w:space="0" w:color="auto"/>
                <w:right w:val="none" w:sz="0" w:space="0" w:color="auto"/>
              </w:divBdr>
            </w:div>
            <w:div w:id="2123451834">
              <w:marLeft w:val="0"/>
              <w:marRight w:val="0"/>
              <w:marTop w:val="0"/>
              <w:marBottom w:val="0"/>
              <w:divBdr>
                <w:top w:val="none" w:sz="0" w:space="0" w:color="auto"/>
                <w:left w:val="none" w:sz="0" w:space="0" w:color="auto"/>
                <w:bottom w:val="none" w:sz="0" w:space="0" w:color="auto"/>
                <w:right w:val="none" w:sz="0" w:space="0" w:color="auto"/>
              </w:divBdr>
              <w:divsChild>
                <w:div w:id="1832527941">
                  <w:marLeft w:val="0"/>
                  <w:marRight w:val="0"/>
                  <w:marTop w:val="0"/>
                  <w:marBottom w:val="0"/>
                  <w:divBdr>
                    <w:top w:val="none" w:sz="0" w:space="0" w:color="auto"/>
                    <w:left w:val="none" w:sz="0" w:space="0" w:color="auto"/>
                    <w:bottom w:val="none" w:sz="0" w:space="0" w:color="auto"/>
                    <w:right w:val="none" w:sz="0" w:space="0" w:color="auto"/>
                  </w:divBdr>
                </w:div>
              </w:divsChild>
            </w:div>
            <w:div w:id="173157330">
              <w:marLeft w:val="0"/>
              <w:marRight w:val="0"/>
              <w:marTop w:val="0"/>
              <w:marBottom w:val="0"/>
              <w:divBdr>
                <w:top w:val="none" w:sz="0" w:space="0" w:color="auto"/>
                <w:left w:val="none" w:sz="0" w:space="0" w:color="auto"/>
                <w:bottom w:val="none" w:sz="0" w:space="0" w:color="auto"/>
                <w:right w:val="none" w:sz="0" w:space="0" w:color="auto"/>
              </w:divBdr>
              <w:divsChild>
                <w:div w:id="17496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0731">
          <w:marLeft w:val="0"/>
          <w:marRight w:val="0"/>
          <w:marTop w:val="0"/>
          <w:marBottom w:val="0"/>
          <w:divBdr>
            <w:top w:val="none" w:sz="0" w:space="0" w:color="auto"/>
            <w:left w:val="none" w:sz="0" w:space="0" w:color="auto"/>
            <w:bottom w:val="none" w:sz="0" w:space="0" w:color="auto"/>
            <w:right w:val="none" w:sz="0" w:space="0" w:color="auto"/>
          </w:divBdr>
          <w:divsChild>
            <w:div w:id="67002372">
              <w:marLeft w:val="0"/>
              <w:marRight w:val="0"/>
              <w:marTop w:val="0"/>
              <w:marBottom w:val="0"/>
              <w:divBdr>
                <w:top w:val="none" w:sz="0" w:space="0" w:color="auto"/>
                <w:left w:val="none" w:sz="0" w:space="0" w:color="auto"/>
                <w:bottom w:val="none" w:sz="0" w:space="0" w:color="auto"/>
                <w:right w:val="none" w:sz="0" w:space="0" w:color="auto"/>
              </w:divBdr>
            </w:div>
            <w:div w:id="1624992600">
              <w:marLeft w:val="0"/>
              <w:marRight w:val="0"/>
              <w:marTop w:val="0"/>
              <w:marBottom w:val="0"/>
              <w:divBdr>
                <w:top w:val="none" w:sz="0" w:space="0" w:color="auto"/>
                <w:left w:val="none" w:sz="0" w:space="0" w:color="auto"/>
                <w:bottom w:val="none" w:sz="0" w:space="0" w:color="auto"/>
                <w:right w:val="none" w:sz="0" w:space="0" w:color="auto"/>
              </w:divBdr>
              <w:divsChild>
                <w:div w:id="286813754">
                  <w:marLeft w:val="0"/>
                  <w:marRight w:val="0"/>
                  <w:marTop w:val="0"/>
                  <w:marBottom w:val="0"/>
                  <w:divBdr>
                    <w:top w:val="none" w:sz="0" w:space="0" w:color="auto"/>
                    <w:left w:val="none" w:sz="0" w:space="0" w:color="auto"/>
                    <w:bottom w:val="none" w:sz="0" w:space="0" w:color="auto"/>
                    <w:right w:val="none" w:sz="0" w:space="0" w:color="auto"/>
                  </w:divBdr>
                </w:div>
              </w:divsChild>
            </w:div>
            <w:div w:id="1537540151">
              <w:marLeft w:val="0"/>
              <w:marRight w:val="0"/>
              <w:marTop w:val="0"/>
              <w:marBottom w:val="0"/>
              <w:divBdr>
                <w:top w:val="none" w:sz="0" w:space="0" w:color="auto"/>
                <w:left w:val="none" w:sz="0" w:space="0" w:color="auto"/>
                <w:bottom w:val="none" w:sz="0" w:space="0" w:color="auto"/>
                <w:right w:val="none" w:sz="0" w:space="0" w:color="auto"/>
              </w:divBdr>
              <w:divsChild>
                <w:div w:id="6079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6696">
          <w:marLeft w:val="0"/>
          <w:marRight w:val="0"/>
          <w:marTop w:val="0"/>
          <w:marBottom w:val="0"/>
          <w:divBdr>
            <w:top w:val="none" w:sz="0" w:space="0" w:color="auto"/>
            <w:left w:val="none" w:sz="0" w:space="0" w:color="auto"/>
            <w:bottom w:val="none" w:sz="0" w:space="0" w:color="auto"/>
            <w:right w:val="none" w:sz="0" w:space="0" w:color="auto"/>
          </w:divBdr>
          <w:divsChild>
            <w:div w:id="59133732">
              <w:marLeft w:val="0"/>
              <w:marRight w:val="0"/>
              <w:marTop w:val="0"/>
              <w:marBottom w:val="0"/>
              <w:divBdr>
                <w:top w:val="none" w:sz="0" w:space="0" w:color="auto"/>
                <w:left w:val="none" w:sz="0" w:space="0" w:color="auto"/>
                <w:bottom w:val="none" w:sz="0" w:space="0" w:color="auto"/>
                <w:right w:val="none" w:sz="0" w:space="0" w:color="auto"/>
              </w:divBdr>
            </w:div>
            <w:div w:id="2106418847">
              <w:marLeft w:val="0"/>
              <w:marRight w:val="0"/>
              <w:marTop w:val="0"/>
              <w:marBottom w:val="0"/>
              <w:divBdr>
                <w:top w:val="none" w:sz="0" w:space="0" w:color="auto"/>
                <w:left w:val="none" w:sz="0" w:space="0" w:color="auto"/>
                <w:bottom w:val="none" w:sz="0" w:space="0" w:color="auto"/>
                <w:right w:val="none" w:sz="0" w:space="0" w:color="auto"/>
              </w:divBdr>
              <w:divsChild>
                <w:div w:id="1012226277">
                  <w:marLeft w:val="0"/>
                  <w:marRight w:val="0"/>
                  <w:marTop w:val="0"/>
                  <w:marBottom w:val="0"/>
                  <w:divBdr>
                    <w:top w:val="none" w:sz="0" w:space="0" w:color="auto"/>
                    <w:left w:val="none" w:sz="0" w:space="0" w:color="auto"/>
                    <w:bottom w:val="none" w:sz="0" w:space="0" w:color="auto"/>
                    <w:right w:val="none" w:sz="0" w:space="0" w:color="auto"/>
                  </w:divBdr>
                </w:div>
              </w:divsChild>
            </w:div>
            <w:div w:id="304898587">
              <w:marLeft w:val="0"/>
              <w:marRight w:val="0"/>
              <w:marTop w:val="0"/>
              <w:marBottom w:val="0"/>
              <w:divBdr>
                <w:top w:val="none" w:sz="0" w:space="0" w:color="auto"/>
                <w:left w:val="none" w:sz="0" w:space="0" w:color="auto"/>
                <w:bottom w:val="none" w:sz="0" w:space="0" w:color="auto"/>
                <w:right w:val="none" w:sz="0" w:space="0" w:color="auto"/>
              </w:divBdr>
              <w:divsChild>
                <w:div w:id="3160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34216">
      <w:bodyDiv w:val="1"/>
      <w:marLeft w:val="0"/>
      <w:marRight w:val="0"/>
      <w:marTop w:val="0"/>
      <w:marBottom w:val="0"/>
      <w:divBdr>
        <w:top w:val="none" w:sz="0" w:space="0" w:color="auto"/>
        <w:left w:val="none" w:sz="0" w:space="0" w:color="auto"/>
        <w:bottom w:val="none" w:sz="0" w:space="0" w:color="auto"/>
        <w:right w:val="none" w:sz="0" w:space="0" w:color="auto"/>
      </w:divBdr>
    </w:div>
    <w:div w:id="1238782892">
      <w:bodyDiv w:val="1"/>
      <w:marLeft w:val="0"/>
      <w:marRight w:val="0"/>
      <w:marTop w:val="0"/>
      <w:marBottom w:val="0"/>
      <w:divBdr>
        <w:top w:val="none" w:sz="0" w:space="0" w:color="auto"/>
        <w:left w:val="none" w:sz="0" w:space="0" w:color="auto"/>
        <w:bottom w:val="none" w:sz="0" w:space="0" w:color="auto"/>
        <w:right w:val="none" w:sz="0" w:space="0" w:color="auto"/>
      </w:divBdr>
    </w:div>
    <w:div w:id="1252546035">
      <w:bodyDiv w:val="1"/>
      <w:marLeft w:val="0"/>
      <w:marRight w:val="0"/>
      <w:marTop w:val="0"/>
      <w:marBottom w:val="0"/>
      <w:divBdr>
        <w:top w:val="none" w:sz="0" w:space="0" w:color="auto"/>
        <w:left w:val="none" w:sz="0" w:space="0" w:color="auto"/>
        <w:bottom w:val="none" w:sz="0" w:space="0" w:color="auto"/>
        <w:right w:val="none" w:sz="0" w:space="0" w:color="auto"/>
      </w:divBdr>
    </w:div>
    <w:div w:id="1256129617">
      <w:bodyDiv w:val="1"/>
      <w:marLeft w:val="0"/>
      <w:marRight w:val="0"/>
      <w:marTop w:val="0"/>
      <w:marBottom w:val="0"/>
      <w:divBdr>
        <w:top w:val="none" w:sz="0" w:space="0" w:color="auto"/>
        <w:left w:val="none" w:sz="0" w:space="0" w:color="auto"/>
        <w:bottom w:val="none" w:sz="0" w:space="0" w:color="auto"/>
        <w:right w:val="none" w:sz="0" w:space="0" w:color="auto"/>
      </w:divBdr>
    </w:div>
    <w:div w:id="1258174558">
      <w:bodyDiv w:val="1"/>
      <w:marLeft w:val="0"/>
      <w:marRight w:val="0"/>
      <w:marTop w:val="0"/>
      <w:marBottom w:val="0"/>
      <w:divBdr>
        <w:top w:val="none" w:sz="0" w:space="0" w:color="auto"/>
        <w:left w:val="none" w:sz="0" w:space="0" w:color="auto"/>
        <w:bottom w:val="none" w:sz="0" w:space="0" w:color="auto"/>
        <w:right w:val="none" w:sz="0" w:space="0" w:color="auto"/>
      </w:divBdr>
    </w:div>
    <w:div w:id="1280382632">
      <w:bodyDiv w:val="1"/>
      <w:marLeft w:val="0"/>
      <w:marRight w:val="0"/>
      <w:marTop w:val="0"/>
      <w:marBottom w:val="0"/>
      <w:divBdr>
        <w:top w:val="none" w:sz="0" w:space="0" w:color="auto"/>
        <w:left w:val="none" w:sz="0" w:space="0" w:color="auto"/>
        <w:bottom w:val="none" w:sz="0" w:space="0" w:color="auto"/>
        <w:right w:val="none" w:sz="0" w:space="0" w:color="auto"/>
      </w:divBdr>
    </w:div>
    <w:div w:id="1397124618">
      <w:bodyDiv w:val="1"/>
      <w:marLeft w:val="0"/>
      <w:marRight w:val="0"/>
      <w:marTop w:val="0"/>
      <w:marBottom w:val="0"/>
      <w:divBdr>
        <w:top w:val="none" w:sz="0" w:space="0" w:color="auto"/>
        <w:left w:val="none" w:sz="0" w:space="0" w:color="auto"/>
        <w:bottom w:val="none" w:sz="0" w:space="0" w:color="auto"/>
        <w:right w:val="none" w:sz="0" w:space="0" w:color="auto"/>
      </w:divBdr>
    </w:div>
    <w:div w:id="1446733363">
      <w:bodyDiv w:val="1"/>
      <w:marLeft w:val="0"/>
      <w:marRight w:val="0"/>
      <w:marTop w:val="0"/>
      <w:marBottom w:val="0"/>
      <w:divBdr>
        <w:top w:val="none" w:sz="0" w:space="0" w:color="auto"/>
        <w:left w:val="none" w:sz="0" w:space="0" w:color="auto"/>
        <w:bottom w:val="none" w:sz="0" w:space="0" w:color="auto"/>
        <w:right w:val="none" w:sz="0" w:space="0" w:color="auto"/>
      </w:divBdr>
    </w:div>
    <w:div w:id="1466267859">
      <w:bodyDiv w:val="1"/>
      <w:marLeft w:val="0"/>
      <w:marRight w:val="0"/>
      <w:marTop w:val="0"/>
      <w:marBottom w:val="0"/>
      <w:divBdr>
        <w:top w:val="none" w:sz="0" w:space="0" w:color="auto"/>
        <w:left w:val="none" w:sz="0" w:space="0" w:color="auto"/>
        <w:bottom w:val="none" w:sz="0" w:space="0" w:color="auto"/>
        <w:right w:val="none" w:sz="0" w:space="0" w:color="auto"/>
      </w:divBdr>
    </w:div>
    <w:div w:id="1475678279">
      <w:bodyDiv w:val="1"/>
      <w:marLeft w:val="0"/>
      <w:marRight w:val="0"/>
      <w:marTop w:val="0"/>
      <w:marBottom w:val="0"/>
      <w:divBdr>
        <w:top w:val="none" w:sz="0" w:space="0" w:color="auto"/>
        <w:left w:val="none" w:sz="0" w:space="0" w:color="auto"/>
        <w:bottom w:val="none" w:sz="0" w:space="0" w:color="auto"/>
        <w:right w:val="none" w:sz="0" w:space="0" w:color="auto"/>
      </w:divBdr>
    </w:div>
    <w:div w:id="1480658970">
      <w:bodyDiv w:val="1"/>
      <w:marLeft w:val="0"/>
      <w:marRight w:val="0"/>
      <w:marTop w:val="0"/>
      <w:marBottom w:val="0"/>
      <w:divBdr>
        <w:top w:val="none" w:sz="0" w:space="0" w:color="auto"/>
        <w:left w:val="none" w:sz="0" w:space="0" w:color="auto"/>
        <w:bottom w:val="none" w:sz="0" w:space="0" w:color="auto"/>
        <w:right w:val="none" w:sz="0" w:space="0" w:color="auto"/>
      </w:divBdr>
    </w:div>
    <w:div w:id="1500775305">
      <w:bodyDiv w:val="1"/>
      <w:marLeft w:val="0"/>
      <w:marRight w:val="0"/>
      <w:marTop w:val="0"/>
      <w:marBottom w:val="0"/>
      <w:divBdr>
        <w:top w:val="none" w:sz="0" w:space="0" w:color="auto"/>
        <w:left w:val="none" w:sz="0" w:space="0" w:color="auto"/>
        <w:bottom w:val="none" w:sz="0" w:space="0" w:color="auto"/>
        <w:right w:val="none" w:sz="0" w:space="0" w:color="auto"/>
      </w:divBdr>
    </w:div>
    <w:div w:id="1520462425">
      <w:bodyDiv w:val="1"/>
      <w:marLeft w:val="0"/>
      <w:marRight w:val="0"/>
      <w:marTop w:val="0"/>
      <w:marBottom w:val="0"/>
      <w:divBdr>
        <w:top w:val="none" w:sz="0" w:space="0" w:color="auto"/>
        <w:left w:val="none" w:sz="0" w:space="0" w:color="auto"/>
        <w:bottom w:val="none" w:sz="0" w:space="0" w:color="auto"/>
        <w:right w:val="none" w:sz="0" w:space="0" w:color="auto"/>
      </w:divBdr>
    </w:div>
    <w:div w:id="1556354695">
      <w:bodyDiv w:val="1"/>
      <w:marLeft w:val="0"/>
      <w:marRight w:val="0"/>
      <w:marTop w:val="0"/>
      <w:marBottom w:val="0"/>
      <w:divBdr>
        <w:top w:val="none" w:sz="0" w:space="0" w:color="auto"/>
        <w:left w:val="none" w:sz="0" w:space="0" w:color="auto"/>
        <w:bottom w:val="none" w:sz="0" w:space="0" w:color="auto"/>
        <w:right w:val="none" w:sz="0" w:space="0" w:color="auto"/>
      </w:divBdr>
    </w:div>
    <w:div w:id="1562670369">
      <w:bodyDiv w:val="1"/>
      <w:marLeft w:val="0"/>
      <w:marRight w:val="0"/>
      <w:marTop w:val="0"/>
      <w:marBottom w:val="0"/>
      <w:divBdr>
        <w:top w:val="none" w:sz="0" w:space="0" w:color="auto"/>
        <w:left w:val="none" w:sz="0" w:space="0" w:color="auto"/>
        <w:bottom w:val="none" w:sz="0" w:space="0" w:color="auto"/>
        <w:right w:val="none" w:sz="0" w:space="0" w:color="auto"/>
      </w:divBdr>
    </w:div>
    <w:div w:id="1592930879">
      <w:bodyDiv w:val="1"/>
      <w:marLeft w:val="0"/>
      <w:marRight w:val="0"/>
      <w:marTop w:val="0"/>
      <w:marBottom w:val="0"/>
      <w:divBdr>
        <w:top w:val="none" w:sz="0" w:space="0" w:color="auto"/>
        <w:left w:val="none" w:sz="0" w:space="0" w:color="auto"/>
        <w:bottom w:val="none" w:sz="0" w:space="0" w:color="auto"/>
        <w:right w:val="none" w:sz="0" w:space="0" w:color="auto"/>
      </w:divBdr>
    </w:div>
    <w:div w:id="1606379612">
      <w:bodyDiv w:val="1"/>
      <w:marLeft w:val="0"/>
      <w:marRight w:val="0"/>
      <w:marTop w:val="0"/>
      <w:marBottom w:val="0"/>
      <w:divBdr>
        <w:top w:val="none" w:sz="0" w:space="0" w:color="auto"/>
        <w:left w:val="none" w:sz="0" w:space="0" w:color="auto"/>
        <w:bottom w:val="none" w:sz="0" w:space="0" w:color="auto"/>
        <w:right w:val="none" w:sz="0" w:space="0" w:color="auto"/>
      </w:divBdr>
    </w:div>
    <w:div w:id="1634866623">
      <w:bodyDiv w:val="1"/>
      <w:marLeft w:val="0"/>
      <w:marRight w:val="0"/>
      <w:marTop w:val="0"/>
      <w:marBottom w:val="0"/>
      <w:divBdr>
        <w:top w:val="none" w:sz="0" w:space="0" w:color="auto"/>
        <w:left w:val="none" w:sz="0" w:space="0" w:color="auto"/>
        <w:bottom w:val="none" w:sz="0" w:space="0" w:color="auto"/>
        <w:right w:val="none" w:sz="0" w:space="0" w:color="auto"/>
      </w:divBdr>
    </w:div>
    <w:div w:id="1642805965">
      <w:bodyDiv w:val="1"/>
      <w:marLeft w:val="0"/>
      <w:marRight w:val="0"/>
      <w:marTop w:val="0"/>
      <w:marBottom w:val="0"/>
      <w:divBdr>
        <w:top w:val="none" w:sz="0" w:space="0" w:color="auto"/>
        <w:left w:val="none" w:sz="0" w:space="0" w:color="auto"/>
        <w:bottom w:val="none" w:sz="0" w:space="0" w:color="auto"/>
        <w:right w:val="none" w:sz="0" w:space="0" w:color="auto"/>
      </w:divBdr>
    </w:div>
    <w:div w:id="1661033868">
      <w:bodyDiv w:val="1"/>
      <w:marLeft w:val="0"/>
      <w:marRight w:val="0"/>
      <w:marTop w:val="0"/>
      <w:marBottom w:val="0"/>
      <w:divBdr>
        <w:top w:val="none" w:sz="0" w:space="0" w:color="auto"/>
        <w:left w:val="none" w:sz="0" w:space="0" w:color="auto"/>
        <w:bottom w:val="none" w:sz="0" w:space="0" w:color="auto"/>
        <w:right w:val="none" w:sz="0" w:space="0" w:color="auto"/>
      </w:divBdr>
    </w:div>
    <w:div w:id="1664895245">
      <w:bodyDiv w:val="1"/>
      <w:marLeft w:val="0"/>
      <w:marRight w:val="0"/>
      <w:marTop w:val="0"/>
      <w:marBottom w:val="0"/>
      <w:divBdr>
        <w:top w:val="none" w:sz="0" w:space="0" w:color="auto"/>
        <w:left w:val="none" w:sz="0" w:space="0" w:color="auto"/>
        <w:bottom w:val="none" w:sz="0" w:space="0" w:color="auto"/>
        <w:right w:val="none" w:sz="0" w:space="0" w:color="auto"/>
      </w:divBdr>
      <w:divsChild>
        <w:div w:id="250237335">
          <w:marLeft w:val="0"/>
          <w:marRight w:val="0"/>
          <w:marTop w:val="0"/>
          <w:marBottom w:val="0"/>
          <w:divBdr>
            <w:top w:val="none" w:sz="0" w:space="0" w:color="auto"/>
            <w:left w:val="none" w:sz="0" w:space="0" w:color="auto"/>
            <w:bottom w:val="none" w:sz="0" w:space="0" w:color="auto"/>
            <w:right w:val="none" w:sz="0" w:space="0" w:color="auto"/>
          </w:divBdr>
          <w:divsChild>
            <w:div w:id="942417299">
              <w:marLeft w:val="0"/>
              <w:marRight w:val="0"/>
              <w:marTop w:val="0"/>
              <w:marBottom w:val="0"/>
              <w:divBdr>
                <w:top w:val="none" w:sz="0" w:space="0" w:color="auto"/>
                <w:left w:val="none" w:sz="0" w:space="0" w:color="auto"/>
                <w:bottom w:val="none" w:sz="0" w:space="0" w:color="auto"/>
                <w:right w:val="none" w:sz="0" w:space="0" w:color="auto"/>
              </w:divBdr>
              <w:divsChild>
                <w:div w:id="676805374">
                  <w:marLeft w:val="0"/>
                  <w:marRight w:val="0"/>
                  <w:marTop w:val="0"/>
                  <w:marBottom w:val="0"/>
                  <w:divBdr>
                    <w:top w:val="none" w:sz="0" w:space="0" w:color="auto"/>
                    <w:left w:val="none" w:sz="0" w:space="0" w:color="auto"/>
                    <w:bottom w:val="none" w:sz="0" w:space="0" w:color="auto"/>
                    <w:right w:val="none" w:sz="0" w:space="0" w:color="auto"/>
                  </w:divBdr>
                  <w:divsChild>
                    <w:div w:id="35474498">
                      <w:marLeft w:val="0"/>
                      <w:marRight w:val="0"/>
                      <w:marTop w:val="0"/>
                      <w:marBottom w:val="0"/>
                      <w:divBdr>
                        <w:top w:val="none" w:sz="0" w:space="0" w:color="auto"/>
                        <w:left w:val="none" w:sz="0" w:space="0" w:color="auto"/>
                        <w:bottom w:val="none" w:sz="0" w:space="0" w:color="auto"/>
                        <w:right w:val="none" w:sz="0" w:space="0" w:color="auto"/>
                      </w:divBdr>
                      <w:divsChild>
                        <w:div w:id="1288317738">
                          <w:marLeft w:val="0"/>
                          <w:marRight w:val="0"/>
                          <w:marTop w:val="0"/>
                          <w:marBottom w:val="0"/>
                          <w:divBdr>
                            <w:top w:val="none" w:sz="0" w:space="0" w:color="auto"/>
                            <w:left w:val="none" w:sz="0" w:space="0" w:color="auto"/>
                            <w:bottom w:val="none" w:sz="0" w:space="0" w:color="auto"/>
                            <w:right w:val="none" w:sz="0" w:space="0" w:color="auto"/>
                          </w:divBdr>
                          <w:divsChild>
                            <w:div w:id="953631570">
                              <w:marLeft w:val="0"/>
                              <w:marRight w:val="0"/>
                              <w:marTop w:val="0"/>
                              <w:marBottom w:val="0"/>
                              <w:divBdr>
                                <w:top w:val="none" w:sz="0" w:space="0" w:color="auto"/>
                                <w:left w:val="none" w:sz="0" w:space="0" w:color="auto"/>
                                <w:bottom w:val="none" w:sz="0" w:space="0" w:color="auto"/>
                                <w:right w:val="none" w:sz="0" w:space="0" w:color="auto"/>
                              </w:divBdr>
                              <w:divsChild>
                                <w:div w:id="963122662">
                                  <w:marLeft w:val="0"/>
                                  <w:marRight w:val="0"/>
                                  <w:marTop w:val="0"/>
                                  <w:marBottom w:val="0"/>
                                  <w:divBdr>
                                    <w:top w:val="none" w:sz="0" w:space="0" w:color="auto"/>
                                    <w:left w:val="none" w:sz="0" w:space="0" w:color="auto"/>
                                    <w:bottom w:val="none" w:sz="0" w:space="0" w:color="auto"/>
                                    <w:right w:val="none" w:sz="0" w:space="0" w:color="auto"/>
                                  </w:divBdr>
                                  <w:divsChild>
                                    <w:div w:id="1165319897">
                                      <w:marLeft w:val="0"/>
                                      <w:marRight w:val="0"/>
                                      <w:marTop w:val="0"/>
                                      <w:marBottom w:val="0"/>
                                      <w:divBdr>
                                        <w:top w:val="none" w:sz="0" w:space="0" w:color="auto"/>
                                        <w:left w:val="none" w:sz="0" w:space="0" w:color="auto"/>
                                        <w:bottom w:val="none" w:sz="0" w:space="0" w:color="auto"/>
                                        <w:right w:val="none" w:sz="0" w:space="0" w:color="auto"/>
                                      </w:divBdr>
                                    </w:div>
                                    <w:div w:id="1975207475">
                                      <w:marLeft w:val="0"/>
                                      <w:marRight w:val="0"/>
                                      <w:marTop w:val="0"/>
                                      <w:marBottom w:val="0"/>
                                      <w:divBdr>
                                        <w:top w:val="none" w:sz="0" w:space="0" w:color="auto"/>
                                        <w:left w:val="none" w:sz="0" w:space="0" w:color="auto"/>
                                        <w:bottom w:val="none" w:sz="0" w:space="0" w:color="auto"/>
                                        <w:right w:val="none" w:sz="0" w:space="0" w:color="auto"/>
                                      </w:divBdr>
                                      <w:divsChild>
                                        <w:div w:id="1088624581">
                                          <w:marLeft w:val="0"/>
                                          <w:marRight w:val="165"/>
                                          <w:marTop w:val="150"/>
                                          <w:marBottom w:val="0"/>
                                          <w:divBdr>
                                            <w:top w:val="none" w:sz="0" w:space="0" w:color="auto"/>
                                            <w:left w:val="none" w:sz="0" w:space="0" w:color="auto"/>
                                            <w:bottom w:val="none" w:sz="0" w:space="0" w:color="auto"/>
                                            <w:right w:val="none" w:sz="0" w:space="0" w:color="auto"/>
                                          </w:divBdr>
                                          <w:divsChild>
                                            <w:div w:id="999429320">
                                              <w:marLeft w:val="0"/>
                                              <w:marRight w:val="0"/>
                                              <w:marTop w:val="0"/>
                                              <w:marBottom w:val="0"/>
                                              <w:divBdr>
                                                <w:top w:val="none" w:sz="0" w:space="0" w:color="auto"/>
                                                <w:left w:val="none" w:sz="0" w:space="0" w:color="auto"/>
                                                <w:bottom w:val="none" w:sz="0" w:space="0" w:color="auto"/>
                                                <w:right w:val="none" w:sz="0" w:space="0" w:color="auto"/>
                                              </w:divBdr>
                                              <w:divsChild>
                                                <w:div w:id="11813576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0027925">
          <w:marLeft w:val="0"/>
          <w:marRight w:val="0"/>
          <w:marTop w:val="240"/>
          <w:marBottom w:val="0"/>
          <w:divBdr>
            <w:top w:val="none" w:sz="0" w:space="0" w:color="auto"/>
            <w:left w:val="none" w:sz="0" w:space="0" w:color="auto"/>
            <w:bottom w:val="none" w:sz="0" w:space="0" w:color="auto"/>
            <w:right w:val="none" w:sz="0" w:space="0" w:color="auto"/>
          </w:divBdr>
        </w:div>
      </w:divsChild>
    </w:div>
    <w:div w:id="1686203305">
      <w:bodyDiv w:val="1"/>
      <w:marLeft w:val="0"/>
      <w:marRight w:val="0"/>
      <w:marTop w:val="0"/>
      <w:marBottom w:val="0"/>
      <w:divBdr>
        <w:top w:val="none" w:sz="0" w:space="0" w:color="auto"/>
        <w:left w:val="none" w:sz="0" w:space="0" w:color="auto"/>
        <w:bottom w:val="none" w:sz="0" w:space="0" w:color="auto"/>
        <w:right w:val="none" w:sz="0" w:space="0" w:color="auto"/>
      </w:divBdr>
    </w:div>
    <w:div w:id="1740663542">
      <w:bodyDiv w:val="1"/>
      <w:marLeft w:val="0"/>
      <w:marRight w:val="0"/>
      <w:marTop w:val="0"/>
      <w:marBottom w:val="0"/>
      <w:divBdr>
        <w:top w:val="none" w:sz="0" w:space="0" w:color="auto"/>
        <w:left w:val="none" w:sz="0" w:space="0" w:color="auto"/>
        <w:bottom w:val="none" w:sz="0" w:space="0" w:color="auto"/>
        <w:right w:val="none" w:sz="0" w:space="0" w:color="auto"/>
      </w:divBdr>
    </w:div>
    <w:div w:id="1742942664">
      <w:bodyDiv w:val="1"/>
      <w:marLeft w:val="0"/>
      <w:marRight w:val="0"/>
      <w:marTop w:val="0"/>
      <w:marBottom w:val="0"/>
      <w:divBdr>
        <w:top w:val="none" w:sz="0" w:space="0" w:color="auto"/>
        <w:left w:val="none" w:sz="0" w:space="0" w:color="auto"/>
        <w:bottom w:val="none" w:sz="0" w:space="0" w:color="auto"/>
        <w:right w:val="none" w:sz="0" w:space="0" w:color="auto"/>
      </w:divBdr>
    </w:div>
    <w:div w:id="1756855697">
      <w:bodyDiv w:val="1"/>
      <w:marLeft w:val="0"/>
      <w:marRight w:val="0"/>
      <w:marTop w:val="0"/>
      <w:marBottom w:val="0"/>
      <w:divBdr>
        <w:top w:val="none" w:sz="0" w:space="0" w:color="auto"/>
        <w:left w:val="none" w:sz="0" w:space="0" w:color="auto"/>
        <w:bottom w:val="none" w:sz="0" w:space="0" w:color="auto"/>
        <w:right w:val="none" w:sz="0" w:space="0" w:color="auto"/>
      </w:divBdr>
    </w:div>
    <w:div w:id="1760365301">
      <w:bodyDiv w:val="1"/>
      <w:marLeft w:val="0"/>
      <w:marRight w:val="0"/>
      <w:marTop w:val="0"/>
      <w:marBottom w:val="0"/>
      <w:divBdr>
        <w:top w:val="none" w:sz="0" w:space="0" w:color="auto"/>
        <w:left w:val="none" w:sz="0" w:space="0" w:color="auto"/>
        <w:bottom w:val="none" w:sz="0" w:space="0" w:color="auto"/>
        <w:right w:val="none" w:sz="0" w:space="0" w:color="auto"/>
      </w:divBdr>
    </w:div>
    <w:div w:id="1766464717">
      <w:bodyDiv w:val="1"/>
      <w:marLeft w:val="0"/>
      <w:marRight w:val="0"/>
      <w:marTop w:val="0"/>
      <w:marBottom w:val="0"/>
      <w:divBdr>
        <w:top w:val="none" w:sz="0" w:space="0" w:color="auto"/>
        <w:left w:val="none" w:sz="0" w:space="0" w:color="auto"/>
        <w:bottom w:val="none" w:sz="0" w:space="0" w:color="auto"/>
        <w:right w:val="none" w:sz="0" w:space="0" w:color="auto"/>
      </w:divBdr>
    </w:div>
    <w:div w:id="1781609894">
      <w:bodyDiv w:val="1"/>
      <w:marLeft w:val="0"/>
      <w:marRight w:val="0"/>
      <w:marTop w:val="0"/>
      <w:marBottom w:val="0"/>
      <w:divBdr>
        <w:top w:val="none" w:sz="0" w:space="0" w:color="auto"/>
        <w:left w:val="none" w:sz="0" w:space="0" w:color="auto"/>
        <w:bottom w:val="none" w:sz="0" w:space="0" w:color="auto"/>
        <w:right w:val="none" w:sz="0" w:space="0" w:color="auto"/>
      </w:divBdr>
    </w:div>
    <w:div w:id="1793862095">
      <w:bodyDiv w:val="1"/>
      <w:marLeft w:val="0"/>
      <w:marRight w:val="0"/>
      <w:marTop w:val="0"/>
      <w:marBottom w:val="0"/>
      <w:divBdr>
        <w:top w:val="none" w:sz="0" w:space="0" w:color="auto"/>
        <w:left w:val="none" w:sz="0" w:space="0" w:color="auto"/>
        <w:bottom w:val="none" w:sz="0" w:space="0" w:color="auto"/>
        <w:right w:val="none" w:sz="0" w:space="0" w:color="auto"/>
      </w:divBdr>
    </w:div>
    <w:div w:id="1799101121">
      <w:bodyDiv w:val="1"/>
      <w:marLeft w:val="0"/>
      <w:marRight w:val="0"/>
      <w:marTop w:val="0"/>
      <w:marBottom w:val="0"/>
      <w:divBdr>
        <w:top w:val="none" w:sz="0" w:space="0" w:color="auto"/>
        <w:left w:val="none" w:sz="0" w:space="0" w:color="auto"/>
        <w:bottom w:val="none" w:sz="0" w:space="0" w:color="auto"/>
        <w:right w:val="none" w:sz="0" w:space="0" w:color="auto"/>
      </w:divBdr>
    </w:div>
    <w:div w:id="1799883341">
      <w:bodyDiv w:val="1"/>
      <w:marLeft w:val="0"/>
      <w:marRight w:val="0"/>
      <w:marTop w:val="0"/>
      <w:marBottom w:val="0"/>
      <w:divBdr>
        <w:top w:val="none" w:sz="0" w:space="0" w:color="auto"/>
        <w:left w:val="none" w:sz="0" w:space="0" w:color="auto"/>
        <w:bottom w:val="none" w:sz="0" w:space="0" w:color="auto"/>
        <w:right w:val="none" w:sz="0" w:space="0" w:color="auto"/>
      </w:divBdr>
    </w:div>
    <w:div w:id="1813598324">
      <w:bodyDiv w:val="1"/>
      <w:marLeft w:val="0"/>
      <w:marRight w:val="0"/>
      <w:marTop w:val="0"/>
      <w:marBottom w:val="0"/>
      <w:divBdr>
        <w:top w:val="none" w:sz="0" w:space="0" w:color="auto"/>
        <w:left w:val="none" w:sz="0" w:space="0" w:color="auto"/>
        <w:bottom w:val="none" w:sz="0" w:space="0" w:color="auto"/>
        <w:right w:val="none" w:sz="0" w:space="0" w:color="auto"/>
      </w:divBdr>
    </w:div>
    <w:div w:id="1857110939">
      <w:bodyDiv w:val="1"/>
      <w:marLeft w:val="0"/>
      <w:marRight w:val="0"/>
      <w:marTop w:val="0"/>
      <w:marBottom w:val="0"/>
      <w:divBdr>
        <w:top w:val="none" w:sz="0" w:space="0" w:color="auto"/>
        <w:left w:val="none" w:sz="0" w:space="0" w:color="auto"/>
        <w:bottom w:val="none" w:sz="0" w:space="0" w:color="auto"/>
        <w:right w:val="none" w:sz="0" w:space="0" w:color="auto"/>
      </w:divBdr>
    </w:div>
    <w:div w:id="1865709760">
      <w:bodyDiv w:val="1"/>
      <w:marLeft w:val="0"/>
      <w:marRight w:val="0"/>
      <w:marTop w:val="0"/>
      <w:marBottom w:val="0"/>
      <w:divBdr>
        <w:top w:val="none" w:sz="0" w:space="0" w:color="auto"/>
        <w:left w:val="none" w:sz="0" w:space="0" w:color="auto"/>
        <w:bottom w:val="none" w:sz="0" w:space="0" w:color="auto"/>
        <w:right w:val="none" w:sz="0" w:space="0" w:color="auto"/>
      </w:divBdr>
    </w:div>
    <w:div w:id="1907765664">
      <w:bodyDiv w:val="1"/>
      <w:marLeft w:val="0"/>
      <w:marRight w:val="0"/>
      <w:marTop w:val="0"/>
      <w:marBottom w:val="0"/>
      <w:divBdr>
        <w:top w:val="none" w:sz="0" w:space="0" w:color="auto"/>
        <w:left w:val="none" w:sz="0" w:space="0" w:color="auto"/>
        <w:bottom w:val="none" w:sz="0" w:space="0" w:color="auto"/>
        <w:right w:val="none" w:sz="0" w:space="0" w:color="auto"/>
      </w:divBdr>
    </w:div>
    <w:div w:id="1960185287">
      <w:bodyDiv w:val="1"/>
      <w:marLeft w:val="0"/>
      <w:marRight w:val="0"/>
      <w:marTop w:val="0"/>
      <w:marBottom w:val="0"/>
      <w:divBdr>
        <w:top w:val="none" w:sz="0" w:space="0" w:color="auto"/>
        <w:left w:val="none" w:sz="0" w:space="0" w:color="auto"/>
        <w:bottom w:val="none" w:sz="0" w:space="0" w:color="auto"/>
        <w:right w:val="none" w:sz="0" w:space="0" w:color="auto"/>
      </w:divBdr>
    </w:div>
    <w:div w:id="2014410084">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082017633">
      <w:bodyDiv w:val="1"/>
      <w:marLeft w:val="0"/>
      <w:marRight w:val="0"/>
      <w:marTop w:val="0"/>
      <w:marBottom w:val="0"/>
      <w:divBdr>
        <w:top w:val="none" w:sz="0" w:space="0" w:color="auto"/>
        <w:left w:val="none" w:sz="0" w:space="0" w:color="auto"/>
        <w:bottom w:val="none" w:sz="0" w:space="0" w:color="auto"/>
        <w:right w:val="none" w:sz="0" w:space="0" w:color="auto"/>
      </w:divBdr>
    </w:div>
    <w:div w:id="2085564121">
      <w:bodyDiv w:val="1"/>
      <w:marLeft w:val="0"/>
      <w:marRight w:val="0"/>
      <w:marTop w:val="0"/>
      <w:marBottom w:val="0"/>
      <w:divBdr>
        <w:top w:val="none" w:sz="0" w:space="0" w:color="auto"/>
        <w:left w:val="none" w:sz="0" w:space="0" w:color="auto"/>
        <w:bottom w:val="none" w:sz="0" w:space="0" w:color="auto"/>
        <w:right w:val="none" w:sz="0" w:space="0" w:color="auto"/>
      </w:divBdr>
    </w:div>
    <w:div w:id="2093114877">
      <w:bodyDiv w:val="1"/>
      <w:marLeft w:val="0"/>
      <w:marRight w:val="0"/>
      <w:marTop w:val="0"/>
      <w:marBottom w:val="0"/>
      <w:divBdr>
        <w:top w:val="none" w:sz="0" w:space="0" w:color="auto"/>
        <w:left w:val="none" w:sz="0" w:space="0" w:color="auto"/>
        <w:bottom w:val="none" w:sz="0" w:space="0" w:color="auto"/>
        <w:right w:val="none" w:sz="0" w:space="0" w:color="auto"/>
      </w:divBdr>
    </w:div>
    <w:div w:id="2111243341">
      <w:bodyDiv w:val="1"/>
      <w:marLeft w:val="0"/>
      <w:marRight w:val="0"/>
      <w:marTop w:val="0"/>
      <w:marBottom w:val="0"/>
      <w:divBdr>
        <w:top w:val="none" w:sz="0" w:space="0" w:color="auto"/>
        <w:left w:val="none" w:sz="0" w:space="0" w:color="auto"/>
        <w:bottom w:val="none" w:sz="0" w:space="0" w:color="auto"/>
        <w:right w:val="none" w:sz="0" w:space="0" w:color="auto"/>
      </w:divBdr>
    </w:div>
    <w:div w:id="2118940828">
      <w:bodyDiv w:val="1"/>
      <w:marLeft w:val="0"/>
      <w:marRight w:val="0"/>
      <w:marTop w:val="0"/>
      <w:marBottom w:val="0"/>
      <w:divBdr>
        <w:top w:val="none" w:sz="0" w:space="0" w:color="auto"/>
        <w:left w:val="none" w:sz="0" w:space="0" w:color="auto"/>
        <w:bottom w:val="none" w:sz="0" w:space="0" w:color="auto"/>
        <w:right w:val="none" w:sz="0" w:space="0" w:color="auto"/>
      </w:divBdr>
    </w:div>
    <w:div w:id="2134204553">
      <w:bodyDiv w:val="1"/>
      <w:marLeft w:val="0"/>
      <w:marRight w:val="0"/>
      <w:marTop w:val="0"/>
      <w:marBottom w:val="0"/>
      <w:divBdr>
        <w:top w:val="none" w:sz="0" w:space="0" w:color="auto"/>
        <w:left w:val="none" w:sz="0" w:space="0" w:color="auto"/>
        <w:bottom w:val="none" w:sz="0" w:space="0" w:color="auto"/>
        <w:right w:val="none" w:sz="0" w:space="0" w:color="auto"/>
      </w:divBdr>
    </w:div>
    <w:div w:id="2134862488">
      <w:bodyDiv w:val="1"/>
      <w:marLeft w:val="0"/>
      <w:marRight w:val="0"/>
      <w:marTop w:val="0"/>
      <w:marBottom w:val="0"/>
      <w:divBdr>
        <w:top w:val="none" w:sz="0" w:space="0" w:color="auto"/>
        <w:left w:val="none" w:sz="0" w:space="0" w:color="auto"/>
        <w:bottom w:val="none" w:sz="0" w:space="0" w:color="auto"/>
        <w:right w:val="none" w:sz="0" w:space="0" w:color="auto"/>
      </w:divBdr>
    </w:div>
    <w:div w:id="2140803644">
      <w:bodyDiv w:val="1"/>
      <w:marLeft w:val="0"/>
      <w:marRight w:val="0"/>
      <w:marTop w:val="0"/>
      <w:marBottom w:val="0"/>
      <w:divBdr>
        <w:top w:val="none" w:sz="0" w:space="0" w:color="auto"/>
        <w:left w:val="none" w:sz="0" w:space="0" w:color="auto"/>
        <w:bottom w:val="none" w:sz="0" w:space="0" w:color="auto"/>
        <w:right w:val="none" w:sz="0" w:space="0" w:color="auto"/>
      </w:divBdr>
    </w:div>
    <w:div w:id="21457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581D2-DD5E-9B4D-AA8C-937B1D9E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8</Pages>
  <Words>7877</Words>
  <Characters>48448</Characters>
  <Application>Microsoft Office Word</Application>
  <DocSecurity>0</DocSecurity>
  <Lines>1211</Lines>
  <Paragraphs>1024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Josh Amaru</cp:lastModifiedBy>
  <cp:revision>17</cp:revision>
  <dcterms:created xsi:type="dcterms:W3CDTF">2021-09-14T21:18:00Z</dcterms:created>
  <dcterms:modified xsi:type="dcterms:W3CDTF">2021-09-15T05:59:00Z</dcterms:modified>
</cp:coreProperties>
</file>