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6940" w14:textId="50A5E6FE" w:rsidR="003B34DF" w:rsidRPr="00F06CE0" w:rsidRDefault="003B34DF" w:rsidP="003B34DF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  <w:lang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  <w:lang w:eastAsia="en-AU" w:bidi="he-IL"/>
        </w:rPr>
        <w:t>תקציר</w:t>
      </w:r>
    </w:p>
    <w:p w14:paraId="079B8CB9" w14:textId="75723EA4" w:rsidR="003B34DF" w:rsidRPr="00F06CE0" w:rsidRDefault="003B34DF" w:rsidP="003B34DF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</w:pPr>
    </w:p>
    <w:p w14:paraId="3ADA0494" w14:textId="260AEEF3" w:rsidR="003B34DF" w:rsidRPr="00F06CE0" w:rsidRDefault="003B34DF" w:rsidP="00255EF0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רקע: </w:t>
      </w:r>
      <w:proofErr w:type="spellStart"/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לישמניאזיס</w:t>
      </w:r>
      <w:proofErr w:type="spellEnd"/>
      <w:r w:rsidR="00EC1605"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של העור (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הנקראת גם "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שושנת יריחו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"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,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בלועזית: 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Cutaneous leishmaniasis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) </w:t>
      </w:r>
      <w:r w:rsidR="00255EF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היא מחלה שמועברת על ידי נקבת זבוב החול </w:t>
      </w:r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ונגרמת על ידי מספר מינים של טפילים </w:t>
      </w:r>
      <w:proofErr w:type="spellStart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פרוטוזואים</w:t>
      </w:r>
      <w:proofErr w:type="spellEnd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אובליגטוריים תוך-תאיים. ההיארעות של שושנת יריחו בעולם מוערכת </w:t>
      </w:r>
      <w:proofErr w:type="spellStart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בכשני</w:t>
      </w:r>
      <w:proofErr w:type="spellEnd"/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מיליון מקרים בשנה, כאשר רוב המקרים מדווחים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ב</w:t>
      </w:r>
      <w:r w:rsidR="00FA02C2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אזורי אמריקה הלטינית, אגן הים התיכון, המזרח התיכון ומרכז אסיה. בישראל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שכיחות המחלה נשארה פחות או יותר זהה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במשך שנים 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ועמדה על 0.2-7 מקרים למאה אלף נפש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, שרובם נגרמו על יד</w:t>
      </w:r>
      <w:bookmarkStart w:id="0" w:name="_GoBack"/>
      <w:bookmarkEnd w:id="0"/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י המין </w:t>
      </w:r>
      <w:proofErr w:type="spellStart"/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לישמניה</w:t>
      </w:r>
      <w:proofErr w:type="spellEnd"/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רבא (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L. major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)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. עם זאת, בשנים האחרונות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מ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דווח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ות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באזור ירושלים, טבריה, יהודה ושומרון התפרצויות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נרחבות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של שושנת יריחו עם מאות מקרים חדשים, שכולם נגרמ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ים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על ידי </w:t>
      </w:r>
      <w:proofErr w:type="spellStart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לישמניה</w:t>
      </w:r>
      <w:proofErr w:type="spellEnd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proofErr w:type="spellStart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טרופיקה</w:t>
      </w:r>
      <w:proofErr w:type="spellEnd"/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(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 xml:space="preserve">L. </w:t>
      </w:r>
      <w:proofErr w:type="spellStart"/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tropica</w:t>
      </w:r>
      <w:proofErr w:type="spellEnd"/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)</w:t>
      </w:r>
      <w:r w:rsidR="00412E5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– מין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שהינו 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עמיד יותר לטיפול </w:t>
      </w:r>
      <w:r w:rsidR="004B0AE4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וגם</w:t>
      </w:r>
      <w:r w:rsidR="00EC16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גורם למהלך קליני חמור יותר.</w:t>
      </w:r>
    </w:p>
    <w:p w14:paraId="6765A1E8" w14:textId="7BDF0462" w:rsidR="00EC1605" w:rsidRPr="00F06CE0" w:rsidRDefault="002045C2" w:rsidP="00F06CE0">
      <w:pPr>
        <w:shd w:val="clear" w:color="auto" w:fill="FFFFFF"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/>
        </w:rPr>
      </w:pP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> </w:t>
      </w:r>
    </w:p>
    <w:p w14:paraId="65C75FE9" w14:textId="04A3024B" w:rsidR="00EC1605" w:rsidRPr="00F06CE0" w:rsidRDefault="00EC1605" w:rsidP="00535B77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>מטרה: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להשוות בין הרגישויות של </w:t>
      </w:r>
      <w:proofErr w:type="spellStart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לישמניה</w:t>
      </w:r>
      <w:proofErr w:type="spellEnd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proofErr w:type="spellStart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טרופיקה</w:t>
      </w:r>
      <w:proofErr w:type="spellEnd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בצורת </w:t>
      </w:r>
      <w:proofErr w:type="spellStart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פרומסטיגוט</w:t>
      </w:r>
      <w:proofErr w:type="spellEnd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vitro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proofErr w:type="spellStart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לפרומומיצין</w:t>
      </w:r>
      <w:proofErr w:type="spellEnd"/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ול-</w:t>
      </w:r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 xml:space="preserve"> </w:t>
      </w:r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="00535B77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.</w:t>
      </w:r>
    </w:p>
    <w:p w14:paraId="7C9BA1BA" w14:textId="799867E4" w:rsidR="00535B77" w:rsidRPr="00F06CE0" w:rsidRDefault="00535B77" w:rsidP="00535B77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</w:p>
    <w:p w14:paraId="66D6986D" w14:textId="67899CD7" w:rsidR="00535B77" w:rsidRPr="00F06CE0" w:rsidRDefault="00535B77" w:rsidP="00535B77">
      <w:pPr>
        <w:shd w:val="clear" w:color="auto" w:fill="FFFFFF"/>
        <w:bidi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>שיטות: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הטפילים התקבלו מ-18 דוגמאות קפואות </w:t>
      </w:r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של סטנדרט </w:t>
      </w:r>
      <w:proofErr w:type="spellStart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לישמניה</w:t>
      </w:r>
      <w:proofErr w:type="spellEnd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proofErr w:type="spellStart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טרופיקה</w:t>
      </w:r>
      <w:proofErr w:type="spellEnd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, אשר הופשרו וגודלו </w:t>
      </w:r>
      <w:proofErr w:type="spellStart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כפרומסטיגוטים</w:t>
      </w:r>
      <w:proofErr w:type="spellEnd"/>
      <w:r w:rsidR="00F852C6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חוץ-תאיים.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בדיקת הרגישות ל-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proofErr w:type="spellStart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ולפרומומיצין</w:t>
      </w:r>
      <w:proofErr w:type="spellEnd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בוצעה באמצעות ניתוח הפעילות המטבולית של הטפיל</w:t>
      </w:r>
      <w:r w:rsidR="00F06CE0">
        <w:rPr>
          <w:rFonts w:asciiTheme="majorBidi" w:eastAsia="Times New Roman" w:hAnsiTheme="majorBidi" w:cstheme="majorBidi" w:hint="cs"/>
          <w:color w:val="222222"/>
          <w:sz w:val="24"/>
          <w:szCs w:val="24"/>
          <w:rtl/>
          <w:lang w:eastAsia="en-AU" w:bidi="he-IL"/>
        </w:rPr>
        <w:t>ים</w:t>
      </w:r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בעזרת </w:t>
      </w:r>
      <w:proofErr w:type="spellStart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>AlamarBlue</w:t>
      </w:r>
      <w:proofErr w:type="spellEnd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– מבחן </w:t>
      </w:r>
      <w:proofErr w:type="spellStart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פלורוסצנטי</w:t>
      </w:r>
      <w:proofErr w:type="spellEnd"/>
      <w:r w:rsidR="00796313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של יכולת קיום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המבוסס על צמצום </w:t>
      </w:r>
      <w:proofErr w:type="spellStart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רזזורין</w:t>
      </w:r>
      <w:proofErr w:type="spellEnd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על ידי </w:t>
      </w:r>
      <w:proofErr w:type="spellStart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דהידרוגנאז</w:t>
      </w:r>
      <w:proofErr w:type="spellEnd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NADPH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או 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NADH</w:t>
      </w:r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של הטפיל. טפילים בעלי יכולת קיום הם </w:t>
      </w:r>
      <w:proofErr w:type="spellStart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פלורסצנטיים</w:t>
      </w:r>
      <w:proofErr w:type="spellEnd"/>
      <w:r w:rsidR="0087603E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.</w:t>
      </w:r>
    </w:p>
    <w:p w14:paraId="6FB8650F" w14:textId="35B82933" w:rsidR="005F744E" w:rsidRPr="00F06CE0" w:rsidRDefault="002045C2" w:rsidP="00F06CE0">
      <w:pPr>
        <w:shd w:val="clear" w:color="auto" w:fill="FFFFFF"/>
        <w:spacing w:after="0"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/>
        </w:rPr>
      </w:pP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  <w:t> </w:t>
      </w:r>
    </w:p>
    <w:p w14:paraId="66653F61" w14:textId="2169E845" w:rsidR="005F744E" w:rsidRPr="00F06CE0" w:rsidRDefault="005F744E" w:rsidP="005F744E">
      <w:pPr>
        <w:shd w:val="clear" w:color="auto" w:fill="FFFFFF"/>
        <w:bidi/>
        <w:spacing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תוצאות: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רק 11 מתוך 18 הדוגמאות המופשרות ניתן היה לגדל לריכוזים מתאימים.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בשמונה זנים מתוך </w:t>
      </w:r>
      <w:r w:rsidR="00F06CE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br/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האחד-עשר הרגישות </w:t>
      </w:r>
      <w:proofErr w:type="spellStart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לפרומומיצין</w:t>
      </w:r>
      <w:proofErr w:type="spellEnd"/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הייתה גבוהה יותר מהרגישות 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ל-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.</w:t>
      </w:r>
    </w:p>
    <w:p w14:paraId="6A1588F9" w14:textId="57349631" w:rsidR="005F744E" w:rsidRPr="00F06CE0" w:rsidRDefault="005F744E" w:rsidP="005F744E">
      <w:pPr>
        <w:shd w:val="clear" w:color="auto" w:fill="FFFFFF"/>
        <w:bidi/>
        <w:spacing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</w:pPr>
    </w:p>
    <w:p w14:paraId="1772B88F" w14:textId="773D0B14" w:rsidR="005F744E" w:rsidRPr="00F06CE0" w:rsidRDefault="005F744E" w:rsidP="005F744E">
      <w:pPr>
        <w:shd w:val="clear" w:color="auto" w:fill="FFFFFF"/>
        <w:bidi/>
        <w:spacing w:line="330" w:lineRule="atLeast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</w:pPr>
      <w:r w:rsidRPr="00F06CE0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eastAsia="en-AU" w:bidi="he-IL"/>
        </w:rPr>
        <w:t xml:space="preserve">דיון: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בניגוד לתוצאות ש</w:t>
      </w:r>
      <w:r w:rsidR="00F06CE0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קיבלנו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במחקרנו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vitro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, בגוף החי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eastAsia="en-AU" w:bidi="he-IL"/>
        </w:rPr>
        <w:t>sodium stibogluconate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יעיל יותר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מ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פרומומיצין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בטיפול בנגעים בעור הנגרמים על ידי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לישמניה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טרופיקה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. הדבר מוכיח שאין מתאם בין בדיקת רגישות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vitro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 xml:space="preserve"> המתבצעת על צורת </w:t>
      </w:r>
      <w:proofErr w:type="spellStart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>פרומסטיגוט</w:t>
      </w:r>
      <w:proofErr w:type="spellEnd"/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AU" w:bidi="he-IL"/>
        </w:rPr>
        <w:t xml:space="preserve"> חוץ-תאי לבין הרגישות 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en-AU" w:bidi="he-IL"/>
        </w:rPr>
        <w:t>in vivo</w:t>
      </w:r>
      <w:r w:rsidR="004B1405" w:rsidRPr="00F06CE0">
        <w:rPr>
          <w:rFonts w:asciiTheme="majorBidi" w:eastAsia="Times New Roman" w:hAnsiTheme="majorBidi" w:cstheme="majorBidi"/>
          <w:color w:val="222222"/>
          <w:sz w:val="24"/>
          <w:szCs w:val="24"/>
          <w:rtl/>
          <w:lang w:val="en-US" w:eastAsia="en-AU" w:bidi="he-IL"/>
        </w:rPr>
        <w:t>.</w:t>
      </w:r>
    </w:p>
    <w:p w14:paraId="229E075C" w14:textId="77777777" w:rsidR="001620AE" w:rsidRPr="00F06CE0" w:rsidRDefault="001620AE">
      <w:pPr>
        <w:contextualSpacing/>
        <w:rPr>
          <w:rFonts w:asciiTheme="majorBidi" w:hAnsiTheme="majorBidi" w:cstheme="majorBidi"/>
          <w:sz w:val="24"/>
          <w:szCs w:val="24"/>
        </w:rPr>
      </w:pPr>
    </w:p>
    <w:sectPr w:rsidR="001620AE" w:rsidRPr="00F06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7751" w14:textId="77777777" w:rsidR="00DF5FB3" w:rsidRDefault="00DF5FB3" w:rsidP="00B630A1">
      <w:pPr>
        <w:spacing w:after="0" w:line="240" w:lineRule="auto"/>
      </w:pPr>
      <w:r>
        <w:separator/>
      </w:r>
    </w:p>
  </w:endnote>
  <w:endnote w:type="continuationSeparator" w:id="0">
    <w:p w14:paraId="4C1EAFA5" w14:textId="77777777" w:rsidR="00DF5FB3" w:rsidRDefault="00DF5FB3" w:rsidP="00B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B766" w14:textId="77777777" w:rsidR="00DF5FB3" w:rsidRDefault="00DF5FB3" w:rsidP="00B630A1">
      <w:pPr>
        <w:spacing w:after="0" w:line="240" w:lineRule="auto"/>
      </w:pPr>
      <w:r>
        <w:separator/>
      </w:r>
    </w:p>
  </w:footnote>
  <w:footnote w:type="continuationSeparator" w:id="0">
    <w:p w14:paraId="67E8946A" w14:textId="77777777" w:rsidR="00DF5FB3" w:rsidRDefault="00DF5FB3" w:rsidP="00B6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rEwMDIwMDYwMzRU0lEKTi0uzszPAykwqgUAuYKemywAAAA="/>
  </w:docVars>
  <w:rsids>
    <w:rsidRoot w:val="008C76DD"/>
    <w:rsid w:val="001620AE"/>
    <w:rsid w:val="002045C2"/>
    <w:rsid w:val="00255EF0"/>
    <w:rsid w:val="003B34DF"/>
    <w:rsid w:val="00412E53"/>
    <w:rsid w:val="004B0AE4"/>
    <w:rsid w:val="004B1405"/>
    <w:rsid w:val="00535B77"/>
    <w:rsid w:val="005F744E"/>
    <w:rsid w:val="00796313"/>
    <w:rsid w:val="0087603E"/>
    <w:rsid w:val="008C76DD"/>
    <w:rsid w:val="00980F70"/>
    <w:rsid w:val="00B630A1"/>
    <w:rsid w:val="00D404BF"/>
    <w:rsid w:val="00DF5FB3"/>
    <w:rsid w:val="00EC1605"/>
    <w:rsid w:val="00EF2CB5"/>
    <w:rsid w:val="00F06CE0"/>
    <w:rsid w:val="00F852C6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39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A1"/>
  </w:style>
  <w:style w:type="paragraph" w:styleId="Footer">
    <w:name w:val="footer"/>
    <w:basedOn w:val="Normal"/>
    <w:link w:val="FooterChar"/>
    <w:uiPriority w:val="99"/>
    <w:unhideWhenUsed/>
    <w:rsid w:val="00B6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2019-07-18T07:52:00Z</dcterms:created>
  <dcterms:modified xsi:type="dcterms:W3CDTF">2019-07-18T07:52:00Z</dcterms:modified>
</cp:coreProperties>
</file>