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D6940" w14:textId="50A5E6FE" w:rsidR="003B34DF" w:rsidRPr="00F06CE0" w:rsidRDefault="003B34DF" w:rsidP="003B34DF">
      <w:pPr>
        <w:shd w:val="clear" w:color="auto" w:fill="FFFFFF"/>
        <w:bidi/>
        <w:spacing w:after="0" w:line="330" w:lineRule="atLeast"/>
        <w:contextualSpacing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  <w:lang w:eastAsia="en-AU" w:bidi="he-IL"/>
        </w:rPr>
      </w:pPr>
      <w:r w:rsidRPr="00F06CE0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  <w:lang w:eastAsia="en-AU" w:bidi="he-IL"/>
        </w:rPr>
        <w:t>תקציר</w:t>
      </w:r>
    </w:p>
    <w:p w14:paraId="079B8CB9" w14:textId="75723EA4" w:rsidR="003B34DF" w:rsidRPr="00F06CE0" w:rsidRDefault="003B34DF" w:rsidP="003B34DF">
      <w:pPr>
        <w:shd w:val="clear" w:color="auto" w:fill="FFFFFF"/>
        <w:bidi/>
        <w:spacing w:after="0" w:line="330" w:lineRule="atLeast"/>
        <w:contextualSpacing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eastAsia="en-AU" w:bidi="he-IL"/>
        </w:rPr>
      </w:pPr>
    </w:p>
    <w:p w14:paraId="3ADA0494" w14:textId="260AEEF3" w:rsidR="003B34DF" w:rsidRPr="00F06CE0" w:rsidRDefault="003B34DF" w:rsidP="00255EF0">
      <w:pPr>
        <w:shd w:val="clear" w:color="auto" w:fill="FFFFFF"/>
        <w:bidi/>
        <w:spacing w:after="0"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</w:pPr>
      <w:r w:rsidRPr="00F06CE0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eastAsia="en-AU" w:bidi="he-IL"/>
        </w:rPr>
        <w:t xml:space="preserve">רקע: </w:t>
      </w:r>
      <w:proofErr w:type="spellStart"/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לישמניאזיס</w:t>
      </w:r>
      <w:proofErr w:type="spellEnd"/>
      <w:r w:rsidR="00EC1605" w:rsidRPr="00F06CE0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eastAsia="en-AU" w:bidi="he-IL"/>
        </w:rPr>
        <w:t xml:space="preserve"> 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של העור (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הנקראת גם "</w:t>
      </w:r>
      <w:r w:rsidR="00255EF0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שושנת יריחו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"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,</w:t>
      </w:r>
      <w:r w:rsidR="00255EF0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בלועזית: </w:t>
      </w:r>
      <w:r w:rsidR="00255EF0"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 w:bidi="he-IL"/>
        </w:rPr>
        <w:t>Cutaneous leishmaniasis</w:t>
      </w:r>
      <w:r w:rsidR="00255EF0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) </w:t>
      </w:r>
      <w:r w:rsidR="00255EF0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היא מחלה שמועברת על ידי נקבת זבוב החול </w:t>
      </w:r>
      <w:r w:rsidR="00FA02C2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ונגרמת על ידי מספר מינים של טפילים </w:t>
      </w:r>
      <w:proofErr w:type="spellStart"/>
      <w:r w:rsidR="00FA02C2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פרוטוזואים</w:t>
      </w:r>
      <w:proofErr w:type="spellEnd"/>
      <w:r w:rsidR="00FA02C2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אובליגטוריים תוך-תאיים. ההיארעות של שושנת יריחו בעולם מוערכת </w:t>
      </w:r>
      <w:proofErr w:type="spellStart"/>
      <w:r w:rsidR="00FA02C2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בכשני</w:t>
      </w:r>
      <w:proofErr w:type="spellEnd"/>
      <w:r w:rsidR="00FA02C2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מיליון מקרים בשנה, כאשר רוב המקרים מדווחים 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ב</w:t>
      </w:r>
      <w:r w:rsidR="00FA02C2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אזורי אמריקה הלטינית, אגן הים התיכון, המזרח התיכון ומרכז אסיה. בישראל</w:t>
      </w:r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שכיחות המחלה נשארה פחות או יותר זהה 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במשך שנים </w:t>
      </w:r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ועמדה על 0.2-7 מקרים למאה אלף נפש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, שרובם נגרמו 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על ידי המין </w:t>
      </w:r>
      <w:proofErr w:type="spellStart"/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לישמניה</w:t>
      </w:r>
      <w:proofErr w:type="spellEnd"/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רבא (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en-AU" w:bidi="he-IL"/>
        </w:rPr>
        <w:t>L. major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)</w:t>
      </w:r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. עם זאת, בשנים האחרונות 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מ</w:t>
      </w:r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דווח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ות</w:t>
      </w:r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באזור ירושלים, טבריה, יהודה ושומרון התפרצויות 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נרחבות</w:t>
      </w:r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של שושנת יריחו עם מאות מקרים חדשים, שכולם נגרמ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ים</w:t>
      </w:r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על ידי </w:t>
      </w:r>
      <w:proofErr w:type="spellStart"/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לישמניה</w:t>
      </w:r>
      <w:proofErr w:type="spellEnd"/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</w:t>
      </w:r>
      <w:proofErr w:type="spellStart"/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טרופיקה</w:t>
      </w:r>
      <w:proofErr w:type="spellEnd"/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(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en-AU" w:bidi="he-IL"/>
        </w:rPr>
        <w:t xml:space="preserve">L. </w:t>
      </w:r>
      <w:proofErr w:type="spellStart"/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en-AU" w:bidi="he-IL"/>
        </w:rPr>
        <w:t>tropica</w:t>
      </w:r>
      <w:proofErr w:type="spellEnd"/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)</w:t>
      </w:r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– מין 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שהינו 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עמיד יותר לטיפול 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וגם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גורם למהלך קליני חמור יותר.</w:t>
      </w:r>
    </w:p>
    <w:p w14:paraId="6765A1E8" w14:textId="7BDF0462" w:rsidR="00EC1605" w:rsidRPr="00F06CE0" w:rsidRDefault="002045C2" w:rsidP="00F06CE0">
      <w:pPr>
        <w:shd w:val="clear" w:color="auto" w:fill="FFFFFF"/>
        <w:spacing w:after="0"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/>
        </w:rPr>
      </w:pP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/>
        </w:rPr>
        <w:t> </w:t>
      </w:r>
    </w:p>
    <w:p w14:paraId="65C75FE9" w14:textId="04A3024B" w:rsidR="00EC1605" w:rsidRPr="00F06CE0" w:rsidRDefault="00EC1605" w:rsidP="00535B77">
      <w:pPr>
        <w:shd w:val="clear" w:color="auto" w:fill="FFFFFF"/>
        <w:bidi/>
        <w:spacing w:after="0"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</w:pPr>
      <w:r w:rsidRPr="00F06CE0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eastAsia="en-AU" w:bidi="he-IL"/>
        </w:rPr>
        <w:t>מטרה: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להשוות בין הרגישויות של </w:t>
      </w:r>
      <w:proofErr w:type="spellStart"/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לישמניה</w:t>
      </w:r>
      <w:proofErr w:type="spellEnd"/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</w:t>
      </w:r>
      <w:proofErr w:type="spellStart"/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טרופיקה</w:t>
      </w:r>
      <w:proofErr w:type="spellEnd"/>
      <w:r w:rsidR="00535B77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בצורת </w:t>
      </w:r>
      <w:proofErr w:type="spellStart"/>
      <w:r w:rsidR="00535B77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פרומסטיגוט</w:t>
      </w:r>
      <w:proofErr w:type="spellEnd"/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en-AU" w:bidi="he-IL"/>
        </w:rPr>
        <w:t>in vitro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</w:t>
      </w:r>
      <w:proofErr w:type="spellStart"/>
      <w:r w:rsidR="00535B77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לפרומומיצין</w:t>
      </w:r>
      <w:proofErr w:type="spellEnd"/>
      <w:r w:rsidR="00535B77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ול-</w:t>
      </w:r>
      <w:r w:rsidR="00535B77"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/>
        </w:rPr>
        <w:t xml:space="preserve"> </w:t>
      </w:r>
      <w:r w:rsidR="00535B77"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 w:bidi="he-IL"/>
        </w:rPr>
        <w:t>sodium stibogluconate</w:t>
      </w:r>
      <w:r w:rsidR="00535B77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.</w:t>
      </w:r>
    </w:p>
    <w:p w14:paraId="7C9BA1BA" w14:textId="799867E4" w:rsidR="00535B77" w:rsidRPr="00F06CE0" w:rsidRDefault="00535B77" w:rsidP="00535B77">
      <w:pPr>
        <w:shd w:val="clear" w:color="auto" w:fill="FFFFFF"/>
        <w:bidi/>
        <w:spacing w:after="0"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</w:pPr>
    </w:p>
    <w:p w14:paraId="66D6986D" w14:textId="67899CD7" w:rsidR="00535B77" w:rsidRPr="00F06CE0" w:rsidRDefault="00535B77" w:rsidP="00535B77">
      <w:pPr>
        <w:shd w:val="clear" w:color="auto" w:fill="FFFFFF"/>
        <w:bidi/>
        <w:spacing w:after="0"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</w:pPr>
      <w:r w:rsidRPr="00F06CE0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eastAsia="en-AU" w:bidi="he-IL"/>
        </w:rPr>
        <w:t>שיטות: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הטפילים התקבלו מ-18 דוגמאות קפואות </w:t>
      </w:r>
      <w:r w:rsidR="00F852C6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של סטנדרט </w:t>
      </w:r>
      <w:proofErr w:type="spellStart"/>
      <w:r w:rsidR="00F852C6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לישמניה</w:t>
      </w:r>
      <w:proofErr w:type="spellEnd"/>
      <w:r w:rsidR="00F852C6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</w:t>
      </w:r>
      <w:proofErr w:type="spellStart"/>
      <w:r w:rsidR="00F852C6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טרופיקה</w:t>
      </w:r>
      <w:proofErr w:type="spellEnd"/>
      <w:r w:rsidR="00F852C6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, אשר הופשרו וגודלו </w:t>
      </w:r>
      <w:proofErr w:type="spellStart"/>
      <w:r w:rsidR="00F852C6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כפרומסטיגוטים</w:t>
      </w:r>
      <w:proofErr w:type="spellEnd"/>
      <w:r w:rsidR="00F852C6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חוץ-תאיים.</w:t>
      </w:r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בדיקת הרגישות ל-</w:t>
      </w:r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 w:bidi="he-IL"/>
        </w:rPr>
        <w:t>sodium stibogluconate</w:t>
      </w:r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</w:t>
      </w:r>
      <w:proofErr w:type="spellStart"/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ולפרומומיצין</w:t>
      </w:r>
      <w:proofErr w:type="spellEnd"/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בוצעה באמצעות ניתוח הפעילות המטבולית של הטפיל</w:t>
      </w:r>
      <w:r w:rsidR="00F06CE0">
        <w:rPr>
          <w:rFonts w:asciiTheme="majorBidi" w:eastAsia="Times New Roman" w:hAnsiTheme="majorBidi" w:cstheme="majorBidi" w:hint="cs"/>
          <w:color w:val="222222"/>
          <w:sz w:val="24"/>
          <w:szCs w:val="24"/>
          <w:rtl/>
          <w:lang w:eastAsia="en-AU" w:bidi="he-IL"/>
        </w:rPr>
        <w:t>ים</w:t>
      </w:r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בעזרת </w:t>
      </w:r>
      <w:proofErr w:type="spellStart"/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/>
        </w:rPr>
        <w:t>AlamarBlue</w:t>
      </w:r>
      <w:proofErr w:type="spellEnd"/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– מבחן </w:t>
      </w:r>
      <w:proofErr w:type="spellStart"/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פלורוסצנטי</w:t>
      </w:r>
      <w:proofErr w:type="spellEnd"/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של יכולת קיום</w:t>
      </w:r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המבוסס על צמצום </w:t>
      </w:r>
      <w:proofErr w:type="spellStart"/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רזזורין</w:t>
      </w:r>
      <w:proofErr w:type="spellEnd"/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על ידי </w:t>
      </w:r>
      <w:proofErr w:type="spellStart"/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דהידרוגנאז</w:t>
      </w:r>
      <w:proofErr w:type="spellEnd"/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</w:t>
      </w:r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 w:bidi="he-IL"/>
        </w:rPr>
        <w:t>NADPH</w:t>
      </w:r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או </w:t>
      </w:r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 w:bidi="he-IL"/>
        </w:rPr>
        <w:t>NADH</w:t>
      </w:r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של הטפיל. טפילים בעלי יכולת קיום הם </w:t>
      </w:r>
      <w:proofErr w:type="spellStart"/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פלורסצנטיים</w:t>
      </w:r>
      <w:proofErr w:type="spellEnd"/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.</w:t>
      </w:r>
    </w:p>
    <w:p w14:paraId="6FB8650F" w14:textId="35B82933" w:rsidR="005F744E" w:rsidRPr="00F06CE0" w:rsidRDefault="002045C2" w:rsidP="00F06CE0">
      <w:pPr>
        <w:shd w:val="clear" w:color="auto" w:fill="FFFFFF"/>
        <w:spacing w:after="0"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/>
        </w:rPr>
      </w:pP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/>
        </w:rPr>
        <w:t> </w:t>
      </w:r>
    </w:p>
    <w:p w14:paraId="66653F61" w14:textId="2169E845" w:rsidR="005F744E" w:rsidRPr="00F06CE0" w:rsidRDefault="005F744E" w:rsidP="005F744E">
      <w:pPr>
        <w:shd w:val="clear" w:color="auto" w:fill="FFFFFF"/>
        <w:bidi/>
        <w:spacing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</w:pPr>
      <w:r w:rsidRPr="00F06CE0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eastAsia="en-AU" w:bidi="he-IL"/>
        </w:rPr>
        <w:t xml:space="preserve">תוצאות: 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רק 11 מתוך 18 הדוגמאות המופשרות ניתן היה לגדל לריכוזים מתאימים. 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בשמונה זנים מתוך </w:t>
      </w:r>
      <w:r w:rsidR="00F06CE0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br/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האחד-עשר הרגישות </w:t>
      </w:r>
      <w:proofErr w:type="spellStart"/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לפרומומיצין</w:t>
      </w:r>
      <w:proofErr w:type="spellEnd"/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הייתה גבוהה יותר מהרגישות 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ל-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 w:bidi="he-IL"/>
        </w:rPr>
        <w:t>sodium stibogluconate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.</w:t>
      </w:r>
    </w:p>
    <w:p w14:paraId="6A1588F9" w14:textId="57349631" w:rsidR="005F744E" w:rsidRPr="00F06CE0" w:rsidRDefault="005F744E" w:rsidP="005F744E">
      <w:pPr>
        <w:shd w:val="clear" w:color="auto" w:fill="FFFFFF"/>
        <w:bidi/>
        <w:spacing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</w:pPr>
    </w:p>
    <w:p w14:paraId="1772B88F" w14:textId="773D0B14" w:rsidR="005F744E" w:rsidRPr="00F06CE0" w:rsidRDefault="005F744E" w:rsidP="005F744E">
      <w:pPr>
        <w:shd w:val="clear" w:color="auto" w:fill="FFFFFF"/>
        <w:bidi/>
        <w:spacing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</w:pPr>
      <w:r w:rsidRPr="00F06CE0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eastAsia="en-AU" w:bidi="he-IL"/>
        </w:rPr>
        <w:t>דיון</w:t>
      </w:r>
      <w:bookmarkStart w:id="0" w:name="_GoBack"/>
      <w:bookmarkEnd w:id="0"/>
      <w:r w:rsidRPr="00F06CE0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eastAsia="en-AU" w:bidi="he-IL"/>
        </w:rPr>
        <w:t xml:space="preserve">: 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בניגוד לתוצאות ש</w:t>
      </w:r>
      <w:r w:rsidR="00F06CE0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קיבלנו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במחקרנו 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en-AU" w:bidi="he-IL"/>
        </w:rPr>
        <w:t>in vitro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, בגוף החי 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 w:bidi="he-IL"/>
        </w:rPr>
        <w:t>sodium stibogluconate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יעיל יותר </w:t>
      </w:r>
      <w:proofErr w:type="spellStart"/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מ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פרומומיצין</w:t>
      </w:r>
      <w:proofErr w:type="spellEnd"/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בטיפול בנגעים בעור הנגרמים על ידי </w:t>
      </w:r>
      <w:proofErr w:type="spellStart"/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לישמניה</w:t>
      </w:r>
      <w:proofErr w:type="spellEnd"/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</w:t>
      </w:r>
      <w:proofErr w:type="spellStart"/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טרופיקה</w:t>
      </w:r>
      <w:proofErr w:type="spellEnd"/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. הדבר מוכיח שאין מתאם בין בדיקת רגישות 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en-AU" w:bidi="he-IL"/>
        </w:rPr>
        <w:t>in vitro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המתבצעת על צורת </w:t>
      </w:r>
      <w:proofErr w:type="spellStart"/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פרומסטיגוט</w:t>
      </w:r>
      <w:proofErr w:type="spellEnd"/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חוץ-תאי לבין הרגישות 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en-AU" w:bidi="he-IL"/>
        </w:rPr>
        <w:t>in vivo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.</w:t>
      </w:r>
    </w:p>
    <w:p w14:paraId="229E075C" w14:textId="77777777" w:rsidR="001620AE" w:rsidRPr="00F06CE0" w:rsidRDefault="001620AE">
      <w:pPr>
        <w:contextualSpacing/>
        <w:rPr>
          <w:rFonts w:asciiTheme="majorBidi" w:hAnsiTheme="majorBidi" w:cstheme="majorBidi"/>
          <w:sz w:val="24"/>
          <w:szCs w:val="24"/>
        </w:rPr>
      </w:pPr>
    </w:p>
    <w:sectPr w:rsidR="001620AE" w:rsidRPr="00F06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MrEwMDIwMDYwMzRU0lEKTi0uzszPAykwrAUAetGzsCwAAAA="/>
  </w:docVars>
  <w:rsids>
    <w:rsidRoot w:val="008C76DD"/>
    <w:rsid w:val="001620AE"/>
    <w:rsid w:val="002045C2"/>
    <w:rsid w:val="00255EF0"/>
    <w:rsid w:val="003B34DF"/>
    <w:rsid w:val="00412E53"/>
    <w:rsid w:val="004B0AE4"/>
    <w:rsid w:val="004B1405"/>
    <w:rsid w:val="00535B77"/>
    <w:rsid w:val="005F744E"/>
    <w:rsid w:val="00796313"/>
    <w:rsid w:val="0087603E"/>
    <w:rsid w:val="008C76DD"/>
    <w:rsid w:val="00980F70"/>
    <w:rsid w:val="00D404BF"/>
    <w:rsid w:val="00EC1605"/>
    <w:rsid w:val="00EF2CB5"/>
    <w:rsid w:val="00F06CE0"/>
    <w:rsid w:val="00F852C6"/>
    <w:rsid w:val="00F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96A0"/>
  <w15:chartTrackingRefBased/>
  <w15:docId w15:val="{94815618-DFEC-450F-AB41-8C036193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980F70"/>
    <w:rPr>
      <w:position w:val="6"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7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Sackson</dc:creator>
  <cp:keywords/>
  <dc:description/>
  <cp:lastModifiedBy>Pavel Gershanik</cp:lastModifiedBy>
  <cp:revision>6</cp:revision>
  <dcterms:created xsi:type="dcterms:W3CDTF">2019-07-17T08:13:00Z</dcterms:created>
  <dcterms:modified xsi:type="dcterms:W3CDTF">2019-07-18T07:41:00Z</dcterms:modified>
</cp:coreProperties>
</file>