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A0" w:rsidRPr="009653A0" w:rsidRDefault="009653A0" w:rsidP="00126465">
      <w:pPr>
        <w:bidi w:val="0"/>
        <w:spacing w:before="120" w:after="120" w:line="5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SA"/>
        </w:rPr>
      </w:pPr>
      <w:proofErr w:type="spellStart"/>
      <w:r w:rsidRPr="0012646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Sh</w:t>
      </w:r>
      <w:r w:rsidR="00126465" w:rsidRPr="0012646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ay</w:t>
      </w:r>
      <w:r w:rsidRPr="0012646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Mu</w:t>
      </w:r>
      <w:r w:rsidRPr="0012646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ammad </w:t>
      </w:r>
      <w:proofErr w:type="spellStart"/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Ha</w:t>
      </w:r>
      <w:r w:rsidRPr="0012646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ī</w:t>
      </w: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m</w:t>
      </w:r>
      <w:proofErr w:type="spellEnd"/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Al-</w:t>
      </w:r>
      <w:proofErr w:type="spellStart"/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Ba</w:t>
      </w:r>
      <w:r w:rsidRPr="0012646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d</w:t>
      </w:r>
      <w:r w:rsidR="00126465" w:rsidRPr="0012646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ā</w:t>
      </w: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di</w:t>
      </w:r>
      <w:proofErr w:type="spellEnd"/>
      <w:r w:rsidR="00126465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 (d. </w:t>
      </w:r>
      <w:r w:rsidR="005D0F24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1995/1415</w:t>
      </w: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):</w:t>
      </w:r>
    </w:p>
    <w:p w:rsidR="009653A0" w:rsidRPr="009653A0" w:rsidRDefault="009653A0" w:rsidP="009653A0">
      <w:pPr>
        <w:bidi w:val="0"/>
        <w:spacing w:before="120" w:after="120" w:line="5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</w:pP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His Mystical Personality and His Sufi Teachings</w:t>
      </w:r>
    </w:p>
    <w:p w:rsidR="009653A0" w:rsidRPr="009653A0" w:rsidRDefault="009653A0" w:rsidP="009653A0">
      <w:pPr>
        <w:bidi w:val="0"/>
        <w:spacing w:before="120" w:after="120" w:line="540" w:lineRule="exact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Abstract</w:t>
      </w:r>
    </w:p>
    <w:p w:rsidR="00BB70BE" w:rsidRDefault="00126465" w:rsidP="00B5187F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proofErr w:type="spellStart"/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P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12646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Muhammad </w:t>
      </w:r>
      <w:proofErr w:type="spellStart"/>
      <w:r w:rsidRPr="00126465">
        <w:rPr>
          <w:rFonts w:ascii="Times New Roman" w:eastAsia="Calibri" w:hAnsi="Times New Roman" w:cs="Times New Roman"/>
          <w:sz w:val="24"/>
          <w:szCs w:val="24"/>
          <w:lang w:bidi="ar-SA"/>
        </w:rPr>
        <w:t>Ha</w:t>
      </w:r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Pr="00126465">
        <w:rPr>
          <w:rFonts w:ascii="Times New Roman" w:eastAsia="Calibri" w:hAnsi="Times New Roman" w:cs="Times New Roman"/>
          <w:sz w:val="24"/>
          <w:szCs w:val="24"/>
          <w:lang w:bidi="ar-SA"/>
        </w:rPr>
        <w:t>īm</w:t>
      </w:r>
      <w:proofErr w:type="spellEnd"/>
      <w:r w:rsidRPr="00126465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Al-</w:t>
      </w:r>
      <w:proofErr w:type="spellStart"/>
      <w:r w:rsidRPr="00126465">
        <w:rPr>
          <w:rFonts w:ascii="Times New Roman" w:eastAsia="Calibri" w:hAnsi="Times New Roman" w:cs="Times New Roman"/>
          <w:sz w:val="24"/>
          <w:szCs w:val="24"/>
          <w:lang w:bidi="ar-SA"/>
        </w:rPr>
        <w:t>Ba</w:t>
      </w:r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126465">
        <w:rPr>
          <w:rFonts w:ascii="Times New Roman" w:eastAsia="Calibri" w:hAnsi="Times New Roman" w:cs="Times New Roman"/>
          <w:sz w:val="24"/>
          <w:szCs w:val="24"/>
          <w:lang w:bidi="ar-SA"/>
        </w:rPr>
        <w:t>dādi</w:t>
      </w:r>
      <w:proofErr w:type="spellEnd"/>
      <w:r w:rsidRPr="00126465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was born in 1905 in the old city of Jerusalem, where he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got his primary and secondary education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He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studied mainly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with two educator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 in Jerusalem: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Islamic Shari'a with </w:t>
      </w:r>
      <w:proofErr w:type="spellStart"/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9653A0"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="009653A0"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Al-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Liftawi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Arabic Language with </w:t>
      </w:r>
      <w:proofErr w:type="spellStart"/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Muhammad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l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-Tu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nusi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In 1921,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9653A0"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married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Jerusalem-born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Rifka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Kachama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most of his children were born as part of this marriage. Together with </w:t>
      </w:r>
      <w:proofErr w:type="spellStart"/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Pr="00126465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̕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Iz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Al-Di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Q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assa</w:t>
      </w:r>
      <w:r w:rsidR="00F566F8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m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9653A0" w:rsidRPr="00F566F8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F566F8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F566F8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received the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Ija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zah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from the hands of the Mauritian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Mu</w:t>
      </w:r>
      <w:r w:rsidR="00B5187F" w:rsidRPr="00B5187F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adith</w:t>
      </w:r>
      <w:proofErr w:type="spellEnd"/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Muhammad </w:t>
      </w:r>
      <w:proofErr w:type="spellStart"/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Habi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b</w:t>
      </w:r>
      <w:proofErr w:type="spellEnd"/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Allah Al-</w:t>
      </w:r>
      <w:proofErr w:type="spellStart"/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Shinq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ity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during his visit to Palestine in the year 1928/1347. In 1935/1353, the same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Al-Sh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nq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̄ti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sen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t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 letter appointing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9653A0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to be the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head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the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Order 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in Jerusalem.</w:t>
      </w:r>
    </w:p>
    <w:p w:rsidR="009653A0" w:rsidRPr="009653A0" w:rsidRDefault="00BB70BE" w:rsidP="00B5187F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F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ollowing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to his active participation in the Great Arab Revolt (</w:t>
      </w:r>
      <w:commentRangeStart w:id="0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1936-1937</w:t>
      </w:r>
      <w:commentRangeEnd w:id="0"/>
      <w:r w:rsidR="00CB01D9">
        <w:rPr>
          <w:rStyle w:val="a3"/>
        </w:rPr>
        <w:commentReference w:id="0"/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),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9653A0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left Jerusalem in the year 1937/1356 on his way to Damascus,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where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he studied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Qur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'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cience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with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following </w:t>
      </w:r>
      <w:proofErr w:type="spellStart"/>
      <w:r w:rsidR="00126465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: A</w:t>
      </w:r>
      <w:r w:rsidR="009653A0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mad Al-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Sa</w:t>
      </w:r>
      <w:r w:rsidR="009653A0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t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l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, Muhamma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d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̕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Izu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Al-Ma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y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Muhammad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</w:t>
      </w:r>
      <w:r w:rsidR="009653A0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b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z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, and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[Muhammad]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Bashi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Al-</w:t>
      </w:r>
      <w:proofErr w:type="spellStart"/>
      <w:r w:rsidR="009653A0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ala</w:t>
      </w:r>
      <w:r w:rsidR="009653A0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who 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was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proficient in the ten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Qira’</w:t>
      </w:r>
      <w:r w:rsidR="009653A0" w:rsidRP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(recitation styles) of the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Qur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'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He studied </w:t>
      </w:r>
      <w:r w:rsidR="009653A0" w:rsidRPr="00B5187F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adith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with Muhammad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Al-Dira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the student of the great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Mu</w:t>
      </w:r>
      <w:r w:rsidR="009653A0" w:rsidRPr="00B5187F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adith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="00126465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Badr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Al-Di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Al-</w:t>
      </w:r>
      <w:proofErr w:type="spellStart"/>
      <w:r w:rsidR="009653A0"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asani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>Throughout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this period, he kept in touch with the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bookmarkStart w:id="1" w:name="_GoBack"/>
      <w:bookmarkEnd w:id="1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CB01D9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Order 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 Jerusalem, and authored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wa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Bu</w:t>
      </w:r>
      <w:r w:rsidR="00602747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gh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yat</w:t>
      </w:r>
      <w:proofErr w:type="spellEnd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Al-’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Ash</w:t>
      </w:r>
      <w:r w:rsidR="00602747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iq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fi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Mad</w:t>
      </w:r>
      <w:r w:rsidR="009653A0" w:rsidRPr="00B5187F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proofErr w:type="spellEnd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Sayd</w:t>
      </w:r>
      <w:proofErr w:type="spellEnd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Al-Mursali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the year 1939/1358.</w:t>
      </w:r>
    </w:p>
    <w:p w:rsidR="009653A0" w:rsidRPr="009653A0" w:rsidRDefault="009653A0" w:rsidP="00635850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 1944,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returned from Syria and settled in Jerusalem,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 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̕</w:t>
      </w:r>
      <w:proofErr w:type="spellStart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Aqabat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</w:t>
      </w:r>
      <w:r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uwa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nah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neighborhood, on the way to the Olive Mount. He worked as a shoemaker and even owned a small shoe workshop in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Al-Tu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neighborhood.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his family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fought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1948 War, and he even lost his cousin, Yousef, during the great attack of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Yemin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Moshe neighborhood in Jerusalem. From the late 1960s and until 1990, he served as a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'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dhu</w:t>
      </w:r>
      <w:r w:rsidR="00B5187F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(marriage officiant), and as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Im’am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Salman Al-Farsi’s Mosque in Al-Tur neighborhood. In 1972, </w:t>
      </w:r>
      <w:commentRangeStart w:id="2"/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B5187F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B5187F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married a second wife</w:t>
      </w:r>
      <w:commentRangeEnd w:id="2"/>
      <w:r w:rsidR="005D0F24">
        <w:rPr>
          <w:rStyle w:val="a3"/>
        </w:rPr>
        <w:commentReference w:id="2"/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Zay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nab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Abu </w:t>
      </w:r>
      <w:proofErr w:type="spellStart"/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m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from Jerusalem, and their daughter La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y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la was born in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lastRenderedPageBreak/>
        <w:t xml:space="preserve">1973.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made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several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pilgrimage trip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to Mecca. He died in Jerusalem in 1995/1415. </w:t>
      </w:r>
    </w:p>
    <w:p w:rsidR="009653A0" w:rsidRPr="009653A0" w:rsidRDefault="009653A0" w:rsidP="00635850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spiritual career as a Sufi </w:t>
      </w:r>
      <w:proofErr w:type="spellStart"/>
      <w:r w:rsidR="00126465"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developed between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years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1944-1995. During this period, he wrote most of his book, which reflect his Sufi heritage and his mystical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diary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: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Dustu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l-Wila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wa-Mara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proofErr w:type="spellEnd"/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al-’</w:t>
      </w:r>
      <w:proofErr w:type="spellStart"/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(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1961/1381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)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; </w:t>
      </w:r>
      <w:proofErr w:type="spellStart"/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ar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iya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’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alawa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‘ala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Sayd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al-Sa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(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1968/1388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)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; 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Dur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</w:t>
      </w:r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aknu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fi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5D0F24"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ar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F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awa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ti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uwar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al-Qur’a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al-Ma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u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(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1977/1397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)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; </w:t>
      </w:r>
      <w:commentRangeStart w:id="3"/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Al-Tibya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aw al-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Durar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fi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‘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Ismat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bi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al-Bashar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and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l-Nafaha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</w:t>
      </w:r>
      <w:proofErr w:type="spellStart"/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udsiyya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fi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</w:t>
      </w:r>
      <w:proofErr w:type="spellStart"/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alla</w:t>
      </w:r>
      <w:r w:rsidR="005D0F24" w:rsidRPr="005D0F2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‘ala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Kh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Bariyya</w:t>
      </w:r>
      <w:commentRangeEnd w:id="3"/>
      <w:proofErr w:type="spellEnd"/>
      <w:r w:rsidR="005D0F24">
        <w:rPr>
          <w:rStyle w:val="a3"/>
        </w:rPr>
        <w:commentReference w:id="3"/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</w:p>
    <w:p w:rsidR="009653A0" w:rsidRPr="009653A0" w:rsidRDefault="009653A0" w:rsidP="00635850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His Sufi heritage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emphasizes his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tendency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reinforcing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tradition: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follow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ed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system of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Maqa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wa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He retained the system of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Maqa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wa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his book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Dustu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al-Wila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added value 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to it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by maintaining a number of rules.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His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diary of mystical experiences, which I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gathered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from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books and from interviews I conducted with his student, and which is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>presented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here for the first time, </w:t>
      </w:r>
      <w:r w:rsidR="005D0F2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reveals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 fascinating image. One of a </w:t>
      </w:r>
      <w:proofErr w:type="spellStart"/>
      <w:r w:rsidR="00126465"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who went through an unconventional mentoring process, or rather a mystical mentoring process, through meeting the souls of his spiritual mentors: Al-</w:t>
      </w:r>
      <w:proofErr w:type="spellStart"/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d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Fa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ima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Al-Zahra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̄a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, Ahma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d 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l-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Badawi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Abdul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Qa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al-Ji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lani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He met Prophet Muhammad’s soul in his daydreams, and at that meeting, he was appointed as </w:t>
      </w:r>
      <w:r w:rsidR="00427D96" w:rsidRPr="00427D96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Qu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b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</w:t>
      </w:r>
      <w:proofErr w:type="spellStart"/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aw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("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the redeeming pole”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)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</w:p>
    <w:p w:rsidR="009653A0" w:rsidRPr="009653A0" w:rsidRDefault="009653A0" w:rsidP="006C2C4A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His mystical personality reaches its spiritual perfection in the mystical experience of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Mi’ra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("heavenly journey")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In his book </w:t>
      </w:r>
      <w:proofErr w:type="spellStart"/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ar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iya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’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alawa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tells us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that his sole reached </w:t>
      </w:r>
      <w:r w:rsidR="00427D96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̕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Ar</w:t>
      </w:r>
      <w:r w:rsidRPr="0063585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(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Holly 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hrone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),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where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he observed the angel responsible for guarding the Quran. At the end of this experience, </w:t>
      </w:r>
      <w:proofErr w:type="spellStart"/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l-Ba</w:t>
      </w:r>
      <w:r w:rsidRPr="0063585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3585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was given a throne of white light. During the same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Mi’raj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he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saw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27D96" w:rsidRPr="00427D96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l-Ba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r w:rsidR="00427D96" w:rsidRPr="00427D96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427D96" w:rsidRPr="00427D96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l-Ma’mu</w:t>
      </w:r>
      <w:r w:rsidR="0063585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(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heavenly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Ka’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ba</w:t>
      </w:r>
      <w:proofErr w:type="spellEnd"/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)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the angels surrounding it. Another aspect representing the complexity of his personality is his venture of spiritual </w:t>
      </w:r>
      <w:proofErr w:type="spellStart"/>
      <w:r w:rsidRP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after the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warfare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Jihad he led as a young man.  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My research question focuses on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’s Sufi doctrine on the one hand, and the exploration of his mystical experiences on the other.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The study is composed of five chapters:</w:t>
      </w:r>
    </w:p>
    <w:p w:rsidR="009653A0" w:rsidRPr="009653A0" w:rsidRDefault="009653A0" w:rsidP="006C2C4A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The first chapter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discusses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</w:t>
      </w:r>
      <w:r w:rsidR="00427D96">
        <w:rPr>
          <w:rFonts w:ascii="Times New Roman" w:eastAsia="Calibri" w:hAnsi="Times New Roman" w:cs="Times New Roman"/>
          <w:sz w:val="24"/>
          <w:szCs w:val="24"/>
        </w:rPr>
        <w:t>attitude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to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ward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Prophet Muhammad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's family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of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which he believes himself to be a descendant. The chapter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explore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lastRenderedPageBreak/>
        <w:t>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life in Jerusalem: his primary and secondary education and his studies with </w:t>
      </w:r>
      <w:proofErr w:type="spellStart"/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Al-Lifta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wi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</w:t>
      </w:r>
      <w:proofErr w:type="spellStart"/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Al-Tūnu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si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This chapter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later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follows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appointment as the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head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Order in Jerusalem in the year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1935/1353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his Sufi mentoring by two teachers: 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aj </w:t>
      </w:r>
      <w:proofErr w:type="spellStart"/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ali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Al-Sar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'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ni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the </w:t>
      </w:r>
      <w:proofErr w:type="spellStart"/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Muhad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r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Muhammad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Habi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Allah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Al-Shinqi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̄ti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his transition to Syria in the year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1937/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1356 following his active participation in the Great Arab Revolt, and his studies with Islam Studies experts in Damascus. </w:t>
      </w:r>
    </w:p>
    <w:p w:rsidR="009653A0" w:rsidRPr="009653A0" w:rsidRDefault="009653A0" w:rsidP="006C2C4A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His work: The chapter follows his letters, which reflect his Sufi heritage.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Reviewing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book 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W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rd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al-Qa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diry</w:t>
      </w:r>
      <w:proofErr w:type="spellEnd"/>
      <w:r w:rsidR="00427D96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,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we will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prove that it was not written by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but rather but </w:t>
      </w:r>
      <w:proofErr w:type="spellStart"/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Al-Sh</w:t>
      </w:r>
      <w:r w:rsidR="00427D96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nqīti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only made a few changes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it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The chapter reviews the history and principle ideas of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Order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This chapter also include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 litera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ry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review of Palestinian Sufism.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Dafna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Efrat</w:t>
      </w:r>
      <w:proofErr w:type="spellEnd"/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wrote an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important book, 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Spiritual Wayfarers, Leaders in Piety: Sufis and the Dissemination of Islam in Medieval Palestine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 which she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review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ed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Sufi practice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social relations, and the connections between the Sufis and the community.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Efrat’s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book does not focus on Sufism’s spiritual aspects, or the theological heritage of key Sufi figures in Medieval Palestine. 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De Jong, in his comprehensive paper 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The Sufi Orders in Nineteenth and Twentieth-Century Palestine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refrains, for some unknown reason, from mentioning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Order led by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although the paper was published in 1983, at the height of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career, before his death in 1995. </w:t>
      </w:r>
    </w:p>
    <w:p w:rsidR="009653A0" w:rsidRPr="009653A0" w:rsidRDefault="009653A0" w:rsidP="006C2C4A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Jordanian scholar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Wafa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al-Sawa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f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wrote about the </w:t>
      </w:r>
      <w:proofErr w:type="spellStart"/>
      <w:r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dh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ili</w:t>
      </w:r>
      <w:proofErr w:type="spellEnd"/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-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Yashru</w:t>
      </w:r>
      <w:r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order and its founder, </w:t>
      </w:r>
      <w:proofErr w:type="spellStart"/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̕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Ali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l-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Yashru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Al-Sawa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f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never mentioned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s a key figure in Palestinian Sufism.</w:t>
      </w:r>
    </w:p>
    <w:p w:rsidR="009653A0" w:rsidRPr="009653A0" w:rsidRDefault="009653A0" w:rsidP="006C2C4A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scholar ‘Abdel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ma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̄n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Zu’abi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has written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two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studies: the first focuse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on </w:t>
      </w:r>
      <w:r w:rsidR="000D4A67" w:rsidRPr="000D4A67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</w:t>
      </w:r>
      <w:proofErr w:type="spellStart"/>
      <w:r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Kh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alwatiyya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0D4A67" w:rsidRPr="000D4A67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l-Ja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proofErr w:type="gram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’a</w:t>
      </w:r>
      <w:proofErr w:type="spellEnd"/>
      <w:proofErr w:type="gram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0D4A67" w:rsidRPr="000D4A67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l-Ra</w:t>
      </w:r>
      <w:r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niyya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O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rder in Palestine and in Israel. His second study, which was also his Ph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dissertation, focused on the Sufi activity and religious life of Muslims in eighteenth century Jerusalem.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Zu’abi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describe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foundations of Sufi existence in eighteenth century Jerusalem, and thus offer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ed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 signific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nt contribution to the understanding of the Sufi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arena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Jerusalem in the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pre-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era. 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’s figure attracted the attention of a number of scholars: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lastRenderedPageBreak/>
        <w:t>Husein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al-Dar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wi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sh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wrote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short biography titled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Al-Waji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z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fi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Sirat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126465"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ay</w:t>
      </w:r>
      <w:r w:rsidR="00126465"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kh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na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al-’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Azi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z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: Al-</w:t>
      </w:r>
      <w:proofErr w:type="spellStart"/>
      <w:r w:rsidR="00126465"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ay</w:t>
      </w:r>
      <w:r w:rsidR="00126465"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Muhammad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Ha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̄</w:t>
      </w:r>
      <w:r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im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but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included only a brief mention of his mystical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biography. His book suggests that he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didn't use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most of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6C2C4A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6C2C4A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own writings.   </w:t>
      </w:r>
    </w:p>
    <w:p w:rsidR="009653A0" w:rsidRPr="009653A0" w:rsidRDefault="00873F64" w:rsidP="00873F64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>
        <w:rPr>
          <w:rFonts w:ascii="Times New Roman" w:eastAsia="Calibri" w:hAnsi="Times New Roman" w:cs="Times New Roman"/>
          <w:sz w:val="24"/>
          <w:szCs w:val="24"/>
          <w:lang w:bidi="ar-SA"/>
        </w:rPr>
        <w:t>̕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Umar Al-</w:t>
      </w:r>
      <w:proofErr w:type="spellStart"/>
      <w:r w:rsidR="009653A0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</w:t>
      </w:r>
      <w:r w:rsidR="009653A0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Al-Dar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wi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sh’s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student, wrote his MA thesis about the </w:t>
      </w:r>
      <w:proofErr w:type="spellStart"/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O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rder in Palestine in the fifteenth/twentieth century, and about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9653A0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himself. The thesis was published as a book in 2001. Al-</w:t>
      </w:r>
      <w:proofErr w:type="spellStart"/>
      <w:r w:rsidR="009653A0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</w:t>
      </w:r>
      <w:r w:rsidR="009653A0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didn’t analyze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9653A0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mystical personality, and his book contains many errors regarding </w:t>
      </w:r>
      <w:proofErr w:type="spellStart"/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9653A0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9653A0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Sufi thought, due to a superficial examination of his writings.  </w:t>
      </w:r>
    </w:p>
    <w:p w:rsidR="009653A0" w:rsidRPr="009653A0" w:rsidRDefault="009653A0" w:rsidP="00873F64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Muhammad Abu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l-Rub wrote his MA thesis about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</w:t>
      </w:r>
      <w:proofErr w:type="spellStart"/>
      <w:r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Kh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alwatiyya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O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rders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in the vicinity of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Jenin in the West Bank. Despite its methodical and thorough nature, his research never presumed to explore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’s mystical personality. Abu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Al-Rub did dedicate a sub-section to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spiritual thought, which mainly discussed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life and Sufi thought from the </w:t>
      </w:r>
      <w:proofErr w:type="spellStart"/>
      <w:r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ari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’a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point of view, 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without mentioning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modern relevant literature.   </w:t>
      </w:r>
    </w:p>
    <w:p w:rsidR="009653A0" w:rsidRPr="009653A0" w:rsidRDefault="009653A0" w:rsidP="00873F64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Ma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hu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aba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zi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paper is primarily based on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Al-Dar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wi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proofErr w:type="spellEnd"/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'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book and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l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work, and does not mention </w:t>
      </w:r>
      <w:proofErr w:type="spellStart"/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0D4A67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0D4A67">
        <w:rPr>
          <w:rFonts w:ascii="Times New Roman" w:eastAsia="Calibri" w:hAnsi="Times New Roman" w:cs="Times New Roman"/>
          <w:sz w:val="24"/>
          <w:szCs w:val="24"/>
          <w:lang w:bidi="ar-SA"/>
        </w:rPr>
        <w:t>'s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printed and published books. 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Beyond the studies mentioned s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o far, we should also mention ‘</w:t>
      </w:r>
      <w:proofErr w:type="spellStart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m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ati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b’s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study, which mentioned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602747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only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briefly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Khatib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wrote about the Sufi </w:t>
      </w:r>
      <w:r w:rsidR="00602747">
        <w:rPr>
          <w:rFonts w:ascii="Times New Roman" w:eastAsia="Calibri" w:hAnsi="Times New Roman" w:cs="Times New Roman"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rena of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Order in the </w:t>
      </w:r>
      <w:r w:rsidR="00602747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Galilee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after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’s demise.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chapter ends with an important conclusion: namely, that there is currently no </w:t>
      </w:r>
      <w:r w:rsidR="00602747"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comprehensive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updated study about </w:t>
      </w:r>
      <w:proofErr w:type="spellStart"/>
      <w:r w:rsidR="00126465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Muhammad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Ha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shim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602747">
        <w:rPr>
          <w:rFonts w:ascii="Times New Roman" w:eastAsia="Calibri" w:hAnsi="Times New Roman" w:cs="Times New Roman"/>
          <w:sz w:val="24"/>
          <w:szCs w:val="24"/>
          <w:lang w:bidi="ar-SA"/>
        </w:rPr>
        <w:t>,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based on </w:t>
      </w:r>
      <w:r w:rsidR="00602747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 thorough investigation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and exploration of the entire testimonies in his writings. </w:t>
      </w:r>
    </w:p>
    <w:p w:rsidR="009653A0" w:rsidRPr="009653A0" w:rsidRDefault="009653A0" w:rsidP="00BB70BE">
      <w:pPr>
        <w:bidi w:val="0"/>
        <w:spacing w:after="120" w:line="360" w:lineRule="auto"/>
        <w:jc w:val="center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***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The second chapter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follows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’s mystical biography:</w:t>
      </w:r>
    </w:p>
    <w:p w:rsidR="009653A0" w:rsidRPr="00BB70BE" w:rsidRDefault="009653A0" w:rsidP="00873F64">
      <w:pPr>
        <w:pStyle w:val="aa"/>
        <w:numPr>
          <w:ilvl w:val="0"/>
          <w:numId w:val="1"/>
        </w:num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meaning of mentoring and the importance of spiritual mentoring in Sufi pedagogy based on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Dustu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r</w:t>
      </w:r>
      <w:proofErr w:type="spellEnd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Al-Wila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the sto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r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y of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mentoring 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by </w:t>
      </w:r>
      <w:r w:rsidR="00602747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aj </w:t>
      </w:r>
      <w:proofErr w:type="spellStart"/>
      <w:r w:rsidR="00602747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ali</w:t>
      </w:r>
      <w:r w:rsidR="00602747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h</w:t>
      </w:r>
      <w:proofErr w:type="spellEnd"/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Al-Sar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'</w:t>
      </w:r>
      <w:r w:rsidR="00602747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̄ni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9653A0" w:rsidRPr="00BB70BE" w:rsidRDefault="009653A0" w:rsidP="00873F64">
      <w:pPr>
        <w:pStyle w:val="aa"/>
        <w:numPr>
          <w:ilvl w:val="0"/>
          <w:numId w:val="1"/>
        </w:num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meaning of 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Siya</w:t>
      </w:r>
      <w:r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(spiritual journey) and 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Ja</w:t>
      </w:r>
      <w:r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d</w:t>
      </w:r>
      <w:r w:rsidR="00873F64"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b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(mystical attraction) according to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his spiritual journey to the </w:t>
      </w:r>
      <w:proofErr w:type="spellStart"/>
      <w:r w:rsidR="00126465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lastRenderedPageBreak/>
        <w:t>Maj</w:t>
      </w:r>
      <w:r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d</w:t>
      </w:r>
      <w:r w:rsidR="00873F64"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u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b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̕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Ali </w:t>
      </w:r>
      <w:proofErr w:type="spellStart"/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b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eyr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the city of </w:t>
      </w:r>
      <w:proofErr w:type="spellStart"/>
      <w:r w:rsidR="00873F64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ān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Yūnu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the </w:t>
      </w:r>
      <w:proofErr w:type="spellStart"/>
      <w:r w:rsidR="00126465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al-Maj</w:t>
      </w:r>
      <w:r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d</w:t>
      </w:r>
      <w:r w:rsidR="00873F64" w:rsidRPr="00873F64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u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b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̕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Ali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Man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u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r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from the village of Abu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Kbir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9653A0" w:rsidRPr="00BB70BE" w:rsidRDefault="009653A0" w:rsidP="00873F64">
      <w:pPr>
        <w:pStyle w:val="aa"/>
        <w:numPr>
          <w:ilvl w:val="0"/>
          <w:numId w:val="1"/>
        </w:num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’s mystical mentori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ng by mystical figures like 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Al-</w:t>
      </w:r>
      <w:proofErr w:type="spellStart"/>
      <w:r w:rsidR="00873F64"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d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i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r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Fa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tima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Al-Zahra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̄a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, Ahma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 Al-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Badawi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Abdul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Qa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dir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Al-Ji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lani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9653A0" w:rsidRPr="00BB70BE" w:rsidRDefault="009653A0" w:rsidP="00BB70BE">
      <w:pPr>
        <w:pStyle w:val="aa"/>
        <w:numPr>
          <w:ilvl w:val="0"/>
          <w:numId w:val="1"/>
        </w:num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’s contribution to the understanding of Prophet Muhammad’s status in the Armageddon of the Muslim tradition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–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hell-fire amendment. We will also review the experience of seeing Prophet Muhammad</w:t>
      </w:r>
      <w:r w:rsidR="00602747"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,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which is described by </w:t>
      </w:r>
      <w:proofErr w:type="spellStart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73F64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73F64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his books 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Dustu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r</w:t>
      </w:r>
      <w:proofErr w:type="spellEnd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Al-Wila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</w:t>
      </w:r>
      <w:proofErr w:type="spellStart"/>
      <w:r w:rsidR="00602747"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Diwa</w:t>
      </w:r>
      <w:r w:rsidR="00873F64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602747"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="00602747"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="00602747"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Bugh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yat</w:t>
      </w:r>
      <w:proofErr w:type="spellEnd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̕</w:t>
      </w:r>
      <w:proofErr w:type="spellStart"/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Ashi</w:t>
      </w:r>
      <w:r w:rsidR="00602747"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BB70B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Pr="00BB70BE"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This chapter suggests that Al-Baghdadi </w:t>
      </w:r>
      <w:commentRangeStart w:id="4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[didn’t</w:t>
      </w:r>
      <w:r w:rsidR="00602747">
        <w:rPr>
          <w:rFonts w:ascii="Times New Roman" w:eastAsia="Calibri" w:hAnsi="Times New Roman" w:cs="Times New Roman"/>
          <w:sz w:val="24"/>
          <w:szCs w:val="24"/>
        </w:rPr>
        <w:t xml:space="preserve"> reach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] </w:t>
      </w:r>
      <w:commentRangeEnd w:id="4"/>
      <w:r w:rsidR="00602747">
        <w:rPr>
          <w:rStyle w:val="a3"/>
        </w:rPr>
        <w:commentReference w:id="4"/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reached the position of a special Sufi </w:t>
      </w:r>
      <w:proofErr w:type="spellStart"/>
      <w:r w:rsidR="00126465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due to long and stressful </w:t>
      </w:r>
      <w:r w:rsidR="00602747">
        <w:rPr>
          <w:rFonts w:ascii="Times New Roman" w:eastAsia="Calibri" w:hAnsi="Times New Roman" w:cs="Times New Roman"/>
          <w:sz w:val="24"/>
          <w:szCs w:val="24"/>
          <w:lang w:bidi="ar-SA"/>
        </w:rPr>
        <w:t>path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spiritual perfection was reached through his unconventional mentoring as reported in his writings. Due to meeting the souls of his spiritual mentors, he was able to climb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Wila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’s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hierarchy. </w:t>
      </w:r>
    </w:p>
    <w:p w:rsidR="009653A0" w:rsidRPr="009653A0" w:rsidRDefault="009653A0" w:rsidP="009653A0">
      <w:pPr>
        <w:bidi w:val="0"/>
        <w:spacing w:before="120" w:after="120" w:line="540" w:lineRule="exact"/>
        <w:jc w:val="center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***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The third chapter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offers a review of the semantic field of the term </w:t>
      </w:r>
      <w:proofErr w:type="spellStart"/>
      <w:r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discusses the dispute between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Hadi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th</w:t>
      </w:r>
      <w:proofErr w:type="spellEnd"/>
      <w:r w:rsidRPr="008E2DE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scholars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concerning the </w:t>
      </w:r>
      <w:proofErr w:type="spellStart"/>
      <w:r w:rsidR="0041740E" w:rsidRPr="0041740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Hadi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th</w:t>
      </w:r>
      <w:proofErr w:type="spellEnd"/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returning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from the Lesser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to the Greater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. It also offers a modern-Western discussion concerning the tendency to view Sufism as a pacifist movement, and the contemporary Muslim attempt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to reject this notion and highlight Sufism’s aspect of warfare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. Additionally, it present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position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concerning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Greater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as reflected in his book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Dustu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r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Al-Wila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The chapter follows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acts of </w:t>
      </w:r>
      <w:proofErr w:type="spellStart"/>
      <w:r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based on the understanding of the complex concept of Lesser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The chapter suggests that while many studies have been written about internal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there is no comprehensive study about warfare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Sufism.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chapter is designed to fill some of the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lacuna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the study of warfare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Jiha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in modern Sufism, focu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sing on </w:t>
      </w:r>
      <w:proofErr w:type="spellStart"/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41740E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’s example.</w:t>
      </w:r>
    </w:p>
    <w:p w:rsidR="009653A0" w:rsidRPr="009653A0" w:rsidRDefault="009653A0" w:rsidP="009653A0">
      <w:pPr>
        <w:bidi w:val="0"/>
        <w:spacing w:before="120" w:after="120" w:line="540" w:lineRule="exact"/>
        <w:jc w:val="center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***</w:t>
      </w:r>
    </w:p>
    <w:p w:rsidR="009653A0" w:rsidRPr="009653A0" w:rsidRDefault="009653A0" w:rsidP="009653A0">
      <w:pPr>
        <w:spacing w:before="120" w:after="120" w:line="540" w:lineRule="exact"/>
        <w:jc w:val="both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The fourth chapter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analyzes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approach to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Shari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’a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and particularly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Qur’a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the 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Su</w:t>
      </w:r>
      <w:r w:rsidR="0041740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nah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Furthermore, 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he discussion in this chapter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focuses on </w:t>
      </w:r>
      <w:proofErr w:type="spellStart"/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Al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-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lastRenderedPageBreak/>
        <w:t>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attempt to emphasize the orthodox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aspect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Sufism, his tolerant approach to </w:t>
      </w:r>
      <w:proofErr w:type="spellStart"/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(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divinely inspired statements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),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and his intolerance toward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</w:t>
      </w:r>
      <w:proofErr w:type="spellStart"/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Sh</w:t>
      </w:r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</w:t>
      </w:r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</w:t>
      </w:r>
      <w:proofErr w:type="spellEnd"/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criticize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rs. </w:t>
      </w:r>
      <w:proofErr w:type="spellStart"/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="0041740E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rejected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the story of </w:t>
      </w:r>
      <w:proofErr w:type="spellStart"/>
      <w:r w:rsidR="0041740E" w:rsidRPr="0041740E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l-</w:t>
      </w:r>
      <w:r w:rsidR="008E2DE0"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G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ara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ni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arguing that it lacks any historical basis, since i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t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hinders Prophet Muhammad’s 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̕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(p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ower/immunity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)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This chapter portrays Al-Baghdadi as a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Tafsir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expert.  He used this expertise in researching the </w:t>
      </w:r>
      <w:proofErr w:type="spellStart"/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ara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ni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story and in giving a new meaning to the term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Nas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k</w:t>
      </w:r>
      <w:r w:rsidR="0041740E"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–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presenting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infidels, who were hostile toward Prophet Muhammad,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as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his believers and followers.    </w:t>
      </w:r>
    </w:p>
    <w:p w:rsidR="009653A0" w:rsidRPr="009653A0" w:rsidRDefault="009653A0" w:rsidP="009653A0">
      <w:pPr>
        <w:bidi w:val="0"/>
        <w:spacing w:before="120" w:after="120" w:line="540" w:lineRule="exact"/>
        <w:jc w:val="center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***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>The fifth and final chapter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follows </w:t>
      </w:r>
      <w:proofErr w:type="spellStart"/>
      <w:r w:rsidR="00126465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Mi’ra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experience using a philological, historical and comparative analysis. </w:t>
      </w:r>
      <w:proofErr w:type="spellStart"/>
      <w:r w:rsidR="00126465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Mi’ra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experience will be discussed while conducting a historic and phenomenological comparison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with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this idea in Islam at large, and particularly in Sufism. 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Mi’ra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j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experience teaches us that he perceived himself as one of Prophet Muhammad’s predecessors. He was granted a divine gift when his soul went to Heaven, watched the angels, reached the H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o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lly Throne and was given a number of gifts: He was crowned as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Qutb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aw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</w:t>
      </w:r>
      <w:r w:rsidR="008E2DE0"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– the leader of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Awliyya</w:t>
      </w:r>
      <w:proofErr w:type="spellEnd"/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’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(friends of Allah), and was given the capability of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Istibna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t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(interpretive insight). This experience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took him through the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last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phase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his spiritual perfection: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s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8E2DE0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bidi="ar-SA"/>
        </w:rPr>
        <w:t>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(amendment) and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Ikma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l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Al-’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Aql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(perfection of the mind), and he became what Sufis describe as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Al-Insa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n</w:t>
      </w:r>
      <w:proofErr w:type="spellEnd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al-Ka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mil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(the complete person). </w:t>
      </w:r>
    </w:p>
    <w:p w:rsidR="009653A0" w:rsidRPr="009653A0" w:rsidRDefault="009653A0" w:rsidP="009653A0">
      <w:pPr>
        <w:bidi w:val="0"/>
        <w:spacing w:before="120" w:after="120" w:line="540" w:lineRule="exact"/>
        <w:jc w:val="center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***</w:t>
      </w:r>
    </w:p>
    <w:p w:rsidR="009653A0" w:rsidRPr="009653A0" w:rsidRDefault="009653A0" w:rsidP="00BB70BE">
      <w:pPr>
        <w:bidi w:val="0"/>
        <w:spacing w:after="120" w:line="360" w:lineRule="auto"/>
        <w:rPr>
          <w:rFonts w:ascii="Times New Roman" w:eastAsia="Calibri" w:hAnsi="Times New Roman" w:cs="Times New Roman"/>
          <w:sz w:val="24"/>
          <w:szCs w:val="24"/>
          <w:rtl/>
          <w:lang w:bidi="ar-SA"/>
        </w:rPr>
      </w:pP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To conclude, my study is a significant chapter in understanding Palestinian Sufism in the twentieth century, demonstrat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ing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the lacuna in this field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research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. Out of a long list of studies dedicated to the various branches of Sufism, only a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handful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</w:t>
      </w:r>
      <w:r w:rsidR="0041740E">
        <w:rPr>
          <w:rFonts w:ascii="Times New Roman" w:eastAsia="Calibri" w:hAnsi="Times New Roman" w:cs="Times New Roman"/>
          <w:sz w:val="24"/>
          <w:szCs w:val="24"/>
          <w:lang w:bidi="ar-SA"/>
        </w:rPr>
        <w:t>partial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works are dedicated to Palestinian Sufism. </w:t>
      </w:r>
      <w:proofErr w:type="spellStart"/>
      <w:r w:rsidR="00126465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="00126465">
        <w:rPr>
          <w:rFonts w:ascii="Times New Roman" w:eastAsia="Calibri" w:hAnsi="Times New Roman" w:cs="Times New Roman"/>
          <w:sz w:val="24"/>
          <w:szCs w:val="24"/>
          <w:lang w:bidi="ar-SA"/>
        </w:rPr>
        <w:t>ay</w:t>
      </w:r>
      <w:r w:rsidR="00126465"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kh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Muhammad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Ha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sh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im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, leader of the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Qa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diriyya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Order in Palestine and in Israel, traced through his mystical experiences the image of the greatest </w:t>
      </w:r>
      <w:proofErr w:type="spellStart"/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Wila</w:t>
      </w:r>
      <w:r w:rsidR="008E2DE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i/>
          <w:iCs/>
          <w:sz w:val="24"/>
          <w:szCs w:val="24"/>
          <w:lang w:bidi="ar-SA"/>
        </w:rPr>
        <w:t>ya</w:t>
      </w:r>
      <w:proofErr w:type="spellEnd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of our time, as suggested in his writings. My study also traced </w:t>
      </w:r>
      <w:proofErr w:type="spellStart"/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Al-Ba</w:t>
      </w:r>
      <w:r w:rsidRPr="008E2DE0">
        <w:rPr>
          <w:rFonts w:ascii="Times New Roman" w:eastAsia="Calibri" w:hAnsi="Times New Roman" w:cs="Times New Roman"/>
          <w:sz w:val="24"/>
          <w:szCs w:val="24"/>
          <w:u w:val="single"/>
          <w:lang w:bidi="ar-SA"/>
        </w:rPr>
        <w:t>gh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da</w:t>
      </w:r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>di</w:t>
      </w:r>
      <w:proofErr w:type="spellEnd"/>
      <w:r w:rsidR="008E2DE0">
        <w:rPr>
          <w:rFonts w:ascii="Times New Roman" w:eastAsia="Calibri" w:hAnsi="Times New Roman" w:cs="Times New Roman"/>
          <w:sz w:val="24"/>
          <w:szCs w:val="24"/>
          <w:lang w:bidi="ar-SA"/>
        </w:rPr>
        <w:t>̄</w:t>
      </w:r>
      <w:r w:rsidRPr="009653A0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’s unique Sufi positions, which were affected by his mystical endeavors. </w:t>
      </w:r>
    </w:p>
    <w:p w:rsidR="001408B8" w:rsidRPr="0041740E" w:rsidRDefault="001408B8" w:rsidP="009653A0">
      <w:pPr>
        <w:bidi w:val="0"/>
        <w:rPr>
          <w:rFonts w:ascii="Times New Roman" w:hAnsi="Times New Roman" w:cs="Times New Roman"/>
          <w:sz w:val="24"/>
          <w:szCs w:val="24"/>
          <w:lang w:bidi="ar-SA"/>
        </w:rPr>
      </w:pPr>
    </w:p>
    <w:sectPr w:rsidR="001408B8" w:rsidRPr="0041740E" w:rsidSect="00544E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naama" w:date="2016-12-07T10:09:00Z" w:initials="o">
    <w:p w:rsidR="00CB01D9" w:rsidRDefault="00CB01D9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המרד התקיים בין השנים 1936-1939. אולי נכון יותר לומר שאל-בגדאדי השתתף בו בשנים אלו?</w:t>
      </w:r>
    </w:p>
  </w:comment>
  <w:comment w:id="2" w:author="naama" w:date="2016-12-07T10:15:00Z" w:initials="o">
    <w:p w:rsidR="005D0F24" w:rsidRDefault="005D0F24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התחתן בשנית - האם אישה שנייה או אחרי גירושין?</w:t>
      </w:r>
    </w:p>
  </w:comment>
  <w:comment w:id="3" w:author="naama" w:date="2016-12-07T10:20:00Z" w:initials="o">
    <w:p w:rsidR="005D0F24" w:rsidRDefault="005D0F24">
      <w:pPr>
        <w:pStyle w:val="a4"/>
        <w:rPr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לא הייתי בטוחה אם זה ספר אחד או שניים. כמו כן, לא </w:t>
      </w:r>
      <w:proofErr w:type="spellStart"/>
      <w:r>
        <w:rPr>
          <w:rFonts w:hint="cs"/>
          <w:rtl/>
        </w:rPr>
        <w:t>מצויינת</w:t>
      </w:r>
      <w:proofErr w:type="spellEnd"/>
      <w:r>
        <w:rPr>
          <w:rFonts w:hint="cs"/>
          <w:rtl/>
        </w:rPr>
        <w:t xml:space="preserve"> שנה. </w:t>
      </w:r>
    </w:p>
  </w:comment>
  <w:comment w:id="4" w:author="naama" w:date="2016-12-07T10:53:00Z" w:initials="o">
    <w:p w:rsidR="00602747" w:rsidRDefault="00602747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>בעברית יש "אינה". אני מניחה שזו טעות כי הניסוח רומז אחרת, צריך לבדוק למה הכוונה. האם משפט חיובי או שלילי?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4074"/>
    <w:multiLevelType w:val="hybridMultilevel"/>
    <w:tmpl w:val="C1D483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A0"/>
    <w:rsid w:val="000D4A67"/>
    <w:rsid w:val="00126465"/>
    <w:rsid w:val="001408B8"/>
    <w:rsid w:val="0041740E"/>
    <w:rsid w:val="00427D96"/>
    <w:rsid w:val="00544E1C"/>
    <w:rsid w:val="005D0F24"/>
    <w:rsid w:val="00602747"/>
    <w:rsid w:val="00635850"/>
    <w:rsid w:val="006C2C4A"/>
    <w:rsid w:val="00873F64"/>
    <w:rsid w:val="008E2DE0"/>
    <w:rsid w:val="009653A0"/>
    <w:rsid w:val="00B5187F"/>
    <w:rsid w:val="00BB70BE"/>
    <w:rsid w:val="00CB01D9"/>
    <w:rsid w:val="00F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01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01D9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CB01D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01D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B01D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B01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B7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B01D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B01D9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CB01D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B01D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CB01D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CB01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B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2244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naama</dc:creator>
  <cp:lastModifiedBy>naama</cp:lastModifiedBy>
  <cp:revision>4</cp:revision>
  <dcterms:created xsi:type="dcterms:W3CDTF">2016-12-07T08:03:00Z</dcterms:created>
  <dcterms:modified xsi:type="dcterms:W3CDTF">2016-12-07T10:15:00Z</dcterms:modified>
</cp:coreProperties>
</file>