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C14EF" w14:textId="77777777" w:rsidR="007E2FF1" w:rsidRPr="00CE0A8B" w:rsidRDefault="007E2FF1" w:rsidP="007E2FF1">
      <w:pPr>
        <w:bidi w:val="0"/>
        <w:rPr>
          <w:rFonts w:asciiTheme="majorBidi" w:hAnsiTheme="majorBidi" w:cstheme="majorBidi"/>
          <w:sz w:val="32"/>
          <w:szCs w:val="32"/>
        </w:rPr>
      </w:pPr>
      <w:r w:rsidRPr="00CE0A8B">
        <w:rPr>
          <w:rFonts w:asciiTheme="majorBidi" w:hAnsiTheme="majorBidi" w:cstheme="majorBidi"/>
          <w:b/>
          <w:bCs/>
          <w:sz w:val="32"/>
          <w:szCs w:val="32"/>
          <w:lang w:val="en"/>
        </w:rPr>
        <w:t>Part I: Democracies’ Dilemmas When Conducting Low-Intensity Warfare</w:t>
      </w:r>
    </w:p>
    <w:p w14:paraId="1541C2D7" w14:textId="77777777" w:rsidR="007E2FF1" w:rsidRDefault="007E2FF1" w:rsidP="007E2FF1">
      <w:pPr>
        <w:bidi w:val="0"/>
        <w:rPr>
          <w:rFonts w:asciiTheme="majorBidi" w:hAnsiTheme="majorBidi" w:cstheme="majorBidi"/>
          <w:b/>
          <w:bCs/>
          <w:sz w:val="28"/>
          <w:szCs w:val="28"/>
          <w:lang w:val="en"/>
        </w:rPr>
      </w:pPr>
    </w:p>
    <w:p w14:paraId="02F1598C" w14:textId="77777777" w:rsidR="007E2FF1" w:rsidRDefault="007E2FF1" w:rsidP="007E2FF1">
      <w:pPr>
        <w:bidi w:val="0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CE0A8B">
        <w:rPr>
          <w:rFonts w:asciiTheme="majorBidi" w:hAnsiTheme="majorBidi" w:cstheme="majorBidi"/>
          <w:b/>
          <w:bCs/>
          <w:sz w:val="28"/>
          <w:szCs w:val="28"/>
          <w:lang w:val="en"/>
        </w:rPr>
        <w:t>Chapter 1</w:t>
      </w:r>
    </w:p>
    <w:p w14:paraId="09BBDF28" w14:textId="7E75A96B" w:rsidR="007E2FF1" w:rsidRPr="00CE0A8B" w:rsidRDefault="007E2FF1" w:rsidP="007E2FF1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E0A8B">
        <w:rPr>
          <w:rFonts w:asciiTheme="majorBidi" w:hAnsiTheme="majorBidi" w:cstheme="majorBidi"/>
          <w:b/>
          <w:bCs/>
          <w:sz w:val="28"/>
          <w:szCs w:val="28"/>
          <w:lang w:val="en"/>
        </w:rPr>
        <w:t>Just War Theory</w:t>
      </w:r>
    </w:p>
    <w:p w14:paraId="076CBC34" w14:textId="25A0E4FA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>This chapter explores Just War Theory, constituting the theoretical basis of the book.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Just War Theory is an important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ethical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framework, </w:t>
      </w:r>
      <w:r w:rsidR="003F73F4">
        <w:rPr>
          <w:rFonts w:asciiTheme="majorBidi" w:hAnsiTheme="majorBidi" w:cstheme="majorBidi"/>
          <w:sz w:val="24"/>
          <w:szCs w:val="24"/>
          <w:highlight w:val="cyan"/>
          <w:lang w:val="en"/>
        </w:rPr>
        <w:t>intended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to curb and regulate the exercise of power by sovereign states.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717CD2FB" w14:textId="607DDA9C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chapter includes </w:t>
      </w:r>
      <w:proofErr w:type="gramStart"/>
      <w:r w:rsidRPr="00CE0A8B">
        <w:rPr>
          <w:rFonts w:asciiTheme="majorBidi" w:hAnsiTheme="majorBidi" w:cstheme="majorBidi"/>
          <w:sz w:val="24"/>
          <w:szCs w:val="24"/>
          <w:lang w:val="en"/>
        </w:rPr>
        <w:t>a short discussion</w:t>
      </w:r>
      <w:proofErr w:type="gram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about the evolution of Just War Theory and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 review of its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three components: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ad bellum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proofErr w:type="spellStart"/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</w:t>
      </w:r>
      <w:proofErr w:type="spellEnd"/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in bello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and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post-bellum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. As the present book only pertains to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in bello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it is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focus of the chapter. </w:t>
      </w:r>
    </w:p>
    <w:p w14:paraId="5CB6DAF2" w14:textId="7B793D08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 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>present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two schools of thought in the scholarship of Just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War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Theory.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first is the traditional school,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called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symmetry thesis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. One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of its prominent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proponents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is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Michael 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Walzer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This school of thought also exists in international and humanitarian law a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nd is based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on a clear distinction between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ad bellum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in bello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In other words, according to this approach the 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morality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of tactics and tools used by soldiers during a war, is unrelated to whether the war itself is “just.” The second school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ascribes to the so-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called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asymmetry/dependence thesis and is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advocated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by scholars such as David Rodin and Jeff 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MacMahan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According to this school,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ad bellum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7E2FF1">
        <w:rPr>
          <w:rFonts w:asciiTheme="majorBidi" w:hAnsiTheme="majorBidi" w:cstheme="majorBidi"/>
          <w:i/>
          <w:iCs/>
          <w:sz w:val="24"/>
          <w:szCs w:val="24"/>
          <w:lang w:val="en"/>
        </w:rPr>
        <w:t>jus in bello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are directly connected.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As this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book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adopts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symmetry thesis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it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neither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examine</w:t>
      </w:r>
      <w:r>
        <w:rPr>
          <w:rFonts w:asciiTheme="majorBidi" w:hAnsiTheme="majorBidi" w:cstheme="majorBidi"/>
          <w:sz w:val="24"/>
          <w:szCs w:val="24"/>
          <w:lang w:val="en"/>
        </w:rPr>
        <w:t>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motivations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for declaring war nor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 the question of what makes a declaration of war just. 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 xml:space="preserve">It </w:t>
      </w:r>
      <w:r>
        <w:rPr>
          <w:rFonts w:asciiTheme="majorBidi" w:hAnsiTheme="majorBidi" w:cstheme="majorBidi"/>
          <w:sz w:val="24"/>
          <w:szCs w:val="24"/>
          <w:lang w:val="en"/>
        </w:rPr>
        <w:t>focus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>es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>solely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>on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actions </w:t>
      </w:r>
      <w:r w:rsidR="00DD40A4">
        <w:rPr>
          <w:rFonts w:asciiTheme="majorBidi" w:hAnsiTheme="majorBidi" w:cstheme="majorBidi"/>
          <w:sz w:val="24"/>
          <w:szCs w:val="24"/>
          <w:lang w:val="en"/>
        </w:rPr>
        <w:t>of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soldiers and decision</w:t>
      </w:r>
      <w:r>
        <w:rPr>
          <w:rFonts w:asciiTheme="majorBidi" w:hAnsiTheme="majorBidi" w:cstheme="majorBidi"/>
          <w:sz w:val="24"/>
          <w:szCs w:val="24"/>
          <w:lang w:val="en"/>
        </w:rPr>
        <w:t>-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makers during warfare.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6DFA682D" w14:textId="77777777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A0B47A" w14:textId="77777777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67AD1B" w14:textId="77777777" w:rsidR="007E2FF1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CE0A8B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Chapter 3 </w:t>
      </w:r>
    </w:p>
    <w:p w14:paraId="01385490" w14:textId="2294D2CC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E0A8B">
        <w:rPr>
          <w:rFonts w:asciiTheme="majorBidi" w:hAnsiTheme="majorBidi" w:cstheme="majorBidi"/>
          <w:b/>
          <w:bCs/>
          <w:sz w:val="28"/>
          <w:szCs w:val="28"/>
          <w:lang w:val="en"/>
        </w:rPr>
        <w:t>Military Doctrine</w:t>
      </w:r>
    </w:p>
    <w:p w14:paraId="6910BA2E" w14:textId="3B3C1E07" w:rsidR="007E2FF1" w:rsidRPr="00CE0A8B" w:rsidRDefault="003F73F4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lang w:val="en"/>
        </w:rPr>
        <w:t>After providing a brief description of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military doctrine</w:t>
      </w:r>
      <w:r w:rsidR="00727E93">
        <w:rPr>
          <w:rFonts w:asciiTheme="majorBidi" w:hAnsiTheme="majorBidi" w:cstheme="majorBidi"/>
          <w:sz w:val="24"/>
          <w:szCs w:val="24"/>
          <w:lang w:val="en"/>
        </w:rPr>
        <w:t>s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>in general</w:t>
      </w:r>
      <w:r>
        <w:rPr>
          <w:rFonts w:asciiTheme="majorBidi" w:hAnsiTheme="majorBidi" w:cstheme="majorBidi"/>
          <w:sz w:val="24"/>
          <w:szCs w:val="24"/>
          <w:lang w:val="en"/>
        </w:rPr>
        <w:t>, this chapter delves into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a detailed description of 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>the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specific 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doctrine formulated by Kasher and </w:t>
      </w:r>
      <w:proofErr w:type="spellStart"/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>Yadlin</w:t>
      </w:r>
      <w:proofErr w:type="spellEnd"/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A military doctrine is </w:t>
      </w:r>
      <w:proofErr w:type="gramStart"/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>an important component</w:t>
      </w:r>
      <w:proofErr w:type="gramEnd"/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country’s national defense </w:t>
      </w:r>
      <w:r w:rsidR="007E2FF1"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policy.</w:t>
      </w:r>
      <w:r w:rsidR="007E2FF1">
        <w:rPr>
          <w:rFonts w:asciiTheme="majorBidi" w:hAnsiTheme="majorBidi" w:cstheme="majorBidi"/>
          <w:sz w:val="24"/>
          <w:szCs w:val="24"/>
          <w:highlight w:val="cyan"/>
          <w:lang w:val="en"/>
        </w:rPr>
        <w:t xml:space="preserve"> 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By articulating a doctrine, the political and military leadership of a state create 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>a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FF1"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normative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system of comprehensive conceptions which </w:t>
      </w:r>
      <w:r w:rsidR="007E2FF1"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dictate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>the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state’s use of force.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Pr="003F73F4">
        <w:rPr>
          <w:rFonts w:asciiTheme="majorBidi" w:hAnsiTheme="majorBidi" w:cstheme="majorBidi"/>
          <w:sz w:val="24"/>
          <w:szCs w:val="24"/>
          <w:highlight w:val="cyan"/>
          <w:lang w:val="en"/>
        </w:rPr>
        <w:t>good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doctrine should show how threats posed to a state can be </w:t>
      </w:r>
      <w:r>
        <w:rPr>
          <w:rFonts w:asciiTheme="majorBidi" w:hAnsiTheme="majorBidi" w:cstheme="majorBidi"/>
          <w:sz w:val="24"/>
          <w:szCs w:val="24"/>
          <w:lang w:val="en"/>
        </w:rPr>
        <w:t>prevented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without sacrificing vital interests and values</w:t>
      </w:r>
      <w:r w:rsidR="00727E93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7E2FF1" w:rsidRPr="00727E93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>should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explain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how </w:t>
      </w:r>
      <w:r>
        <w:rPr>
          <w:rFonts w:asciiTheme="majorBidi" w:hAnsiTheme="majorBidi" w:cstheme="majorBidi"/>
          <w:sz w:val="24"/>
          <w:szCs w:val="24"/>
          <w:lang w:val="en"/>
        </w:rPr>
        <w:t>a threat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 xml:space="preserve"> can be successfully and morally neutralized through the exercise of military 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>power</w:t>
      </w:r>
      <w:r w:rsidR="007E2FF1"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 w:rsidR="007E2FF1">
        <w:rPr>
          <w:rFonts w:asciiTheme="majorBidi" w:hAnsiTheme="majorBidi" w:cstheme="majorBidi"/>
          <w:sz w:val="24"/>
          <w:szCs w:val="24"/>
          <w:lang w:val="en"/>
        </w:rPr>
        <w:t xml:space="preserve">  </w:t>
      </w:r>
    </w:p>
    <w:p w14:paraId="41C35473" w14:textId="127C444A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In collaboration with IDF </w:t>
      </w:r>
      <w:r>
        <w:rPr>
          <w:rFonts w:asciiTheme="majorBidi" w:hAnsiTheme="majorBidi" w:cstheme="majorBidi"/>
          <w:sz w:val="24"/>
          <w:szCs w:val="24"/>
          <w:lang w:val="en"/>
        </w:rPr>
        <w:t>officers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academic advisors, General Amos 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Yadlin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Professor Asa Kasher developed in 2005 a new doctrine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pertaining to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war on terror. It incorporates moral, legal, and ethical considerations which are meant to guide a democratic state in its efforts to defend its citizens from acts of terror.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Their doctrine is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solely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based on the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Israeli-Palestinian conflict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. It expands the scope of classic Just War Theory and is comprised of three parts: Part I: before undertaking a military action (</w:t>
      </w:r>
      <w:r>
        <w:rPr>
          <w:rFonts w:asciiTheme="majorBidi" w:hAnsiTheme="majorBidi" w:cstheme="majorBidi"/>
          <w:sz w:val="24"/>
          <w:szCs w:val="24"/>
          <w:lang w:val="en"/>
        </w:rPr>
        <w:t>comprised of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two parameters) Part II: during military actions (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comprised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six parameters) and Part III: political activity at home and abroad in the international arena (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comprised of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three parameters).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As this book deals with parts II and III, only these parts of Kasher and 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Yadlin’s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doctrine </w:t>
      </w:r>
      <w:r>
        <w:rPr>
          <w:rFonts w:asciiTheme="majorBidi" w:hAnsiTheme="majorBidi" w:cstheme="majorBidi"/>
          <w:sz w:val="24"/>
          <w:szCs w:val="24"/>
          <w:lang w:val="en"/>
        </w:rPr>
        <w:t>have been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explained.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Each principle is comprised a of a number of articles such as “the principle of military necessity”</w:t>
      </w:r>
      <w:r>
        <w:rPr>
          <w:rFonts w:asciiTheme="majorBidi" w:hAnsiTheme="majorBidi" w:cstheme="majorBidi"/>
          <w:sz w:val="24"/>
          <w:szCs w:val="24"/>
          <w:lang w:val="en"/>
        </w:rPr>
        <w:t>;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“the principle of distinction” (that is, distinguishing between different types of obligations a state has towards people that are not its citizens or residents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as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lastRenderedPageBreak/>
        <w:t>well as distinguishing between direct and indirect involvement in terror)</w:t>
      </w:r>
      <w:r>
        <w:rPr>
          <w:rFonts w:asciiTheme="majorBidi" w:hAnsiTheme="majorBidi" w:cstheme="majorBidi"/>
          <w:sz w:val="24"/>
          <w:szCs w:val="24"/>
          <w:lang w:val="en"/>
        </w:rPr>
        <w:t>;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“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the principle of proportionality,</w:t>
      </w:r>
      <w:r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(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which expands the discussion of how to decide if an actions stands up to the criteria of proportionality</w:t>
      </w:r>
      <w:r>
        <w:rPr>
          <w:rFonts w:asciiTheme="majorBidi" w:hAnsiTheme="majorBidi" w:cstheme="majorBidi"/>
          <w:sz w:val="24"/>
          <w:szCs w:val="24"/>
          <w:lang w:val="en"/>
        </w:rPr>
        <w:t>);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“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the principle of low probabilities</w:t>
      </w:r>
      <w:r>
        <w:rPr>
          <w:rFonts w:asciiTheme="majorBidi" w:hAnsiTheme="majorBidi" w:cstheme="majorBidi"/>
          <w:sz w:val="24"/>
          <w:szCs w:val="24"/>
          <w:lang w:val="en"/>
        </w:rPr>
        <w:t>”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(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which helps decision making in cases of uncertain intelligence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);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principle of operational deterrence </w:t>
      </w:r>
      <w:r>
        <w:rPr>
          <w:rFonts w:asciiTheme="majorBidi" w:hAnsiTheme="majorBidi" w:cstheme="majorBidi"/>
          <w:sz w:val="24"/>
          <w:szCs w:val="24"/>
          <w:lang w:val="en"/>
        </w:rPr>
        <w:t>(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which determines when deterrence is allowed</w:t>
      </w:r>
      <w:r>
        <w:rPr>
          <w:rFonts w:asciiTheme="majorBidi" w:hAnsiTheme="majorBidi" w:cstheme="majorBidi"/>
          <w:sz w:val="24"/>
          <w:szCs w:val="24"/>
          <w:lang w:val="en"/>
        </w:rPr>
        <w:t>)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more.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After exploring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specific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case studies and </w:t>
      </w:r>
      <w:r>
        <w:rPr>
          <w:rFonts w:asciiTheme="majorBidi" w:hAnsiTheme="majorBidi" w:cstheme="majorBidi"/>
          <w:sz w:val="24"/>
          <w:szCs w:val="24"/>
          <w:lang w:val="en"/>
        </w:rPr>
        <w:t>actions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I present </w:t>
      </w:r>
      <w:r w:rsidR="007B18DA">
        <w:rPr>
          <w:rFonts w:asciiTheme="majorBidi" w:hAnsiTheme="majorBidi" w:cstheme="majorBidi"/>
          <w:sz w:val="24"/>
          <w:szCs w:val="24"/>
          <w:lang w:val="en"/>
        </w:rPr>
        <w:t>my own new doctrine</w:t>
      </w:r>
      <w:r>
        <w:rPr>
          <w:rFonts w:asciiTheme="majorBidi" w:hAnsiTheme="majorBidi" w:cstheme="majorBidi"/>
          <w:sz w:val="24"/>
          <w:szCs w:val="24"/>
          <w:lang w:val="en"/>
        </w:rPr>
        <w:t>,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>an adaptation of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7B18DA">
        <w:rPr>
          <w:rFonts w:asciiTheme="majorBidi" w:hAnsiTheme="majorBidi" w:cstheme="majorBidi"/>
          <w:sz w:val="24"/>
          <w:szCs w:val="24"/>
          <w:lang w:val="en"/>
        </w:rPr>
        <w:t>doctrine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formulated by Kasher and </w:t>
      </w:r>
      <w:proofErr w:type="spellStart"/>
      <w:r>
        <w:rPr>
          <w:rFonts w:asciiTheme="majorBidi" w:hAnsiTheme="majorBidi" w:cstheme="majorBidi"/>
          <w:sz w:val="24"/>
          <w:szCs w:val="24"/>
          <w:lang w:val="en"/>
        </w:rPr>
        <w:t>Yadlin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This doctrine is universal and pertains to every democratic country facing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parallel situation. </w:t>
      </w:r>
    </w:p>
    <w:p w14:paraId="7D8B87A1" w14:textId="77777777" w:rsidR="007E2FF1" w:rsidRPr="00CE0A8B" w:rsidRDefault="007E2FF1" w:rsidP="007E2FF1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37DBB437" w14:textId="77777777" w:rsidR="007E2FF1" w:rsidRDefault="007E2FF1" w:rsidP="001A6C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7E2FF1">
        <w:rPr>
          <w:rFonts w:asciiTheme="majorBidi" w:hAnsiTheme="majorBidi" w:cstheme="majorBidi"/>
          <w:b/>
          <w:bCs/>
          <w:sz w:val="28"/>
          <w:szCs w:val="28"/>
          <w:lang w:val="en"/>
        </w:rPr>
        <w:lastRenderedPageBreak/>
        <w:t>Chapter 6</w:t>
      </w:r>
    </w:p>
    <w:p w14:paraId="5893C31F" w14:textId="0D60C789" w:rsidR="007E2FF1" w:rsidRDefault="007E2FF1" w:rsidP="001A6C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7E2FF1">
        <w:rPr>
          <w:rFonts w:asciiTheme="majorBidi" w:hAnsiTheme="majorBidi" w:cstheme="majorBidi"/>
          <w:b/>
          <w:bCs/>
          <w:sz w:val="28"/>
          <w:szCs w:val="28"/>
          <w:lang w:val="en"/>
        </w:rPr>
        <w:t>Israel vs. Hamas</w:t>
      </w:r>
      <w:r>
        <w:rPr>
          <w:rFonts w:asciiTheme="majorBidi" w:hAnsiTheme="majorBidi" w:cstheme="majorBidi"/>
          <w:b/>
          <w:bCs/>
          <w:sz w:val="28"/>
          <w:szCs w:val="28"/>
          <w:lang w:val="en"/>
        </w:rPr>
        <w:t>:</w:t>
      </w:r>
      <w:r w:rsidRPr="007E2FF1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Operation Cast Lead</w:t>
      </w:r>
    </w:p>
    <w:p w14:paraId="54D394EE" w14:textId="77777777" w:rsidR="001A6C85" w:rsidRPr="001A6C85" w:rsidRDefault="001A6C85" w:rsidP="001A6C85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lang w:val="en"/>
        </w:rPr>
      </w:pPr>
    </w:p>
    <w:p w14:paraId="479F3AD7" w14:textId="78E0A06C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This case study explores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 war fought between 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State of Israel and Hamas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Ever since its military coup against Fatah in 2007, Hamas </w:t>
      </w:r>
      <w:r>
        <w:rPr>
          <w:rFonts w:asciiTheme="majorBidi" w:hAnsiTheme="majorBidi" w:cstheme="majorBidi"/>
          <w:sz w:val="24"/>
          <w:szCs w:val="24"/>
          <w:lang w:val="en"/>
        </w:rPr>
        <w:t>has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been the de-facto </w:t>
      </w:r>
      <w:r>
        <w:rPr>
          <w:rFonts w:asciiTheme="majorBidi" w:hAnsiTheme="majorBidi" w:cstheme="majorBidi"/>
          <w:sz w:val="24"/>
          <w:szCs w:val="24"/>
          <w:lang w:val="en"/>
        </w:rPr>
        <w:t>ruler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of the Gaza Strip, constituting a quasi-political entity.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The organization sits in Israel’s “back yard,” constantly posing a threat to its citizens with r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ocket fire and other terror activities.</w:t>
      </w:r>
      <w:r>
        <w:rPr>
          <w:rFonts w:asciiTheme="majorBidi" w:hAnsiTheme="majorBidi" w:cstheme="majorBidi"/>
          <w:sz w:val="24"/>
          <w:szCs w:val="24"/>
          <w:highlight w:val="cyan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Its ultimate objective is to supplant Israel with a Palestinian-Islamic state. </w:t>
      </w:r>
    </w:p>
    <w:p w14:paraId="42A115C9" w14:textId="7D61549B" w:rsidR="007E2FF1" w:rsidRPr="00CE0A8B" w:rsidRDefault="007E2FF1" w:rsidP="007E2FF1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first part of this chapter </w:t>
      </w:r>
      <w:r>
        <w:rPr>
          <w:rFonts w:asciiTheme="majorBidi" w:hAnsiTheme="majorBidi" w:cstheme="majorBidi"/>
          <w:sz w:val="24"/>
          <w:szCs w:val="24"/>
          <w:lang w:val="en"/>
        </w:rPr>
        <w:t>provides 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7E2FF1">
        <w:rPr>
          <w:rFonts w:asciiTheme="majorBidi" w:hAnsiTheme="majorBidi" w:cstheme="majorBidi"/>
          <w:sz w:val="24"/>
          <w:szCs w:val="24"/>
          <w:highlight w:val="cyan"/>
          <w:lang w:val="en"/>
        </w:rPr>
        <w:t>historical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background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of </w:t>
      </w:r>
      <w:r w:rsidRPr="007E2FF1">
        <w:rPr>
          <w:rFonts w:asciiTheme="majorBidi" w:hAnsiTheme="majorBidi" w:cstheme="majorBidi"/>
          <w:sz w:val="24"/>
          <w:szCs w:val="24"/>
          <w:highlight w:val="cyan"/>
          <w:lang w:val="en"/>
        </w:rPr>
        <w:t>the war</w:t>
      </w:r>
      <w:r>
        <w:rPr>
          <w:rFonts w:asciiTheme="majorBidi" w:hAnsiTheme="majorBidi" w:cstheme="majorBidi"/>
          <w:sz w:val="24"/>
          <w:szCs w:val="24"/>
          <w:lang w:val="en"/>
        </w:rPr>
        <w:t>: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Israel’s takeover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Gaza </w:t>
      </w:r>
      <w:r>
        <w:rPr>
          <w:rFonts w:asciiTheme="majorBidi" w:hAnsiTheme="majorBidi" w:cstheme="majorBidi"/>
          <w:sz w:val="24"/>
          <w:szCs w:val="24"/>
          <w:lang w:val="en"/>
        </w:rPr>
        <w:t>Strip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, the Israeli disengagement of 2005, the transfer of sovereignty to Fatah, and finally the Hamas takeover. </w:t>
      </w:r>
    </w:p>
    <w:p w14:paraId="434110F9" w14:textId="2EF06979" w:rsidR="00FF7F36" w:rsidRDefault="007E2FF1" w:rsidP="00FF7F36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>I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t also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describe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context of Hamas’ creation and provide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 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general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characterization of the organization.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Among other things,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I discuss Hamas’ organizational structure: i.e., its five divisions: the political bureau, the Gaza-government, the Hamas leadership in Israeli jails, the military arm (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Izz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al-Din al-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Qassam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brigades) and the supervisory council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(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the Majlis al-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Shura</w:t>
      </w:r>
      <w:proofErr w:type="spellEnd"/>
      <w:r w:rsidR="003F73F4">
        <w:rPr>
          <w:rFonts w:asciiTheme="majorBidi" w:hAnsiTheme="majorBidi" w:cstheme="majorBidi"/>
          <w:sz w:val="24"/>
          <w:szCs w:val="24"/>
          <w:lang w:val="en"/>
        </w:rPr>
        <w:t>)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</w:p>
    <w:p w14:paraId="3F75428C" w14:textId="4E249BF1" w:rsidR="007E2FF1" w:rsidRPr="00CE0A8B" w:rsidRDefault="007E2FF1" w:rsidP="00FF7F36">
      <w:pPr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In each case study, I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discuss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whether Hamas’ actions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place it in the category of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 guerilla organization, a terror organization or both (</w:t>
      </w:r>
      <w:proofErr w:type="spellStart"/>
      <w:r w:rsidRPr="00CE0A8B">
        <w:rPr>
          <w:rFonts w:asciiTheme="majorBidi" w:hAnsiTheme="majorBidi" w:cstheme="majorBidi"/>
          <w:sz w:val="24"/>
          <w:szCs w:val="24"/>
          <w:lang w:val="en"/>
        </w:rPr>
        <w:t>terro</w:t>
      </w:r>
      <w:proofErr w:type="spellEnd"/>
      <w:r w:rsidRPr="00CE0A8B">
        <w:rPr>
          <w:rFonts w:asciiTheme="majorBidi" w:hAnsiTheme="majorBidi" w:cstheme="majorBidi"/>
          <w:sz w:val="24"/>
          <w:szCs w:val="24"/>
          <w:lang w:val="en"/>
        </w:rPr>
        <w:t>-guerilla).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1086C902" w14:textId="79572058" w:rsidR="007E2FF1" w:rsidRPr="00CE0A8B" w:rsidRDefault="007E2FF1" w:rsidP="00FF7F3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The second part of the chapter describes the 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 xml:space="preserve">Israeli military operation in Gaza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which began on December 27, 2008 and </w:t>
      </w:r>
      <w:proofErr w:type="gramStart"/>
      <w:r w:rsidRPr="00CE0A8B">
        <w:rPr>
          <w:rFonts w:asciiTheme="majorBidi" w:hAnsiTheme="majorBidi" w:cstheme="majorBidi"/>
          <w:sz w:val="24"/>
          <w:szCs w:val="24"/>
          <w:lang w:val="en"/>
        </w:rPr>
        <w:t>drew to a close</w:t>
      </w:r>
      <w:proofErr w:type="gramEnd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on January 19, 2009.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 discuss the war’s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antecedents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Israel’s objectives and preparations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including the </w:t>
      </w:r>
      <w:r w:rsidRPr="00FF7F36">
        <w:rPr>
          <w:rFonts w:asciiTheme="majorBidi" w:hAnsiTheme="majorBidi" w:cstheme="majorBidi"/>
          <w:sz w:val="24"/>
          <w:szCs w:val="24"/>
          <w:highlight w:val="yellow"/>
          <w:lang w:val="en"/>
        </w:rPr>
        <w:t>debate/discussion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Israel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i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security cabinet over the decision to go to war.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Likewise, I examine Hamas’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preparations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policies.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74BB6">
        <w:rPr>
          <w:rFonts w:asciiTheme="majorBidi" w:hAnsiTheme="majorBidi" w:cstheme="majorBidi"/>
          <w:sz w:val="24"/>
          <w:szCs w:val="24"/>
          <w:lang w:val="en"/>
        </w:rPr>
        <w:t>Each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stage of the operation i</w:t>
      </w:r>
      <w:r w:rsidR="00D74BB6">
        <w:rPr>
          <w:rFonts w:asciiTheme="majorBidi" w:hAnsiTheme="majorBidi" w:cstheme="majorBidi"/>
          <w:sz w:val="24"/>
          <w:szCs w:val="24"/>
          <w:lang w:val="en"/>
        </w:rPr>
        <w:t>s then discussed in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turn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from the first Israeli air-strikes to Israel’s ground incursion. </w:t>
      </w:r>
    </w:p>
    <w:p w14:paraId="1DDA0488" w14:textId="3C0257FC" w:rsidR="007E2FF1" w:rsidRPr="00CE0A8B" w:rsidRDefault="007E2FF1" w:rsidP="00FF7F3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The third part of the chapter discusses the ethical accusations leveled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against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Israel and the IDF in the 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war’s aftermath.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The UN council for Human Rights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established a fact-finding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team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to evaluate the events of Operation Cast Lead (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Goldstone Report). The report accuses Israel of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committing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war crimes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and crimes against humanity. Israel was </w:t>
      </w:r>
      <w:r w:rsidR="003F73F4" w:rsidRPr="003F73F4">
        <w:rPr>
          <w:rFonts w:asciiTheme="majorBidi" w:hAnsiTheme="majorBidi" w:cstheme="majorBidi"/>
          <w:sz w:val="24"/>
          <w:szCs w:val="24"/>
          <w:highlight w:val="cyan"/>
          <w:lang w:val="en"/>
        </w:rPr>
        <w:t>specifically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 xml:space="preserve"> accused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of breaching the principle of distinction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–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for example by bombing of mosque located in a refugee camp and near a hospital</w:t>
      </w:r>
      <w:r w:rsidR="00D74BB6">
        <w:rPr>
          <w:rFonts w:asciiTheme="majorBidi" w:hAnsiTheme="majorBidi" w:cstheme="majorBidi"/>
          <w:sz w:val="24"/>
          <w:szCs w:val="24"/>
          <w:lang w:val="en"/>
        </w:rPr>
        <w:t>, resulting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in the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deaths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of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>numerous prayer-goes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In my analysis, I explain the difficulty posed by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Hamas’ incorporation of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F7F36">
        <w:rPr>
          <w:rFonts w:asciiTheme="majorBidi" w:hAnsiTheme="majorBidi" w:cstheme="majorBidi"/>
          <w:sz w:val="24"/>
          <w:szCs w:val="24"/>
          <w:lang w:val="en"/>
        </w:rPr>
        <w:t xml:space="preserve">both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military and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civilian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elements, </w:t>
      </w:r>
      <w:r w:rsidR="003F73F4">
        <w:rPr>
          <w:rFonts w:asciiTheme="majorBidi" w:hAnsiTheme="majorBidi" w:cstheme="majorBidi"/>
          <w:sz w:val="24"/>
          <w:szCs w:val="24"/>
          <w:lang w:val="en"/>
        </w:rPr>
        <w:t>a fact which forced the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IDF to expand its definition of what constituted a military objective.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This was considered problematic in the eyes of the international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community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</w:p>
    <w:p w14:paraId="4FEC8EBA" w14:textId="19BC09AA" w:rsidR="007E2FF1" w:rsidRPr="00CE0A8B" w:rsidRDefault="007E2FF1" w:rsidP="00FF7F36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After a review of the ethical arguments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leveled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against Israel, I describe Israel’s counter-arguments.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I also review the ethical arguments leveled against Hamas.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For example, Hamas </w:t>
      </w:r>
      <w:r w:rsidRPr="00CE0A8B">
        <w:rPr>
          <w:rFonts w:asciiTheme="majorBidi" w:hAnsiTheme="majorBidi" w:cstheme="majorBidi"/>
          <w:sz w:val="24"/>
          <w:szCs w:val="24"/>
          <w:highlight w:val="cyan"/>
          <w:lang w:val="en"/>
        </w:rPr>
        <w:t>was condemned</w:t>
      </w:r>
      <w:bookmarkStart w:id="0" w:name="_GoBack"/>
      <w:bookmarkEnd w:id="0"/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for firing rockets at Israeli civilian objectives, and for conducting military operations in </w:t>
      </w:r>
      <w:r w:rsidR="00FF7F36" w:rsidRPr="00CE0A8B">
        <w:rPr>
          <w:rFonts w:asciiTheme="majorBidi" w:hAnsiTheme="majorBidi" w:cstheme="majorBidi"/>
          <w:sz w:val="24"/>
          <w:szCs w:val="24"/>
          <w:lang w:val="en"/>
        </w:rPr>
        <w:t>civilian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 xml:space="preserve"> areas.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CE0A8B">
        <w:rPr>
          <w:rFonts w:asciiTheme="majorBidi" w:hAnsiTheme="majorBidi" w:cstheme="majorBidi"/>
          <w:sz w:val="24"/>
          <w:szCs w:val="24"/>
          <w:lang w:val="en"/>
        </w:rPr>
        <w:t>I also discuss Hamas’ counterarguments.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412C4DB0" w14:textId="77777777" w:rsidR="007E2FF1" w:rsidRPr="00CE0A8B" w:rsidRDefault="007E2FF1" w:rsidP="007E2FF1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775C3FD" w14:textId="77777777" w:rsidR="004E083B" w:rsidRDefault="004E083B" w:rsidP="007E2FF1">
      <w:pPr>
        <w:bidi w:val="0"/>
        <w:jc w:val="both"/>
      </w:pPr>
    </w:p>
    <w:sectPr w:rsidR="004E083B" w:rsidSect="001A0A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B1DCE"/>
    <w:rsid w:val="001A6C85"/>
    <w:rsid w:val="003F73F4"/>
    <w:rsid w:val="004E083B"/>
    <w:rsid w:val="00510974"/>
    <w:rsid w:val="00727E93"/>
    <w:rsid w:val="00776B7B"/>
    <w:rsid w:val="007B18DA"/>
    <w:rsid w:val="007E10EC"/>
    <w:rsid w:val="007E2FF1"/>
    <w:rsid w:val="00895E8C"/>
    <w:rsid w:val="00B43AA9"/>
    <w:rsid w:val="00D74BB6"/>
    <w:rsid w:val="00DD40A4"/>
    <w:rsid w:val="00EB1DCE"/>
    <w:rsid w:val="00FC7D6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660E"/>
  <w15:chartTrackingRefBased/>
  <w15:docId w15:val="{A7EB93A0-3198-4820-98AA-A692E21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FF1"/>
    <w:pPr>
      <w:bidi/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Kallenbach</dc:creator>
  <cp:keywords/>
  <dc:description/>
  <cp:lastModifiedBy>Avi Kallenbach</cp:lastModifiedBy>
  <cp:revision>9</cp:revision>
  <dcterms:created xsi:type="dcterms:W3CDTF">2018-07-03T09:37:00Z</dcterms:created>
  <dcterms:modified xsi:type="dcterms:W3CDTF">2018-07-03T12:33:00Z</dcterms:modified>
</cp:coreProperties>
</file>