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uto"/>
        <w:jc w:val="both"/>
      </w:pPr>
    </w:p>
    <w:p>
      <w:pPr>
        <w:pStyle w:val="Normal.0"/>
        <w:spacing w:line="240" w:lineRule="auto"/>
        <w:jc w:val="both"/>
        <w:rPr>
          <w:rFonts w:ascii="Palatino Linotype" w:cs="Palatino Linotype" w:hAnsi="Palatino Linotype" w:eastAsia="Palatino Linotype"/>
        </w:rPr>
      </w:pPr>
      <w:r>
        <w:rPr>
          <w:rtl w:val="0"/>
        </w:rPr>
        <w:t>My passion for the Greek language, its expressivity and its diachronic evolution from Antiquity to the present lies at the basis of my research interests</w:t>
      </w:r>
      <w:r>
        <w:rPr>
          <w:rtl w:val="0"/>
        </w:rPr>
        <w:t xml:space="preserve">. Lexicography is one of my main areas of study, considering my training in linguistics and my interests in historical semantics. As an example, one of my recent articles </w:t>
      </w:r>
      <w:r>
        <w:rPr>
          <w:rtl w:val="0"/>
          <w:lang w:val="en-US"/>
        </w:rPr>
        <w:t>“</w:t>
      </w:r>
      <w:r>
        <w:rPr>
          <w:rtl w:val="0"/>
        </w:rPr>
        <w:t xml:space="preserve">Prose and Poetry of Pain: A History of the Term </w:t>
      </w:r>
      <w:r>
        <w:rPr>
          <w:rtl w:val="0"/>
        </w:rPr>
        <w:t>ἄλγος</w:t>
      </w:r>
      <w:r>
        <w:rPr>
          <w:rtl w:val="0"/>
          <w:lang w:val="en-US"/>
        </w:rPr>
        <w:t>”</w:t>
      </w:r>
      <w:r>
        <w:rPr>
          <w:rtl w:val="0"/>
        </w:rPr>
        <w:t xml:space="preserve">, </w:t>
      </w:r>
      <w:r>
        <w:rPr>
          <w:rtl w:val="0"/>
          <w:lang w:val="en-US"/>
        </w:rPr>
        <w:t xml:space="preserve"> published in the </w:t>
      </w:r>
      <w:r>
        <w:rPr>
          <w:rtl w:val="0"/>
        </w:rPr>
        <w:t>volume</w:t>
      </w:r>
      <w:r>
        <w:rPr>
          <w:rtl w:val="0"/>
          <w:lang w:val="en-US"/>
        </w:rPr>
        <w:t xml:space="preserve"> edited by </w:t>
      </w:r>
      <w:r>
        <w:rPr>
          <w:rtl w:val="0"/>
        </w:rPr>
        <w:t xml:space="preserve">Enzo Passa </w:t>
      </w:r>
      <w:r>
        <w:rPr>
          <w:rtl w:val="0"/>
          <w:lang w:val="en-US"/>
        </w:rPr>
        <w:t>and</w:t>
      </w:r>
      <w:r>
        <w:rPr>
          <w:rtl w:val="0"/>
        </w:rPr>
        <w:t xml:space="preserve"> Olga Tribulato </w:t>
      </w:r>
      <w:r>
        <w:rPr>
          <w:i w:val="1"/>
          <w:iCs w:val="1"/>
          <w:rtl w:val="0"/>
        </w:rPr>
        <w:t>The Paths of Greek: Literature, Linguistics and Epigraphy</w:t>
      </w:r>
      <w:r>
        <w:rPr>
          <w:rtl w:val="0"/>
        </w:rPr>
        <w:t xml:space="preserve">, </w:t>
      </w:r>
      <w:r>
        <w:rPr>
          <w:rtl w:val="0"/>
          <w:lang w:val="en-US"/>
        </w:rPr>
        <w:t>I have reconstructed the history of the term</w:t>
      </w:r>
      <w:r>
        <w:rPr>
          <w:rtl w:val="0"/>
        </w:rPr>
        <w:t xml:space="preserve"> ἄλγος </w:t>
      </w:r>
      <w:r>
        <w:rPr>
          <w:rtl w:val="0"/>
          <w:lang w:val="en-US"/>
        </w:rPr>
        <w:t>already present in the</w:t>
      </w:r>
      <w:r>
        <w:rPr>
          <w:rtl w:val="0"/>
        </w:rPr>
        <w:t xml:space="preserve"> poeti</w:t>
      </w:r>
      <w:r>
        <w:rPr>
          <w:rtl w:val="0"/>
          <w:lang w:val="en-US"/>
        </w:rPr>
        <w:t>c diction</w:t>
      </w:r>
      <w:r>
        <w:rPr>
          <w:rtl w:val="0"/>
        </w:rPr>
        <w:t xml:space="preserve"> </w:t>
      </w:r>
      <w:r>
        <w:rPr>
          <w:rtl w:val="0"/>
          <w:lang w:val="en-US"/>
        </w:rPr>
        <w:t>of the</w:t>
      </w:r>
      <w:r>
        <w:rPr>
          <w:rtl w:val="0"/>
        </w:rPr>
        <w:t xml:space="preserve"> V </w:t>
      </w:r>
      <w:r>
        <w:rPr>
          <w:rtl w:val="0"/>
          <w:lang w:val="en-US"/>
        </w:rPr>
        <w:t>century</w:t>
      </w:r>
      <w:r>
        <w:rPr>
          <w:rtl w:val="0"/>
        </w:rPr>
        <w:t xml:space="preserve"> BC </w:t>
      </w:r>
      <w:r>
        <w:rPr>
          <w:rtl w:val="0"/>
          <w:lang w:val="en-US"/>
        </w:rPr>
        <w:t>by considering information gathered from the</w:t>
      </w:r>
      <w:r>
        <w:rPr>
          <w:rtl w:val="0"/>
        </w:rPr>
        <w:t xml:space="preserve"> </w:t>
      </w:r>
      <w:r>
        <w:rPr>
          <w:i w:val="1"/>
          <w:iCs w:val="1"/>
          <w:rtl w:val="0"/>
        </w:rPr>
        <w:t>Glossai kata poleis</w:t>
      </w:r>
      <w:r>
        <w:rPr>
          <w:rtl w:val="0"/>
          <w:lang w:val="en-US"/>
        </w:rPr>
        <w:t xml:space="preserve"> codex.</w:t>
      </w:r>
      <w:r>
        <w:rPr>
          <w:rtl w:val="0"/>
        </w:rPr>
        <w:t xml:space="preserve"> </w:t>
      </w:r>
      <w:r>
        <w:rPr>
          <w:rtl w:val="0"/>
          <w:lang w:val="en-US"/>
        </w:rPr>
        <w:t xml:space="preserve">The study of semantic shifts in Hellenistic and Imperial Greek </w:t>
      </w:r>
      <w:r>
        <w:rPr>
          <w:rtl w:val="0"/>
        </w:rPr>
        <w:t>(</w:t>
      </w:r>
      <w:r>
        <w:rPr>
          <w:rtl w:val="0"/>
        </w:rPr>
        <w:t xml:space="preserve">ἀνάτασις </w:t>
      </w:r>
      <w:r>
        <w:rPr>
          <w:rtl w:val="0"/>
          <w:lang w:val="en-US"/>
        </w:rPr>
        <w:t>and</w:t>
      </w:r>
      <w:r>
        <w:rPr>
          <w:rtl w:val="0"/>
        </w:rPr>
        <w:t xml:space="preserve"> παράστασις</w:t>
      </w:r>
      <w:r>
        <w:rPr>
          <w:rtl w:val="0"/>
        </w:rPr>
        <w:t xml:space="preserve">) </w:t>
      </w:r>
      <w:r>
        <w:rPr>
          <w:rtl w:val="0"/>
          <w:lang w:val="en-US"/>
        </w:rPr>
        <w:t>led me to research Byzantine lexicon. I am currently about to publish</w:t>
      </w:r>
      <w:r>
        <w:rPr>
          <w:rtl w:val="0"/>
        </w:rPr>
        <w:t xml:space="preserve"> a monograph devoted to the fortunes of Tyrtaeus</w:t>
      </w:r>
      <w:r>
        <w:rPr>
          <w:rtl w:val="0"/>
        </w:rPr>
        <w:t>’</w:t>
      </w:r>
      <w:r>
        <w:rPr>
          <w:rtl w:val="0"/>
        </w:rPr>
        <w:t>s fr. 10 W. in Italy, and working on a historical semantics lecture that will be presented at Cologne University</w:t>
      </w:r>
      <w:r>
        <w:rPr>
          <w:rtl w:val="0"/>
        </w:rPr>
        <w:t>’</w:t>
      </w:r>
      <w:r>
        <w:rPr>
          <w:rtl w:val="0"/>
        </w:rPr>
        <w:t>s next post-classical Greek conference in March. I am also currently revising two further articles on Thucydides</w:t>
      </w:r>
      <w:r>
        <w:rPr>
          <w:rtl w:val="0"/>
        </w:rPr>
        <w:t>’</w:t>
      </w:r>
      <w:r>
        <w:rPr>
          <w:rtl w:val="0"/>
        </w:rPr>
        <w:t xml:space="preserve">s </w:t>
      </w:r>
      <w:r>
        <w:rPr>
          <w:i w:val="1"/>
          <w:iCs w:val="1"/>
          <w:rtl w:val="0"/>
        </w:rPr>
        <w:t>iunctura</w:t>
      </w:r>
      <w:r>
        <w:rPr>
          <w:rtl w:val="0"/>
        </w:rPr>
        <w:t xml:space="preserve"> in Dexippus and Heliodorus for imminent publication. A research stay at the Hardt Foundation in Geneva </w:t>
      </w:r>
      <w:r>
        <w:rPr>
          <w:rFonts w:ascii="Palatino Linotype" w:cs="Palatino Linotype" w:hAnsi="Palatino Linotype" w:eastAsia="Palatino Linotype"/>
          <w:rtl w:val="0"/>
        </w:rPr>
        <w:t>(January 27 to February 15, 2020) would be extremely useful to conclude these research efforts.</w:t>
      </w:r>
    </w:p>
    <w:p>
      <w:pPr>
        <w:pStyle w:val="Normal.0"/>
        <w:spacing w:line="240" w:lineRule="auto"/>
        <w:jc w:val="both"/>
      </w:pPr>
      <w:r>
        <w:rPr>
          <w:rFonts w:ascii="Palatino Linotype" w:cs="Palatino Linotype" w:hAnsi="Palatino Linotype" w:eastAsia="Palatino Linotype"/>
          <w:rtl w:val="0"/>
        </w:rPr>
        <w:t>The monograph on Tyrtaeus brings together a detailed analysis of the translations of his poetry over the past two centuries, aiming to highlight the expressivity of the chosen Italian equivalents of Tyrtaeus</w:t>
      </w:r>
      <w:r>
        <w:rPr>
          <w:rFonts w:ascii="Palatino Linotype" w:cs="Palatino Linotype" w:hAnsi="Palatino Linotype" w:eastAsia="Palatino Linotype"/>
          <w:rtl w:val="0"/>
        </w:rPr>
        <w:t>’</w:t>
      </w:r>
      <w:r>
        <w:rPr>
          <w:rFonts w:ascii="Palatino Linotype" w:cs="Palatino Linotype" w:hAnsi="Palatino Linotype" w:eastAsia="Palatino Linotype"/>
          <w:rtl w:val="0"/>
        </w:rPr>
        <w:t>s Greek lexemes, and a painstaking discussion of philological choices. This work aims at reconstructing a history of the original text and its edition up to its most recent one (2017). Even in this case, I embrace a concept of philology seen as textual criticism, where semantics and stylis</w:t>
      </w:r>
      <w:r>
        <w:rPr>
          <w:rtl w:val="0"/>
        </w:rPr>
        <w:t>tics go hand in hand.</w:t>
      </w:r>
    </w:p>
    <w:p>
      <w:pPr>
        <w:pStyle w:val="Normal.0"/>
        <w:spacing w:line="240" w:lineRule="auto"/>
        <w:jc w:val="both"/>
      </w:pPr>
      <w:r>
        <w:rPr>
          <w:rFonts w:cs="Calibri" w:eastAsia="Calibri"/>
          <w:rtl w:val="0"/>
        </w:rPr>
        <w:t xml:space="preserve">Working on the </w:t>
      </w:r>
      <w:r>
        <w:rPr>
          <w:rFonts w:ascii="Helvetica" w:hAnsi="Helvetica"/>
          <w:i w:val="1"/>
          <w:iCs w:val="1"/>
          <w:rtl w:val="0"/>
        </w:rPr>
        <w:t>lexicon Gudianum</w:t>
      </w:r>
      <w:r>
        <w:rPr>
          <w:rFonts w:cs="Calibri" w:eastAsia="Calibri"/>
          <w:rtl w:val="0"/>
        </w:rPr>
        <w:t xml:space="preserve"> would provide me with a great opportunity for the following reasons: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en-US"/>
        </w:rPr>
      </w:pPr>
      <w:r>
        <w:rPr>
          <w:rFonts w:cs="Calibri" w:eastAsia="Calibri"/>
          <w:rtl w:val="0"/>
          <w:lang w:val="en-US"/>
        </w:rPr>
        <w:t xml:space="preserve">my long-standing passion for Byzantine studies (I took university courses and sat exams with Professors Luzzi and Niehoff-Panagiotidis in Rome and Berlin, as well as taking courses and seminars with Prof. Agosti during my Ph.D. studies). One of my articles proves this continuing interest of mine: </w:t>
      </w:r>
      <w:r>
        <w:rPr>
          <w:rFonts w:ascii="Helvetica" w:hAnsi="Helvetica"/>
          <w:i w:val="1"/>
          <w:iCs w:val="1"/>
          <w:rtl w:val="0"/>
          <w:lang w:val="en-US"/>
        </w:rPr>
        <w:t>Bisanzio e l</w:t>
      </w:r>
      <w:r>
        <w:rPr>
          <w:rFonts w:ascii="Helvetica" w:hAnsi="Helvetica" w:hint="default"/>
          <w:i w:val="1"/>
          <w:iCs w:val="1"/>
          <w:rtl w:val="0"/>
          <w:lang w:val="en-US"/>
        </w:rPr>
        <w:t>’</w:t>
      </w:r>
      <w:r>
        <w:rPr>
          <w:rFonts w:ascii="Helvetica" w:hAnsi="Helvetica"/>
          <w:i w:val="1"/>
          <w:iCs w:val="1"/>
          <w:rtl w:val="0"/>
          <w:lang w:val="en-US"/>
        </w:rPr>
        <w:t>Europa: la complessit</w:t>
      </w:r>
      <w:r>
        <w:rPr>
          <w:rFonts w:ascii="Helvetica" w:hAnsi="Helvetica" w:hint="default"/>
          <w:i w:val="1"/>
          <w:iCs w:val="1"/>
          <w:rtl w:val="0"/>
          <w:lang w:val="en-US"/>
        </w:rPr>
        <w:t xml:space="preserve">à </w:t>
      </w:r>
      <w:r>
        <w:rPr>
          <w:rFonts w:ascii="Helvetica" w:hAnsi="Helvetica"/>
          <w:i w:val="1"/>
          <w:iCs w:val="1"/>
          <w:rtl w:val="0"/>
          <w:lang w:val="en-US"/>
        </w:rPr>
        <w:t>dell</w:t>
      </w:r>
      <w:r>
        <w:rPr>
          <w:rFonts w:ascii="Helvetica" w:hAnsi="Helvetica" w:hint="default"/>
          <w:i w:val="1"/>
          <w:iCs w:val="1"/>
          <w:rtl w:val="0"/>
          <w:lang w:val="en-US"/>
        </w:rPr>
        <w:t>’</w:t>
      </w:r>
      <w:r>
        <w:rPr>
          <w:rFonts w:ascii="Helvetica" w:hAnsi="Helvetica"/>
          <w:i w:val="1"/>
          <w:iCs w:val="1"/>
          <w:rtl w:val="0"/>
          <w:lang w:val="en-US"/>
        </w:rPr>
        <w:t xml:space="preserve">irrisolto </w:t>
      </w:r>
      <w:r>
        <w:rPr>
          <w:rFonts w:cs="Calibri" w:eastAsia="Calibri"/>
          <w:rtl w:val="0"/>
          <w:lang w:val="en-US"/>
        </w:rPr>
        <w:t>(</w:t>
      </w:r>
      <w:r>
        <w:rPr>
          <w:rFonts w:cs="Calibri" w:eastAsia="Calibri"/>
          <w:rtl w:val="0"/>
          <w:lang w:val="en-US"/>
        </w:rPr>
        <w:t>‘</w:t>
      </w:r>
      <w:r>
        <w:rPr>
          <w:rFonts w:cs="Calibri" w:eastAsia="Calibri"/>
          <w:rtl w:val="0"/>
          <w:lang w:val="en-US"/>
        </w:rPr>
        <w:t>Byzantium and Europe: the complexity of the unsolved</w:t>
      </w:r>
      <w:r>
        <w:rPr>
          <w:rFonts w:cs="Calibri" w:eastAsia="Calibri"/>
          <w:rtl w:val="0"/>
          <w:lang w:val="en-US"/>
        </w:rPr>
        <w:t>’</w:t>
      </w:r>
      <w:r>
        <w:rPr>
          <w:rFonts w:cs="Calibri" w:eastAsia="Calibri"/>
          <w:rtl w:val="0"/>
          <w:lang w:val="en-US"/>
        </w:rPr>
        <w:t>, Athens &amp; Rome, 2018);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en-US"/>
        </w:rPr>
      </w:pPr>
      <w:r>
        <w:rPr>
          <w:rFonts w:cs="Calibri" w:eastAsia="Calibri"/>
          <w:rtl w:val="0"/>
          <w:lang w:val="en-US"/>
        </w:rPr>
        <w:t>my studies in paleography (I sat two exams in Greek paleography with Professor Gugliemo Cavallo);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en-US"/>
        </w:rPr>
      </w:pPr>
      <w:r>
        <w:rPr>
          <w:rFonts w:cs="Calibri" w:eastAsia="Calibri"/>
          <w:rtl w:val="0"/>
          <w:lang w:val="en-US"/>
        </w:rPr>
        <w:t>my philological training in Rome, ensconced in a series of publications (Quintus of Smyrna, Dictys Cretensis, and shortly the monograph on Tyrtaeus, as well as hopefully also the soon-to-be-published monograph on the lexicon in 2 Maccabees);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en-US"/>
        </w:rPr>
      </w:pPr>
      <w:r>
        <w:rPr>
          <w:rFonts w:cs="Calibri" w:eastAsia="Calibri"/>
          <w:rtl w:val="0"/>
          <w:lang w:val="en-US"/>
        </w:rPr>
        <w:t>my interest in historical semantics and lexicography;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rtl w:val="0"/>
          <w:lang w:val="en-US"/>
        </w:rPr>
      </w:pPr>
      <w:r>
        <w:rPr>
          <w:rFonts w:cs="Calibri" w:eastAsia="Calibri"/>
          <w:rtl w:val="0"/>
          <w:lang w:val="en-US"/>
        </w:rPr>
        <w:t>my useful and productive experiences from stays in Germany during my MA and Ph.D.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Palatino Linotyp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8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4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08" w:hanging="3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